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5C294" w14:textId="120E2E99" w:rsidR="00B61E02" w:rsidRDefault="00B61E02" w:rsidP="00B61E02">
      <w:pPr>
        <w:spacing w:before="120" w:after="120" w:line="240" w:lineRule="auto"/>
        <w:rPr>
          <w:rFonts w:ascii="Arial" w:hAnsi="Arial" w:cs="Arial"/>
          <w:b/>
          <w:bCs/>
          <w:sz w:val="32"/>
          <w:szCs w:val="32"/>
          <w:u w:val="single"/>
          <w:lang w:val="en-GB"/>
        </w:rPr>
      </w:pPr>
      <w:bookmarkStart w:id="0" w:name="_Hlk214556325"/>
      <w:bookmarkStart w:id="1" w:name="_Hlk198713495"/>
      <w:bookmarkEnd w:id="0"/>
      <w:r w:rsidRPr="00B61E02">
        <w:rPr>
          <w:rFonts w:ascii="Arial" w:hAnsi="Arial" w:cs="Arial"/>
          <w:b/>
          <w:bCs/>
          <w:sz w:val="32"/>
          <w:szCs w:val="32"/>
          <w:u w:val="single"/>
          <w:lang w:val="en-GB"/>
        </w:rPr>
        <w:t>Original Research Article</w:t>
      </w:r>
    </w:p>
    <w:p w14:paraId="4B5D80B4" w14:textId="77777777" w:rsidR="00B61E02" w:rsidRPr="00B61E02" w:rsidRDefault="00B61E02" w:rsidP="00B61E02">
      <w:pPr>
        <w:spacing w:before="120" w:after="120" w:line="240" w:lineRule="auto"/>
        <w:rPr>
          <w:rFonts w:ascii="Arial" w:hAnsi="Arial" w:cs="Arial"/>
          <w:b/>
          <w:bCs/>
          <w:sz w:val="32"/>
          <w:szCs w:val="32"/>
          <w:u w:val="single"/>
          <w:lang w:val="en-GB"/>
        </w:rPr>
      </w:pPr>
    </w:p>
    <w:p w14:paraId="2EDDBDCE" w14:textId="7A0C98FB" w:rsidR="0024775A" w:rsidRPr="0002115B" w:rsidRDefault="0002115B" w:rsidP="0002115B">
      <w:pPr>
        <w:spacing w:before="120" w:after="120" w:line="240" w:lineRule="auto"/>
        <w:jc w:val="right"/>
        <w:rPr>
          <w:rFonts w:ascii="Arial" w:hAnsi="Arial" w:cs="Arial"/>
          <w:b/>
          <w:bCs/>
          <w:sz w:val="36"/>
          <w:szCs w:val="36"/>
          <w:lang w:val="en-GB"/>
        </w:rPr>
      </w:pPr>
      <w:r w:rsidRPr="0002115B">
        <w:rPr>
          <w:rFonts w:ascii="Arial" w:hAnsi="Arial" w:cs="Arial"/>
          <w:b/>
          <w:bCs/>
          <w:sz w:val="36"/>
          <w:szCs w:val="36"/>
          <w:lang w:val="en-GB"/>
        </w:rPr>
        <w:t xml:space="preserve">Assessment of Herbicide Contamination </w:t>
      </w:r>
      <w:r w:rsidR="004B1C13">
        <w:rPr>
          <w:rFonts w:ascii="Arial" w:hAnsi="Arial" w:cs="Arial"/>
          <w:b/>
          <w:bCs/>
          <w:sz w:val="36"/>
          <w:szCs w:val="36"/>
          <w:lang w:val="en-GB"/>
        </w:rPr>
        <w:t>of</w:t>
      </w:r>
      <w:r w:rsidRPr="0002115B">
        <w:rPr>
          <w:rFonts w:ascii="Arial" w:hAnsi="Arial" w:cs="Arial"/>
          <w:b/>
          <w:bCs/>
          <w:sz w:val="36"/>
          <w:szCs w:val="36"/>
          <w:lang w:val="en-GB"/>
        </w:rPr>
        <w:t xml:space="preserve"> Surface Waters: Levels, Compliance, and Risks in Cereal-Growing Areas of Western Burkina Faso</w:t>
      </w:r>
    </w:p>
    <w:p w14:paraId="58331911" w14:textId="77777777" w:rsidR="002A0F6E" w:rsidRDefault="002A0F6E" w:rsidP="0002115B">
      <w:pPr>
        <w:spacing w:before="120" w:after="120" w:line="240" w:lineRule="auto"/>
        <w:jc w:val="right"/>
        <w:rPr>
          <w:rFonts w:ascii="Arial" w:hAnsi="Arial" w:cs="Arial"/>
          <w:b/>
          <w:bCs/>
          <w:i/>
          <w:iCs/>
          <w:sz w:val="24"/>
          <w:szCs w:val="24"/>
          <w:lang w:val="en-GB"/>
        </w:rPr>
      </w:pPr>
    </w:p>
    <w:p w14:paraId="6B895BC8" w14:textId="2E1E6711" w:rsidR="00B61E02" w:rsidRPr="009D11D9" w:rsidRDefault="00B61E02" w:rsidP="00A66776">
      <w:pPr>
        <w:spacing w:before="120" w:after="120" w:line="240" w:lineRule="auto"/>
        <w:jc w:val="right"/>
        <w:rPr>
          <w:rFonts w:ascii="Arial" w:hAnsi="Arial" w:cs="Arial"/>
          <w:sz w:val="20"/>
          <w:szCs w:val="20"/>
          <w:lang w:val="en-GB"/>
        </w:rPr>
      </w:pPr>
    </w:p>
    <w:p w14:paraId="5662B3A9" w14:textId="23EE6274" w:rsidR="00AB2FCD" w:rsidRPr="009C2C56" w:rsidRDefault="009D77BA" w:rsidP="009C2C56">
      <w:pPr>
        <w:spacing w:before="120" w:after="120" w:line="240" w:lineRule="auto"/>
        <w:rPr>
          <w:rFonts w:ascii="Arial" w:hAnsi="Arial" w:cs="Arial"/>
          <w:b/>
          <w:bCs/>
          <w:lang w:val="en-GB"/>
        </w:rPr>
      </w:pPr>
      <w:r w:rsidRPr="009C2C56">
        <w:rPr>
          <w:rFonts w:ascii="Arial" w:hAnsi="Arial" w:cs="Arial"/>
          <w:b/>
          <w:bCs/>
          <w:lang w:val="en-GB"/>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436D8A" w:rsidRPr="002D4C9F" w14:paraId="17EA3908" w14:textId="77777777" w:rsidTr="002302E3">
        <w:tc>
          <w:tcPr>
            <w:tcW w:w="9062" w:type="dxa"/>
            <w:shd w:val="clear" w:color="auto" w:fill="F2F2F2"/>
          </w:tcPr>
          <w:p w14:paraId="0F96A36D" w14:textId="77777777"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Aims:</w:t>
            </w:r>
            <w:r w:rsidRPr="002302E3">
              <w:rPr>
                <w:rFonts w:ascii="Arial" w:eastAsia="Calibri" w:hAnsi="Arial" w:cs="Arial"/>
                <w:lang w:val="en-GB"/>
              </w:rPr>
              <w:t xml:space="preserve"> This study aimed to assess the level of contamination of surface waters by herbicides used in cereal-growing areas of western Burkina Faso, and to evaluate the compliance of measured concentrations with international guideline values, as well as the associated environmental and potential health risks.</w:t>
            </w:r>
          </w:p>
          <w:p w14:paraId="2108573A" w14:textId="77777777"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Study Design:</w:t>
            </w:r>
            <w:r w:rsidRPr="002302E3">
              <w:rPr>
                <w:rFonts w:ascii="Arial" w:eastAsia="Calibri" w:hAnsi="Arial" w:cs="Arial"/>
                <w:lang w:val="en-GB"/>
              </w:rPr>
              <w:t xml:space="preserve"> Cross-sectional field study combining spatially distributed sampling of surface waters with multi-residue chemical analysis of selected herbicides.</w:t>
            </w:r>
          </w:p>
          <w:p w14:paraId="5807229D" w14:textId="77777777"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Place and Duration of Study:</w:t>
            </w:r>
            <w:r w:rsidRPr="002302E3">
              <w:rPr>
                <w:rFonts w:ascii="Arial" w:eastAsia="Calibri" w:hAnsi="Arial" w:cs="Arial"/>
                <w:lang w:val="en-GB"/>
              </w:rPr>
              <w:t xml:space="preserve"> The study was carried out in twelve localities located in four regions of western Burkina Faso (</w:t>
            </w:r>
            <w:proofErr w:type="spellStart"/>
            <w:r w:rsidRPr="002302E3">
              <w:rPr>
                <w:rFonts w:ascii="Arial" w:eastAsia="Calibri" w:hAnsi="Arial" w:cs="Arial"/>
                <w:lang w:val="en-GB"/>
              </w:rPr>
              <w:t>Hauts-Bassins</w:t>
            </w:r>
            <w:proofErr w:type="spellEnd"/>
            <w:r w:rsidRPr="002302E3">
              <w:rPr>
                <w:rFonts w:ascii="Arial" w:eastAsia="Calibri" w:hAnsi="Arial" w:cs="Arial"/>
                <w:lang w:val="en-GB"/>
              </w:rPr>
              <w:t xml:space="preserve">, Boucle du </w:t>
            </w:r>
            <w:proofErr w:type="spellStart"/>
            <w:r w:rsidRPr="002302E3">
              <w:rPr>
                <w:rFonts w:ascii="Arial" w:eastAsia="Calibri" w:hAnsi="Arial" w:cs="Arial"/>
                <w:lang w:val="en-GB"/>
              </w:rPr>
              <w:t>Mouhoun</w:t>
            </w:r>
            <w:proofErr w:type="spellEnd"/>
            <w:r w:rsidRPr="002302E3">
              <w:rPr>
                <w:rFonts w:ascii="Arial" w:eastAsia="Calibri" w:hAnsi="Arial" w:cs="Arial"/>
                <w:lang w:val="en-GB"/>
              </w:rPr>
              <w:t>, Sud-Ouest and Cascades). Two sampling campaigns were conducted in August and November 2020, and herbicide analyses were performed at the National Agency for Food, Environmental, Occupational and Health Product Safety (ANSSEAT), Ouagadougou, Burkina Faso.</w:t>
            </w:r>
          </w:p>
          <w:p w14:paraId="24C7B302" w14:textId="77777777"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Methodology:</w:t>
            </w:r>
            <w:r w:rsidRPr="002302E3">
              <w:rPr>
                <w:rFonts w:ascii="Arial" w:eastAsia="Calibri" w:hAnsi="Arial" w:cs="Arial"/>
                <w:lang w:val="en-GB"/>
              </w:rPr>
              <w:t xml:space="preserve"> In each locality, five cereal fields were selected. Surface water samples were collected inside fields or within approximately 100 m of the fields, in small water bodies directly influenced by agricultural practices. Water samples from each field were combined to obtain a composite sample, and, at the locality scale, field composites were again homogenised to produce a single composite sample per locality and per sampling phase. Thirteen herbicidal active ingredients were selected from a previously documented list of 25 molecules commonly used in cereal production. Residues were extracted using an adapted </w:t>
            </w:r>
            <w:proofErr w:type="spellStart"/>
            <w:r w:rsidRPr="002302E3">
              <w:rPr>
                <w:rFonts w:ascii="Arial" w:eastAsia="Calibri" w:hAnsi="Arial" w:cs="Arial"/>
                <w:lang w:val="en-GB"/>
              </w:rPr>
              <w:t>QuEChERS</w:t>
            </w:r>
            <w:proofErr w:type="spellEnd"/>
            <w:r w:rsidRPr="002302E3">
              <w:rPr>
                <w:rFonts w:ascii="Arial" w:eastAsia="Calibri" w:hAnsi="Arial" w:cs="Arial"/>
                <w:lang w:val="en-GB"/>
              </w:rPr>
              <w:t xml:space="preserve"> method, purified, concentrated and quantified by high-performance liquid chromatography with UV detection (HPLC–UV). Measured concentrations were compared with guideline values from the World Health Organization (WHO) and maximum admissible concentrations defined in the European Drinking Water Directive 2020/2184.</w:t>
            </w:r>
          </w:p>
          <w:p w14:paraId="1C2B22A1" w14:textId="77777777"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Results:</w:t>
            </w:r>
            <w:r w:rsidRPr="002302E3">
              <w:rPr>
                <w:rFonts w:ascii="Arial" w:eastAsia="Calibri" w:hAnsi="Arial" w:cs="Arial"/>
                <w:lang w:val="en-GB"/>
              </w:rPr>
              <w:t xml:space="preserve"> Herbicide residues were detected in most localities during both sampling periods, revealing widespread contamination of surface waters. In phase 1, corresponding to the peak period of herbicide use, almost all targeted substances were detected, with concentrations ranging from 0.013 µg/L for atrazine (Dano) to 1484.90 µg/L for </w:t>
            </w:r>
            <w:proofErr w:type="spellStart"/>
            <w:r w:rsidRPr="002302E3">
              <w:rPr>
                <w:rFonts w:ascii="Arial" w:eastAsia="Calibri" w:hAnsi="Arial" w:cs="Arial"/>
                <w:lang w:val="en-GB"/>
              </w:rPr>
              <w:t>nicosulfuron</w:t>
            </w:r>
            <w:proofErr w:type="spellEnd"/>
            <w:r w:rsidRPr="002302E3">
              <w:rPr>
                <w:rFonts w:ascii="Arial" w:eastAsia="Calibri" w:hAnsi="Arial" w:cs="Arial"/>
                <w:lang w:val="en-GB"/>
              </w:rPr>
              <w:t xml:space="preserve"> (</w:t>
            </w:r>
            <w:proofErr w:type="spellStart"/>
            <w:r w:rsidRPr="002302E3">
              <w:rPr>
                <w:rFonts w:ascii="Arial" w:eastAsia="Calibri" w:hAnsi="Arial" w:cs="Arial"/>
                <w:lang w:val="en-GB"/>
              </w:rPr>
              <w:t>Safané</w:t>
            </w:r>
            <w:proofErr w:type="spellEnd"/>
            <w:r w:rsidRPr="002302E3">
              <w:rPr>
                <w:rFonts w:ascii="Arial" w:eastAsia="Calibri" w:hAnsi="Arial" w:cs="Arial"/>
                <w:lang w:val="en-GB"/>
              </w:rPr>
              <w:t xml:space="preserve">). In phase 2, conducted at the end of the rainy season, concentrations varied from 0.0103 µg/L for metolachlor (Douna) to 1531.68 µg/L for </w:t>
            </w:r>
            <w:proofErr w:type="spellStart"/>
            <w:r w:rsidRPr="002302E3">
              <w:rPr>
                <w:rFonts w:ascii="Arial" w:eastAsia="Calibri" w:hAnsi="Arial" w:cs="Arial"/>
                <w:lang w:val="en-GB"/>
              </w:rPr>
              <w:t>mesotrione</w:t>
            </w:r>
            <w:proofErr w:type="spellEnd"/>
            <w:r w:rsidRPr="002302E3">
              <w:rPr>
                <w:rFonts w:ascii="Arial" w:eastAsia="Calibri" w:hAnsi="Arial" w:cs="Arial"/>
                <w:lang w:val="en-GB"/>
              </w:rPr>
              <w:t xml:space="preserve"> (</w:t>
            </w:r>
            <w:proofErr w:type="spellStart"/>
            <w:r w:rsidRPr="002302E3">
              <w:rPr>
                <w:rFonts w:ascii="Arial" w:eastAsia="Calibri" w:hAnsi="Arial" w:cs="Arial"/>
                <w:lang w:val="en-GB"/>
              </w:rPr>
              <w:t>Kankalaba</w:t>
            </w:r>
            <w:proofErr w:type="spellEnd"/>
            <w:r w:rsidRPr="002302E3">
              <w:rPr>
                <w:rFonts w:ascii="Arial" w:eastAsia="Calibri" w:hAnsi="Arial" w:cs="Arial"/>
                <w:lang w:val="en-GB"/>
              </w:rPr>
              <w:t xml:space="preserve">). Between phases, some molecules (such as atrazine, </w:t>
            </w:r>
            <w:proofErr w:type="spellStart"/>
            <w:r w:rsidRPr="002302E3">
              <w:rPr>
                <w:rFonts w:ascii="Arial" w:eastAsia="Calibri" w:hAnsi="Arial" w:cs="Arial"/>
                <w:lang w:val="en-GB"/>
              </w:rPr>
              <w:t>bensulfuron</w:t>
            </w:r>
            <w:proofErr w:type="spellEnd"/>
            <w:r w:rsidRPr="002302E3">
              <w:rPr>
                <w:rFonts w:ascii="Arial" w:eastAsia="Calibri" w:hAnsi="Arial" w:cs="Arial"/>
                <w:lang w:val="en-GB"/>
              </w:rPr>
              <w:t xml:space="preserve">-methyl and </w:t>
            </w:r>
            <w:proofErr w:type="spellStart"/>
            <w:r w:rsidRPr="002302E3">
              <w:rPr>
                <w:rFonts w:ascii="Arial" w:eastAsia="Calibri" w:hAnsi="Arial" w:cs="Arial"/>
                <w:lang w:val="en-GB"/>
              </w:rPr>
              <w:t>haloxyfop</w:t>
            </w:r>
            <w:proofErr w:type="spellEnd"/>
            <w:r w:rsidRPr="002302E3">
              <w:rPr>
                <w:rFonts w:ascii="Arial" w:eastAsia="Calibri" w:hAnsi="Arial" w:cs="Arial"/>
                <w:lang w:val="en-GB"/>
              </w:rPr>
              <w:t>-R-methyl) disappeared, while others, including terbuthylazine, showed marked increases, and metolachlor, absent in phase 1, appeared in several localities in phase 2. For more than 90% of the measurements, individual herbicide concentrations exceeded the European limit of 0.1 µg/L for a single pesticide in drinking water, and several concentrations also surpassed WHO guideline values, indicating a high ecotoxicological risk for aquatic organisms and raising concerns for rural populations using untreated surface waters.</w:t>
            </w:r>
          </w:p>
          <w:p w14:paraId="7026B492" w14:textId="0AAC7C36" w:rsidR="00436D8A"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Conclusion:</w:t>
            </w:r>
            <w:r w:rsidRPr="002302E3">
              <w:rPr>
                <w:rFonts w:ascii="Arial" w:eastAsia="Calibri" w:hAnsi="Arial" w:cs="Arial"/>
                <w:lang w:val="en-GB"/>
              </w:rPr>
              <w:t xml:space="preserve"> Surface waters in cereal-growing areas of western Burkina Faso are heavily and persistently contaminated by herbicides, with concentrations frequently exceeding international guideline values. These findings underline the urgent need to strengthen water quality monitoring, to promote integrated and more rational pesticide management, and to raise awareness among farmers and local communities about the risks associated with herbicide misuse in cereal-based agroecosystems.</w:t>
            </w:r>
          </w:p>
        </w:tc>
      </w:tr>
    </w:tbl>
    <w:p w14:paraId="654A9D6E" w14:textId="77777777" w:rsidR="002302E3" w:rsidRDefault="002302E3" w:rsidP="002302E3">
      <w:pPr>
        <w:pStyle w:val="Body"/>
        <w:spacing w:after="0"/>
        <w:rPr>
          <w:rFonts w:ascii="Arial" w:eastAsia="Calibri" w:hAnsi="Arial" w:cs="Arial"/>
          <w:b/>
          <w:bCs/>
          <w:lang w:val="en-GB"/>
        </w:rPr>
      </w:pPr>
    </w:p>
    <w:p w14:paraId="1625CFC1" w14:textId="439FD211"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lang w:val="en-GB"/>
        </w:rPr>
        <w:t>Keywords: herbicides; cereal crops; surface water contamination; ecotoxicological risk; Burkina Faso</w:t>
      </w:r>
    </w:p>
    <w:p w14:paraId="2E611952"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1. INTRODUCTION</w:t>
      </w:r>
    </w:p>
    <w:p w14:paraId="4CC21F2E" w14:textId="667D2372" w:rsidR="0073550A" w:rsidRPr="0073550A" w:rsidRDefault="0073550A" w:rsidP="00CD5B9B">
      <w:pPr>
        <w:spacing w:after="0" w:line="240" w:lineRule="auto"/>
        <w:jc w:val="both"/>
        <w:rPr>
          <w:rFonts w:ascii="Arial" w:hAnsi="Arial" w:cs="Arial"/>
          <w:sz w:val="20"/>
          <w:szCs w:val="20"/>
          <w:lang w:val="en-GB"/>
        </w:rPr>
      </w:pPr>
      <w:r w:rsidRPr="0073550A">
        <w:rPr>
          <w:rFonts w:ascii="Arial" w:hAnsi="Arial" w:cs="Arial"/>
          <w:sz w:val="20"/>
          <w:szCs w:val="20"/>
          <w:lang w:val="en-GB"/>
        </w:rPr>
        <w:t xml:space="preserve">In the cereal-growing areas of western Burkina Faso, the massive use of herbicides for weed control has become a common practice. Most of these products are applied directly to the soil and represent </w:t>
      </w:r>
      <w:r w:rsidRPr="0073550A">
        <w:rPr>
          <w:rFonts w:ascii="Arial" w:hAnsi="Arial" w:cs="Arial"/>
          <w:sz w:val="20"/>
          <w:szCs w:val="20"/>
          <w:lang w:val="en-GB"/>
        </w:rPr>
        <w:lastRenderedPageBreak/>
        <w:t xml:space="preserve">the class of pesticides most widely used in intensive agriculture. While they contribute to securing yields and reducing labour constraints, their excessive and often inappropriate use raises increasing concern about their impacts on the environment and human </w:t>
      </w:r>
      <w:r w:rsidRPr="00FC5676">
        <w:rPr>
          <w:rFonts w:ascii="Arial" w:hAnsi="Arial" w:cs="Arial"/>
          <w:sz w:val="20"/>
          <w:szCs w:val="20"/>
          <w:lang w:val="en-GB"/>
        </w:rPr>
        <w:t xml:space="preserve">health </w:t>
      </w:r>
      <w:r w:rsidR="00E10940" w:rsidRPr="00FC5676">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{"citationID":"al2p210aod","properties":{"formattedCitation":"\\uldash{(Ba\\uc0\\u263{}maga et al., 2024; De Souza et al., 2020)}","plainCitation":"(Baćmaga et al., 2024; De Souza et al., 2020)","dontUpdate":true,"noteIndex":0},"citationItems":[{"id":2914,"uris":["http://zotero.org/users/5723659/items/DJ6W3VFG"],"itemData":{"id":2914,"type":"article-journal","container-title":"Process Safety and Environmental Protection","DOI":"10.1016/j.psep.2019.12.035","ISSN":"09575820","journalAbbreviation":"Process Safety and Environmental Protection","language":"en","page":"22-37","source":"DOI.org (Crossref)","title":"Occurrence, impacts and general aspects of pesticides in surface water: A review","title-short":"Occurrence, impacts and general aspects of pesticides in surface water","volume":"135","author":[{"family":"De Souza","given":"Renata Mariane"},{"family":"Seibert","given":"Daiana"},{"family":"Quesada","given":"Heloise Beatriz"},{"family":"De Jesus Bassetti","given":"Fátima"},{"family":"Fagundes-Klen","given":"Márcia Regina"},{"family":"Bergamasco","given":"Rosângela"}],"issued":{"date-parts":[["2020"]]}}},{"id":2919,"uris":["http://zotero.org/users/5723659/items/CQPSVYV7"],"itemData":{"id":2919,"type":"article-journal","abstract":"One of the guiding principles of the sustainable use of herbicides is their targeted action exclusively against weeds, consisting of blocking photosynthesis and synthesis of amino acids and growth regulators. Herbicides are major elements of plant production, indispensable to the functioning of modern agriculture. Nevertheless, their influence on all elements of the natural environment needs to be continuously controlled. This review article summarizes research addressing the effects of herbicides on the natural environment and the changes they trigger therein. Herbicides, applied to protect crops against weed infestation, are usually mixtures of various active substances; hence, it is generally difficult to analyze their impact on the environment and organisms. Nonetheless, an attempt was made in this review to discuss the effects of selected herbicides on individual elements of the natural environment (water, soil, and air) and organisms (humans, animals, plants, and microorganisms). In addition, the article presents examples of the biodegradation of selected herbicides and mechanisms of their degradation by bacteria and fungi. Based on this information, it can be concluded that the uncontrolled use of herbicides has led to adverse effects on non-target organisms, as documented in the scientific literature. However, further research on the environmental effects of these chemicals is needed address the missing knowledge on this subject.","container-title":"Molecules","DOI":"10.3390/molecules29245965","ISSN":"1420-3049","issue":"24","journalAbbreviation":"Molecules","language":"en","license":"https://creativecommons.org/licenses/by/4.0/","page":"5965","source":"DOI.org (Crossref)","title":"Environmental Implication of Herbicide Use","volume":"29","author":[{"family":"Baćmaga","given":"Małgorzata"},{"family":"Wyszkowska","given":"Jadwiga"},{"family":"Kucharski","given":"Jan"}],"issued":{"date-parts":[["2024"]]}}}],"schema":"https://github.com/citation-style-language/schema/raw/master/csl-citation.json"} </w:instrText>
      </w:r>
      <w:r w:rsidR="00E10940" w:rsidRPr="00FC5676">
        <w:rPr>
          <w:rFonts w:ascii="Arial" w:hAnsi="Arial" w:cs="Arial"/>
          <w:sz w:val="20"/>
          <w:szCs w:val="20"/>
          <w:lang w:val="en-GB"/>
        </w:rPr>
        <w:fldChar w:fldCharType="separate"/>
      </w:r>
      <w:r w:rsidR="001F50E5" w:rsidRPr="00FC5676">
        <w:rPr>
          <w:rFonts w:ascii="Arial" w:hAnsi="Arial" w:cs="Arial"/>
          <w:sz w:val="20"/>
          <w:lang w:val="en-GB"/>
        </w:rPr>
        <w:t>(</w:t>
      </w:r>
      <w:r w:rsidR="00FC5676" w:rsidRPr="00FC5676">
        <w:rPr>
          <w:rFonts w:ascii="Arial" w:hAnsi="Arial" w:cs="Arial"/>
          <w:sz w:val="20"/>
          <w:lang w:val="en-GB"/>
        </w:rPr>
        <w:t xml:space="preserve">De Souza et al., 2020; </w:t>
      </w:r>
      <w:r w:rsidR="001F50E5" w:rsidRPr="00FC5676">
        <w:rPr>
          <w:rFonts w:ascii="Arial" w:hAnsi="Arial" w:cs="Arial"/>
          <w:sz w:val="20"/>
          <w:lang w:val="en-GB"/>
        </w:rPr>
        <w:t>Baćmaga et al., 2024)</w:t>
      </w:r>
      <w:r w:rsidR="00E10940" w:rsidRPr="00FC5676">
        <w:rPr>
          <w:rFonts w:ascii="Arial" w:hAnsi="Arial" w:cs="Arial"/>
          <w:sz w:val="20"/>
          <w:szCs w:val="20"/>
          <w:lang w:val="en-GB"/>
        </w:rPr>
        <w:fldChar w:fldCharType="end"/>
      </w:r>
      <w:r w:rsidRPr="0073550A">
        <w:rPr>
          <w:rFonts w:ascii="Arial" w:hAnsi="Arial" w:cs="Arial"/>
          <w:sz w:val="20"/>
          <w:szCs w:val="20"/>
          <w:lang w:val="en-GB"/>
        </w:rPr>
        <w:t>.</w:t>
      </w:r>
      <w:r w:rsidR="00CD5B9B">
        <w:rPr>
          <w:rFonts w:ascii="Arial" w:hAnsi="Arial" w:cs="Arial"/>
          <w:sz w:val="20"/>
          <w:szCs w:val="20"/>
          <w:lang w:val="en-GB"/>
        </w:rPr>
        <w:t xml:space="preserve"> </w:t>
      </w:r>
      <w:r w:rsidRPr="0073550A">
        <w:rPr>
          <w:rFonts w:ascii="Arial" w:hAnsi="Arial" w:cs="Arial"/>
          <w:sz w:val="20"/>
          <w:szCs w:val="20"/>
          <w:lang w:val="en-GB"/>
        </w:rPr>
        <w:t xml:space="preserve">The intensification of herbicide </w:t>
      </w:r>
      <w:r w:rsidR="007F54A0">
        <w:rPr>
          <w:rFonts w:ascii="Arial" w:hAnsi="Arial" w:cs="Arial"/>
          <w:sz w:val="20"/>
          <w:szCs w:val="20"/>
          <w:lang w:val="en-GB"/>
        </w:rPr>
        <w:t>used</w:t>
      </w:r>
      <w:r w:rsidRPr="0073550A">
        <w:rPr>
          <w:rFonts w:ascii="Arial" w:hAnsi="Arial" w:cs="Arial"/>
          <w:sz w:val="20"/>
          <w:szCs w:val="20"/>
          <w:lang w:val="en-GB"/>
        </w:rPr>
        <w:t>, combined with the emergence of weeds</w:t>
      </w:r>
      <w:r w:rsidR="007F54A0">
        <w:rPr>
          <w:rFonts w:ascii="Arial" w:hAnsi="Arial" w:cs="Arial"/>
          <w:sz w:val="20"/>
          <w:szCs w:val="20"/>
          <w:lang w:val="en-GB"/>
        </w:rPr>
        <w:t xml:space="preserve"> resistant to them</w:t>
      </w:r>
      <w:r w:rsidRPr="0073550A">
        <w:rPr>
          <w:rFonts w:ascii="Arial" w:hAnsi="Arial" w:cs="Arial"/>
          <w:sz w:val="20"/>
          <w:szCs w:val="20"/>
          <w:lang w:val="en-GB"/>
        </w:rPr>
        <w:t xml:space="preserve">, often leads to increased application rates and a higher number of treatments per season, thereby amplifying pressure on agroecosystems </w:t>
      </w:r>
      <w:r w:rsidR="00E10940">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{"citationID":"whYkgrsl","properties":{"formattedCitation":"(Ghanizadeh &amp; Harrington, 2021; Moss et al., 2019)","plainCitation":"(Ghanizadeh &amp; Harrington, 2021; Moss et al., 2019)","dontUpdate":true,"noteIndex":0},"citationItems":[{"id":2954,"uris":["http://zotero.org/users/5723659/items/4DSD8X7D"],"itemData":{"id":2954,"type":"article-journal","container-title":"Crop Protection","DOI":"10.1016/j.cropro.2018.09.005","ISSN":"02612194","journalAbbreviation":"Crop Protection","language":"en","page":"13-19","source":"DOI.org (Crossref)","title":"A herbicide resistance risk matrix","volume":"115","author":[{"family":"Moss","given":"Stephen"},{"family":"Ulber","given":"Lena"},{"family":"Hoed","given":"Ingrid Den"}],"issued":{"date-parts":[["2019"]]}}},{"id":2912,"uris":["http://zotero.org/users/5723659/items/ZEE4GRGT"],"itemData":{"id":2912,"type":"article-journal","container-title":"New Zealand Journal of Agricultural Research","DOI":"10.1080/00288233.2019.1705863","ISSN":"0028-8233, 1175-8775","issue":"4","journalAbbreviation":"New Zealand Journal of Agricultural Research","language":"en","page":"471-482","source":"DOI.org (Crossref)","title":"Herbicide resistant weeds in New Zealand: state of knowledge","title-short":"Herbicide resistant weeds in New Zealand","volume":"64","author":[{"family":"Ghanizadeh","given":"Hossein"},{"family":"Harrington","given":"Kerry C."}],"issued":{"date-parts":[["2021"]]}}}],"schema":"https://github.com/citation-style-language/schema/raw/master/csl-citation.json"} </w:instrText>
      </w:r>
      <w:r w:rsidR="00E10940">
        <w:rPr>
          <w:rFonts w:ascii="Arial" w:hAnsi="Arial" w:cs="Arial"/>
          <w:sz w:val="20"/>
          <w:szCs w:val="20"/>
          <w:lang w:val="en-GB"/>
        </w:rPr>
        <w:fldChar w:fldCharType="separate"/>
      </w:r>
      <w:r w:rsidR="000E707F" w:rsidRPr="000E707F">
        <w:rPr>
          <w:rFonts w:ascii="Arial" w:hAnsi="Arial" w:cs="Arial"/>
          <w:sz w:val="20"/>
          <w:lang w:val="en-GB"/>
        </w:rPr>
        <w:t>(</w:t>
      </w:r>
      <w:r w:rsidR="00FC5676" w:rsidRPr="000E707F">
        <w:rPr>
          <w:rFonts w:ascii="Arial" w:hAnsi="Arial" w:cs="Arial"/>
          <w:sz w:val="20"/>
          <w:lang w:val="en-GB"/>
        </w:rPr>
        <w:t>Moss et al., 2019</w:t>
      </w:r>
      <w:r w:rsidR="00FC5676">
        <w:rPr>
          <w:rFonts w:ascii="Arial" w:hAnsi="Arial" w:cs="Arial"/>
          <w:sz w:val="20"/>
          <w:lang w:val="en-GB"/>
        </w:rPr>
        <w:t xml:space="preserve">; </w:t>
      </w:r>
      <w:r w:rsidR="000E707F" w:rsidRPr="000E707F">
        <w:rPr>
          <w:rFonts w:ascii="Arial" w:hAnsi="Arial" w:cs="Arial"/>
          <w:sz w:val="20"/>
          <w:lang w:val="en-GB"/>
        </w:rPr>
        <w:t>Ghanizadeh &amp; Harrington, 2021)</w:t>
      </w:r>
      <w:r w:rsidR="00E10940">
        <w:rPr>
          <w:rFonts w:ascii="Arial" w:hAnsi="Arial" w:cs="Arial"/>
          <w:sz w:val="20"/>
          <w:szCs w:val="20"/>
          <w:lang w:val="en-GB"/>
        </w:rPr>
        <w:fldChar w:fldCharType="end"/>
      </w:r>
      <w:r w:rsidRPr="0073550A">
        <w:rPr>
          <w:rFonts w:ascii="Arial" w:hAnsi="Arial" w:cs="Arial"/>
          <w:sz w:val="20"/>
          <w:szCs w:val="20"/>
          <w:lang w:val="en-GB"/>
        </w:rPr>
        <w:t xml:space="preserve">. This pressure is expressed through contamination of soils and waters, especially small </w:t>
      </w:r>
      <w:r w:rsidR="007F54A0">
        <w:rPr>
          <w:rFonts w:ascii="Arial" w:hAnsi="Arial" w:cs="Arial"/>
          <w:sz w:val="20"/>
          <w:szCs w:val="20"/>
          <w:lang w:val="en-GB"/>
        </w:rPr>
        <w:t xml:space="preserve">bodies of </w:t>
      </w:r>
      <w:r w:rsidRPr="0073550A">
        <w:rPr>
          <w:rFonts w:ascii="Arial" w:hAnsi="Arial" w:cs="Arial"/>
          <w:sz w:val="20"/>
          <w:szCs w:val="20"/>
          <w:lang w:val="en-GB"/>
        </w:rPr>
        <w:t xml:space="preserve">water that play a central role in agricultural landscapes and in domestic uses by rural communities </w:t>
      </w:r>
      <w:r w:rsidR="00E10940">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{"citationID":"Me2sW8sf","properties":{"formattedCitation":"(De Souza et al., 2020)","plainCitation":"(De Souza et al., 2020)","noteIndex":0},"citationItems":[{"id":2914,"uris":["http://zotero.org/users/5723659/items/DJ6W3VFG"],"itemData":{"id":2914,"type":"article-journal","container-title":"Process Safety and Environmental Protection","DOI":"10.1016/j.psep.2019.12.035","ISSN":"09575820","journalAbbreviation":"Process Safety and Environmental Protection","language":"en","page":"22-37","source":"DOI.org (Crossref)","title":"Occurrence, impacts and general aspects of pesticides in surface water: A review","title-short":"Occurrence, impacts and general aspects of pesticides in surface water","volume":"135","author":[{"family":"De Souza","given":"Renata Mariane"},{"family":"Seibert","given":"Daiana"},{"family":"Quesada","given":"Heloise Beatriz"},{"family":"De Jesus Bassetti","given":"Fátima"},{"family":"Fagundes-Klen","given":"Márcia Regina"},{"family":"Bergamasco","given":"Rosângela"}],"issued":{"date-parts":[["2020"]]}}}],"schema":"https://github.com/citation-style-language/schema/raw/master/csl-citation.json"} </w:instrText>
      </w:r>
      <w:r w:rsidR="00E10940">
        <w:rPr>
          <w:rFonts w:ascii="Arial" w:hAnsi="Arial" w:cs="Arial"/>
          <w:sz w:val="20"/>
          <w:szCs w:val="20"/>
          <w:lang w:val="en-GB"/>
        </w:rPr>
        <w:fldChar w:fldCharType="separate"/>
      </w:r>
      <w:r w:rsidR="000E707F" w:rsidRPr="000E707F">
        <w:rPr>
          <w:rFonts w:ascii="Arial" w:hAnsi="Arial" w:cs="Arial"/>
          <w:sz w:val="20"/>
          <w:lang w:val="en-GB"/>
        </w:rPr>
        <w:t>(De Souza et al., 2020)</w:t>
      </w:r>
      <w:r w:rsidR="00E10940">
        <w:rPr>
          <w:rFonts w:ascii="Arial" w:hAnsi="Arial" w:cs="Arial"/>
          <w:sz w:val="20"/>
          <w:szCs w:val="20"/>
          <w:lang w:val="en-GB"/>
        </w:rPr>
        <w:fldChar w:fldCharType="end"/>
      </w:r>
      <w:r w:rsidRPr="0073550A">
        <w:rPr>
          <w:rFonts w:ascii="Arial" w:hAnsi="Arial" w:cs="Arial"/>
          <w:sz w:val="20"/>
          <w:szCs w:val="20"/>
          <w:lang w:val="en-GB"/>
        </w:rPr>
        <w:t xml:space="preserve">. Herbicide residues may persist, be transported over long distances and accumulate in environmental compartments, thus contributing to chronic exposure of non-target organisms. In addition, the role of agricultural pesticides, including herbicides, in selecting resistance in disease vectors has been documented in several contexts </w:t>
      </w:r>
      <w:r w:rsidR="004135E9">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{"citationID":"cUpwrIKx","properties":{"formattedCitation":"(Namountougou et al., 2019; Sadia et al., 2024; Urio et al., 2022)","plainCitation":"(Namountougou et al., 2019; Sadia et al., 2024; Urio et al., 2022)","dontUpdate":true,"noteIndex":0},"citationItems":[{"id":2904,"uris":["http://zotero.org/users/5723659/items/ZQ7BHT2W"],"itemData":{"id":2904,"type":"article-journal","container-title":"Acta Tropica","DOI":"10.1016/j.actatropica.2019.105054","ISSN":"0001706X","journalAbbreviation":"Acta Tropica","language":"en","page":"105054","source":"DOI.org (Crossref)","title":"Insecticide resistance mechanisms in Anopheles gambiae complex populations from Burkina Faso, West Africa","volume":"197","author":[{"family":"Namountougou","given":"Moussa"},{"family":"Soma","given":"Dieudonné Diloma"},{"family":"Kientega","given":"Mahamadi"},{"family":"Balboné","given":"Mahamoudou"},{"family":"Kaboré","given":"Didier P. Alexandre"},{"family":"Drabo","given":"Samuel Fogné"},{"family":"Coulibaly","given":"Ahmed Y."},{"family":"Fournet","given":"Florence"},{"family":"Baldet","given":"Thierry"},{"family":"Diabaté","given":"Abdoulaye"},{"family":"Dabiré","given":"Roch Kounbobr"},{"family":"Gnankiné","given":"Olivier"}],"issued":{"date-parts":[["2019"]]}}},{"id":2922,"uris":["http://zotero.org/users/5723659/items/Q5AQ99DD"],"itemData":{"id":2922,"type":"article-journal","abstract":"Abstract\n            \n              Background\n              Agricultural pesticides may exert strong selection pressures on malaria vectors during the aquatic life stages and may contribute to resistance in adult mosquitoes. This could reduce the performance of key vector control interventions such as indoor-residual spraying and insecticide-treated nets. The aim of this study was to investigate effects of agrochemicals on susceptibility and fitness of the malaria vectors across farming areas in Tanzania.\n            \n            \n              Methods\n              \n                An exploratory mixed-methods study was conducted to assess pesticide use in four villages (V1–V4) in south-eastern Tanzania.\n                Anopheles\n                 \n                gambiae\n                (s.l.) larvae were collected from agricultural fields in the same villages and their emergent adults examined for insecticide susceptibility, egg-laying and wing lengths (as proxy for body size). These tests were repeated using two groups of laboratory-reared \n                An. arabiensis\n                , one of which was pre-exposed for 48 h to sub-lethal aquatic doses of agricultural pesticides found in the villages.\n              \n            \n            \n              Results\n              Farmers lacked awareness about the linkages between the public health and agriculture sectors but were interested in being more informed. Agrochemical usage was reported as extensive in V1, V2 and V3 but minimal in V4. Similarly, mosquitoes from V1 to V3 but not V4 were resistant to pyrethroids and either pirimiphos-methyl or bendiocarb, or both. Adding the synergist piperonyl butoxide restored potency of the pyrethroids. Pre-exposure of laboratory-reared mosquitoes to pesticides during aquatic stages did not affect insecticide susceptibility in emergent adults of the same filial generation. There was also no effect on fecundity, except after pre-exposure to organophosphates, which were associated with fewer eggs and smaller mosquitoes. Wild mosquitoes were smaller than laboratory-reared ones, but fecundity was similar.\n            \n            \n              Conclusions\n              Safeguarding the potential of insecticide-based interventions requires improved understanding of how agricultural pesticides influence important life cycle processes and transmission potential of mosquito vectors. In this study, susceptibility of mosquitoes to public health insecticides was lower in villages reporting frequent use of pesticides compared to villages with little or no pesticide use. Variations in the fitness parameters, fecundity and wing length marginally reflected the differences in exposure to agrochemicals and should be investigated further. Pesticide use may exert additional life cycle constraints on mosquito vectors, but this likely occurs after multi-generational exposures.\n            \n            \n              Graphical Abstract","container-title":"Parasites &amp; Vectors","DOI":"10.1186/s13071-022-05318-3","ISSN":"1756-3305","issue":"1","journalAbbreviation":"Parasites Vectors","language":"en","page":"213","source":"DOI.org (Crossref)","title":"Effects of agricultural pesticides on the susceptibility and fitness of malaria vectors in rural south-eastern Tanzania","volume":"15","author":[{"family":"Urio","given":"Naomi H."},{"family":"Pinda","given":"Polius G."},{"family":"Ngonzi","given":"Amos J."},{"family":"Muyaga","given":"Letus L."},{"family":"Msugupakulya","given":"Betwel J."},{"family":"Finda","given":"Marceline"},{"family":"Matanila","given":"Godfrey S."},{"family":"Mponzi","given":"Winifrida"},{"family":"Ngowo","given":"Halfan S."},{"family":"Kahamba","given":"Najat F."},{"family":"Nkya","given":"Theresia E."},{"family":"Okumu","given":"Fredros O."}],"issued":{"date-parts":[["2022"]]}}},{"id":2924,"uris":["http://zotero.org/users/5723659/items/7RV3J2TH"],"itemData":{"id":2924,"type":"article-journal","abstract":"Abstract\n            \n              Background\n              \n                There are several indications that pesticides used in agriculture contribute to the emergence and spread of resistance of mosquitoes to vector control insecticides. However, the impact of such an indirect selection pressure has rarely been quantified and the molecular mechanisms involved are still poorly characterized. In this context, experimental selection with different agrochemical mixtures was conducted in\n                Anopheles gambiae\n                . The multi-generational impact of agrochemicals on insecticide resistance was evaluated by phenotypic and molecular approaches.\n              \n            \n            \n              Methods\n              \n                Mosquito larvae were selected for 30 generations with three different agrochemical mixtures containing (i) insecticides, (ii) non-insecticides compounds, and (iii) both insecticide and non-insecticide compounds. Every five generations, the resistance of adults to deltamethrin and bendiocarb was monitored using bioassays. The frequencies of the\n                kdr\n                (L995F) and\n                ace1\n                (G119S) target-site mutations were monitored every 10 generations. RNAseq was performed on all lines at generation 30 in order to identify gene transcription level variations and polymorphisms associated with each selection regime.\n              \n            \n            \n              Results\n              \n                Larval selection with agrochemical mixtures did not affect bendiocarb resistance and did not select for\n                ace1\n                mutation. Contrastingly, an increased deltamethrin resistance was observed in the three selected lines. Such increased resistance was not majorly associated with the presence of\n                kdr\n                L995F mutation in selected lines. RNA-seq identified 63 candidate resistance genes over-transcribed in at least one selected line. These include genes coding for detoxification enzymes or cuticular proteins previously associated with insecticide resistance, and other genes potentially associated with chemical stress response. Combining an allele frequency filtering with a Bayesian FST-based genome scan allowed to identify genes under selection across multiple genomic loci, supporting a multigenic adaptive response to agrochemical mixtures.\n              \n            \n            \n              Conclusion\n              \n                This study supports the role of agrochemical contaminants as a significant larval selection pressure favouring insecticide resistance in malaria vectors. Such selection pressures likely impact\n                kdr\n                mutations and detoxification enzymes, but also more generalist mechanisms such as cuticle resistance, which could potentially lead to cross-tolerance to unrelated insecticide compounds. Such indirect effect of global landscape pollution on mosquito resistance to public health insecticides deserves further attention since it can affect the nature and dynamics of resistance alleles circulating in malaria vectors and impact the efficacy of control vector strategies.","container-title":"Malaria Journal","DOI":"10.1186/s12936-023-04791-0","ISSN":"1475-2875","issue":"1","journalAbbreviation":"Malar J","language":"en","page":"69","source":"DOI.org (Crossref)","title":"The impact of agrochemical pollutant mixtures on the selection of insecticide resistance in the malaria vector Anopheles gambiae: insights from experimental evolution and transcriptomics","title-short":"The impact of agrochemical pollutant mixtures on the selection of insecticide resistance in the malaria vector Anopheles gambiae","volume":"23","author":[{"family":"Sadia","given":"Christabelle G."},{"family":"Bonneville","given":"Jean-Marc"},{"family":"Zoh","given":"Marius G."},{"family":"Fodjo","given":"Behi K."},{"family":"Kouadio","given":"France-Paraudie A."},{"family":"Oyou","given":"Sebastien K."},{"family":"Koudou","given":"Benjamin G."},{"family":"Adepo-Gourene","given":"Beatrice A."},{"family":"Reynaud","given":"Stephane"},{"family":"David","given":"Jean-Philippe"},{"family":"Mouahamadou","given":"Chouaibou S."}],"issued":{"date-parts":[["2024"]]}}}],"schema":"https://github.com/citation-style-language/schema/raw/master/csl-citation.json"}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 xml:space="preserve">(Namountougou et al., 2019; </w:t>
      </w:r>
      <w:r w:rsidR="00FC5676" w:rsidRPr="000E707F">
        <w:rPr>
          <w:rFonts w:ascii="Arial" w:hAnsi="Arial" w:cs="Arial"/>
          <w:sz w:val="20"/>
          <w:lang w:val="en-GB"/>
        </w:rPr>
        <w:t>Urio et al., 2022</w:t>
      </w:r>
      <w:r w:rsidR="00FC5676">
        <w:rPr>
          <w:rFonts w:ascii="Arial" w:hAnsi="Arial" w:cs="Arial"/>
          <w:sz w:val="20"/>
          <w:lang w:val="en-GB"/>
        </w:rPr>
        <w:t xml:space="preserve">; </w:t>
      </w:r>
      <w:r w:rsidR="000E707F" w:rsidRPr="000E707F">
        <w:rPr>
          <w:rFonts w:ascii="Arial" w:hAnsi="Arial" w:cs="Arial"/>
          <w:sz w:val="20"/>
          <w:lang w:val="en-GB"/>
        </w:rPr>
        <w:t>Sadia et al., 2024)</w:t>
      </w:r>
      <w:r w:rsidR="004135E9">
        <w:rPr>
          <w:rFonts w:ascii="Arial" w:hAnsi="Arial" w:cs="Arial"/>
          <w:sz w:val="20"/>
          <w:szCs w:val="20"/>
          <w:lang w:val="en-GB"/>
        </w:rPr>
        <w:fldChar w:fldCharType="end"/>
      </w:r>
      <w:r w:rsidRPr="0073550A">
        <w:rPr>
          <w:rFonts w:ascii="Arial" w:hAnsi="Arial" w:cs="Arial"/>
          <w:sz w:val="20"/>
          <w:szCs w:val="20"/>
          <w:lang w:val="en-GB"/>
        </w:rPr>
        <w:t>, highlighting the broader implications of diffuse pesticide pollution.</w:t>
      </w:r>
      <w:r w:rsidR="00CD5B9B">
        <w:rPr>
          <w:rFonts w:ascii="Arial" w:hAnsi="Arial" w:cs="Arial"/>
          <w:sz w:val="20"/>
          <w:szCs w:val="20"/>
          <w:lang w:val="en-GB"/>
        </w:rPr>
        <w:t xml:space="preserve"> </w:t>
      </w:r>
      <w:r w:rsidRPr="0073550A">
        <w:rPr>
          <w:rFonts w:ascii="Arial" w:hAnsi="Arial" w:cs="Arial"/>
          <w:sz w:val="20"/>
          <w:szCs w:val="20"/>
          <w:lang w:val="en-GB"/>
        </w:rPr>
        <w:t xml:space="preserve">At the global scale, numerous studies have reported the presence of herbicide residues in aquatic environments, often at concentrations above ecotoxicological thresholds </w:t>
      </w:r>
      <w:r w:rsidR="004135E9">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{"citationID":"K9OPiLnO","properties":{"formattedCitation":"(Schwientek et al., 2024; Stackpoole et al., 2021)","plainCitation":"(Schwientek et al., 2024; Stackpoole et al., 2021)","dontUpdate":true,"noteIndex":0},"citationItems":[{"id":2902,"uris":["http://zotero.org/users/5723659/items/IHH8DK8W"],"itemData":{"id":2902,"type":"article-journal","container-title":"Science of The Total Environment","DOI":"10.1016/j.scitotenv.2021.147147","ISSN":"00489697","journalAbbreviation":"Science of The Total Environment","language":"en","page":"147147","source":"DOI.org (Crossref)","title":"Pesticides in US Rivers: Regional differences in use, occurrence, and environmental toxicity, 2013 to 2017","title-short":"Pesticides in US Rivers","volume":"787","author":[{"family":"Stackpoole","given":"Sarah M."},{"family":"Shoda","given":"Megan E."},{"family":"Medalie","given":"Laura"},{"family":"Stone","given":"Wesley W."}],"issued":{"date-parts":[["2021"]]}}},{"id":2956,"uris":["http://zotero.org/users/5723659/items/ZZ2UNMPH"],"itemData":{"id":2956,"type":"article-journal","container-title":"Water Research","DOI":"10.1016/j.watres.2024.122140","ISSN":"00431354","journalAbbreviation":"Water Research","language":"en","page":"122140","source":"DOI.org (Crossref)","title":"Glyphosate contamination in European rivers not from herbicide application?","volume":"263","author":[{"family":"Schwientek","given":"M."},{"family":"Rügner","given":"H."},{"family":"Haderlein","given":"S.B."},{"family":"Schulz","given":"W."},{"family":"Wimmer","given":"B."},{"family":"Engelbart","given":"L."},{"family":"Bieger","given":"S."},{"family":"Huhn","given":"C."}],"issued":{"date-parts":[["2024"]]}}}],"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w:t>
      </w:r>
      <w:r w:rsidR="00C93B6D" w:rsidRPr="00C93B6D">
        <w:rPr>
          <w:rFonts w:ascii="Arial" w:hAnsi="Arial" w:cs="Arial"/>
          <w:sz w:val="20"/>
          <w:lang w:val="en-GB"/>
        </w:rPr>
        <w:t xml:space="preserve"> </w:t>
      </w:r>
      <w:r w:rsidR="00C93B6D" w:rsidRPr="000E707F">
        <w:rPr>
          <w:rFonts w:ascii="Arial" w:hAnsi="Arial" w:cs="Arial"/>
          <w:sz w:val="20"/>
          <w:lang w:val="en-GB"/>
        </w:rPr>
        <w:t>Stackpoole et al., 2021</w:t>
      </w:r>
      <w:r w:rsidR="00C93B6D">
        <w:rPr>
          <w:rFonts w:ascii="Arial" w:hAnsi="Arial" w:cs="Arial"/>
          <w:sz w:val="20"/>
          <w:lang w:val="en-GB"/>
        </w:rPr>
        <w:t xml:space="preserve">; </w:t>
      </w:r>
      <w:r w:rsidR="000E707F" w:rsidRPr="000E707F">
        <w:rPr>
          <w:rFonts w:ascii="Arial" w:hAnsi="Arial" w:cs="Arial"/>
          <w:sz w:val="20"/>
          <w:lang w:val="en-GB"/>
        </w:rPr>
        <w:t>Schwientek et al., 2024)</w:t>
      </w:r>
      <w:r w:rsidR="004135E9">
        <w:rPr>
          <w:rFonts w:ascii="Arial" w:hAnsi="Arial" w:cs="Arial"/>
          <w:sz w:val="20"/>
          <w:szCs w:val="20"/>
          <w:lang w:val="en-GB"/>
        </w:rPr>
        <w:fldChar w:fldCharType="end"/>
      </w:r>
      <w:r w:rsidRPr="0073550A">
        <w:rPr>
          <w:rFonts w:ascii="Arial" w:hAnsi="Arial" w:cs="Arial"/>
          <w:sz w:val="20"/>
          <w:szCs w:val="20"/>
          <w:lang w:val="en-GB"/>
        </w:rPr>
        <w:t xml:space="preserve">. Small bodies </w:t>
      </w:r>
      <w:r w:rsidR="007F54A0">
        <w:rPr>
          <w:rFonts w:ascii="Arial" w:hAnsi="Arial" w:cs="Arial"/>
          <w:sz w:val="20"/>
          <w:szCs w:val="20"/>
          <w:lang w:val="en-GB"/>
        </w:rPr>
        <w:t xml:space="preserve">of </w:t>
      </w:r>
      <w:r w:rsidR="007F54A0" w:rsidRPr="0073550A">
        <w:rPr>
          <w:rFonts w:ascii="Arial" w:hAnsi="Arial" w:cs="Arial"/>
          <w:sz w:val="20"/>
          <w:szCs w:val="20"/>
          <w:lang w:val="en-GB"/>
        </w:rPr>
        <w:t xml:space="preserve">water </w:t>
      </w:r>
      <w:r w:rsidRPr="0073550A">
        <w:rPr>
          <w:rFonts w:ascii="Arial" w:hAnsi="Arial" w:cs="Arial"/>
          <w:sz w:val="20"/>
          <w:szCs w:val="20"/>
          <w:lang w:val="en-GB"/>
        </w:rPr>
        <w:t xml:space="preserve">such as ponds, reservoirs and drainage channels are particularly vulnerable because of their low dilution capacity and their strong exposure to runoff and drift from surrounding fields </w:t>
      </w:r>
      <w:r w:rsidR="004135E9">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{"citationID":"JTT9AWUF","properties":{"formattedCitation":"(Lorenz et al., 2025)","plainCitation":"(Lorenz et al., 2025)","noteIndex":0},"citationItems":[{"id":2926,"uris":["http://zotero.org/users/5723659/items/C6PA75MH"],"itemData":{"id":2926,"type":"article-journal","container-title":"Science of The Total Environment","DOI":"10.1016/j.scitotenv.2025.179250","ISSN":"00489697","journalAbbreviation":"Science of The Total Environment","language":"en","page":"179250","source":"DOI.org (Crossref)","title":"Pesticide contamination of small standing water bodies in the agricultural landscape of northeast Germany","volume":"975","author":[{"family":"Lorenz","given":"Stefan"},{"family":"Trau","given":"Fee Nanett"},{"family":"Ruf","given":"Lena C."},{"family":"Meinikmann","given":"Karin"},{"family":"Fisch","given":"Kathrin"},{"family":"Stähler","given":"Matthias"},{"family":"Schenke","given":"Detlef"},{"family":"Blevins","given":"Holly Lyon"},{"family":"Heinz","given":"Marlen"}],"issued":{"date-parts":[["2025"]]}}}],"schema":"https://github.com/citation-style-language/schema/raw/master/csl-citation.json"}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(Lorenz et al., 2025)</w:t>
      </w:r>
      <w:r w:rsidR="004135E9">
        <w:rPr>
          <w:rFonts w:ascii="Arial" w:hAnsi="Arial" w:cs="Arial"/>
          <w:sz w:val="20"/>
          <w:szCs w:val="20"/>
          <w:lang w:val="en-GB"/>
        </w:rPr>
        <w:fldChar w:fldCharType="end"/>
      </w:r>
      <w:r w:rsidRPr="0073550A">
        <w:rPr>
          <w:rFonts w:ascii="Arial" w:hAnsi="Arial" w:cs="Arial"/>
          <w:sz w:val="20"/>
          <w:szCs w:val="20"/>
          <w:lang w:val="en-GB"/>
        </w:rPr>
        <w:t xml:space="preserve">. Contamination of these ecosystems can disrupt aquatic food webs, alter reproduction and growth of sensitive species and, in some cases, favour the emergence of biological resistance in target or non-target organisms </w:t>
      </w:r>
      <w:r w:rsidR="004135E9">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{"citationID":"R0umtxNF","properties":{"formattedCitation":"(Pinheiro et al., 2023)","plainCitation":"(Pinheiro et al., 2023)","noteIndex":0},"citationItems":[{"id":2903,"uris":["http://zotero.org/users/5723659/items/GMIT896L"],"itemData":{"id":2903,"type":"article-journal","container-title":"Environmental Science and Pollution Research","DOI":"10.1007/s11356-023-30198-0","ISSN":"1614-7499","issue":"52","journalAbbreviation":"Environ Sci Pollut Res","language":"en","page":"111850-111870","source":"DOI.org (Crossref)","title":"Herbicides may threaten advances in biological control of diseases and pests","volume":"30","author":[{"family":"Pinheiro","given":"Rodrigo Almeida"},{"family":"Duque","given":"Tayna Sousa"},{"family":"Barroso","given":"Gabriela Madureira"},{"family":"Soares","given":"Marcus Alvarenga"},{"family":"Cabral","given":"Cassia Michelle"},{"family":"Zanuncio","given":"José Cola"},{"family":"Dos Santos","given":"José Barbosa"}],"issued":{"date-parts":[["2023"]]}}}],"schema":"https://github.com/citation-style-language/schema/raw/master/csl-citation.json"}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(Pinheiro et al., 2023)</w:t>
      </w:r>
      <w:r w:rsidR="004135E9">
        <w:rPr>
          <w:rFonts w:ascii="Arial" w:hAnsi="Arial" w:cs="Arial"/>
          <w:sz w:val="20"/>
          <w:szCs w:val="20"/>
          <w:lang w:val="en-GB"/>
        </w:rPr>
        <w:fldChar w:fldCharType="end"/>
      </w:r>
      <w:r w:rsidRPr="0073550A">
        <w:rPr>
          <w:rFonts w:ascii="Arial" w:hAnsi="Arial" w:cs="Arial"/>
          <w:sz w:val="20"/>
          <w:szCs w:val="20"/>
          <w:lang w:val="en-GB"/>
        </w:rPr>
        <w:t>.</w:t>
      </w:r>
    </w:p>
    <w:p w14:paraId="17843C3D" w14:textId="37F02AAE" w:rsidR="0073550A" w:rsidRPr="00DF13DF" w:rsidRDefault="0073550A" w:rsidP="00CD5B9B">
      <w:pPr>
        <w:spacing w:after="0" w:line="240" w:lineRule="auto"/>
        <w:jc w:val="both"/>
        <w:rPr>
          <w:rFonts w:ascii="Arial" w:hAnsi="Arial" w:cs="Arial"/>
          <w:sz w:val="20"/>
          <w:szCs w:val="20"/>
          <w:lang w:val="en-GB"/>
        </w:rPr>
      </w:pPr>
      <w:r w:rsidRPr="0073550A">
        <w:rPr>
          <w:rFonts w:ascii="Arial" w:hAnsi="Arial" w:cs="Arial"/>
          <w:sz w:val="20"/>
          <w:szCs w:val="20"/>
          <w:lang w:val="en-GB"/>
        </w:rPr>
        <w:t xml:space="preserve">In West Africa, and Burkina Faso in particular, several studies have confirmed the recurrent presence of pesticides such as glyphosate, chlorpyrifos and dieldrin in surface waters, sometimes at concentrations exceeding maximum residue limits or environmental quality standards </w:t>
      </w:r>
      <w:r w:rsidR="004135E9">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{"citationID":"354HL4Hy","properties":{"formattedCitation":"(Lehmann et al., 2017; S\\uc0\\u233{}r\\uc0\\u233{} et al., 2025)","plainCitation":"(Lehmann et al., 2017; Séré et al., 2025)","noteIndex":0},"citationItems":[{"id":2960,"uris":["http://zotero.org/users/5723659/items/ZTB8ELLW"],"itemData":{"id":2960,"type":"article-journal","container-title":"Science of The Total Environment","DOI":"10.1016/j.scitotenv.2017.05.285","ISSN":"00489697","journalAbbreviation":"Science of The Total Environment","language":"en","page":"1208-1216","source":"DOI.org (Crossref)","title":"Dietary risk assessment of pesticides from vegetables and drinking water in gardening areas in Burkina Faso","volume":"601-602","author":[{"family":"Lehmann","given":"Edouard"},{"family":"Turrero","given":"Nuria"},{"family":"Kolia","given":"Marius"},{"family":"Konaté","given":"Yacouba"},{"family":"De Alencastro","given":"Luiz Felippe"}],"issued":{"date-parts":[["2017"]]}}},{"id":2946,"uris":["http://zotero.org/users/5723659/items/7EJTTUQA"],"itemData":{"id":2946,"type":"article-journal","container-title":"Revue Africaine d’Environnement et d’Agriculture Durable","issue":"1","page":"45-56","title":"Contamination des eaux de surface par les pesticides dans la région de Bama (Burkina Faso)","volume":"12","author":[{"family":"Séré","given":"G"},{"family":"Sawadogo","given":"R"},{"family":"Nacoulma","given":"BMI"}],"issued":{"date-parts":[["2025"]]}}}],"schema":"https://github.com/citation-style-language/schema/raw/master/csl-citation.json"}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(Lehmann et al., 2017; Séré et al., 2025)</w:t>
      </w:r>
      <w:r w:rsidR="004135E9">
        <w:rPr>
          <w:rFonts w:ascii="Arial" w:hAnsi="Arial" w:cs="Arial"/>
          <w:sz w:val="20"/>
          <w:szCs w:val="20"/>
          <w:lang w:val="en-GB"/>
        </w:rPr>
        <w:fldChar w:fldCharType="end"/>
      </w:r>
      <w:r w:rsidRPr="0073550A">
        <w:rPr>
          <w:rFonts w:ascii="Arial" w:hAnsi="Arial" w:cs="Arial"/>
          <w:sz w:val="20"/>
          <w:szCs w:val="20"/>
          <w:lang w:val="en-GB"/>
        </w:rPr>
        <w:t xml:space="preserve">. In the Bama </w:t>
      </w:r>
      <w:r w:rsidR="00DF34C4">
        <w:rPr>
          <w:rFonts w:ascii="Arial" w:hAnsi="Arial" w:cs="Arial"/>
          <w:sz w:val="20"/>
          <w:szCs w:val="20"/>
          <w:lang w:val="en-GB"/>
        </w:rPr>
        <w:t>locality</w:t>
      </w:r>
      <w:r w:rsidRPr="0073550A">
        <w:rPr>
          <w:rFonts w:ascii="Arial" w:hAnsi="Arial" w:cs="Arial"/>
          <w:sz w:val="20"/>
          <w:szCs w:val="20"/>
          <w:lang w:val="en-GB"/>
        </w:rPr>
        <w:t xml:space="preserve">, contamination levels reported in local water bodies exceed environmental safety thresholds, with consequences both for human health and for aquatic biodiversity </w:t>
      </w:r>
      <w:r w:rsidR="004135E9">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{"citationID":"CN4XZzJh","properties":{"formattedCitation":"(S\\uc0\\u233{}r\\uc0\\u233{} et al., 2025)","plainCitation":"(Séré et al., 2025)","noteIndex":0},"citationItems":[{"id":2946,"uris":["http://zotero.org/users/5723659/items/7EJTTUQA"],"itemData":{"id":2946,"type":"article-journal","container-title":"Revue Africaine d’Environnement et d’Agriculture Durable","issue":"1","page":"45-56","title":"Contamination des eaux de surface par les pesticides dans la région de Bama (Burkina Faso)","volume":"12","author":[{"family":"Séré","given":"G"},{"family":"Sawadogo","given":"R"},{"family":"Nacoulma","given":"BMI"}],"issued":{"date-parts":[["2025"]]}}}],"schema":"https://github.com/citation-style-language/schema/raw/master/csl-citation.json"}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(Séré et al., 2025)</w:t>
      </w:r>
      <w:r w:rsidR="004135E9">
        <w:rPr>
          <w:rFonts w:ascii="Arial" w:hAnsi="Arial" w:cs="Arial"/>
          <w:sz w:val="20"/>
          <w:szCs w:val="20"/>
          <w:lang w:val="en-GB"/>
        </w:rPr>
        <w:fldChar w:fldCharType="end"/>
      </w:r>
      <w:r w:rsidRPr="0073550A">
        <w:rPr>
          <w:rFonts w:ascii="Arial" w:hAnsi="Arial" w:cs="Arial"/>
          <w:sz w:val="20"/>
          <w:szCs w:val="20"/>
          <w:lang w:val="en-GB"/>
        </w:rPr>
        <w:t xml:space="preserve">. However, few investigations have focused specifically on large cereal production areas, where application conditions and proximity of fields to water bodies favour diffuse and persistent pollution. Depending on the physicochemical properties of the molecules and the characteristics of soils and landscapes, it has been estimated that up to 99.7% of applied herbicides may reach the environment </w:t>
      </w:r>
      <w:r w:rsidR="004135E9">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{"citationID":"RHDFTJ0R","properties":{"formattedCitation":"(Leu et al., 2004; van der Werf, 1997)","plainCitation":"(Leu et al., 2004; van der Werf, 1997)","dontUpdate":true,"noteIndex":0},"citationItems":[{"id":2949,"uris":["http://zotero.org/users/5723659/items/KQDN6ZSN"],"itemData":{"id":2949,"type":"article-journal","container-title":"Courrier de l’environnement de l’INRA","issue":"31","page":"5–22","title":"Evaluer l'impact des pesticides sur l'environnement","author":[{"family":"Werf","given":"HMG","non-dropping-particle":"van der"}],"issued":{"date-parts":[["1997"]]}}},{"id":2907,"uris":["http://zotero.org/users/5723659/items/4NKV3H9L"],"itemData":{"id":2907,"type":"article-journal","container-title":"Environmental Science &amp; Technology","DOI":"10.1021/es0499602","ISSN":"0013-936X, 1520-5851","issue":"14","journalAbbreviation":"Environ. Sci. Technol.","language":"en","page":"3827-3834","source":"DOI.org (Crossref)","title":"Simultaneous Assessment of Sources, Processes, and Factors Influencing Herbicide Losses to Surface Waters in a Small Agricultural Catchment","volume":"38","author":[{"family":"Leu","given":"Christian"},{"family":"Singer","given":"Heinz"},{"family":"Stamm","given":"Christian"},{"family":"Müller","given":"Stephan R."},{"family":"Schwarzenbach","given":"René P."}],"issued":{"date-parts":[["2004"]]}}}],"schema":"https://github.com/citation-style-language/schema/raw/master/csl-citation.json"}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w:t>
      </w:r>
      <w:r w:rsidR="00C93B6D" w:rsidRPr="000E707F">
        <w:rPr>
          <w:rFonts w:ascii="Arial" w:hAnsi="Arial" w:cs="Arial"/>
          <w:sz w:val="20"/>
          <w:lang w:val="en-GB"/>
        </w:rPr>
        <w:t>van der Werf, 1997</w:t>
      </w:r>
      <w:r w:rsidR="00C93B6D">
        <w:rPr>
          <w:rFonts w:ascii="Arial" w:hAnsi="Arial" w:cs="Arial"/>
          <w:sz w:val="20"/>
          <w:lang w:val="en-GB"/>
        </w:rPr>
        <w:t xml:space="preserve">; </w:t>
      </w:r>
      <w:r w:rsidR="000E707F" w:rsidRPr="000E707F">
        <w:rPr>
          <w:rFonts w:ascii="Arial" w:hAnsi="Arial" w:cs="Arial"/>
          <w:sz w:val="20"/>
          <w:lang w:val="en-GB"/>
        </w:rPr>
        <w:t>Leu et al., 2004)</w:t>
      </w:r>
      <w:r w:rsidR="004135E9">
        <w:rPr>
          <w:rFonts w:ascii="Arial" w:hAnsi="Arial" w:cs="Arial"/>
          <w:sz w:val="20"/>
          <w:szCs w:val="20"/>
          <w:lang w:val="en-GB"/>
        </w:rPr>
        <w:fldChar w:fldCharType="end"/>
      </w:r>
      <w:r w:rsidRPr="0073550A">
        <w:rPr>
          <w:rFonts w:ascii="Arial" w:hAnsi="Arial" w:cs="Arial"/>
          <w:sz w:val="20"/>
          <w:szCs w:val="20"/>
          <w:lang w:val="en-GB"/>
        </w:rPr>
        <w:t>.</w:t>
      </w:r>
      <w:r w:rsidR="00CD5B9B">
        <w:rPr>
          <w:rFonts w:ascii="Arial" w:hAnsi="Arial" w:cs="Arial"/>
          <w:sz w:val="20"/>
          <w:szCs w:val="20"/>
          <w:lang w:val="en-GB"/>
        </w:rPr>
        <w:t xml:space="preserve"> </w:t>
      </w:r>
      <w:r w:rsidRPr="0073550A">
        <w:rPr>
          <w:rFonts w:ascii="Arial" w:hAnsi="Arial" w:cs="Arial"/>
          <w:sz w:val="20"/>
          <w:szCs w:val="20"/>
          <w:lang w:val="en-GB"/>
        </w:rPr>
        <w:t xml:space="preserve">In the context of Burkina Faso, such contamination raises both environmental and socio-economic challenges. Surface waters are widely used for irrigation, livestock watering and, in some cases, human consumption, directly exposing rural populations to hazards associated with pesticide residues </w:t>
      </w:r>
      <w:r w:rsidR="0005399C">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{"citationID":"6NJEQGKO","properties":{"formattedCitation":"(Elfikrie et al., 2020)","plainCitation":"(Elfikrie et al., 2020)","noteIndex":0},"citationItems":[{"id":2913,"uris":["http://zotero.org/users/5723659/items/9HPPTTF3"],"itemData":{"id":2913,"type":"article-journal","container-title":"Science of The Total Environment","DOI":"10.1016/j.scitotenv.2020.136540","ISSN":"00489697","journalAbbreviation":"Science of The Total Environment","language":"en","page":"136540","source":"DOI.org (Crossref)","title":"Occurrence of pesticides in surface water, pesticides removal efficiency in drinking water treatment plant and potential health risk to consumers in Tengi River Basin, Malaysia","volume":"712","author":[{"family":"Elfikrie","given":"Nurulizani"},{"family":"Ho","given":"Yu Bin"},{"family":"Zaidon","given":"Siti Zulfa"},{"family":"Juahir","given":"Hafizan"},{"family":"Tan","given":"Eugenie Sin Sing"}],"issued":{"date-parts":[["2020"]]}}}],"schema":"https://github.com/citation-style-language/schema/raw/master/csl-citation.json"} </w:instrText>
      </w:r>
      <w:r w:rsidR="0005399C">
        <w:rPr>
          <w:rFonts w:ascii="Arial" w:hAnsi="Arial" w:cs="Arial"/>
          <w:sz w:val="20"/>
          <w:szCs w:val="20"/>
          <w:lang w:val="en-GB"/>
        </w:rPr>
        <w:fldChar w:fldCharType="separate"/>
      </w:r>
      <w:r w:rsidR="000E707F" w:rsidRPr="000E707F">
        <w:rPr>
          <w:rFonts w:ascii="Arial" w:hAnsi="Arial" w:cs="Arial"/>
          <w:sz w:val="20"/>
          <w:lang w:val="en-GB"/>
        </w:rPr>
        <w:t>(Elfikrie et al., 2020)</w:t>
      </w:r>
      <w:r w:rsidR="0005399C">
        <w:rPr>
          <w:rFonts w:ascii="Arial" w:hAnsi="Arial" w:cs="Arial"/>
          <w:sz w:val="20"/>
          <w:szCs w:val="20"/>
          <w:lang w:val="en-GB"/>
        </w:rPr>
        <w:fldChar w:fldCharType="end"/>
      </w:r>
      <w:r w:rsidRPr="0073550A">
        <w:rPr>
          <w:rFonts w:ascii="Arial" w:hAnsi="Arial" w:cs="Arial"/>
          <w:sz w:val="20"/>
          <w:szCs w:val="20"/>
          <w:lang w:val="en-GB"/>
        </w:rPr>
        <w:t xml:space="preserve">. Degradation of water quality may also affect fisheries, livestock and related agricultural activities, thereby threatening the livelihoods of local communities </w:t>
      </w:r>
      <w:r w:rsidR="0005399C">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{"citationID":"rdYVIKsk","properties":{"formattedCitation":"(Ba\\uc0\\u263{}maga et al., 2024; Bayili et al., 2019)","plainCitation":"(Baćmaga et al., 2024; Bayili et al., 2019)","dontUpdate":true,"noteIndex":0},"citationItems":[{"id":2915,"uris":["http://zotero.org/users/5723659/items/FD3BI3Z5"],"itemData":{"id":2915,"type":"article-journal","container-title":"Journal of Experimental Biology and Agricultural Sciences","DOI":"10.18006/2019.7(6).554.568","ISSN":"23208694","issue":"6","journalAbbreviation":"JEBAS","page":"554-568","source":"DOI.org (Crossref)","title":"Characterization of pesticides and practices of cotton producers and pesticides sellers in the cotton zone of Bala’s Hippopotamus Pond Biosphere of Burkina Faso","volume":"7","author":[{"family":"Bayili","given":"Bazoma"},{"family":"Ouedraogo","given":"Richard"},{"family":"Ilboudo","given":"Sylvain"},{"family":"Pooda","given":"Lamine"},{"family":"Bonkoungou","given":"Macaire"},{"family":"Bationo","given":"Jean Fidèle"},{"family":"Ouedraogo","given":"Jean Bosco"},{"family":"Ouedraogo","given":"Georges Anicet"}],"issued":{"date-parts":[["2019"]]}}},{"id":2919,"uris":["http://zotero.org/users/5723659/items/CQPSVYV7"],"itemData":{"id":2919,"type":"article-journal","abstract":"One of the guiding principles of the sustainable use of herbicides is their targeted action exclusively against weeds, consisting of blocking photosynthesis and synthesis of amino acids and growth regulators. Herbicides are major elements of plant production, indispensable to the functioning of modern agriculture. Nevertheless, their influence on all elements of the natural environment needs to be continuously controlled. This review article summarizes research addressing the effects of herbicides on the natural environment and the changes they trigger therein. Herbicides, applied to protect crops against weed infestation, are usually mixtures of various active substances; hence, it is generally difficult to analyze their impact on the environment and organisms. Nonetheless, an attempt was made in this review to discuss the effects of selected herbicides on individual elements of the natural environment (water, soil, and air) and organisms (humans, animals, plants, and microorganisms). In addition, the article presents examples of the biodegradation of selected herbicides and mechanisms of their degradation by bacteria and fungi. Based on this information, it can be concluded that the uncontrolled use of herbicides has led to adverse effects on non-target organisms, as documented in the scientific literature. However, further research on the environmental effects of these chemicals is needed address the missing knowledge on this subject.","container-title":"Molecules","DOI":"10.3390/molecules29245965","ISSN":"1420-3049","issue":"24","journalAbbreviation":"Molecules","language":"en","license":"https://creativecommons.org/licenses/by/4.0/","page":"5965","source":"DOI.org (Crossref)","title":"Environmental Implication of Herbicide Use","volume":"29","author":[{"family":"Baćmaga","given":"Małgorzata"},{"family":"Wyszkowska","given":"Jadwiga"},{"family":"Kucharski","given":"Jan"}],"issued":{"date-parts":[["2024"]]}}}],"schema":"https://github.com/citation-style-language/schema/raw/master/csl-citation.json"} </w:instrText>
      </w:r>
      <w:r w:rsidR="0005399C">
        <w:rPr>
          <w:rFonts w:ascii="Arial" w:hAnsi="Arial" w:cs="Arial"/>
          <w:sz w:val="20"/>
          <w:szCs w:val="20"/>
          <w:lang w:val="en-GB"/>
        </w:rPr>
        <w:fldChar w:fldCharType="separate"/>
      </w:r>
      <w:r w:rsidR="000E707F" w:rsidRPr="000E707F">
        <w:rPr>
          <w:rFonts w:ascii="Arial" w:hAnsi="Arial" w:cs="Arial"/>
          <w:sz w:val="20"/>
          <w:lang w:val="en-GB"/>
        </w:rPr>
        <w:t>(</w:t>
      </w:r>
      <w:r w:rsidR="00C93B6D" w:rsidRPr="00C93B6D">
        <w:rPr>
          <w:rFonts w:ascii="Arial" w:hAnsi="Arial" w:cs="Arial"/>
          <w:sz w:val="20"/>
          <w:lang w:val="en-GB"/>
        </w:rPr>
        <w:t xml:space="preserve"> </w:t>
      </w:r>
      <w:r w:rsidR="00C93B6D" w:rsidRPr="000E707F">
        <w:rPr>
          <w:rFonts w:ascii="Arial" w:hAnsi="Arial" w:cs="Arial"/>
          <w:sz w:val="20"/>
          <w:lang w:val="en-GB"/>
        </w:rPr>
        <w:t>Bayili et al., 2019</w:t>
      </w:r>
      <w:r w:rsidR="00C93B6D">
        <w:rPr>
          <w:rFonts w:ascii="Arial" w:hAnsi="Arial" w:cs="Arial"/>
          <w:sz w:val="20"/>
          <w:lang w:val="en-GB"/>
        </w:rPr>
        <w:t xml:space="preserve">; </w:t>
      </w:r>
      <w:r w:rsidR="000E707F" w:rsidRPr="000E707F">
        <w:rPr>
          <w:rFonts w:ascii="Arial" w:hAnsi="Arial" w:cs="Arial"/>
          <w:sz w:val="20"/>
          <w:lang w:val="en-GB"/>
        </w:rPr>
        <w:t>Baćmaga et al., 2024)</w:t>
      </w:r>
      <w:r w:rsidR="0005399C">
        <w:rPr>
          <w:rFonts w:ascii="Arial" w:hAnsi="Arial" w:cs="Arial"/>
          <w:sz w:val="20"/>
          <w:szCs w:val="20"/>
          <w:lang w:val="en-GB"/>
        </w:rPr>
        <w:fldChar w:fldCharType="end"/>
      </w:r>
      <w:r w:rsidRPr="00DF13DF">
        <w:rPr>
          <w:rFonts w:ascii="Arial" w:hAnsi="Arial" w:cs="Arial"/>
          <w:sz w:val="20"/>
          <w:szCs w:val="20"/>
          <w:lang w:val="en-GB"/>
        </w:rPr>
        <w:t>.</w:t>
      </w:r>
    </w:p>
    <w:p w14:paraId="435127A2" w14:textId="1D11C833" w:rsidR="0005399C" w:rsidRDefault="0073550A" w:rsidP="00CD5B9B">
      <w:pPr>
        <w:spacing w:after="0" w:line="240" w:lineRule="auto"/>
        <w:jc w:val="both"/>
        <w:rPr>
          <w:rFonts w:ascii="Arial" w:hAnsi="Arial" w:cs="Arial"/>
          <w:sz w:val="20"/>
          <w:szCs w:val="20"/>
          <w:lang w:val="en-GB"/>
        </w:rPr>
      </w:pPr>
      <w:r w:rsidRPr="0073550A">
        <w:rPr>
          <w:rFonts w:ascii="Arial" w:hAnsi="Arial" w:cs="Arial"/>
          <w:sz w:val="20"/>
          <w:szCs w:val="20"/>
          <w:lang w:val="en-GB"/>
        </w:rPr>
        <w:t xml:space="preserve">This study therefore aims to assess the level of herbicide contamination in surface waters within cereal-growing areas of western Burkina Faso. By combining chromatographic analyses of water samples collected during two key periods of the rainy season with comparison to international guideline values, the work seeks to characterise the magnitude of contamination and to identify priority molecules and localities for risk management. The findings are intended to support more sustainable pesticide management policies and </w:t>
      </w:r>
      <w:r w:rsidR="007F54A0">
        <w:rPr>
          <w:rFonts w:ascii="Arial" w:hAnsi="Arial" w:cs="Arial"/>
          <w:sz w:val="20"/>
          <w:szCs w:val="20"/>
          <w:lang w:val="en-GB"/>
        </w:rPr>
        <w:t xml:space="preserve">farmers </w:t>
      </w:r>
      <w:r w:rsidRPr="0073550A">
        <w:rPr>
          <w:rFonts w:ascii="Arial" w:hAnsi="Arial" w:cs="Arial"/>
          <w:sz w:val="20"/>
          <w:szCs w:val="20"/>
          <w:lang w:val="en-GB"/>
        </w:rPr>
        <w:t>practices in these cereal-based agroecosystems.</w:t>
      </w:r>
    </w:p>
    <w:p w14:paraId="00C2C838"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2. MATERIALS AND METHODS</w:t>
      </w:r>
    </w:p>
    <w:p w14:paraId="3027805D"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2.1 Study Area and Setting</w:t>
      </w:r>
    </w:p>
    <w:p w14:paraId="016C7F25" w14:textId="330DF3B4" w:rsidR="0073550A" w:rsidRPr="003F7AB1"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 xml:space="preserve">The study was conducted in four regions of western Burkina Faso: </w:t>
      </w:r>
      <w:proofErr w:type="spellStart"/>
      <w:r w:rsidRPr="0073550A">
        <w:rPr>
          <w:rFonts w:ascii="Arial" w:hAnsi="Arial" w:cs="Arial"/>
          <w:sz w:val="20"/>
          <w:szCs w:val="20"/>
          <w:lang w:val="en-GB"/>
        </w:rPr>
        <w:t>Hauts-Bassins</w:t>
      </w:r>
      <w:proofErr w:type="spellEnd"/>
      <w:r w:rsidRPr="0073550A">
        <w:rPr>
          <w:rFonts w:ascii="Arial" w:hAnsi="Arial" w:cs="Arial"/>
          <w:sz w:val="20"/>
          <w:szCs w:val="20"/>
          <w:lang w:val="en-GB"/>
        </w:rPr>
        <w:t xml:space="preserve">, Boucle du </w:t>
      </w:r>
      <w:proofErr w:type="spellStart"/>
      <w:r w:rsidRPr="0073550A">
        <w:rPr>
          <w:rFonts w:ascii="Arial" w:hAnsi="Arial" w:cs="Arial"/>
          <w:sz w:val="20"/>
          <w:szCs w:val="20"/>
          <w:lang w:val="en-GB"/>
        </w:rPr>
        <w:t>Mouhoun</w:t>
      </w:r>
      <w:proofErr w:type="spellEnd"/>
      <w:r w:rsidRPr="0073550A">
        <w:rPr>
          <w:rFonts w:ascii="Arial" w:hAnsi="Arial" w:cs="Arial"/>
          <w:sz w:val="20"/>
          <w:szCs w:val="20"/>
          <w:lang w:val="en-GB"/>
        </w:rPr>
        <w:t>, Sud-Ouest and Cascades</w:t>
      </w:r>
      <w:r w:rsidR="003F7AB1" w:rsidRPr="003F7AB1">
        <w:rPr>
          <w:rFonts w:ascii="Arial" w:hAnsi="Arial" w:cs="Arial"/>
          <w:sz w:val="20"/>
          <w:szCs w:val="20"/>
          <w:lang w:val="en-GB"/>
        </w:rPr>
        <w:t xml:space="preserve"> </w:t>
      </w:r>
      <w:r w:rsidR="003F7AB1" w:rsidRPr="00EF743B">
        <w:rPr>
          <w:rFonts w:ascii="Arial" w:hAnsi="Arial" w:cs="Arial"/>
          <w:sz w:val="20"/>
          <w:szCs w:val="20"/>
          <w:lang w:val="en-GB"/>
        </w:rPr>
        <w:t>(Fig. 1)</w:t>
      </w:r>
      <w:r w:rsidRPr="00EF743B">
        <w:rPr>
          <w:rFonts w:ascii="Arial" w:hAnsi="Arial" w:cs="Arial"/>
          <w:sz w:val="20"/>
          <w:szCs w:val="20"/>
          <w:lang w:val="en-GB"/>
        </w:rPr>
        <w:t>.</w:t>
      </w:r>
      <w:r w:rsidRPr="0073550A">
        <w:rPr>
          <w:rFonts w:ascii="Arial" w:hAnsi="Arial" w:cs="Arial"/>
          <w:sz w:val="20"/>
          <w:szCs w:val="20"/>
          <w:lang w:val="en-GB"/>
        </w:rPr>
        <w:t xml:space="preserve"> In each of these regions, several cereal-growing localities were selected based on their accessibility, the presence of small </w:t>
      </w:r>
      <w:r w:rsidR="007F54A0">
        <w:rPr>
          <w:rFonts w:ascii="Arial" w:hAnsi="Arial" w:cs="Arial"/>
          <w:sz w:val="20"/>
          <w:szCs w:val="20"/>
          <w:lang w:val="en-GB"/>
        </w:rPr>
        <w:t xml:space="preserve">bodies of </w:t>
      </w:r>
      <w:r w:rsidRPr="0073550A">
        <w:rPr>
          <w:rFonts w:ascii="Arial" w:hAnsi="Arial" w:cs="Arial"/>
          <w:sz w:val="20"/>
          <w:szCs w:val="20"/>
          <w:lang w:val="en-GB"/>
        </w:rPr>
        <w:t>water in or near fields, the importance of cereal-based production systems and the availability of basic logistical facilities. In total, twelve localities were retained for sampling.</w:t>
      </w:r>
      <w:r w:rsidR="003F7AB1">
        <w:rPr>
          <w:rFonts w:ascii="Arial" w:hAnsi="Arial" w:cs="Arial"/>
          <w:sz w:val="20"/>
          <w:szCs w:val="20"/>
          <w:lang w:val="en-GB"/>
        </w:rPr>
        <w:t xml:space="preserve"> </w:t>
      </w:r>
      <w:r w:rsidRPr="0073550A">
        <w:rPr>
          <w:rFonts w:ascii="Arial" w:hAnsi="Arial" w:cs="Arial"/>
          <w:sz w:val="20"/>
          <w:szCs w:val="20"/>
          <w:lang w:val="en-GB"/>
        </w:rPr>
        <w:t>The climate in this part of the country is tropical, with a rainy season roughly from May/June to October and a dry season from November to April. Cereal production (mainly maize, sorghum and millet) is associated with intensive use of pre- and post-emergence herbicides</w:t>
      </w:r>
      <w:r w:rsidR="00E14D26">
        <w:rPr>
          <w:rFonts w:ascii="Arial" w:hAnsi="Arial" w:cs="Arial"/>
          <w:sz w:val="20"/>
          <w:szCs w:val="20"/>
          <w:lang w:val="en-GB"/>
        </w:rPr>
        <w:t xml:space="preserve"> </w:t>
      </w:r>
      <w:r w:rsidR="00E14D26">
        <w:rPr>
          <w:rFonts w:ascii="Arial" w:hAnsi="Arial" w:cs="Arial"/>
          <w:sz w:val="20"/>
          <w:szCs w:val="20"/>
          <w:lang w:val="en-GB"/>
        </w:rPr>
        <w:fldChar w:fldCharType="begin"/>
      </w:r>
      <w:r w:rsidR="00EB05AA">
        <w:rPr>
          <w:rFonts w:ascii="Arial" w:hAnsi="Arial" w:cs="Arial"/>
          <w:sz w:val="20"/>
          <w:szCs w:val="20"/>
          <w:lang w:val="en-GB"/>
        </w:rPr>
        <w:instrText xml:space="preserve"> ADDIN ZOTERO_ITEM CSL_CITATION {"citationID":"LomyewEh","properties":{"formattedCitation":"(Toe et al., 2013)","plainCitation":"(Toe et al., 2013)","noteIndex":0},"citationItems":[{"id":2899,"uris":["http://zotero.org/users/5723659/items/3UHC42I2"],"itemData":{"id":2899,"type":"article-journal","abstract":"ABSTRACT\n            Epidemiologic data related to agricultural pesticide poisoning cases in Burkina Faso were collected. The study was carried out using retrospective (from January 2002 to June 2010) surveys conducted among farmers and healthcare centers. One hundred and fiftythree (153) pest control products were recorded during the survey and 56 active ingredients were identified. Out of the 153 pest control products, 49 (i.e. 32%) were authorized for sale in Burkina Faso. The main risk factors are socio-demographic characteristics of farmers, their low education level, and some attitudes and practices on using agricultural pesticides. Pesticide poisonings are relatively frequent and their management was not always efficacious. Actions are needed to reduce pesticide poisoning as a global public health problem and to improve management of pesticide poisoning. To this purpose, advanced investigations should be carried out over a longer period of time to complement the present pilot study","container-title":"Interdisciplinary Toxicology","DOI":"10.2478/intox-2013-0027","ISSN":"1337-9569, 1337-6853","issue":"4","page":"185-191","source":"DOI.org (Crossref)","title":"Pilot study on agricultural pesticide poisoning in Burkina Faso","volume":"6","author":[{"family":"Toe","given":"Adama M."},{"family":"Ouedraogo","given":"Mustapha"},{"family":"Ouedraogo","given":"Richard"},{"family":"Ilboudo","given":"Sylvain"},{"family":"Guissou","given":"Pierre I."}],"issued":{"date-parts":[["2013"]]}}}],"schema":"https://github.com/citation-style-language/schema/raw/master/csl-citation.json"} </w:instrText>
      </w:r>
      <w:r w:rsidR="00E14D26">
        <w:rPr>
          <w:rFonts w:ascii="Arial" w:hAnsi="Arial" w:cs="Arial"/>
          <w:sz w:val="20"/>
          <w:szCs w:val="20"/>
          <w:lang w:val="en-GB"/>
        </w:rPr>
        <w:fldChar w:fldCharType="separate"/>
      </w:r>
      <w:r w:rsidR="00EB05AA" w:rsidRPr="00EB05AA">
        <w:rPr>
          <w:rFonts w:ascii="Arial" w:hAnsi="Arial" w:cs="Arial"/>
          <w:sz w:val="20"/>
          <w:lang w:val="en-GB"/>
        </w:rPr>
        <w:t>(Toe et al., 2013)</w:t>
      </w:r>
      <w:r w:rsidR="00E14D26">
        <w:rPr>
          <w:rFonts w:ascii="Arial" w:hAnsi="Arial" w:cs="Arial"/>
          <w:sz w:val="20"/>
          <w:szCs w:val="20"/>
          <w:lang w:val="en-GB"/>
        </w:rPr>
        <w:fldChar w:fldCharType="end"/>
      </w:r>
      <w:r w:rsidRPr="0073550A">
        <w:rPr>
          <w:rFonts w:ascii="Arial" w:hAnsi="Arial" w:cs="Arial"/>
          <w:sz w:val="20"/>
          <w:szCs w:val="20"/>
          <w:lang w:val="en-GB"/>
        </w:rPr>
        <w:t xml:space="preserve">. The water resources considered in this study were small </w:t>
      </w:r>
      <w:r w:rsidR="0036731A">
        <w:rPr>
          <w:rFonts w:ascii="Arial" w:hAnsi="Arial" w:cs="Arial"/>
          <w:sz w:val="20"/>
          <w:szCs w:val="20"/>
          <w:lang w:val="en-GB"/>
        </w:rPr>
        <w:t xml:space="preserve">bodies of </w:t>
      </w:r>
      <w:r w:rsidRPr="0073550A">
        <w:rPr>
          <w:rFonts w:ascii="Arial" w:hAnsi="Arial" w:cs="Arial"/>
          <w:sz w:val="20"/>
          <w:szCs w:val="20"/>
          <w:lang w:val="en-GB"/>
        </w:rPr>
        <w:t>water (ponds, backwaters, small reservoirs and channels) located in, or within about 100 m of, cereal fields, and therefore directly influenced by agricultural practices.</w:t>
      </w:r>
      <w:r w:rsidR="003F7AB1">
        <w:rPr>
          <w:rFonts w:ascii="Arial" w:hAnsi="Arial" w:cs="Arial"/>
          <w:sz w:val="20"/>
          <w:szCs w:val="20"/>
          <w:lang w:val="en-GB"/>
        </w:rPr>
        <w:t xml:space="preserve"> </w:t>
      </w:r>
      <w:r w:rsidRPr="0073550A">
        <w:rPr>
          <w:rFonts w:ascii="Arial" w:hAnsi="Arial" w:cs="Arial"/>
          <w:sz w:val="20"/>
          <w:szCs w:val="20"/>
          <w:lang w:val="en-GB"/>
        </w:rPr>
        <w:t>All chemical analyses of herbicide residues in the water samples were carried out at the National Agency for Food, Environmental, Occupational and Health Product Safety (ANSSEAT) in Ouagadougou, Burkina Faso.</w:t>
      </w:r>
    </w:p>
    <w:p w14:paraId="0EA9751C" w14:textId="40D7A647" w:rsidR="008A7486" w:rsidRPr="00EF743B" w:rsidRDefault="00EF743B" w:rsidP="008A7486">
      <w:pPr>
        <w:spacing w:before="120" w:after="120" w:line="240" w:lineRule="auto"/>
        <w:jc w:val="center"/>
        <w:rPr>
          <w:rFonts w:ascii="Arial" w:hAnsi="Arial" w:cs="Arial"/>
          <w:sz w:val="24"/>
          <w:szCs w:val="24"/>
          <w:lang w:val="en-GB"/>
        </w:rPr>
      </w:pPr>
      <w:r>
        <w:rPr>
          <w:rFonts w:ascii="Arial" w:hAnsi="Arial" w:cs="Arial"/>
          <w:noProof/>
          <w:sz w:val="24"/>
          <w:szCs w:val="24"/>
          <w:lang w:val="en-GB"/>
        </w:rPr>
        <w:lastRenderedPageBreak/>
        <w:drawing>
          <wp:inline distT="0" distB="0" distL="0" distR="0" wp14:anchorId="0E0486D6" wp14:editId="5BA0B59E">
            <wp:extent cx="4875695" cy="2757240"/>
            <wp:effectExtent l="0" t="0" r="1270" b="5080"/>
            <wp:docPr id="11435687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2268" cy="2777922"/>
                    </a:xfrm>
                    <a:prstGeom prst="rect">
                      <a:avLst/>
                    </a:prstGeom>
                    <a:noFill/>
                  </pic:spPr>
                </pic:pic>
              </a:graphicData>
            </a:graphic>
          </wp:inline>
        </w:drawing>
      </w:r>
    </w:p>
    <w:p w14:paraId="6228B309" w14:textId="5CC66599" w:rsidR="008A7486" w:rsidRPr="0073550A" w:rsidRDefault="008A7486" w:rsidP="00A012EB">
      <w:pPr>
        <w:spacing w:before="120" w:after="120" w:line="240" w:lineRule="auto"/>
        <w:jc w:val="both"/>
        <w:rPr>
          <w:rFonts w:ascii="Arial" w:hAnsi="Arial" w:cs="Arial"/>
          <w:b/>
          <w:bCs/>
          <w:sz w:val="20"/>
          <w:szCs w:val="20"/>
          <w:lang w:val="en-GB"/>
        </w:rPr>
      </w:pPr>
      <w:r w:rsidRPr="00EF743B">
        <w:rPr>
          <w:rFonts w:ascii="Arial" w:hAnsi="Arial" w:cs="Arial"/>
          <w:b/>
          <w:bCs/>
          <w:sz w:val="20"/>
          <w:szCs w:val="20"/>
          <w:lang w:val="en-GB"/>
        </w:rPr>
        <w:t xml:space="preserve">Fig. 1. </w:t>
      </w:r>
      <w:r w:rsidR="0036731A">
        <w:rPr>
          <w:rFonts w:ascii="Arial" w:hAnsi="Arial" w:cs="Arial"/>
          <w:b/>
          <w:bCs/>
          <w:sz w:val="20"/>
          <w:szCs w:val="20"/>
          <w:lang w:val="en-GB"/>
        </w:rPr>
        <w:t>S</w:t>
      </w:r>
      <w:r w:rsidRPr="00EF743B">
        <w:rPr>
          <w:rFonts w:ascii="Arial" w:hAnsi="Arial" w:cs="Arial"/>
          <w:b/>
          <w:bCs/>
          <w:sz w:val="20"/>
          <w:szCs w:val="20"/>
          <w:lang w:val="en-GB"/>
        </w:rPr>
        <w:t>tudy area showing the sampling localities in the four cereal-growing regions of western Burkina Faso.</w:t>
      </w:r>
    </w:p>
    <w:p w14:paraId="3A565D59"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2.2 Water Sampling</w:t>
      </w:r>
    </w:p>
    <w:p w14:paraId="1E47EDEF" w14:textId="502CB84D"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 xml:space="preserve">Water sampling was carried out in two </w:t>
      </w:r>
      <w:proofErr w:type="gramStart"/>
      <w:r w:rsidR="0036731A">
        <w:rPr>
          <w:rFonts w:ascii="Arial" w:hAnsi="Arial" w:cs="Arial"/>
          <w:sz w:val="20"/>
          <w:szCs w:val="20"/>
          <w:lang w:val="en-GB"/>
        </w:rPr>
        <w:t>round</w:t>
      </w:r>
      <w:proofErr w:type="gramEnd"/>
      <w:r w:rsidR="0036731A" w:rsidRPr="0073550A">
        <w:rPr>
          <w:rFonts w:ascii="Arial" w:hAnsi="Arial" w:cs="Arial"/>
          <w:sz w:val="20"/>
          <w:szCs w:val="20"/>
          <w:lang w:val="en-GB"/>
        </w:rPr>
        <w:t xml:space="preserve"> </w:t>
      </w:r>
      <w:r w:rsidRPr="0073550A">
        <w:rPr>
          <w:rFonts w:ascii="Arial" w:hAnsi="Arial" w:cs="Arial"/>
          <w:sz w:val="20"/>
          <w:szCs w:val="20"/>
          <w:lang w:val="en-GB"/>
        </w:rPr>
        <w:t>during the 2020 rainy season:</w:t>
      </w:r>
    </w:p>
    <w:p w14:paraId="487FBD85" w14:textId="77777777" w:rsidR="0073550A" w:rsidRPr="00577B31" w:rsidRDefault="0073550A" w:rsidP="00577B31">
      <w:pPr>
        <w:pStyle w:val="ListParagraph"/>
        <w:numPr>
          <w:ilvl w:val="0"/>
          <w:numId w:val="25"/>
        </w:numPr>
        <w:spacing w:before="120" w:after="120" w:line="240" w:lineRule="auto"/>
        <w:jc w:val="both"/>
        <w:rPr>
          <w:rFonts w:ascii="Arial" w:hAnsi="Arial" w:cs="Arial"/>
          <w:sz w:val="20"/>
          <w:szCs w:val="20"/>
          <w:lang w:val="en-GB"/>
        </w:rPr>
      </w:pPr>
      <w:r w:rsidRPr="00577B31">
        <w:rPr>
          <w:rFonts w:ascii="Arial" w:hAnsi="Arial" w:cs="Arial"/>
          <w:sz w:val="20"/>
          <w:szCs w:val="20"/>
          <w:lang w:val="en-GB"/>
        </w:rPr>
        <w:t>Phase 1 (P1): second half of August 2020, corresponding to the peak period of herbicide use;</w:t>
      </w:r>
    </w:p>
    <w:p w14:paraId="67966D08" w14:textId="77777777" w:rsidR="0073550A" w:rsidRPr="00577B31" w:rsidRDefault="0073550A" w:rsidP="00577B31">
      <w:pPr>
        <w:pStyle w:val="ListParagraph"/>
        <w:numPr>
          <w:ilvl w:val="0"/>
          <w:numId w:val="25"/>
        </w:numPr>
        <w:spacing w:before="120" w:after="120" w:line="240" w:lineRule="auto"/>
        <w:jc w:val="both"/>
        <w:rPr>
          <w:rFonts w:ascii="Arial" w:hAnsi="Arial" w:cs="Arial"/>
          <w:sz w:val="20"/>
          <w:szCs w:val="20"/>
          <w:lang w:val="en-GB"/>
        </w:rPr>
      </w:pPr>
      <w:r w:rsidRPr="00577B31">
        <w:rPr>
          <w:rFonts w:ascii="Arial" w:hAnsi="Arial" w:cs="Arial"/>
          <w:sz w:val="20"/>
          <w:szCs w:val="20"/>
          <w:lang w:val="en-GB"/>
        </w:rPr>
        <w:t>Phase 2 (P2): mid-November 2020, at the end of the rainy season.</w:t>
      </w:r>
    </w:p>
    <w:p w14:paraId="5317763A" w14:textId="71DE84E9"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In each of the twelve localities, five cereal fields were selected. Within each field, surface water was collected either inside the plot or within approximately 100 m of the plot boundary, in small water bodies (pools, depressions, channels) that receive runoff and drainage water from the cultivated areas.</w:t>
      </w:r>
      <w:r w:rsidR="00DF34C4">
        <w:rPr>
          <w:rFonts w:ascii="Arial" w:hAnsi="Arial" w:cs="Arial"/>
          <w:sz w:val="20"/>
          <w:szCs w:val="20"/>
          <w:lang w:val="en-GB"/>
        </w:rPr>
        <w:t xml:space="preserve"> </w:t>
      </w:r>
      <w:r w:rsidRPr="0073550A">
        <w:rPr>
          <w:rFonts w:ascii="Arial" w:hAnsi="Arial" w:cs="Arial"/>
          <w:sz w:val="20"/>
          <w:szCs w:val="20"/>
          <w:lang w:val="en-GB"/>
        </w:rPr>
        <w:t>For each field, several grab samples were collected at different points of the water body and combined to obtain a 500 mL composite sample in a polyethylene bottle. The pH of each composite sample was measured on site. Bottles were labelled and wrapped in aluminium foil, which was then sealed with adhesive tape and marked with an indelible marker to protect the contents from light. Samples were transported to the laboratory</w:t>
      </w:r>
      <w:r w:rsidR="0036731A">
        <w:rPr>
          <w:rFonts w:ascii="Arial" w:hAnsi="Arial" w:cs="Arial"/>
          <w:sz w:val="20"/>
          <w:szCs w:val="20"/>
          <w:lang w:val="en-GB"/>
        </w:rPr>
        <w:t xml:space="preserve"> inside cool boxes</w:t>
      </w:r>
      <w:r w:rsidRPr="0073550A">
        <w:rPr>
          <w:rFonts w:ascii="Arial" w:hAnsi="Arial" w:cs="Arial"/>
          <w:sz w:val="20"/>
          <w:szCs w:val="20"/>
          <w:lang w:val="en-GB"/>
        </w:rPr>
        <w:t>.</w:t>
      </w:r>
      <w:r w:rsidR="00DF34C4">
        <w:rPr>
          <w:rFonts w:ascii="Arial" w:hAnsi="Arial" w:cs="Arial"/>
          <w:sz w:val="20"/>
          <w:szCs w:val="20"/>
          <w:lang w:val="en-GB"/>
        </w:rPr>
        <w:t xml:space="preserve"> </w:t>
      </w:r>
      <w:r w:rsidRPr="0073550A">
        <w:rPr>
          <w:rFonts w:ascii="Arial" w:hAnsi="Arial" w:cs="Arial"/>
          <w:sz w:val="20"/>
          <w:szCs w:val="20"/>
          <w:lang w:val="en-GB"/>
        </w:rPr>
        <w:t xml:space="preserve">For each locality and each sampling phase, the five composite samples (one per field) were homogenised again in the laboratory to obtain a single composite sample per locality and per phase, which was used for </w:t>
      </w:r>
      <w:r w:rsidR="0036731A">
        <w:rPr>
          <w:rFonts w:ascii="Arial" w:hAnsi="Arial" w:cs="Arial"/>
          <w:sz w:val="20"/>
          <w:szCs w:val="20"/>
          <w:lang w:val="en-GB"/>
        </w:rPr>
        <w:t>chemical</w:t>
      </w:r>
      <w:r w:rsidR="0036731A" w:rsidRPr="0073550A">
        <w:rPr>
          <w:rFonts w:ascii="Arial" w:hAnsi="Arial" w:cs="Arial"/>
          <w:sz w:val="20"/>
          <w:szCs w:val="20"/>
          <w:lang w:val="en-GB"/>
        </w:rPr>
        <w:t xml:space="preserve"> </w:t>
      </w:r>
      <w:r w:rsidRPr="0073550A">
        <w:rPr>
          <w:rFonts w:ascii="Arial" w:hAnsi="Arial" w:cs="Arial"/>
          <w:sz w:val="20"/>
          <w:szCs w:val="20"/>
          <w:lang w:val="en-GB"/>
        </w:rPr>
        <w:t>analysis.</w:t>
      </w:r>
    </w:p>
    <w:p w14:paraId="461F830F"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2.3 Herbicide Residue Analysis</w:t>
      </w:r>
    </w:p>
    <w:p w14:paraId="41F3B72F" w14:textId="77777777" w:rsidR="0073550A" w:rsidRPr="0073550A" w:rsidRDefault="0073550A" w:rsidP="009C2C56">
      <w:pPr>
        <w:spacing w:before="120" w:after="120" w:line="240" w:lineRule="auto"/>
        <w:rPr>
          <w:rFonts w:ascii="Arial" w:hAnsi="Arial" w:cs="Arial"/>
          <w:b/>
          <w:bCs/>
          <w:sz w:val="20"/>
          <w:szCs w:val="20"/>
          <w:lang w:val="en-GB"/>
        </w:rPr>
      </w:pPr>
      <w:r w:rsidRPr="0073550A">
        <w:rPr>
          <w:rFonts w:ascii="Arial" w:hAnsi="Arial" w:cs="Arial"/>
          <w:b/>
          <w:bCs/>
          <w:sz w:val="20"/>
          <w:szCs w:val="20"/>
          <w:lang w:val="en-GB"/>
        </w:rPr>
        <w:t>2.3.1 Selection of Target Herbicides</w:t>
      </w:r>
    </w:p>
    <w:p w14:paraId="76144FB2" w14:textId="51BD66E9" w:rsidR="0073550A" w:rsidRPr="00EF757D"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The herbicidal active substances analysed were selected from a previous survey on herbicide use in cereal-based agroecosystems in western Burkina Faso</w:t>
      </w:r>
      <w:r w:rsidR="00D85F23">
        <w:rPr>
          <w:rFonts w:ascii="Arial" w:hAnsi="Arial" w:cs="Arial"/>
          <w:sz w:val="20"/>
          <w:szCs w:val="20"/>
          <w:lang w:val="en-GB"/>
        </w:rPr>
        <w:t xml:space="preserve"> </w:t>
      </w:r>
      <w:r w:rsidR="00D85F23">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{"citationID":"tYT0XZlO","properties":{"formattedCitation":"(Bayili et al., 2024)","plainCitation":"(Bayili et al., 2024)","noteIndex":0},"citationItems":[{"id":2917,"uris":["http://zotero.org/users/5723659/items/5UTQ3RXZ"],"itemData":{"id":2917,"type":"article-journal","abstract":"The use of pesticides often leads to environmental contamination above acceptable levels. The level of contamination is related to poor pesticide application practices, in addition to the properties of pesticides and soil characteristics. The primary objective of this study was to characterize herbicides and their application practices in cereal crops in the regions of Hauts-Bassins, Sud-Ouest, Cascades, and Boucle du Mouhoun in Burkina Faso. A semi-structured questionnaire was used to collect and extract data from 617 cereal farmers in the four regions. During the survey, the identified herbicides were characterized using pesticide property databases. The survey shows that most cereal farmers in the regions are illiterate (58.18%) and have not received any training in pesticide use (84.28%). Only a small percentage of farmers (1.3%) consult technical services for the selection of herbicides to be used. The survey also revealed that 60% of farmers leave empty herbicide containers in the wild, 39.93% use water sources to clean sprayers, and 17.83% use them to prepare the spray mixture. A total of 25 active ingredients were identified in 117 commercial herbicide products with a total use of 8100 litres and 280 kg. Of the listed herbicides, 45.37% were not approved by the Sahel Pesticide Committee (CSP). Among the non-approved herbicides, 27.78% contained paraquat, atrazine, and acetochlor, which the CSP bans. The study shows that farmers do not follow good practices when using herbicides, which can contaminate different environmental compartments and cause harmful effects to non-target organisms.","container-title":"Journal of Experimental Biology and Agricultural Sciences","DOI":"10.18006/2024.12(2).248.256","ISSN":"2320-8694","issue":"2","journalAbbreviation":"J Exp Bio &amp; Ag Sci","page":"248-256","source":"DOI.org (Crossref)","title":"Characterization of herbicide use practices in cereal agroecosystems in western Burkina Faso","volume":"12","author":[{"family":"Bayili","given":"Bazoma"},{"family":"Koursangama","given":"Bernard"},{"family":"Bayili","given":"Koama"},{"family":"Dipina Ki","given":"Hyacinthe"},{"family":"Sow","given":"Bazoumana"},{"family":"Bilgo","given":"Etienne"},{"family":"Kinda","given":"Abdoul Aziz"},{"family":"Bazongo","given":"Tédébouaouga"},{"family":"Ouattara","given":"Abdoulaye"},{"family":"Dabire","given":"Roch Kounbobr"},{"family":"Diabate","given":"Abdoulaye"}],"issued":{"date-parts":[["2024"]]}}}],"schema":"https://github.com/citation-style-language/schema/raw/master/csl-citation.json"} </w:instrText>
      </w:r>
      <w:r w:rsidR="00D85F23">
        <w:rPr>
          <w:rFonts w:ascii="Arial" w:hAnsi="Arial" w:cs="Arial"/>
          <w:sz w:val="20"/>
          <w:szCs w:val="20"/>
          <w:lang w:val="en-GB"/>
        </w:rPr>
        <w:fldChar w:fldCharType="separate"/>
      </w:r>
      <w:r w:rsidR="000E707F" w:rsidRPr="000E707F">
        <w:rPr>
          <w:rFonts w:ascii="Arial" w:hAnsi="Arial" w:cs="Arial"/>
          <w:sz w:val="20"/>
          <w:lang w:val="en-GB"/>
        </w:rPr>
        <w:t>(Bayili et al., 2024)</w:t>
      </w:r>
      <w:r w:rsidR="00D85F23">
        <w:rPr>
          <w:rFonts w:ascii="Arial" w:hAnsi="Arial" w:cs="Arial"/>
          <w:sz w:val="20"/>
          <w:szCs w:val="20"/>
          <w:lang w:val="en-GB"/>
        </w:rPr>
        <w:fldChar w:fldCharType="end"/>
      </w:r>
      <w:r w:rsidRPr="0073550A">
        <w:rPr>
          <w:rFonts w:ascii="Arial" w:hAnsi="Arial" w:cs="Arial"/>
          <w:sz w:val="20"/>
          <w:szCs w:val="20"/>
          <w:lang w:val="en-GB"/>
        </w:rPr>
        <w:t>, which documented 25 active ingredients commonly applied in cereal production. From this list, 13 molecules for which analytical standards were available at ANSSEAT were retained.</w:t>
      </w:r>
      <w:r w:rsidR="00EF757D">
        <w:rPr>
          <w:rFonts w:ascii="Arial" w:hAnsi="Arial" w:cs="Arial"/>
          <w:sz w:val="20"/>
          <w:szCs w:val="20"/>
          <w:lang w:val="en-GB"/>
        </w:rPr>
        <w:t xml:space="preserve"> </w:t>
      </w:r>
      <w:r w:rsidRPr="0073550A">
        <w:rPr>
          <w:rFonts w:ascii="Arial" w:hAnsi="Arial" w:cs="Arial"/>
          <w:sz w:val="20"/>
          <w:szCs w:val="20"/>
          <w:lang w:val="en-GB"/>
        </w:rPr>
        <w:t xml:space="preserve">These 13 substances were: atrazine, terbuthylazine, metolachlor, pendimethalin, 2,4-D, diuron, </w:t>
      </w:r>
      <w:proofErr w:type="spellStart"/>
      <w:r w:rsidRPr="0073550A">
        <w:rPr>
          <w:rFonts w:ascii="Arial" w:hAnsi="Arial" w:cs="Arial"/>
          <w:sz w:val="20"/>
          <w:szCs w:val="20"/>
          <w:lang w:val="en-GB"/>
        </w:rPr>
        <w:t>mesotrione</w:t>
      </w:r>
      <w:proofErr w:type="spellEnd"/>
      <w:r w:rsidRPr="0073550A">
        <w:rPr>
          <w:rFonts w:ascii="Arial" w:hAnsi="Arial" w:cs="Arial"/>
          <w:sz w:val="20"/>
          <w:szCs w:val="20"/>
          <w:lang w:val="en-GB"/>
        </w:rPr>
        <w:t xml:space="preserve">, </w:t>
      </w:r>
      <w:proofErr w:type="spellStart"/>
      <w:r w:rsidRPr="0073550A">
        <w:rPr>
          <w:rFonts w:ascii="Arial" w:hAnsi="Arial" w:cs="Arial"/>
          <w:sz w:val="20"/>
          <w:szCs w:val="20"/>
          <w:lang w:val="en-GB"/>
        </w:rPr>
        <w:t>nicosulfuron</w:t>
      </w:r>
      <w:proofErr w:type="spellEnd"/>
      <w:r w:rsidRPr="0073550A">
        <w:rPr>
          <w:rFonts w:ascii="Arial" w:hAnsi="Arial" w:cs="Arial"/>
          <w:sz w:val="20"/>
          <w:szCs w:val="20"/>
          <w:lang w:val="en-GB"/>
        </w:rPr>
        <w:t xml:space="preserve">, </w:t>
      </w:r>
      <w:proofErr w:type="spellStart"/>
      <w:r w:rsidRPr="0073550A">
        <w:rPr>
          <w:rFonts w:ascii="Arial" w:hAnsi="Arial" w:cs="Arial"/>
          <w:sz w:val="20"/>
          <w:szCs w:val="20"/>
          <w:lang w:val="en-GB"/>
        </w:rPr>
        <w:t>bensulfuron</w:t>
      </w:r>
      <w:proofErr w:type="spellEnd"/>
      <w:r w:rsidRPr="0073550A">
        <w:rPr>
          <w:rFonts w:ascii="Arial" w:hAnsi="Arial" w:cs="Arial"/>
          <w:sz w:val="20"/>
          <w:szCs w:val="20"/>
          <w:lang w:val="en-GB"/>
        </w:rPr>
        <w:t xml:space="preserve">-methyl, </w:t>
      </w:r>
      <w:proofErr w:type="spellStart"/>
      <w:r w:rsidRPr="0073550A">
        <w:rPr>
          <w:rFonts w:ascii="Arial" w:hAnsi="Arial" w:cs="Arial"/>
          <w:sz w:val="20"/>
          <w:szCs w:val="20"/>
          <w:lang w:val="en-GB"/>
        </w:rPr>
        <w:t>haloxyfop</w:t>
      </w:r>
      <w:proofErr w:type="spellEnd"/>
      <w:r w:rsidRPr="0073550A">
        <w:rPr>
          <w:rFonts w:ascii="Arial" w:hAnsi="Arial" w:cs="Arial"/>
          <w:sz w:val="20"/>
          <w:szCs w:val="20"/>
          <w:lang w:val="en-GB"/>
        </w:rPr>
        <w:t xml:space="preserve">-R-methyl, </w:t>
      </w:r>
      <w:proofErr w:type="spellStart"/>
      <w:r w:rsidRPr="0073550A">
        <w:rPr>
          <w:rFonts w:ascii="Arial" w:hAnsi="Arial" w:cs="Arial"/>
          <w:sz w:val="20"/>
          <w:szCs w:val="20"/>
          <w:lang w:val="en-GB"/>
        </w:rPr>
        <w:t>prometryn</w:t>
      </w:r>
      <w:proofErr w:type="spellEnd"/>
      <w:r w:rsidRPr="0073550A">
        <w:rPr>
          <w:rFonts w:ascii="Arial" w:hAnsi="Arial" w:cs="Arial"/>
          <w:sz w:val="20"/>
          <w:szCs w:val="20"/>
          <w:lang w:val="en-GB"/>
        </w:rPr>
        <w:t xml:space="preserve">, </w:t>
      </w:r>
      <w:proofErr w:type="spellStart"/>
      <w:r w:rsidRPr="0073550A">
        <w:rPr>
          <w:rFonts w:ascii="Arial" w:hAnsi="Arial" w:cs="Arial"/>
          <w:sz w:val="20"/>
          <w:szCs w:val="20"/>
          <w:lang w:val="en-GB"/>
        </w:rPr>
        <w:t>emamectin</w:t>
      </w:r>
      <w:proofErr w:type="spellEnd"/>
      <w:r w:rsidRPr="0073550A">
        <w:rPr>
          <w:rFonts w:ascii="Arial" w:hAnsi="Arial" w:cs="Arial"/>
          <w:sz w:val="20"/>
          <w:szCs w:val="20"/>
          <w:lang w:val="en-GB"/>
        </w:rPr>
        <w:t xml:space="preserve"> benzoate and </w:t>
      </w:r>
      <w:proofErr w:type="spellStart"/>
      <w:r w:rsidRPr="0073550A">
        <w:rPr>
          <w:rFonts w:ascii="Arial" w:hAnsi="Arial" w:cs="Arial"/>
          <w:sz w:val="20"/>
          <w:szCs w:val="20"/>
          <w:lang w:val="en-GB"/>
        </w:rPr>
        <w:t>bispyribac</w:t>
      </w:r>
      <w:proofErr w:type="spellEnd"/>
      <w:r w:rsidRPr="0073550A">
        <w:rPr>
          <w:rFonts w:ascii="Arial" w:hAnsi="Arial" w:cs="Arial"/>
          <w:sz w:val="20"/>
          <w:szCs w:val="20"/>
          <w:lang w:val="en-GB"/>
        </w:rPr>
        <w:t>-sodium.</w:t>
      </w:r>
      <w:r w:rsidR="00EF757D">
        <w:rPr>
          <w:rFonts w:ascii="Arial" w:hAnsi="Arial" w:cs="Arial"/>
          <w:sz w:val="20"/>
          <w:szCs w:val="20"/>
          <w:lang w:val="en-GB"/>
        </w:rPr>
        <w:t xml:space="preserve"> </w:t>
      </w:r>
      <w:r w:rsidRPr="0073550A">
        <w:rPr>
          <w:rFonts w:ascii="Arial" w:hAnsi="Arial" w:cs="Arial"/>
          <w:sz w:val="20"/>
          <w:szCs w:val="20"/>
          <w:lang w:val="en-GB"/>
        </w:rPr>
        <w:t xml:space="preserve">For each compound, the maximum admissible concentration (MAC) in drinking water was </w:t>
      </w:r>
      <w:r w:rsidR="0036731A">
        <w:rPr>
          <w:rFonts w:ascii="Arial" w:hAnsi="Arial" w:cs="Arial"/>
          <w:sz w:val="20"/>
          <w:szCs w:val="20"/>
          <w:lang w:val="en-GB"/>
        </w:rPr>
        <w:t xml:space="preserve">recorded in </w:t>
      </w:r>
      <w:r w:rsidRPr="0073550A">
        <w:rPr>
          <w:rFonts w:ascii="Arial" w:hAnsi="Arial" w:cs="Arial"/>
          <w:sz w:val="20"/>
          <w:szCs w:val="20"/>
          <w:lang w:val="en-GB"/>
        </w:rPr>
        <w:t xml:space="preserve">the European Drinking Water Directive 2020/2184 </w:t>
      </w:r>
      <w:r w:rsidR="002B5803" w:rsidRPr="002B5803">
        <w:rPr>
          <w:rFonts w:ascii="Arial" w:hAnsi="Arial" w:cs="Arial"/>
          <w:sz w:val="20"/>
          <w:szCs w:val="20"/>
          <w:highlight w:val="yellow"/>
          <w:lang w:val="en-GB"/>
        </w:rPr>
        <w:fldChar w:fldCharType="begin"/>
      </w:r>
      <w:r w:rsidR="000E707F">
        <w:rPr>
          <w:rFonts w:ascii="Arial" w:hAnsi="Arial" w:cs="Arial"/>
          <w:sz w:val="20"/>
          <w:szCs w:val="20"/>
          <w:highlight w:val="yellow"/>
          <w:lang w:val="en-GB"/>
        </w:rPr>
        <w:instrText xml:space="preserve"> ADDIN ZOTERO_ITEM CSL_CITATION {"citationID":"9YJRjXLY","properties":{"formattedCitation":"(Union Europ\\uc0\\u233{}enne, 2020)","plainCitation":"(Union Européenne, 2020)","noteIndex":0},"citationItems":[{"id":2952,"uris":["http://zotero.org/users/5723659/items/TNBXBSJ3"],"itemData":{"id":2952,"type":"article-newspaper","container-title":"Journal officiel de l’Union européenne","page":"1-62","section":"L 435/1","title":"Directive (UE) 2020/2184 du Parlement européen et du Conseil du 16 décembre 2020 relative à la qualité des eaux destinées à la consommation humaine (refonte) (Texte présentant de l’intérêt pour l’EEE)","author":[{"family":"Union Européenne","given":""}],"issued":{"date-parts":[["2020"]]}}}],"schema":"https://github.com/citation-style-language/schema/raw/master/csl-citation.json"} </w:instrText>
      </w:r>
      <w:r w:rsidR="002B5803" w:rsidRPr="002B5803">
        <w:rPr>
          <w:rFonts w:ascii="Arial" w:hAnsi="Arial" w:cs="Arial"/>
          <w:sz w:val="20"/>
          <w:szCs w:val="20"/>
          <w:highlight w:val="yellow"/>
          <w:lang w:val="en-GB"/>
        </w:rPr>
        <w:fldChar w:fldCharType="separate"/>
      </w:r>
      <w:r w:rsidR="000E707F" w:rsidRPr="000E707F">
        <w:rPr>
          <w:rFonts w:ascii="Arial" w:hAnsi="Arial" w:cs="Arial"/>
          <w:sz w:val="20"/>
          <w:lang w:val="en-GB"/>
        </w:rPr>
        <w:t>(Union Européenne, 2020)</w:t>
      </w:r>
      <w:r w:rsidR="002B5803" w:rsidRPr="002B5803">
        <w:rPr>
          <w:rFonts w:ascii="Arial" w:hAnsi="Arial" w:cs="Arial"/>
          <w:sz w:val="20"/>
          <w:szCs w:val="20"/>
          <w:highlight w:val="yellow"/>
          <w:lang w:val="en-GB"/>
        </w:rPr>
        <w:fldChar w:fldCharType="end"/>
      </w:r>
      <w:r w:rsidR="002B5803">
        <w:rPr>
          <w:rFonts w:ascii="Arial" w:hAnsi="Arial" w:cs="Arial"/>
          <w:sz w:val="20"/>
          <w:szCs w:val="20"/>
          <w:lang w:val="en-GB"/>
        </w:rPr>
        <w:t xml:space="preserve"> </w:t>
      </w:r>
      <w:r w:rsidRPr="0073550A">
        <w:rPr>
          <w:rFonts w:ascii="Arial" w:hAnsi="Arial" w:cs="Arial"/>
          <w:sz w:val="20"/>
          <w:szCs w:val="20"/>
          <w:lang w:val="en-GB"/>
        </w:rPr>
        <w:t>and the</w:t>
      </w:r>
      <w:r w:rsidR="0036731A">
        <w:rPr>
          <w:rFonts w:ascii="Arial" w:hAnsi="Arial" w:cs="Arial"/>
          <w:sz w:val="20"/>
          <w:szCs w:val="20"/>
          <w:lang w:val="en-GB"/>
        </w:rPr>
        <w:t xml:space="preserve"> WHO </w:t>
      </w:r>
      <w:r w:rsidR="0036731A" w:rsidRPr="0073550A">
        <w:rPr>
          <w:rFonts w:ascii="Arial" w:hAnsi="Arial" w:cs="Arial"/>
          <w:sz w:val="20"/>
          <w:szCs w:val="20"/>
          <w:lang w:val="en-GB"/>
        </w:rPr>
        <w:t>guidelines</w:t>
      </w:r>
      <w:r w:rsidR="0036731A">
        <w:rPr>
          <w:rFonts w:ascii="Arial" w:hAnsi="Arial" w:cs="Arial"/>
          <w:sz w:val="20"/>
          <w:szCs w:val="20"/>
          <w:lang w:val="en-GB"/>
        </w:rPr>
        <w:t xml:space="preserve"> </w:t>
      </w:r>
      <w:r w:rsidRPr="0073550A">
        <w:rPr>
          <w:rFonts w:ascii="Arial" w:hAnsi="Arial" w:cs="Arial"/>
          <w:sz w:val="20"/>
          <w:szCs w:val="20"/>
          <w:lang w:val="en-GB"/>
        </w:rPr>
        <w:t xml:space="preserve"> </w:t>
      </w:r>
      <w:r w:rsidR="0036731A">
        <w:rPr>
          <w:rFonts w:ascii="Arial" w:hAnsi="Arial" w:cs="Arial"/>
          <w:sz w:val="20"/>
          <w:szCs w:val="20"/>
          <w:lang w:val="en-GB"/>
        </w:rPr>
        <w:t>(</w:t>
      </w:r>
      <w:r w:rsidR="002B5803">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{"citationID":"XJtGEBn8","properties":{"formattedCitation":"(WHO, 2017)","plainCitation":"(WHO, 2017)","dontUpdate":true,"noteIndex":0},"citationItems":[{"id":2944,"uris":["http://zotero.org/users/5723659/items/YR2L8MDM"],"itemData":{"id":2944,"type":"book","abstract":"This fourth edition incorporating the first addendum, of the World Health Organization's Guidelines for Drinking-water Quality builds on over 50 years of guidance by WHO on drinking-water quality, which has formed an authoritative basis for the setting of national regulations and standards for water safety in support of public health. It is the product of significant revisions to clarify and elaborate on ways of implementing its recommendations of contextual hazard identification and risk management, through the establishment of health-based targets, catchment-to-consumer water safety plans and independent surveillance. It reflects the renewed focus on primary prevention. Significant additional guidance on good practice is presented, incorporating changes introduced by the first and second addenda to the third edition. Emerging water management issues are comprehensively addressed for a range of circumstances, from household water treatment and safe storage and the bulk supply of water over long distances to the potential implications of climate change. Additional risk assessments are presented for a number of new chemical and microbial hazards and applied to a suite of pesticides used for public health purposes. Existing reviews on chemicals and waterborne pathogens have been revised to account for new scientific information. The chapter on radiological aspects of drinking-water quality has been comprehensively updated. Even more than the previous edition, this new edition incorporating the first addendum, emphasizes achievable practices and the formulation of sound regulations, applicable to low-income, middle-income and industrialized countries alike, that aim to prevent a potential health crisis caused by the consumption of unsafe drinking-water, against the backdrop of rapid urbanization, water scarcity and climate change","edition":"Fourth edition incorporating the first addendum","event-place":"Geneva","ISBN":"978-92-4-154995-0","language":"eng","number-of-pages":"1","publisher":"World Health Organization","publisher-place":"Geneva","source":"K10plus ISBN","title":"Guidelines for drinking-water quality","editor":[{"literal":"WHO"}],"issued":{"date-parts":[["2017"]]}}}],"schema":"https://github.com/citation-style-language/schema/raw/master/csl-citation.json"} </w:instrText>
      </w:r>
      <w:r w:rsidR="002B5803">
        <w:rPr>
          <w:rFonts w:ascii="Arial" w:hAnsi="Arial" w:cs="Arial"/>
          <w:sz w:val="20"/>
          <w:szCs w:val="20"/>
          <w:lang w:val="en-GB"/>
        </w:rPr>
        <w:fldChar w:fldCharType="separate"/>
      </w:r>
      <w:r w:rsidR="000E707F" w:rsidRPr="006B2574">
        <w:rPr>
          <w:rFonts w:ascii="Arial" w:hAnsi="Arial" w:cs="Arial"/>
          <w:sz w:val="20"/>
          <w:lang w:val="en-GB"/>
        </w:rPr>
        <w:t>WHO</w:t>
      </w:r>
      <w:r w:rsidR="0036731A">
        <w:rPr>
          <w:rFonts w:ascii="Arial" w:hAnsi="Arial" w:cs="Arial"/>
          <w:sz w:val="20"/>
          <w:lang w:val="en-GB"/>
        </w:rPr>
        <w:t>,</w:t>
      </w:r>
      <w:r w:rsidR="000E707F" w:rsidRPr="006B2574">
        <w:rPr>
          <w:rFonts w:ascii="Arial" w:hAnsi="Arial" w:cs="Arial"/>
          <w:sz w:val="20"/>
          <w:lang w:val="en-GB"/>
        </w:rPr>
        <w:t xml:space="preserve"> 2017)</w:t>
      </w:r>
      <w:r w:rsidR="002B5803">
        <w:rPr>
          <w:rFonts w:ascii="Arial" w:hAnsi="Arial" w:cs="Arial"/>
          <w:sz w:val="20"/>
          <w:szCs w:val="20"/>
          <w:lang w:val="en-GB"/>
        </w:rPr>
        <w:fldChar w:fldCharType="end"/>
      </w:r>
      <w:r w:rsidRPr="0073550A">
        <w:rPr>
          <w:rFonts w:ascii="Arial" w:hAnsi="Arial" w:cs="Arial"/>
          <w:sz w:val="20"/>
          <w:szCs w:val="20"/>
          <w:lang w:val="en-GB"/>
        </w:rPr>
        <w:t>. These values are presented in Table 1, which served as a reference framework for compliance assessment.</w:t>
      </w:r>
    </w:p>
    <w:p w14:paraId="06BEA85E" w14:textId="2FDEBEA8" w:rsidR="00577B31" w:rsidRPr="00EF757D" w:rsidRDefault="00577B31" w:rsidP="00A012EB">
      <w:pPr>
        <w:pStyle w:val="Heading2"/>
        <w:spacing w:line="240" w:lineRule="auto"/>
        <w:jc w:val="both"/>
        <w:rPr>
          <w:rFonts w:ascii="Arial" w:hAnsi="Arial" w:cs="Arial"/>
          <w:b/>
          <w:bCs/>
          <w:color w:val="auto"/>
          <w:sz w:val="20"/>
          <w:szCs w:val="20"/>
          <w:lang w:val="en-GB"/>
        </w:rPr>
      </w:pPr>
      <w:r w:rsidRPr="00EF757D">
        <w:rPr>
          <w:rFonts w:ascii="Arial" w:hAnsi="Arial" w:cs="Arial"/>
          <w:b/>
          <w:bCs/>
          <w:color w:val="auto"/>
          <w:sz w:val="20"/>
          <w:szCs w:val="20"/>
          <w:lang w:val="en-GB"/>
        </w:rPr>
        <w:t>Table 1. Maximum admissible concentrations (MAC) of the investigated active substances in drinking water</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2095"/>
        <w:gridCol w:w="1276"/>
        <w:gridCol w:w="2329"/>
      </w:tblGrid>
      <w:tr w:rsidR="00C26EE6" w:rsidRPr="00EF757D" w14:paraId="3A70D3C3" w14:textId="77777777" w:rsidTr="00EF7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5B4DDD76" w14:textId="0CBC1018" w:rsidR="00577B31" w:rsidRPr="00EF757D" w:rsidRDefault="00577B31" w:rsidP="0032542B">
            <w:pPr>
              <w:spacing w:line="240" w:lineRule="auto"/>
              <w:jc w:val="center"/>
              <w:rPr>
                <w:rFonts w:ascii="Arial" w:hAnsi="Arial" w:cs="Arial"/>
                <w:b w:val="0"/>
                <w:bCs w:val="0"/>
                <w:sz w:val="20"/>
                <w:szCs w:val="20"/>
              </w:rPr>
            </w:pPr>
            <w:r w:rsidRPr="00EF757D">
              <w:rPr>
                <w:rFonts w:ascii="Arial" w:hAnsi="Arial" w:cs="Arial"/>
                <w:sz w:val="20"/>
                <w:szCs w:val="20"/>
              </w:rPr>
              <w:t>Active substances</w:t>
            </w:r>
          </w:p>
        </w:tc>
        <w:tc>
          <w:tcPr>
            <w:tcW w:w="0" w:type="auto"/>
            <w:tcBorders>
              <w:top w:val="single" w:sz="4" w:space="0" w:color="auto"/>
              <w:bottom w:val="single" w:sz="4" w:space="0" w:color="auto"/>
            </w:tcBorders>
          </w:tcPr>
          <w:p w14:paraId="5535E45D" w14:textId="4EAA02A6" w:rsidR="00577B31" w:rsidRPr="00EF757D" w:rsidRDefault="0032542B" w:rsidP="0032542B">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757D">
              <w:rPr>
                <w:rFonts w:ascii="Arial" w:hAnsi="Arial" w:cs="Arial"/>
                <w:sz w:val="20"/>
                <w:szCs w:val="20"/>
              </w:rPr>
              <w:t>MAC (µg/L)</w:t>
            </w:r>
          </w:p>
        </w:tc>
        <w:tc>
          <w:tcPr>
            <w:tcW w:w="0" w:type="auto"/>
            <w:tcBorders>
              <w:top w:val="single" w:sz="4" w:space="0" w:color="auto"/>
              <w:bottom w:val="single" w:sz="4" w:space="0" w:color="auto"/>
            </w:tcBorders>
          </w:tcPr>
          <w:p w14:paraId="0F869E3A" w14:textId="456DD0D7" w:rsidR="00577B31" w:rsidRPr="00EF757D" w:rsidRDefault="0032542B" w:rsidP="0032542B">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sidRPr="00EF757D">
              <w:rPr>
                <w:rFonts w:ascii="Arial" w:hAnsi="Arial" w:cs="Arial"/>
                <w:sz w:val="20"/>
                <w:szCs w:val="20"/>
              </w:rPr>
              <w:t>References</w:t>
            </w:r>
            <w:proofErr w:type="spellEnd"/>
          </w:p>
        </w:tc>
      </w:tr>
      <w:tr w:rsidR="00C26EE6" w:rsidRPr="00EF757D" w14:paraId="1EAF7962"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tcPr>
          <w:p w14:paraId="1578BEA1" w14:textId="77777777"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Atrazine</w:t>
            </w:r>
          </w:p>
        </w:tc>
        <w:tc>
          <w:tcPr>
            <w:tcW w:w="0" w:type="auto"/>
            <w:tcBorders>
              <w:top w:val="single" w:sz="4" w:space="0" w:color="auto"/>
              <w:bottom w:val="none" w:sz="0" w:space="0" w:color="auto"/>
            </w:tcBorders>
          </w:tcPr>
          <w:p w14:paraId="5435D159" w14:textId="77777777"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100</w:t>
            </w:r>
          </w:p>
        </w:tc>
        <w:tc>
          <w:tcPr>
            <w:tcW w:w="0" w:type="auto"/>
            <w:tcBorders>
              <w:top w:val="single" w:sz="4" w:space="0" w:color="auto"/>
              <w:bottom w:val="none" w:sz="0" w:space="0" w:color="auto"/>
            </w:tcBorders>
          </w:tcPr>
          <w:p w14:paraId="2FAD1947" w14:textId="565B779F" w:rsidR="00577B31" w:rsidRPr="00EF757D" w:rsidRDefault="0032542B"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WHO</w:t>
            </w:r>
            <w:r w:rsidR="00577B31" w:rsidRPr="00EF757D">
              <w:rPr>
                <w:rFonts w:ascii="Arial" w:hAnsi="Arial" w:cs="Arial"/>
                <w:sz w:val="20"/>
                <w:szCs w:val="20"/>
              </w:rPr>
              <w:t>, 2017</w:t>
            </w:r>
          </w:p>
        </w:tc>
      </w:tr>
      <w:tr w:rsidR="00C26EE6" w:rsidRPr="00EF757D" w14:paraId="6D2EAFAD"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4CD06E1B" w14:textId="77777777"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Terbuthylazine</w:t>
            </w:r>
          </w:p>
        </w:tc>
        <w:tc>
          <w:tcPr>
            <w:tcW w:w="0" w:type="auto"/>
          </w:tcPr>
          <w:p w14:paraId="731CE2EA" w14:textId="77777777"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7</w:t>
            </w:r>
          </w:p>
        </w:tc>
        <w:tc>
          <w:tcPr>
            <w:tcW w:w="0" w:type="auto"/>
          </w:tcPr>
          <w:p w14:paraId="363A146F" w14:textId="0AB2C0E0" w:rsidR="00577B31" w:rsidRPr="00EF757D" w:rsidRDefault="0032542B"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WHO</w:t>
            </w:r>
            <w:r w:rsidR="00577B31" w:rsidRPr="00EF757D">
              <w:rPr>
                <w:rFonts w:ascii="Arial" w:hAnsi="Arial" w:cs="Arial"/>
                <w:sz w:val="20"/>
                <w:szCs w:val="20"/>
              </w:rPr>
              <w:t>, 2017</w:t>
            </w:r>
          </w:p>
        </w:tc>
      </w:tr>
      <w:tr w:rsidR="00C26EE6" w:rsidRPr="00EF757D" w14:paraId="4763D597"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3167962" w14:textId="7CDEAF9A"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M</w:t>
            </w:r>
            <w:r w:rsidR="0032542B" w:rsidRPr="00EF757D">
              <w:rPr>
                <w:rFonts w:ascii="Arial" w:hAnsi="Arial" w:cs="Arial"/>
                <w:b w:val="0"/>
                <w:bCs w:val="0"/>
                <w:sz w:val="20"/>
                <w:szCs w:val="20"/>
              </w:rPr>
              <w:t>e</w:t>
            </w:r>
            <w:r w:rsidRPr="00EF757D">
              <w:rPr>
                <w:rFonts w:ascii="Arial" w:hAnsi="Arial" w:cs="Arial"/>
                <w:b w:val="0"/>
                <w:bCs w:val="0"/>
                <w:sz w:val="20"/>
                <w:szCs w:val="20"/>
              </w:rPr>
              <w:t>tolachlor</w:t>
            </w:r>
            <w:proofErr w:type="spellEnd"/>
          </w:p>
        </w:tc>
        <w:tc>
          <w:tcPr>
            <w:tcW w:w="0" w:type="auto"/>
            <w:tcBorders>
              <w:top w:val="none" w:sz="0" w:space="0" w:color="auto"/>
              <w:bottom w:val="none" w:sz="0" w:space="0" w:color="auto"/>
            </w:tcBorders>
          </w:tcPr>
          <w:p w14:paraId="003B700F" w14:textId="77777777"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10</w:t>
            </w:r>
          </w:p>
        </w:tc>
        <w:tc>
          <w:tcPr>
            <w:tcW w:w="0" w:type="auto"/>
            <w:tcBorders>
              <w:top w:val="none" w:sz="0" w:space="0" w:color="auto"/>
              <w:bottom w:val="none" w:sz="0" w:space="0" w:color="auto"/>
            </w:tcBorders>
          </w:tcPr>
          <w:p w14:paraId="03469F8F" w14:textId="76247CC3" w:rsidR="00577B31" w:rsidRPr="00EF757D" w:rsidRDefault="0032542B"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WHO</w:t>
            </w:r>
            <w:r w:rsidR="00577B31" w:rsidRPr="00EF757D">
              <w:rPr>
                <w:rFonts w:ascii="Arial" w:hAnsi="Arial" w:cs="Arial"/>
                <w:sz w:val="20"/>
                <w:szCs w:val="20"/>
              </w:rPr>
              <w:t>, 2017</w:t>
            </w:r>
          </w:p>
        </w:tc>
      </w:tr>
      <w:tr w:rsidR="00C26EE6" w:rsidRPr="00EF757D" w14:paraId="368A4C64"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5C05E340" w14:textId="536CE2EE"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Pendim</w:t>
            </w:r>
            <w:r w:rsidR="0032542B" w:rsidRPr="00EF757D">
              <w:rPr>
                <w:rFonts w:ascii="Arial" w:hAnsi="Arial" w:cs="Arial"/>
                <w:b w:val="0"/>
                <w:bCs w:val="0"/>
                <w:sz w:val="20"/>
                <w:szCs w:val="20"/>
              </w:rPr>
              <w:t>e</w:t>
            </w:r>
            <w:r w:rsidRPr="00EF757D">
              <w:rPr>
                <w:rFonts w:ascii="Arial" w:hAnsi="Arial" w:cs="Arial"/>
                <w:b w:val="0"/>
                <w:bCs w:val="0"/>
                <w:sz w:val="20"/>
                <w:szCs w:val="20"/>
              </w:rPr>
              <w:t>thaline</w:t>
            </w:r>
            <w:proofErr w:type="spellEnd"/>
          </w:p>
        </w:tc>
        <w:tc>
          <w:tcPr>
            <w:tcW w:w="0" w:type="auto"/>
          </w:tcPr>
          <w:p w14:paraId="68EBED42" w14:textId="77777777"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20</w:t>
            </w:r>
          </w:p>
        </w:tc>
        <w:tc>
          <w:tcPr>
            <w:tcW w:w="0" w:type="auto"/>
          </w:tcPr>
          <w:p w14:paraId="3DF9E31B" w14:textId="734ED147" w:rsidR="00577B31" w:rsidRPr="00EF757D" w:rsidRDefault="0032542B"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WHO</w:t>
            </w:r>
            <w:r w:rsidR="00577B31" w:rsidRPr="00EF757D">
              <w:rPr>
                <w:rFonts w:ascii="Arial" w:hAnsi="Arial" w:cs="Arial"/>
                <w:sz w:val="20"/>
                <w:szCs w:val="20"/>
              </w:rPr>
              <w:t>, 2017</w:t>
            </w:r>
          </w:p>
        </w:tc>
      </w:tr>
      <w:tr w:rsidR="00C26EE6" w:rsidRPr="00EF757D" w14:paraId="2BFA2D27"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72A15A0A" w14:textId="77777777"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2,4-D</w:t>
            </w:r>
          </w:p>
        </w:tc>
        <w:tc>
          <w:tcPr>
            <w:tcW w:w="0" w:type="auto"/>
            <w:tcBorders>
              <w:top w:val="none" w:sz="0" w:space="0" w:color="auto"/>
              <w:bottom w:val="none" w:sz="0" w:space="0" w:color="auto"/>
            </w:tcBorders>
          </w:tcPr>
          <w:p w14:paraId="330816F0" w14:textId="77777777"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30</w:t>
            </w:r>
          </w:p>
        </w:tc>
        <w:tc>
          <w:tcPr>
            <w:tcW w:w="0" w:type="auto"/>
            <w:tcBorders>
              <w:top w:val="none" w:sz="0" w:space="0" w:color="auto"/>
              <w:bottom w:val="none" w:sz="0" w:space="0" w:color="auto"/>
            </w:tcBorders>
          </w:tcPr>
          <w:p w14:paraId="5864BED7" w14:textId="18EBC945" w:rsidR="00577B31" w:rsidRPr="00EF757D" w:rsidRDefault="0032542B"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WHO</w:t>
            </w:r>
            <w:r w:rsidR="00577B31" w:rsidRPr="00EF757D">
              <w:rPr>
                <w:rFonts w:ascii="Arial" w:hAnsi="Arial" w:cs="Arial"/>
                <w:sz w:val="20"/>
                <w:szCs w:val="20"/>
              </w:rPr>
              <w:t>, 2017</w:t>
            </w:r>
          </w:p>
        </w:tc>
      </w:tr>
      <w:tr w:rsidR="00C26EE6" w:rsidRPr="00EF757D" w14:paraId="22324EB3"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37A2EBFD" w14:textId="77777777"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lastRenderedPageBreak/>
              <w:t>Diuron</w:t>
            </w:r>
          </w:p>
        </w:tc>
        <w:tc>
          <w:tcPr>
            <w:tcW w:w="0" w:type="auto"/>
          </w:tcPr>
          <w:p w14:paraId="004412F2" w14:textId="6901A437"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Pr>
          <w:p w14:paraId="4E976CB6" w14:textId="77777777" w:rsidR="00577B31" w:rsidRPr="00EF757D" w:rsidRDefault="00577B31"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23983357"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7F01DCF3" w14:textId="7F449A31"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M</w:t>
            </w:r>
            <w:r w:rsidR="0032542B" w:rsidRPr="00EF757D">
              <w:rPr>
                <w:rFonts w:ascii="Arial" w:hAnsi="Arial" w:cs="Arial"/>
                <w:b w:val="0"/>
                <w:bCs w:val="0"/>
                <w:sz w:val="20"/>
                <w:szCs w:val="20"/>
              </w:rPr>
              <w:t>e</w:t>
            </w:r>
            <w:r w:rsidRPr="00EF757D">
              <w:rPr>
                <w:rFonts w:ascii="Arial" w:hAnsi="Arial" w:cs="Arial"/>
                <w:b w:val="0"/>
                <w:bCs w:val="0"/>
                <w:sz w:val="20"/>
                <w:szCs w:val="20"/>
              </w:rPr>
              <w:t>sotrione</w:t>
            </w:r>
            <w:proofErr w:type="spellEnd"/>
          </w:p>
        </w:tc>
        <w:tc>
          <w:tcPr>
            <w:tcW w:w="0" w:type="auto"/>
            <w:tcBorders>
              <w:top w:val="none" w:sz="0" w:space="0" w:color="auto"/>
              <w:bottom w:val="none" w:sz="0" w:space="0" w:color="auto"/>
            </w:tcBorders>
          </w:tcPr>
          <w:p w14:paraId="058651C3" w14:textId="1D9B3FD2"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Borders>
              <w:top w:val="none" w:sz="0" w:space="0" w:color="auto"/>
              <w:bottom w:val="none" w:sz="0" w:space="0" w:color="auto"/>
            </w:tcBorders>
          </w:tcPr>
          <w:p w14:paraId="0CFB6682" w14:textId="77777777" w:rsidR="00577B31" w:rsidRPr="00EF757D" w:rsidRDefault="00577B31"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04012088"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20F6473B" w14:textId="77777777"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Nicosulfuron</w:t>
            </w:r>
          </w:p>
        </w:tc>
        <w:tc>
          <w:tcPr>
            <w:tcW w:w="0" w:type="auto"/>
          </w:tcPr>
          <w:p w14:paraId="231765DF" w14:textId="69D97E46"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Pr>
          <w:p w14:paraId="53ABE1C5" w14:textId="77777777" w:rsidR="00577B31" w:rsidRPr="00EF757D" w:rsidRDefault="00577B31"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45389CE6"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A49AC57" w14:textId="1C98B0EB"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Bensulfuron-m</w:t>
            </w:r>
            <w:r w:rsidR="00C26EE6" w:rsidRPr="00EF757D">
              <w:rPr>
                <w:rFonts w:ascii="Arial" w:hAnsi="Arial" w:cs="Arial"/>
                <w:b w:val="0"/>
                <w:bCs w:val="0"/>
                <w:sz w:val="20"/>
                <w:szCs w:val="20"/>
              </w:rPr>
              <w:t>e</w:t>
            </w:r>
            <w:r w:rsidRPr="00EF757D">
              <w:rPr>
                <w:rFonts w:ascii="Arial" w:hAnsi="Arial" w:cs="Arial"/>
                <w:b w:val="0"/>
                <w:bCs w:val="0"/>
                <w:sz w:val="20"/>
                <w:szCs w:val="20"/>
              </w:rPr>
              <w:t>thyl</w:t>
            </w:r>
            <w:proofErr w:type="spellEnd"/>
          </w:p>
        </w:tc>
        <w:tc>
          <w:tcPr>
            <w:tcW w:w="0" w:type="auto"/>
            <w:tcBorders>
              <w:top w:val="none" w:sz="0" w:space="0" w:color="auto"/>
              <w:bottom w:val="none" w:sz="0" w:space="0" w:color="auto"/>
            </w:tcBorders>
          </w:tcPr>
          <w:p w14:paraId="37656284" w14:textId="5D9E1413"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Borders>
              <w:top w:val="none" w:sz="0" w:space="0" w:color="auto"/>
              <w:bottom w:val="none" w:sz="0" w:space="0" w:color="auto"/>
            </w:tcBorders>
          </w:tcPr>
          <w:p w14:paraId="478144C9" w14:textId="77777777" w:rsidR="00577B31" w:rsidRPr="00EF757D" w:rsidRDefault="00577B31"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16D2C0B7"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27E80124" w14:textId="63C33A3F"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Haloxyfop-R-</w:t>
            </w:r>
            <w:proofErr w:type="spellStart"/>
            <w:r w:rsidRPr="00EF757D">
              <w:rPr>
                <w:rFonts w:ascii="Arial" w:hAnsi="Arial" w:cs="Arial"/>
                <w:b w:val="0"/>
                <w:bCs w:val="0"/>
                <w:sz w:val="20"/>
                <w:szCs w:val="20"/>
              </w:rPr>
              <w:t>m</w:t>
            </w:r>
            <w:r w:rsidR="00C26EE6" w:rsidRPr="00EF757D">
              <w:rPr>
                <w:rFonts w:ascii="Arial" w:hAnsi="Arial" w:cs="Arial"/>
                <w:b w:val="0"/>
                <w:bCs w:val="0"/>
                <w:sz w:val="20"/>
                <w:szCs w:val="20"/>
              </w:rPr>
              <w:t>e</w:t>
            </w:r>
            <w:r w:rsidRPr="00EF757D">
              <w:rPr>
                <w:rFonts w:ascii="Arial" w:hAnsi="Arial" w:cs="Arial"/>
                <w:b w:val="0"/>
                <w:bCs w:val="0"/>
                <w:sz w:val="20"/>
                <w:szCs w:val="20"/>
              </w:rPr>
              <w:t>thyl</w:t>
            </w:r>
            <w:proofErr w:type="spellEnd"/>
          </w:p>
        </w:tc>
        <w:tc>
          <w:tcPr>
            <w:tcW w:w="0" w:type="auto"/>
          </w:tcPr>
          <w:p w14:paraId="0A8096E7" w14:textId="5AE5D12F"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Pr>
          <w:p w14:paraId="0229C0B6" w14:textId="77777777" w:rsidR="00577B31" w:rsidRPr="00EF757D" w:rsidRDefault="00577B31"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7E2AE447"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2E37E19C" w14:textId="2FD233CE"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Prom</w:t>
            </w:r>
            <w:r w:rsidR="00C26EE6" w:rsidRPr="00EF757D">
              <w:rPr>
                <w:rFonts w:ascii="Arial" w:hAnsi="Arial" w:cs="Arial"/>
                <w:b w:val="0"/>
                <w:bCs w:val="0"/>
                <w:sz w:val="20"/>
                <w:szCs w:val="20"/>
              </w:rPr>
              <w:t>e</w:t>
            </w:r>
            <w:r w:rsidRPr="00EF757D">
              <w:rPr>
                <w:rFonts w:ascii="Arial" w:hAnsi="Arial" w:cs="Arial"/>
                <w:b w:val="0"/>
                <w:bCs w:val="0"/>
                <w:sz w:val="20"/>
                <w:szCs w:val="20"/>
              </w:rPr>
              <w:t>tryn</w:t>
            </w:r>
            <w:proofErr w:type="spellEnd"/>
          </w:p>
        </w:tc>
        <w:tc>
          <w:tcPr>
            <w:tcW w:w="0" w:type="auto"/>
            <w:tcBorders>
              <w:top w:val="none" w:sz="0" w:space="0" w:color="auto"/>
              <w:bottom w:val="none" w:sz="0" w:space="0" w:color="auto"/>
            </w:tcBorders>
          </w:tcPr>
          <w:p w14:paraId="30D6DFD6" w14:textId="17D26CC4"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Borders>
              <w:top w:val="none" w:sz="0" w:space="0" w:color="auto"/>
              <w:bottom w:val="none" w:sz="0" w:space="0" w:color="auto"/>
            </w:tcBorders>
          </w:tcPr>
          <w:p w14:paraId="3E55D721" w14:textId="77777777" w:rsidR="00577B31" w:rsidRPr="00EF757D" w:rsidRDefault="00577B31"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275D733B"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4E846915" w14:textId="4BF5EEAA"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Emamectin</w:t>
            </w:r>
            <w:proofErr w:type="spellEnd"/>
            <w:r w:rsidRPr="00EF757D">
              <w:rPr>
                <w:rFonts w:ascii="Arial" w:hAnsi="Arial" w:cs="Arial"/>
                <w:b w:val="0"/>
                <w:bCs w:val="0"/>
                <w:sz w:val="20"/>
                <w:szCs w:val="20"/>
              </w:rPr>
              <w:t xml:space="preserve"> benzoate</w:t>
            </w:r>
          </w:p>
        </w:tc>
        <w:tc>
          <w:tcPr>
            <w:tcW w:w="0" w:type="auto"/>
          </w:tcPr>
          <w:p w14:paraId="48C03D0B" w14:textId="21F88A6D"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Pr>
          <w:p w14:paraId="11F2B6DA" w14:textId="77777777" w:rsidR="00577B31" w:rsidRPr="00EF757D" w:rsidRDefault="00577B31"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29264AA1"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single" w:sz="4" w:space="0" w:color="auto"/>
            </w:tcBorders>
          </w:tcPr>
          <w:p w14:paraId="471A7473" w14:textId="77777777"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Bispyribac</w:t>
            </w:r>
            <w:proofErr w:type="spellEnd"/>
            <w:r w:rsidRPr="00EF757D">
              <w:rPr>
                <w:rFonts w:ascii="Arial" w:hAnsi="Arial" w:cs="Arial"/>
                <w:b w:val="0"/>
                <w:bCs w:val="0"/>
                <w:sz w:val="20"/>
                <w:szCs w:val="20"/>
              </w:rPr>
              <w:t>-sodium</w:t>
            </w:r>
          </w:p>
        </w:tc>
        <w:tc>
          <w:tcPr>
            <w:tcW w:w="0" w:type="auto"/>
            <w:tcBorders>
              <w:top w:val="none" w:sz="0" w:space="0" w:color="auto"/>
              <w:bottom w:val="single" w:sz="4" w:space="0" w:color="auto"/>
            </w:tcBorders>
          </w:tcPr>
          <w:p w14:paraId="5CF24DB2" w14:textId="7122F51B"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Borders>
              <w:top w:val="none" w:sz="0" w:space="0" w:color="auto"/>
              <w:bottom w:val="single" w:sz="4" w:space="0" w:color="auto"/>
            </w:tcBorders>
          </w:tcPr>
          <w:p w14:paraId="569B9169" w14:textId="77777777" w:rsidR="00577B31" w:rsidRPr="00EF757D" w:rsidRDefault="00577B31"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bl>
    <w:p w14:paraId="42411837" w14:textId="77777777" w:rsidR="0032542B" w:rsidRPr="0032542B" w:rsidRDefault="0032542B" w:rsidP="0032542B">
      <w:pPr>
        <w:spacing w:before="120" w:after="120" w:line="240" w:lineRule="auto"/>
        <w:jc w:val="both"/>
        <w:rPr>
          <w:rFonts w:ascii="Arial" w:hAnsi="Arial" w:cs="Arial"/>
          <w:sz w:val="20"/>
          <w:szCs w:val="20"/>
          <w:lang w:val="en-GB"/>
        </w:rPr>
      </w:pPr>
      <w:r w:rsidRPr="0032542B">
        <w:rPr>
          <w:rFonts w:ascii="Arial" w:hAnsi="Arial" w:cs="Arial"/>
          <w:i/>
          <w:iCs/>
          <w:sz w:val="20"/>
          <w:szCs w:val="20"/>
          <w:lang w:val="en-GB"/>
        </w:rPr>
        <w:t>Source: EU Directive 2020/2184; WHO, 2017.</w:t>
      </w:r>
      <w:r w:rsidRPr="0032542B">
        <w:rPr>
          <w:rFonts w:ascii="Arial" w:hAnsi="Arial" w:cs="Arial"/>
          <w:sz w:val="20"/>
          <w:szCs w:val="20"/>
          <w:lang w:val="en-GB"/>
        </w:rPr>
        <w:t xml:space="preserve"> </w:t>
      </w:r>
    </w:p>
    <w:p w14:paraId="04426710" w14:textId="77777777" w:rsidR="0073550A" w:rsidRPr="0073550A" w:rsidRDefault="0073550A" w:rsidP="009C2C56">
      <w:pPr>
        <w:spacing w:before="120" w:after="120" w:line="240" w:lineRule="auto"/>
        <w:rPr>
          <w:rFonts w:ascii="Arial" w:hAnsi="Arial" w:cs="Arial"/>
          <w:b/>
          <w:bCs/>
          <w:sz w:val="20"/>
          <w:szCs w:val="20"/>
          <w:lang w:val="en-GB"/>
        </w:rPr>
      </w:pPr>
      <w:r w:rsidRPr="0073550A">
        <w:rPr>
          <w:rFonts w:ascii="Arial" w:hAnsi="Arial" w:cs="Arial"/>
          <w:b/>
          <w:bCs/>
          <w:sz w:val="20"/>
          <w:szCs w:val="20"/>
          <w:lang w:val="en-GB"/>
        </w:rPr>
        <w:t>2.3.2 Preparation of Analytical Standards</w:t>
      </w:r>
    </w:p>
    <w:p w14:paraId="65C54D8D" w14:textId="4A650DDE"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An external calibration method was used. For each active substance, 25 mg of analytical standard (purity ≥ 99.9%) were weighed into a 25 mL volumetric flask and brought to volume with HPLC-grade acetonitrile. The mixture was vigorously shaken and homogenised by ultrasonication, yielding stock solutions at 1000 mg/L (1000 ppm).</w:t>
      </w:r>
      <w:r w:rsidR="002B5803" w:rsidRPr="002B5803">
        <w:rPr>
          <w:rFonts w:ascii="Arial" w:hAnsi="Arial" w:cs="Arial"/>
          <w:sz w:val="20"/>
          <w:szCs w:val="20"/>
          <w:lang w:val="en-GB"/>
        </w:rPr>
        <w:t xml:space="preserve"> </w:t>
      </w:r>
      <w:r w:rsidRPr="0073550A">
        <w:rPr>
          <w:rFonts w:ascii="Arial" w:hAnsi="Arial" w:cs="Arial"/>
          <w:sz w:val="20"/>
          <w:szCs w:val="20"/>
          <w:lang w:val="en-GB"/>
        </w:rPr>
        <w:t>From each stock solution, six secondary standard solutions were prepared at concentrations of 5, 2.5, 1.25, 0.625, 0.3125 and 0.15625 mg/L (ppm). These solutions were injected into the HPLC system, and calibration curves (peak area as a function of concentration) were constructed using the six calibration points for each herbicide.</w:t>
      </w:r>
    </w:p>
    <w:p w14:paraId="5D3D084B" w14:textId="77777777" w:rsidR="0073550A" w:rsidRPr="0073550A" w:rsidRDefault="0073550A" w:rsidP="009C2C56">
      <w:pPr>
        <w:spacing w:before="120" w:after="120" w:line="240" w:lineRule="auto"/>
        <w:rPr>
          <w:rFonts w:ascii="Arial" w:hAnsi="Arial" w:cs="Arial"/>
          <w:b/>
          <w:bCs/>
          <w:sz w:val="20"/>
          <w:szCs w:val="20"/>
          <w:lang w:val="en-GB"/>
        </w:rPr>
      </w:pPr>
      <w:r w:rsidRPr="0073550A">
        <w:rPr>
          <w:rFonts w:ascii="Arial" w:hAnsi="Arial" w:cs="Arial"/>
          <w:b/>
          <w:bCs/>
          <w:sz w:val="20"/>
          <w:szCs w:val="20"/>
          <w:lang w:val="en-GB"/>
        </w:rPr>
        <w:t>2.3.3 Extraction (</w:t>
      </w:r>
      <w:proofErr w:type="spellStart"/>
      <w:r w:rsidRPr="0073550A">
        <w:rPr>
          <w:rFonts w:ascii="Arial" w:hAnsi="Arial" w:cs="Arial"/>
          <w:b/>
          <w:bCs/>
          <w:sz w:val="20"/>
          <w:szCs w:val="20"/>
          <w:lang w:val="en-GB"/>
        </w:rPr>
        <w:t>QuEChERS</w:t>
      </w:r>
      <w:proofErr w:type="spellEnd"/>
      <w:r w:rsidRPr="0073550A">
        <w:rPr>
          <w:rFonts w:ascii="Arial" w:hAnsi="Arial" w:cs="Arial"/>
          <w:b/>
          <w:bCs/>
          <w:sz w:val="20"/>
          <w:szCs w:val="20"/>
          <w:lang w:val="en-GB"/>
        </w:rPr>
        <w:t xml:space="preserve"> Method)</w:t>
      </w:r>
    </w:p>
    <w:p w14:paraId="69281317" w14:textId="2C7E7F72"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 xml:space="preserve">The extraction procedure was adapted from the </w:t>
      </w:r>
      <w:proofErr w:type="spellStart"/>
      <w:r w:rsidRPr="0073550A">
        <w:rPr>
          <w:rFonts w:ascii="Arial" w:hAnsi="Arial" w:cs="Arial"/>
          <w:sz w:val="20"/>
          <w:szCs w:val="20"/>
          <w:lang w:val="en-GB"/>
        </w:rPr>
        <w:t>QuEChERS</w:t>
      </w:r>
      <w:proofErr w:type="spellEnd"/>
      <w:r w:rsidRPr="0073550A">
        <w:rPr>
          <w:rFonts w:ascii="Arial" w:hAnsi="Arial" w:cs="Arial"/>
          <w:sz w:val="20"/>
          <w:szCs w:val="20"/>
          <w:lang w:val="en-GB"/>
        </w:rPr>
        <w:t xml:space="preserve"> (Quick, Easy, Cheap, Effective, Rugged and Safe) method described by</w:t>
      </w:r>
      <w:r w:rsidRPr="002712AB">
        <w:rPr>
          <w:rFonts w:ascii="Arial" w:hAnsi="Arial" w:cs="Arial"/>
          <w:sz w:val="20"/>
          <w:szCs w:val="20"/>
          <w:lang w:val="en-GB"/>
        </w:rPr>
        <w:t xml:space="preserve"> </w:t>
      </w:r>
      <w:r w:rsidR="00EB05AA">
        <w:rPr>
          <w:rFonts w:ascii="Arial" w:hAnsi="Arial" w:cs="Arial"/>
          <w:sz w:val="20"/>
          <w:szCs w:val="20"/>
        </w:rPr>
        <w:fldChar w:fldCharType="begin"/>
      </w:r>
      <w:r w:rsidR="004A43B1">
        <w:rPr>
          <w:rFonts w:ascii="Arial" w:hAnsi="Arial" w:cs="Arial"/>
          <w:sz w:val="20"/>
          <w:szCs w:val="20"/>
          <w:lang w:val="en-GB"/>
        </w:rPr>
        <w:instrText xml:space="preserve"> ADDIN ZOTERO_ITEM CSL_CITATION {"citationID":"XO2Zinu4","properties":{"formattedCitation":"(Anastassiades et al., 2003)","plainCitation":"(Anastassiades et al., 2003)","dontUpdate":true,"noteIndex":0},"citationItems":[{"id":2921,"uris":["http://zotero.org/users/5723659/items/PPR7DQIT"],"itemData":{"id":2921,"type":"article-journal","abstract":"Abstract\n            A simple, fast, and inexpensive method for the determination of pesticide residues in fruits and vegetables is introduced. The procedure involves initial single-phase extraction of 10 g sample with 10 mL acetonitrile, followed by liquid–liquid partitioning formed by addition of 4 g anhydrous MgSO4 plus 1 g NaCl. Removal of residual water and cleanup are performed simultaneously by using a rapid procedure called dispersive solid-phase extraction (dispersive-SPE), in which 150 mg anhydrous MgSO4 and 25 mg primary secondary amine (PSA) sorbent are simply mixed with 1 mL acetonitrile extract. The dispersive-SPE with PSA effectively removes many polar matrix components, such as organic acids, certain polar pigments, and sugars, to some extent from the food extracts. Gas chromatography/mass spectrometry (GC/MS) is then used for quantitative and confirmatory analysis of GC-amenable pesticides. Recoveries between 85 and 101% (mostly &amp;gt;95%) and repeatabilities typically &amp;lt;5% have been achieved for a wide range of fortified pesticides, including very polar and basic compounds such as methamidophos, acephate, omethoate, imazalil, and thiabendazole. Using this method, a single chemist can prepare a batch of 6 previously chopped samples in &amp;lt;30 min with approximately $1 (U.S.) of materials per sample.","container-title":"Journal of AOAC International","DOI":"10.1093/jaoac/86.2.412","ISSN":"1060-3271, 1944-7922","issue":"2","language":"en","license":"https://academic.oup.com/journals/pages/open_access/funder_policies/chorus/standard_publication_model","page":"412-431","source":"DOI.org (Crossref)","title":"Fast and Easy Multiresidue Method Employing Acetonitrile Extraction/Partitioning and “Dispersive Solid-Phase Extraction” for the Determination of Pesticide Residues in Produce","volume":"86","author":[{"family":"Anastassiades","given":"Michelangelo"},{"family":"Lehotay","given":"Steven J"},{"family":"Štajnbaher","given":"Darinka"},{"family":"Schenck","given":"Frank J"}],"issued":{"date-parts":[["2003"]]}}}],"schema":"https://github.com/citation-style-language/schema/raw/master/csl-citation.json"} </w:instrText>
      </w:r>
      <w:r w:rsidR="00EB05AA">
        <w:rPr>
          <w:rFonts w:ascii="Arial" w:hAnsi="Arial" w:cs="Arial"/>
          <w:sz w:val="20"/>
          <w:szCs w:val="20"/>
        </w:rPr>
        <w:fldChar w:fldCharType="separate"/>
      </w:r>
      <w:r w:rsidR="00EB05AA" w:rsidRPr="002712AB">
        <w:rPr>
          <w:rFonts w:ascii="Arial" w:hAnsi="Arial" w:cs="Arial"/>
          <w:sz w:val="20"/>
          <w:lang w:val="en-GB"/>
        </w:rPr>
        <w:t xml:space="preserve">Anastassiades et al. </w:t>
      </w:r>
      <w:r w:rsidR="002712AB" w:rsidRPr="002712AB">
        <w:rPr>
          <w:rFonts w:ascii="Arial" w:hAnsi="Arial" w:cs="Arial"/>
          <w:sz w:val="20"/>
          <w:lang w:val="en-GB"/>
        </w:rPr>
        <w:t>(</w:t>
      </w:r>
      <w:r w:rsidR="00EB05AA" w:rsidRPr="002712AB">
        <w:rPr>
          <w:rFonts w:ascii="Arial" w:hAnsi="Arial" w:cs="Arial"/>
          <w:sz w:val="20"/>
          <w:lang w:val="en-GB"/>
        </w:rPr>
        <w:t>2003)</w:t>
      </w:r>
      <w:r w:rsidR="00EB05AA">
        <w:rPr>
          <w:rFonts w:ascii="Arial" w:hAnsi="Arial" w:cs="Arial"/>
          <w:sz w:val="20"/>
          <w:szCs w:val="20"/>
        </w:rPr>
        <w:fldChar w:fldCharType="end"/>
      </w:r>
      <w:r w:rsidR="00EB05AA" w:rsidRPr="002712AB">
        <w:rPr>
          <w:rFonts w:ascii="Arial" w:hAnsi="Arial" w:cs="Arial"/>
          <w:sz w:val="20"/>
          <w:szCs w:val="20"/>
          <w:lang w:val="en-GB"/>
        </w:rPr>
        <w:t xml:space="preserve"> </w:t>
      </w:r>
      <w:r w:rsidRPr="002712AB">
        <w:rPr>
          <w:rFonts w:ascii="Arial" w:hAnsi="Arial" w:cs="Arial"/>
          <w:sz w:val="20"/>
          <w:szCs w:val="20"/>
          <w:lang w:val="en-GB"/>
        </w:rPr>
        <w:t xml:space="preserve">and </w:t>
      </w:r>
      <w:r w:rsidR="00E14D26">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{"citationID":"v8QXUAIJ","properties":{"formattedCitation":"(Beaumont, 2012)","plainCitation":"(Beaumont, 2012)","dontUpdate":true,"noteIndex":0},"citationItems":[{"id":2942,"uris":["http://zotero.org/users/5723659/items/BF4QWFPW"],"itemData":{"id":2942,"type":"document","title":"Application de la méthodologie Quechers sur l’extraction des pesticides et des polybromodiphényléthers (PBDE) dans les sédiments Evaluation préliminaire - Rapport AQUAREF 2012 - 69p","author":[{"family":"Beaumont","given":"Jérôme"}],"issued":{"date-parts":[["2012"]]}}}],"schema":"https://github.com/citation-style-language/schema/raw/master/csl-citation.json"} </w:instrText>
      </w:r>
      <w:r w:rsidR="00E14D26">
        <w:rPr>
          <w:rFonts w:ascii="Arial" w:hAnsi="Arial" w:cs="Arial"/>
          <w:sz w:val="20"/>
          <w:szCs w:val="20"/>
          <w:lang w:val="en-GB"/>
        </w:rPr>
        <w:fldChar w:fldCharType="separate"/>
      </w:r>
      <w:r w:rsidR="000E707F" w:rsidRPr="002712AB">
        <w:rPr>
          <w:rFonts w:ascii="Arial" w:hAnsi="Arial" w:cs="Arial"/>
          <w:sz w:val="20"/>
          <w:lang w:val="en-GB"/>
        </w:rPr>
        <w:t xml:space="preserve">Beaumont, </w:t>
      </w:r>
      <w:r w:rsidR="002712AB" w:rsidRPr="002712AB">
        <w:rPr>
          <w:rFonts w:ascii="Arial" w:hAnsi="Arial" w:cs="Arial"/>
          <w:sz w:val="20"/>
          <w:lang w:val="en-GB"/>
        </w:rPr>
        <w:t>(</w:t>
      </w:r>
      <w:r w:rsidR="000E707F" w:rsidRPr="002712AB">
        <w:rPr>
          <w:rFonts w:ascii="Arial" w:hAnsi="Arial" w:cs="Arial"/>
          <w:sz w:val="20"/>
          <w:lang w:val="en-GB"/>
        </w:rPr>
        <w:t>2012)</w:t>
      </w:r>
      <w:r w:rsidR="00E14D26">
        <w:rPr>
          <w:rFonts w:ascii="Arial" w:hAnsi="Arial" w:cs="Arial"/>
          <w:sz w:val="20"/>
          <w:szCs w:val="20"/>
          <w:lang w:val="en-GB"/>
        </w:rPr>
        <w:fldChar w:fldCharType="end"/>
      </w:r>
      <w:r w:rsidRPr="002712AB">
        <w:rPr>
          <w:rFonts w:ascii="Arial" w:hAnsi="Arial" w:cs="Arial"/>
          <w:sz w:val="20"/>
          <w:szCs w:val="20"/>
          <w:lang w:val="en-GB"/>
        </w:rPr>
        <w:t>, corresponding to the AOAC Official Method 2007.01.</w:t>
      </w:r>
      <w:r w:rsidR="002B5803" w:rsidRPr="002712AB">
        <w:rPr>
          <w:rFonts w:ascii="Arial" w:hAnsi="Arial" w:cs="Arial"/>
          <w:sz w:val="20"/>
          <w:szCs w:val="20"/>
          <w:lang w:val="en-GB"/>
        </w:rPr>
        <w:t xml:space="preserve"> </w:t>
      </w:r>
      <w:r w:rsidRPr="0073550A">
        <w:rPr>
          <w:rFonts w:ascii="Arial" w:hAnsi="Arial" w:cs="Arial"/>
          <w:sz w:val="20"/>
          <w:szCs w:val="20"/>
          <w:lang w:val="en-GB"/>
        </w:rPr>
        <w:t xml:space="preserve">A commercial extraction salt mixture was used, containing 1 g trisodium citrate dihydrate, 0.5 g disodium hydrogen citrate sesquihydrate, 1 g sodium chloride (NaCl) and 4 g anhydrous magnesium </w:t>
      </w:r>
      <w:proofErr w:type="spellStart"/>
      <w:r w:rsidRPr="0073550A">
        <w:rPr>
          <w:rFonts w:ascii="Arial" w:hAnsi="Arial" w:cs="Arial"/>
          <w:sz w:val="20"/>
          <w:szCs w:val="20"/>
          <w:lang w:val="en-GB"/>
        </w:rPr>
        <w:t>sulfate</w:t>
      </w:r>
      <w:proofErr w:type="spellEnd"/>
      <w:r w:rsidRPr="0073550A">
        <w:rPr>
          <w:rFonts w:ascii="Arial" w:hAnsi="Arial" w:cs="Arial"/>
          <w:sz w:val="20"/>
          <w:szCs w:val="20"/>
          <w:lang w:val="en-GB"/>
        </w:rPr>
        <w:t xml:space="preserve"> (MgSO</w:t>
      </w:r>
      <w:r w:rsidR="002B5803" w:rsidRPr="0047779A">
        <w:rPr>
          <w:rFonts w:ascii="Cambria Math" w:hAnsi="Cambria Math" w:cs="Cambria Math"/>
          <w:sz w:val="20"/>
          <w:szCs w:val="20"/>
          <w:vertAlign w:val="subscript"/>
          <w:lang w:val="en-GB"/>
        </w:rPr>
        <w:t>4</w:t>
      </w:r>
      <w:r w:rsidRPr="0073550A">
        <w:rPr>
          <w:rFonts w:ascii="Arial" w:hAnsi="Arial" w:cs="Arial"/>
          <w:sz w:val="20"/>
          <w:szCs w:val="20"/>
          <w:lang w:val="en-GB"/>
        </w:rPr>
        <w:t xml:space="preserve">). For clean-up, a second mixture containing 0.15 g primary–secondary amine (PSA) and 0.9 g </w:t>
      </w:r>
      <w:proofErr w:type="spellStart"/>
      <w:r w:rsidRPr="0073550A">
        <w:rPr>
          <w:rFonts w:ascii="Arial" w:hAnsi="Arial" w:cs="Arial"/>
          <w:sz w:val="20"/>
          <w:szCs w:val="20"/>
          <w:lang w:val="en-GB"/>
        </w:rPr>
        <w:t>MgSO</w:t>
      </w:r>
      <w:proofErr w:type="spellEnd"/>
      <w:r w:rsidRPr="0073550A">
        <w:rPr>
          <w:rFonts w:ascii="Cambria Math" w:hAnsi="Cambria Math" w:cs="Cambria Math"/>
          <w:sz w:val="20"/>
          <w:szCs w:val="20"/>
          <w:lang w:val="en-GB"/>
        </w:rPr>
        <w:t>₄</w:t>
      </w:r>
      <w:r w:rsidRPr="0073550A">
        <w:rPr>
          <w:rFonts w:ascii="Arial" w:hAnsi="Arial" w:cs="Arial"/>
          <w:sz w:val="20"/>
          <w:szCs w:val="20"/>
          <w:lang w:val="en-GB"/>
        </w:rPr>
        <w:t xml:space="preserve"> was used.</w:t>
      </w:r>
      <w:r w:rsidR="002B5803" w:rsidRPr="0047779A">
        <w:rPr>
          <w:rFonts w:ascii="Arial" w:hAnsi="Arial" w:cs="Arial"/>
          <w:sz w:val="20"/>
          <w:szCs w:val="20"/>
          <w:lang w:val="en-GB"/>
        </w:rPr>
        <w:t xml:space="preserve"> </w:t>
      </w:r>
      <w:r w:rsidRPr="0073550A">
        <w:rPr>
          <w:rFonts w:ascii="Arial" w:hAnsi="Arial" w:cs="Arial"/>
          <w:sz w:val="20"/>
          <w:szCs w:val="20"/>
          <w:lang w:val="en-GB"/>
        </w:rPr>
        <w:t xml:space="preserve">Aliquots of 10 mL of each water sample were transferred into 50 mL polypropylene centrifuge tubes. A liquid–liquid extraction was carried out by adding 10 mL dichloromethane and the </w:t>
      </w:r>
      <w:proofErr w:type="spellStart"/>
      <w:r w:rsidRPr="0073550A">
        <w:rPr>
          <w:rFonts w:ascii="Arial" w:hAnsi="Arial" w:cs="Arial"/>
          <w:sz w:val="20"/>
          <w:szCs w:val="20"/>
          <w:lang w:val="en-GB"/>
        </w:rPr>
        <w:t>QuEChERS</w:t>
      </w:r>
      <w:proofErr w:type="spellEnd"/>
      <w:r w:rsidRPr="0073550A">
        <w:rPr>
          <w:rFonts w:ascii="Arial" w:hAnsi="Arial" w:cs="Arial"/>
          <w:sz w:val="20"/>
          <w:szCs w:val="20"/>
          <w:lang w:val="en-GB"/>
        </w:rPr>
        <w:t xml:space="preserve"> extraction salt mixture. Tubes were shaken vigorously on a vortex mixer for 1 minute and then centrifuged at 3000 rpm for 5 minutes.</w:t>
      </w:r>
    </w:p>
    <w:p w14:paraId="417153A4" w14:textId="77777777" w:rsidR="0073550A" w:rsidRPr="0073550A" w:rsidRDefault="0073550A" w:rsidP="009C2C56">
      <w:pPr>
        <w:spacing w:before="120" w:after="120" w:line="240" w:lineRule="auto"/>
        <w:rPr>
          <w:rFonts w:ascii="Arial" w:hAnsi="Arial" w:cs="Arial"/>
          <w:b/>
          <w:bCs/>
          <w:sz w:val="20"/>
          <w:szCs w:val="20"/>
          <w:lang w:val="en-GB"/>
        </w:rPr>
      </w:pPr>
      <w:r w:rsidRPr="0073550A">
        <w:rPr>
          <w:rFonts w:ascii="Arial" w:hAnsi="Arial" w:cs="Arial"/>
          <w:b/>
          <w:bCs/>
          <w:sz w:val="20"/>
          <w:szCs w:val="20"/>
          <w:lang w:val="en-GB"/>
        </w:rPr>
        <w:t>2.3.4 Clean-up and Concentration</w:t>
      </w:r>
    </w:p>
    <w:p w14:paraId="7BE8C3C9" w14:textId="3205E339"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 xml:space="preserve">For clean-up, 10 mL of the organic supernatant were transferred into 15 mL centrifuge tubes containing the PSA + </w:t>
      </w:r>
      <w:proofErr w:type="spellStart"/>
      <w:r w:rsidRPr="0073550A">
        <w:rPr>
          <w:rFonts w:ascii="Arial" w:hAnsi="Arial" w:cs="Arial"/>
          <w:sz w:val="20"/>
          <w:szCs w:val="20"/>
          <w:lang w:val="en-GB"/>
        </w:rPr>
        <w:t>MgSO</w:t>
      </w:r>
      <w:proofErr w:type="spellEnd"/>
      <w:r w:rsidRPr="0073550A">
        <w:rPr>
          <w:rFonts w:ascii="Cambria Math" w:hAnsi="Cambria Math" w:cs="Cambria Math"/>
          <w:sz w:val="20"/>
          <w:szCs w:val="20"/>
          <w:lang w:val="en-GB"/>
        </w:rPr>
        <w:t>₄</w:t>
      </w:r>
      <w:r w:rsidRPr="0073550A">
        <w:rPr>
          <w:rFonts w:ascii="Arial" w:hAnsi="Arial" w:cs="Arial"/>
          <w:sz w:val="20"/>
          <w:szCs w:val="20"/>
          <w:lang w:val="en-GB"/>
        </w:rPr>
        <w:t xml:space="preserve"> mixture. The tubes were shaken vigorously for 1 minute and centrifuged at 3000 rpm for 5 minutes.</w:t>
      </w:r>
      <w:r w:rsidR="0047779A" w:rsidRPr="0047779A">
        <w:rPr>
          <w:rFonts w:ascii="Arial" w:hAnsi="Arial" w:cs="Arial"/>
          <w:sz w:val="20"/>
          <w:szCs w:val="20"/>
          <w:lang w:val="en-GB"/>
        </w:rPr>
        <w:t xml:space="preserve"> </w:t>
      </w:r>
      <w:r w:rsidRPr="0073550A">
        <w:rPr>
          <w:rFonts w:ascii="Arial" w:hAnsi="Arial" w:cs="Arial"/>
          <w:sz w:val="20"/>
          <w:szCs w:val="20"/>
          <w:lang w:val="en-GB"/>
        </w:rPr>
        <w:t>For concentration, a 5 mL aliquot of the purified organic phase was placed in a haemolysis tube and evaporated to dryness under a gentle stream of nitrogen. The dry residue was then reconstituted with 50 µL of HPLC-grade acetonitrile, transferred into vials and stored at low temperature until HPLC analysis.</w:t>
      </w:r>
    </w:p>
    <w:p w14:paraId="2BABF360" w14:textId="77777777" w:rsidR="0073550A" w:rsidRPr="0073550A" w:rsidRDefault="0073550A" w:rsidP="009C2C56">
      <w:pPr>
        <w:spacing w:before="120" w:after="120" w:line="240" w:lineRule="auto"/>
        <w:rPr>
          <w:rFonts w:ascii="Arial" w:hAnsi="Arial" w:cs="Arial"/>
          <w:b/>
          <w:bCs/>
          <w:sz w:val="20"/>
          <w:szCs w:val="20"/>
          <w:lang w:val="en-GB"/>
        </w:rPr>
      </w:pPr>
      <w:r w:rsidRPr="0073550A">
        <w:rPr>
          <w:rFonts w:ascii="Arial" w:hAnsi="Arial" w:cs="Arial"/>
          <w:b/>
          <w:bCs/>
          <w:sz w:val="20"/>
          <w:szCs w:val="20"/>
          <w:lang w:val="en-GB"/>
        </w:rPr>
        <w:t>2.3.5 Chromatographic Conditions</w:t>
      </w:r>
    </w:p>
    <w:p w14:paraId="16D314E7" w14:textId="02383B3B"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 xml:space="preserve">Herbicide residues were quantified using an HP 1100 series HPLC system (Hewlett-Packard) equipped with four solvent pumps, a diode-array UV detector (DAD) and an automatic injector, controlled by </w:t>
      </w:r>
      <w:proofErr w:type="spellStart"/>
      <w:r w:rsidRPr="0073550A">
        <w:rPr>
          <w:rFonts w:ascii="Arial" w:hAnsi="Arial" w:cs="Arial"/>
          <w:sz w:val="20"/>
          <w:szCs w:val="20"/>
          <w:lang w:val="en-GB"/>
        </w:rPr>
        <w:t>ChemStation</w:t>
      </w:r>
      <w:proofErr w:type="spellEnd"/>
      <w:r w:rsidRPr="0073550A">
        <w:rPr>
          <w:rFonts w:ascii="Arial" w:hAnsi="Arial" w:cs="Arial"/>
          <w:sz w:val="20"/>
          <w:szCs w:val="20"/>
          <w:lang w:val="en-GB"/>
        </w:rPr>
        <w:t xml:space="preserve"> software for data acquisition and processing.</w:t>
      </w:r>
      <w:r w:rsidR="00E14D26" w:rsidRPr="00E14D26">
        <w:rPr>
          <w:rFonts w:ascii="Arial" w:hAnsi="Arial" w:cs="Arial"/>
          <w:sz w:val="20"/>
          <w:szCs w:val="20"/>
          <w:lang w:val="en-GB"/>
        </w:rPr>
        <w:t xml:space="preserve"> </w:t>
      </w:r>
      <w:r w:rsidRPr="0073550A">
        <w:rPr>
          <w:rFonts w:ascii="Arial" w:hAnsi="Arial" w:cs="Arial"/>
          <w:sz w:val="20"/>
          <w:szCs w:val="20"/>
          <w:lang w:val="en-GB"/>
        </w:rPr>
        <w:t>The injection volume was 10 µL. Separation was achieved on a ZORBAX® C18 reverse-phase column (4.6 × 250 mm) maintained at 34°C. The mobile phase consisted of a mixture of acetonitrile and water in equal volumes, delivered in isocratic mode at a flow rate of 1 mL·min</w:t>
      </w:r>
      <w:r w:rsidRPr="0073550A">
        <w:rPr>
          <w:rFonts w:ascii="Cambria Math" w:hAnsi="Cambria Math" w:cs="Cambria Math"/>
          <w:sz w:val="20"/>
          <w:szCs w:val="20"/>
          <w:lang w:val="en-GB"/>
        </w:rPr>
        <w:t>⁻</w:t>
      </w:r>
      <w:r w:rsidRPr="0073550A">
        <w:rPr>
          <w:rFonts w:ascii="Arial" w:hAnsi="Arial" w:cs="Arial"/>
          <w:sz w:val="20"/>
          <w:szCs w:val="20"/>
          <w:lang w:val="en-GB"/>
        </w:rPr>
        <w:t>¹.</w:t>
      </w:r>
      <w:r w:rsidR="00E14D26" w:rsidRPr="00E14D26">
        <w:rPr>
          <w:rFonts w:ascii="Arial" w:hAnsi="Arial" w:cs="Arial"/>
          <w:sz w:val="20"/>
          <w:szCs w:val="20"/>
          <w:lang w:val="en-GB"/>
        </w:rPr>
        <w:t xml:space="preserve"> </w:t>
      </w:r>
      <w:r w:rsidRPr="0073550A">
        <w:rPr>
          <w:rFonts w:ascii="Arial" w:hAnsi="Arial" w:cs="Arial"/>
          <w:sz w:val="20"/>
          <w:szCs w:val="20"/>
          <w:lang w:val="en-GB"/>
        </w:rPr>
        <w:t>Chromatographic peaks were identified based on their retention times and confirmed by comparing their UV spectra with those of the corresponding standards. Quantification was then performed using the calibration curves specific to each substance.</w:t>
      </w:r>
    </w:p>
    <w:p w14:paraId="3AD59A6A"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2.4 Calculation of Herbicide Concentrations</w:t>
      </w:r>
    </w:p>
    <w:p w14:paraId="6516E51C" w14:textId="77777777" w:rsidR="003B0155" w:rsidRDefault="003B0155" w:rsidP="003B0155">
      <w:pPr>
        <w:spacing w:before="120" w:after="120" w:line="240" w:lineRule="auto"/>
        <w:jc w:val="both"/>
        <w:rPr>
          <w:rFonts w:ascii="Arial" w:hAnsi="Arial" w:cs="Arial"/>
          <w:sz w:val="20"/>
          <w:szCs w:val="20"/>
          <w:lang w:val="en-GB"/>
        </w:rPr>
      </w:pPr>
      <w:r w:rsidRPr="003B0155">
        <w:rPr>
          <w:rFonts w:ascii="Arial" w:hAnsi="Arial" w:cs="Arial"/>
          <w:sz w:val="20"/>
          <w:szCs w:val="20"/>
          <w:lang w:val="en-GB"/>
        </w:rPr>
        <w:t>The extraction and concentration procedures yielded an overall concentration factor (</w:t>
      </w:r>
      <w:r w:rsidRPr="003B0155">
        <w:rPr>
          <w:rFonts w:ascii="Arial" w:hAnsi="Arial" w:cs="Arial"/>
          <w:b/>
          <w:bCs/>
          <w:sz w:val="20"/>
          <w:szCs w:val="20"/>
          <w:lang w:val="en-GB"/>
        </w:rPr>
        <w:t>f</w:t>
      </w:r>
      <w:r w:rsidRPr="003B0155">
        <w:rPr>
          <w:rFonts w:ascii="Arial" w:hAnsi="Arial" w:cs="Arial"/>
          <w:sz w:val="20"/>
          <w:szCs w:val="20"/>
          <w:lang w:val="en-GB"/>
        </w:rPr>
        <w:t>) of 100. The concentration of each herbicide in the original water sample (</w:t>
      </w:r>
      <w:r w:rsidRPr="003B0155">
        <w:rPr>
          <w:rFonts w:ascii="Arial" w:hAnsi="Arial" w:cs="Arial"/>
          <w:b/>
          <w:bCs/>
          <w:sz w:val="20"/>
          <w:szCs w:val="20"/>
          <w:lang w:val="en-GB"/>
        </w:rPr>
        <w:t>T</w:t>
      </w:r>
      <w:r w:rsidRPr="003B0155">
        <w:rPr>
          <w:rFonts w:ascii="Arial" w:hAnsi="Arial" w:cs="Arial"/>
          <w:sz w:val="20"/>
          <w:szCs w:val="20"/>
          <w:lang w:val="en-GB"/>
        </w:rPr>
        <w:t>, µg/L) was derived from the concentration measured by HPLC in the final extract (</w:t>
      </w:r>
      <w:r w:rsidRPr="003B0155">
        <w:rPr>
          <w:rFonts w:ascii="Arial" w:hAnsi="Arial" w:cs="Arial"/>
          <w:b/>
          <w:bCs/>
          <w:sz w:val="20"/>
          <w:szCs w:val="20"/>
          <w:lang w:val="en-GB"/>
        </w:rPr>
        <w:t>Tm</w:t>
      </w:r>
      <w:r w:rsidRPr="003B0155">
        <w:rPr>
          <w:rFonts w:ascii="Arial" w:hAnsi="Arial" w:cs="Arial"/>
          <w:sz w:val="20"/>
          <w:szCs w:val="20"/>
          <w:lang w:val="en-GB"/>
        </w:rPr>
        <w:t>, µg/µL) according to:</w:t>
      </w:r>
    </w:p>
    <w:p w14:paraId="1537381E" w14:textId="1B0C83DF" w:rsidR="003B0155" w:rsidRPr="003B0155" w:rsidRDefault="003B0155" w:rsidP="003B0155">
      <w:pPr>
        <w:spacing w:before="120" w:after="120" w:line="240" w:lineRule="auto"/>
        <w:jc w:val="both"/>
        <w:rPr>
          <w:rFonts w:ascii="Cambria Math" w:eastAsia="Calibri" w:hAnsi="Cambria Math" w:cs="Arial"/>
          <w:b/>
          <w:i/>
          <w:iCs/>
          <w:sz w:val="20"/>
          <w:szCs w:val="20"/>
        </w:rPr>
      </w:pPr>
      <m:oMathPara>
        <m:oMath>
          <m:r>
            <m:rPr>
              <m:sty m:val="bi"/>
            </m:rPr>
            <w:rPr>
              <w:rFonts w:ascii="Cambria Math" w:eastAsia="Calibri" w:hAnsi="Cambria Math" w:cs="Arial"/>
              <w:sz w:val="20"/>
              <w:szCs w:val="20"/>
            </w:rPr>
            <m:t xml:space="preserve">T </m:t>
          </m:r>
          <m:r>
            <m:rPr>
              <m:sty m:val="bi"/>
            </m:rPr>
            <w:rPr>
              <w:rFonts w:ascii="Cambria Math" w:hAnsi="Cambria Math" w:cs="Arial"/>
              <w:sz w:val="20"/>
              <w:szCs w:val="20"/>
              <w:lang w:val="en-GB"/>
            </w:rPr>
            <m:t>(μg/L)</m:t>
          </m:r>
          <m:r>
            <m:rPr>
              <m:sty m:val="bi"/>
            </m:rPr>
            <w:rPr>
              <w:rFonts w:ascii="Cambria Math" w:eastAsia="Calibri" w:hAnsi="Cambria Math" w:cs="Arial"/>
              <w:sz w:val="20"/>
              <w:szCs w:val="20"/>
            </w:rPr>
            <m:t>=</m:t>
          </m:r>
          <m:f>
            <m:fPr>
              <m:ctrlPr>
                <w:rPr>
                  <w:rFonts w:ascii="Cambria Math" w:eastAsia="Calibri" w:hAnsi="Cambria Math" w:cs="Arial"/>
                  <w:b/>
                  <w:i/>
                  <w:iCs/>
                  <w:sz w:val="20"/>
                  <w:szCs w:val="20"/>
                </w:rPr>
              </m:ctrlPr>
            </m:fPr>
            <m:num>
              <m:r>
                <m:rPr>
                  <m:sty m:val="bi"/>
                </m:rPr>
                <w:rPr>
                  <w:rFonts w:ascii="Cambria Math" w:eastAsia="Calibri" w:hAnsi="Cambria Math" w:cs="Arial"/>
                  <w:sz w:val="20"/>
                  <w:szCs w:val="20"/>
                </w:rPr>
                <m:t>Tm × f×Vs</m:t>
              </m:r>
            </m:num>
            <m:den>
              <m:r>
                <m:rPr>
                  <m:sty m:val="bi"/>
                </m:rPr>
                <w:rPr>
                  <w:rFonts w:ascii="Cambria Math" w:eastAsia="Calibri" w:hAnsi="Cambria Math" w:cs="Arial"/>
                  <w:sz w:val="20"/>
                  <w:szCs w:val="20"/>
                </w:rPr>
                <m:t>PE</m:t>
              </m:r>
            </m:den>
          </m:f>
          <m:r>
            <m:rPr>
              <m:sty m:val="bi"/>
            </m:rPr>
            <w:rPr>
              <w:rFonts w:ascii="Cambria Math" w:eastAsia="Calibri" w:hAnsi="Cambria Math" w:cs="Arial"/>
              <w:sz w:val="20"/>
              <w:szCs w:val="20"/>
            </w:rPr>
            <m:t>×1000</m:t>
          </m:r>
        </m:oMath>
      </m:oMathPara>
    </w:p>
    <w:p w14:paraId="1D97D9A5" w14:textId="77777777" w:rsidR="003B0155" w:rsidRPr="003B0155" w:rsidRDefault="003B0155" w:rsidP="003B0155">
      <w:pPr>
        <w:spacing w:before="120" w:after="120" w:line="240" w:lineRule="auto"/>
        <w:jc w:val="both"/>
        <w:rPr>
          <w:rFonts w:ascii="Arial" w:hAnsi="Arial" w:cs="Arial"/>
          <w:sz w:val="20"/>
          <w:szCs w:val="20"/>
          <w:lang w:val="en-GB"/>
        </w:rPr>
      </w:pPr>
      <w:r w:rsidRPr="003B0155">
        <w:rPr>
          <w:rFonts w:ascii="Arial" w:hAnsi="Arial" w:cs="Arial"/>
          <w:sz w:val="20"/>
          <w:szCs w:val="20"/>
          <w:lang w:val="en-GB"/>
        </w:rPr>
        <w:t xml:space="preserve">where </w:t>
      </w:r>
      <w:r w:rsidRPr="003B0155">
        <w:rPr>
          <w:rFonts w:ascii="Arial" w:hAnsi="Arial" w:cs="Arial"/>
          <w:b/>
          <w:bCs/>
          <w:sz w:val="20"/>
          <w:szCs w:val="20"/>
          <w:lang w:val="en-GB"/>
        </w:rPr>
        <w:t>f</w:t>
      </w:r>
      <w:r w:rsidRPr="003B0155">
        <w:rPr>
          <w:rFonts w:ascii="Arial" w:hAnsi="Arial" w:cs="Arial"/>
          <w:sz w:val="20"/>
          <w:szCs w:val="20"/>
          <w:lang w:val="en-GB"/>
        </w:rPr>
        <w:t xml:space="preserve"> is the concentration factor (f = 100), </w:t>
      </w:r>
      <w:r w:rsidRPr="003B0155">
        <w:rPr>
          <w:rFonts w:ascii="Arial" w:hAnsi="Arial" w:cs="Arial"/>
          <w:b/>
          <w:bCs/>
          <w:sz w:val="20"/>
          <w:szCs w:val="20"/>
          <w:lang w:val="en-GB"/>
        </w:rPr>
        <w:t>Vs</w:t>
      </w:r>
      <w:r w:rsidRPr="003B0155">
        <w:rPr>
          <w:rFonts w:ascii="Arial" w:hAnsi="Arial" w:cs="Arial"/>
          <w:sz w:val="20"/>
          <w:szCs w:val="20"/>
          <w:lang w:val="en-GB"/>
        </w:rPr>
        <w:t xml:space="preserve"> is the extraction solvent volume (10 mL), </w:t>
      </w:r>
      <w:r w:rsidRPr="003B0155">
        <w:rPr>
          <w:rFonts w:ascii="Arial" w:hAnsi="Arial" w:cs="Arial"/>
          <w:b/>
          <w:bCs/>
          <w:sz w:val="20"/>
          <w:szCs w:val="20"/>
          <w:lang w:val="en-GB"/>
        </w:rPr>
        <w:t>PE</w:t>
      </w:r>
      <w:r w:rsidRPr="003B0155">
        <w:rPr>
          <w:rFonts w:ascii="Arial" w:hAnsi="Arial" w:cs="Arial"/>
          <w:sz w:val="20"/>
          <w:szCs w:val="20"/>
          <w:lang w:val="en-GB"/>
        </w:rPr>
        <w:t xml:space="preserve"> is the extracted water volume (10 mL), and </w:t>
      </w:r>
      <w:r w:rsidRPr="003B0155">
        <w:rPr>
          <w:rFonts w:ascii="Arial" w:hAnsi="Arial" w:cs="Arial"/>
          <w:b/>
          <w:bCs/>
          <w:sz w:val="20"/>
          <w:szCs w:val="20"/>
          <w:lang w:val="en-GB"/>
        </w:rPr>
        <w:t>1000</w:t>
      </w:r>
      <w:r w:rsidRPr="003B0155">
        <w:rPr>
          <w:rFonts w:ascii="Arial" w:hAnsi="Arial" w:cs="Arial"/>
          <w:sz w:val="20"/>
          <w:szCs w:val="20"/>
          <w:lang w:val="en-GB"/>
        </w:rPr>
        <w:t xml:space="preserve"> is the unit conversion factor from µg/mL to µg/L.</w:t>
      </w:r>
    </w:p>
    <w:p w14:paraId="65855D2A" w14:textId="77777777" w:rsidR="003B0155" w:rsidRDefault="003B0155" w:rsidP="003B0155">
      <w:pPr>
        <w:spacing w:before="120" w:after="120" w:line="240" w:lineRule="auto"/>
        <w:jc w:val="both"/>
        <w:rPr>
          <w:rFonts w:ascii="Arial" w:hAnsi="Arial" w:cs="Arial"/>
          <w:sz w:val="20"/>
          <w:szCs w:val="20"/>
          <w:lang w:val="en-GB"/>
        </w:rPr>
      </w:pPr>
      <w:r w:rsidRPr="003B0155">
        <w:rPr>
          <w:rFonts w:ascii="Arial" w:hAnsi="Arial" w:cs="Arial"/>
          <w:sz w:val="20"/>
          <w:szCs w:val="20"/>
          <w:lang w:val="en-GB"/>
        </w:rPr>
        <w:t xml:space="preserve">Since </w:t>
      </w:r>
      <w:r w:rsidRPr="003B0155">
        <w:rPr>
          <w:rFonts w:ascii="Arial" w:hAnsi="Arial" w:cs="Arial"/>
          <w:b/>
          <w:bCs/>
          <w:sz w:val="20"/>
          <w:szCs w:val="20"/>
          <w:lang w:val="en-GB"/>
        </w:rPr>
        <w:t>Vs = PE = 10 mL</w:t>
      </w:r>
      <w:r w:rsidRPr="003B0155">
        <w:rPr>
          <w:rFonts w:ascii="Arial" w:hAnsi="Arial" w:cs="Arial"/>
          <w:sz w:val="20"/>
          <w:szCs w:val="20"/>
          <w:lang w:val="en-GB"/>
        </w:rPr>
        <w:t>, the equation simplifies to:</w:t>
      </w:r>
    </w:p>
    <w:p w14:paraId="70ACDA9D" w14:textId="3C1AE8EA" w:rsidR="00FF3A3E" w:rsidRPr="003B0155" w:rsidRDefault="00FF3A3E" w:rsidP="00FF3A3E">
      <w:pPr>
        <w:spacing w:before="120" w:after="120" w:line="240" w:lineRule="auto"/>
        <w:jc w:val="both"/>
        <w:rPr>
          <w:rFonts w:ascii="Cambria Math" w:eastAsia="Calibri" w:hAnsi="Cambria Math" w:cs="Arial"/>
          <w:b/>
          <w:i/>
          <w:iCs/>
          <w:sz w:val="20"/>
          <w:szCs w:val="20"/>
        </w:rPr>
      </w:pPr>
      <m:oMathPara>
        <m:oMath>
          <m:r>
            <m:rPr>
              <m:sty m:val="bi"/>
            </m:rPr>
            <w:rPr>
              <w:rFonts w:ascii="Cambria Math" w:eastAsia="Calibri" w:hAnsi="Cambria Math" w:cs="Arial"/>
              <w:sz w:val="20"/>
              <w:szCs w:val="20"/>
            </w:rPr>
            <w:lastRenderedPageBreak/>
            <m:t xml:space="preserve">T </m:t>
          </m:r>
          <m:d>
            <m:dPr>
              <m:ctrlPr>
                <w:rPr>
                  <w:rFonts w:ascii="Cambria Math" w:hAnsi="Cambria Math" w:cs="Arial"/>
                  <w:b/>
                  <w:i/>
                  <w:iCs/>
                  <w:sz w:val="20"/>
                  <w:szCs w:val="20"/>
                  <w:lang w:val="en-GB"/>
                </w:rPr>
              </m:ctrlPr>
            </m:dPr>
            <m:e>
              <m:f>
                <m:fPr>
                  <m:ctrlPr>
                    <w:rPr>
                      <w:rFonts w:ascii="Cambria Math" w:hAnsi="Cambria Math" w:cs="Arial"/>
                      <w:b/>
                      <w:i/>
                      <w:iCs/>
                      <w:sz w:val="20"/>
                      <w:szCs w:val="20"/>
                      <w:lang w:val="en-GB"/>
                    </w:rPr>
                  </m:ctrlPr>
                </m:fPr>
                <m:num>
                  <m:r>
                    <m:rPr>
                      <m:sty m:val="bi"/>
                    </m:rPr>
                    <w:rPr>
                      <w:rFonts w:ascii="Cambria Math" w:hAnsi="Cambria Math" w:cs="Arial"/>
                      <w:sz w:val="20"/>
                      <w:szCs w:val="20"/>
                      <w:lang w:val="en-GB"/>
                    </w:rPr>
                    <m:t>μg</m:t>
                  </m:r>
                </m:num>
                <m:den>
                  <m:r>
                    <m:rPr>
                      <m:sty m:val="bi"/>
                    </m:rPr>
                    <w:rPr>
                      <w:rFonts w:ascii="Cambria Math" w:hAnsi="Cambria Math" w:cs="Arial"/>
                      <w:sz w:val="20"/>
                      <w:szCs w:val="20"/>
                      <w:lang w:val="en-GB"/>
                    </w:rPr>
                    <m:t>L</m:t>
                  </m:r>
                </m:den>
              </m:f>
            </m:e>
          </m:d>
          <m:r>
            <m:rPr>
              <m:sty m:val="bi"/>
            </m:rPr>
            <w:rPr>
              <w:rFonts w:ascii="Cambria Math" w:eastAsia="Calibri" w:hAnsi="Cambria Math" w:cs="Arial"/>
              <w:sz w:val="20"/>
              <w:szCs w:val="20"/>
            </w:rPr>
            <m:t>=Tm × f×1000= Tm×100 000</m:t>
          </m:r>
        </m:oMath>
      </m:oMathPara>
    </w:p>
    <w:p w14:paraId="3EEA4CB0" w14:textId="16B95BA4" w:rsidR="00436D8A" w:rsidRDefault="003B0155" w:rsidP="00B50CC5">
      <w:pPr>
        <w:spacing w:before="120" w:after="120" w:line="240" w:lineRule="auto"/>
        <w:jc w:val="both"/>
        <w:rPr>
          <w:rFonts w:ascii="Arial" w:hAnsi="Arial" w:cs="Arial"/>
          <w:sz w:val="20"/>
          <w:szCs w:val="20"/>
          <w:lang w:val="en-GB"/>
        </w:rPr>
      </w:pPr>
      <w:r w:rsidRPr="003B0155">
        <w:rPr>
          <w:rFonts w:ascii="Arial" w:hAnsi="Arial" w:cs="Arial"/>
          <w:sz w:val="20"/>
          <w:szCs w:val="20"/>
          <w:lang w:val="en-GB"/>
        </w:rPr>
        <w:t>All herbicide concentrations reported in this study were calculated using this relationship.</w:t>
      </w:r>
    </w:p>
    <w:p w14:paraId="2F952D43"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3. RESULTS AND DISCUSSION</w:t>
      </w:r>
    </w:p>
    <w:p w14:paraId="08F63EFB"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3.1 Occurrence and levels of herbicide residues in surface waters</w:t>
      </w:r>
    </w:p>
    <w:p w14:paraId="2FCDF41C" w14:textId="23862634" w:rsidR="0073550A" w:rsidRPr="001F3FA8" w:rsidRDefault="0073550A" w:rsidP="0073550A">
      <w:pPr>
        <w:spacing w:before="120" w:after="120" w:line="240" w:lineRule="auto"/>
        <w:jc w:val="both"/>
        <w:rPr>
          <w:rFonts w:ascii="Arial" w:hAnsi="Arial" w:cs="Arial"/>
          <w:sz w:val="20"/>
          <w:szCs w:val="20"/>
        </w:rPr>
      </w:pPr>
      <w:r w:rsidRPr="0073550A">
        <w:rPr>
          <w:rFonts w:ascii="Arial" w:hAnsi="Arial" w:cs="Arial"/>
          <w:sz w:val="20"/>
          <w:szCs w:val="20"/>
          <w:lang w:val="en-GB"/>
        </w:rPr>
        <w:t>The results of herbicide analyses in surface water samples from the twelve localities and the two sampling phases (P1 and P2) are presented in Table 2. Overall, the thirteen targeted herbicidal active substances were diversely detected and quantified across the sites, reflecting heterogeneous contamination patterns in space and time.</w:t>
      </w:r>
      <w:r w:rsidR="00EF30E4">
        <w:rPr>
          <w:rFonts w:ascii="Arial" w:hAnsi="Arial" w:cs="Arial"/>
          <w:sz w:val="20"/>
          <w:szCs w:val="20"/>
          <w:lang w:val="en-GB"/>
        </w:rPr>
        <w:t xml:space="preserve"> </w:t>
      </w:r>
      <w:r w:rsidRPr="0073550A">
        <w:rPr>
          <w:rFonts w:ascii="Arial" w:hAnsi="Arial" w:cs="Arial"/>
          <w:sz w:val="20"/>
          <w:szCs w:val="20"/>
          <w:lang w:val="en-GB"/>
        </w:rPr>
        <w:t xml:space="preserve">Across all localities and both phases, residue concentrations ranged from 0.013 µg/L for atrazine at Dano (Sud-Ouest region) to 1531.68 µg/L for </w:t>
      </w:r>
      <w:proofErr w:type="spellStart"/>
      <w:r w:rsidRPr="0073550A">
        <w:rPr>
          <w:rFonts w:ascii="Arial" w:hAnsi="Arial" w:cs="Arial"/>
          <w:sz w:val="20"/>
          <w:szCs w:val="20"/>
          <w:lang w:val="en-GB"/>
        </w:rPr>
        <w:t>mesotrione</w:t>
      </w:r>
      <w:proofErr w:type="spellEnd"/>
      <w:r w:rsidRPr="0073550A">
        <w:rPr>
          <w:rFonts w:ascii="Arial" w:hAnsi="Arial" w:cs="Arial"/>
          <w:sz w:val="20"/>
          <w:szCs w:val="20"/>
          <w:lang w:val="en-GB"/>
        </w:rPr>
        <w:t xml:space="preserve"> at </w:t>
      </w:r>
      <w:proofErr w:type="spellStart"/>
      <w:r w:rsidRPr="0073550A">
        <w:rPr>
          <w:rFonts w:ascii="Arial" w:hAnsi="Arial" w:cs="Arial"/>
          <w:sz w:val="20"/>
          <w:szCs w:val="20"/>
          <w:lang w:val="en-GB"/>
        </w:rPr>
        <w:t>Kankalaba</w:t>
      </w:r>
      <w:proofErr w:type="spellEnd"/>
      <w:r w:rsidRPr="0073550A">
        <w:rPr>
          <w:rFonts w:ascii="Arial" w:hAnsi="Arial" w:cs="Arial"/>
          <w:sz w:val="20"/>
          <w:szCs w:val="20"/>
          <w:lang w:val="en-GB"/>
        </w:rPr>
        <w:t xml:space="preserve"> (</w:t>
      </w:r>
      <w:proofErr w:type="spellStart"/>
      <w:r w:rsidRPr="0073550A">
        <w:rPr>
          <w:rFonts w:ascii="Arial" w:hAnsi="Arial" w:cs="Arial"/>
          <w:sz w:val="20"/>
          <w:szCs w:val="20"/>
          <w:lang w:val="en-GB"/>
        </w:rPr>
        <w:t>Hauts-Bassins</w:t>
      </w:r>
      <w:proofErr w:type="spellEnd"/>
      <w:r w:rsidRPr="0073550A">
        <w:rPr>
          <w:rFonts w:ascii="Arial" w:hAnsi="Arial" w:cs="Arial"/>
          <w:sz w:val="20"/>
          <w:szCs w:val="20"/>
          <w:lang w:val="en-GB"/>
        </w:rPr>
        <w:t xml:space="preserve"> region). Maximum concentrations for phase 1 (P1) reached 1484.90 µg/L for </w:t>
      </w:r>
      <w:proofErr w:type="spellStart"/>
      <w:r w:rsidRPr="0073550A">
        <w:rPr>
          <w:rFonts w:ascii="Arial" w:hAnsi="Arial" w:cs="Arial"/>
          <w:sz w:val="20"/>
          <w:szCs w:val="20"/>
          <w:lang w:val="en-GB"/>
        </w:rPr>
        <w:t>nicosulfuron</w:t>
      </w:r>
      <w:proofErr w:type="spellEnd"/>
      <w:r w:rsidRPr="0073550A">
        <w:rPr>
          <w:rFonts w:ascii="Arial" w:hAnsi="Arial" w:cs="Arial"/>
          <w:sz w:val="20"/>
          <w:szCs w:val="20"/>
          <w:lang w:val="en-GB"/>
        </w:rPr>
        <w:t xml:space="preserve"> at </w:t>
      </w:r>
      <w:proofErr w:type="spellStart"/>
      <w:r w:rsidRPr="0073550A">
        <w:rPr>
          <w:rFonts w:ascii="Arial" w:hAnsi="Arial" w:cs="Arial"/>
          <w:sz w:val="20"/>
          <w:szCs w:val="20"/>
          <w:lang w:val="en-GB"/>
        </w:rPr>
        <w:t>Safané</w:t>
      </w:r>
      <w:proofErr w:type="spellEnd"/>
      <w:r w:rsidRPr="0073550A">
        <w:rPr>
          <w:rFonts w:ascii="Arial" w:hAnsi="Arial" w:cs="Arial"/>
          <w:sz w:val="20"/>
          <w:szCs w:val="20"/>
          <w:lang w:val="en-GB"/>
        </w:rPr>
        <w:t xml:space="preserve">, whereas in phase 2 (P2), the highest value was 1531.68 µg/L for </w:t>
      </w:r>
      <w:proofErr w:type="spellStart"/>
      <w:r w:rsidRPr="0073550A">
        <w:rPr>
          <w:rFonts w:ascii="Arial" w:hAnsi="Arial" w:cs="Arial"/>
          <w:sz w:val="20"/>
          <w:szCs w:val="20"/>
          <w:lang w:val="en-GB"/>
        </w:rPr>
        <w:t>mesotrione</w:t>
      </w:r>
      <w:proofErr w:type="spellEnd"/>
      <w:r w:rsidRPr="0073550A">
        <w:rPr>
          <w:rFonts w:ascii="Arial" w:hAnsi="Arial" w:cs="Arial"/>
          <w:sz w:val="20"/>
          <w:szCs w:val="20"/>
          <w:lang w:val="en-GB"/>
        </w:rPr>
        <w:t xml:space="preserve"> at </w:t>
      </w:r>
      <w:proofErr w:type="spellStart"/>
      <w:r w:rsidRPr="0073550A">
        <w:rPr>
          <w:rFonts w:ascii="Arial" w:hAnsi="Arial" w:cs="Arial"/>
          <w:sz w:val="20"/>
          <w:szCs w:val="20"/>
          <w:lang w:val="en-GB"/>
        </w:rPr>
        <w:t>Kankalaba</w:t>
      </w:r>
      <w:proofErr w:type="spellEnd"/>
      <w:r w:rsidRPr="0073550A">
        <w:rPr>
          <w:rFonts w:ascii="Arial" w:hAnsi="Arial" w:cs="Arial"/>
          <w:sz w:val="20"/>
          <w:szCs w:val="20"/>
          <w:lang w:val="en-GB"/>
        </w:rPr>
        <w:t>.</w:t>
      </w:r>
      <w:r w:rsidR="00EF30E4">
        <w:rPr>
          <w:rFonts w:ascii="Arial" w:hAnsi="Arial" w:cs="Arial"/>
          <w:sz w:val="20"/>
          <w:szCs w:val="20"/>
          <w:lang w:val="en-GB"/>
        </w:rPr>
        <w:t xml:space="preserve"> </w:t>
      </w:r>
      <w:r w:rsidR="0036731A">
        <w:rPr>
          <w:rFonts w:ascii="Arial" w:hAnsi="Arial" w:cs="Arial"/>
          <w:sz w:val="20"/>
          <w:szCs w:val="20"/>
          <w:lang w:val="en-GB"/>
        </w:rPr>
        <w:t>A</w:t>
      </w:r>
      <w:r w:rsidRPr="0073550A">
        <w:rPr>
          <w:rFonts w:ascii="Arial" w:hAnsi="Arial" w:cs="Arial"/>
          <w:sz w:val="20"/>
          <w:szCs w:val="20"/>
          <w:lang w:val="en-GB"/>
        </w:rPr>
        <w:t xml:space="preserve">ll substances were </w:t>
      </w:r>
      <w:r w:rsidR="0036731A">
        <w:rPr>
          <w:rFonts w:ascii="Arial" w:hAnsi="Arial" w:cs="Arial"/>
          <w:sz w:val="20"/>
          <w:szCs w:val="20"/>
          <w:lang w:val="en-GB"/>
        </w:rPr>
        <w:t xml:space="preserve">not </w:t>
      </w:r>
      <w:r w:rsidRPr="0073550A">
        <w:rPr>
          <w:rFonts w:ascii="Arial" w:hAnsi="Arial" w:cs="Arial"/>
          <w:sz w:val="20"/>
          <w:szCs w:val="20"/>
          <w:lang w:val="en-GB"/>
        </w:rPr>
        <w:t xml:space="preserve">detected in every locality. Some molecules, such as </w:t>
      </w:r>
      <w:proofErr w:type="spellStart"/>
      <w:r w:rsidRPr="0073550A">
        <w:rPr>
          <w:rFonts w:ascii="Arial" w:hAnsi="Arial" w:cs="Arial"/>
          <w:sz w:val="20"/>
          <w:szCs w:val="20"/>
          <w:lang w:val="en-GB"/>
        </w:rPr>
        <w:t>mesotrione</w:t>
      </w:r>
      <w:proofErr w:type="spellEnd"/>
      <w:r w:rsidRPr="0073550A">
        <w:rPr>
          <w:rFonts w:ascii="Arial" w:hAnsi="Arial" w:cs="Arial"/>
          <w:sz w:val="20"/>
          <w:szCs w:val="20"/>
          <w:lang w:val="en-GB"/>
        </w:rPr>
        <w:t xml:space="preserve">, </w:t>
      </w:r>
      <w:proofErr w:type="spellStart"/>
      <w:r w:rsidRPr="0073550A">
        <w:rPr>
          <w:rFonts w:ascii="Arial" w:hAnsi="Arial" w:cs="Arial"/>
          <w:sz w:val="20"/>
          <w:szCs w:val="20"/>
          <w:lang w:val="en-GB"/>
        </w:rPr>
        <w:t>nicosulfuron</w:t>
      </w:r>
      <w:proofErr w:type="spellEnd"/>
      <w:r w:rsidRPr="0073550A">
        <w:rPr>
          <w:rFonts w:ascii="Arial" w:hAnsi="Arial" w:cs="Arial"/>
          <w:sz w:val="20"/>
          <w:szCs w:val="20"/>
          <w:lang w:val="en-GB"/>
        </w:rPr>
        <w:t xml:space="preserve"> or terbuthylazine, were found at high concentrations in a limited number of sites, while others occurred at lower levels but in more localities. </w:t>
      </w:r>
      <w:r w:rsidR="0036731A">
        <w:rPr>
          <w:rFonts w:ascii="Arial" w:hAnsi="Arial" w:cs="Arial"/>
          <w:sz w:val="20"/>
          <w:szCs w:val="20"/>
          <w:lang w:val="en-GB"/>
        </w:rPr>
        <w:t>C</w:t>
      </w:r>
      <w:r w:rsidRPr="0073550A">
        <w:rPr>
          <w:rFonts w:ascii="Arial" w:hAnsi="Arial" w:cs="Arial"/>
          <w:sz w:val="20"/>
          <w:szCs w:val="20"/>
          <w:lang w:val="en-GB"/>
        </w:rPr>
        <w:t xml:space="preserve">ertain localities, notably </w:t>
      </w:r>
      <w:proofErr w:type="spellStart"/>
      <w:r w:rsidRPr="0073550A">
        <w:rPr>
          <w:rFonts w:ascii="Arial" w:hAnsi="Arial" w:cs="Arial"/>
          <w:sz w:val="20"/>
          <w:szCs w:val="20"/>
          <w:lang w:val="en-GB"/>
        </w:rPr>
        <w:t>Ouarkoye</w:t>
      </w:r>
      <w:proofErr w:type="spellEnd"/>
      <w:r w:rsidRPr="0073550A">
        <w:rPr>
          <w:rFonts w:ascii="Arial" w:hAnsi="Arial" w:cs="Arial"/>
          <w:sz w:val="20"/>
          <w:szCs w:val="20"/>
          <w:lang w:val="en-GB"/>
        </w:rPr>
        <w:t xml:space="preserve"> and </w:t>
      </w:r>
      <w:proofErr w:type="spellStart"/>
      <w:r w:rsidRPr="0073550A">
        <w:rPr>
          <w:rFonts w:ascii="Arial" w:hAnsi="Arial" w:cs="Arial"/>
          <w:sz w:val="20"/>
          <w:szCs w:val="20"/>
          <w:lang w:val="en-GB"/>
        </w:rPr>
        <w:t>Safané</w:t>
      </w:r>
      <w:proofErr w:type="spellEnd"/>
      <w:r w:rsidRPr="0073550A">
        <w:rPr>
          <w:rFonts w:ascii="Arial" w:hAnsi="Arial" w:cs="Arial"/>
          <w:sz w:val="20"/>
          <w:szCs w:val="20"/>
          <w:lang w:val="en-GB"/>
        </w:rPr>
        <w:t xml:space="preserve"> (Boucle du </w:t>
      </w:r>
      <w:proofErr w:type="spellStart"/>
      <w:r w:rsidRPr="0073550A">
        <w:rPr>
          <w:rFonts w:ascii="Arial" w:hAnsi="Arial" w:cs="Arial"/>
          <w:sz w:val="20"/>
          <w:szCs w:val="20"/>
          <w:lang w:val="en-GB"/>
        </w:rPr>
        <w:t>Mouhoun</w:t>
      </w:r>
      <w:proofErr w:type="spellEnd"/>
      <w:r w:rsidRPr="0073550A">
        <w:rPr>
          <w:rFonts w:ascii="Arial" w:hAnsi="Arial" w:cs="Arial"/>
          <w:sz w:val="20"/>
          <w:szCs w:val="20"/>
          <w:lang w:val="en-GB"/>
        </w:rPr>
        <w:t xml:space="preserve"> region), did not show any measurable residues of the thirteen herbicides during the sampling period, indicating either limited use of these molecules or the influence of hydro-climatic and landscape factors favouring dilution and/or degradation.</w:t>
      </w:r>
      <w:r w:rsidR="00EF30E4">
        <w:rPr>
          <w:rFonts w:ascii="Arial" w:hAnsi="Arial" w:cs="Arial"/>
          <w:sz w:val="20"/>
          <w:szCs w:val="20"/>
          <w:lang w:val="en-GB"/>
        </w:rPr>
        <w:t xml:space="preserve"> </w:t>
      </w:r>
      <w:r w:rsidRPr="0073550A">
        <w:rPr>
          <w:rFonts w:ascii="Arial" w:hAnsi="Arial" w:cs="Arial"/>
          <w:sz w:val="20"/>
          <w:szCs w:val="20"/>
          <w:lang w:val="en-GB"/>
        </w:rPr>
        <w:t xml:space="preserve">These results confirm that small bodies </w:t>
      </w:r>
      <w:r w:rsidR="0036731A">
        <w:rPr>
          <w:rFonts w:ascii="Arial" w:hAnsi="Arial" w:cs="Arial"/>
          <w:sz w:val="20"/>
          <w:szCs w:val="20"/>
          <w:lang w:val="en-GB"/>
        </w:rPr>
        <w:t xml:space="preserve">of water </w:t>
      </w:r>
      <w:r w:rsidRPr="0073550A">
        <w:rPr>
          <w:rFonts w:ascii="Arial" w:hAnsi="Arial" w:cs="Arial"/>
          <w:sz w:val="20"/>
          <w:szCs w:val="20"/>
          <w:lang w:val="en-GB"/>
        </w:rPr>
        <w:t xml:space="preserve">located in cereal fields or in their immediate surroundings act as receptacles for herbicide inputs from agricultural plots, through runoff, drainage and possibly spray drift, as reported in other agroecosystems </w:t>
      </w:r>
      <w:r w:rsidR="001F3FA8">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{"citationID":"A9dwZikm","properties":{"formattedCitation":"(De Souza et al., 2020; Lorenz et al., 2025; Stackpoole et al., 2021)","plainCitation":"(De Souza et al., 2020; Lorenz et al., 2025; Stackpoole et al., 2021)","dontUpdate":true,"noteIndex":0},"citationItems":[{"id":2914,"uris":["http://zotero.org/users/5723659/items/DJ6W3VFG"],"itemData":{"id":2914,"type":"article-journal","container-title":"Process Safety and Environmental Protection","DOI":"10.1016/j.psep.2019.12.035","ISSN":"09575820","journalAbbreviation":"Process Safety and Environmental Protection","language":"en","page":"22-37","source":"DOI.org (Crossref)","title":"Occurrence, impacts and general aspects of pesticides in surface water: A review","title-short":"Occurrence, impacts and general aspects of pesticides in surface water","volume":"135","author":[{"family":"De Souza","given":"Renata Mariane"},{"family":"Seibert","given":"Daiana"},{"family":"Quesada","given":"Heloise Beatriz"},{"family":"De Jesus Bassetti","given":"Fátima"},{"family":"Fagundes-Klen","given":"Márcia Regina"},{"family":"Bergamasco","given":"Rosângela"}],"issued":{"date-parts":[["2020"]]}}},{"id":2902,"uris":["http://zotero.org/users/5723659/items/IHH8DK8W"],"itemData":{"id":2902,"type":"article-journal","container-title":"Science of The Total Environment","DOI":"10.1016/j</w:instrText>
      </w:r>
      <w:r w:rsidR="004A43B1" w:rsidRPr="002D4C9F">
        <w:rPr>
          <w:rFonts w:ascii="Arial" w:hAnsi="Arial" w:cs="Arial"/>
          <w:sz w:val="20"/>
          <w:szCs w:val="20"/>
        </w:rPr>
        <w:instrText>.scitotenv.2021.147147","ISSN":"00489697","journalAbbreviation":"Science of The Total Environment","language</w:instrText>
      </w:r>
      <w:r w:rsidR="004A43B1" w:rsidRPr="004A43B1">
        <w:rPr>
          <w:rFonts w:ascii="Arial" w:hAnsi="Arial" w:cs="Arial"/>
          <w:sz w:val="20"/>
          <w:szCs w:val="20"/>
        </w:rPr>
        <w:instrText xml:space="preserve">":"en","page":"147147","source":"DOI.org (Crossref)","title":"Pesticides in US Rivers: Regional differences in use, occurrence, and environmental toxicity, 2013 to 2017","title-short":"Pesticides in US Rivers","volume":"787","author":[{"family":"Stackpoole","given":"Sarah M."},{"family":"Shoda","given":"Megan E."},{"family":"Medalie","given":"Laura"},{"family":"Stone","given":"Wesley W."}],"issued":{"date-parts":[["2021"]]}}},{"id":2926,"uris":["http://zotero.org/users/5723659/items/C6PA75MH"],"itemData":{"id":2926,"type":"article-journal","container-title":"Science of The Total Environment","DOI":"10.1016/j.scitotenv.2025.179250","ISSN":"00489697","journalAbbreviation":"Science of The Total Environment","language":"en","page":"179250","source":"DOI.org (Crossref)","title":"Pesticide contamination of small standing water bodies in the agricultural landscape of northeast Germany","volume":"975","author":[{"family":"Lorenz","given":"Stefan"},{"family":"Trau","given":"Fee Nanett"},{"family":"Ruf","given":"Lena C."},{"family":"Meinikmann","given":"Karin"},{"family":"Fisch","given":"Kathrin"},{"family":"Stähler","given":"Matthias"},{"family":"Schenke","given":"Detlef"},{"family":"Blevins","given":"Holly Lyon"},{"family":"Heinz","given":"Marlen"}],"issued":{"date-parts":[["2025"]]}}}],"schema":"https://github.com/citation-style-language/schema/raw/master/csl-citation.json"} </w:instrText>
      </w:r>
      <w:r w:rsidR="001F3FA8">
        <w:rPr>
          <w:rFonts w:ascii="Arial" w:hAnsi="Arial" w:cs="Arial"/>
          <w:sz w:val="20"/>
          <w:szCs w:val="20"/>
          <w:lang w:val="en-GB"/>
        </w:rPr>
        <w:fldChar w:fldCharType="separate"/>
      </w:r>
      <w:r w:rsidR="000E707F" w:rsidRPr="000E707F">
        <w:rPr>
          <w:rFonts w:ascii="Arial" w:hAnsi="Arial" w:cs="Arial"/>
          <w:sz w:val="20"/>
        </w:rPr>
        <w:t xml:space="preserve">(De Souza et al., 2020; </w:t>
      </w:r>
      <w:r w:rsidR="00BF1BBF" w:rsidRPr="000E707F">
        <w:rPr>
          <w:rFonts w:ascii="Arial" w:hAnsi="Arial" w:cs="Arial"/>
          <w:sz w:val="20"/>
        </w:rPr>
        <w:t>Stackpoole et al., 2021</w:t>
      </w:r>
      <w:r w:rsidR="00BF1BBF">
        <w:rPr>
          <w:rFonts w:ascii="Arial" w:hAnsi="Arial" w:cs="Arial"/>
          <w:sz w:val="20"/>
        </w:rPr>
        <w:t xml:space="preserve">; </w:t>
      </w:r>
      <w:r w:rsidR="000E707F" w:rsidRPr="000E707F">
        <w:rPr>
          <w:rFonts w:ascii="Arial" w:hAnsi="Arial" w:cs="Arial"/>
          <w:sz w:val="20"/>
        </w:rPr>
        <w:t>Lorenz et al., 2025)</w:t>
      </w:r>
      <w:r w:rsidR="001F3FA8">
        <w:rPr>
          <w:rFonts w:ascii="Arial" w:hAnsi="Arial" w:cs="Arial"/>
          <w:sz w:val="20"/>
          <w:szCs w:val="20"/>
          <w:lang w:val="en-GB"/>
        </w:rPr>
        <w:fldChar w:fldCharType="end"/>
      </w:r>
      <w:r w:rsidRPr="0073550A">
        <w:rPr>
          <w:rFonts w:ascii="Arial" w:hAnsi="Arial" w:cs="Arial"/>
          <w:sz w:val="20"/>
          <w:szCs w:val="20"/>
        </w:rPr>
        <w:t>.</w:t>
      </w:r>
    </w:p>
    <w:p w14:paraId="5CA6BBF9" w14:textId="77777777" w:rsidR="001F3FA8" w:rsidRPr="001F3FA8" w:rsidRDefault="001F3FA8" w:rsidP="0073550A">
      <w:pPr>
        <w:spacing w:before="120" w:after="120" w:line="240" w:lineRule="auto"/>
        <w:jc w:val="both"/>
        <w:rPr>
          <w:rFonts w:ascii="Arial" w:hAnsi="Arial" w:cs="Arial"/>
          <w:sz w:val="20"/>
          <w:szCs w:val="20"/>
        </w:rPr>
        <w:sectPr w:rsidR="001F3FA8" w:rsidRPr="001F3FA8" w:rsidSect="00D54BE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docGrid w:linePitch="360"/>
        </w:sectPr>
      </w:pPr>
    </w:p>
    <w:p w14:paraId="50AECBB9" w14:textId="13A394EA" w:rsidR="001F3FA8" w:rsidRPr="00A012EB" w:rsidRDefault="000D0098" w:rsidP="00A012EB">
      <w:pPr>
        <w:spacing w:line="240" w:lineRule="auto"/>
        <w:jc w:val="both"/>
        <w:rPr>
          <w:rFonts w:ascii="Arial" w:hAnsi="Arial" w:cs="Arial"/>
          <w:b/>
          <w:bCs/>
          <w:sz w:val="20"/>
          <w:szCs w:val="20"/>
          <w:lang w:val="en-GB"/>
        </w:rPr>
      </w:pPr>
      <w:r w:rsidRPr="00A012EB">
        <w:rPr>
          <w:rFonts w:ascii="Arial" w:hAnsi="Arial" w:cs="Arial"/>
          <w:b/>
          <w:bCs/>
          <w:sz w:val="20"/>
          <w:szCs w:val="20"/>
          <w:lang w:val="en-GB"/>
        </w:rPr>
        <w:lastRenderedPageBreak/>
        <w:t xml:space="preserve">Table 2. Herbicide concentrations (µg/L) of the 13 </w:t>
      </w:r>
      <w:proofErr w:type="spellStart"/>
      <w:r w:rsidRPr="00A012EB">
        <w:rPr>
          <w:rFonts w:ascii="Arial" w:hAnsi="Arial" w:cs="Arial"/>
          <w:b/>
          <w:bCs/>
          <w:sz w:val="20"/>
          <w:szCs w:val="20"/>
          <w:lang w:val="en-GB"/>
        </w:rPr>
        <w:t>analyzed</w:t>
      </w:r>
      <w:proofErr w:type="spellEnd"/>
      <w:r w:rsidRPr="00A012EB">
        <w:rPr>
          <w:rFonts w:ascii="Arial" w:hAnsi="Arial" w:cs="Arial"/>
          <w:b/>
          <w:bCs/>
          <w:sz w:val="20"/>
          <w:szCs w:val="20"/>
          <w:lang w:val="en-GB"/>
        </w:rPr>
        <w:t xml:space="preserve"> compounds in surface-water samples from the 12 localities during the two sampling phases (P1 and P2)</w:t>
      </w: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55"/>
        <w:gridCol w:w="546"/>
        <w:gridCol w:w="965"/>
        <w:gridCol w:w="569"/>
        <w:gridCol w:w="657"/>
        <w:gridCol w:w="474"/>
        <w:gridCol w:w="474"/>
        <w:gridCol w:w="569"/>
        <w:gridCol w:w="569"/>
        <w:gridCol w:w="380"/>
        <w:gridCol w:w="686"/>
        <w:gridCol w:w="474"/>
        <w:gridCol w:w="383"/>
        <w:gridCol w:w="569"/>
        <w:gridCol w:w="569"/>
        <w:gridCol w:w="660"/>
        <w:gridCol w:w="259"/>
        <w:gridCol w:w="474"/>
        <w:gridCol w:w="569"/>
        <w:gridCol w:w="712"/>
        <w:gridCol w:w="383"/>
        <w:gridCol w:w="497"/>
        <w:gridCol w:w="397"/>
        <w:gridCol w:w="574"/>
        <w:gridCol w:w="546"/>
      </w:tblGrid>
      <w:tr w:rsidR="00E9637A" w:rsidRPr="000D0098" w14:paraId="45EF2FE3" w14:textId="77777777" w:rsidTr="00822E07">
        <w:trPr>
          <w:trHeight w:val="539"/>
        </w:trPr>
        <w:tc>
          <w:tcPr>
            <w:tcW w:w="474" w:type="pct"/>
            <w:vAlign w:val="center"/>
          </w:tcPr>
          <w:p w14:paraId="5CCA5C16" w14:textId="11443E41" w:rsidR="001F3FA8" w:rsidRPr="005D2075" w:rsidRDefault="0086328E" w:rsidP="005D2075">
            <w:pPr>
              <w:spacing w:before="40" w:after="40" w:line="240" w:lineRule="auto"/>
              <w:jc w:val="right"/>
              <w:rPr>
                <w:rFonts w:ascii="Arial" w:eastAsia="Calibri" w:hAnsi="Arial" w:cs="Arial"/>
                <w:b/>
                <w:bCs/>
                <w:sz w:val="20"/>
                <w:szCs w:val="20"/>
              </w:rPr>
            </w:pPr>
            <w:proofErr w:type="spellStart"/>
            <w:r w:rsidRPr="005D2075">
              <w:rPr>
                <w:rFonts w:ascii="Arial" w:eastAsia="Calibri" w:hAnsi="Arial" w:cs="Arial"/>
                <w:b/>
                <w:bCs/>
                <w:sz w:val="20"/>
                <w:szCs w:val="20"/>
              </w:rPr>
              <w:t>Localities</w:t>
            </w:r>
            <w:proofErr w:type="spellEnd"/>
          </w:p>
        </w:tc>
        <w:tc>
          <w:tcPr>
            <w:tcW w:w="527" w:type="pct"/>
            <w:gridSpan w:val="2"/>
            <w:vAlign w:val="center"/>
          </w:tcPr>
          <w:p w14:paraId="5A3B96B3" w14:textId="77777777" w:rsidR="001F3FA8" w:rsidRPr="000D0098" w:rsidRDefault="001F3FA8" w:rsidP="00822E07">
            <w:pPr>
              <w:spacing w:before="40" w:after="40" w:line="240" w:lineRule="auto"/>
              <w:jc w:val="center"/>
              <w:rPr>
                <w:rFonts w:ascii="Arial" w:eastAsia="Calibri" w:hAnsi="Arial" w:cs="Arial"/>
                <w:b/>
                <w:bCs/>
                <w:sz w:val="16"/>
                <w:szCs w:val="16"/>
              </w:rPr>
            </w:pPr>
            <w:proofErr w:type="spellStart"/>
            <w:r w:rsidRPr="000D0098">
              <w:rPr>
                <w:rFonts w:ascii="Arial" w:eastAsia="Calibri" w:hAnsi="Arial" w:cs="Arial"/>
                <w:b/>
                <w:bCs/>
                <w:sz w:val="16"/>
                <w:szCs w:val="16"/>
              </w:rPr>
              <w:t>Douna</w:t>
            </w:r>
            <w:proofErr w:type="spellEnd"/>
          </w:p>
        </w:tc>
        <w:tc>
          <w:tcPr>
            <w:tcW w:w="429" w:type="pct"/>
            <w:gridSpan w:val="2"/>
            <w:vAlign w:val="center"/>
          </w:tcPr>
          <w:p w14:paraId="3B1141A5"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Kankalaba</w:t>
            </w:r>
          </w:p>
        </w:tc>
        <w:tc>
          <w:tcPr>
            <w:tcW w:w="332" w:type="pct"/>
            <w:gridSpan w:val="2"/>
            <w:vAlign w:val="center"/>
          </w:tcPr>
          <w:p w14:paraId="20103102"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Loumana</w:t>
            </w:r>
          </w:p>
        </w:tc>
        <w:tc>
          <w:tcPr>
            <w:tcW w:w="398" w:type="pct"/>
            <w:gridSpan w:val="2"/>
            <w:vAlign w:val="center"/>
          </w:tcPr>
          <w:p w14:paraId="2834D9F1"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Koumbia</w:t>
            </w:r>
          </w:p>
        </w:tc>
        <w:tc>
          <w:tcPr>
            <w:tcW w:w="373" w:type="pct"/>
            <w:gridSpan w:val="2"/>
            <w:vAlign w:val="center"/>
          </w:tcPr>
          <w:p w14:paraId="0E99BF95"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Founzan</w:t>
            </w:r>
          </w:p>
        </w:tc>
        <w:tc>
          <w:tcPr>
            <w:tcW w:w="300" w:type="pct"/>
            <w:gridSpan w:val="2"/>
            <w:vAlign w:val="center"/>
          </w:tcPr>
          <w:p w14:paraId="3B57601E"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Banzon</w:t>
            </w:r>
          </w:p>
        </w:tc>
        <w:tc>
          <w:tcPr>
            <w:tcW w:w="398" w:type="pct"/>
            <w:gridSpan w:val="2"/>
            <w:vAlign w:val="center"/>
          </w:tcPr>
          <w:p w14:paraId="220F2017"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Ouarkoye</w:t>
            </w:r>
          </w:p>
        </w:tc>
        <w:tc>
          <w:tcPr>
            <w:tcW w:w="321" w:type="pct"/>
            <w:gridSpan w:val="2"/>
            <w:vAlign w:val="center"/>
          </w:tcPr>
          <w:p w14:paraId="394EC6E2"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Safané</w:t>
            </w:r>
          </w:p>
        </w:tc>
        <w:tc>
          <w:tcPr>
            <w:tcW w:w="365" w:type="pct"/>
            <w:gridSpan w:val="2"/>
            <w:vAlign w:val="center"/>
          </w:tcPr>
          <w:p w14:paraId="1E308C3E" w14:textId="77777777" w:rsidR="001F3FA8" w:rsidRPr="000D0098" w:rsidRDefault="001F3FA8" w:rsidP="00822E07">
            <w:pPr>
              <w:spacing w:before="40" w:after="40" w:line="240" w:lineRule="auto"/>
              <w:jc w:val="center"/>
              <w:rPr>
                <w:rFonts w:ascii="Arial" w:eastAsia="Calibri" w:hAnsi="Arial" w:cs="Arial"/>
                <w:b/>
                <w:bCs/>
                <w:sz w:val="16"/>
                <w:szCs w:val="16"/>
              </w:rPr>
            </w:pPr>
            <w:proofErr w:type="spellStart"/>
            <w:r w:rsidRPr="000D0098">
              <w:rPr>
                <w:rFonts w:ascii="Arial" w:eastAsia="Calibri" w:hAnsi="Arial" w:cs="Arial"/>
                <w:b/>
                <w:bCs/>
                <w:sz w:val="16"/>
                <w:szCs w:val="16"/>
              </w:rPr>
              <w:t>Fara</w:t>
            </w:r>
            <w:proofErr w:type="spellEnd"/>
          </w:p>
        </w:tc>
        <w:tc>
          <w:tcPr>
            <w:tcW w:w="383" w:type="pct"/>
            <w:gridSpan w:val="2"/>
            <w:vAlign w:val="center"/>
          </w:tcPr>
          <w:p w14:paraId="4780EC95"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Dano</w:t>
            </w:r>
          </w:p>
        </w:tc>
        <w:tc>
          <w:tcPr>
            <w:tcW w:w="313" w:type="pct"/>
            <w:gridSpan w:val="2"/>
            <w:vAlign w:val="center"/>
          </w:tcPr>
          <w:p w14:paraId="3800E39A"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Diébougou</w:t>
            </w:r>
          </w:p>
        </w:tc>
        <w:tc>
          <w:tcPr>
            <w:tcW w:w="388" w:type="pct"/>
            <w:gridSpan w:val="2"/>
            <w:vAlign w:val="center"/>
          </w:tcPr>
          <w:p w14:paraId="15284BC3"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 xml:space="preserve">Bouroum </w:t>
            </w:r>
            <w:proofErr w:type="spellStart"/>
            <w:r w:rsidRPr="000D0098">
              <w:rPr>
                <w:rFonts w:ascii="Arial" w:eastAsia="Calibri" w:hAnsi="Arial" w:cs="Arial"/>
                <w:b/>
                <w:bCs/>
                <w:sz w:val="16"/>
                <w:szCs w:val="16"/>
              </w:rPr>
              <w:t>Bouroum</w:t>
            </w:r>
            <w:proofErr w:type="spellEnd"/>
          </w:p>
        </w:tc>
      </w:tr>
      <w:tr w:rsidR="00E9637A" w:rsidRPr="000D0098" w14:paraId="3FAE090C" w14:textId="77777777" w:rsidTr="00822E07">
        <w:trPr>
          <w:trHeight w:val="539"/>
        </w:trPr>
        <w:tc>
          <w:tcPr>
            <w:tcW w:w="474" w:type="pct"/>
            <w:vAlign w:val="center"/>
          </w:tcPr>
          <w:p w14:paraId="040CEC36" w14:textId="3907748D" w:rsidR="001F3FA8" w:rsidRPr="005D2075" w:rsidRDefault="0086328E" w:rsidP="005D2075">
            <w:pPr>
              <w:spacing w:before="40" w:after="40" w:line="240" w:lineRule="auto"/>
              <w:rPr>
                <w:rFonts w:ascii="Arial" w:eastAsia="Calibri" w:hAnsi="Arial" w:cs="Arial"/>
                <w:b/>
                <w:bCs/>
                <w:sz w:val="20"/>
                <w:szCs w:val="20"/>
              </w:rPr>
            </w:pPr>
            <w:proofErr w:type="spellStart"/>
            <w:r w:rsidRPr="005D2075">
              <w:rPr>
                <w:rFonts w:ascii="Arial" w:eastAsia="Calibri" w:hAnsi="Arial" w:cs="Arial"/>
                <w:b/>
                <w:bCs/>
                <w:sz w:val="20"/>
                <w:szCs w:val="20"/>
              </w:rPr>
              <w:t>Molecules</w:t>
            </w:r>
            <w:proofErr w:type="spellEnd"/>
          </w:p>
        </w:tc>
        <w:tc>
          <w:tcPr>
            <w:tcW w:w="189" w:type="pct"/>
            <w:vAlign w:val="center"/>
          </w:tcPr>
          <w:p w14:paraId="7ECE97CC"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337" w:type="pct"/>
            <w:vAlign w:val="center"/>
          </w:tcPr>
          <w:p w14:paraId="56A2788D"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99" w:type="pct"/>
            <w:vAlign w:val="center"/>
          </w:tcPr>
          <w:p w14:paraId="31F79469"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230" w:type="pct"/>
            <w:vAlign w:val="center"/>
          </w:tcPr>
          <w:p w14:paraId="02055C29"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66" w:type="pct"/>
            <w:vAlign w:val="center"/>
          </w:tcPr>
          <w:p w14:paraId="22AD4678"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66" w:type="pct"/>
            <w:vAlign w:val="center"/>
          </w:tcPr>
          <w:p w14:paraId="6C753E90"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99" w:type="pct"/>
            <w:vAlign w:val="center"/>
          </w:tcPr>
          <w:p w14:paraId="68EE0A67"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99" w:type="pct"/>
            <w:vAlign w:val="center"/>
          </w:tcPr>
          <w:p w14:paraId="0F12076F"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33" w:type="pct"/>
            <w:vAlign w:val="center"/>
          </w:tcPr>
          <w:p w14:paraId="41B3E406"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240" w:type="pct"/>
            <w:vAlign w:val="center"/>
          </w:tcPr>
          <w:p w14:paraId="2D3F8496"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66" w:type="pct"/>
            <w:vAlign w:val="center"/>
          </w:tcPr>
          <w:p w14:paraId="78CE3020"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34" w:type="pct"/>
            <w:vAlign w:val="center"/>
          </w:tcPr>
          <w:p w14:paraId="19194053"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99" w:type="pct"/>
            <w:vAlign w:val="center"/>
          </w:tcPr>
          <w:p w14:paraId="78C57E00"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99" w:type="pct"/>
            <w:vAlign w:val="center"/>
          </w:tcPr>
          <w:p w14:paraId="4B7FBBA3"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231" w:type="pct"/>
            <w:vAlign w:val="center"/>
          </w:tcPr>
          <w:p w14:paraId="7E4E3CF2"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90" w:type="pct"/>
            <w:vAlign w:val="center"/>
          </w:tcPr>
          <w:p w14:paraId="1A84FCDD"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66" w:type="pct"/>
            <w:vAlign w:val="center"/>
          </w:tcPr>
          <w:p w14:paraId="7AE561F4"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99" w:type="pct"/>
            <w:vAlign w:val="center"/>
          </w:tcPr>
          <w:p w14:paraId="4CEBCC45"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249" w:type="pct"/>
            <w:vAlign w:val="center"/>
          </w:tcPr>
          <w:p w14:paraId="0D084C02"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34" w:type="pct"/>
            <w:vAlign w:val="center"/>
          </w:tcPr>
          <w:p w14:paraId="1258B382"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74" w:type="pct"/>
            <w:vAlign w:val="center"/>
          </w:tcPr>
          <w:p w14:paraId="6FEB4057"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39" w:type="pct"/>
            <w:vAlign w:val="center"/>
          </w:tcPr>
          <w:p w14:paraId="2F1039B3"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201" w:type="pct"/>
            <w:vAlign w:val="center"/>
          </w:tcPr>
          <w:p w14:paraId="1C8257AE"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87" w:type="pct"/>
            <w:vAlign w:val="center"/>
          </w:tcPr>
          <w:p w14:paraId="4F6A64E8"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r>
      <w:tr w:rsidR="00822E07" w:rsidRPr="000D0098" w14:paraId="3734886D" w14:textId="77777777" w:rsidTr="00822E07">
        <w:trPr>
          <w:trHeight w:val="57"/>
        </w:trPr>
        <w:tc>
          <w:tcPr>
            <w:tcW w:w="474" w:type="pct"/>
            <w:vAlign w:val="center"/>
            <w:hideMark/>
          </w:tcPr>
          <w:p w14:paraId="129DF95D" w14:textId="77777777"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Atrazine</w:t>
            </w:r>
          </w:p>
        </w:tc>
        <w:tc>
          <w:tcPr>
            <w:tcW w:w="189" w:type="pct"/>
            <w:noWrap/>
            <w:vAlign w:val="center"/>
          </w:tcPr>
          <w:p w14:paraId="51741CC1" w14:textId="7D475A42"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6E800C40" w14:textId="577D880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4162E1EB" w14:textId="0F44B89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0981D927" w14:textId="178094AC"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55746C68" w14:textId="0084AC3B"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6E6FB74E" w14:textId="1BC7C6F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4ED83042" w14:textId="142F4B3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56C036CE" w14:textId="533102D8"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27036D15" w14:textId="7159ACB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497C75DA" w14:textId="0976F6F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46C20104" w14:textId="4B12896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4" w:type="pct"/>
            <w:vAlign w:val="center"/>
          </w:tcPr>
          <w:p w14:paraId="1BADC19C" w14:textId="41F081E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73E93843" w14:textId="23A319C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55206431" w14:textId="31DA8E2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56B07D66" w14:textId="65FE3E92"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02</w:t>
            </w:r>
          </w:p>
        </w:tc>
        <w:tc>
          <w:tcPr>
            <w:tcW w:w="90" w:type="pct"/>
            <w:vAlign w:val="center"/>
          </w:tcPr>
          <w:p w14:paraId="4BC7847A" w14:textId="3AA4B275"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40320EAB" w14:textId="2E3A2BEE"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5B69817F" w14:textId="3740C56C"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7999DAFF" w14:textId="328E13C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013</w:t>
            </w:r>
          </w:p>
        </w:tc>
        <w:tc>
          <w:tcPr>
            <w:tcW w:w="134" w:type="pct"/>
            <w:vAlign w:val="center"/>
          </w:tcPr>
          <w:p w14:paraId="1E735E20" w14:textId="52F563BB"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4AEEC445" w14:textId="52F550E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08</w:t>
            </w:r>
          </w:p>
        </w:tc>
        <w:tc>
          <w:tcPr>
            <w:tcW w:w="139" w:type="pct"/>
            <w:vAlign w:val="center"/>
          </w:tcPr>
          <w:p w14:paraId="44EC7251" w14:textId="6A04014C"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201" w:type="pct"/>
            <w:noWrap/>
            <w:vAlign w:val="center"/>
          </w:tcPr>
          <w:p w14:paraId="3DEA72CE" w14:textId="40B6F09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02</w:t>
            </w:r>
          </w:p>
        </w:tc>
        <w:tc>
          <w:tcPr>
            <w:tcW w:w="187" w:type="pct"/>
            <w:vAlign w:val="center"/>
          </w:tcPr>
          <w:p w14:paraId="66431975" w14:textId="532AFD36"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7828285C" w14:textId="77777777" w:rsidTr="00822E07">
        <w:trPr>
          <w:trHeight w:val="57"/>
        </w:trPr>
        <w:tc>
          <w:tcPr>
            <w:tcW w:w="474" w:type="pct"/>
            <w:vAlign w:val="center"/>
            <w:hideMark/>
          </w:tcPr>
          <w:p w14:paraId="75629F27" w14:textId="77777777"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Diuron</w:t>
            </w:r>
          </w:p>
        </w:tc>
        <w:tc>
          <w:tcPr>
            <w:tcW w:w="189" w:type="pct"/>
            <w:noWrap/>
            <w:vAlign w:val="center"/>
          </w:tcPr>
          <w:p w14:paraId="63808809" w14:textId="06C5CAB5"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54EFBEA0" w14:textId="05D85F9F"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0C70D58C" w14:textId="5A6A292F"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5FBD1208" w14:textId="3AD43B43"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7369A341" w14:textId="7CD0039C"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36A8F976" w14:textId="5A29D9FC"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0B76FFA8" w14:textId="75662266"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6F3A9710" w14:textId="1A470544"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35C22225" w14:textId="1842C90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73A4BD7B" w14:textId="33ED6CA6"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120601EF" w14:textId="212F528C"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4" w:type="pct"/>
            <w:vAlign w:val="center"/>
          </w:tcPr>
          <w:p w14:paraId="0B84F72F" w14:textId="42B451C3"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070B72E3" w14:textId="4321DE2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5D431367" w14:textId="288C935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714C454F" w14:textId="76B0F4C1"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90" w:type="pct"/>
            <w:vAlign w:val="center"/>
          </w:tcPr>
          <w:p w14:paraId="160BE150" w14:textId="544740A6"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60CF660B" w14:textId="08B40ABA"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0F8AA5BE" w14:textId="4AE28372"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55051328" w14:textId="72F1AAF9"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3EBCDB05" w14:textId="2AFFE8E8"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6E2B2176" w14:textId="58B03B0B"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07AF931F" w14:textId="02EC399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w:t>
            </w:r>
            <w:r>
              <w:rPr>
                <w:rFonts w:ascii="Arial" w:eastAsia="Calibri" w:hAnsi="Arial" w:cs="Arial"/>
                <w:sz w:val="16"/>
                <w:szCs w:val="16"/>
              </w:rPr>
              <w:t>.</w:t>
            </w:r>
            <w:r w:rsidRPr="000D0098">
              <w:rPr>
                <w:rFonts w:ascii="Arial" w:eastAsia="Calibri" w:hAnsi="Arial" w:cs="Arial"/>
                <w:sz w:val="16"/>
                <w:szCs w:val="16"/>
              </w:rPr>
              <w:t>67</w:t>
            </w:r>
          </w:p>
        </w:tc>
        <w:tc>
          <w:tcPr>
            <w:tcW w:w="201" w:type="pct"/>
            <w:noWrap/>
            <w:vAlign w:val="center"/>
          </w:tcPr>
          <w:p w14:paraId="75ABCB6C" w14:textId="3211C31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25</w:t>
            </w:r>
          </w:p>
        </w:tc>
        <w:tc>
          <w:tcPr>
            <w:tcW w:w="187" w:type="pct"/>
            <w:vAlign w:val="center"/>
          </w:tcPr>
          <w:p w14:paraId="5AA7F328" w14:textId="27945E7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w:t>
            </w:r>
            <w:r>
              <w:rPr>
                <w:rFonts w:ascii="Arial" w:eastAsia="Calibri" w:hAnsi="Arial" w:cs="Arial"/>
                <w:sz w:val="16"/>
                <w:szCs w:val="16"/>
              </w:rPr>
              <w:t>.</w:t>
            </w:r>
            <w:r w:rsidRPr="000D0098">
              <w:rPr>
                <w:rFonts w:ascii="Arial" w:eastAsia="Calibri" w:hAnsi="Arial" w:cs="Arial"/>
                <w:sz w:val="16"/>
                <w:szCs w:val="16"/>
              </w:rPr>
              <w:t>48</w:t>
            </w:r>
          </w:p>
        </w:tc>
      </w:tr>
      <w:tr w:rsidR="00822E07" w:rsidRPr="000D0098" w14:paraId="3A5D00C2" w14:textId="77777777" w:rsidTr="00822E07">
        <w:trPr>
          <w:trHeight w:val="93"/>
        </w:trPr>
        <w:tc>
          <w:tcPr>
            <w:tcW w:w="474" w:type="pct"/>
            <w:vAlign w:val="center"/>
            <w:hideMark/>
          </w:tcPr>
          <w:p w14:paraId="37A141AA" w14:textId="69A31180"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Bensulfuron-m</w:t>
            </w:r>
            <w:r>
              <w:rPr>
                <w:rFonts w:ascii="Arial" w:eastAsia="Calibri" w:hAnsi="Arial" w:cs="Arial"/>
                <w:b/>
                <w:bCs/>
                <w:sz w:val="16"/>
                <w:szCs w:val="16"/>
              </w:rPr>
              <w:t>e</w:t>
            </w:r>
            <w:r w:rsidRPr="000D0098">
              <w:rPr>
                <w:rFonts w:ascii="Arial" w:eastAsia="Calibri" w:hAnsi="Arial" w:cs="Arial"/>
                <w:b/>
                <w:bCs/>
                <w:sz w:val="16"/>
                <w:szCs w:val="16"/>
              </w:rPr>
              <w:t>thyl</w:t>
            </w:r>
            <w:proofErr w:type="spellEnd"/>
          </w:p>
        </w:tc>
        <w:tc>
          <w:tcPr>
            <w:tcW w:w="189" w:type="pct"/>
            <w:noWrap/>
            <w:vAlign w:val="center"/>
          </w:tcPr>
          <w:p w14:paraId="4060F47E" w14:textId="6D44A183"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62906887" w14:textId="58D8F98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5906EC51" w14:textId="6E2EACA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15</w:t>
            </w:r>
            <w:r>
              <w:rPr>
                <w:rFonts w:ascii="Arial" w:eastAsia="Calibri" w:hAnsi="Arial" w:cs="Arial"/>
                <w:sz w:val="16"/>
                <w:szCs w:val="16"/>
              </w:rPr>
              <w:t>.</w:t>
            </w:r>
            <w:r w:rsidRPr="000D0098">
              <w:rPr>
                <w:rFonts w:ascii="Arial" w:eastAsia="Calibri" w:hAnsi="Arial" w:cs="Arial"/>
                <w:sz w:val="16"/>
                <w:szCs w:val="16"/>
              </w:rPr>
              <w:t>88</w:t>
            </w:r>
          </w:p>
        </w:tc>
        <w:tc>
          <w:tcPr>
            <w:tcW w:w="230" w:type="pct"/>
            <w:vAlign w:val="center"/>
          </w:tcPr>
          <w:p w14:paraId="79A4C121" w14:textId="7AF25CB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409209CC" w14:textId="46E4DD64"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55</w:t>
            </w:r>
          </w:p>
        </w:tc>
        <w:tc>
          <w:tcPr>
            <w:tcW w:w="166" w:type="pct"/>
            <w:vAlign w:val="center"/>
          </w:tcPr>
          <w:p w14:paraId="3D8EA5DC" w14:textId="129C7EFA"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247DBF17" w14:textId="6A428895"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0718AADA" w14:textId="31A1D1A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585F2A56" w14:textId="000A1744"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6</w:t>
            </w:r>
            <w:r>
              <w:rPr>
                <w:rFonts w:ascii="Arial" w:eastAsia="Calibri" w:hAnsi="Arial" w:cs="Arial"/>
                <w:sz w:val="16"/>
                <w:szCs w:val="16"/>
              </w:rPr>
              <w:t>.</w:t>
            </w:r>
            <w:r w:rsidRPr="000D0098">
              <w:rPr>
                <w:rFonts w:ascii="Arial" w:eastAsia="Calibri" w:hAnsi="Arial" w:cs="Arial"/>
                <w:sz w:val="16"/>
                <w:szCs w:val="16"/>
              </w:rPr>
              <w:t>55</w:t>
            </w:r>
          </w:p>
        </w:tc>
        <w:tc>
          <w:tcPr>
            <w:tcW w:w="240" w:type="pct"/>
            <w:vAlign w:val="center"/>
          </w:tcPr>
          <w:p w14:paraId="55E80779" w14:textId="366DED01"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66" w:type="pct"/>
            <w:noWrap/>
            <w:vAlign w:val="center"/>
          </w:tcPr>
          <w:p w14:paraId="41738BD1" w14:textId="27A350A9"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20</w:t>
            </w:r>
            <w:r>
              <w:rPr>
                <w:rFonts w:ascii="Arial" w:eastAsia="Calibri" w:hAnsi="Arial" w:cs="Arial"/>
                <w:sz w:val="16"/>
                <w:szCs w:val="16"/>
              </w:rPr>
              <w:t>.</w:t>
            </w:r>
            <w:r w:rsidRPr="000D0098">
              <w:rPr>
                <w:rFonts w:ascii="Arial" w:eastAsia="Calibri" w:hAnsi="Arial" w:cs="Arial"/>
                <w:sz w:val="16"/>
                <w:szCs w:val="16"/>
              </w:rPr>
              <w:t>79</w:t>
            </w:r>
          </w:p>
        </w:tc>
        <w:tc>
          <w:tcPr>
            <w:tcW w:w="134" w:type="pct"/>
            <w:vAlign w:val="center"/>
          </w:tcPr>
          <w:p w14:paraId="08C7A91F" w14:textId="1AB16D53"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noWrap/>
            <w:vAlign w:val="center"/>
          </w:tcPr>
          <w:p w14:paraId="6EAFB5B8" w14:textId="7ADD7412"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11</w:t>
            </w:r>
            <w:r>
              <w:rPr>
                <w:rFonts w:ascii="Arial" w:eastAsia="Calibri" w:hAnsi="Arial" w:cs="Arial"/>
                <w:sz w:val="16"/>
                <w:szCs w:val="16"/>
              </w:rPr>
              <w:t>.</w:t>
            </w:r>
            <w:r w:rsidRPr="000D0098">
              <w:rPr>
                <w:rFonts w:ascii="Arial" w:eastAsia="Calibri" w:hAnsi="Arial" w:cs="Arial"/>
                <w:sz w:val="16"/>
                <w:szCs w:val="16"/>
              </w:rPr>
              <w:t>29</w:t>
            </w:r>
          </w:p>
        </w:tc>
        <w:tc>
          <w:tcPr>
            <w:tcW w:w="199" w:type="pct"/>
            <w:vAlign w:val="center"/>
          </w:tcPr>
          <w:p w14:paraId="65DB3B2B" w14:textId="33FC246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2679CD0B" w14:textId="2D3C41C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98</w:t>
            </w:r>
          </w:p>
        </w:tc>
        <w:tc>
          <w:tcPr>
            <w:tcW w:w="90" w:type="pct"/>
            <w:vAlign w:val="center"/>
          </w:tcPr>
          <w:p w14:paraId="29BBF278" w14:textId="4C87F3A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2A51A669" w14:textId="4627412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8</w:t>
            </w:r>
            <w:r>
              <w:rPr>
                <w:rFonts w:ascii="Arial" w:eastAsia="Calibri" w:hAnsi="Arial" w:cs="Arial"/>
                <w:sz w:val="16"/>
                <w:szCs w:val="16"/>
              </w:rPr>
              <w:t>.</w:t>
            </w:r>
            <w:r w:rsidRPr="000D0098">
              <w:rPr>
                <w:rFonts w:ascii="Arial" w:eastAsia="Calibri" w:hAnsi="Arial" w:cs="Arial"/>
                <w:sz w:val="16"/>
                <w:szCs w:val="16"/>
              </w:rPr>
              <w:t>14</w:t>
            </w:r>
          </w:p>
        </w:tc>
        <w:tc>
          <w:tcPr>
            <w:tcW w:w="199" w:type="pct"/>
            <w:vAlign w:val="center"/>
          </w:tcPr>
          <w:p w14:paraId="1969C232" w14:textId="6ED983A1"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094BA68C" w14:textId="22E20AE6"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19</w:t>
            </w:r>
            <w:r>
              <w:rPr>
                <w:rFonts w:ascii="Arial" w:eastAsia="Calibri" w:hAnsi="Arial" w:cs="Arial"/>
                <w:sz w:val="16"/>
                <w:szCs w:val="16"/>
              </w:rPr>
              <w:t>.</w:t>
            </w:r>
            <w:r w:rsidRPr="000D0098">
              <w:rPr>
                <w:rFonts w:ascii="Arial" w:eastAsia="Calibri" w:hAnsi="Arial" w:cs="Arial"/>
                <w:sz w:val="16"/>
                <w:szCs w:val="16"/>
              </w:rPr>
              <w:t>01</w:t>
            </w:r>
          </w:p>
        </w:tc>
        <w:tc>
          <w:tcPr>
            <w:tcW w:w="134" w:type="pct"/>
            <w:vAlign w:val="center"/>
          </w:tcPr>
          <w:p w14:paraId="36410D0C" w14:textId="3696DC4E"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789E4412" w14:textId="7BD5F87F"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6AA66803" w14:textId="3B6B1520"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201" w:type="pct"/>
            <w:noWrap/>
            <w:vAlign w:val="center"/>
          </w:tcPr>
          <w:p w14:paraId="0CF13680" w14:textId="48478345"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7</w:t>
            </w:r>
            <w:r>
              <w:rPr>
                <w:rFonts w:ascii="Arial" w:eastAsia="Calibri" w:hAnsi="Arial" w:cs="Arial"/>
                <w:sz w:val="16"/>
                <w:szCs w:val="16"/>
              </w:rPr>
              <w:t>.</w:t>
            </w:r>
            <w:r w:rsidRPr="000D0098">
              <w:rPr>
                <w:rFonts w:ascii="Arial" w:eastAsia="Calibri" w:hAnsi="Arial" w:cs="Arial"/>
                <w:sz w:val="16"/>
                <w:szCs w:val="16"/>
              </w:rPr>
              <w:t>44</w:t>
            </w:r>
          </w:p>
        </w:tc>
        <w:tc>
          <w:tcPr>
            <w:tcW w:w="187" w:type="pct"/>
            <w:vAlign w:val="center"/>
          </w:tcPr>
          <w:p w14:paraId="1CC48632" w14:textId="44248149"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2372365E" w14:textId="77777777" w:rsidTr="00822E07">
        <w:trPr>
          <w:trHeight w:val="57"/>
        </w:trPr>
        <w:tc>
          <w:tcPr>
            <w:tcW w:w="474" w:type="pct"/>
            <w:vAlign w:val="center"/>
            <w:hideMark/>
          </w:tcPr>
          <w:p w14:paraId="1CF2EF17" w14:textId="77777777"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Terbuthylazine</w:t>
            </w:r>
          </w:p>
        </w:tc>
        <w:tc>
          <w:tcPr>
            <w:tcW w:w="189" w:type="pct"/>
            <w:noWrap/>
            <w:vAlign w:val="center"/>
          </w:tcPr>
          <w:p w14:paraId="2ECB0C50" w14:textId="1CFFEAA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17</w:t>
            </w:r>
            <w:r>
              <w:rPr>
                <w:rFonts w:ascii="Arial" w:eastAsia="Calibri" w:hAnsi="Arial" w:cs="Arial"/>
                <w:sz w:val="16"/>
                <w:szCs w:val="16"/>
              </w:rPr>
              <w:t>.</w:t>
            </w:r>
            <w:r w:rsidRPr="000D0098">
              <w:rPr>
                <w:rFonts w:ascii="Arial" w:eastAsia="Calibri" w:hAnsi="Arial" w:cs="Arial"/>
                <w:sz w:val="16"/>
                <w:szCs w:val="16"/>
              </w:rPr>
              <w:t>84</w:t>
            </w:r>
          </w:p>
        </w:tc>
        <w:tc>
          <w:tcPr>
            <w:tcW w:w="337" w:type="pct"/>
            <w:vAlign w:val="center"/>
          </w:tcPr>
          <w:p w14:paraId="3EA4336D" w14:textId="16E994AD"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3C55B8AF" w14:textId="3F955D98"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3F9AF47B" w14:textId="3EDAECF5"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36A1E388" w14:textId="1C60C8A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18</w:t>
            </w:r>
            <w:r>
              <w:rPr>
                <w:rFonts w:ascii="Arial" w:eastAsia="Calibri" w:hAnsi="Arial" w:cs="Arial"/>
                <w:sz w:val="16"/>
                <w:szCs w:val="16"/>
              </w:rPr>
              <w:t>.</w:t>
            </w:r>
            <w:r w:rsidRPr="000D0098">
              <w:rPr>
                <w:rFonts w:ascii="Arial" w:eastAsia="Calibri" w:hAnsi="Arial" w:cs="Arial"/>
                <w:sz w:val="16"/>
                <w:szCs w:val="16"/>
              </w:rPr>
              <w:t>01</w:t>
            </w:r>
          </w:p>
        </w:tc>
        <w:tc>
          <w:tcPr>
            <w:tcW w:w="166" w:type="pct"/>
            <w:vAlign w:val="center"/>
          </w:tcPr>
          <w:p w14:paraId="7BA2B1DE" w14:textId="763C148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64</w:t>
            </w:r>
            <w:r>
              <w:rPr>
                <w:rFonts w:ascii="Arial" w:eastAsia="Calibri" w:hAnsi="Arial" w:cs="Arial"/>
                <w:sz w:val="16"/>
                <w:szCs w:val="16"/>
              </w:rPr>
              <w:t>.</w:t>
            </w:r>
            <w:r w:rsidRPr="000D0098">
              <w:rPr>
                <w:rFonts w:ascii="Arial" w:eastAsia="Calibri" w:hAnsi="Arial" w:cs="Arial"/>
                <w:sz w:val="16"/>
                <w:szCs w:val="16"/>
              </w:rPr>
              <w:t>66</w:t>
            </w:r>
          </w:p>
        </w:tc>
        <w:tc>
          <w:tcPr>
            <w:tcW w:w="199" w:type="pct"/>
            <w:noWrap/>
            <w:vAlign w:val="center"/>
          </w:tcPr>
          <w:p w14:paraId="2B8E8D35" w14:textId="157E9AC4"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16CBF1F7" w14:textId="3767681D"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127</w:t>
            </w:r>
            <w:r>
              <w:rPr>
                <w:rFonts w:ascii="Arial" w:eastAsia="Calibri" w:hAnsi="Arial" w:cs="Arial"/>
                <w:sz w:val="16"/>
                <w:szCs w:val="16"/>
              </w:rPr>
              <w:t>.</w:t>
            </w:r>
            <w:r w:rsidRPr="000D0098">
              <w:rPr>
                <w:rFonts w:ascii="Arial" w:eastAsia="Calibri" w:hAnsi="Arial" w:cs="Arial"/>
                <w:sz w:val="16"/>
                <w:szCs w:val="16"/>
              </w:rPr>
              <w:t>22</w:t>
            </w:r>
          </w:p>
        </w:tc>
        <w:tc>
          <w:tcPr>
            <w:tcW w:w="133" w:type="pct"/>
            <w:noWrap/>
            <w:vAlign w:val="center"/>
          </w:tcPr>
          <w:p w14:paraId="290E3DB0" w14:textId="31C5FCF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2261622E" w14:textId="5963815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17</w:t>
            </w:r>
            <w:r>
              <w:rPr>
                <w:rFonts w:ascii="Arial" w:eastAsia="Calibri" w:hAnsi="Arial" w:cs="Arial"/>
                <w:sz w:val="16"/>
                <w:szCs w:val="16"/>
              </w:rPr>
              <w:t>.</w:t>
            </w:r>
            <w:r w:rsidRPr="000D0098">
              <w:rPr>
                <w:rFonts w:ascii="Arial" w:eastAsia="Calibri" w:hAnsi="Arial" w:cs="Arial"/>
                <w:sz w:val="16"/>
                <w:szCs w:val="16"/>
              </w:rPr>
              <w:t>55</w:t>
            </w:r>
          </w:p>
        </w:tc>
        <w:tc>
          <w:tcPr>
            <w:tcW w:w="166" w:type="pct"/>
            <w:noWrap/>
            <w:vAlign w:val="center"/>
          </w:tcPr>
          <w:p w14:paraId="0D003F01" w14:textId="03819D42"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10</w:t>
            </w:r>
            <w:r>
              <w:rPr>
                <w:rFonts w:ascii="Arial" w:eastAsia="Calibri" w:hAnsi="Arial" w:cs="Arial"/>
                <w:sz w:val="16"/>
                <w:szCs w:val="16"/>
              </w:rPr>
              <w:t>.</w:t>
            </w:r>
            <w:r w:rsidRPr="000D0098">
              <w:rPr>
                <w:rFonts w:ascii="Arial" w:eastAsia="Calibri" w:hAnsi="Arial" w:cs="Arial"/>
                <w:sz w:val="16"/>
                <w:szCs w:val="16"/>
              </w:rPr>
              <w:t>22</w:t>
            </w:r>
          </w:p>
        </w:tc>
        <w:tc>
          <w:tcPr>
            <w:tcW w:w="134" w:type="pct"/>
            <w:vAlign w:val="center"/>
          </w:tcPr>
          <w:p w14:paraId="5D7DB6FE" w14:textId="6D594D6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7</w:t>
            </w:r>
            <w:r>
              <w:rPr>
                <w:rFonts w:ascii="Arial" w:eastAsia="Calibri" w:hAnsi="Arial" w:cs="Arial"/>
                <w:sz w:val="16"/>
                <w:szCs w:val="16"/>
              </w:rPr>
              <w:t>.</w:t>
            </w:r>
            <w:r w:rsidRPr="000D0098">
              <w:rPr>
                <w:rFonts w:ascii="Arial" w:eastAsia="Calibri" w:hAnsi="Arial" w:cs="Arial"/>
                <w:sz w:val="16"/>
                <w:szCs w:val="16"/>
              </w:rPr>
              <w:t>73</w:t>
            </w:r>
          </w:p>
        </w:tc>
        <w:tc>
          <w:tcPr>
            <w:tcW w:w="199" w:type="pct"/>
            <w:noWrap/>
            <w:vAlign w:val="center"/>
          </w:tcPr>
          <w:p w14:paraId="3AE21FDE" w14:textId="483CF837"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49</w:t>
            </w:r>
            <w:r>
              <w:rPr>
                <w:rFonts w:ascii="Arial" w:eastAsia="Calibri" w:hAnsi="Arial" w:cs="Arial"/>
                <w:sz w:val="16"/>
                <w:szCs w:val="16"/>
              </w:rPr>
              <w:t>.</w:t>
            </w:r>
            <w:r w:rsidRPr="000D0098">
              <w:rPr>
                <w:rFonts w:ascii="Arial" w:eastAsia="Calibri" w:hAnsi="Arial" w:cs="Arial"/>
                <w:sz w:val="16"/>
                <w:szCs w:val="16"/>
              </w:rPr>
              <w:t>82</w:t>
            </w:r>
          </w:p>
        </w:tc>
        <w:tc>
          <w:tcPr>
            <w:tcW w:w="199" w:type="pct"/>
            <w:vAlign w:val="center"/>
          </w:tcPr>
          <w:p w14:paraId="0FED4937" w14:textId="6B0E448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1D1E73FC" w14:textId="61A5515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15</w:t>
            </w:r>
            <w:r>
              <w:rPr>
                <w:rFonts w:ascii="Arial" w:eastAsia="Calibri" w:hAnsi="Arial" w:cs="Arial"/>
                <w:sz w:val="16"/>
                <w:szCs w:val="16"/>
              </w:rPr>
              <w:t>.</w:t>
            </w:r>
            <w:r w:rsidRPr="000D0098">
              <w:rPr>
                <w:rFonts w:ascii="Arial" w:eastAsia="Calibri" w:hAnsi="Arial" w:cs="Arial"/>
                <w:sz w:val="16"/>
                <w:szCs w:val="16"/>
              </w:rPr>
              <w:t>19</w:t>
            </w:r>
          </w:p>
        </w:tc>
        <w:tc>
          <w:tcPr>
            <w:tcW w:w="90" w:type="pct"/>
            <w:vAlign w:val="center"/>
          </w:tcPr>
          <w:p w14:paraId="34545C72" w14:textId="169A1A5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236B4959" w14:textId="68CD3789"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65E99D31" w14:textId="299BA1D0"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4E40540A" w14:textId="77BA294A"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14E4EB69" w14:textId="548E75E0"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2D27E493" w14:textId="5AAB28BB"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6E78B58A" w14:textId="46D7770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8</w:t>
            </w:r>
            <w:r>
              <w:rPr>
                <w:rFonts w:ascii="Arial" w:eastAsia="Calibri" w:hAnsi="Arial" w:cs="Arial"/>
                <w:sz w:val="16"/>
                <w:szCs w:val="16"/>
              </w:rPr>
              <w:t>.</w:t>
            </w:r>
            <w:r w:rsidRPr="000D0098">
              <w:rPr>
                <w:rFonts w:ascii="Arial" w:eastAsia="Calibri" w:hAnsi="Arial" w:cs="Arial"/>
                <w:sz w:val="16"/>
                <w:szCs w:val="16"/>
              </w:rPr>
              <w:t>57</w:t>
            </w:r>
          </w:p>
        </w:tc>
        <w:tc>
          <w:tcPr>
            <w:tcW w:w="201" w:type="pct"/>
            <w:noWrap/>
            <w:vAlign w:val="center"/>
          </w:tcPr>
          <w:p w14:paraId="27D95CAE" w14:textId="0C71672E"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187" w:type="pct"/>
            <w:vAlign w:val="center"/>
          </w:tcPr>
          <w:p w14:paraId="58C54844" w14:textId="4780936D"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34BC765C" w14:textId="77777777" w:rsidTr="00822E07">
        <w:trPr>
          <w:trHeight w:val="57"/>
        </w:trPr>
        <w:tc>
          <w:tcPr>
            <w:tcW w:w="474" w:type="pct"/>
            <w:vAlign w:val="center"/>
          </w:tcPr>
          <w:p w14:paraId="6F9C6992" w14:textId="4B18A90B"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Haloxyfop-R-</w:t>
            </w:r>
            <w:proofErr w:type="spellStart"/>
            <w:r w:rsidRPr="000D0098">
              <w:rPr>
                <w:rFonts w:ascii="Arial" w:eastAsia="Calibri" w:hAnsi="Arial" w:cs="Arial"/>
                <w:b/>
                <w:bCs/>
                <w:sz w:val="16"/>
                <w:szCs w:val="16"/>
              </w:rPr>
              <w:t>m</w:t>
            </w:r>
            <w:r>
              <w:rPr>
                <w:rFonts w:ascii="Arial" w:eastAsia="Calibri" w:hAnsi="Arial" w:cs="Arial"/>
                <w:b/>
                <w:bCs/>
                <w:sz w:val="16"/>
                <w:szCs w:val="16"/>
              </w:rPr>
              <w:t>ie</w:t>
            </w:r>
            <w:r w:rsidRPr="000D0098">
              <w:rPr>
                <w:rFonts w:ascii="Arial" w:eastAsia="Calibri" w:hAnsi="Arial" w:cs="Arial"/>
                <w:b/>
                <w:bCs/>
                <w:sz w:val="16"/>
                <w:szCs w:val="16"/>
              </w:rPr>
              <w:t>thyl</w:t>
            </w:r>
            <w:proofErr w:type="spellEnd"/>
          </w:p>
        </w:tc>
        <w:tc>
          <w:tcPr>
            <w:tcW w:w="189" w:type="pct"/>
            <w:noWrap/>
            <w:vAlign w:val="center"/>
          </w:tcPr>
          <w:p w14:paraId="5E8AF36F" w14:textId="4B7793E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w:t>
            </w:r>
            <w:r>
              <w:rPr>
                <w:rFonts w:ascii="Arial" w:eastAsia="Calibri" w:hAnsi="Arial" w:cs="Arial"/>
                <w:sz w:val="16"/>
                <w:szCs w:val="16"/>
              </w:rPr>
              <w:t>.</w:t>
            </w:r>
            <w:r w:rsidRPr="000D0098">
              <w:rPr>
                <w:rFonts w:ascii="Arial" w:eastAsia="Calibri" w:hAnsi="Arial" w:cs="Arial"/>
                <w:sz w:val="16"/>
                <w:szCs w:val="16"/>
              </w:rPr>
              <w:t>17</w:t>
            </w:r>
          </w:p>
        </w:tc>
        <w:tc>
          <w:tcPr>
            <w:tcW w:w="337" w:type="pct"/>
            <w:vAlign w:val="center"/>
          </w:tcPr>
          <w:p w14:paraId="13A9CAA9" w14:textId="19F9622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73D066FF" w14:textId="5011B06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4</w:t>
            </w:r>
            <w:r>
              <w:rPr>
                <w:rFonts w:ascii="Arial" w:eastAsia="Calibri" w:hAnsi="Arial" w:cs="Arial"/>
                <w:sz w:val="16"/>
                <w:szCs w:val="16"/>
              </w:rPr>
              <w:t>.</w:t>
            </w:r>
            <w:r w:rsidRPr="000D0098">
              <w:rPr>
                <w:rFonts w:ascii="Arial" w:eastAsia="Calibri" w:hAnsi="Arial" w:cs="Arial"/>
                <w:sz w:val="16"/>
                <w:szCs w:val="16"/>
              </w:rPr>
              <w:t>40</w:t>
            </w:r>
          </w:p>
        </w:tc>
        <w:tc>
          <w:tcPr>
            <w:tcW w:w="230" w:type="pct"/>
            <w:vAlign w:val="center"/>
          </w:tcPr>
          <w:p w14:paraId="1D0C27EB" w14:textId="6FC15A2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76642FC5" w14:textId="2F822DE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w:t>
            </w:r>
            <w:r>
              <w:rPr>
                <w:rFonts w:ascii="Arial" w:eastAsia="Calibri" w:hAnsi="Arial" w:cs="Arial"/>
                <w:sz w:val="16"/>
                <w:szCs w:val="16"/>
              </w:rPr>
              <w:t>.</w:t>
            </w:r>
            <w:r w:rsidRPr="000D0098">
              <w:rPr>
                <w:rFonts w:ascii="Arial" w:eastAsia="Calibri" w:hAnsi="Arial" w:cs="Arial"/>
                <w:sz w:val="16"/>
                <w:szCs w:val="16"/>
              </w:rPr>
              <w:t>80</w:t>
            </w:r>
          </w:p>
        </w:tc>
        <w:tc>
          <w:tcPr>
            <w:tcW w:w="166" w:type="pct"/>
            <w:vAlign w:val="center"/>
          </w:tcPr>
          <w:p w14:paraId="7C898AC1" w14:textId="528BDEB6"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439D076C" w14:textId="428CFCB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46</w:t>
            </w:r>
          </w:p>
        </w:tc>
        <w:tc>
          <w:tcPr>
            <w:tcW w:w="199" w:type="pct"/>
            <w:vAlign w:val="center"/>
          </w:tcPr>
          <w:p w14:paraId="7A329711" w14:textId="18BE6B7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01DA6968" w14:textId="7DECA4D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w:t>
            </w:r>
            <w:r>
              <w:rPr>
                <w:rFonts w:ascii="Arial" w:eastAsia="Calibri" w:hAnsi="Arial" w:cs="Arial"/>
                <w:sz w:val="16"/>
                <w:szCs w:val="16"/>
              </w:rPr>
              <w:t>.</w:t>
            </w:r>
            <w:r w:rsidRPr="000D0098">
              <w:rPr>
                <w:rFonts w:ascii="Arial" w:eastAsia="Calibri" w:hAnsi="Arial" w:cs="Arial"/>
                <w:sz w:val="16"/>
                <w:szCs w:val="16"/>
              </w:rPr>
              <w:t>78</w:t>
            </w:r>
          </w:p>
        </w:tc>
        <w:tc>
          <w:tcPr>
            <w:tcW w:w="240" w:type="pct"/>
            <w:vAlign w:val="center"/>
          </w:tcPr>
          <w:p w14:paraId="330A6292" w14:textId="749C82E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30743FD4" w14:textId="6133B645"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w:t>
            </w:r>
            <w:r>
              <w:rPr>
                <w:rFonts w:ascii="Arial" w:eastAsia="Calibri" w:hAnsi="Arial" w:cs="Arial"/>
                <w:sz w:val="16"/>
                <w:szCs w:val="16"/>
              </w:rPr>
              <w:t>.</w:t>
            </w:r>
            <w:r w:rsidRPr="000D0098">
              <w:rPr>
                <w:rFonts w:ascii="Arial" w:eastAsia="Calibri" w:hAnsi="Arial" w:cs="Arial"/>
                <w:sz w:val="16"/>
                <w:szCs w:val="16"/>
              </w:rPr>
              <w:t>49</w:t>
            </w:r>
          </w:p>
        </w:tc>
        <w:tc>
          <w:tcPr>
            <w:tcW w:w="134" w:type="pct"/>
            <w:vAlign w:val="center"/>
          </w:tcPr>
          <w:p w14:paraId="76C168C0" w14:textId="1C517253"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74DC8B8D" w14:textId="58A0612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w:t>
            </w:r>
            <w:r>
              <w:rPr>
                <w:rFonts w:ascii="Arial" w:eastAsia="Calibri" w:hAnsi="Arial" w:cs="Arial"/>
                <w:sz w:val="16"/>
                <w:szCs w:val="16"/>
              </w:rPr>
              <w:t>.</w:t>
            </w:r>
            <w:r w:rsidRPr="000D0098">
              <w:rPr>
                <w:rFonts w:ascii="Arial" w:eastAsia="Calibri" w:hAnsi="Arial" w:cs="Arial"/>
                <w:sz w:val="16"/>
                <w:szCs w:val="16"/>
              </w:rPr>
              <w:t>16</w:t>
            </w:r>
          </w:p>
        </w:tc>
        <w:tc>
          <w:tcPr>
            <w:tcW w:w="199" w:type="pct"/>
            <w:vAlign w:val="center"/>
          </w:tcPr>
          <w:p w14:paraId="4BE29F87" w14:textId="1D690F6C"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500EC8E5" w14:textId="0DCC34CF"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23</w:t>
            </w:r>
            <w:r>
              <w:rPr>
                <w:rFonts w:ascii="Arial" w:eastAsia="Calibri" w:hAnsi="Arial" w:cs="Arial"/>
                <w:sz w:val="16"/>
                <w:szCs w:val="16"/>
              </w:rPr>
              <w:t>.</w:t>
            </w:r>
            <w:r w:rsidRPr="000D0098">
              <w:rPr>
                <w:rFonts w:ascii="Arial" w:eastAsia="Calibri" w:hAnsi="Arial" w:cs="Arial"/>
                <w:sz w:val="16"/>
                <w:szCs w:val="16"/>
              </w:rPr>
              <w:t>27</w:t>
            </w:r>
          </w:p>
        </w:tc>
        <w:tc>
          <w:tcPr>
            <w:tcW w:w="90" w:type="pct"/>
            <w:vAlign w:val="center"/>
          </w:tcPr>
          <w:p w14:paraId="623DE4A3" w14:textId="30F2487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7B792D2F" w14:textId="23D870D7"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72C75A75" w14:textId="529B78CF"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64E63A68" w14:textId="3BCEF2B8"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6F5B8404" w14:textId="784CEE89"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24E47E4C" w14:textId="73466CDD"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6CCDF25D" w14:textId="01DEE68A"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33D7C1F0" w14:textId="759002CF"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187" w:type="pct"/>
            <w:vAlign w:val="center"/>
          </w:tcPr>
          <w:p w14:paraId="7737DA3E" w14:textId="2AA4A87F"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6F3F2E00" w14:textId="77777777" w:rsidTr="00822E07">
        <w:trPr>
          <w:trHeight w:val="57"/>
        </w:trPr>
        <w:tc>
          <w:tcPr>
            <w:tcW w:w="474" w:type="pct"/>
            <w:vAlign w:val="center"/>
          </w:tcPr>
          <w:p w14:paraId="3D156863" w14:textId="148DA6F6"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M</w:t>
            </w:r>
            <w:r>
              <w:rPr>
                <w:rFonts w:ascii="Arial" w:eastAsia="Calibri" w:hAnsi="Arial" w:cs="Arial"/>
                <w:b/>
                <w:bCs/>
                <w:sz w:val="16"/>
                <w:szCs w:val="16"/>
              </w:rPr>
              <w:t>e</w:t>
            </w:r>
            <w:r w:rsidRPr="000D0098">
              <w:rPr>
                <w:rFonts w:ascii="Arial" w:eastAsia="Calibri" w:hAnsi="Arial" w:cs="Arial"/>
                <w:b/>
                <w:bCs/>
                <w:sz w:val="16"/>
                <w:szCs w:val="16"/>
              </w:rPr>
              <w:t>sotrione</w:t>
            </w:r>
            <w:proofErr w:type="spellEnd"/>
          </w:p>
        </w:tc>
        <w:tc>
          <w:tcPr>
            <w:tcW w:w="189" w:type="pct"/>
            <w:noWrap/>
            <w:vAlign w:val="center"/>
          </w:tcPr>
          <w:p w14:paraId="795263F2" w14:textId="649CFBF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163</w:t>
            </w:r>
            <w:r>
              <w:rPr>
                <w:rFonts w:ascii="Arial" w:eastAsia="Calibri" w:hAnsi="Arial" w:cs="Arial"/>
                <w:sz w:val="16"/>
                <w:szCs w:val="16"/>
              </w:rPr>
              <w:t>.</w:t>
            </w:r>
            <w:r w:rsidRPr="000D0098">
              <w:rPr>
                <w:rFonts w:ascii="Arial" w:eastAsia="Calibri" w:hAnsi="Arial" w:cs="Arial"/>
                <w:sz w:val="16"/>
                <w:szCs w:val="16"/>
              </w:rPr>
              <w:t>70</w:t>
            </w:r>
          </w:p>
        </w:tc>
        <w:tc>
          <w:tcPr>
            <w:tcW w:w="337" w:type="pct"/>
            <w:vAlign w:val="center"/>
          </w:tcPr>
          <w:p w14:paraId="68D12DC7" w14:textId="7600DE7F"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19</w:t>
            </w:r>
          </w:p>
        </w:tc>
        <w:tc>
          <w:tcPr>
            <w:tcW w:w="199" w:type="pct"/>
            <w:noWrap/>
            <w:vAlign w:val="center"/>
          </w:tcPr>
          <w:p w14:paraId="3BD616AA" w14:textId="3CFBCC5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912</w:t>
            </w:r>
            <w:r>
              <w:rPr>
                <w:rFonts w:ascii="Arial" w:eastAsia="Calibri" w:hAnsi="Arial" w:cs="Arial"/>
                <w:sz w:val="16"/>
                <w:szCs w:val="16"/>
              </w:rPr>
              <w:t>.</w:t>
            </w:r>
            <w:r w:rsidRPr="000D0098">
              <w:rPr>
                <w:rFonts w:ascii="Arial" w:eastAsia="Calibri" w:hAnsi="Arial" w:cs="Arial"/>
                <w:sz w:val="16"/>
                <w:szCs w:val="16"/>
              </w:rPr>
              <w:t>39</w:t>
            </w:r>
          </w:p>
        </w:tc>
        <w:tc>
          <w:tcPr>
            <w:tcW w:w="230" w:type="pct"/>
            <w:vAlign w:val="center"/>
          </w:tcPr>
          <w:p w14:paraId="1F305CC3" w14:textId="18C4490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1531</w:t>
            </w:r>
            <w:r>
              <w:rPr>
                <w:rFonts w:ascii="Arial" w:eastAsia="Calibri" w:hAnsi="Arial" w:cs="Arial"/>
                <w:sz w:val="16"/>
                <w:szCs w:val="16"/>
              </w:rPr>
              <w:t>.</w:t>
            </w:r>
            <w:r w:rsidRPr="000D0098">
              <w:rPr>
                <w:rFonts w:ascii="Arial" w:eastAsia="Calibri" w:hAnsi="Arial" w:cs="Arial"/>
                <w:sz w:val="16"/>
                <w:szCs w:val="16"/>
              </w:rPr>
              <w:t>68</w:t>
            </w:r>
          </w:p>
        </w:tc>
        <w:tc>
          <w:tcPr>
            <w:tcW w:w="166" w:type="pct"/>
            <w:noWrap/>
            <w:vAlign w:val="center"/>
          </w:tcPr>
          <w:p w14:paraId="1D6378FD" w14:textId="154860DA"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0C2534B7" w14:textId="5AEBD83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0A6409CE" w14:textId="49A9DAD3"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3AD8D597" w14:textId="6CC7D1A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115</w:t>
            </w:r>
            <w:r>
              <w:rPr>
                <w:rFonts w:ascii="Arial" w:eastAsia="Calibri" w:hAnsi="Arial" w:cs="Arial"/>
                <w:sz w:val="16"/>
                <w:szCs w:val="16"/>
              </w:rPr>
              <w:t>.</w:t>
            </w:r>
            <w:r w:rsidRPr="000D0098">
              <w:rPr>
                <w:rFonts w:ascii="Arial" w:eastAsia="Calibri" w:hAnsi="Arial" w:cs="Arial"/>
                <w:sz w:val="16"/>
                <w:szCs w:val="16"/>
              </w:rPr>
              <w:t>03</w:t>
            </w:r>
          </w:p>
        </w:tc>
        <w:tc>
          <w:tcPr>
            <w:tcW w:w="133" w:type="pct"/>
            <w:noWrap/>
            <w:vAlign w:val="center"/>
          </w:tcPr>
          <w:p w14:paraId="2B86CCB6" w14:textId="13878D3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6D682733" w14:textId="3742CEA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53</w:t>
            </w:r>
          </w:p>
        </w:tc>
        <w:tc>
          <w:tcPr>
            <w:tcW w:w="166" w:type="pct"/>
            <w:noWrap/>
            <w:vAlign w:val="center"/>
          </w:tcPr>
          <w:p w14:paraId="4FB4BB80" w14:textId="7661648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4" w:type="pct"/>
            <w:vAlign w:val="center"/>
          </w:tcPr>
          <w:p w14:paraId="6389ED99" w14:textId="7B9BA20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3D6CE717" w14:textId="18EE964D"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983</w:t>
            </w:r>
            <w:r>
              <w:rPr>
                <w:rFonts w:ascii="Arial" w:eastAsia="Calibri" w:hAnsi="Arial" w:cs="Arial"/>
                <w:sz w:val="16"/>
                <w:szCs w:val="16"/>
              </w:rPr>
              <w:t>.</w:t>
            </w:r>
            <w:r w:rsidRPr="000D0098">
              <w:rPr>
                <w:rFonts w:ascii="Arial" w:eastAsia="Calibri" w:hAnsi="Arial" w:cs="Arial"/>
                <w:sz w:val="16"/>
                <w:szCs w:val="16"/>
              </w:rPr>
              <w:t>15</w:t>
            </w:r>
          </w:p>
        </w:tc>
        <w:tc>
          <w:tcPr>
            <w:tcW w:w="199" w:type="pct"/>
            <w:vAlign w:val="center"/>
          </w:tcPr>
          <w:p w14:paraId="15EA3566" w14:textId="4D9118C4"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209</w:t>
            </w:r>
            <w:r>
              <w:rPr>
                <w:rFonts w:ascii="Arial" w:eastAsia="Calibri" w:hAnsi="Arial" w:cs="Arial"/>
                <w:sz w:val="16"/>
                <w:szCs w:val="16"/>
              </w:rPr>
              <w:t>.</w:t>
            </w:r>
            <w:r w:rsidRPr="000D0098">
              <w:rPr>
                <w:rFonts w:ascii="Arial" w:eastAsia="Calibri" w:hAnsi="Arial" w:cs="Arial"/>
                <w:sz w:val="16"/>
                <w:szCs w:val="16"/>
              </w:rPr>
              <w:t>73</w:t>
            </w:r>
          </w:p>
        </w:tc>
        <w:tc>
          <w:tcPr>
            <w:tcW w:w="231" w:type="pct"/>
            <w:noWrap/>
            <w:vAlign w:val="center"/>
          </w:tcPr>
          <w:p w14:paraId="550F4DF0" w14:textId="7585EAD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90" w:type="pct"/>
            <w:vAlign w:val="center"/>
          </w:tcPr>
          <w:p w14:paraId="472DDFC1" w14:textId="59D1C4A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45EDDAB6" w14:textId="416DBB6D"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50EC4BA9" w14:textId="274C859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135</w:t>
            </w:r>
            <w:r>
              <w:rPr>
                <w:rFonts w:ascii="Arial" w:eastAsia="Calibri" w:hAnsi="Arial" w:cs="Arial"/>
                <w:sz w:val="16"/>
                <w:szCs w:val="16"/>
              </w:rPr>
              <w:t>.</w:t>
            </w:r>
            <w:r w:rsidRPr="000D0098">
              <w:rPr>
                <w:rFonts w:ascii="Arial" w:eastAsia="Calibri" w:hAnsi="Arial" w:cs="Arial"/>
                <w:sz w:val="16"/>
                <w:szCs w:val="16"/>
              </w:rPr>
              <w:t>89</w:t>
            </w:r>
          </w:p>
        </w:tc>
        <w:tc>
          <w:tcPr>
            <w:tcW w:w="249" w:type="pct"/>
            <w:noWrap/>
            <w:vAlign w:val="center"/>
          </w:tcPr>
          <w:p w14:paraId="141F808B" w14:textId="0D4259FC"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1793086D" w14:textId="3A67E7A5"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7EB6EC59" w14:textId="6FCB5FCE"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4A961FB9" w14:textId="5F3EDBFA"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7C4BCCC0" w14:textId="011A6249"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75</w:t>
            </w:r>
            <w:r>
              <w:rPr>
                <w:rFonts w:ascii="Arial" w:eastAsia="Calibri" w:hAnsi="Arial" w:cs="Arial"/>
                <w:sz w:val="16"/>
                <w:szCs w:val="16"/>
              </w:rPr>
              <w:t>.</w:t>
            </w:r>
            <w:r w:rsidRPr="000D0098">
              <w:rPr>
                <w:rFonts w:ascii="Arial" w:eastAsia="Calibri" w:hAnsi="Arial" w:cs="Arial"/>
                <w:sz w:val="16"/>
                <w:szCs w:val="16"/>
              </w:rPr>
              <w:t>19</w:t>
            </w:r>
          </w:p>
        </w:tc>
        <w:tc>
          <w:tcPr>
            <w:tcW w:w="187" w:type="pct"/>
            <w:vAlign w:val="center"/>
          </w:tcPr>
          <w:p w14:paraId="02FAEC12" w14:textId="09E0D932"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1584DC14" w14:textId="77777777" w:rsidTr="00822E07">
        <w:trPr>
          <w:trHeight w:val="57"/>
        </w:trPr>
        <w:tc>
          <w:tcPr>
            <w:tcW w:w="474" w:type="pct"/>
            <w:vAlign w:val="center"/>
          </w:tcPr>
          <w:p w14:paraId="65D4B06F" w14:textId="4AEAC16D"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Pendim</w:t>
            </w:r>
            <w:r>
              <w:rPr>
                <w:rFonts w:ascii="Arial" w:eastAsia="Calibri" w:hAnsi="Arial" w:cs="Arial"/>
                <w:b/>
                <w:bCs/>
                <w:sz w:val="16"/>
                <w:szCs w:val="16"/>
              </w:rPr>
              <w:t>e</w:t>
            </w:r>
            <w:r w:rsidRPr="000D0098">
              <w:rPr>
                <w:rFonts w:ascii="Arial" w:eastAsia="Calibri" w:hAnsi="Arial" w:cs="Arial"/>
                <w:b/>
                <w:bCs/>
                <w:sz w:val="16"/>
                <w:szCs w:val="16"/>
              </w:rPr>
              <w:t>thalin</w:t>
            </w:r>
            <w:proofErr w:type="spellEnd"/>
          </w:p>
        </w:tc>
        <w:tc>
          <w:tcPr>
            <w:tcW w:w="189" w:type="pct"/>
            <w:noWrap/>
            <w:vAlign w:val="center"/>
          </w:tcPr>
          <w:p w14:paraId="2B817B9A" w14:textId="64BBDA1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4</w:t>
            </w:r>
            <w:r>
              <w:rPr>
                <w:rFonts w:ascii="Arial" w:eastAsia="Calibri" w:hAnsi="Arial" w:cs="Arial"/>
                <w:sz w:val="16"/>
                <w:szCs w:val="16"/>
              </w:rPr>
              <w:t>.</w:t>
            </w:r>
            <w:r w:rsidRPr="000D0098">
              <w:rPr>
                <w:rFonts w:ascii="Arial" w:eastAsia="Calibri" w:hAnsi="Arial" w:cs="Arial"/>
                <w:sz w:val="16"/>
                <w:szCs w:val="16"/>
              </w:rPr>
              <w:t>15</w:t>
            </w:r>
          </w:p>
        </w:tc>
        <w:tc>
          <w:tcPr>
            <w:tcW w:w="337" w:type="pct"/>
            <w:vAlign w:val="center"/>
          </w:tcPr>
          <w:p w14:paraId="216F7E4A" w14:textId="1D251C92"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4D4CB154" w14:textId="211F98DF"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62</w:t>
            </w:r>
            <w:r>
              <w:rPr>
                <w:rFonts w:ascii="Arial" w:eastAsia="Calibri" w:hAnsi="Arial" w:cs="Arial"/>
                <w:sz w:val="16"/>
                <w:szCs w:val="16"/>
              </w:rPr>
              <w:t>.</w:t>
            </w:r>
            <w:r w:rsidRPr="000D0098">
              <w:rPr>
                <w:rFonts w:ascii="Arial" w:eastAsia="Calibri" w:hAnsi="Arial" w:cs="Arial"/>
                <w:sz w:val="16"/>
                <w:szCs w:val="16"/>
              </w:rPr>
              <w:t>53</w:t>
            </w:r>
          </w:p>
        </w:tc>
        <w:tc>
          <w:tcPr>
            <w:tcW w:w="230" w:type="pct"/>
            <w:vAlign w:val="center"/>
          </w:tcPr>
          <w:p w14:paraId="123BB232" w14:textId="17F23D14"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172FD101" w14:textId="58063D6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6</w:t>
            </w:r>
            <w:r>
              <w:rPr>
                <w:rFonts w:ascii="Arial" w:eastAsia="Calibri" w:hAnsi="Arial" w:cs="Arial"/>
                <w:sz w:val="16"/>
                <w:szCs w:val="16"/>
              </w:rPr>
              <w:t>.</w:t>
            </w:r>
            <w:r w:rsidRPr="000D0098">
              <w:rPr>
                <w:rFonts w:ascii="Arial" w:eastAsia="Calibri" w:hAnsi="Arial" w:cs="Arial"/>
                <w:sz w:val="16"/>
                <w:szCs w:val="16"/>
              </w:rPr>
              <w:t>63</w:t>
            </w:r>
          </w:p>
        </w:tc>
        <w:tc>
          <w:tcPr>
            <w:tcW w:w="166" w:type="pct"/>
            <w:vAlign w:val="center"/>
          </w:tcPr>
          <w:p w14:paraId="2071C69E" w14:textId="24D37A1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47DD582A" w14:textId="143C9BC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118C2903" w14:textId="5C2DC90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490E2531" w14:textId="7FBC6059"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6</w:t>
            </w:r>
            <w:r>
              <w:rPr>
                <w:rFonts w:ascii="Arial" w:eastAsia="Calibri" w:hAnsi="Arial" w:cs="Arial"/>
                <w:sz w:val="16"/>
                <w:szCs w:val="16"/>
              </w:rPr>
              <w:t>.</w:t>
            </w:r>
            <w:r w:rsidRPr="000D0098">
              <w:rPr>
                <w:rFonts w:ascii="Arial" w:eastAsia="Calibri" w:hAnsi="Arial" w:cs="Arial"/>
                <w:sz w:val="16"/>
                <w:szCs w:val="16"/>
              </w:rPr>
              <w:t>33</w:t>
            </w:r>
          </w:p>
        </w:tc>
        <w:tc>
          <w:tcPr>
            <w:tcW w:w="240" w:type="pct"/>
            <w:vAlign w:val="center"/>
          </w:tcPr>
          <w:p w14:paraId="3EB59F1E" w14:textId="33561EA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58A62554" w14:textId="2CDF0A04"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7</w:t>
            </w:r>
            <w:r>
              <w:rPr>
                <w:rFonts w:ascii="Arial" w:eastAsia="Calibri" w:hAnsi="Arial" w:cs="Arial"/>
                <w:sz w:val="16"/>
                <w:szCs w:val="16"/>
              </w:rPr>
              <w:t>.</w:t>
            </w:r>
            <w:r w:rsidRPr="000D0098">
              <w:rPr>
                <w:rFonts w:ascii="Arial" w:eastAsia="Calibri" w:hAnsi="Arial" w:cs="Arial"/>
                <w:sz w:val="16"/>
                <w:szCs w:val="16"/>
              </w:rPr>
              <w:t>71</w:t>
            </w:r>
          </w:p>
        </w:tc>
        <w:tc>
          <w:tcPr>
            <w:tcW w:w="134" w:type="pct"/>
            <w:vAlign w:val="center"/>
          </w:tcPr>
          <w:p w14:paraId="78F2E2C6" w14:textId="45F2403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67</w:t>
            </w:r>
          </w:p>
        </w:tc>
        <w:tc>
          <w:tcPr>
            <w:tcW w:w="199" w:type="pct"/>
            <w:noWrap/>
            <w:vAlign w:val="center"/>
          </w:tcPr>
          <w:p w14:paraId="18F2CF47" w14:textId="2D73A34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w:t>
            </w:r>
            <w:r>
              <w:rPr>
                <w:rFonts w:ascii="Arial" w:eastAsia="Calibri" w:hAnsi="Arial" w:cs="Arial"/>
                <w:sz w:val="16"/>
                <w:szCs w:val="16"/>
              </w:rPr>
              <w:t>.</w:t>
            </w:r>
            <w:r w:rsidRPr="000D0098">
              <w:rPr>
                <w:rFonts w:ascii="Arial" w:eastAsia="Calibri" w:hAnsi="Arial" w:cs="Arial"/>
                <w:sz w:val="16"/>
                <w:szCs w:val="16"/>
              </w:rPr>
              <w:t>53</w:t>
            </w:r>
          </w:p>
        </w:tc>
        <w:tc>
          <w:tcPr>
            <w:tcW w:w="199" w:type="pct"/>
            <w:vAlign w:val="center"/>
          </w:tcPr>
          <w:p w14:paraId="36068852" w14:textId="01221FBB"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33A88E1A" w14:textId="2D8F7128"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90" w:type="pct"/>
            <w:vAlign w:val="center"/>
          </w:tcPr>
          <w:p w14:paraId="64604CE4" w14:textId="5F7338C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5D72B1AD" w14:textId="29BC1DD7"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14171470" w14:textId="48D98C86"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5477D751" w14:textId="4582C38E"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148C14F9" w14:textId="3F2E71BE"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5D0D4010" w14:textId="6827560C"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605F9B13" w14:textId="0989E73C"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4ECD0C02" w14:textId="6B233046"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w:t>
            </w:r>
            <w:r>
              <w:rPr>
                <w:rFonts w:ascii="Arial" w:eastAsia="Calibri" w:hAnsi="Arial" w:cs="Arial"/>
                <w:sz w:val="16"/>
                <w:szCs w:val="16"/>
              </w:rPr>
              <w:t>.</w:t>
            </w:r>
            <w:r w:rsidRPr="000D0098">
              <w:rPr>
                <w:rFonts w:ascii="Arial" w:eastAsia="Calibri" w:hAnsi="Arial" w:cs="Arial"/>
                <w:sz w:val="16"/>
                <w:szCs w:val="16"/>
              </w:rPr>
              <w:t>23</w:t>
            </w:r>
          </w:p>
        </w:tc>
        <w:tc>
          <w:tcPr>
            <w:tcW w:w="187" w:type="pct"/>
            <w:vAlign w:val="center"/>
          </w:tcPr>
          <w:p w14:paraId="2B5275FB" w14:textId="11F90A77"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78C2754C" w14:textId="77777777" w:rsidTr="00822E07">
        <w:trPr>
          <w:trHeight w:val="311"/>
        </w:trPr>
        <w:tc>
          <w:tcPr>
            <w:tcW w:w="474" w:type="pct"/>
            <w:vAlign w:val="center"/>
          </w:tcPr>
          <w:p w14:paraId="24FBA018" w14:textId="11E4E329" w:rsidR="00822E07" w:rsidRPr="007474B8" w:rsidRDefault="00822E07" w:rsidP="00822E07">
            <w:pPr>
              <w:spacing w:before="40" w:after="40" w:line="240" w:lineRule="auto"/>
              <w:rPr>
                <w:rFonts w:ascii="Arial" w:eastAsia="Calibri" w:hAnsi="Arial" w:cs="Arial"/>
                <w:b/>
                <w:bCs/>
                <w:sz w:val="16"/>
                <w:szCs w:val="16"/>
              </w:rPr>
            </w:pPr>
            <w:proofErr w:type="spellStart"/>
            <w:r w:rsidRPr="007474B8">
              <w:rPr>
                <w:rFonts w:ascii="Arial" w:eastAsia="Calibri" w:hAnsi="Arial" w:cs="Arial"/>
                <w:b/>
                <w:bCs/>
                <w:sz w:val="16"/>
                <w:szCs w:val="16"/>
              </w:rPr>
              <w:t>Metolachlor</w:t>
            </w:r>
            <w:proofErr w:type="spellEnd"/>
          </w:p>
        </w:tc>
        <w:tc>
          <w:tcPr>
            <w:tcW w:w="189" w:type="pct"/>
            <w:noWrap/>
            <w:vAlign w:val="center"/>
          </w:tcPr>
          <w:p w14:paraId="64396E5E" w14:textId="683F6802"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337" w:type="pct"/>
            <w:vAlign w:val="center"/>
          </w:tcPr>
          <w:p w14:paraId="0A4BE817" w14:textId="62858562"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1.03e−2</w:t>
            </w:r>
          </w:p>
        </w:tc>
        <w:tc>
          <w:tcPr>
            <w:tcW w:w="199" w:type="pct"/>
            <w:noWrap/>
            <w:vAlign w:val="center"/>
          </w:tcPr>
          <w:p w14:paraId="1D1368F7" w14:textId="603471A0"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230" w:type="pct"/>
            <w:vAlign w:val="center"/>
          </w:tcPr>
          <w:p w14:paraId="0CAE7E76" w14:textId="431DD79F"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66" w:type="pct"/>
            <w:noWrap/>
            <w:vAlign w:val="center"/>
          </w:tcPr>
          <w:p w14:paraId="1D362739" w14:textId="17F5A3B1"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66" w:type="pct"/>
            <w:vAlign w:val="center"/>
          </w:tcPr>
          <w:p w14:paraId="418B6B95" w14:textId="6000C88F"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noWrap/>
            <w:vAlign w:val="center"/>
          </w:tcPr>
          <w:p w14:paraId="1CAAFD9C" w14:textId="74320ECA"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vAlign w:val="center"/>
          </w:tcPr>
          <w:p w14:paraId="66D01246" w14:textId="0C9F2E1E"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0.82</w:t>
            </w:r>
          </w:p>
        </w:tc>
        <w:tc>
          <w:tcPr>
            <w:tcW w:w="133" w:type="pct"/>
            <w:noWrap/>
            <w:vAlign w:val="center"/>
          </w:tcPr>
          <w:p w14:paraId="575A0801" w14:textId="71934A0F"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240" w:type="pct"/>
            <w:vAlign w:val="center"/>
          </w:tcPr>
          <w:p w14:paraId="33F202E1" w14:textId="006BF458"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2.07e−2</w:t>
            </w:r>
          </w:p>
        </w:tc>
        <w:tc>
          <w:tcPr>
            <w:tcW w:w="166" w:type="pct"/>
            <w:noWrap/>
            <w:vAlign w:val="center"/>
          </w:tcPr>
          <w:p w14:paraId="66653685" w14:textId="508F38DD"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34" w:type="pct"/>
            <w:vAlign w:val="center"/>
          </w:tcPr>
          <w:p w14:paraId="53E982C7" w14:textId="2CDE512F"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0.76</w:t>
            </w:r>
          </w:p>
        </w:tc>
        <w:tc>
          <w:tcPr>
            <w:tcW w:w="199" w:type="pct"/>
            <w:noWrap/>
            <w:vAlign w:val="center"/>
          </w:tcPr>
          <w:p w14:paraId="404AECCD" w14:textId="3B167671"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vAlign w:val="center"/>
          </w:tcPr>
          <w:p w14:paraId="156B4C84" w14:textId="1527FD50"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231" w:type="pct"/>
            <w:noWrap/>
            <w:vAlign w:val="center"/>
          </w:tcPr>
          <w:p w14:paraId="506327D6" w14:textId="72F4DBC7"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90" w:type="pct"/>
            <w:vAlign w:val="center"/>
          </w:tcPr>
          <w:p w14:paraId="06FC2C50" w14:textId="6256F865"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66" w:type="pct"/>
            <w:noWrap/>
            <w:vAlign w:val="center"/>
          </w:tcPr>
          <w:p w14:paraId="133CBE4D" w14:textId="30D18165"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99" w:type="pct"/>
            <w:vAlign w:val="center"/>
          </w:tcPr>
          <w:p w14:paraId="1C5D3D28" w14:textId="618BAC9A"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1.34</w:t>
            </w:r>
          </w:p>
        </w:tc>
        <w:tc>
          <w:tcPr>
            <w:tcW w:w="249" w:type="pct"/>
            <w:noWrap/>
            <w:vAlign w:val="center"/>
          </w:tcPr>
          <w:p w14:paraId="3FFFEF50" w14:textId="44950277"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34" w:type="pct"/>
            <w:vAlign w:val="center"/>
          </w:tcPr>
          <w:p w14:paraId="588CAA5A" w14:textId="1ED6783F"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1.09</w:t>
            </w:r>
          </w:p>
        </w:tc>
        <w:tc>
          <w:tcPr>
            <w:tcW w:w="174" w:type="pct"/>
            <w:noWrap/>
            <w:vAlign w:val="center"/>
          </w:tcPr>
          <w:p w14:paraId="277013D1" w14:textId="481D0012"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39" w:type="pct"/>
            <w:vAlign w:val="center"/>
          </w:tcPr>
          <w:p w14:paraId="11B4F998" w14:textId="552EAA15"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0.79</w:t>
            </w:r>
          </w:p>
        </w:tc>
        <w:tc>
          <w:tcPr>
            <w:tcW w:w="201" w:type="pct"/>
            <w:noWrap/>
            <w:vAlign w:val="center"/>
          </w:tcPr>
          <w:p w14:paraId="66D7E654" w14:textId="72D54F31"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87" w:type="pct"/>
            <w:vAlign w:val="center"/>
          </w:tcPr>
          <w:p w14:paraId="03AC0181" w14:textId="1A132CA8" w:rsidR="00822E07" w:rsidRPr="001B58C7"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r>
      <w:tr w:rsidR="00822E07" w:rsidRPr="000D0098" w14:paraId="6177E822" w14:textId="77777777" w:rsidTr="00822E07">
        <w:trPr>
          <w:trHeight w:val="311"/>
        </w:trPr>
        <w:tc>
          <w:tcPr>
            <w:tcW w:w="474" w:type="pct"/>
            <w:vAlign w:val="center"/>
          </w:tcPr>
          <w:p w14:paraId="571AD0BB" w14:textId="77777777" w:rsidR="00822E07" w:rsidRPr="007474B8" w:rsidRDefault="00822E07" w:rsidP="00822E07">
            <w:pPr>
              <w:spacing w:before="40" w:after="40" w:line="240" w:lineRule="auto"/>
              <w:rPr>
                <w:rFonts w:ascii="Arial" w:eastAsia="Calibri" w:hAnsi="Arial" w:cs="Arial"/>
                <w:b/>
                <w:bCs/>
                <w:sz w:val="16"/>
                <w:szCs w:val="16"/>
              </w:rPr>
            </w:pPr>
            <w:r w:rsidRPr="007474B8">
              <w:rPr>
                <w:rFonts w:ascii="Arial" w:eastAsia="Calibri" w:hAnsi="Arial" w:cs="Arial"/>
                <w:b/>
                <w:bCs/>
                <w:sz w:val="16"/>
                <w:szCs w:val="16"/>
              </w:rPr>
              <w:t>2,4-D</w:t>
            </w:r>
          </w:p>
        </w:tc>
        <w:tc>
          <w:tcPr>
            <w:tcW w:w="189" w:type="pct"/>
            <w:noWrap/>
            <w:vAlign w:val="center"/>
          </w:tcPr>
          <w:p w14:paraId="3AC673F8" w14:textId="5F26A2C6"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337" w:type="pct"/>
            <w:vAlign w:val="center"/>
          </w:tcPr>
          <w:p w14:paraId="6A5BC95B" w14:textId="07797EFC"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noWrap/>
            <w:vAlign w:val="center"/>
          </w:tcPr>
          <w:p w14:paraId="5E48A736" w14:textId="1503B56A"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2.67</w:t>
            </w:r>
          </w:p>
        </w:tc>
        <w:tc>
          <w:tcPr>
            <w:tcW w:w="230" w:type="pct"/>
            <w:vAlign w:val="center"/>
          </w:tcPr>
          <w:p w14:paraId="2443A5D3" w14:textId="73B5FF87"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1.26</w:t>
            </w:r>
          </w:p>
        </w:tc>
        <w:tc>
          <w:tcPr>
            <w:tcW w:w="166" w:type="pct"/>
            <w:noWrap/>
            <w:vAlign w:val="center"/>
          </w:tcPr>
          <w:p w14:paraId="523D5602" w14:textId="45956F5A"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66" w:type="pct"/>
            <w:vAlign w:val="center"/>
          </w:tcPr>
          <w:p w14:paraId="16197A13" w14:textId="191AF2DD"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noWrap/>
            <w:vAlign w:val="center"/>
          </w:tcPr>
          <w:p w14:paraId="6A6CDB3B" w14:textId="21A28B7D"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96.99</w:t>
            </w:r>
          </w:p>
        </w:tc>
        <w:tc>
          <w:tcPr>
            <w:tcW w:w="199" w:type="pct"/>
            <w:vAlign w:val="center"/>
          </w:tcPr>
          <w:p w14:paraId="6D234657" w14:textId="66A11E8F"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33" w:type="pct"/>
            <w:noWrap/>
            <w:vAlign w:val="center"/>
          </w:tcPr>
          <w:p w14:paraId="7D4E649F" w14:textId="3A8D1690"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240" w:type="pct"/>
            <w:vAlign w:val="center"/>
          </w:tcPr>
          <w:p w14:paraId="4377330E" w14:textId="0A999A8E"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1.82</w:t>
            </w:r>
          </w:p>
        </w:tc>
        <w:tc>
          <w:tcPr>
            <w:tcW w:w="166" w:type="pct"/>
            <w:noWrap/>
            <w:vAlign w:val="center"/>
          </w:tcPr>
          <w:p w14:paraId="4EEE6D56" w14:textId="21854C15"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34" w:type="pct"/>
            <w:vAlign w:val="center"/>
          </w:tcPr>
          <w:p w14:paraId="2BE5607F" w14:textId="31B62421"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noWrap/>
            <w:vAlign w:val="center"/>
          </w:tcPr>
          <w:p w14:paraId="19B3C354" w14:textId="67CAB2CD"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vAlign w:val="center"/>
          </w:tcPr>
          <w:p w14:paraId="2059232B" w14:textId="3A2D9844"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231" w:type="pct"/>
            <w:noWrap/>
            <w:vAlign w:val="center"/>
          </w:tcPr>
          <w:p w14:paraId="16A6DE33" w14:textId="36A04FBD"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90" w:type="pct"/>
            <w:vAlign w:val="center"/>
          </w:tcPr>
          <w:p w14:paraId="1AA6F923" w14:textId="3D84386C"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66" w:type="pct"/>
            <w:noWrap/>
            <w:vAlign w:val="center"/>
          </w:tcPr>
          <w:p w14:paraId="12B06672" w14:textId="705DD3AF"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99" w:type="pct"/>
            <w:vAlign w:val="center"/>
          </w:tcPr>
          <w:p w14:paraId="1456D5C5" w14:textId="14460CCC"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249" w:type="pct"/>
            <w:noWrap/>
            <w:vAlign w:val="center"/>
          </w:tcPr>
          <w:p w14:paraId="62539C70" w14:textId="76996573"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7.52e−2</w:t>
            </w:r>
          </w:p>
        </w:tc>
        <w:tc>
          <w:tcPr>
            <w:tcW w:w="134" w:type="pct"/>
            <w:vAlign w:val="center"/>
          </w:tcPr>
          <w:p w14:paraId="3CA56588" w14:textId="0C9C1289"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74" w:type="pct"/>
            <w:noWrap/>
            <w:vAlign w:val="center"/>
          </w:tcPr>
          <w:p w14:paraId="3034DB03" w14:textId="19F3E56B"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4.17</w:t>
            </w:r>
          </w:p>
        </w:tc>
        <w:tc>
          <w:tcPr>
            <w:tcW w:w="139" w:type="pct"/>
            <w:vAlign w:val="center"/>
          </w:tcPr>
          <w:p w14:paraId="76C2DC4D" w14:textId="7CE213C2"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0.47</w:t>
            </w:r>
          </w:p>
        </w:tc>
        <w:tc>
          <w:tcPr>
            <w:tcW w:w="201" w:type="pct"/>
            <w:noWrap/>
            <w:vAlign w:val="center"/>
          </w:tcPr>
          <w:p w14:paraId="2C8A6A7D" w14:textId="7C4C0DC6"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87" w:type="pct"/>
            <w:vAlign w:val="center"/>
          </w:tcPr>
          <w:p w14:paraId="55240245" w14:textId="27E672AC" w:rsidR="00822E07" w:rsidRPr="000D009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4.49</w:t>
            </w:r>
          </w:p>
        </w:tc>
      </w:tr>
      <w:tr w:rsidR="00822E07" w:rsidRPr="000D0098" w14:paraId="3BFE41A4" w14:textId="77777777" w:rsidTr="00822E07">
        <w:trPr>
          <w:trHeight w:val="311"/>
        </w:trPr>
        <w:tc>
          <w:tcPr>
            <w:tcW w:w="474" w:type="pct"/>
            <w:vAlign w:val="center"/>
          </w:tcPr>
          <w:p w14:paraId="50113CBD" w14:textId="77777777"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Nicosulfuron</w:t>
            </w:r>
          </w:p>
        </w:tc>
        <w:tc>
          <w:tcPr>
            <w:tcW w:w="189" w:type="pct"/>
            <w:noWrap/>
            <w:vAlign w:val="center"/>
          </w:tcPr>
          <w:p w14:paraId="4053F713" w14:textId="34E979F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95</w:t>
            </w:r>
            <w:r>
              <w:rPr>
                <w:rFonts w:ascii="Arial" w:eastAsia="Calibri" w:hAnsi="Arial" w:cs="Arial"/>
                <w:sz w:val="16"/>
                <w:szCs w:val="16"/>
              </w:rPr>
              <w:t>.</w:t>
            </w:r>
            <w:r w:rsidRPr="000D0098">
              <w:rPr>
                <w:rFonts w:ascii="Arial" w:eastAsia="Calibri" w:hAnsi="Arial" w:cs="Arial"/>
                <w:sz w:val="16"/>
                <w:szCs w:val="16"/>
              </w:rPr>
              <w:t>29</w:t>
            </w:r>
          </w:p>
        </w:tc>
        <w:tc>
          <w:tcPr>
            <w:tcW w:w="337" w:type="pct"/>
            <w:vAlign w:val="center"/>
          </w:tcPr>
          <w:p w14:paraId="703A7AA0" w14:textId="5B0943D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0E7F4D74" w14:textId="6A522121"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44CB2266" w14:textId="2F003D5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3FF372EE" w14:textId="10DDB66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798CE00F" w14:textId="39E3C4C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2C7CAA38" w14:textId="46DD507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147</w:t>
            </w:r>
            <w:r>
              <w:rPr>
                <w:rFonts w:ascii="Arial" w:eastAsia="Calibri" w:hAnsi="Arial" w:cs="Arial"/>
                <w:sz w:val="16"/>
                <w:szCs w:val="16"/>
              </w:rPr>
              <w:t>.</w:t>
            </w:r>
            <w:r w:rsidRPr="000D0098">
              <w:rPr>
                <w:rFonts w:ascii="Arial" w:eastAsia="Calibri" w:hAnsi="Arial" w:cs="Arial"/>
                <w:sz w:val="16"/>
                <w:szCs w:val="16"/>
              </w:rPr>
              <w:t>84</w:t>
            </w:r>
          </w:p>
        </w:tc>
        <w:tc>
          <w:tcPr>
            <w:tcW w:w="199" w:type="pct"/>
            <w:vAlign w:val="center"/>
          </w:tcPr>
          <w:p w14:paraId="459AE91B" w14:textId="4E1E367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62ED8494" w14:textId="51A7688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4D03FE74" w14:textId="1E8E2C2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1120</w:t>
            </w:r>
            <w:r>
              <w:rPr>
                <w:rFonts w:ascii="Arial" w:eastAsia="Calibri" w:hAnsi="Arial" w:cs="Arial"/>
                <w:sz w:val="16"/>
                <w:szCs w:val="16"/>
              </w:rPr>
              <w:t>.</w:t>
            </w:r>
            <w:r w:rsidRPr="000D0098">
              <w:rPr>
                <w:rFonts w:ascii="Arial" w:eastAsia="Calibri" w:hAnsi="Arial" w:cs="Arial"/>
                <w:sz w:val="16"/>
                <w:szCs w:val="16"/>
              </w:rPr>
              <w:t>68</w:t>
            </w:r>
          </w:p>
        </w:tc>
        <w:tc>
          <w:tcPr>
            <w:tcW w:w="166" w:type="pct"/>
            <w:noWrap/>
            <w:vAlign w:val="center"/>
          </w:tcPr>
          <w:p w14:paraId="2D457611" w14:textId="11C4744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4" w:type="pct"/>
            <w:vAlign w:val="center"/>
          </w:tcPr>
          <w:p w14:paraId="5CCF406B" w14:textId="3394E4D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15E72556" w14:textId="663A55E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5F900D43" w14:textId="0237428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3459A5F2" w14:textId="5CC0971F"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1484</w:t>
            </w:r>
            <w:r>
              <w:rPr>
                <w:rFonts w:ascii="Arial" w:eastAsia="Calibri" w:hAnsi="Arial" w:cs="Arial"/>
                <w:sz w:val="16"/>
                <w:szCs w:val="16"/>
              </w:rPr>
              <w:t>.</w:t>
            </w:r>
            <w:r w:rsidRPr="000D0098">
              <w:rPr>
                <w:rFonts w:ascii="Arial" w:eastAsia="Calibri" w:hAnsi="Arial" w:cs="Arial"/>
                <w:sz w:val="16"/>
                <w:szCs w:val="16"/>
              </w:rPr>
              <w:t>90</w:t>
            </w:r>
          </w:p>
        </w:tc>
        <w:tc>
          <w:tcPr>
            <w:tcW w:w="90" w:type="pct"/>
            <w:vAlign w:val="center"/>
          </w:tcPr>
          <w:p w14:paraId="6E401040" w14:textId="1475592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2ABC5133" w14:textId="5A8ED22A"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1583E560" w14:textId="5E65BD4F"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0003512C" w14:textId="65495E09"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1A4DA86E" w14:textId="5A7FBDC0"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30433438" w14:textId="3CB4FAAF"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1D3708BF" w14:textId="081D0512"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635752A6" w14:textId="0CB95241"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187" w:type="pct"/>
            <w:vAlign w:val="center"/>
          </w:tcPr>
          <w:p w14:paraId="280AA8E6" w14:textId="3477434F"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733</w:t>
            </w:r>
            <w:r>
              <w:rPr>
                <w:rFonts w:ascii="Arial" w:eastAsia="Calibri" w:hAnsi="Arial" w:cs="Arial"/>
                <w:sz w:val="16"/>
                <w:szCs w:val="16"/>
              </w:rPr>
              <w:t>.</w:t>
            </w:r>
            <w:r w:rsidRPr="000D0098">
              <w:rPr>
                <w:rFonts w:ascii="Arial" w:eastAsia="Calibri" w:hAnsi="Arial" w:cs="Arial"/>
                <w:sz w:val="16"/>
                <w:szCs w:val="16"/>
              </w:rPr>
              <w:t>14</w:t>
            </w:r>
          </w:p>
        </w:tc>
      </w:tr>
      <w:tr w:rsidR="00822E07" w:rsidRPr="000D0098" w14:paraId="559DF25B" w14:textId="77777777" w:rsidTr="00822E07">
        <w:trPr>
          <w:trHeight w:val="311"/>
        </w:trPr>
        <w:tc>
          <w:tcPr>
            <w:tcW w:w="474" w:type="pct"/>
            <w:vAlign w:val="center"/>
          </w:tcPr>
          <w:p w14:paraId="2429125D" w14:textId="26757A12"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Prom</w:t>
            </w:r>
            <w:r>
              <w:rPr>
                <w:rFonts w:ascii="Arial" w:eastAsia="Calibri" w:hAnsi="Arial" w:cs="Arial"/>
                <w:b/>
                <w:bCs/>
                <w:sz w:val="16"/>
                <w:szCs w:val="16"/>
              </w:rPr>
              <w:t>e</w:t>
            </w:r>
            <w:r w:rsidRPr="000D0098">
              <w:rPr>
                <w:rFonts w:ascii="Arial" w:eastAsia="Calibri" w:hAnsi="Arial" w:cs="Arial"/>
                <w:b/>
                <w:bCs/>
                <w:sz w:val="16"/>
                <w:szCs w:val="16"/>
              </w:rPr>
              <w:t>tryn</w:t>
            </w:r>
            <w:proofErr w:type="spellEnd"/>
          </w:p>
        </w:tc>
        <w:tc>
          <w:tcPr>
            <w:tcW w:w="189" w:type="pct"/>
            <w:noWrap/>
            <w:vAlign w:val="center"/>
          </w:tcPr>
          <w:p w14:paraId="56B22ED5" w14:textId="1B13BC2C"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0CBB924D" w14:textId="0D7C7516"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12E83D30" w14:textId="6BCDD603"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72800A2A" w14:textId="373DF3A5"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3512E226" w14:textId="24AC2833"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307A8D12" w14:textId="71FFE9F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6882A708" w14:textId="3533752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w:t>
            </w:r>
            <w:r>
              <w:rPr>
                <w:rFonts w:ascii="Arial" w:eastAsia="Calibri" w:hAnsi="Arial" w:cs="Arial"/>
                <w:sz w:val="16"/>
                <w:szCs w:val="16"/>
              </w:rPr>
              <w:t>.</w:t>
            </w:r>
            <w:r w:rsidRPr="000D0098">
              <w:rPr>
                <w:rFonts w:ascii="Arial" w:eastAsia="Calibri" w:hAnsi="Arial" w:cs="Arial"/>
                <w:sz w:val="16"/>
                <w:szCs w:val="16"/>
              </w:rPr>
              <w:t>00</w:t>
            </w:r>
          </w:p>
        </w:tc>
        <w:tc>
          <w:tcPr>
            <w:tcW w:w="199" w:type="pct"/>
            <w:vAlign w:val="center"/>
          </w:tcPr>
          <w:p w14:paraId="774EC049" w14:textId="781B712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23339D51" w14:textId="1E62EC0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0E26FC61" w14:textId="28D2C0B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08ACC173" w14:textId="38ADBFE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4" w:type="pct"/>
            <w:vAlign w:val="center"/>
          </w:tcPr>
          <w:p w14:paraId="668612B2" w14:textId="2DBC70C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46</w:t>
            </w:r>
          </w:p>
        </w:tc>
        <w:tc>
          <w:tcPr>
            <w:tcW w:w="199" w:type="pct"/>
            <w:noWrap/>
            <w:vAlign w:val="center"/>
          </w:tcPr>
          <w:p w14:paraId="4088202A" w14:textId="66FFAE8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4146BB82" w14:textId="1CFF3046"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5194324F" w14:textId="343F7165"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08</w:t>
            </w:r>
          </w:p>
        </w:tc>
        <w:tc>
          <w:tcPr>
            <w:tcW w:w="90" w:type="pct"/>
            <w:vAlign w:val="center"/>
          </w:tcPr>
          <w:p w14:paraId="3D5AD080" w14:textId="74E93548"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5FFD8322" w14:textId="34217D2F"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1B9C97E1" w14:textId="588CED57"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8</w:t>
            </w:r>
            <w:r>
              <w:rPr>
                <w:rFonts w:ascii="Arial" w:eastAsia="Calibri" w:hAnsi="Arial" w:cs="Arial"/>
                <w:sz w:val="16"/>
                <w:szCs w:val="16"/>
              </w:rPr>
              <w:t>.</w:t>
            </w:r>
            <w:r w:rsidRPr="000D0098">
              <w:rPr>
                <w:rFonts w:ascii="Arial" w:eastAsia="Calibri" w:hAnsi="Arial" w:cs="Arial"/>
                <w:sz w:val="16"/>
                <w:szCs w:val="16"/>
              </w:rPr>
              <w:t>71</w:t>
            </w:r>
          </w:p>
        </w:tc>
        <w:tc>
          <w:tcPr>
            <w:tcW w:w="249" w:type="pct"/>
            <w:noWrap/>
            <w:vAlign w:val="center"/>
          </w:tcPr>
          <w:p w14:paraId="617B551F" w14:textId="38D5A1E7"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80</w:t>
            </w:r>
          </w:p>
        </w:tc>
        <w:tc>
          <w:tcPr>
            <w:tcW w:w="134" w:type="pct"/>
            <w:vAlign w:val="center"/>
          </w:tcPr>
          <w:p w14:paraId="537D83EA" w14:textId="719F607D"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113A994D" w14:textId="127A3D4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80</w:t>
            </w:r>
          </w:p>
        </w:tc>
        <w:tc>
          <w:tcPr>
            <w:tcW w:w="139" w:type="pct"/>
            <w:vAlign w:val="center"/>
          </w:tcPr>
          <w:p w14:paraId="1017EB07" w14:textId="418DCBB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w:t>
            </w:r>
            <w:r>
              <w:rPr>
                <w:rFonts w:ascii="Arial" w:eastAsia="Calibri" w:hAnsi="Arial" w:cs="Arial"/>
                <w:sz w:val="16"/>
                <w:szCs w:val="16"/>
              </w:rPr>
              <w:t>.</w:t>
            </w:r>
            <w:r w:rsidRPr="000D0098">
              <w:rPr>
                <w:rFonts w:ascii="Arial" w:eastAsia="Calibri" w:hAnsi="Arial" w:cs="Arial"/>
                <w:sz w:val="16"/>
                <w:szCs w:val="16"/>
              </w:rPr>
              <w:t>69</w:t>
            </w:r>
          </w:p>
        </w:tc>
        <w:tc>
          <w:tcPr>
            <w:tcW w:w="201" w:type="pct"/>
            <w:noWrap/>
            <w:vAlign w:val="center"/>
          </w:tcPr>
          <w:p w14:paraId="00A02D09" w14:textId="3C953BB0"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187" w:type="pct"/>
            <w:vAlign w:val="center"/>
          </w:tcPr>
          <w:p w14:paraId="1BEC5C4F" w14:textId="656BD07E"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17953DF9" w14:textId="77777777" w:rsidTr="00822E07">
        <w:trPr>
          <w:trHeight w:val="311"/>
        </w:trPr>
        <w:tc>
          <w:tcPr>
            <w:tcW w:w="474" w:type="pct"/>
            <w:vAlign w:val="center"/>
          </w:tcPr>
          <w:p w14:paraId="2767601E" w14:textId="77777777"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Emamectin</w:t>
            </w:r>
            <w:proofErr w:type="spellEnd"/>
            <w:r w:rsidRPr="000D0098">
              <w:rPr>
                <w:rFonts w:ascii="Arial" w:eastAsia="Calibri" w:hAnsi="Arial" w:cs="Arial"/>
                <w:b/>
                <w:bCs/>
                <w:sz w:val="16"/>
                <w:szCs w:val="16"/>
              </w:rPr>
              <w:t xml:space="preserve"> benzoate</w:t>
            </w:r>
          </w:p>
        </w:tc>
        <w:tc>
          <w:tcPr>
            <w:tcW w:w="189" w:type="pct"/>
            <w:noWrap/>
            <w:vAlign w:val="center"/>
          </w:tcPr>
          <w:p w14:paraId="43DF32F8" w14:textId="5665D11A"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64B3264A" w14:textId="0618B2C4"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14</w:t>
            </w:r>
            <w:r>
              <w:rPr>
                <w:rFonts w:ascii="Arial" w:eastAsia="Calibri" w:hAnsi="Arial" w:cs="Arial"/>
                <w:sz w:val="16"/>
                <w:szCs w:val="16"/>
              </w:rPr>
              <w:t>.</w:t>
            </w:r>
            <w:r w:rsidRPr="000D0098">
              <w:rPr>
                <w:rFonts w:ascii="Arial" w:eastAsia="Calibri" w:hAnsi="Arial" w:cs="Arial"/>
                <w:sz w:val="16"/>
                <w:szCs w:val="16"/>
              </w:rPr>
              <w:t>27</w:t>
            </w:r>
          </w:p>
        </w:tc>
        <w:tc>
          <w:tcPr>
            <w:tcW w:w="199" w:type="pct"/>
            <w:noWrap/>
            <w:vAlign w:val="center"/>
          </w:tcPr>
          <w:p w14:paraId="47D0C8B0" w14:textId="7C95983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50</w:t>
            </w:r>
            <w:r>
              <w:rPr>
                <w:rFonts w:ascii="Arial" w:eastAsia="Calibri" w:hAnsi="Arial" w:cs="Arial"/>
                <w:sz w:val="16"/>
                <w:szCs w:val="16"/>
              </w:rPr>
              <w:t>.</w:t>
            </w:r>
            <w:r w:rsidRPr="000D0098">
              <w:rPr>
                <w:rFonts w:ascii="Arial" w:eastAsia="Calibri" w:hAnsi="Arial" w:cs="Arial"/>
                <w:sz w:val="16"/>
                <w:szCs w:val="16"/>
              </w:rPr>
              <w:t>00</w:t>
            </w:r>
          </w:p>
        </w:tc>
        <w:tc>
          <w:tcPr>
            <w:tcW w:w="230" w:type="pct"/>
            <w:vAlign w:val="center"/>
          </w:tcPr>
          <w:p w14:paraId="2FAFDFAE" w14:textId="5EB8CDE4"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0924E497" w14:textId="4D3CB05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12</w:t>
            </w:r>
            <w:r>
              <w:rPr>
                <w:rFonts w:ascii="Arial" w:eastAsia="Calibri" w:hAnsi="Arial" w:cs="Arial"/>
                <w:sz w:val="16"/>
                <w:szCs w:val="16"/>
              </w:rPr>
              <w:t>.</w:t>
            </w:r>
            <w:r w:rsidRPr="000D0098">
              <w:rPr>
                <w:rFonts w:ascii="Arial" w:eastAsia="Calibri" w:hAnsi="Arial" w:cs="Arial"/>
                <w:sz w:val="16"/>
                <w:szCs w:val="16"/>
              </w:rPr>
              <w:t>00</w:t>
            </w:r>
          </w:p>
        </w:tc>
        <w:tc>
          <w:tcPr>
            <w:tcW w:w="166" w:type="pct"/>
            <w:vAlign w:val="center"/>
          </w:tcPr>
          <w:p w14:paraId="6762282E" w14:textId="01C092D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3BAC56CF" w14:textId="0D7968F9"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23</w:t>
            </w:r>
            <w:r>
              <w:rPr>
                <w:rFonts w:ascii="Arial" w:eastAsia="Calibri" w:hAnsi="Arial" w:cs="Arial"/>
                <w:sz w:val="16"/>
                <w:szCs w:val="16"/>
              </w:rPr>
              <w:t>.</w:t>
            </w:r>
            <w:r w:rsidRPr="000D0098">
              <w:rPr>
                <w:rFonts w:ascii="Arial" w:eastAsia="Calibri" w:hAnsi="Arial" w:cs="Arial"/>
                <w:sz w:val="16"/>
                <w:szCs w:val="16"/>
              </w:rPr>
              <w:t>21</w:t>
            </w:r>
          </w:p>
        </w:tc>
        <w:tc>
          <w:tcPr>
            <w:tcW w:w="199" w:type="pct"/>
            <w:vAlign w:val="center"/>
          </w:tcPr>
          <w:p w14:paraId="5D8B24D4" w14:textId="3C0B2FD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19</w:t>
            </w:r>
            <w:r>
              <w:rPr>
                <w:rFonts w:ascii="Arial" w:eastAsia="Calibri" w:hAnsi="Arial" w:cs="Arial"/>
                <w:sz w:val="16"/>
                <w:szCs w:val="16"/>
              </w:rPr>
              <w:t>.</w:t>
            </w:r>
            <w:r w:rsidRPr="000D0098">
              <w:rPr>
                <w:rFonts w:ascii="Arial" w:eastAsia="Calibri" w:hAnsi="Arial" w:cs="Arial"/>
                <w:sz w:val="16"/>
                <w:szCs w:val="16"/>
              </w:rPr>
              <w:t>12</w:t>
            </w:r>
          </w:p>
        </w:tc>
        <w:tc>
          <w:tcPr>
            <w:tcW w:w="133" w:type="pct"/>
            <w:noWrap/>
            <w:vAlign w:val="center"/>
          </w:tcPr>
          <w:p w14:paraId="3E10CCDB" w14:textId="540667B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258FC05B" w14:textId="3837110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16D331E3" w14:textId="45F8B92C"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16</w:t>
            </w:r>
            <w:r>
              <w:rPr>
                <w:rFonts w:ascii="Arial" w:eastAsia="Calibri" w:hAnsi="Arial" w:cs="Arial"/>
                <w:sz w:val="16"/>
                <w:szCs w:val="16"/>
              </w:rPr>
              <w:t>.</w:t>
            </w:r>
            <w:r w:rsidRPr="000D0098">
              <w:rPr>
                <w:rFonts w:ascii="Arial" w:eastAsia="Calibri" w:hAnsi="Arial" w:cs="Arial"/>
                <w:sz w:val="16"/>
                <w:szCs w:val="16"/>
              </w:rPr>
              <w:t>04</w:t>
            </w:r>
          </w:p>
        </w:tc>
        <w:tc>
          <w:tcPr>
            <w:tcW w:w="134" w:type="pct"/>
            <w:vAlign w:val="center"/>
          </w:tcPr>
          <w:p w14:paraId="3F2D883D" w14:textId="3DB8A24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50D05D88" w14:textId="41C7221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21</w:t>
            </w:r>
            <w:r>
              <w:rPr>
                <w:rFonts w:ascii="Arial" w:eastAsia="Calibri" w:hAnsi="Arial" w:cs="Arial"/>
                <w:sz w:val="16"/>
                <w:szCs w:val="16"/>
              </w:rPr>
              <w:t>.</w:t>
            </w:r>
            <w:r w:rsidRPr="000D0098">
              <w:rPr>
                <w:rFonts w:ascii="Arial" w:eastAsia="Calibri" w:hAnsi="Arial" w:cs="Arial"/>
                <w:sz w:val="16"/>
                <w:szCs w:val="16"/>
              </w:rPr>
              <w:t>19</w:t>
            </w:r>
          </w:p>
        </w:tc>
        <w:tc>
          <w:tcPr>
            <w:tcW w:w="199" w:type="pct"/>
            <w:vAlign w:val="center"/>
          </w:tcPr>
          <w:p w14:paraId="64A10E49" w14:textId="04EBA60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11ADE53B" w14:textId="2F22A66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90" w:type="pct"/>
            <w:vAlign w:val="center"/>
          </w:tcPr>
          <w:p w14:paraId="573FD2B0" w14:textId="31ADF36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46828400" w14:textId="267FC887"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39</w:t>
            </w:r>
            <w:r>
              <w:rPr>
                <w:rFonts w:ascii="Arial" w:eastAsia="Calibri" w:hAnsi="Arial" w:cs="Arial"/>
                <w:sz w:val="16"/>
                <w:szCs w:val="16"/>
              </w:rPr>
              <w:t>.</w:t>
            </w:r>
            <w:r w:rsidRPr="000D0098">
              <w:rPr>
                <w:rFonts w:ascii="Arial" w:eastAsia="Calibri" w:hAnsi="Arial" w:cs="Arial"/>
                <w:sz w:val="16"/>
                <w:szCs w:val="16"/>
              </w:rPr>
              <w:t>88</w:t>
            </w:r>
          </w:p>
        </w:tc>
        <w:tc>
          <w:tcPr>
            <w:tcW w:w="199" w:type="pct"/>
            <w:vAlign w:val="center"/>
          </w:tcPr>
          <w:p w14:paraId="180EDA94" w14:textId="2144C058"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0CE42CCC" w14:textId="145F90FE"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28973719" w14:textId="0A459147"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4C297B45" w14:textId="46FEA30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33</w:t>
            </w:r>
            <w:r>
              <w:rPr>
                <w:rFonts w:ascii="Arial" w:eastAsia="Calibri" w:hAnsi="Arial" w:cs="Arial"/>
                <w:sz w:val="16"/>
                <w:szCs w:val="16"/>
              </w:rPr>
              <w:t>.</w:t>
            </w:r>
            <w:r w:rsidRPr="000D0098">
              <w:rPr>
                <w:rFonts w:ascii="Arial" w:eastAsia="Calibri" w:hAnsi="Arial" w:cs="Arial"/>
                <w:sz w:val="16"/>
                <w:szCs w:val="16"/>
              </w:rPr>
              <w:t>52</w:t>
            </w:r>
          </w:p>
        </w:tc>
        <w:tc>
          <w:tcPr>
            <w:tcW w:w="139" w:type="pct"/>
            <w:vAlign w:val="center"/>
          </w:tcPr>
          <w:p w14:paraId="6E6AE0F4" w14:textId="4AF5B467"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1544D725" w14:textId="5504D75C"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4</w:t>
            </w:r>
            <w:r>
              <w:rPr>
                <w:rFonts w:ascii="Arial" w:eastAsia="Calibri" w:hAnsi="Arial" w:cs="Arial"/>
                <w:sz w:val="16"/>
                <w:szCs w:val="16"/>
              </w:rPr>
              <w:t>.</w:t>
            </w:r>
            <w:r w:rsidRPr="000D0098">
              <w:rPr>
                <w:rFonts w:ascii="Arial" w:eastAsia="Calibri" w:hAnsi="Arial" w:cs="Arial"/>
                <w:sz w:val="16"/>
                <w:szCs w:val="16"/>
              </w:rPr>
              <w:t>62</w:t>
            </w:r>
          </w:p>
        </w:tc>
        <w:tc>
          <w:tcPr>
            <w:tcW w:w="187" w:type="pct"/>
            <w:vAlign w:val="center"/>
          </w:tcPr>
          <w:p w14:paraId="0CFE6C81" w14:textId="54BC343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13</w:t>
            </w:r>
            <w:r>
              <w:rPr>
                <w:rFonts w:ascii="Arial" w:eastAsia="Calibri" w:hAnsi="Arial" w:cs="Arial"/>
                <w:sz w:val="16"/>
                <w:szCs w:val="16"/>
              </w:rPr>
              <w:t>.</w:t>
            </w:r>
            <w:r w:rsidRPr="000D0098">
              <w:rPr>
                <w:rFonts w:ascii="Arial" w:eastAsia="Calibri" w:hAnsi="Arial" w:cs="Arial"/>
                <w:sz w:val="16"/>
                <w:szCs w:val="16"/>
              </w:rPr>
              <w:t>16</w:t>
            </w:r>
          </w:p>
        </w:tc>
      </w:tr>
      <w:tr w:rsidR="00822E07" w:rsidRPr="000D0098" w14:paraId="61B8CBC9" w14:textId="77777777" w:rsidTr="00822E07">
        <w:trPr>
          <w:trHeight w:val="311"/>
        </w:trPr>
        <w:tc>
          <w:tcPr>
            <w:tcW w:w="474" w:type="pct"/>
            <w:vAlign w:val="center"/>
          </w:tcPr>
          <w:p w14:paraId="53773A45" w14:textId="77777777"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Byspiribac</w:t>
            </w:r>
            <w:proofErr w:type="spellEnd"/>
            <w:r w:rsidRPr="000D0098">
              <w:rPr>
                <w:rFonts w:ascii="Arial" w:eastAsia="Calibri" w:hAnsi="Arial" w:cs="Arial"/>
                <w:b/>
                <w:bCs/>
                <w:sz w:val="16"/>
                <w:szCs w:val="16"/>
              </w:rPr>
              <w:t>-sodium</w:t>
            </w:r>
          </w:p>
        </w:tc>
        <w:tc>
          <w:tcPr>
            <w:tcW w:w="189" w:type="pct"/>
            <w:noWrap/>
            <w:vAlign w:val="center"/>
          </w:tcPr>
          <w:p w14:paraId="2003477A" w14:textId="3C1395C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38D9E811" w14:textId="2A2A83EB"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1AA8985D" w14:textId="3EC37480"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50E9E680" w14:textId="59ABEFB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03</w:t>
            </w:r>
          </w:p>
        </w:tc>
        <w:tc>
          <w:tcPr>
            <w:tcW w:w="166" w:type="pct"/>
            <w:noWrap/>
            <w:vAlign w:val="center"/>
          </w:tcPr>
          <w:p w14:paraId="383C979D" w14:textId="6BE578B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07913715" w14:textId="53CED6D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68FADA52" w14:textId="136CCFB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w:t>
            </w:r>
            <w:r>
              <w:rPr>
                <w:rFonts w:ascii="Arial" w:eastAsia="Calibri" w:hAnsi="Arial" w:cs="Arial"/>
                <w:sz w:val="16"/>
                <w:szCs w:val="16"/>
              </w:rPr>
              <w:t>.</w:t>
            </w:r>
            <w:r w:rsidRPr="000D0098">
              <w:rPr>
                <w:rFonts w:ascii="Arial" w:eastAsia="Calibri" w:hAnsi="Arial" w:cs="Arial"/>
                <w:sz w:val="16"/>
                <w:szCs w:val="16"/>
              </w:rPr>
              <w:t>44</w:t>
            </w:r>
          </w:p>
        </w:tc>
        <w:tc>
          <w:tcPr>
            <w:tcW w:w="199" w:type="pct"/>
            <w:vAlign w:val="center"/>
          </w:tcPr>
          <w:p w14:paraId="7A9676BE" w14:textId="5DF2B648"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795659FF" w14:textId="14C6C6A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00C778F6" w14:textId="339430E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7F782970" w14:textId="45943133"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3FDAB71C" w14:textId="6F37910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44AF7122" w14:textId="4C93ACD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1993F587" w14:textId="5F4C442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5C3EFD27" w14:textId="5F569A1A"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90" w:type="pct"/>
            <w:vAlign w:val="center"/>
          </w:tcPr>
          <w:p w14:paraId="7782BB73" w14:textId="795EC38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6D5E1566" w14:textId="6ED9E8CC"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4D67D62D" w14:textId="6593C3A9"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23905A62" w14:textId="314A10FA"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73E839DD" w14:textId="29E2F9A1"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2F00D271" w14:textId="31C191D2"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4D95F5F8" w14:textId="4F16A41D"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0D09F86C" w14:textId="09574DD2"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187" w:type="pct"/>
            <w:vAlign w:val="center"/>
          </w:tcPr>
          <w:p w14:paraId="528C0C18" w14:textId="75513745"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bl>
    <w:p w14:paraId="77F20032" w14:textId="4B1B5743" w:rsidR="001F3FA8" w:rsidRPr="00155855" w:rsidRDefault="0086328E" w:rsidP="001F3FA8">
      <w:pPr>
        <w:tabs>
          <w:tab w:val="left" w:pos="7131"/>
        </w:tabs>
        <w:spacing w:line="240" w:lineRule="auto"/>
        <w:rPr>
          <w:rFonts w:ascii="Arial" w:hAnsi="Arial" w:cs="Arial"/>
          <w:sz w:val="18"/>
          <w:szCs w:val="18"/>
          <w:lang w:val="en-GB"/>
        </w:rPr>
        <w:sectPr w:rsidR="001F3FA8" w:rsidRPr="00155855" w:rsidSect="00D54BE1">
          <w:type w:val="continuous"/>
          <w:pgSz w:w="16838" w:h="11906" w:orient="landscape"/>
          <w:pgMar w:top="1417" w:right="1417" w:bottom="1417" w:left="1417" w:header="709" w:footer="709" w:gutter="0"/>
          <w:cols w:space="708"/>
          <w:docGrid w:linePitch="360"/>
        </w:sectPr>
      </w:pPr>
      <w:r w:rsidRPr="00822E07">
        <w:rPr>
          <w:rFonts w:ascii="Arial" w:hAnsi="Arial" w:cs="Arial"/>
          <w:i/>
          <w:iCs/>
          <w:sz w:val="18"/>
          <w:szCs w:val="18"/>
          <w:lang w:val="en-GB"/>
        </w:rPr>
        <w:t>ND</w:t>
      </w:r>
      <w:r w:rsidRPr="00155855">
        <w:rPr>
          <w:rFonts w:ascii="Arial" w:hAnsi="Arial" w:cs="Arial"/>
          <w:sz w:val="18"/>
          <w:szCs w:val="18"/>
          <w:lang w:val="en-GB"/>
        </w:rPr>
        <w:t xml:space="preserve"> = Not Detected</w:t>
      </w:r>
    </w:p>
    <w:p w14:paraId="0B1AA659"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lastRenderedPageBreak/>
        <w:t>3.2 Temporal patterns between sampling phases</w:t>
      </w:r>
    </w:p>
    <w:p w14:paraId="365D0117" w14:textId="256DD577" w:rsidR="0073550A" w:rsidRPr="00F66CD9" w:rsidRDefault="0073550A" w:rsidP="005D60A9">
      <w:pPr>
        <w:spacing w:after="0" w:line="240" w:lineRule="auto"/>
        <w:jc w:val="both"/>
        <w:rPr>
          <w:rFonts w:ascii="Arial" w:hAnsi="Arial" w:cs="Arial"/>
          <w:sz w:val="20"/>
          <w:szCs w:val="20"/>
          <w:lang w:val="en-GB"/>
        </w:rPr>
      </w:pPr>
      <w:r w:rsidRPr="00F66CD9">
        <w:rPr>
          <w:rFonts w:ascii="Arial" w:hAnsi="Arial" w:cs="Arial"/>
          <w:sz w:val="20"/>
          <w:szCs w:val="20"/>
          <w:lang w:val="en-GB"/>
        </w:rPr>
        <w:t>The comparison of concentrations between phases P1 (peak period of herbicide applications) and P2 (end of rainy season) revealed contrasting temporal trends among the different molecules and localities.</w:t>
      </w:r>
      <w:r w:rsidR="00CD4EFE" w:rsidRPr="00F66CD9">
        <w:rPr>
          <w:rFonts w:ascii="Arial" w:hAnsi="Arial" w:cs="Arial"/>
          <w:sz w:val="20"/>
          <w:szCs w:val="20"/>
          <w:lang w:val="en-GB"/>
        </w:rPr>
        <w:t xml:space="preserve"> </w:t>
      </w:r>
      <w:r w:rsidRPr="00F66CD9">
        <w:rPr>
          <w:rFonts w:ascii="Arial" w:hAnsi="Arial" w:cs="Arial"/>
          <w:sz w:val="20"/>
          <w:szCs w:val="20"/>
          <w:lang w:val="en-GB"/>
        </w:rPr>
        <w:t xml:space="preserve">In several localities, seven molecules </w:t>
      </w:r>
      <w:r w:rsidR="005D3FB4">
        <w:rPr>
          <w:rFonts w:ascii="Arial" w:hAnsi="Arial" w:cs="Arial"/>
          <w:sz w:val="20"/>
          <w:szCs w:val="20"/>
          <w:lang w:val="en-GB"/>
        </w:rPr>
        <w:t xml:space="preserve">concentration </w:t>
      </w:r>
      <w:r w:rsidRPr="00F66CD9">
        <w:rPr>
          <w:rFonts w:ascii="Arial" w:hAnsi="Arial" w:cs="Arial"/>
          <w:sz w:val="20"/>
          <w:szCs w:val="20"/>
          <w:lang w:val="en-GB"/>
        </w:rPr>
        <w:t xml:space="preserve">showed clear decreases between P1 and P2, reflecting progressive dissipation through degradation, sorption or dilution processes. For example, </w:t>
      </w:r>
      <w:proofErr w:type="spellStart"/>
      <w:r w:rsidRPr="00F66CD9">
        <w:rPr>
          <w:rFonts w:ascii="Arial" w:hAnsi="Arial" w:cs="Arial"/>
          <w:sz w:val="20"/>
          <w:szCs w:val="20"/>
          <w:lang w:val="en-GB"/>
        </w:rPr>
        <w:t>nicosulfuron</w:t>
      </w:r>
      <w:proofErr w:type="spellEnd"/>
      <w:r w:rsidRPr="00F66CD9">
        <w:rPr>
          <w:rFonts w:ascii="Arial" w:hAnsi="Arial" w:cs="Arial"/>
          <w:sz w:val="20"/>
          <w:szCs w:val="20"/>
          <w:lang w:val="en-GB"/>
        </w:rPr>
        <w:t xml:space="preserve"> concentrations decreased:</w:t>
      </w:r>
      <w:r w:rsidR="00F66CD9" w:rsidRPr="00F66CD9">
        <w:rPr>
          <w:rFonts w:ascii="Arial" w:hAnsi="Arial" w:cs="Arial"/>
          <w:sz w:val="20"/>
          <w:szCs w:val="20"/>
          <w:lang w:val="en-GB"/>
        </w:rPr>
        <w:t xml:space="preserve"> </w:t>
      </w:r>
      <w:r w:rsidRPr="00F66CD9">
        <w:rPr>
          <w:rFonts w:ascii="Arial" w:hAnsi="Arial" w:cs="Arial"/>
          <w:sz w:val="20"/>
          <w:szCs w:val="20"/>
          <w:lang w:val="en-GB"/>
        </w:rPr>
        <w:t xml:space="preserve">from 36.89 to 1.86 µg/L at </w:t>
      </w:r>
      <w:proofErr w:type="spellStart"/>
      <w:r w:rsidRPr="00F66CD9">
        <w:rPr>
          <w:rFonts w:ascii="Arial" w:hAnsi="Arial" w:cs="Arial"/>
          <w:sz w:val="20"/>
          <w:szCs w:val="20"/>
          <w:lang w:val="en-GB"/>
        </w:rPr>
        <w:t>Diébougou</w:t>
      </w:r>
      <w:proofErr w:type="spellEnd"/>
      <w:r w:rsidRPr="00F66CD9">
        <w:rPr>
          <w:rFonts w:ascii="Arial" w:hAnsi="Arial" w:cs="Arial"/>
          <w:sz w:val="20"/>
          <w:szCs w:val="20"/>
          <w:lang w:val="en-GB"/>
        </w:rPr>
        <w:t>,</w:t>
      </w:r>
      <w:r w:rsidR="00F66CD9" w:rsidRPr="00F66CD9">
        <w:rPr>
          <w:rFonts w:ascii="Arial" w:hAnsi="Arial" w:cs="Arial"/>
          <w:sz w:val="20"/>
          <w:szCs w:val="20"/>
          <w:lang w:val="en-GB"/>
        </w:rPr>
        <w:t xml:space="preserve"> </w:t>
      </w:r>
      <w:r w:rsidRPr="00F66CD9">
        <w:rPr>
          <w:rFonts w:ascii="Arial" w:hAnsi="Arial" w:cs="Arial"/>
          <w:sz w:val="20"/>
          <w:szCs w:val="20"/>
          <w:lang w:val="en-GB"/>
        </w:rPr>
        <w:t xml:space="preserve">and from 2.67 to 1.26 µg/L at </w:t>
      </w:r>
      <w:proofErr w:type="spellStart"/>
      <w:r w:rsidRPr="00F66CD9">
        <w:rPr>
          <w:rFonts w:ascii="Arial" w:hAnsi="Arial" w:cs="Arial"/>
          <w:sz w:val="20"/>
          <w:szCs w:val="20"/>
          <w:lang w:val="en-GB"/>
        </w:rPr>
        <w:t>Kankalaba</w:t>
      </w:r>
      <w:proofErr w:type="spellEnd"/>
      <w:r w:rsidRPr="00F66CD9">
        <w:rPr>
          <w:rFonts w:ascii="Arial" w:hAnsi="Arial" w:cs="Arial"/>
          <w:sz w:val="20"/>
          <w:szCs w:val="20"/>
          <w:lang w:val="en-GB"/>
        </w:rPr>
        <w:t>.</w:t>
      </w:r>
      <w:r w:rsidR="004A27BF">
        <w:rPr>
          <w:rFonts w:ascii="Arial" w:hAnsi="Arial" w:cs="Arial"/>
          <w:sz w:val="20"/>
          <w:szCs w:val="20"/>
          <w:lang w:val="en-GB"/>
        </w:rPr>
        <w:t xml:space="preserve"> </w:t>
      </w:r>
      <w:r w:rsidRPr="00F66CD9">
        <w:rPr>
          <w:rFonts w:ascii="Arial" w:hAnsi="Arial" w:cs="Arial"/>
          <w:sz w:val="20"/>
          <w:szCs w:val="20"/>
          <w:lang w:val="en-GB"/>
        </w:rPr>
        <w:t xml:space="preserve">At </w:t>
      </w:r>
      <w:proofErr w:type="spellStart"/>
      <w:r w:rsidRPr="00F66CD9">
        <w:rPr>
          <w:rFonts w:ascii="Arial" w:hAnsi="Arial" w:cs="Arial"/>
          <w:sz w:val="20"/>
          <w:szCs w:val="20"/>
          <w:lang w:val="en-GB"/>
        </w:rPr>
        <w:t>Diébougou</w:t>
      </w:r>
      <w:proofErr w:type="spellEnd"/>
      <w:r w:rsidRPr="00F66CD9">
        <w:rPr>
          <w:rFonts w:ascii="Arial" w:hAnsi="Arial" w:cs="Arial"/>
          <w:sz w:val="20"/>
          <w:szCs w:val="20"/>
          <w:lang w:val="en-GB"/>
        </w:rPr>
        <w:t xml:space="preserve">, terbuthylazine decreased from 10.22 to 7.73 µg/L, and pendimethalin from 7.71 to 0.67 µg/L. For 2,4-D, concentrations </w:t>
      </w:r>
      <w:r w:rsidR="005D3FB4" w:rsidRPr="00F66CD9">
        <w:rPr>
          <w:rFonts w:ascii="Arial" w:hAnsi="Arial" w:cs="Arial"/>
          <w:sz w:val="20"/>
          <w:szCs w:val="20"/>
          <w:lang w:val="en-GB"/>
        </w:rPr>
        <w:t>decreased</w:t>
      </w:r>
      <w:r w:rsidRPr="00F66CD9">
        <w:rPr>
          <w:rFonts w:ascii="Arial" w:hAnsi="Arial" w:cs="Arial"/>
          <w:sz w:val="20"/>
          <w:szCs w:val="20"/>
          <w:lang w:val="en-GB"/>
        </w:rPr>
        <w:t xml:space="preserve"> from 14.77 to 7.75 µg/L at </w:t>
      </w:r>
      <w:proofErr w:type="spellStart"/>
      <w:r w:rsidRPr="00F66CD9">
        <w:rPr>
          <w:rFonts w:ascii="Arial" w:hAnsi="Arial" w:cs="Arial"/>
          <w:sz w:val="20"/>
          <w:szCs w:val="20"/>
          <w:lang w:val="en-GB"/>
        </w:rPr>
        <w:t>Kankalaba</w:t>
      </w:r>
      <w:proofErr w:type="spellEnd"/>
      <w:r w:rsidRPr="00F66CD9">
        <w:rPr>
          <w:rFonts w:ascii="Arial" w:hAnsi="Arial" w:cs="Arial"/>
          <w:sz w:val="20"/>
          <w:szCs w:val="20"/>
          <w:lang w:val="en-GB"/>
        </w:rPr>
        <w:t xml:space="preserve"> and from 23.21 to 19.12 µg/L at </w:t>
      </w:r>
      <w:proofErr w:type="spellStart"/>
      <w:r w:rsidRPr="00F66CD9">
        <w:rPr>
          <w:rFonts w:ascii="Arial" w:hAnsi="Arial" w:cs="Arial"/>
          <w:sz w:val="20"/>
          <w:szCs w:val="20"/>
          <w:lang w:val="en-GB"/>
        </w:rPr>
        <w:t>Koumbia</w:t>
      </w:r>
      <w:proofErr w:type="spellEnd"/>
      <w:r w:rsidRPr="00F66CD9">
        <w:rPr>
          <w:rFonts w:ascii="Arial" w:hAnsi="Arial" w:cs="Arial"/>
          <w:sz w:val="20"/>
          <w:szCs w:val="20"/>
          <w:lang w:val="en-GB"/>
        </w:rPr>
        <w:t xml:space="preserve">. These decreases are consistent with the known dissipation pathways of these herbicides in aquatic environments and with the reduction of direct inputs as the rainy season ends </w:t>
      </w:r>
      <w:r w:rsidR="00F66CD9">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{"citationID":"i6oxIUQM","properties":{"formattedCitation":"(Calvet, 2005; Stipi\\uc0\\u269{}evi\\uc0\\u263{} et al., 2015)","plainCitation":"(Calvet, 2005; Stipičević et al., 2015)","noteIndex":0},"citationItems":[{"id":2953,"uris":["http://zotero.org/users/5723659/items/KDKGR97B"],"itemData":{"id":2953,"type":"book","edition":"France Agricole Editions","event-place":"Paris","ISBN":"2-85557-119-7","language":"Français","number-of-pages":"637","publisher-place":"Paris","title":"Les pesticides dans le sol: conséquences agronomiques et environnementales","author":[{"family":"Calvet","given":"Raoul"}],"issued":{"date-parts":[["2005"]]}}},{"id":2964,"uris":["http://zotero.org/users/5723659/items/7GCLZZT4"],"itemData":{"id":2964,"type":"article-journal","container-title":"Geoderma","DOI":"10.1016/j.geoderma.2015.06.018","ISSN":"00167061","journalAbbreviation":"Geoderma","language":"en","page":"300-309","source":"DOI.org (Crossref)","title":"Distribution of terbuthylazine and atrazine residues in crop-cultivated soil: The effect of herbicide application rate on herbicide persistence","title-short":"Distribution of terbuthylazine and atrazine residues in crop-cultivated soil","volume":"259-260","author":[{"family":"Stipičević","given":"Sanja"},{"family":"Galzina","given":"Natalija"},{"family":"Udiković-Kolić","given":"Nikolina"},{"family":"Jurina","given":"Tamara"},{"family":"Mendaš","given":"Gordana"},{"family":"Dvoršćak","given":"Marija"},{"family":"Petrić","given":"Ines"},{"family":"Barić","given":"Klara"},{"family":"Drevenkar","given":"Vlasta"}],"issued":{"date-parts":[["2015"]]}}}],"schema":"https://github.com/citation-style-language/schema/raw/master/csl-citation.json"} </w:instrText>
      </w:r>
      <w:r w:rsidR="00F66CD9">
        <w:rPr>
          <w:rFonts w:ascii="Arial" w:hAnsi="Arial" w:cs="Arial"/>
          <w:sz w:val="20"/>
          <w:szCs w:val="20"/>
          <w:lang w:val="en-GB"/>
        </w:rPr>
        <w:fldChar w:fldCharType="separate"/>
      </w:r>
      <w:r w:rsidR="000E707F" w:rsidRPr="000E707F">
        <w:rPr>
          <w:rFonts w:ascii="Arial" w:hAnsi="Arial" w:cs="Arial"/>
          <w:sz w:val="20"/>
          <w:lang w:val="en-GB"/>
        </w:rPr>
        <w:t>(Calvet, 2005; Stipičević et al., 2015)</w:t>
      </w:r>
      <w:r w:rsidR="00F66CD9">
        <w:rPr>
          <w:rFonts w:ascii="Arial" w:hAnsi="Arial" w:cs="Arial"/>
          <w:sz w:val="20"/>
          <w:szCs w:val="20"/>
          <w:lang w:val="en-GB"/>
        </w:rPr>
        <w:fldChar w:fldCharType="end"/>
      </w:r>
      <w:r w:rsidRPr="00F66CD9">
        <w:rPr>
          <w:rFonts w:ascii="Arial" w:hAnsi="Arial" w:cs="Arial"/>
          <w:sz w:val="20"/>
          <w:szCs w:val="20"/>
          <w:lang w:val="en-GB"/>
        </w:rPr>
        <w:t>.</w:t>
      </w:r>
      <w:r w:rsidR="004A27BF">
        <w:rPr>
          <w:rFonts w:ascii="Arial" w:hAnsi="Arial" w:cs="Arial"/>
          <w:sz w:val="20"/>
          <w:szCs w:val="20"/>
          <w:lang w:val="en-GB"/>
        </w:rPr>
        <w:t xml:space="preserve"> </w:t>
      </w:r>
      <w:r w:rsidRPr="00F66CD9">
        <w:rPr>
          <w:rFonts w:ascii="Arial" w:hAnsi="Arial" w:cs="Arial"/>
          <w:sz w:val="20"/>
          <w:szCs w:val="20"/>
          <w:lang w:val="en-GB"/>
        </w:rPr>
        <w:t xml:space="preserve">In contrast, other substances increased between P1 and P2, suggesting additional inputs later in the season, remobilisation from soils and sediments, or delayed transport via runoff. For example, at </w:t>
      </w:r>
      <w:proofErr w:type="spellStart"/>
      <w:r w:rsidRPr="00F66CD9">
        <w:rPr>
          <w:rFonts w:ascii="Arial" w:hAnsi="Arial" w:cs="Arial"/>
          <w:sz w:val="20"/>
          <w:szCs w:val="20"/>
          <w:lang w:val="en-GB"/>
        </w:rPr>
        <w:t>Diébougou</w:t>
      </w:r>
      <w:proofErr w:type="spellEnd"/>
      <w:r w:rsidRPr="00F66CD9">
        <w:rPr>
          <w:rFonts w:ascii="Arial" w:hAnsi="Arial" w:cs="Arial"/>
          <w:sz w:val="20"/>
          <w:szCs w:val="20"/>
          <w:lang w:val="en-GB"/>
        </w:rPr>
        <w:t>:</w:t>
      </w:r>
      <w:r w:rsidR="00F66CD9" w:rsidRPr="00F66CD9">
        <w:rPr>
          <w:rFonts w:ascii="Arial" w:hAnsi="Arial" w:cs="Arial"/>
          <w:sz w:val="20"/>
          <w:szCs w:val="20"/>
          <w:lang w:val="en-GB"/>
        </w:rPr>
        <w:t xml:space="preserve"> </w:t>
      </w:r>
      <w:r w:rsidRPr="00F66CD9">
        <w:rPr>
          <w:rFonts w:ascii="Arial" w:hAnsi="Arial" w:cs="Arial"/>
          <w:sz w:val="20"/>
          <w:szCs w:val="20"/>
          <w:lang w:val="en-GB"/>
        </w:rPr>
        <w:t>diuron increased from 0.25 to 9.48 µg/L,</w:t>
      </w:r>
      <w:r w:rsidR="00F66CD9" w:rsidRPr="00F66CD9">
        <w:rPr>
          <w:rFonts w:ascii="Arial" w:hAnsi="Arial" w:cs="Arial"/>
          <w:sz w:val="20"/>
          <w:szCs w:val="20"/>
          <w:lang w:val="en-GB"/>
        </w:rPr>
        <w:t xml:space="preserve"> </w:t>
      </w:r>
      <w:r w:rsidRPr="00F66CD9">
        <w:rPr>
          <w:rFonts w:ascii="Arial" w:hAnsi="Arial" w:cs="Arial"/>
          <w:sz w:val="20"/>
          <w:szCs w:val="20"/>
          <w:lang w:val="en-GB"/>
        </w:rPr>
        <w:t xml:space="preserve">and </w:t>
      </w:r>
      <w:proofErr w:type="spellStart"/>
      <w:r w:rsidRPr="00F66CD9">
        <w:rPr>
          <w:rFonts w:ascii="Arial" w:hAnsi="Arial" w:cs="Arial"/>
          <w:sz w:val="20"/>
          <w:szCs w:val="20"/>
          <w:lang w:val="en-GB"/>
        </w:rPr>
        <w:t>mesotrione</w:t>
      </w:r>
      <w:proofErr w:type="spellEnd"/>
      <w:r w:rsidRPr="00F66CD9">
        <w:rPr>
          <w:rFonts w:ascii="Arial" w:hAnsi="Arial" w:cs="Arial"/>
          <w:sz w:val="20"/>
          <w:szCs w:val="20"/>
          <w:lang w:val="en-GB"/>
        </w:rPr>
        <w:t xml:space="preserve"> from 83.69 to 265.16 µg/L.</w:t>
      </w:r>
      <w:r w:rsidR="004A27BF">
        <w:rPr>
          <w:rFonts w:ascii="Arial" w:hAnsi="Arial" w:cs="Arial"/>
          <w:sz w:val="20"/>
          <w:szCs w:val="20"/>
          <w:lang w:val="en-GB"/>
        </w:rPr>
        <w:t xml:space="preserve"> </w:t>
      </w:r>
      <w:r w:rsidRPr="00F66CD9">
        <w:rPr>
          <w:rFonts w:ascii="Arial" w:hAnsi="Arial" w:cs="Arial"/>
          <w:sz w:val="20"/>
          <w:szCs w:val="20"/>
          <w:lang w:val="en-GB"/>
        </w:rPr>
        <w:t xml:space="preserve">At </w:t>
      </w:r>
      <w:proofErr w:type="spellStart"/>
      <w:r w:rsidRPr="00F66CD9">
        <w:rPr>
          <w:rFonts w:ascii="Arial" w:hAnsi="Arial" w:cs="Arial"/>
          <w:sz w:val="20"/>
          <w:szCs w:val="20"/>
          <w:lang w:val="en-GB"/>
        </w:rPr>
        <w:t>Kankalaba</w:t>
      </w:r>
      <w:proofErr w:type="spellEnd"/>
      <w:r w:rsidRPr="00F66CD9">
        <w:rPr>
          <w:rFonts w:ascii="Arial" w:hAnsi="Arial" w:cs="Arial"/>
          <w:sz w:val="20"/>
          <w:szCs w:val="20"/>
          <w:lang w:val="en-GB"/>
        </w:rPr>
        <w:t xml:space="preserve">, 2,4-D increased from 4.62 to 13.16 µg/L, and </w:t>
      </w:r>
      <w:proofErr w:type="spellStart"/>
      <w:r w:rsidRPr="00F66CD9">
        <w:rPr>
          <w:rFonts w:ascii="Arial" w:hAnsi="Arial" w:cs="Arial"/>
          <w:sz w:val="20"/>
          <w:szCs w:val="20"/>
          <w:lang w:val="en-GB"/>
        </w:rPr>
        <w:t>bispyribac</w:t>
      </w:r>
      <w:proofErr w:type="spellEnd"/>
      <w:r w:rsidRPr="00F66CD9">
        <w:rPr>
          <w:rFonts w:ascii="Arial" w:hAnsi="Arial" w:cs="Arial"/>
          <w:sz w:val="20"/>
          <w:szCs w:val="20"/>
          <w:lang w:val="en-GB"/>
        </w:rPr>
        <w:t xml:space="preserve">-sodium from 1.80 to 2.69 µg/L. At </w:t>
      </w:r>
      <w:proofErr w:type="spellStart"/>
      <w:r w:rsidRPr="00F66CD9">
        <w:rPr>
          <w:rFonts w:ascii="Arial" w:hAnsi="Arial" w:cs="Arial"/>
          <w:sz w:val="20"/>
          <w:szCs w:val="20"/>
          <w:lang w:val="en-GB"/>
        </w:rPr>
        <w:t>Loumana</w:t>
      </w:r>
      <w:proofErr w:type="spellEnd"/>
      <w:r w:rsidRPr="00F66CD9">
        <w:rPr>
          <w:rFonts w:ascii="Arial" w:hAnsi="Arial" w:cs="Arial"/>
          <w:sz w:val="20"/>
          <w:szCs w:val="20"/>
          <w:lang w:val="en-GB"/>
        </w:rPr>
        <w:t xml:space="preserve">, terbuthylazine rose from 18.01 to 64.66 µg/L, while at </w:t>
      </w:r>
      <w:proofErr w:type="spellStart"/>
      <w:r w:rsidRPr="00F66CD9">
        <w:rPr>
          <w:rFonts w:ascii="Arial" w:hAnsi="Arial" w:cs="Arial"/>
          <w:sz w:val="20"/>
          <w:szCs w:val="20"/>
          <w:lang w:val="en-GB"/>
        </w:rPr>
        <w:t>Kankalaba</w:t>
      </w:r>
      <w:proofErr w:type="spellEnd"/>
      <w:r w:rsidRPr="00F66CD9">
        <w:rPr>
          <w:rFonts w:ascii="Arial" w:hAnsi="Arial" w:cs="Arial"/>
          <w:sz w:val="20"/>
          <w:szCs w:val="20"/>
          <w:lang w:val="en-GB"/>
        </w:rPr>
        <w:t xml:space="preserve">, </w:t>
      </w:r>
      <w:proofErr w:type="spellStart"/>
      <w:r w:rsidRPr="00F66CD9">
        <w:rPr>
          <w:rFonts w:ascii="Arial" w:hAnsi="Arial" w:cs="Arial"/>
          <w:sz w:val="20"/>
          <w:szCs w:val="20"/>
          <w:lang w:val="en-GB"/>
        </w:rPr>
        <w:t>mesotrione</w:t>
      </w:r>
      <w:proofErr w:type="spellEnd"/>
      <w:r w:rsidRPr="00F66CD9">
        <w:rPr>
          <w:rFonts w:ascii="Arial" w:hAnsi="Arial" w:cs="Arial"/>
          <w:sz w:val="20"/>
          <w:szCs w:val="20"/>
          <w:lang w:val="en-GB"/>
        </w:rPr>
        <w:t xml:space="preserve"> increased dramatically from 912.39 to 1531.68 µg/L between P1 and P2.</w:t>
      </w:r>
      <w:r w:rsidR="004A27BF">
        <w:rPr>
          <w:rFonts w:ascii="Arial" w:hAnsi="Arial" w:cs="Arial"/>
          <w:sz w:val="20"/>
          <w:szCs w:val="20"/>
          <w:lang w:val="en-GB"/>
        </w:rPr>
        <w:t xml:space="preserve"> </w:t>
      </w:r>
      <w:r w:rsidRPr="00F66CD9">
        <w:rPr>
          <w:rFonts w:ascii="Arial" w:hAnsi="Arial" w:cs="Arial"/>
          <w:sz w:val="20"/>
          <w:szCs w:val="20"/>
          <w:lang w:val="en-GB"/>
        </w:rPr>
        <w:t xml:space="preserve">Moreover, metolachlor was detected only during P2, which is compatible with delayed application schedules or later transport from fields to water bodies. Such temporal dynamics illustrate the complexity of herbicide transfer and persistence under Sahelian conditions, where rainfall variability, soil characteristics and agricultural practices interact </w:t>
      </w:r>
      <w:r w:rsidR="009F3D50">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{"citationID":"O17K8CiS","properties":{"formattedCitation":"(Lehmann et al., 2017; Lorenz et al., 2025)","plainCitation":"(Lehmann et al., 2017; Lorenz et al., 2025)","noteIndex":0},"citationItems":[{"id":2960,"uris":["http://zotero.org/users/5723659/items/ZTB8ELLW"],"itemData":{"id":2960,"type":"article-journal","container-title":"Science of The Total Environment","DOI":"10.1016/j.scitotenv.2017.05.285","ISSN":"00489697","journalAbbreviation":"Science of The Total Environment","language":"en","page":"1208-1216","source":"DOI.org (Crossref)","title":"Dietary risk assessment of pesticides from vegetables and drinking water in gardening areas in Burkina Faso","volume":"601-602","author":[{"family":"Lehmann","given":"Edouard"},{"family":"Turrero","given":"Nuria"},{"family":"Kolia","given":"Marius"},{"family":"Konaté","given":"Yacouba"},{"family":"De Alencastro","given":"Luiz Felippe"}],"issued":{"date-parts":[["2017"]]}}},{"id":2926,"uris":["http://zotero.org/users/5723659/items/C6PA75MH"],"itemData":{"id":2926,"type":"article-journal","container-title":"Science of The Total Environment","DOI":"10.1016/j.scitotenv.2025.179250","ISSN":"00489697","journalAbbreviation":"Science of The Total Environment","language":"en","page":"179250","source":"DOI.org (Crossref)","title":"Pesticide contamination of small standing water bodies in the agricultural landscape of northeast Germany","volume":"975","author":[{"family":"Lorenz","given":"Stefan"},{"family":"Trau","given":"Fee Nanett"},{"family":"Ruf","given":"Lena C."},{"family":"Meinikmann","given":"Karin"},{"family":"Fisch","given":"Kathrin"},{"family":"Stähler","given":"Matthias"},{"family":"Schenke","given":"Detlef"},{"family":"Blevins","given":"Holly Lyon"},{"family":"Heinz","given":"Marlen"}],"issued":{"date-parts":[["2025"]]}}}],"schema":"https://github.com/citation-style-language/schema/raw/master/csl-citation.json"} </w:instrText>
      </w:r>
      <w:r w:rsidR="009F3D50">
        <w:rPr>
          <w:rFonts w:ascii="Arial" w:hAnsi="Arial" w:cs="Arial"/>
          <w:sz w:val="20"/>
          <w:szCs w:val="20"/>
          <w:lang w:val="en-GB"/>
        </w:rPr>
        <w:fldChar w:fldCharType="separate"/>
      </w:r>
      <w:r w:rsidR="000E707F" w:rsidRPr="000E707F">
        <w:rPr>
          <w:rFonts w:ascii="Arial" w:hAnsi="Arial" w:cs="Arial"/>
          <w:sz w:val="20"/>
          <w:lang w:val="en-GB"/>
        </w:rPr>
        <w:t>(Lehmann et al., 2017; Lorenz et al., 2025)</w:t>
      </w:r>
      <w:r w:rsidR="009F3D50">
        <w:rPr>
          <w:rFonts w:ascii="Arial" w:hAnsi="Arial" w:cs="Arial"/>
          <w:sz w:val="20"/>
          <w:szCs w:val="20"/>
          <w:lang w:val="en-GB"/>
        </w:rPr>
        <w:fldChar w:fldCharType="end"/>
      </w:r>
      <w:r w:rsidRPr="00F66CD9">
        <w:rPr>
          <w:rFonts w:ascii="Arial" w:hAnsi="Arial" w:cs="Arial"/>
          <w:sz w:val="20"/>
          <w:szCs w:val="20"/>
          <w:lang w:val="en-GB"/>
        </w:rPr>
        <w:t>.</w:t>
      </w:r>
    </w:p>
    <w:p w14:paraId="28FF932B"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3.3 Compliance with guideline values and implications for water quality</w:t>
      </w:r>
    </w:p>
    <w:p w14:paraId="48AC17E7" w14:textId="0F71DA2C" w:rsidR="0073550A" w:rsidRPr="005E494A" w:rsidRDefault="0073550A" w:rsidP="005E494A">
      <w:pPr>
        <w:spacing w:after="0" w:line="240" w:lineRule="auto"/>
        <w:jc w:val="both"/>
        <w:rPr>
          <w:rFonts w:ascii="Arial" w:hAnsi="Arial" w:cs="Arial"/>
          <w:sz w:val="20"/>
          <w:szCs w:val="20"/>
        </w:rPr>
      </w:pPr>
      <w:r w:rsidRPr="005E494A">
        <w:rPr>
          <w:rFonts w:ascii="Arial" w:hAnsi="Arial" w:cs="Arial"/>
          <w:sz w:val="20"/>
          <w:szCs w:val="20"/>
          <w:lang w:val="en-GB"/>
        </w:rPr>
        <w:t xml:space="preserve">The measured concentrations were compared with maximum admissible concentrations (MAC) for drinking water, taken from WHO guidelines </w:t>
      </w:r>
      <w:r w:rsidR="00B401CD" w:rsidRPr="005E494A">
        <w:rPr>
          <w:rFonts w:ascii="Arial" w:hAnsi="Arial" w:cs="Arial"/>
          <w:sz w:val="20"/>
          <w:szCs w:val="20"/>
          <w:lang w:val="en-GB"/>
        </w:rPr>
        <w:fldChar w:fldCharType="begin"/>
      </w:r>
      <w:r w:rsidR="000E707F" w:rsidRPr="005E494A">
        <w:rPr>
          <w:rFonts w:ascii="Arial" w:hAnsi="Arial" w:cs="Arial"/>
          <w:sz w:val="20"/>
          <w:szCs w:val="20"/>
          <w:lang w:val="en-GB"/>
        </w:rPr>
        <w:instrText xml:space="preserve"> ADDIN ZOTERO_ITEM CSL_CITATION {"citationID":"omsmB94X","properties":{"formattedCitation":"(WHO, 2017)","plainCitation":"(WHO, 2017)","noteIndex":0},"citationItems":[{"id":2944,"uris":["http://zotero.org/users/5723659/items/YR2L8MDM"],"itemData":{"id":2944,"type":"book","abstract":"This fourth edition incorporating the first addendum, of the World Health Organization's Guidelines for Drinking-water Quality builds on over 50 years of guidance by WHO on drinking-water quality, which has formed an authoritative basis for the setting of national regulations and standards for water safety in support of public health. It is the product of significant revisions to clarify and elaborate on ways of implementing its recommendations of contextual hazard identification and risk management, through the establishment of health-based targets, catchment-to-consumer water safety plans and independent surveillance. It reflects the renewed focus on primary prevention. Significant additional guidance on good practice is presented, incorporating changes introduced by the first and second addenda to the third edition. Emerging water management issues are comprehensively addressed for a range of circumstances, from household water treatment and safe storage and the bulk supply of water over long distances to the potential implications of climate change. Additional risk assessments are presented for a number of new chemical and microbial hazards and applied to a suite of pesticides used for public health purposes. Existing reviews on chemicals and waterborne pathogens have been revised to account for new scientific information. The chapter on radiological aspects of drinking-water quality has been comprehensively updated. Even more than the previous edition, this new edition incorporating the first addendum, emphasizes achievable practices and the formulation of sound regulations, applicable to low-income, middle-income and industrialized countries alike, that aim to prevent a potential health crisis caused by the consumption of unsafe drinking-water, against the backdrop of rapid urbanization, water scarcity and climate change","edition":"Fourth edition incorporating the first addendum","event-place":"Geneva","ISBN":"978-92-4-154995-0","language":"eng","number-of-pages":"1","publisher":"World Health Organization","publisher-place":"Geneva","source":"K10plus ISBN","title":"Guidelines for drinking-water quality","editor":[{"literal":"WHO"}],"issued":{"date-parts":[["2017"]]}}}],"schema":"https://github.com/citation-style-language/schema/raw/master/csl-citation.json"} </w:instrText>
      </w:r>
      <w:r w:rsidR="00B401CD" w:rsidRPr="005E494A">
        <w:rPr>
          <w:rFonts w:ascii="Arial" w:hAnsi="Arial" w:cs="Arial"/>
          <w:sz w:val="20"/>
          <w:szCs w:val="20"/>
          <w:lang w:val="en-GB"/>
        </w:rPr>
        <w:fldChar w:fldCharType="separate"/>
      </w:r>
      <w:r w:rsidR="000E707F" w:rsidRPr="005E494A">
        <w:rPr>
          <w:rFonts w:ascii="Arial" w:hAnsi="Arial" w:cs="Arial"/>
          <w:sz w:val="20"/>
          <w:lang w:val="en-GB"/>
        </w:rPr>
        <w:t>(WHO, 2017)</w:t>
      </w:r>
      <w:r w:rsidR="00B401CD" w:rsidRPr="005E494A">
        <w:rPr>
          <w:rFonts w:ascii="Arial" w:hAnsi="Arial" w:cs="Arial"/>
          <w:sz w:val="20"/>
          <w:szCs w:val="20"/>
          <w:lang w:val="en-GB"/>
        </w:rPr>
        <w:fldChar w:fldCharType="end"/>
      </w:r>
      <w:r w:rsidR="00B401CD" w:rsidRPr="005E494A">
        <w:rPr>
          <w:rFonts w:ascii="Arial" w:hAnsi="Arial" w:cs="Arial"/>
          <w:sz w:val="20"/>
          <w:szCs w:val="20"/>
          <w:lang w:val="en-GB"/>
        </w:rPr>
        <w:t xml:space="preserve"> </w:t>
      </w:r>
      <w:r w:rsidRPr="005E494A">
        <w:rPr>
          <w:rFonts w:ascii="Arial" w:hAnsi="Arial" w:cs="Arial"/>
          <w:sz w:val="20"/>
          <w:szCs w:val="20"/>
          <w:lang w:val="en-GB"/>
        </w:rPr>
        <w:t>and the European Drinking Water Directive 2020/2184</w:t>
      </w:r>
      <w:r w:rsidR="00B401CD" w:rsidRPr="005E494A">
        <w:rPr>
          <w:rFonts w:ascii="Arial" w:hAnsi="Arial" w:cs="Arial"/>
          <w:sz w:val="20"/>
          <w:szCs w:val="20"/>
          <w:lang w:val="en-GB"/>
        </w:rPr>
        <w:t xml:space="preserve"> </w:t>
      </w:r>
      <w:r w:rsidR="00A875AC" w:rsidRPr="005E494A">
        <w:rPr>
          <w:rFonts w:ascii="Arial" w:hAnsi="Arial" w:cs="Arial"/>
          <w:sz w:val="20"/>
          <w:szCs w:val="20"/>
          <w:lang w:val="en-GB"/>
        </w:rPr>
        <w:fldChar w:fldCharType="begin"/>
      </w:r>
      <w:r w:rsidR="000E707F" w:rsidRPr="005E494A">
        <w:rPr>
          <w:rFonts w:ascii="Arial" w:hAnsi="Arial" w:cs="Arial"/>
          <w:sz w:val="20"/>
          <w:szCs w:val="20"/>
          <w:lang w:val="en-GB"/>
        </w:rPr>
        <w:instrText xml:space="preserve"> ADDIN ZOTERO_ITEM CSL_CITATION {"citationID":"tttYrcdl","properties":{"formattedCitation":"(Union Europ\\uc0\\u233{}enne, 2020)","plainCitation":"(Union Européenne, 2020)","noteIndex":0},"citationItems":[{"id":2952,"uris":["http://zotero.org/users/5723659/items/TNBXBSJ3"],"itemData":{"id":2952,"type":"article-newspaper","container-title":"Journal officiel de l’Union européenne","page":"1-62","section":"L 435/1","title":"Directive (UE) 2020/2184 du Parlement européen et du Conseil du 16 décembre 2020 relative à la qualité des eaux destinées à la consommation humaine (refonte) (Texte présentant de l’intérêt pour l’EEE)","author":[{"family":"Union Européenne","given":""}],"issued":{"date-parts":[["2020"]]}}}],"schema":"https://github.com/citation-style-language/schema/raw/master/csl-citation.json"} </w:instrText>
      </w:r>
      <w:r w:rsidR="00A875AC" w:rsidRPr="005E494A">
        <w:rPr>
          <w:rFonts w:ascii="Arial" w:hAnsi="Arial" w:cs="Arial"/>
          <w:sz w:val="20"/>
          <w:szCs w:val="20"/>
          <w:lang w:val="en-GB"/>
        </w:rPr>
        <w:fldChar w:fldCharType="separate"/>
      </w:r>
      <w:r w:rsidR="000E707F" w:rsidRPr="005E494A">
        <w:rPr>
          <w:rFonts w:ascii="Arial" w:hAnsi="Arial" w:cs="Arial"/>
          <w:sz w:val="20"/>
          <w:lang w:val="en-GB"/>
        </w:rPr>
        <w:t>(Union Européenne, 2020)</w:t>
      </w:r>
      <w:r w:rsidR="00A875AC" w:rsidRPr="005E494A">
        <w:rPr>
          <w:rFonts w:ascii="Arial" w:hAnsi="Arial" w:cs="Arial"/>
          <w:sz w:val="20"/>
          <w:szCs w:val="20"/>
          <w:lang w:val="en-GB"/>
        </w:rPr>
        <w:fldChar w:fldCharType="end"/>
      </w:r>
      <w:r w:rsidRPr="005E494A">
        <w:rPr>
          <w:rFonts w:ascii="Arial" w:hAnsi="Arial" w:cs="Arial"/>
          <w:sz w:val="20"/>
          <w:szCs w:val="20"/>
          <w:lang w:val="en-GB"/>
        </w:rPr>
        <w:t>. These references set a limit of 0.10 µg/L per individual pesticide and 0.50 µg/L for the sum of all pesticides in drinking water.</w:t>
      </w:r>
      <w:r w:rsidR="005E494A" w:rsidRPr="005E494A">
        <w:rPr>
          <w:rFonts w:ascii="Arial" w:hAnsi="Arial" w:cs="Arial"/>
          <w:sz w:val="20"/>
          <w:szCs w:val="20"/>
          <w:lang w:val="en-GB"/>
        </w:rPr>
        <w:t xml:space="preserve"> </w:t>
      </w:r>
      <w:r w:rsidRPr="005E494A">
        <w:rPr>
          <w:rFonts w:ascii="Arial" w:hAnsi="Arial" w:cs="Arial"/>
          <w:sz w:val="20"/>
          <w:szCs w:val="20"/>
          <w:lang w:val="en-GB"/>
        </w:rPr>
        <w:t>This comparison showed frequent and substantial exceedances of these thresholds. Only a very small proportion of measurements complied with the guideline values: compliance rates were on the order of 8.33% for the individual pesticide limit (0.10 µg/L) and 6.06% for the total pesticide limit (0.50 µg/L). In other words, more than 90% of the situations documented in this study correspond to herbicide levels above at least one of the reference values, indicating almost systematic contamination of surface waters.</w:t>
      </w:r>
      <w:r w:rsidR="003A0B98">
        <w:rPr>
          <w:rFonts w:ascii="Arial" w:hAnsi="Arial" w:cs="Arial"/>
          <w:sz w:val="20"/>
          <w:szCs w:val="20"/>
          <w:lang w:val="en-GB"/>
        </w:rPr>
        <w:t xml:space="preserve"> </w:t>
      </w:r>
      <w:r w:rsidRPr="005E494A">
        <w:rPr>
          <w:rFonts w:ascii="Arial" w:hAnsi="Arial" w:cs="Arial"/>
          <w:sz w:val="20"/>
          <w:szCs w:val="20"/>
          <w:lang w:val="en-GB"/>
        </w:rPr>
        <w:t xml:space="preserve">Among the most problematic molecules, triazines (atrazine, terbuthylazine) and diuron frequently exceeded guideline values by several orders of magnitude. For example, </w:t>
      </w:r>
      <w:proofErr w:type="spellStart"/>
      <w:r w:rsidRPr="005E494A">
        <w:rPr>
          <w:rFonts w:ascii="Arial" w:hAnsi="Arial" w:cs="Arial"/>
          <w:sz w:val="20"/>
          <w:szCs w:val="20"/>
          <w:lang w:val="en-GB"/>
        </w:rPr>
        <w:t>mesotrione</w:t>
      </w:r>
      <w:proofErr w:type="spellEnd"/>
      <w:r w:rsidRPr="005E494A">
        <w:rPr>
          <w:rFonts w:ascii="Arial" w:hAnsi="Arial" w:cs="Arial"/>
          <w:sz w:val="20"/>
          <w:szCs w:val="20"/>
          <w:lang w:val="en-GB"/>
        </w:rPr>
        <w:t xml:space="preserve"> reached 983.15 µg/L at </w:t>
      </w:r>
      <w:proofErr w:type="spellStart"/>
      <w:r w:rsidRPr="005E494A">
        <w:rPr>
          <w:rFonts w:ascii="Arial" w:hAnsi="Arial" w:cs="Arial"/>
          <w:sz w:val="20"/>
          <w:szCs w:val="20"/>
          <w:lang w:val="en-GB"/>
        </w:rPr>
        <w:t>Ouarkoye</w:t>
      </w:r>
      <w:proofErr w:type="spellEnd"/>
      <w:r w:rsidRPr="005E494A">
        <w:rPr>
          <w:rFonts w:ascii="Arial" w:hAnsi="Arial" w:cs="Arial"/>
          <w:sz w:val="20"/>
          <w:szCs w:val="20"/>
          <w:lang w:val="en-GB"/>
        </w:rPr>
        <w:t xml:space="preserve"> in P1, i.e. nearly 10,000 times higher than the 0.10 µg/L limit for individual pesticides. Such exceedances are particularly concerning in a Sahelian context characterised by water scarcity and by the frequent use of untreated surface waters for domestic and agricultural purposes by rural populations </w:t>
      </w:r>
      <w:r w:rsidR="005E494A" w:rsidRPr="005E494A">
        <w:rPr>
          <w:rFonts w:ascii="Arial" w:hAnsi="Arial" w:cs="Arial"/>
          <w:sz w:val="20"/>
          <w:szCs w:val="20"/>
          <w:lang w:val="en-GB"/>
        </w:rPr>
        <w:fldChar w:fldCharType="begin"/>
      </w:r>
      <w:r w:rsidR="005E494A" w:rsidRPr="005E494A">
        <w:rPr>
          <w:rFonts w:ascii="Arial" w:hAnsi="Arial" w:cs="Arial"/>
          <w:sz w:val="20"/>
          <w:szCs w:val="20"/>
          <w:lang w:val="en-GB"/>
        </w:rPr>
        <w:instrText xml:space="preserve"> ADDIN ZOTERO_ITEM CSL_CITATION {"citationID":"x5dZFfcJ","properties":{"formattedCitation":"(Bayili et al., 2019; Elfikrie et al., 2020; S\\uc0\\u233{}r\\uc0\\u233{} et al., 2025)","plainCitation":"(Bayili et al., 2019; Elfikrie et al., 2020; Séré et al., 2025)","noteIndex":0},"citationItems":[{"id":2915,"uris":["http://zotero.org/users/5723659/items/FD3BI3Z5"],"itemData":{"id":2915,"type":"article-journal","container-title":"Journal of Experimental Biology and Agricultural Sciences","DOI":"10.18006/2019.7(6).554.568","ISSN":"23208694","issue":"6","journalAbbreviation":"JEBAS","page":"554-568","source":"DOI.org (Crossref)","title":"Characterization of pesticides and practices of cotton producers and pesticides sellers in the cotton zone of Bala’s Hippopotamus Pond Biosphere of Burkina Faso","volume":"7","author":[{"family":"Bayili","given":"Bazoma"},{"family":"Ouedraogo","given":"Richard"},{"family":"Ilboudo","given":"Sylvain"},{"family":"Pooda","given":"Lamine"},{"family":"Bonkoungou","given":"Macaire"},{"family":"Bationo","given":"Jean Fidèle"},{</w:instrText>
      </w:r>
      <w:r w:rsidR="005E494A" w:rsidRPr="006B2574">
        <w:rPr>
          <w:rFonts w:ascii="Arial" w:hAnsi="Arial" w:cs="Arial"/>
          <w:sz w:val="20"/>
          <w:szCs w:val="20"/>
          <w:lang w:val="en-GB"/>
        </w:rPr>
        <w:instrText>"family":"Ouedraogo","given":"Jean Bosco"},{"family":"Ou</w:instrText>
      </w:r>
      <w:r w:rsidR="005E494A" w:rsidRPr="005E494A">
        <w:rPr>
          <w:rFonts w:ascii="Arial" w:hAnsi="Arial" w:cs="Arial"/>
          <w:sz w:val="20"/>
          <w:szCs w:val="20"/>
          <w:lang w:val="en-GB"/>
        </w:rPr>
        <w:instrText xml:space="preserve">edraogo","given":"Georges Anicet"}],"issued":{"date-parts":[["2019"]]}}},{"id":2913,"uris":["http://zotero.org/users/5723659/items/9HPPTTF3"],"itemData":{"id":2913,"type":"article-journal","container-title":"Science of The Total Environment","DOI":"10.1016/j.scitotenv.2020.136540","ISSN":"00489697","journalAbbreviation":"Science of The Total Environment","language":"en","page":"136540","source":"DOI.org (Crossref)","title":"Occurrence of pesticides in surface water, pesticides removal efficiency in drinking water treatment plant and potential health risk to consumers in Tengi River Basin, Malaysia","volume":"712","author":[{"family":"Elfikrie","given":"Nurulizani"},{"family":"Ho","given":"Yu Bin"},{"family":"Zaidon","given":"Siti Zulfa"},{"family":"Juahir","given":"Hafizan"},{"family":"Tan","given":"Eugenie Sin Sing"}],"issued":{"date-parts":[["2020"]]}}},{"id":2946,"uris":["http://zotero.org/users/5723659/items/7EJTTUQA"],"itemData":{"id":2946,"type":"article-journal","container-title":"Revue Africaine d’Environnement et d’Agriculture Durable","issue":"1","page":"45-56","title":"Contamination des eaux de surface par les pesticides dans la région de Bama (Burkina Faso)","volume":"12","author":[{"family":"Séré","given":"G"},{"family":"Sawadogo","given":"R"},{"family":"Nacoulma","given":"BMI"}],"issued":{"date-parts":[["2025"]]}}}],"schema":"https://github.com/citation-style-language/schema/raw/master/csl-citation.json"} </w:instrText>
      </w:r>
      <w:r w:rsidR="005E494A" w:rsidRPr="005E494A">
        <w:rPr>
          <w:rFonts w:ascii="Arial" w:hAnsi="Arial" w:cs="Arial"/>
          <w:sz w:val="20"/>
          <w:szCs w:val="20"/>
          <w:lang w:val="en-GB"/>
        </w:rPr>
        <w:fldChar w:fldCharType="separate"/>
      </w:r>
      <w:r w:rsidR="005E494A" w:rsidRPr="005E494A">
        <w:rPr>
          <w:rFonts w:ascii="Arial" w:hAnsi="Arial" w:cs="Arial"/>
          <w:sz w:val="20"/>
          <w:lang w:val="en-GB"/>
        </w:rPr>
        <w:t>(Bayili et al., 2019; Elfikrie et al., 2020; Séré et al., 2025)</w:t>
      </w:r>
      <w:r w:rsidR="005E494A" w:rsidRPr="005E494A">
        <w:rPr>
          <w:rFonts w:ascii="Arial" w:hAnsi="Arial" w:cs="Arial"/>
          <w:sz w:val="20"/>
          <w:szCs w:val="20"/>
          <w:lang w:val="en-GB"/>
        </w:rPr>
        <w:fldChar w:fldCharType="end"/>
      </w:r>
      <w:r w:rsidRPr="005E494A">
        <w:rPr>
          <w:rFonts w:ascii="Arial" w:hAnsi="Arial" w:cs="Arial"/>
          <w:sz w:val="20"/>
          <w:szCs w:val="20"/>
          <w:lang w:val="en-GB"/>
        </w:rPr>
        <w:t>.</w:t>
      </w:r>
      <w:r w:rsidR="005E494A" w:rsidRPr="005E494A">
        <w:rPr>
          <w:rFonts w:ascii="Arial" w:hAnsi="Arial" w:cs="Arial"/>
          <w:sz w:val="20"/>
          <w:szCs w:val="20"/>
          <w:lang w:val="en-GB"/>
        </w:rPr>
        <w:t xml:space="preserve"> </w:t>
      </w:r>
      <w:r w:rsidRPr="005E494A">
        <w:rPr>
          <w:rFonts w:ascii="Arial" w:hAnsi="Arial" w:cs="Arial"/>
          <w:sz w:val="20"/>
          <w:szCs w:val="20"/>
          <w:lang w:val="en-GB"/>
        </w:rPr>
        <w:t xml:space="preserve">These observations are consistent with findings from other tropical and temperate regions, where intensive herbicide use in agriculture has been associated with widespread contamination of rivers, streams and ponds </w:t>
      </w:r>
      <w:r w:rsidR="005E494A" w:rsidRPr="005E494A">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{"citationID":"IGGU1Own","properties":{"formattedCitation":"(De Souza et al., 2020; Schwientek et al., 2024; Stackpoole et al., 2021)","plainCitation":"(De Souza et al., 2020; Schwientek et al., 2024; Stackpoole et al., 2021)","dontUpdate":true,"noteIndex":0},"citationItems":[{"id":2914,"uris":["http://zotero.org/users/5723659/items/DJ6W3VFG"],"itemData":{"id":2914,"type":"article-journal","container-title":"Process Safety and Environmental Protection","DOI":"10.1016/j.psep.2019.12.035","ISSN":"09575820","journalAbbreviation":"Process Safety and Environmental Protection","language":"en","page":"22-37","source":"DOI.org (Crossref)","title":"Occurrence, impacts and general aspects of pesticides in surface water: A review","title-short":"Occurrence, impacts and general aspects of pesticides in surface water","volume":"135","author":[{"family":"De Souza","given":"Renata Mariane"},{"family":"Seibert","given":"Daiana"},{"family":"Quesada","given":"Heloise Beatriz"},{"family":"De Jesus Bassetti","given":"Fátima"},{"family":"Fagundes-Klen","given":"Márcia Regina"},{"family":"Bergamasco","given":"Rosângela"}],"issued":{"date-parts":[["2020"]]}}},{"id":2956,"uris":["http://zotero.org/users/57</w:instrText>
      </w:r>
      <w:r w:rsidR="004A43B1" w:rsidRPr="002D4C9F">
        <w:rPr>
          <w:rFonts w:ascii="Arial" w:hAnsi="Arial" w:cs="Arial"/>
          <w:sz w:val="20"/>
          <w:szCs w:val="20"/>
        </w:rPr>
        <w:instrText>23659/items/ZZ2UNMPH"],"itemData":{"id":2956,"type"</w:instrText>
      </w:r>
      <w:r w:rsidR="004A43B1" w:rsidRPr="004A43B1">
        <w:rPr>
          <w:rFonts w:ascii="Arial" w:hAnsi="Arial" w:cs="Arial"/>
          <w:sz w:val="20"/>
          <w:szCs w:val="20"/>
        </w:rPr>
        <w:instrText xml:space="preserve">:"article-journal","container-title":"Water Research","DOI":"10.1016/j.watres.2024.122140","ISSN":"00431354","journalAbbreviation":"Water Research","language":"en","page":"122140","source":"DOI.org (Crossref)","title":"Glyphosate contamination in European rivers not from herbicide application?","volume":"263","author":[{"family":"Schwientek","given":"M."},{"family":"Rügner","given":"H."},{"family":"Haderlein","given":"S.B."},{"family":"Schulz","given":"W."},{"family":"Wimmer","given":"B."},{"family":"Engelbart","given":"L."},{"family":"Bieger","given":"S."},{"family":"Huhn","given":"C."}],"issued":{"date-parts":[["2024"]]}}},{"id":2902,"uris":["http://zotero.org/users/5723659/items/IHH8DK8W"],"itemData":{"id":2902,"type":"article-journal","container-title":"Science of The Total Environment","DOI":"10.1016/j.scitotenv.2021.147147","ISSN":"00489697","journalAbbreviation":"Science of The Total Environment","language":"en","page":"147147","source":"DOI.org (Crossref)","title":"Pesticides in US Rivers: Regional differences in use, occurrence, and environmental toxicity, 2013 to 2017","title-short":"Pesticides in US Rivers","volume":"787","author":[{"family":"Stackpoole","given":"Sarah M."},{"family":"Shoda","given":"Megan E."},{"family":"Medalie","given":"Laura"},{"family":"Stone","given":"Wesley W."}],"issued":{"date-parts":[["2021"]]}}}],"schema":"https://github.com/citation-style-language/schema/raw/master/csl-citation.json"} </w:instrText>
      </w:r>
      <w:r w:rsidR="005E494A" w:rsidRPr="005E494A">
        <w:rPr>
          <w:rFonts w:ascii="Arial" w:hAnsi="Arial" w:cs="Arial"/>
          <w:sz w:val="20"/>
          <w:szCs w:val="20"/>
          <w:lang w:val="en-GB"/>
        </w:rPr>
        <w:fldChar w:fldCharType="separate"/>
      </w:r>
      <w:r w:rsidR="005E494A" w:rsidRPr="005E494A">
        <w:rPr>
          <w:rFonts w:ascii="Arial" w:hAnsi="Arial" w:cs="Arial"/>
          <w:sz w:val="20"/>
        </w:rPr>
        <w:t xml:space="preserve">(De Souza et al., 2020; </w:t>
      </w:r>
      <w:r w:rsidR="00AE38A9" w:rsidRPr="005E494A">
        <w:rPr>
          <w:rFonts w:ascii="Arial" w:hAnsi="Arial" w:cs="Arial"/>
          <w:sz w:val="20"/>
        </w:rPr>
        <w:t>Stackpoole et al., 2021</w:t>
      </w:r>
      <w:r w:rsidR="00AE38A9">
        <w:rPr>
          <w:rFonts w:ascii="Arial" w:hAnsi="Arial" w:cs="Arial"/>
          <w:sz w:val="20"/>
        </w:rPr>
        <w:t xml:space="preserve">; </w:t>
      </w:r>
      <w:r w:rsidR="005E494A" w:rsidRPr="005E494A">
        <w:rPr>
          <w:rFonts w:ascii="Arial" w:hAnsi="Arial" w:cs="Arial"/>
          <w:sz w:val="20"/>
        </w:rPr>
        <w:t>Schwientek et al., 2024)</w:t>
      </w:r>
      <w:r w:rsidR="005E494A" w:rsidRPr="005E494A">
        <w:rPr>
          <w:rFonts w:ascii="Arial" w:hAnsi="Arial" w:cs="Arial"/>
          <w:sz w:val="20"/>
          <w:szCs w:val="20"/>
          <w:lang w:val="en-GB"/>
        </w:rPr>
        <w:fldChar w:fldCharType="end"/>
      </w:r>
      <w:r w:rsidRPr="005E494A">
        <w:rPr>
          <w:rFonts w:ascii="Arial" w:hAnsi="Arial" w:cs="Arial"/>
          <w:sz w:val="20"/>
          <w:szCs w:val="20"/>
        </w:rPr>
        <w:t>.</w:t>
      </w:r>
    </w:p>
    <w:p w14:paraId="0D1DE3B2"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3.4 Ecotoxicological risks for aquatic ecosystems</w:t>
      </w:r>
    </w:p>
    <w:p w14:paraId="54E19B76" w14:textId="5CBCF85D" w:rsidR="0073550A" w:rsidRPr="004F4189" w:rsidRDefault="0073550A" w:rsidP="004F4189">
      <w:pPr>
        <w:spacing w:after="0" w:line="240" w:lineRule="auto"/>
        <w:jc w:val="both"/>
        <w:rPr>
          <w:rFonts w:ascii="Arial" w:hAnsi="Arial" w:cs="Arial"/>
          <w:sz w:val="20"/>
          <w:szCs w:val="20"/>
          <w:lang w:val="en-GB"/>
        </w:rPr>
      </w:pPr>
      <w:r w:rsidRPr="004F4189">
        <w:rPr>
          <w:rFonts w:ascii="Arial" w:hAnsi="Arial" w:cs="Arial"/>
          <w:sz w:val="20"/>
          <w:szCs w:val="20"/>
          <w:lang w:val="en-GB"/>
        </w:rPr>
        <w:t>From an ecotoxicological perspective, the concentrations measured in this study may pose severe risks to aquatic organisms, particularly algae, macrophytes and invertebrates.</w:t>
      </w:r>
      <w:r w:rsidR="005E494A" w:rsidRPr="004F4189">
        <w:rPr>
          <w:rFonts w:ascii="Arial" w:hAnsi="Arial" w:cs="Arial"/>
          <w:sz w:val="20"/>
          <w:szCs w:val="20"/>
          <w:lang w:val="en-GB"/>
        </w:rPr>
        <w:t xml:space="preserve"> </w:t>
      </w:r>
      <w:r w:rsidRPr="004F4189">
        <w:rPr>
          <w:rFonts w:ascii="Arial" w:hAnsi="Arial" w:cs="Arial"/>
          <w:sz w:val="20"/>
          <w:szCs w:val="20"/>
          <w:lang w:val="en-GB"/>
        </w:rPr>
        <w:t xml:space="preserve">Triazines such as atrazine and terbuthylazine, as well as diuron, are known to inhibit photosynthesis by blocking electron transport in photosystem II. At concentrations far above environmental quality standards, these substances can strongly reduce primary productivity, alter phytoplankton and periphyton communities and consequently affect the entire aquatic food web </w:t>
      </w:r>
      <w:r w:rsidR="00D35242" w:rsidRPr="004F4189">
        <w:rPr>
          <w:rFonts w:ascii="Arial" w:hAnsi="Arial" w:cs="Arial"/>
          <w:sz w:val="20"/>
          <w:szCs w:val="20"/>
          <w:lang w:val="en-GB"/>
        </w:rPr>
        <w:fldChar w:fldCharType="begin"/>
      </w:r>
      <w:r w:rsidR="00D35242" w:rsidRPr="004F4189">
        <w:rPr>
          <w:rFonts w:ascii="Arial" w:hAnsi="Arial" w:cs="Arial"/>
          <w:sz w:val="20"/>
          <w:szCs w:val="20"/>
          <w:lang w:val="en-GB"/>
        </w:rPr>
        <w:instrText xml:space="preserve"> ADDIN ZOTERO_ITEM CSL_CITATION {"citationID":"l6UtADTX","properties":{"formattedCitation":"(De Souza et al., 2020; Pinheiro et al., 2023; US-EPA, 2023)","plainCitation":"(De Souza et al., 2020; Pinheiro et al., 2023; US-EPA, 2023)","noteIndex":0},"citationItems":[{"id":2914,"uris":["http://zotero.org/users/5723659/items/DJ6W3VFG"],"itemData":{"id":2914,"type":"article-journal","container-title":"Process Safety and Environmental Protection","DOI":"10.1016/j.psep.2019.12.035","ISSN":"09575820","journalAbbreviation":"Process Safety and Environmental Protection","language":"en","page":"22-37","source":"DOI.org (Crossref)","title":"Occurrence, impacts and general aspects of pesticides in surface water: A review","title-short":"Occurrence, impacts and general aspects of pesticides in surface water","volume":"135","author":[{"family":"De Souza","given":"Renata Mariane"},{"family":"Seibert","given":"Daiana"},{"family":"Quesada","given":"Heloise Beatriz"},{"family"</w:instrText>
      </w:r>
      <w:r w:rsidR="00D35242" w:rsidRPr="006B2574">
        <w:rPr>
          <w:rFonts w:ascii="Arial" w:hAnsi="Arial" w:cs="Arial"/>
          <w:sz w:val="20"/>
          <w:szCs w:val="20"/>
          <w:lang w:val="en-GB"/>
        </w:rPr>
        <w:instrText>:"De Jesus Bassetti","given":"Fátima"},</w:instrText>
      </w:r>
      <w:r w:rsidR="00D35242" w:rsidRPr="004F4189">
        <w:rPr>
          <w:rFonts w:ascii="Arial" w:hAnsi="Arial" w:cs="Arial"/>
          <w:sz w:val="20"/>
          <w:szCs w:val="20"/>
          <w:lang w:val="en-GB"/>
        </w:rPr>
        <w:instrText xml:space="preserve">{"family":"Fagundes-Klen","given":"Márcia Regina"},{"family":"Bergamasco","given":"Rosângela"}],"issued":{"date-parts":[["2020"]]}}},{"id":2903,"uris":["http://zotero.org/users/5723659/items/GMIT896L"],"itemData":{"id":2903,"type":"article-journal","container-title":"Environmental Science and Pollution Research","DOI":"10.1007/s11356-023-30198-0","ISSN":"1614-7499","issue":"52","journalAbbreviation":"Environ Sci Pollut Res","language":"en","page":"111850-111870","source":"DOI.org (Crossref)","title":"Herbicides may threaten advances in biological control of diseases and pests","volume":"30","author":[{"family":"Pinheiro","given":"Rodrigo Almeida"},{"family":"Duque","given":"Tayna Sousa"},{"family":"Barroso","given":"Gabriela Madureira"},{"family":"Soares","given":"Marcus Alvarenga"},{"family":"Cabral","given":"Cassia Michelle"},{"family":"Zanuncio","given":"José Cola"},{"family":"Dos Santos","given":"José Barbosa"}],"issued":{"date-parts":[["2023"]]}}},{"id":2950,"uris":["http://zotero.org/users/5723659/items/EH436TFV"],"itemData":{"id":2950,"type":"webpage","language":"16/12/2024","title":"Aquatic life benchmarks. United States Environmental Protection Agency (US-EPA)","URL":"https://www.epa.gov/pesticide-science-and-assessing-pesticide-risks/aquatic-life-benchmarks","author":[{"family":"US-EPA","given":""}],"issued":{"date-parts":[["2023"]]}}}],"schema":"https://github.com/citation-style-language/schema/raw/master/csl-citation.json"} </w:instrText>
      </w:r>
      <w:r w:rsidR="00D35242" w:rsidRPr="004F4189">
        <w:rPr>
          <w:rFonts w:ascii="Arial" w:hAnsi="Arial" w:cs="Arial"/>
          <w:sz w:val="20"/>
          <w:szCs w:val="20"/>
          <w:lang w:val="en-GB"/>
        </w:rPr>
        <w:fldChar w:fldCharType="separate"/>
      </w:r>
      <w:r w:rsidR="00D35242" w:rsidRPr="004F4189">
        <w:rPr>
          <w:rFonts w:ascii="Arial" w:hAnsi="Arial" w:cs="Arial"/>
          <w:sz w:val="20"/>
          <w:lang w:val="en-GB"/>
        </w:rPr>
        <w:t>(De Souza et al., 2020; Pinheiro et al., 2023; US-EPA, 2023)</w:t>
      </w:r>
      <w:r w:rsidR="00D35242" w:rsidRPr="004F4189">
        <w:rPr>
          <w:rFonts w:ascii="Arial" w:hAnsi="Arial" w:cs="Arial"/>
          <w:sz w:val="20"/>
          <w:szCs w:val="20"/>
          <w:lang w:val="en-GB"/>
        </w:rPr>
        <w:fldChar w:fldCharType="end"/>
      </w:r>
      <w:r w:rsidRPr="004F4189">
        <w:rPr>
          <w:rFonts w:ascii="Arial" w:hAnsi="Arial" w:cs="Arial"/>
          <w:sz w:val="20"/>
          <w:szCs w:val="20"/>
          <w:lang w:val="en-GB"/>
        </w:rPr>
        <w:t>.</w:t>
      </w:r>
      <w:r w:rsidR="00D35242" w:rsidRPr="004F4189">
        <w:rPr>
          <w:rFonts w:ascii="Arial" w:hAnsi="Arial" w:cs="Arial"/>
          <w:sz w:val="20"/>
          <w:szCs w:val="20"/>
          <w:lang w:val="en-GB"/>
        </w:rPr>
        <w:t xml:space="preserve"> </w:t>
      </w:r>
      <w:r w:rsidRPr="004F4189">
        <w:rPr>
          <w:rFonts w:ascii="Arial" w:hAnsi="Arial" w:cs="Arial"/>
          <w:sz w:val="20"/>
          <w:szCs w:val="20"/>
          <w:lang w:val="en-GB"/>
        </w:rPr>
        <w:t>Sulfonylurea herbicides (</w:t>
      </w:r>
      <w:proofErr w:type="spellStart"/>
      <w:r w:rsidRPr="004F4189">
        <w:rPr>
          <w:rFonts w:ascii="Arial" w:hAnsi="Arial" w:cs="Arial"/>
          <w:sz w:val="20"/>
          <w:szCs w:val="20"/>
          <w:lang w:val="en-GB"/>
        </w:rPr>
        <w:t>nicosulfuron</w:t>
      </w:r>
      <w:proofErr w:type="spellEnd"/>
      <w:r w:rsidRPr="004F4189">
        <w:rPr>
          <w:rFonts w:ascii="Arial" w:hAnsi="Arial" w:cs="Arial"/>
          <w:sz w:val="20"/>
          <w:szCs w:val="20"/>
          <w:lang w:val="en-GB"/>
        </w:rPr>
        <w:t xml:space="preserve">, </w:t>
      </w:r>
      <w:proofErr w:type="spellStart"/>
      <w:r w:rsidRPr="004F4189">
        <w:rPr>
          <w:rFonts w:ascii="Arial" w:hAnsi="Arial" w:cs="Arial"/>
          <w:sz w:val="20"/>
          <w:szCs w:val="20"/>
          <w:lang w:val="en-GB"/>
        </w:rPr>
        <w:t>bensulfuron</w:t>
      </w:r>
      <w:proofErr w:type="spellEnd"/>
      <w:r w:rsidRPr="004F4189">
        <w:rPr>
          <w:rFonts w:ascii="Arial" w:hAnsi="Arial" w:cs="Arial"/>
          <w:sz w:val="20"/>
          <w:szCs w:val="20"/>
          <w:lang w:val="en-GB"/>
        </w:rPr>
        <w:t xml:space="preserve">-methyl) also exhibit high toxicity at low concentrations for certain aquatic plants and algae, due to their mode of action on acetolactate synthase (ALS). Although used at relatively low application rates, their persistence and mobility may lead to chronic exposure of non-target organisms </w:t>
      </w:r>
      <w:r w:rsidR="00D35242" w:rsidRPr="004F4189">
        <w:rPr>
          <w:rFonts w:ascii="Arial" w:hAnsi="Arial" w:cs="Arial"/>
          <w:sz w:val="20"/>
          <w:szCs w:val="20"/>
          <w:lang w:val="en-GB"/>
        </w:rPr>
        <w:fldChar w:fldCharType="begin"/>
      </w:r>
      <w:r w:rsidR="00D35242" w:rsidRPr="004F4189">
        <w:rPr>
          <w:rFonts w:ascii="Arial" w:hAnsi="Arial" w:cs="Arial"/>
          <w:sz w:val="20"/>
          <w:szCs w:val="20"/>
          <w:lang w:val="en-GB"/>
        </w:rPr>
        <w:instrText xml:space="preserve"> ADDIN ZOTERO_ITEM CSL_CITATION {"citationID":"ILk7yUOr","properties":{"formattedCitation":"(Yang et al., 2023)","plainCitation":"(Yang et al., 2023)","noteIndex":0},"citationItems":[{"id":2898,"uris":["http://zotero.org/users/5723659/items/TFQ9JTMI"],"itemData":{"id":2898,"type":"article-journal","container-title":"Journal of Cleaner Production","DOI":"10.1016/j.jclepro.2023.136816","ISSN":"09596526","journalAbbreviation":"Journal of Cleaner Production","language":"en","page":"136816","source":"DOI.org (Crossref)","title":"Degradation of bensulfuron methyl by nitrogen/boron codoped biochar activated peroxydisulfate at lower temperature","volume":"402","author":[{"family":"Yang","given":"Yang"},{"family":"Kang","given":"Zhichao"},{"family":"Xu","given":"Guanghui"},{"family":"Wang","given":"Jian"},{"family":"Yu","given":"Yong"}],"issued":{"date-parts":[["2023"]]}}}],"schema":"https://github.com/citation-style-language/schema/raw/master/csl-citation.json"} </w:instrText>
      </w:r>
      <w:r w:rsidR="00D35242" w:rsidRPr="004F4189">
        <w:rPr>
          <w:rFonts w:ascii="Arial" w:hAnsi="Arial" w:cs="Arial"/>
          <w:sz w:val="20"/>
          <w:szCs w:val="20"/>
          <w:lang w:val="en-GB"/>
        </w:rPr>
        <w:fldChar w:fldCharType="separate"/>
      </w:r>
      <w:r w:rsidR="00D35242" w:rsidRPr="004F4189">
        <w:rPr>
          <w:rFonts w:ascii="Arial" w:hAnsi="Arial" w:cs="Arial"/>
          <w:sz w:val="20"/>
          <w:lang w:val="en-GB"/>
        </w:rPr>
        <w:t>(Yang et al., 2023)</w:t>
      </w:r>
      <w:r w:rsidR="00D35242" w:rsidRPr="004F4189">
        <w:rPr>
          <w:rFonts w:ascii="Arial" w:hAnsi="Arial" w:cs="Arial"/>
          <w:sz w:val="20"/>
          <w:szCs w:val="20"/>
          <w:lang w:val="en-GB"/>
        </w:rPr>
        <w:fldChar w:fldCharType="end"/>
      </w:r>
      <w:r w:rsidRPr="004F4189">
        <w:rPr>
          <w:rFonts w:ascii="Arial" w:hAnsi="Arial" w:cs="Arial"/>
          <w:sz w:val="20"/>
          <w:szCs w:val="20"/>
          <w:lang w:val="en-GB"/>
        </w:rPr>
        <w:t>.</w:t>
      </w:r>
      <w:r w:rsidR="003A0B98">
        <w:rPr>
          <w:rFonts w:ascii="Arial" w:hAnsi="Arial" w:cs="Arial"/>
          <w:sz w:val="20"/>
          <w:szCs w:val="20"/>
          <w:lang w:val="en-GB"/>
        </w:rPr>
        <w:t xml:space="preserve"> </w:t>
      </w:r>
      <w:r w:rsidRPr="004F4189">
        <w:rPr>
          <w:rFonts w:ascii="Arial" w:hAnsi="Arial" w:cs="Arial"/>
          <w:sz w:val="20"/>
          <w:szCs w:val="20"/>
          <w:lang w:val="en-GB"/>
        </w:rPr>
        <w:t xml:space="preserve">The behaviour of 2,4-D and pendimethalin differs: 2,4-D is generally considered to degrade relatively rapidly in aquatic media under favourable conditions, whereas pendimethalin can be more persistent, especially in sediments, with potential long-term impacts on benthic communities </w:t>
      </w:r>
      <w:r w:rsidR="00D35242" w:rsidRPr="004F4189">
        <w:rPr>
          <w:rFonts w:ascii="Arial" w:hAnsi="Arial" w:cs="Arial"/>
          <w:sz w:val="20"/>
          <w:szCs w:val="20"/>
          <w:lang w:val="en-GB"/>
        </w:rPr>
        <w:fldChar w:fldCharType="begin"/>
      </w:r>
      <w:r w:rsidR="00D35242" w:rsidRPr="004F4189">
        <w:rPr>
          <w:rFonts w:ascii="Arial" w:hAnsi="Arial" w:cs="Arial"/>
          <w:sz w:val="20"/>
          <w:szCs w:val="20"/>
          <w:lang w:val="en-GB"/>
        </w:rPr>
        <w:instrText xml:space="preserve"> ADDIN ZOTERO_ITEM CSL_CITATION {"citationID":"GHsSGjk9","properties":{"formattedCitation":"(Calvet, 2005; Le Person et al., 2016)","plainCitation":"(Calvet, 2005; Le Person et al., 2016)","noteIndex":0},"citationItems":[{"id":2953,"uris":["http://zotero.org/users/5723659/items/KDKGR97B"],"itemData":{"id":2953,"type":"book","edition":"France Agricole Editions","event-place":"Paris","ISBN":"2-85557-119-7","language":"Français","number-of-pages":"637","publisher-place":"Paris","title":"Les pesticides dans le sol: conséquences agronomiques et environnementales","author":[{"family":"Calvet","given":"Raoul"}],"issued":{"date-parts":[["2005"]]}}},{"id":2962,"uris":["http://zotero.org/users/5723659/items/H3QILHN4"],"itemData":{"id":2962,"type":"article-journal","container-title":"Journal of Photochemistry and Photobiology A: Chemistry","DOI":"10.1016/j.jphotochem.2015.09.010","ISSN":"10106030","journalAbbreviation":"Journal of Photochemistry and Photobiology A: Chemistry","language":"en","page":"76-86","source":"DOI.org (Crossref)","title":"The photo-degradation of mesotrione, a triketone herbicide, in the presence of Cu II ions","volume":"315","author":[{"family":"Le Person","given":"Annaïg"},{"family":"Siampiringue","given":"Marie"},{"family":"Sarakha","given":"Mohamed"},{"family":"Moncomble","given":"Aurélien"},{"family":"Cornard","given":"Jean-Paul"}],"issued":{"date-parts":[["2016"]]}}}],"schema":"https://github.com/citation-style-language/schema/raw/master/csl-citation.json"} </w:instrText>
      </w:r>
      <w:r w:rsidR="00D35242" w:rsidRPr="004F4189">
        <w:rPr>
          <w:rFonts w:ascii="Arial" w:hAnsi="Arial" w:cs="Arial"/>
          <w:sz w:val="20"/>
          <w:szCs w:val="20"/>
          <w:lang w:val="en-GB"/>
        </w:rPr>
        <w:fldChar w:fldCharType="separate"/>
      </w:r>
      <w:r w:rsidR="00D35242" w:rsidRPr="004F4189">
        <w:rPr>
          <w:rFonts w:ascii="Arial" w:hAnsi="Arial" w:cs="Arial"/>
          <w:sz w:val="20"/>
          <w:lang w:val="en-GB"/>
        </w:rPr>
        <w:t>(Calvet, 2005; Le Person et al., 2016)</w:t>
      </w:r>
      <w:r w:rsidR="00D35242" w:rsidRPr="004F4189">
        <w:rPr>
          <w:rFonts w:ascii="Arial" w:hAnsi="Arial" w:cs="Arial"/>
          <w:sz w:val="20"/>
          <w:szCs w:val="20"/>
          <w:lang w:val="en-GB"/>
        </w:rPr>
        <w:fldChar w:fldCharType="end"/>
      </w:r>
      <w:r w:rsidRPr="004F4189">
        <w:rPr>
          <w:rFonts w:ascii="Arial" w:hAnsi="Arial" w:cs="Arial"/>
          <w:sz w:val="20"/>
          <w:szCs w:val="20"/>
          <w:lang w:val="en-GB"/>
        </w:rPr>
        <w:t xml:space="preserve">. Other compounds, such as </w:t>
      </w:r>
      <w:proofErr w:type="spellStart"/>
      <w:r w:rsidRPr="004F4189">
        <w:rPr>
          <w:rFonts w:ascii="Arial" w:hAnsi="Arial" w:cs="Arial"/>
          <w:sz w:val="20"/>
          <w:szCs w:val="20"/>
          <w:lang w:val="en-GB"/>
        </w:rPr>
        <w:t>mesotrione</w:t>
      </w:r>
      <w:proofErr w:type="spellEnd"/>
      <w:r w:rsidRPr="004F4189">
        <w:rPr>
          <w:rFonts w:ascii="Arial" w:hAnsi="Arial" w:cs="Arial"/>
          <w:sz w:val="20"/>
          <w:szCs w:val="20"/>
          <w:lang w:val="en-GB"/>
        </w:rPr>
        <w:t xml:space="preserve"> or </w:t>
      </w:r>
      <w:proofErr w:type="spellStart"/>
      <w:r w:rsidRPr="004F4189">
        <w:rPr>
          <w:rFonts w:ascii="Arial" w:hAnsi="Arial" w:cs="Arial"/>
          <w:sz w:val="20"/>
          <w:szCs w:val="20"/>
          <w:lang w:val="en-GB"/>
        </w:rPr>
        <w:t>bispyribac</w:t>
      </w:r>
      <w:proofErr w:type="spellEnd"/>
      <w:r w:rsidRPr="004F4189">
        <w:rPr>
          <w:rFonts w:ascii="Arial" w:hAnsi="Arial" w:cs="Arial"/>
          <w:sz w:val="20"/>
          <w:szCs w:val="20"/>
          <w:lang w:val="en-GB"/>
        </w:rPr>
        <w:t xml:space="preserve">-sodium, have been associated with effects on aquatic plants and microbial communities when present at elevated levels </w:t>
      </w:r>
      <w:r w:rsidR="00ED3656" w:rsidRPr="004F4189">
        <w:rPr>
          <w:rFonts w:ascii="Arial" w:hAnsi="Arial" w:cs="Arial"/>
          <w:sz w:val="20"/>
          <w:szCs w:val="20"/>
          <w:lang w:val="en-GB"/>
        </w:rPr>
        <w:fldChar w:fldCharType="begin"/>
      </w:r>
      <w:r w:rsidR="000E707F" w:rsidRPr="004F4189">
        <w:rPr>
          <w:rFonts w:ascii="Arial" w:hAnsi="Arial" w:cs="Arial"/>
          <w:sz w:val="20"/>
          <w:szCs w:val="20"/>
          <w:lang w:val="en-GB"/>
        </w:rPr>
        <w:instrText xml:space="preserve"> ADDIN ZOTERO_ITEM CSL_CITATION {"citationID":"pfDem3y6","properties":{"formattedCitation":"(Pinheiro et al., 2023)","plainCitation":"(Pinheiro et al., 2023)","noteIndex":0},"citationItems":[{"id":2903,"uris":["http://zotero.org/users/5723659/items/GMIT896L"],"itemData":{"id":2903,"type":"article-journal","container-title":"Environmental Science and Pollution Research","DOI":"10.1007/s11356-023-30198-0","ISSN":"1614-7499","issue":"52","journalAbbreviation":"Environ Sci Pollut Res","language":"en","page":"111850-111870","source":"DOI.org (Crossref)","title":"Herbicides may threaten advances in biological control of diseases and pests","volume":"30","author":[{"family":"Pinheiro","given":"Rodrigo Almeida"},{"family":"Duque","given":"Tayna Sousa"},{"family":"Barroso","given":"Gabriela Madureira"},{"family":"Soares","given":"Marcus Alvarenga"},{"family":"Cabral","given":"Cassia Michelle"},{"family":"Zanuncio","given":"José Cola"},{"family":"Dos Santos","given":"José Barbosa"}],"issued":{"date-parts":[["2023"]]}}}],"schema":"https://github.com/citation-style-language/schema/raw/master/csl-citation.json"} </w:instrText>
      </w:r>
      <w:r w:rsidR="00ED3656" w:rsidRPr="004F4189">
        <w:rPr>
          <w:rFonts w:ascii="Arial" w:hAnsi="Arial" w:cs="Arial"/>
          <w:sz w:val="20"/>
          <w:szCs w:val="20"/>
          <w:lang w:val="en-GB"/>
        </w:rPr>
        <w:fldChar w:fldCharType="separate"/>
      </w:r>
      <w:r w:rsidR="000E707F" w:rsidRPr="004F4189">
        <w:rPr>
          <w:rFonts w:ascii="Arial" w:hAnsi="Arial" w:cs="Arial"/>
          <w:sz w:val="20"/>
          <w:lang w:val="en-GB"/>
        </w:rPr>
        <w:t>(Pinheiro et al., 2023)</w:t>
      </w:r>
      <w:r w:rsidR="00ED3656" w:rsidRPr="004F4189">
        <w:rPr>
          <w:rFonts w:ascii="Arial" w:hAnsi="Arial" w:cs="Arial"/>
          <w:sz w:val="20"/>
          <w:szCs w:val="20"/>
          <w:lang w:val="en-GB"/>
        </w:rPr>
        <w:fldChar w:fldCharType="end"/>
      </w:r>
      <w:r w:rsidRPr="004F4189">
        <w:rPr>
          <w:rFonts w:ascii="Arial" w:hAnsi="Arial" w:cs="Arial"/>
          <w:sz w:val="20"/>
          <w:szCs w:val="20"/>
          <w:lang w:val="en-GB"/>
        </w:rPr>
        <w:t>.</w:t>
      </w:r>
      <w:r w:rsidR="004F4189" w:rsidRPr="004F4189">
        <w:rPr>
          <w:rFonts w:ascii="Arial" w:hAnsi="Arial" w:cs="Arial"/>
          <w:sz w:val="20"/>
          <w:szCs w:val="20"/>
          <w:lang w:val="en-GB"/>
        </w:rPr>
        <w:t xml:space="preserve"> </w:t>
      </w:r>
      <w:r w:rsidRPr="004F4189">
        <w:rPr>
          <w:rFonts w:ascii="Arial" w:hAnsi="Arial" w:cs="Arial"/>
          <w:sz w:val="20"/>
          <w:szCs w:val="20"/>
          <w:lang w:val="en-GB"/>
        </w:rPr>
        <w:t xml:space="preserve">The very high concentrations of certain herbicides observed in this study (notably </w:t>
      </w:r>
      <w:proofErr w:type="spellStart"/>
      <w:r w:rsidRPr="004F4189">
        <w:rPr>
          <w:rFonts w:ascii="Arial" w:hAnsi="Arial" w:cs="Arial"/>
          <w:sz w:val="20"/>
          <w:szCs w:val="20"/>
          <w:lang w:val="en-GB"/>
        </w:rPr>
        <w:t>mesotrione</w:t>
      </w:r>
      <w:proofErr w:type="spellEnd"/>
      <w:r w:rsidRPr="004F4189">
        <w:rPr>
          <w:rFonts w:ascii="Arial" w:hAnsi="Arial" w:cs="Arial"/>
          <w:sz w:val="20"/>
          <w:szCs w:val="20"/>
          <w:lang w:val="en-GB"/>
        </w:rPr>
        <w:t xml:space="preserve">, </w:t>
      </w:r>
      <w:proofErr w:type="spellStart"/>
      <w:r w:rsidRPr="004F4189">
        <w:rPr>
          <w:rFonts w:ascii="Arial" w:hAnsi="Arial" w:cs="Arial"/>
          <w:sz w:val="20"/>
          <w:szCs w:val="20"/>
          <w:lang w:val="en-GB"/>
        </w:rPr>
        <w:t>nicosulfuron</w:t>
      </w:r>
      <w:proofErr w:type="spellEnd"/>
      <w:r w:rsidRPr="004F4189">
        <w:rPr>
          <w:rFonts w:ascii="Arial" w:hAnsi="Arial" w:cs="Arial"/>
          <w:sz w:val="20"/>
          <w:szCs w:val="20"/>
          <w:lang w:val="en-GB"/>
        </w:rPr>
        <w:t xml:space="preserve">, terbuthylazine and diuron) </w:t>
      </w:r>
      <w:r w:rsidRPr="004F4189">
        <w:rPr>
          <w:rFonts w:ascii="Arial" w:hAnsi="Arial" w:cs="Arial"/>
          <w:sz w:val="20"/>
          <w:szCs w:val="20"/>
          <w:lang w:val="en-GB"/>
        </w:rPr>
        <w:lastRenderedPageBreak/>
        <w:t>suggest a high probability of harmful effects on aquatic organisms, even when considering dilution and possible temporal fluctuations.</w:t>
      </w:r>
    </w:p>
    <w:p w14:paraId="6E15E018"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3.5 Dynamics of molecules and regulatory context</w:t>
      </w:r>
    </w:p>
    <w:p w14:paraId="17597980" w14:textId="37EFAB6B" w:rsidR="0073550A" w:rsidRPr="006F76B0" w:rsidRDefault="0073550A" w:rsidP="007118D3">
      <w:pPr>
        <w:spacing w:after="0" w:line="240" w:lineRule="auto"/>
        <w:jc w:val="both"/>
        <w:rPr>
          <w:rFonts w:ascii="Arial" w:hAnsi="Arial" w:cs="Arial"/>
          <w:sz w:val="20"/>
          <w:szCs w:val="20"/>
        </w:rPr>
      </w:pPr>
      <w:r w:rsidRPr="007118D3">
        <w:rPr>
          <w:rFonts w:ascii="Arial" w:hAnsi="Arial" w:cs="Arial"/>
          <w:sz w:val="20"/>
          <w:szCs w:val="20"/>
          <w:lang w:val="en-GB"/>
        </w:rPr>
        <w:t xml:space="preserve">The disappearance of some molecules between P1 and P2, such as atrazine and </w:t>
      </w:r>
      <w:proofErr w:type="spellStart"/>
      <w:r w:rsidRPr="007118D3">
        <w:rPr>
          <w:rFonts w:ascii="Arial" w:hAnsi="Arial" w:cs="Arial"/>
          <w:sz w:val="20"/>
          <w:szCs w:val="20"/>
          <w:lang w:val="en-GB"/>
        </w:rPr>
        <w:t>bensulfuron</w:t>
      </w:r>
      <w:proofErr w:type="spellEnd"/>
      <w:r w:rsidRPr="007118D3">
        <w:rPr>
          <w:rFonts w:ascii="Arial" w:hAnsi="Arial" w:cs="Arial"/>
          <w:sz w:val="20"/>
          <w:szCs w:val="20"/>
          <w:lang w:val="en-GB"/>
        </w:rPr>
        <w:t xml:space="preserve">-methyl, likely reflects relatively rapid degradation under local environmental conditions, influenced by temperature, sunlight and microbial activity </w:t>
      </w:r>
      <w:r w:rsidR="00ED3656" w:rsidRPr="007118D3">
        <w:rPr>
          <w:rFonts w:ascii="Arial" w:hAnsi="Arial" w:cs="Arial"/>
          <w:sz w:val="20"/>
          <w:szCs w:val="20"/>
          <w:lang w:val="en-GB"/>
        </w:rPr>
        <w:fldChar w:fldCharType="begin"/>
      </w:r>
      <w:r w:rsidR="000E707F" w:rsidRPr="007118D3">
        <w:rPr>
          <w:rFonts w:ascii="Arial" w:hAnsi="Arial" w:cs="Arial"/>
          <w:sz w:val="20"/>
          <w:szCs w:val="20"/>
          <w:lang w:val="en-GB"/>
        </w:rPr>
        <w:instrText xml:space="preserve"> ADDIN ZOTERO_ITEM CSL_CITATION {"citationID":"V6CxPWBi","properties":{"formattedCitation":"(Calvet, 2005; Lehmann et al., 2017)","plainCitation":"(Calvet, 2005; Lehmann et al., 2017)","noteIndex":0},"citationItems":[{"id":2953,"uris":["http://zotero.org/users/5723659/items/KDKGR97B"],"itemData":{"id":2953,"type":"book","edition":"France Agricole Editions","event-place":"Paris","ISBN":"2-85557-119-7","language":"Français","number-of-pages":"637","publisher-place":"Paris","title":"Les pesticides dans le sol: conséquences agronomiques et environnementales","author":[{"family":"Calvet","given":"Raoul"}],"issued":{"date-parts":[["2005"]]}}},{"id":2960,"uris":["http://zotero.org/users/5723659/items/ZTB8ELLW"],"itemData":{"id":2960,"type":"article-journal","container-title":"Science of The Total Environment","DOI":"10.1016/j.scitotenv.2017.05.285","ISSN":"00489697","journalAbbreviation":"Science of The Total Environment","language":"en","page":"1208-1216","source":"DOI.org (Crossref)","title":"Dietary risk assessment of pesticides from vegetables and drinking water in gardening areas in Burkina Faso","volume":"601-602","author":[{"family":"Lehmann","given":"Edouard"},{"family":"Turrero","given":"Nuria"},{"family":"Kolia","given":"Marius"},{"family":"Konaté","given":"Yacouba"},{"family":"De Alencastro","given":"Luiz Felippe"}],"issued":{"date-parts":[["2017"]]}}}],"schema":"https://github.com/citation-style-language/schema/raw/master/csl-citation.json"} </w:instrText>
      </w:r>
      <w:r w:rsidR="00ED3656" w:rsidRPr="007118D3">
        <w:rPr>
          <w:rFonts w:ascii="Arial" w:hAnsi="Arial" w:cs="Arial"/>
          <w:sz w:val="20"/>
          <w:szCs w:val="20"/>
          <w:lang w:val="en-GB"/>
        </w:rPr>
        <w:fldChar w:fldCharType="separate"/>
      </w:r>
      <w:r w:rsidR="000E707F" w:rsidRPr="007118D3">
        <w:rPr>
          <w:rFonts w:ascii="Arial" w:hAnsi="Arial" w:cs="Arial"/>
          <w:sz w:val="20"/>
          <w:lang w:val="en-GB"/>
        </w:rPr>
        <w:t>(Calvet, 2005; Lehmann et al., 2017)</w:t>
      </w:r>
      <w:r w:rsidR="00ED3656" w:rsidRPr="007118D3">
        <w:rPr>
          <w:rFonts w:ascii="Arial" w:hAnsi="Arial" w:cs="Arial"/>
          <w:sz w:val="20"/>
          <w:szCs w:val="20"/>
          <w:lang w:val="en-GB"/>
        </w:rPr>
        <w:fldChar w:fldCharType="end"/>
      </w:r>
      <w:r w:rsidRPr="007118D3">
        <w:rPr>
          <w:rFonts w:ascii="Arial" w:hAnsi="Arial" w:cs="Arial"/>
          <w:sz w:val="20"/>
          <w:szCs w:val="20"/>
          <w:lang w:val="en-GB"/>
        </w:rPr>
        <w:t>. In contrast, the appearance or increase of diuron during P2 in some sites may result from delayed applications, remobilisation from soils or sediments during later rainfall events, or changes in farmers’ herbicide use strategies.</w:t>
      </w:r>
      <w:r w:rsidR="004F4189" w:rsidRPr="007118D3">
        <w:rPr>
          <w:rFonts w:ascii="Arial" w:hAnsi="Arial" w:cs="Arial"/>
          <w:sz w:val="20"/>
          <w:szCs w:val="20"/>
          <w:lang w:val="en-GB"/>
        </w:rPr>
        <w:t xml:space="preserve"> </w:t>
      </w:r>
      <w:r w:rsidRPr="007118D3">
        <w:rPr>
          <w:rFonts w:ascii="Arial" w:hAnsi="Arial" w:cs="Arial"/>
          <w:sz w:val="20"/>
          <w:szCs w:val="20"/>
          <w:lang w:val="en-GB"/>
        </w:rPr>
        <w:t xml:space="preserve">The regulatory context also plays a role. Atrazine, for example, is now banned in the countries of the Permanent Inter-State Committee for Drought Control in the Sahel </w:t>
      </w:r>
      <w:r w:rsidR="00ED3656" w:rsidRPr="007118D3">
        <w:rPr>
          <w:rFonts w:ascii="Arial" w:hAnsi="Arial" w:cs="Arial"/>
          <w:sz w:val="20"/>
          <w:szCs w:val="20"/>
          <w:lang w:val="en-GB"/>
        </w:rPr>
        <w:fldChar w:fldCharType="begin"/>
      </w:r>
      <w:r w:rsidR="007118D3" w:rsidRPr="007118D3">
        <w:rPr>
          <w:rFonts w:ascii="Arial" w:hAnsi="Arial" w:cs="Arial"/>
          <w:sz w:val="20"/>
          <w:szCs w:val="20"/>
          <w:lang w:val="en-GB"/>
        </w:rPr>
        <w:instrText xml:space="preserve"> ADDIN ZOTERO_ITEM CSL_CITATION {"citationID":"o2ZEO4f6","properties":{"formattedCitation":"(CILSS, 2015)","plainCitation":"(CILSS, 2015)","noteIndex":0},"citationItems":[{"id":2941,"uris":["http://zotero.org/users/5723659/items/4BS8JA56"],"itemData":{"id":2941,"type":"document","title":"Décision n°009/MAE-MC/2015 portant interdiction de l’atrazine. Comité permanent Inter-États de Lutte contre la Sécheresse dans le Sahel (CILSS)","author":[{"family":"CILSS","given":""}],"issued":{"date-parts":[["2015"]]}}}],"schema":"https://github.com/citation-style-language/schema/raw/master/csl-citation.json"} </w:instrText>
      </w:r>
      <w:r w:rsidR="00ED3656" w:rsidRPr="007118D3">
        <w:rPr>
          <w:rFonts w:ascii="Arial" w:hAnsi="Arial" w:cs="Arial"/>
          <w:sz w:val="20"/>
          <w:szCs w:val="20"/>
          <w:lang w:val="en-GB"/>
        </w:rPr>
        <w:fldChar w:fldCharType="separate"/>
      </w:r>
      <w:r w:rsidR="007118D3" w:rsidRPr="007118D3">
        <w:rPr>
          <w:rFonts w:ascii="Arial" w:hAnsi="Arial" w:cs="Arial"/>
          <w:sz w:val="20"/>
          <w:lang w:val="en-GB"/>
        </w:rPr>
        <w:t>(CILSS, 2015)</w:t>
      </w:r>
      <w:r w:rsidR="00ED3656" w:rsidRPr="007118D3">
        <w:rPr>
          <w:rFonts w:ascii="Arial" w:hAnsi="Arial" w:cs="Arial"/>
          <w:sz w:val="20"/>
          <w:szCs w:val="20"/>
          <w:lang w:val="en-GB"/>
        </w:rPr>
        <w:fldChar w:fldCharType="end"/>
      </w:r>
      <w:r w:rsidRPr="007118D3">
        <w:rPr>
          <w:rFonts w:ascii="Arial" w:hAnsi="Arial" w:cs="Arial"/>
          <w:sz w:val="20"/>
          <w:szCs w:val="20"/>
          <w:lang w:val="en-GB"/>
        </w:rPr>
        <w:t>. Its limited detection in the present study is therefore consistent with its withdrawal from the market, even though historical contamination cannot be excluded.</w:t>
      </w:r>
      <w:r w:rsidR="003A0B98">
        <w:rPr>
          <w:rFonts w:ascii="Arial" w:hAnsi="Arial" w:cs="Arial"/>
          <w:sz w:val="20"/>
          <w:szCs w:val="20"/>
          <w:lang w:val="en-GB"/>
        </w:rPr>
        <w:t xml:space="preserve"> </w:t>
      </w:r>
      <w:r w:rsidRPr="007118D3">
        <w:rPr>
          <w:rFonts w:ascii="Arial" w:hAnsi="Arial" w:cs="Arial"/>
          <w:sz w:val="20"/>
          <w:szCs w:val="20"/>
          <w:lang w:val="en-GB"/>
        </w:rPr>
        <w:t xml:space="preserve">For metolachlor, which appeared only in P2, previous work has highlighted issues related to its environmental fate and toxicity, leading to restrictions or tighter conditions of use in several jurisdictions </w:t>
      </w:r>
      <w:r w:rsidR="00ED3656" w:rsidRPr="007118D3">
        <w:rPr>
          <w:rFonts w:ascii="Arial" w:hAnsi="Arial" w:cs="Arial"/>
          <w:sz w:val="20"/>
          <w:szCs w:val="20"/>
          <w:lang w:val="en-GB"/>
        </w:rPr>
        <w:fldChar w:fldCharType="begin"/>
      </w:r>
      <w:r w:rsidR="007118D3" w:rsidRPr="007118D3">
        <w:rPr>
          <w:rFonts w:ascii="Arial" w:hAnsi="Arial" w:cs="Arial"/>
          <w:sz w:val="20"/>
          <w:szCs w:val="20"/>
          <w:lang w:val="en-GB"/>
        </w:rPr>
        <w:instrText xml:space="preserve"> ADDIN ZOTERO_ITEM CSL_CITATION {"citationID":"vd5zUtM8","properties":{"formattedCitation":"(US-EPA, 2009; Zemolin et al., 2014)","plainCitation":"(US-EPA, 2009; Zemolin et al., 2014)","noteIndex":0},"citationItems":[{"id":2951,"uris":["http://zotero.org/users/5723659/items/YUS7AXAJ"],"itemData":{"id":2951,"type":"webpage","title":"Reregistration eligibility decision (RED) for S-metolachlor. United States Environmental Protection Agency (US-EPA)","URL":"https://www.epa.gov/sites/default/files/2016-09/documents/s-metolachlor_red.pdf","author":[{"family":"US-EPA","given":""}],"accessed":{"date-parts":[["2014",12,3]]},"issued":{"date-parts":[["2009"]]}}},{"id":2965,"uris":["http://zotero.org/users/5723659/items/DT9IATMD"],"itemData":{"id":2965,"type":"article-journal","abstract":"S-metolachlor is a preemergent herbicide used for the control of annual grasses and small-seeded broadleaf weeds in more than 70 agricultural crops worldwide. Recently, Smetolachlor has been used to control imidazolinone-resistant red rice in rice-soybean rotation in lowland environments of the Southern Brazil. However, limited information concerning the environmental fate of S-metolachlor in lowland soil is available in the literature. Thus, this review was designed to describe the major transport and dissipation processes of Smetolachlor in attempting to improve weed management programs used in rice-soybean rotation and mitigate environmental contamination of lowland areas.\n          , \n            S-metolachlor é um herbicida pré-emergente utilizado mundialmente para controle de plantas daninhas em mais de 70 culturas agrícolas. Nos últimos anos, esse herbicida vem sendo usado para controlar arroz-vermelho resistente às imidazolinonas em áreas de rotação soja-arroz irrigado, em terras baixas no Sul do Brasil. No entanto, existem poucas informações consistentes sobre a dinâmica ambiental de S-metolachlor em terras baixas. Nesse contexto, esta revisão teve por objetivo descrever os principais processos de transporte e dissipação de Smetolachlor, visando otimizar o manejo de plantas daninhas na rotação soja-arroz irrigado e mitigar a contaminação ambiental de terras baixas.","container-title":"Planta Daninha","DOI":"10.1590/S0100-83582014000300022","ISSN":"0100-8358","issue":"3","journalAbbreviation":"Planta daninha","page":"655-664","source":"DOI.org (Crossref)","title":"Environmental fate of S-Metolachlor: a review","title-short":"Environmental fate of S-Metolachlor","volume":"32","author":[{"family":"Zemolin","given":"C.R."},{"family":"Avila","given":"L.A."},{"family":"Cassol","given":"G.V."},{"family":"Massey","given":"J.H."},{"family":"Camargo","given":"E.R."}],"issued":{"date-parts":[["2014"]]}}}],"schema":"https://github.com/citation-style-language/schema/raw/master/csl-citation.json"} </w:instrText>
      </w:r>
      <w:r w:rsidR="00ED3656" w:rsidRPr="007118D3">
        <w:rPr>
          <w:rFonts w:ascii="Arial" w:hAnsi="Arial" w:cs="Arial"/>
          <w:sz w:val="20"/>
          <w:szCs w:val="20"/>
          <w:lang w:val="en-GB"/>
        </w:rPr>
        <w:fldChar w:fldCharType="separate"/>
      </w:r>
      <w:r w:rsidR="007118D3" w:rsidRPr="007118D3">
        <w:rPr>
          <w:rFonts w:ascii="Arial" w:hAnsi="Arial" w:cs="Arial"/>
          <w:sz w:val="20"/>
          <w:lang w:val="en-GB"/>
        </w:rPr>
        <w:t>(US-EPA, 2009; Zemolin et al., 2014)</w:t>
      </w:r>
      <w:r w:rsidR="00ED3656" w:rsidRPr="007118D3">
        <w:rPr>
          <w:rFonts w:ascii="Arial" w:hAnsi="Arial" w:cs="Arial"/>
          <w:sz w:val="20"/>
          <w:szCs w:val="20"/>
          <w:lang w:val="en-GB"/>
        </w:rPr>
        <w:fldChar w:fldCharType="end"/>
      </w:r>
      <w:r w:rsidRPr="007118D3">
        <w:rPr>
          <w:rFonts w:ascii="Arial" w:hAnsi="Arial" w:cs="Arial"/>
          <w:sz w:val="20"/>
          <w:szCs w:val="20"/>
          <w:lang w:val="en-GB"/>
        </w:rPr>
        <w:t>. In many cereal systems, metolachlor has been partially or totally replaced by other herbicides, which may explain its sporadic occurrence.</w:t>
      </w:r>
      <w:r w:rsidR="007118D3" w:rsidRPr="007118D3">
        <w:rPr>
          <w:rFonts w:ascii="Arial" w:hAnsi="Arial" w:cs="Arial"/>
          <w:sz w:val="20"/>
          <w:szCs w:val="20"/>
          <w:lang w:val="en-GB"/>
        </w:rPr>
        <w:t xml:space="preserve"> </w:t>
      </w:r>
      <w:r w:rsidRPr="007118D3">
        <w:rPr>
          <w:rFonts w:ascii="Arial" w:hAnsi="Arial" w:cs="Arial"/>
          <w:sz w:val="20"/>
          <w:szCs w:val="20"/>
          <w:lang w:val="en-GB"/>
        </w:rPr>
        <w:t xml:space="preserve">A major limitation of this study is the inability to quantify glyphosate and its metabolite AMPA, which are widely used in cereal production in Burkina Faso. This limitation is directly linked to the lack of suitable analytical methods in the local context for such polar and highly soluble compounds </w:t>
      </w:r>
      <w:r w:rsidR="00ED3656" w:rsidRPr="007118D3">
        <w:rPr>
          <w:rFonts w:ascii="Arial" w:hAnsi="Arial" w:cs="Arial"/>
          <w:sz w:val="20"/>
          <w:szCs w:val="20"/>
          <w:lang w:val="en-GB"/>
        </w:rPr>
        <w:fldChar w:fldCharType="begin"/>
      </w:r>
      <w:r w:rsidR="000E707F" w:rsidRPr="007118D3">
        <w:rPr>
          <w:rFonts w:ascii="Arial" w:hAnsi="Arial" w:cs="Arial"/>
          <w:sz w:val="20"/>
          <w:szCs w:val="20"/>
          <w:lang w:val="en-GB"/>
        </w:rPr>
        <w:instrText xml:space="preserve"> ADDIN ZOTERO_ITEM CSL_CITATION {"citationID":"AMgF7y3D","properties":{"formattedCitation":"(Kocadal et al., 2023)","plainCitation":"(Kocadal et al., 2023)","noteIndex":0},"citationItems":[{"id":2929,"uris":["http://zotero.org/users/5723659/items/W567DQTB"],"itemData":{"id":2929,"type":"article-journal","container-title":"Archives of Environmental Protection","DOI":"10.24425/aep.2022.142693","ISSN":"2083-4772, 2083-4810","language":"pl","source":"DOI.org (Crossref)","title":"A review on advances and perspectives of glyphosate determination: challenges and opportunities","title-short":"A review on advances and perspectives of glyphosate determination","URL":"https://journals.pan.pl/dlibra/publication/142693/edition/124079/content","author":[{"family":"Kocadal","given":"Kumsal"},{"family":"Alkas","given":"Fehmi Burak"},{"family":"Dilek","given":"Battal"},{"family":"Sahan","given":"Saygi"}],"accessed":{"date-parts":[["2025",9,22]]},"issued":{"date-parts":[["2023"]]}}}],"schema":"https://github.com/citation-style-language/schema/raw/master/csl-citation.json"} </w:instrText>
      </w:r>
      <w:r w:rsidR="00ED3656" w:rsidRPr="007118D3">
        <w:rPr>
          <w:rFonts w:ascii="Arial" w:hAnsi="Arial" w:cs="Arial"/>
          <w:sz w:val="20"/>
          <w:szCs w:val="20"/>
          <w:lang w:val="en-GB"/>
        </w:rPr>
        <w:fldChar w:fldCharType="separate"/>
      </w:r>
      <w:r w:rsidR="000E707F" w:rsidRPr="007118D3">
        <w:rPr>
          <w:rFonts w:ascii="Arial" w:hAnsi="Arial" w:cs="Arial"/>
          <w:sz w:val="20"/>
          <w:lang w:val="en-GB"/>
        </w:rPr>
        <w:t>(Kocadal et al., 2023)</w:t>
      </w:r>
      <w:r w:rsidR="00ED3656" w:rsidRPr="007118D3">
        <w:rPr>
          <w:rFonts w:ascii="Arial" w:hAnsi="Arial" w:cs="Arial"/>
          <w:sz w:val="20"/>
          <w:szCs w:val="20"/>
          <w:lang w:val="en-GB"/>
        </w:rPr>
        <w:fldChar w:fldCharType="end"/>
      </w:r>
      <w:r w:rsidRPr="007118D3">
        <w:rPr>
          <w:rFonts w:ascii="Arial" w:hAnsi="Arial" w:cs="Arial"/>
          <w:sz w:val="20"/>
          <w:szCs w:val="20"/>
          <w:lang w:val="en-GB"/>
        </w:rPr>
        <w:t>. Consequently, the contamination levels reported here for the thirteen target herbicides probably underestimate the overall pesticide burden in surface waters.</w:t>
      </w:r>
      <w:r w:rsidR="007118D3" w:rsidRPr="007118D3">
        <w:rPr>
          <w:rFonts w:ascii="Arial" w:hAnsi="Arial" w:cs="Arial"/>
          <w:sz w:val="20"/>
          <w:szCs w:val="20"/>
          <w:lang w:val="en-GB"/>
        </w:rPr>
        <w:t xml:space="preserve"> </w:t>
      </w:r>
      <w:r w:rsidRPr="007118D3">
        <w:rPr>
          <w:rFonts w:ascii="Arial" w:hAnsi="Arial" w:cs="Arial"/>
          <w:sz w:val="20"/>
          <w:szCs w:val="20"/>
          <w:lang w:val="en-GB"/>
        </w:rPr>
        <w:t xml:space="preserve">The patterns observed in western Burkina Faso are in line with those reported in other West African and European contexts, where the combination of intensive herbicide use, hydrological variability and limited treatment of surface waters leads to recurrent exceedances of environmental quality standards </w:t>
      </w:r>
      <w:r w:rsidR="00ED3656" w:rsidRPr="007118D3">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{"citationID":"OMTcnLY4","properties":{"formattedCitation":"(Dj\\uc0\\u233{}dj\\uc0\\u233{} et al., 2022; Lorenz et al., 2025; Schwientek et al., 2024)","plainCitation":"(Djédjé et al., 2022; Lorenz et al., 2025; Schwientek et al., 2024)","dontUpdate":true,"noteIndex":0},"citationItems":[{"id":2958,"uris":["http://zotero.org/users/5723659/items/6KVE99RW"],"itemData":{"id":2958,"type":"article-journal","abstract":"The objective of this study is to evaluate the impact of glyphosate and 2,4-D contamination in the water, sediments, organs (gills, liver and muscles) of Chrysichthys nigrodigitatus and the health of the population related to the consumption of this fish from the river at Guessabo. The analysis of the different samples was done using HPLC. The results showed that the annual concentrations of the active ingredients (glyphosate and 2,4-D) varied in the water from 1.26 to 1.65 µg L-1, and in the sediment from 0.06 to 0.23 mg.kg-1. The concentrations of these active ingredients in fish muscle ranged from 0.14 to 0.36 mg kg-1. The bioconcentration factors for fish organs range from 5994.1 to 14413.2 and the bioaccumulation factors range from 0.7 to 2.8. Then the highest hazard quotient (HQ) values related to fish contamination are ranked in the order of 0.044 for children and 0.018 for adults. In sum, consumers do not face major risks from 2,4-D and glyphosate when consuming Chrysichthys nigrodigitatus from the river at Guessabo. However, children under the age of eighteen do accumulate contaminants from the fish in this locality.","container-title":"World Journal of Advanced Research and Reviews","DOI":"10.30574/wjarr.2022.14.1.0298","ISSN":"25819615","issue":"1","journalAbbreviation":"World J. Adv. Res. Rev.","page":"212-222","source":"DOI.org (Crossref)","title":"Impact of Glyphosate and 2,4-D used in agriculture on the quality of Chrysichthys nigrodigitatus (Lacépède, 1803) from the Sassandra River in Guessabo (Côte D’ivoire)","volume":"14","author":[{"family":"Djédjé","given":"Gokou Jean Marie"},{"family":"Yapi","given":"Dopé Armel Cyrille"},{"family":"Tidou Epse Koné","given":"Abiba Sanogo"}],"issued":{"date-parts":[["2022"]]}}},{"id":2956,"uris":["http://zotero.org/users/5723659/items/ZZ2UNMPH"],"itemData":{"id":2956,"type":"article-journal","container-title":"Water Research","DOI":"10.1016/j.watres.2024.122140","ISSN":"00431354","journalAbbreviation":"Water Research","language":"en","page":"122140","source":"DOI.org (Crossref)","title":"Glyphosate contamination in European rivers not from herbicide application?","volume":"263","author":[{"family":"Schwientek","given":"M."},{"family":"Rügner","given":"H."},{"family":"Haderlein","given":"S.B."},{"family":"Schulz","given":"W."},{"family":"Wimmer","given":"B."},{"family":"Engelbart","given":"L."},{"family":"Bieger","given":"S."},{"family":"Huhn","given":"C."}],"issued":{"date-parts":[["2024"]]}}},{"id":2926,"uris":["http://zotero.org/users/5723659/items/C6PA75MH"],"itemData":{"id":2926,"type":"article-journal","container-title":"Science of The Total Environment","DOI":"10.1016/j.scitotenv.2025.179250","ISSN":"00489697","journalAbbreviation":"Science of The Total Environment","language":"en","page":"179250","source":"DOI.org (Crossref)","title":"Pesticide contamination of small standing water bodies in the agricultural landscape of northeast Germany","volume":"975","author":[{"family":"Lorenz","given":"Stefan"},{"family":"Trau","given":"Fee Nanett"},{"family":"Ruf","given":"Lena C."},{"family":"Meinikmann","given":"Karin"},{"family":"Fisch","given":"Kathrin"},{"family":"Stähler","given":"Matthias"},{"family":"Schenke","given":"Detlef"},{"family":"Blevins","given":"Holly Lyon"},{"family":"Heinz","given":"Marlen"}],"issued":{"date-parts":[["2025"]]}}}],"schema":"https://github.com/citation-style-language/schema/raw/master/csl-citation.json"} </w:instrText>
      </w:r>
      <w:r w:rsidR="00ED3656" w:rsidRPr="007118D3">
        <w:rPr>
          <w:rFonts w:ascii="Arial" w:hAnsi="Arial" w:cs="Arial"/>
          <w:sz w:val="20"/>
          <w:szCs w:val="20"/>
          <w:lang w:val="en-GB"/>
        </w:rPr>
        <w:fldChar w:fldCharType="separate"/>
      </w:r>
      <w:r w:rsidR="000E707F" w:rsidRPr="006F76B0">
        <w:rPr>
          <w:rFonts w:ascii="Arial" w:hAnsi="Arial" w:cs="Arial"/>
          <w:sz w:val="20"/>
        </w:rPr>
        <w:t xml:space="preserve">(Djédjé et al., 2022; </w:t>
      </w:r>
      <w:r w:rsidR="006F76B0" w:rsidRPr="006F76B0">
        <w:rPr>
          <w:rFonts w:ascii="Arial" w:hAnsi="Arial" w:cs="Arial"/>
          <w:sz w:val="20"/>
        </w:rPr>
        <w:t>Schwientek et al., 2024</w:t>
      </w:r>
      <w:r w:rsidR="006F76B0">
        <w:rPr>
          <w:rFonts w:ascii="Arial" w:hAnsi="Arial" w:cs="Arial"/>
          <w:sz w:val="20"/>
        </w:rPr>
        <w:t xml:space="preserve">; </w:t>
      </w:r>
      <w:r w:rsidR="000E707F" w:rsidRPr="006F76B0">
        <w:rPr>
          <w:rFonts w:ascii="Arial" w:hAnsi="Arial" w:cs="Arial"/>
          <w:sz w:val="20"/>
        </w:rPr>
        <w:t>Lorenz et al., 2025)</w:t>
      </w:r>
      <w:r w:rsidR="00ED3656" w:rsidRPr="007118D3">
        <w:rPr>
          <w:rFonts w:ascii="Arial" w:hAnsi="Arial" w:cs="Arial"/>
          <w:sz w:val="20"/>
          <w:szCs w:val="20"/>
          <w:lang w:val="en-GB"/>
        </w:rPr>
        <w:fldChar w:fldCharType="end"/>
      </w:r>
      <w:r w:rsidRPr="006F76B0">
        <w:rPr>
          <w:rFonts w:ascii="Arial" w:hAnsi="Arial" w:cs="Arial"/>
          <w:sz w:val="20"/>
          <w:szCs w:val="20"/>
        </w:rPr>
        <w:t>.</w:t>
      </w:r>
    </w:p>
    <w:bookmarkEnd w:id="1"/>
    <w:p w14:paraId="7D2D8807" w14:textId="066ED378" w:rsidR="00C614E5" w:rsidRPr="006F76B0" w:rsidRDefault="00C614E5" w:rsidP="009C2C56">
      <w:pPr>
        <w:spacing w:before="120" w:after="120" w:line="240" w:lineRule="auto"/>
        <w:rPr>
          <w:rFonts w:ascii="Arial" w:hAnsi="Arial" w:cs="Arial"/>
          <w:b/>
          <w:bCs/>
        </w:rPr>
      </w:pPr>
      <w:r w:rsidRPr="006F76B0">
        <w:rPr>
          <w:rFonts w:ascii="Arial" w:hAnsi="Arial" w:cs="Arial"/>
          <w:b/>
          <w:bCs/>
        </w:rPr>
        <w:t>CONCLUSION</w:t>
      </w:r>
    </w:p>
    <w:p w14:paraId="606E76C6" w14:textId="4FF6A1F7" w:rsidR="00C614E5" w:rsidRPr="007118D3" w:rsidRDefault="00C614E5" w:rsidP="007118D3">
      <w:pPr>
        <w:spacing w:after="0" w:line="240" w:lineRule="auto"/>
        <w:jc w:val="both"/>
        <w:rPr>
          <w:rFonts w:ascii="Arial" w:hAnsi="Arial" w:cs="Arial"/>
          <w:sz w:val="20"/>
          <w:szCs w:val="20"/>
          <w:lang w:val="en-GB"/>
        </w:rPr>
      </w:pPr>
      <w:r w:rsidRPr="007118D3">
        <w:rPr>
          <w:rFonts w:ascii="Arial" w:hAnsi="Arial" w:cs="Arial"/>
          <w:sz w:val="20"/>
          <w:szCs w:val="20"/>
          <w:lang w:val="en-GB"/>
        </w:rPr>
        <w:t xml:space="preserve">This study, conducted in twelve localities of western Burkina Faso, reveals generalised and alarming contamination of surface waters by herbicides in cereal-growing areas. Among the thirteen targeted molecules, several were detected at very high concentrations, with maximum values reaching 1531.68 µg/L for </w:t>
      </w:r>
      <w:proofErr w:type="spellStart"/>
      <w:r w:rsidRPr="007118D3">
        <w:rPr>
          <w:rFonts w:ascii="Arial" w:hAnsi="Arial" w:cs="Arial"/>
          <w:sz w:val="20"/>
          <w:szCs w:val="20"/>
          <w:lang w:val="en-GB"/>
        </w:rPr>
        <w:t>mesotrione</w:t>
      </w:r>
      <w:proofErr w:type="spellEnd"/>
      <w:r w:rsidRPr="007118D3">
        <w:rPr>
          <w:rFonts w:ascii="Arial" w:hAnsi="Arial" w:cs="Arial"/>
          <w:sz w:val="20"/>
          <w:szCs w:val="20"/>
          <w:lang w:val="en-GB"/>
        </w:rPr>
        <w:t xml:space="preserve"> and 1484.90 µg/L for </w:t>
      </w:r>
      <w:proofErr w:type="spellStart"/>
      <w:r w:rsidRPr="007118D3">
        <w:rPr>
          <w:rFonts w:ascii="Arial" w:hAnsi="Arial" w:cs="Arial"/>
          <w:sz w:val="20"/>
          <w:szCs w:val="20"/>
          <w:lang w:val="en-GB"/>
        </w:rPr>
        <w:t>nicosulfuron</w:t>
      </w:r>
      <w:proofErr w:type="spellEnd"/>
      <w:r w:rsidRPr="007118D3">
        <w:rPr>
          <w:rFonts w:ascii="Arial" w:hAnsi="Arial" w:cs="Arial"/>
          <w:sz w:val="20"/>
          <w:szCs w:val="20"/>
          <w:lang w:val="en-GB"/>
        </w:rPr>
        <w:t>, far above international guideline values for drinking water.</w:t>
      </w:r>
      <w:r w:rsidR="007118D3">
        <w:rPr>
          <w:rFonts w:ascii="Arial" w:hAnsi="Arial" w:cs="Arial"/>
          <w:sz w:val="20"/>
          <w:szCs w:val="20"/>
          <w:lang w:val="en-GB"/>
        </w:rPr>
        <w:t xml:space="preserve"> </w:t>
      </w:r>
      <w:r w:rsidRPr="007118D3">
        <w:rPr>
          <w:rFonts w:ascii="Arial" w:hAnsi="Arial" w:cs="Arial"/>
          <w:sz w:val="20"/>
          <w:szCs w:val="20"/>
          <w:lang w:val="en-GB"/>
        </w:rPr>
        <w:t>The considerable spatial and temporal variability observed between localities and between the two sampling phases reflects the differentiated persistence of the molecules, the influence of agricultural practices (application dates, doses, combinations) and the role of hydrological conditions in controlling transfers to surface waters.</w:t>
      </w:r>
      <w:r w:rsidR="007118D3">
        <w:rPr>
          <w:rFonts w:ascii="Arial" w:hAnsi="Arial" w:cs="Arial"/>
          <w:sz w:val="20"/>
          <w:szCs w:val="20"/>
          <w:lang w:val="en-GB"/>
        </w:rPr>
        <w:t xml:space="preserve"> </w:t>
      </w:r>
      <w:r w:rsidRPr="007118D3">
        <w:rPr>
          <w:rFonts w:ascii="Arial" w:hAnsi="Arial" w:cs="Arial"/>
          <w:sz w:val="20"/>
          <w:szCs w:val="20"/>
          <w:lang w:val="en-GB"/>
        </w:rPr>
        <w:t>Given the frequent use of untreated surface waters in rural areas for domestic, agricultural and livestock purposes, these contamination levels represent a major environmental and potential health issue.</w:t>
      </w:r>
    </w:p>
    <w:p w14:paraId="08CF7980" w14:textId="77777777" w:rsidR="00C614E5" w:rsidRPr="007118D3" w:rsidRDefault="00C614E5" w:rsidP="007118D3">
      <w:pPr>
        <w:spacing w:after="0" w:line="240" w:lineRule="auto"/>
        <w:jc w:val="both"/>
        <w:rPr>
          <w:rFonts w:ascii="Arial" w:hAnsi="Arial" w:cs="Arial"/>
          <w:sz w:val="20"/>
          <w:szCs w:val="20"/>
          <w:lang w:val="en-GB"/>
        </w:rPr>
      </w:pPr>
      <w:r w:rsidRPr="007118D3">
        <w:rPr>
          <w:rFonts w:ascii="Arial" w:hAnsi="Arial" w:cs="Arial"/>
          <w:sz w:val="20"/>
          <w:szCs w:val="20"/>
          <w:lang w:val="en-GB"/>
        </w:rPr>
        <w:t>The results underline the urgent need to:</w:t>
      </w:r>
    </w:p>
    <w:p w14:paraId="1A74E8BD" w14:textId="1560E45F" w:rsidR="00C614E5" w:rsidRPr="007118D3" w:rsidRDefault="00C614E5" w:rsidP="007118D3">
      <w:pPr>
        <w:numPr>
          <w:ilvl w:val="0"/>
          <w:numId w:val="24"/>
        </w:numPr>
        <w:spacing w:after="0" w:line="240" w:lineRule="auto"/>
        <w:jc w:val="both"/>
        <w:rPr>
          <w:rFonts w:ascii="Arial" w:hAnsi="Arial" w:cs="Arial"/>
          <w:sz w:val="20"/>
          <w:szCs w:val="20"/>
          <w:lang w:val="en-GB"/>
        </w:rPr>
      </w:pPr>
      <w:r w:rsidRPr="007118D3">
        <w:rPr>
          <w:rFonts w:ascii="Arial" w:hAnsi="Arial" w:cs="Arial"/>
          <w:sz w:val="20"/>
          <w:szCs w:val="20"/>
          <w:lang w:val="en-GB"/>
        </w:rPr>
        <w:t>strengthen monitoring of pesticide residues in water resources</w:t>
      </w:r>
      <w:r w:rsidR="007118D3">
        <w:rPr>
          <w:rFonts w:ascii="Arial" w:hAnsi="Arial" w:cs="Arial"/>
          <w:sz w:val="20"/>
          <w:szCs w:val="20"/>
          <w:lang w:val="en-GB"/>
        </w:rPr>
        <w:t>;</w:t>
      </w:r>
    </w:p>
    <w:p w14:paraId="121147D8" w14:textId="6253B1B4" w:rsidR="00C614E5" w:rsidRPr="007118D3" w:rsidRDefault="00C614E5" w:rsidP="007118D3">
      <w:pPr>
        <w:numPr>
          <w:ilvl w:val="0"/>
          <w:numId w:val="24"/>
        </w:numPr>
        <w:spacing w:after="0" w:line="240" w:lineRule="auto"/>
        <w:jc w:val="both"/>
        <w:rPr>
          <w:rFonts w:ascii="Arial" w:hAnsi="Arial" w:cs="Arial"/>
          <w:sz w:val="20"/>
          <w:szCs w:val="20"/>
          <w:lang w:val="en-GB"/>
        </w:rPr>
      </w:pPr>
      <w:r w:rsidRPr="007118D3">
        <w:rPr>
          <w:rFonts w:ascii="Arial" w:hAnsi="Arial" w:cs="Arial"/>
          <w:sz w:val="20"/>
          <w:szCs w:val="20"/>
          <w:lang w:val="en-GB"/>
        </w:rPr>
        <w:t>promote integrated pesticide management, including the rational use of herbicides, adoption of good agricultural practices and alternative weed management strategies</w:t>
      </w:r>
      <w:r w:rsidR="007118D3">
        <w:rPr>
          <w:rFonts w:ascii="Arial" w:hAnsi="Arial" w:cs="Arial"/>
          <w:sz w:val="20"/>
          <w:szCs w:val="20"/>
          <w:lang w:val="en-GB"/>
        </w:rPr>
        <w:t>;</w:t>
      </w:r>
    </w:p>
    <w:p w14:paraId="3BFDF140" w14:textId="3FD5324A" w:rsidR="00C614E5" w:rsidRPr="007118D3" w:rsidRDefault="00C614E5" w:rsidP="007118D3">
      <w:pPr>
        <w:numPr>
          <w:ilvl w:val="0"/>
          <w:numId w:val="24"/>
        </w:numPr>
        <w:spacing w:after="0" w:line="240" w:lineRule="auto"/>
        <w:jc w:val="both"/>
        <w:rPr>
          <w:rFonts w:ascii="Arial" w:hAnsi="Arial" w:cs="Arial"/>
          <w:sz w:val="20"/>
          <w:szCs w:val="20"/>
          <w:lang w:val="en-GB"/>
        </w:rPr>
      </w:pPr>
      <w:r w:rsidRPr="007118D3">
        <w:rPr>
          <w:rFonts w:ascii="Arial" w:hAnsi="Arial" w:cs="Arial"/>
          <w:sz w:val="20"/>
          <w:szCs w:val="20"/>
          <w:lang w:val="en-GB"/>
        </w:rPr>
        <w:t>reinforce regulatory control over the marketing and use of herbicides, and</w:t>
      </w:r>
      <w:r w:rsidR="007118D3">
        <w:rPr>
          <w:rFonts w:ascii="Arial" w:hAnsi="Arial" w:cs="Arial"/>
          <w:sz w:val="20"/>
          <w:szCs w:val="20"/>
          <w:lang w:val="en-GB"/>
        </w:rPr>
        <w:t>;</w:t>
      </w:r>
    </w:p>
    <w:p w14:paraId="181CFE8B" w14:textId="77777777" w:rsidR="00C614E5" w:rsidRPr="007118D3" w:rsidRDefault="00C614E5" w:rsidP="007118D3">
      <w:pPr>
        <w:numPr>
          <w:ilvl w:val="0"/>
          <w:numId w:val="24"/>
        </w:numPr>
        <w:spacing w:after="0" w:line="240" w:lineRule="auto"/>
        <w:jc w:val="both"/>
        <w:rPr>
          <w:rFonts w:ascii="Arial" w:hAnsi="Arial" w:cs="Arial"/>
          <w:sz w:val="20"/>
          <w:szCs w:val="20"/>
          <w:lang w:val="en-GB"/>
        </w:rPr>
      </w:pPr>
      <w:r w:rsidRPr="007118D3">
        <w:rPr>
          <w:rFonts w:ascii="Arial" w:hAnsi="Arial" w:cs="Arial"/>
          <w:sz w:val="20"/>
          <w:szCs w:val="20"/>
          <w:lang w:val="en-GB"/>
        </w:rPr>
        <w:t>implement awareness-raising programmes for farmers and rural communities about the risks associated with intensive and sometimes inappropriate herbicide use.</w:t>
      </w:r>
    </w:p>
    <w:p w14:paraId="2B5DC941" w14:textId="77777777" w:rsidR="00C614E5" w:rsidRPr="007118D3" w:rsidRDefault="00C614E5" w:rsidP="007118D3">
      <w:pPr>
        <w:spacing w:after="0" w:line="240" w:lineRule="auto"/>
        <w:jc w:val="both"/>
        <w:rPr>
          <w:rFonts w:ascii="Arial" w:hAnsi="Arial" w:cs="Arial"/>
          <w:sz w:val="20"/>
          <w:szCs w:val="20"/>
          <w:lang w:val="en-GB"/>
        </w:rPr>
      </w:pPr>
      <w:r w:rsidRPr="007118D3">
        <w:rPr>
          <w:rFonts w:ascii="Arial" w:hAnsi="Arial" w:cs="Arial"/>
          <w:sz w:val="20"/>
          <w:szCs w:val="20"/>
          <w:lang w:val="en-GB"/>
        </w:rPr>
        <w:t>Such measures are essential to protect aquatic ecosystems, preserve water resources and contribute to more sustainable cereal production systems in western Burkina Faso.</w:t>
      </w:r>
    </w:p>
    <w:p w14:paraId="301E5D37" w14:textId="77777777" w:rsidR="00D54BE1" w:rsidRDefault="00D54BE1" w:rsidP="007001FA">
      <w:pPr>
        <w:spacing w:before="120" w:after="120" w:line="240" w:lineRule="auto"/>
        <w:rPr>
          <w:rFonts w:ascii="Arial" w:hAnsi="Arial" w:cs="Arial"/>
          <w:b/>
          <w:bCs/>
          <w:lang w:val="en-GB"/>
        </w:rPr>
      </w:pPr>
    </w:p>
    <w:p w14:paraId="0481F502" w14:textId="55E0E783" w:rsidR="007001FA" w:rsidRPr="007001FA" w:rsidRDefault="007001FA" w:rsidP="007001FA">
      <w:pPr>
        <w:spacing w:before="120" w:after="120" w:line="240" w:lineRule="auto"/>
        <w:rPr>
          <w:rFonts w:ascii="Arial" w:hAnsi="Arial" w:cs="Arial"/>
          <w:b/>
          <w:bCs/>
          <w:lang w:val="en-GB"/>
        </w:rPr>
      </w:pPr>
      <w:bookmarkStart w:id="2" w:name="_GoBack"/>
      <w:bookmarkEnd w:id="2"/>
      <w:r w:rsidRPr="00EF743B">
        <w:rPr>
          <w:rFonts w:ascii="Arial" w:hAnsi="Arial" w:cs="Arial"/>
          <w:b/>
          <w:bCs/>
          <w:lang w:val="en-GB"/>
        </w:rPr>
        <w:t>DISCLAIMER (ARTIFICIAL INTELLIGENCE)</w:t>
      </w:r>
      <w:r w:rsidRPr="007001FA">
        <w:rPr>
          <w:rFonts w:ascii="Arial" w:hAnsi="Arial" w:cs="Arial"/>
          <w:b/>
          <w:bCs/>
          <w:lang w:val="en-GB"/>
        </w:rPr>
        <w:t xml:space="preserve"> </w:t>
      </w:r>
    </w:p>
    <w:p w14:paraId="02A85B31" w14:textId="2D46F69A" w:rsidR="007001FA" w:rsidRPr="007A1D5A" w:rsidRDefault="007001FA" w:rsidP="007001FA">
      <w:pPr>
        <w:spacing w:before="120" w:after="120" w:line="240" w:lineRule="auto"/>
        <w:jc w:val="both"/>
        <w:rPr>
          <w:rFonts w:ascii="Arial" w:hAnsi="Arial" w:cs="Arial"/>
          <w:sz w:val="20"/>
          <w:szCs w:val="20"/>
          <w:lang w:val="en-GB"/>
        </w:rPr>
      </w:pPr>
      <w:r w:rsidRPr="007001FA">
        <w:rPr>
          <w:rFonts w:ascii="Arial" w:hAnsi="Arial" w:cs="Arial"/>
          <w:sz w:val="20"/>
          <w:szCs w:val="20"/>
          <w:lang w:val="en-GB"/>
        </w:rPr>
        <w:t>Authors hereby declare that NO generative AI technologies such as Large Language Models (ChatGPT, COPILOT, etc) and text-to-image generators have been used during writing or editing of this manuscript.</w:t>
      </w:r>
    </w:p>
    <w:p w14:paraId="389F648B" w14:textId="77777777" w:rsidR="00D54BE1" w:rsidRDefault="00D54BE1" w:rsidP="00955557">
      <w:pPr>
        <w:spacing w:before="120" w:after="120" w:line="240" w:lineRule="auto"/>
        <w:rPr>
          <w:rFonts w:ascii="Arial" w:hAnsi="Arial" w:cs="Arial"/>
          <w:b/>
          <w:bCs/>
          <w:lang w:val="en-GB"/>
        </w:rPr>
      </w:pPr>
    </w:p>
    <w:p w14:paraId="5434834D" w14:textId="5F64C9D2" w:rsidR="00C614E5" w:rsidRPr="00955557" w:rsidRDefault="00C614E5" w:rsidP="00955557">
      <w:pPr>
        <w:spacing w:before="120" w:after="120" w:line="240" w:lineRule="auto"/>
        <w:rPr>
          <w:rFonts w:ascii="Arial" w:hAnsi="Arial" w:cs="Arial"/>
          <w:b/>
          <w:bCs/>
          <w:lang w:val="en-GB"/>
        </w:rPr>
      </w:pPr>
      <w:r w:rsidRPr="00955557">
        <w:rPr>
          <w:rFonts w:ascii="Arial" w:hAnsi="Arial" w:cs="Arial"/>
          <w:b/>
          <w:bCs/>
          <w:lang w:val="en-GB"/>
        </w:rPr>
        <w:t>ETHICAL APPROVAL</w:t>
      </w:r>
    </w:p>
    <w:p w14:paraId="29941CAD" w14:textId="2C529195" w:rsidR="00934F79" w:rsidRDefault="00934F79" w:rsidP="00C614E5">
      <w:pPr>
        <w:spacing w:before="120" w:after="120" w:line="240" w:lineRule="auto"/>
        <w:jc w:val="both"/>
        <w:rPr>
          <w:rFonts w:ascii="Arial" w:hAnsi="Arial" w:cs="Arial"/>
          <w:sz w:val="20"/>
          <w:szCs w:val="20"/>
          <w:lang w:val="en-GB"/>
        </w:rPr>
      </w:pPr>
      <w:r w:rsidRPr="00934F79">
        <w:rPr>
          <w:rFonts w:ascii="Arial" w:hAnsi="Arial" w:cs="Arial"/>
          <w:sz w:val="20"/>
          <w:szCs w:val="20"/>
          <w:lang w:val="en-GB"/>
        </w:rPr>
        <w:t xml:space="preserve">The study protocol was reviewed and received a favourable opinion from the Institutional Ethics Committee for Health Sciences Research (CEIRES), Burkina Faso (Ref: A16-2020/CEIRES; registration No. 19-2020/CEIRES; Bobo-Dioulasso, 11 June 2020). The study involved only environmental sampling </w:t>
      </w:r>
      <w:r w:rsidRPr="00934F79">
        <w:rPr>
          <w:rFonts w:ascii="Arial" w:hAnsi="Arial" w:cs="Arial"/>
          <w:sz w:val="20"/>
          <w:szCs w:val="20"/>
          <w:lang w:val="en-GB"/>
        </w:rPr>
        <w:lastRenderedPageBreak/>
        <w:t>of surface waters and did not include human participants, animals, or the collection of identifiable personal data; therefore, informed consent was not applicable.</w:t>
      </w:r>
    </w:p>
    <w:p w14:paraId="0D318685" w14:textId="77777777" w:rsidR="00514E95" w:rsidRDefault="00514E95" w:rsidP="00C614E5">
      <w:pPr>
        <w:spacing w:before="120" w:after="120" w:line="240" w:lineRule="auto"/>
        <w:jc w:val="both"/>
        <w:rPr>
          <w:rFonts w:ascii="Arial" w:hAnsi="Arial" w:cs="Arial"/>
          <w:sz w:val="20"/>
          <w:szCs w:val="20"/>
          <w:lang w:val="en-GB"/>
        </w:rPr>
      </w:pPr>
    </w:p>
    <w:p w14:paraId="001A656E" w14:textId="77777777" w:rsidR="00514E95" w:rsidRPr="00514E95" w:rsidRDefault="00514E95" w:rsidP="00514E95">
      <w:pPr>
        <w:spacing w:before="120" w:after="120" w:line="240" w:lineRule="auto"/>
        <w:jc w:val="both"/>
        <w:rPr>
          <w:rFonts w:ascii="Arial" w:hAnsi="Arial" w:cs="Arial"/>
          <w:sz w:val="20"/>
          <w:szCs w:val="20"/>
          <w:lang w:val="en-GB"/>
        </w:rPr>
      </w:pPr>
      <w:r w:rsidRPr="00514E95">
        <w:rPr>
          <w:rFonts w:ascii="Arial" w:hAnsi="Arial" w:cs="Arial"/>
          <w:sz w:val="20"/>
          <w:szCs w:val="20"/>
          <w:lang w:val="en-GB"/>
        </w:rPr>
        <w:t>COMPETING INTERESTS DISCLAIMER:</w:t>
      </w:r>
    </w:p>
    <w:p w14:paraId="478F9B53" w14:textId="0FB1E370" w:rsidR="00514E95" w:rsidRDefault="00514E95" w:rsidP="00514E95">
      <w:pPr>
        <w:spacing w:before="120" w:after="120" w:line="240" w:lineRule="auto"/>
        <w:jc w:val="both"/>
        <w:rPr>
          <w:rFonts w:ascii="Arial" w:hAnsi="Arial" w:cs="Arial"/>
          <w:sz w:val="20"/>
          <w:szCs w:val="20"/>
          <w:lang w:val="en-GB"/>
        </w:rPr>
      </w:pPr>
      <w:r w:rsidRPr="00514E95">
        <w:rPr>
          <w:rFonts w:ascii="Arial" w:hAnsi="Arial" w:cs="Arial"/>
          <w:sz w:val="20"/>
          <w:szCs w:val="20"/>
          <w:lang w:val="en-GB"/>
        </w:rPr>
        <w:t>Authors have declared that they have no known competing financial interests OR non-financial interests OR personal relationships that could have appeared to influence the work reported in this paper.</w:t>
      </w:r>
    </w:p>
    <w:p w14:paraId="1FD0660B" w14:textId="77777777" w:rsidR="00514E95" w:rsidRDefault="00514E95" w:rsidP="00C614E5">
      <w:pPr>
        <w:spacing w:before="120" w:after="120" w:line="240" w:lineRule="auto"/>
        <w:jc w:val="both"/>
        <w:rPr>
          <w:rFonts w:ascii="Arial" w:hAnsi="Arial" w:cs="Arial"/>
          <w:sz w:val="20"/>
          <w:szCs w:val="20"/>
          <w:lang w:val="en-GB"/>
        </w:rPr>
      </w:pPr>
    </w:p>
    <w:p w14:paraId="64519D7A" w14:textId="77777777" w:rsidR="00514E95" w:rsidRDefault="00514E95" w:rsidP="00C614E5">
      <w:pPr>
        <w:spacing w:before="120" w:after="120" w:line="240" w:lineRule="auto"/>
        <w:jc w:val="both"/>
        <w:rPr>
          <w:rFonts w:ascii="Arial" w:hAnsi="Arial" w:cs="Arial"/>
          <w:sz w:val="20"/>
          <w:szCs w:val="20"/>
          <w:lang w:val="en-GB"/>
        </w:rPr>
      </w:pPr>
    </w:p>
    <w:p w14:paraId="7CC539E1" w14:textId="77777777" w:rsidR="00C614E5" w:rsidRPr="00955557" w:rsidRDefault="00C614E5" w:rsidP="00955557">
      <w:pPr>
        <w:spacing w:before="120" w:after="120" w:line="240" w:lineRule="auto"/>
        <w:rPr>
          <w:rFonts w:ascii="Arial" w:hAnsi="Arial" w:cs="Arial"/>
          <w:b/>
          <w:bCs/>
          <w:lang w:val="en-GB"/>
        </w:rPr>
      </w:pPr>
      <w:r w:rsidRPr="00955557">
        <w:rPr>
          <w:rFonts w:ascii="Arial" w:hAnsi="Arial" w:cs="Arial"/>
          <w:b/>
          <w:bCs/>
          <w:lang w:val="en-GB"/>
        </w:rPr>
        <w:t>REFERENCES</w:t>
      </w:r>
    </w:p>
    <w:p w14:paraId="36B6A2CB" w14:textId="77777777" w:rsidR="004A43B1" w:rsidRPr="004A43B1" w:rsidRDefault="00EF30E4" w:rsidP="004A43B1">
      <w:pPr>
        <w:pStyle w:val="Bibliography"/>
        <w:spacing w:line="240" w:lineRule="auto"/>
        <w:jc w:val="both"/>
        <w:rPr>
          <w:rFonts w:ascii="Arial" w:hAnsi="Arial" w:cs="Arial"/>
          <w:sz w:val="20"/>
          <w:lang w:val="en-GB"/>
        </w:rPr>
      </w:pPr>
      <w:r w:rsidRPr="00EF30E4">
        <w:rPr>
          <w:rFonts w:ascii="Arial" w:hAnsi="Arial" w:cs="Arial"/>
          <w:sz w:val="20"/>
          <w:szCs w:val="20"/>
        </w:rPr>
        <w:fldChar w:fldCharType="begin"/>
      </w:r>
      <w:r w:rsidR="004A43B1" w:rsidRPr="004A43B1">
        <w:rPr>
          <w:rFonts w:ascii="Arial" w:hAnsi="Arial" w:cs="Arial"/>
          <w:sz w:val="20"/>
          <w:szCs w:val="20"/>
          <w:lang w:val="en-GB"/>
        </w:rPr>
        <w:instrText xml:space="preserve"> ADDIN ZOTERO_BIBL {"uncited":[],"omitted":[],"custom":[]} CSL_BIBLIOGRAPHY </w:instrText>
      </w:r>
      <w:r w:rsidRPr="00EF30E4">
        <w:rPr>
          <w:rFonts w:ascii="Arial" w:hAnsi="Arial" w:cs="Arial"/>
          <w:sz w:val="20"/>
          <w:szCs w:val="20"/>
        </w:rPr>
        <w:fldChar w:fldCharType="separate"/>
      </w:r>
      <w:r w:rsidR="004A43B1" w:rsidRPr="004A43B1">
        <w:rPr>
          <w:rFonts w:ascii="Arial" w:hAnsi="Arial" w:cs="Arial"/>
          <w:sz w:val="20"/>
          <w:lang w:val="en-GB"/>
        </w:rPr>
        <w:t xml:space="preserve">Anastassiades, M., Lehotay, S. J., Štajnbaher, D., &amp; Schenck, F. J. (2003). Fast and Easy Multiresidue Method Employing Acetonitrile Extraction/Partitioning and “Dispersive Solid-Phase Extraction” for the Determination of Pesticide Residues in Produce. </w:t>
      </w:r>
      <w:r w:rsidR="004A43B1" w:rsidRPr="004A43B1">
        <w:rPr>
          <w:rFonts w:ascii="Arial" w:hAnsi="Arial" w:cs="Arial"/>
          <w:i/>
          <w:iCs/>
          <w:sz w:val="20"/>
          <w:lang w:val="en-GB"/>
        </w:rPr>
        <w:t>Journal of AOAC International</w:t>
      </w:r>
      <w:r w:rsidR="004A43B1" w:rsidRPr="004A43B1">
        <w:rPr>
          <w:rFonts w:ascii="Arial" w:hAnsi="Arial" w:cs="Arial"/>
          <w:sz w:val="20"/>
          <w:lang w:val="en-GB"/>
        </w:rPr>
        <w:t xml:space="preserve">, </w:t>
      </w:r>
      <w:r w:rsidR="004A43B1" w:rsidRPr="004A43B1">
        <w:rPr>
          <w:rFonts w:ascii="Arial" w:hAnsi="Arial" w:cs="Arial"/>
          <w:i/>
          <w:iCs/>
          <w:sz w:val="20"/>
          <w:lang w:val="en-GB"/>
        </w:rPr>
        <w:t>86</w:t>
      </w:r>
      <w:r w:rsidR="004A43B1" w:rsidRPr="004A43B1">
        <w:rPr>
          <w:rFonts w:ascii="Arial" w:hAnsi="Arial" w:cs="Arial"/>
          <w:sz w:val="20"/>
          <w:lang w:val="en-GB"/>
        </w:rPr>
        <w:t>(2), 412–431. https://doi.org/10.1093/jaoac/86.2.412</w:t>
      </w:r>
    </w:p>
    <w:p w14:paraId="17901865" w14:textId="1C22F265" w:rsidR="004A43B1" w:rsidRPr="002D4C9F" w:rsidRDefault="004A43B1" w:rsidP="004A43B1">
      <w:pPr>
        <w:pStyle w:val="Bibliography"/>
        <w:spacing w:line="240" w:lineRule="auto"/>
        <w:jc w:val="both"/>
        <w:rPr>
          <w:rFonts w:ascii="Arial" w:hAnsi="Arial" w:cs="Arial"/>
          <w:sz w:val="20"/>
          <w:lang w:val="pt-BR"/>
        </w:rPr>
      </w:pPr>
      <w:r w:rsidRPr="004A43B1">
        <w:rPr>
          <w:rFonts w:ascii="Arial" w:hAnsi="Arial" w:cs="Arial"/>
          <w:sz w:val="20"/>
          <w:lang w:val="en-GB"/>
        </w:rPr>
        <w:t xml:space="preserve">Baćmaga, M., Wyszkowska, J., &amp; Kucharski, J. (2024). Environmental Implication of Herbicide Use. </w:t>
      </w:r>
      <w:r w:rsidRPr="002D4C9F">
        <w:rPr>
          <w:rFonts w:ascii="Arial" w:hAnsi="Arial" w:cs="Arial"/>
          <w:i/>
          <w:iCs/>
          <w:sz w:val="20"/>
          <w:lang w:val="pt-BR"/>
        </w:rPr>
        <w:t>Molecules</w:t>
      </w:r>
      <w:r w:rsidRPr="002D4C9F">
        <w:rPr>
          <w:rFonts w:ascii="Arial" w:hAnsi="Arial" w:cs="Arial"/>
          <w:sz w:val="20"/>
          <w:lang w:val="pt-BR"/>
        </w:rPr>
        <w:t xml:space="preserve">, </w:t>
      </w:r>
      <w:r w:rsidRPr="002D4C9F">
        <w:rPr>
          <w:rFonts w:ascii="Arial" w:hAnsi="Arial" w:cs="Arial"/>
          <w:i/>
          <w:iCs/>
          <w:sz w:val="20"/>
          <w:lang w:val="pt-BR"/>
        </w:rPr>
        <w:t>29</w:t>
      </w:r>
      <w:r w:rsidRPr="002D4C9F">
        <w:rPr>
          <w:rFonts w:ascii="Arial" w:hAnsi="Arial" w:cs="Arial"/>
          <w:sz w:val="20"/>
          <w:lang w:val="pt-BR"/>
        </w:rPr>
        <w:t>(24), 5965. https://doi.org/10.3390/molecules29245965</w:t>
      </w:r>
    </w:p>
    <w:p w14:paraId="0E049B95" w14:textId="77777777" w:rsidR="004A43B1" w:rsidRPr="004A43B1" w:rsidRDefault="004A43B1" w:rsidP="004A43B1">
      <w:pPr>
        <w:pStyle w:val="Bibliography"/>
        <w:spacing w:line="240" w:lineRule="auto"/>
        <w:jc w:val="both"/>
        <w:rPr>
          <w:rFonts w:ascii="Arial" w:hAnsi="Arial" w:cs="Arial"/>
          <w:sz w:val="20"/>
          <w:lang w:val="en-GB"/>
        </w:rPr>
      </w:pPr>
      <w:r w:rsidRPr="002D4C9F">
        <w:rPr>
          <w:rFonts w:ascii="Arial" w:hAnsi="Arial" w:cs="Arial"/>
          <w:sz w:val="20"/>
          <w:lang w:val="pt-BR"/>
        </w:rPr>
        <w:t xml:space="preserve">Bayili, B., Koursangama, B., Bayili, K., Dipina Ki, H., Sow, B., Bilgo, E., Kinda, A. A., Bazongo, T., Ouattara, A., Dabire, R. K., &amp; Diabate, A. (2024). </w:t>
      </w:r>
      <w:r w:rsidRPr="004A43B1">
        <w:rPr>
          <w:rFonts w:ascii="Arial" w:hAnsi="Arial" w:cs="Arial"/>
          <w:sz w:val="20"/>
          <w:lang w:val="en-GB"/>
        </w:rPr>
        <w:t xml:space="preserve">Characterization of herbicide use practices in cereal agroecosystems in western Burkina Faso. </w:t>
      </w:r>
      <w:r w:rsidRPr="004A43B1">
        <w:rPr>
          <w:rFonts w:ascii="Arial" w:hAnsi="Arial" w:cs="Arial"/>
          <w:i/>
          <w:iCs/>
          <w:sz w:val="20"/>
          <w:lang w:val="en-GB"/>
        </w:rPr>
        <w:t>Journal of Experimental Biology and Agricultural Sciences</w:t>
      </w:r>
      <w:r w:rsidRPr="004A43B1">
        <w:rPr>
          <w:rFonts w:ascii="Arial" w:hAnsi="Arial" w:cs="Arial"/>
          <w:sz w:val="20"/>
          <w:lang w:val="en-GB"/>
        </w:rPr>
        <w:t xml:space="preserve">, </w:t>
      </w:r>
      <w:r w:rsidRPr="004A43B1">
        <w:rPr>
          <w:rFonts w:ascii="Arial" w:hAnsi="Arial" w:cs="Arial"/>
          <w:i/>
          <w:iCs/>
          <w:sz w:val="20"/>
          <w:lang w:val="en-GB"/>
        </w:rPr>
        <w:t>12</w:t>
      </w:r>
      <w:r w:rsidRPr="004A43B1">
        <w:rPr>
          <w:rFonts w:ascii="Arial" w:hAnsi="Arial" w:cs="Arial"/>
          <w:sz w:val="20"/>
          <w:lang w:val="en-GB"/>
        </w:rPr>
        <w:t>(2), 248–256. https://doi.org/10.18006/2024.12(2).248.256</w:t>
      </w:r>
    </w:p>
    <w:p w14:paraId="61D16224" w14:textId="77777777" w:rsidR="004A43B1" w:rsidRPr="004A43B1" w:rsidRDefault="004A43B1" w:rsidP="004A43B1">
      <w:pPr>
        <w:pStyle w:val="Bibliography"/>
        <w:spacing w:line="240" w:lineRule="auto"/>
        <w:jc w:val="both"/>
        <w:rPr>
          <w:rFonts w:ascii="Arial" w:hAnsi="Arial" w:cs="Arial"/>
          <w:sz w:val="20"/>
          <w:lang w:val="en-GB"/>
        </w:rPr>
      </w:pPr>
      <w:r w:rsidRPr="002D4C9F">
        <w:rPr>
          <w:rFonts w:ascii="Arial" w:hAnsi="Arial" w:cs="Arial"/>
          <w:sz w:val="20"/>
          <w:lang w:val="pt-BR"/>
        </w:rPr>
        <w:t xml:space="preserve">Bayili, B., Ouedraogo, R., Ilboudo, S., Pooda, L., Bonkoungou, M., Bationo, J. F., Ouedraogo, J. B., &amp; Ouedraogo, G. A. (2019). </w:t>
      </w:r>
      <w:r w:rsidRPr="004A43B1">
        <w:rPr>
          <w:rFonts w:ascii="Arial" w:hAnsi="Arial" w:cs="Arial"/>
          <w:sz w:val="20"/>
          <w:lang w:val="en-GB"/>
        </w:rPr>
        <w:t xml:space="preserve">Characterization of pesticides and practices of cotton producers and pesticides sellers in the cotton zone of Bala’s Hippopotamus Pond Biosphere of Burkina Faso. </w:t>
      </w:r>
      <w:r w:rsidRPr="004A43B1">
        <w:rPr>
          <w:rFonts w:ascii="Arial" w:hAnsi="Arial" w:cs="Arial"/>
          <w:i/>
          <w:iCs/>
          <w:sz w:val="20"/>
          <w:lang w:val="en-GB"/>
        </w:rPr>
        <w:t>Journal of Experimental Biology and Agricultural Sciences</w:t>
      </w:r>
      <w:r w:rsidRPr="004A43B1">
        <w:rPr>
          <w:rFonts w:ascii="Arial" w:hAnsi="Arial" w:cs="Arial"/>
          <w:sz w:val="20"/>
          <w:lang w:val="en-GB"/>
        </w:rPr>
        <w:t xml:space="preserve">, </w:t>
      </w:r>
      <w:r w:rsidRPr="004A43B1">
        <w:rPr>
          <w:rFonts w:ascii="Arial" w:hAnsi="Arial" w:cs="Arial"/>
          <w:i/>
          <w:iCs/>
          <w:sz w:val="20"/>
          <w:lang w:val="en-GB"/>
        </w:rPr>
        <w:t>7</w:t>
      </w:r>
      <w:r w:rsidRPr="004A43B1">
        <w:rPr>
          <w:rFonts w:ascii="Arial" w:hAnsi="Arial" w:cs="Arial"/>
          <w:sz w:val="20"/>
          <w:lang w:val="en-GB"/>
        </w:rPr>
        <w:t>(6), 554–568. https://doi.org/10.18006/2019.7(6).554.568</w:t>
      </w:r>
    </w:p>
    <w:p w14:paraId="25806971" w14:textId="77777777" w:rsidR="002D4C9F" w:rsidRDefault="002D4C9F" w:rsidP="004A43B1">
      <w:pPr>
        <w:pStyle w:val="Bibliography"/>
        <w:spacing w:line="240" w:lineRule="auto"/>
        <w:jc w:val="both"/>
        <w:rPr>
          <w:rFonts w:ascii="Arial" w:hAnsi="Arial" w:cs="Arial"/>
          <w:sz w:val="20"/>
        </w:rPr>
      </w:pPr>
      <w:r w:rsidRPr="002D4C9F">
        <w:rPr>
          <w:rFonts w:ascii="Arial" w:hAnsi="Arial" w:cs="Arial"/>
          <w:sz w:val="20"/>
        </w:rPr>
        <w:t>Beaumont, J., Godin, S., Riem, N., &amp; Lestremau, F. (2012). Application de la méthodologie Quechers sur l’extraction des pesticides et des polybromodiphényléthers (PBDE) dans les sédiments Evaluation préliminaire—Rapport AQUAREF 2012—69p. Rapport AQUAREF.</w:t>
      </w:r>
    </w:p>
    <w:p w14:paraId="2B22AEBD" w14:textId="71DC24E5" w:rsidR="004A43B1" w:rsidRPr="004A43B1" w:rsidRDefault="004A43B1" w:rsidP="004A43B1">
      <w:pPr>
        <w:pStyle w:val="Bibliography"/>
        <w:spacing w:line="240" w:lineRule="auto"/>
        <w:jc w:val="both"/>
        <w:rPr>
          <w:rFonts w:ascii="Arial" w:hAnsi="Arial" w:cs="Arial"/>
          <w:sz w:val="20"/>
        </w:rPr>
      </w:pPr>
      <w:r w:rsidRPr="004A43B1">
        <w:rPr>
          <w:rFonts w:ascii="Arial" w:hAnsi="Arial" w:cs="Arial"/>
          <w:sz w:val="20"/>
        </w:rPr>
        <w:t xml:space="preserve">Calvet, R. (2005). </w:t>
      </w:r>
      <w:r w:rsidRPr="004A43B1">
        <w:rPr>
          <w:rFonts w:ascii="Arial" w:hAnsi="Arial" w:cs="Arial"/>
          <w:i/>
          <w:iCs/>
          <w:sz w:val="20"/>
        </w:rPr>
        <w:t>Les pesticides dans le sol: Conséquences agronomiques et environnementales</w:t>
      </w:r>
      <w:r w:rsidRPr="004A43B1">
        <w:rPr>
          <w:rFonts w:ascii="Arial" w:hAnsi="Arial" w:cs="Arial"/>
          <w:sz w:val="20"/>
        </w:rPr>
        <w:t xml:space="preserve"> (France Agricole Editions).</w:t>
      </w:r>
    </w:p>
    <w:p w14:paraId="6C9643DA" w14:textId="77777777" w:rsidR="004A43B1" w:rsidRPr="004A43B1" w:rsidRDefault="004A43B1" w:rsidP="004A43B1">
      <w:pPr>
        <w:pStyle w:val="Bibliography"/>
        <w:spacing w:line="240" w:lineRule="auto"/>
        <w:jc w:val="both"/>
        <w:rPr>
          <w:rFonts w:ascii="Arial" w:hAnsi="Arial" w:cs="Arial"/>
          <w:sz w:val="20"/>
        </w:rPr>
      </w:pPr>
      <w:r w:rsidRPr="004A43B1">
        <w:rPr>
          <w:rFonts w:ascii="Arial" w:hAnsi="Arial" w:cs="Arial"/>
          <w:sz w:val="20"/>
        </w:rPr>
        <w:t xml:space="preserve">CILSS. (2015). </w:t>
      </w:r>
      <w:r w:rsidRPr="004A43B1">
        <w:rPr>
          <w:rFonts w:ascii="Arial" w:hAnsi="Arial" w:cs="Arial"/>
          <w:i/>
          <w:iCs/>
          <w:sz w:val="20"/>
        </w:rPr>
        <w:t>Décision n°009/MAE-MC/2015 portant interdiction de l’atrazine. Comité permanent Inter-États de Lutte contre la Sécheresse dans le Sahel (CILSS)</w:t>
      </w:r>
      <w:r w:rsidRPr="004A43B1">
        <w:rPr>
          <w:rFonts w:ascii="Arial" w:hAnsi="Arial" w:cs="Arial"/>
          <w:sz w:val="20"/>
        </w:rPr>
        <w:t>.</w:t>
      </w:r>
    </w:p>
    <w:p w14:paraId="1577B456" w14:textId="77777777" w:rsidR="002D4C9F" w:rsidRDefault="002D4C9F" w:rsidP="004A43B1">
      <w:pPr>
        <w:pStyle w:val="Bibliography"/>
        <w:spacing w:line="240" w:lineRule="auto"/>
        <w:jc w:val="both"/>
        <w:rPr>
          <w:rFonts w:ascii="Arial" w:hAnsi="Arial" w:cs="Arial"/>
          <w:sz w:val="20"/>
          <w:lang w:val="en-IN"/>
        </w:rPr>
      </w:pPr>
      <w:r w:rsidRPr="002D4C9F">
        <w:rPr>
          <w:rFonts w:ascii="Arial" w:hAnsi="Arial" w:cs="Arial"/>
          <w:sz w:val="20"/>
          <w:lang w:val="pt-BR"/>
        </w:rPr>
        <w:t xml:space="preserve">De Souza, R. M., Seibert, D., Quesada, H. B., De Jesus Bassetti, F., Fagundes-Klen, M. R., &amp; Bergamasco, R. (2020). </w:t>
      </w:r>
      <w:r w:rsidRPr="002D4C9F">
        <w:rPr>
          <w:rFonts w:ascii="Arial" w:hAnsi="Arial" w:cs="Arial"/>
          <w:sz w:val="20"/>
          <w:lang w:val="en-IN"/>
        </w:rPr>
        <w:t>Occurrence, impacts and general aspects of pesticides in surface water: A review. Process Safety and Environmental Protection, 135, 22–37. https://doi.org/10.1016/j.psep.2019.12.035</w:t>
      </w:r>
    </w:p>
    <w:p w14:paraId="5D06B0C4"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Djédjé, G. J. M., Kpan Kpan, K. G., Yapi, D. A. C., Kouamé, K. V., &amp; Tidou Epse Koné, A. S. (2022). Impact of Glyphosate and 2,4-D used in agriculture on the quality of Chrysichthys nigrodigitatus (Lacépède, 1803) from the Sassandra River in Guessabo (Côte D’ivoire). World Journal of Advanced Research and Reviews, 14(1), 212–222. https://doi.org/10.30574/wjarr.2022.14.1.0298</w:t>
      </w:r>
    </w:p>
    <w:p w14:paraId="1D863D71"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Elfikrie, N., Ho, Y. B., Zaidon, S. Z., Juahir, H., &amp; Tan, E. S. S. (2020). Occurrence of pesticides in surface water, pesticides removal efficiency in drinking water treatment plant and potential health risk to consumers in Tengi River Basin, Malaysia. Science of The Total Environment, 712, 136540. https://doi.org/10.1016/j.scitotenv.2020.136540</w:t>
      </w:r>
    </w:p>
    <w:p w14:paraId="6B09B98F"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Ghanizadeh, H., &amp; Harrington, K. C. (2021). Herbicide resistant weeds in New Zealand: State of knowledge. New Zealand Journal of Agricultural Research, 64(4), 471–482. https://doi.org/10.1080/00288233.2019.1705863</w:t>
      </w:r>
    </w:p>
    <w:p w14:paraId="46E93755"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Kocadal, K., Alkaş, F. B., Battal, D., &amp; Saygi, S. (2023). A review on advances and perspectives of glyphosate determination: Challenges and opportunities. Archives of Environmental Protection. https://doi.org/10.24425/aep.2022.142693</w:t>
      </w:r>
    </w:p>
    <w:p w14:paraId="3ED7BEEA" w14:textId="77777777" w:rsidR="002D4C9F" w:rsidRDefault="002D4C9F" w:rsidP="004A43B1">
      <w:pPr>
        <w:pStyle w:val="Bibliography"/>
        <w:spacing w:line="240" w:lineRule="auto"/>
        <w:jc w:val="both"/>
        <w:rPr>
          <w:rFonts w:ascii="Arial" w:hAnsi="Arial" w:cs="Arial"/>
          <w:sz w:val="20"/>
          <w:lang w:val="en-IN"/>
        </w:rPr>
      </w:pPr>
      <w:r w:rsidRPr="002D4C9F">
        <w:rPr>
          <w:rFonts w:ascii="Arial" w:hAnsi="Arial" w:cs="Arial"/>
          <w:sz w:val="20"/>
        </w:rPr>
        <w:t xml:space="preserve">Le Person, A., Siampiringue, M., Sarakha, M., Moncomble, A., &amp; Cornard, J.-P. (2016). </w:t>
      </w:r>
      <w:r w:rsidRPr="002D4C9F">
        <w:rPr>
          <w:rFonts w:ascii="Arial" w:hAnsi="Arial" w:cs="Arial"/>
          <w:sz w:val="20"/>
          <w:lang w:val="en-IN"/>
        </w:rPr>
        <w:t>The photo-degradation of mesotrione, a triketone herbicide, in the presence of Cu II ions. Journal of Photochemistry and Photobiology A: Chemistry, 315, 76–86. https://doi.org/10.1016/j.jphotochem.2015.09.010</w:t>
      </w:r>
    </w:p>
    <w:p w14:paraId="675186B4" w14:textId="77777777" w:rsidR="002D4C9F" w:rsidRDefault="002D4C9F" w:rsidP="004A43B1">
      <w:pPr>
        <w:pStyle w:val="Bibliography"/>
        <w:spacing w:line="240" w:lineRule="auto"/>
        <w:jc w:val="both"/>
        <w:rPr>
          <w:rFonts w:ascii="Arial" w:hAnsi="Arial" w:cs="Arial"/>
          <w:sz w:val="20"/>
          <w:lang w:val="en-IN"/>
        </w:rPr>
      </w:pPr>
      <w:r w:rsidRPr="002D4C9F">
        <w:rPr>
          <w:rFonts w:ascii="Arial" w:hAnsi="Arial" w:cs="Arial"/>
          <w:sz w:val="20"/>
          <w:lang w:val="pt-BR"/>
        </w:rPr>
        <w:t xml:space="preserve">Lehmann, E., Turrero, N., Kolia, M., Konaté, Y., &amp; De Alencastro, L. F. (2017). </w:t>
      </w:r>
      <w:r w:rsidRPr="002D4C9F">
        <w:rPr>
          <w:rFonts w:ascii="Arial" w:hAnsi="Arial" w:cs="Arial"/>
          <w:sz w:val="20"/>
          <w:lang w:val="en-IN"/>
        </w:rPr>
        <w:t xml:space="preserve">Dietary risk assessment of pesticides from vegetables and drinking water in gardening areas in Burkina Faso. Science </w:t>
      </w:r>
      <w:r w:rsidRPr="002D4C9F">
        <w:rPr>
          <w:rFonts w:ascii="Arial" w:hAnsi="Arial" w:cs="Arial"/>
          <w:sz w:val="20"/>
          <w:lang w:val="en-IN"/>
        </w:rPr>
        <w:lastRenderedPageBreak/>
        <w:t>of The Total Environment, 601–602, 1208–1216. https://doi.org/10.1016/j.scitotenv.2017.05.285</w:t>
      </w:r>
    </w:p>
    <w:p w14:paraId="16D53A27"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Leu, C., Singer, H., Stamm, C., Müller, S. R., &amp; Schwarzenbach, R. P. (2004). Simultaneous Assessment of Sources, Processes, and Factors Influencing Herbicide Losses to Surface Waters in a Small Agricultural Catchment. Environmental Science &amp; Technology https://doi.org/10.1021/es0499602</w:t>
      </w:r>
    </w:p>
    <w:p w14:paraId="3F23B329"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Lorenz, S., Trau, F. N., Ruf, L. C., Meinikmann, K., Fisch, K., Stähler, M., Schenke, D., Blevins, H. L., &amp; Heinz, M. (2025). Pesticide contamination of small standing water bodies in the agricultural landscape of northeast Germany. Science of The Total Environment, 975, 179250. https://doi.org/10.1016/j.scitotenv.2025.179250</w:t>
      </w:r>
    </w:p>
    <w:p w14:paraId="1701DE97"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Moss, S., Ulber, L., &amp; Hoed, I. D. (2019). A herbicide resistance risk matrix. Crop Protection, 115, 13–19. https://doi.org/10.1016/j.cropro.2018.09.005</w:t>
      </w:r>
    </w:p>
    <w:p w14:paraId="373D3190" w14:textId="439DC7AC" w:rsidR="004A43B1" w:rsidRPr="002D4C9F" w:rsidRDefault="004A43B1" w:rsidP="004A43B1">
      <w:pPr>
        <w:pStyle w:val="Bibliography"/>
        <w:spacing w:line="240" w:lineRule="auto"/>
        <w:jc w:val="both"/>
        <w:rPr>
          <w:rFonts w:ascii="Arial" w:hAnsi="Arial" w:cs="Arial"/>
          <w:sz w:val="20"/>
          <w:lang w:val="pt-BR"/>
        </w:rPr>
      </w:pPr>
      <w:r w:rsidRPr="004A43B1">
        <w:rPr>
          <w:rFonts w:ascii="Arial" w:hAnsi="Arial" w:cs="Arial"/>
          <w:sz w:val="20"/>
          <w:lang w:val="en-GB"/>
        </w:rPr>
        <w:t xml:space="preserve">Namountougou, M., Soma, D. D., Kientega, M., Balboné, M., Kaboré, D. P. A., Drabo, S. F., Coulibaly, A. Y., Fournet, F., Baldet, T., Diabaté, A., Dabiré, R. K., &amp; Gnankiné, O. (2019). Insecticide resistance mechanisms in Anopheles gambiae complex populations from Burkina Faso, West Africa. </w:t>
      </w:r>
      <w:r w:rsidRPr="002D4C9F">
        <w:rPr>
          <w:rFonts w:ascii="Arial" w:hAnsi="Arial" w:cs="Arial"/>
          <w:i/>
          <w:iCs/>
          <w:sz w:val="20"/>
          <w:lang w:val="pt-BR"/>
        </w:rPr>
        <w:t>Acta Tropica</w:t>
      </w:r>
      <w:r w:rsidRPr="002D4C9F">
        <w:rPr>
          <w:rFonts w:ascii="Arial" w:hAnsi="Arial" w:cs="Arial"/>
          <w:sz w:val="20"/>
          <w:lang w:val="pt-BR"/>
        </w:rPr>
        <w:t xml:space="preserve">, </w:t>
      </w:r>
      <w:r w:rsidRPr="002D4C9F">
        <w:rPr>
          <w:rFonts w:ascii="Arial" w:hAnsi="Arial" w:cs="Arial"/>
          <w:i/>
          <w:iCs/>
          <w:sz w:val="20"/>
          <w:lang w:val="pt-BR"/>
        </w:rPr>
        <w:t>197</w:t>
      </w:r>
      <w:r w:rsidRPr="002D4C9F">
        <w:rPr>
          <w:rFonts w:ascii="Arial" w:hAnsi="Arial" w:cs="Arial"/>
          <w:sz w:val="20"/>
          <w:lang w:val="pt-BR"/>
        </w:rPr>
        <w:t>, 105054. https://doi.org/10.1016/j.actatropica.2019.105054</w:t>
      </w:r>
    </w:p>
    <w:p w14:paraId="3260A8A0" w14:textId="77777777" w:rsidR="002D4C9F" w:rsidRDefault="002D4C9F" w:rsidP="004A43B1">
      <w:pPr>
        <w:pStyle w:val="Bibliography"/>
        <w:spacing w:line="240" w:lineRule="auto"/>
        <w:jc w:val="both"/>
        <w:rPr>
          <w:rFonts w:ascii="Arial" w:hAnsi="Arial" w:cs="Arial"/>
          <w:sz w:val="20"/>
          <w:lang w:val="en-IN"/>
        </w:rPr>
      </w:pPr>
      <w:r w:rsidRPr="002D4C9F">
        <w:rPr>
          <w:rFonts w:ascii="Arial" w:hAnsi="Arial" w:cs="Arial"/>
          <w:sz w:val="20"/>
          <w:lang w:val="pt-BR"/>
        </w:rPr>
        <w:t xml:space="preserve">Pinheiro, R. A., Duque, T. S., Barroso, G. M., Soares, M. A., Cabral, C. M., Zanuncio, J. C., &amp; Dos Santos, J. B. (2023). </w:t>
      </w:r>
      <w:r w:rsidRPr="002D4C9F">
        <w:rPr>
          <w:rFonts w:ascii="Arial" w:hAnsi="Arial" w:cs="Arial"/>
          <w:sz w:val="20"/>
          <w:lang w:val="en-IN"/>
        </w:rPr>
        <w:t>Herbicides may threaten advances in biological control of diseases and pests. Environmental Science and Pollution Research, 30(52), 111850–111870. https://doi.org/10.1007/s11356-023-30198-0</w:t>
      </w:r>
    </w:p>
    <w:p w14:paraId="25C9FD41"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Sadia, C. G., Bonneville, J.-M., Zoh, M. G., Fodjo, B. K., Kouadio, F.-P. A., Oyou, S. K., Koudou, B. G., Adepo-Gourene, B. A., Reynaud, S., David, J.-P., &amp; Mouahamadou, C. S. (2024). The impact of agrochemical pollutant mixtures on the selection of insecticide resistance in the malaria vector Anopheles gambiae: Insights from experimental evolution and transcriptomics. Malaria Journal, 23(1), 69. https://doi.org/10.1186/s12936-023-04791-0</w:t>
      </w:r>
    </w:p>
    <w:p w14:paraId="4C7775B0" w14:textId="7BD7EDC8" w:rsidR="004A43B1" w:rsidRPr="004A43B1" w:rsidRDefault="004A43B1" w:rsidP="004A43B1">
      <w:pPr>
        <w:pStyle w:val="Bibliography"/>
        <w:spacing w:line="240" w:lineRule="auto"/>
        <w:jc w:val="both"/>
        <w:rPr>
          <w:rFonts w:ascii="Arial" w:hAnsi="Arial" w:cs="Arial"/>
          <w:sz w:val="20"/>
          <w:lang w:val="en-GB"/>
        </w:rPr>
      </w:pPr>
      <w:r w:rsidRPr="004A43B1">
        <w:rPr>
          <w:rFonts w:ascii="Arial" w:hAnsi="Arial" w:cs="Arial"/>
          <w:sz w:val="20"/>
          <w:lang w:val="en-GB"/>
        </w:rPr>
        <w:t xml:space="preserve">Schwientek, M., Rügner, H., Haderlein, S. B., Schulz, W., Wimmer, B., Engelbart, L., Bieger, S., &amp; Huhn, C. (2024). Glyphosate contamination in European rivers not from herbicide application? </w:t>
      </w:r>
      <w:r w:rsidRPr="004A43B1">
        <w:rPr>
          <w:rFonts w:ascii="Arial" w:hAnsi="Arial" w:cs="Arial"/>
          <w:i/>
          <w:iCs/>
          <w:sz w:val="20"/>
          <w:lang w:val="en-GB"/>
        </w:rPr>
        <w:t>Water Research</w:t>
      </w:r>
      <w:r w:rsidRPr="004A43B1">
        <w:rPr>
          <w:rFonts w:ascii="Arial" w:hAnsi="Arial" w:cs="Arial"/>
          <w:sz w:val="20"/>
          <w:lang w:val="en-GB"/>
        </w:rPr>
        <w:t xml:space="preserve">, </w:t>
      </w:r>
      <w:r w:rsidRPr="004A43B1">
        <w:rPr>
          <w:rFonts w:ascii="Arial" w:hAnsi="Arial" w:cs="Arial"/>
          <w:i/>
          <w:iCs/>
          <w:sz w:val="20"/>
          <w:lang w:val="en-GB"/>
        </w:rPr>
        <w:t>263</w:t>
      </w:r>
      <w:r w:rsidRPr="004A43B1">
        <w:rPr>
          <w:rFonts w:ascii="Arial" w:hAnsi="Arial" w:cs="Arial"/>
          <w:sz w:val="20"/>
          <w:lang w:val="en-GB"/>
        </w:rPr>
        <w:t>, 122140. https://doi.org/10.1016/j.watres.2024.122140</w:t>
      </w:r>
    </w:p>
    <w:p w14:paraId="1DEAB143" w14:textId="77777777" w:rsidR="004A43B1" w:rsidRPr="004A43B1" w:rsidRDefault="004A43B1" w:rsidP="004A43B1">
      <w:pPr>
        <w:pStyle w:val="Bibliography"/>
        <w:spacing w:line="240" w:lineRule="auto"/>
        <w:jc w:val="both"/>
        <w:rPr>
          <w:rFonts w:ascii="Arial" w:hAnsi="Arial" w:cs="Arial"/>
          <w:sz w:val="20"/>
        </w:rPr>
      </w:pPr>
      <w:r w:rsidRPr="002D4C9F">
        <w:rPr>
          <w:rFonts w:ascii="Arial" w:hAnsi="Arial" w:cs="Arial"/>
          <w:sz w:val="20"/>
          <w:lang w:val="pt-BR"/>
        </w:rPr>
        <w:t xml:space="preserve">Séré, G., Sawadogo, R., &amp; Nacoulma, B. (2025). </w:t>
      </w:r>
      <w:r w:rsidRPr="004A43B1">
        <w:rPr>
          <w:rFonts w:ascii="Arial" w:hAnsi="Arial" w:cs="Arial"/>
          <w:sz w:val="20"/>
        </w:rPr>
        <w:t xml:space="preserve">Contamination des eaux de surface par les pesticides dans la région de Bama (Burkina Faso). </w:t>
      </w:r>
      <w:r w:rsidRPr="004A43B1">
        <w:rPr>
          <w:rFonts w:ascii="Arial" w:hAnsi="Arial" w:cs="Arial"/>
          <w:i/>
          <w:iCs/>
          <w:sz w:val="20"/>
        </w:rPr>
        <w:t>Revue Africaine d’Environnement et d’Agriculture Durable</w:t>
      </w:r>
      <w:r w:rsidRPr="004A43B1">
        <w:rPr>
          <w:rFonts w:ascii="Arial" w:hAnsi="Arial" w:cs="Arial"/>
          <w:sz w:val="20"/>
        </w:rPr>
        <w:t xml:space="preserve">, </w:t>
      </w:r>
      <w:r w:rsidRPr="004A43B1">
        <w:rPr>
          <w:rFonts w:ascii="Arial" w:hAnsi="Arial" w:cs="Arial"/>
          <w:i/>
          <w:iCs/>
          <w:sz w:val="20"/>
        </w:rPr>
        <w:t>12</w:t>
      </w:r>
      <w:r w:rsidRPr="004A43B1">
        <w:rPr>
          <w:rFonts w:ascii="Arial" w:hAnsi="Arial" w:cs="Arial"/>
          <w:sz w:val="20"/>
        </w:rPr>
        <w:t>(1), 45–56.</w:t>
      </w:r>
    </w:p>
    <w:p w14:paraId="4F9F2663" w14:textId="77777777" w:rsidR="004A43B1" w:rsidRPr="004A43B1" w:rsidRDefault="004A43B1" w:rsidP="004A43B1">
      <w:pPr>
        <w:pStyle w:val="Bibliography"/>
        <w:spacing w:line="240" w:lineRule="auto"/>
        <w:jc w:val="both"/>
        <w:rPr>
          <w:rFonts w:ascii="Arial" w:hAnsi="Arial" w:cs="Arial"/>
          <w:sz w:val="20"/>
          <w:lang w:val="en-GB"/>
        </w:rPr>
      </w:pPr>
      <w:r w:rsidRPr="004A43B1">
        <w:rPr>
          <w:rFonts w:ascii="Arial" w:hAnsi="Arial" w:cs="Arial"/>
          <w:sz w:val="20"/>
        </w:rPr>
        <w:t xml:space="preserve">Stackpoole, S. M., Shoda, M. E., Medalie, L., &amp; Stone, W. W. (2021). </w:t>
      </w:r>
      <w:r w:rsidRPr="004A43B1">
        <w:rPr>
          <w:rFonts w:ascii="Arial" w:hAnsi="Arial" w:cs="Arial"/>
          <w:sz w:val="20"/>
          <w:lang w:val="en-GB"/>
        </w:rPr>
        <w:t xml:space="preserve">Pesticides in US Rivers: Regional differences in use, occurrence, and environmental toxicity, 2013 to 2017. </w:t>
      </w:r>
      <w:r w:rsidRPr="004A43B1">
        <w:rPr>
          <w:rFonts w:ascii="Arial" w:hAnsi="Arial" w:cs="Arial"/>
          <w:i/>
          <w:iCs/>
          <w:sz w:val="20"/>
          <w:lang w:val="en-GB"/>
        </w:rPr>
        <w:t>Science of The Total Environment</w:t>
      </w:r>
      <w:r w:rsidRPr="004A43B1">
        <w:rPr>
          <w:rFonts w:ascii="Arial" w:hAnsi="Arial" w:cs="Arial"/>
          <w:sz w:val="20"/>
          <w:lang w:val="en-GB"/>
        </w:rPr>
        <w:t xml:space="preserve">, </w:t>
      </w:r>
      <w:r w:rsidRPr="004A43B1">
        <w:rPr>
          <w:rFonts w:ascii="Arial" w:hAnsi="Arial" w:cs="Arial"/>
          <w:i/>
          <w:iCs/>
          <w:sz w:val="20"/>
          <w:lang w:val="en-GB"/>
        </w:rPr>
        <w:t>787</w:t>
      </w:r>
      <w:r w:rsidRPr="004A43B1">
        <w:rPr>
          <w:rFonts w:ascii="Arial" w:hAnsi="Arial" w:cs="Arial"/>
          <w:sz w:val="20"/>
          <w:lang w:val="en-GB"/>
        </w:rPr>
        <w:t>, 147147. https://doi.org/10.1016/j.scitotenv.2021.147147</w:t>
      </w:r>
    </w:p>
    <w:p w14:paraId="27909602" w14:textId="77777777" w:rsidR="004A43B1" w:rsidRPr="002D4C9F" w:rsidRDefault="004A43B1" w:rsidP="004A43B1">
      <w:pPr>
        <w:pStyle w:val="Bibliography"/>
        <w:spacing w:line="240" w:lineRule="auto"/>
        <w:jc w:val="both"/>
        <w:rPr>
          <w:rFonts w:ascii="Arial" w:hAnsi="Arial" w:cs="Arial"/>
          <w:sz w:val="20"/>
          <w:lang w:val="pt-BR"/>
        </w:rPr>
      </w:pPr>
      <w:r w:rsidRPr="004A43B1">
        <w:rPr>
          <w:rFonts w:ascii="Arial" w:hAnsi="Arial" w:cs="Arial"/>
          <w:sz w:val="20"/>
          <w:lang w:val="en-GB"/>
        </w:rPr>
        <w:t xml:space="preserve">Stipičević, S., Galzina, N., Udiković-Kolić, N., Jurina, T., Mendaš, G., Dvoršćak, M., Petrić, I., Barić, K., &amp; Drevenkar, V. (2015). Distribution of terbuthylazine and atrazine residues in crop-cultivated soil: The effect of herbicide application rate on herbicide persistence. </w:t>
      </w:r>
      <w:r w:rsidRPr="002D4C9F">
        <w:rPr>
          <w:rFonts w:ascii="Arial" w:hAnsi="Arial" w:cs="Arial"/>
          <w:i/>
          <w:iCs/>
          <w:sz w:val="20"/>
          <w:lang w:val="pt-BR"/>
        </w:rPr>
        <w:t>Geoderma</w:t>
      </w:r>
      <w:r w:rsidRPr="002D4C9F">
        <w:rPr>
          <w:rFonts w:ascii="Arial" w:hAnsi="Arial" w:cs="Arial"/>
          <w:sz w:val="20"/>
          <w:lang w:val="pt-BR"/>
        </w:rPr>
        <w:t xml:space="preserve">, </w:t>
      </w:r>
      <w:r w:rsidRPr="002D4C9F">
        <w:rPr>
          <w:rFonts w:ascii="Arial" w:hAnsi="Arial" w:cs="Arial"/>
          <w:i/>
          <w:iCs/>
          <w:sz w:val="20"/>
          <w:lang w:val="pt-BR"/>
        </w:rPr>
        <w:t>259–260</w:t>
      </w:r>
      <w:r w:rsidRPr="002D4C9F">
        <w:rPr>
          <w:rFonts w:ascii="Arial" w:hAnsi="Arial" w:cs="Arial"/>
          <w:sz w:val="20"/>
          <w:lang w:val="pt-BR"/>
        </w:rPr>
        <w:t>, 300–309. https://doi.org/10.1016/j.geoderma.2015.06.018</w:t>
      </w:r>
    </w:p>
    <w:p w14:paraId="70D78FBC" w14:textId="77777777" w:rsidR="004A43B1" w:rsidRPr="004A43B1" w:rsidRDefault="004A43B1" w:rsidP="004A43B1">
      <w:pPr>
        <w:pStyle w:val="Bibliography"/>
        <w:spacing w:line="240" w:lineRule="auto"/>
        <w:jc w:val="both"/>
        <w:rPr>
          <w:rFonts w:ascii="Arial" w:hAnsi="Arial" w:cs="Arial"/>
          <w:sz w:val="20"/>
          <w:lang w:val="en-GB"/>
        </w:rPr>
      </w:pPr>
      <w:r w:rsidRPr="002D4C9F">
        <w:rPr>
          <w:rFonts w:ascii="Arial" w:hAnsi="Arial" w:cs="Arial"/>
          <w:sz w:val="20"/>
          <w:lang w:val="pt-BR"/>
        </w:rPr>
        <w:t xml:space="preserve">Toe, A. M., Ouedraogo, M., Ouedraogo, R., Ilboudo, S., &amp; Guissou, P. I. (2013). </w:t>
      </w:r>
      <w:r w:rsidRPr="004A43B1">
        <w:rPr>
          <w:rFonts w:ascii="Arial" w:hAnsi="Arial" w:cs="Arial"/>
          <w:sz w:val="20"/>
          <w:lang w:val="en-GB"/>
        </w:rPr>
        <w:t xml:space="preserve">Pilot study on agricultural pesticide poisoning in Burkina Faso. </w:t>
      </w:r>
      <w:r w:rsidRPr="004A43B1">
        <w:rPr>
          <w:rFonts w:ascii="Arial" w:hAnsi="Arial" w:cs="Arial"/>
          <w:i/>
          <w:iCs/>
          <w:sz w:val="20"/>
          <w:lang w:val="en-GB"/>
        </w:rPr>
        <w:t>Interdisciplinary Toxicology</w:t>
      </w:r>
      <w:r w:rsidRPr="004A43B1">
        <w:rPr>
          <w:rFonts w:ascii="Arial" w:hAnsi="Arial" w:cs="Arial"/>
          <w:sz w:val="20"/>
          <w:lang w:val="en-GB"/>
        </w:rPr>
        <w:t xml:space="preserve">, </w:t>
      </w:r>
      <w:r w:rsidRPr="004A43B1">
        <w:rPr>
          <w:rFonts w:ascii="Arial" w:hAnsi="Arial" w:cs="Arial"/>
          <w:i/>
          <w:iCs/>
          <w:sz w:val="20"/>
          <w:lang w:val="en-GB"/>
        </w:rPr>
        <w:t>6</w:t>
      </w:r>
      <w:r w:rsidRPr="004A43B1">
        <w:rPr>
          <w:rFonts w:ascii="Arial" w:hAnsi="Arial" w:cs="Arial"/>
          <w:sz w:val="20"/>
          <w:lang w:val="en-GB"/>
        </w:rPr>
        <w:t>(4), 185–191. https://doi.org/10.2478/intox-2013-0027</w:t>
      </w:r>
    </w:p>
    <w:p w14:paraId="1535DB56" w14:textId="77777777" w:rsidR="002D4C9F" w:rsidRDefault="002D4C9F" w:rsidP="004A43B1">
      <w:pPr>
        <w:pStyle w:val="Bibliography"/>
        <w:spacing w:line="240" w:lineRule="auto"/>
        <w:jc w:val="both"/>
        <w:rPr>
          <w:rFonts w:ascii="Arial" w:hAnsi="Arial" w:cs="Arial"/>
          <w:sz w:val="20"/>
        </w:rPr>
      </w:pPr>
      <w:r w:rsidRPr="002D4C9F">
        <w:rPr>
          <w:rFonts w:ascii="Arial" w:hAnsi="Arial" w:cs="Arial"/>
          <w:sz w:val="20"/>
        </w:rPr>
        <w:t>Union Européenne. (2020). *Directive (UE) 2020/2184 du Parlement européen et du Conseil du 16 décembre 2020 relative à la qualité des eaux destinées à la consommation humaine (refonte) (Texte présentant de l’intérêt pour l’EEE)*. Journal Officiel de l’Union Européenne, L 435, 1–62. https://eur-lex.europa.eu/legal-content/FR/TXT/HTML/?uri=CELEX:32020L2184</w:t>
      </w:r>
    </w:p>
    <w:p w14:paraId="005BD21F" w14:textId="15345F39" w:rsidR="004A43B1" w:rsidRPr="004A43B1" w:rsidRDefault="004A43B1" w:rsidP="004A43B1">
      <w:pPr>
        <w:pStyle w:val="Bibliography"/>
        <w:spacing w:line="240" w:lineRule="auto"/>
        <w:jc w:val="both"/>
        <w:rPr>
          <w:rFonts w:ascii="Arial" w:hAnsi="Arial" w:cs="Arial"/>
          <w:sz w:val="20"/>
          <w:lang w:val="en-GB"/>
        </w:rPr>
      </w:pPr>
      <w:r w:rsidRPr="004A43B1">
        <w:rPr>
          <w:rFonts w:ascii="Arial" w:hAnsi="Arial" w:cs="Arial"/>
          <w:sz w:val="20"/>
        </w:rPr>
        <w:t xml:space="preserve">Urio, N. H., Pinda, P. G., Ngonzi, A. J., Muyaga, L. L., Msugupakulya, B. J., Finda, M., Matanila, G. S., Mponzi, W., Ngowo, H. S., Kahamba, N. F., Nkya, T. E., &amp; Okumu, F. O. (2022). </w:t>
      </w:r>
      <w:r w:rsidRPr="004A43B1">
        <w:rPr>
          <w:rFonts w:ascii="Arial" w:hAnsi="Arial" w:cs="Arial"/>
          <w:sz w:val="20"/>
          <w:lang w:val="en-GB"/>
        </w:rPr>
        <w:t xml:space="preserve">Effects of agricultural pesticides on the susceptibility and fitness of malaria vectors in rural south-eastern Tanzania. </w:t>
      </w:r>
      <w:r w:rsidRPr="004A43B1">
        <w:rPr>
          <w:rFonts w:ascii="Arial" w:hAnsi="Arial" w:cs="Arial"/>
          <w:i/>
          <w:iCs/>
          <w:sz w:val="20"/>
          <w:lang w:val="en-GB"/>
        </w:rPr>
        <w:t>Parasites &amp; Vectors</w:t>
      </w:r>
      <w:r w:rsidRPr="004A43B1">
        <w:rPr>
          <w:rFonts w:ascii="Arial" w:hAnsi="Arial" w:cs="Arial"/>
          <w:sz w:val="20"/>
          <w:lang w:val="en-GB"/>
        </w:rPr>
        <w:t xml:space="preserve">, </w:t>
      </w:r>
      <w:r w:rsidRPr="004A43B1">
        <w:rPr>
          <w:rFonts w:ascii="Arial" w:hAnsi="Arial" w:cs="Arial"/>
          <w:i/>
          <w:iCs/>
          <w:sz w:val="20"/>
          <w:lang w:val="en-GB"/>
        </w:rPr>
        <w:t>15</w:t>
      </w:r>
      <w:r w:rsidRPr="004A43B1">
        <w:rPr>
          <w:rFonts w:ascii="Arial" w:hAnsi="Arial" w:cs="Arial"/>
          <w:sz w:val="20"/>
          <w:lang w:val="en-GB"/>
        </w:rPr>
        <w:t>(1), 213. https://doi.org/10.1186/s13071-022-05318-3</w:t>
      </w:r>
    </w:p>
    <w:p w14:paraId="5D98A210" w14:textId="77777777" w:rsidR="004A43B1" w:rsidRPr="004A43B1" w:rsidRDefault="004A43B1" w:rsidP="004A43B1">
      <w:pPr>
        <w:pStyle w:val="Bibliography"/>
        <w:spacing w:line="240" w:lineRule="auto"/>
        <w:jc w:val="both"/>
        <w:rPr>
          <w:rFonts w:ascii="Arial" w:hAnsi="Arial" w:cs="Arial"/>
          <w:sz w:val="20"/>
          <w:lang w:val="en-GB"/>
        </w:rPr>
      </w:pPr>
      <w:r w:rsidRPr="004A43B1">
        <w:rPr>
          <w:rFonts w:ascii="Arial" w:hAnsi="Arial" w:cs="Arial"/>
          <w:sz w:val="20"/>
          <w:lang w:val="en-GB"/>
        </w:rPr>
        <w:t xml:space="preserve">US-EPA. (2009). </w:t>
      </w:r>
      <w:r w:rsidRPr="004A43B1">
        <w:rPr>
          <w:rFonts w:ascii="Arial" w:hAnsi="Arial" w:cs="Arial"/>
          <w:i/>
          <w:iCs/>
          <w:sz w:val="20"/>
          <w:lang w:val="en-GB"/>
        </w:rPr>
        <w:t>Reregistration eligibility decision (RED) for S-metolachlor. United States Environmental Protection Agency (US-EPA)</w:t>
      </w:r>
      <w:r w:rsidRPr="004A43B1">
        <w:rPr>
          <w:rFonts w:ascii="Arial" w:hAnsi="Arial" w:cs="Arial"/>
          <w:sz w:val="20"/>
          <w:lang w:val="en-GB"/>
        </w:rPr>
        <w:t>. https://www.epa.gov/sites/default/files/2016-09/documents/s-metolachlor_red.pdf</w:t>
      </w:r>
    </w:p>
    <w:p w14:paraId="1B8C7FBB"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United States Environmental Protection Agency. (2023). Aquatic life benchmarks. https://www.epa.gov/pesticide-science-and-assessing-pesticide-risks/aquatic-life-benchmarks</w:t>
      </w:r>
    </w:p>
    <w:p w14:paraId="3E5B31A4" w14:textId="50F9D5D0" w:rsidR="004A43B1" w:rsidRPr="004A43B1" w:rsidRDefault="004A43B1" w:rsidP="004A43B1">
      <w:pPr>
        <w:pStyle w:val="Bibliography"/>
        <w:spacing w:line="240" w:lineRule="auto"/>
        <w:jc w:val="both"/>
        <w:rPr>
          <w:rFonts w:ascii="Arial" w:hAnsi="Arial" w:cs="Arial"/>
          <w:sz w:val="20"/>
          <w:lang w:val="en-GB"/>
        </w:rPr>
      </w:pPr>
      <w:r w:rsidRPr="002D4C9F">
        <w:rPr>
          <w:rFonts w:ascii="Arial" w:hAnsi="Arial" w:cs="Arial"/>
          <w:sz w:val="20"/>
          <w:lang w:val="en-IN"/>
        </w:rPr>
        <w:t xml:space="preserve">van der Werf, H. (1997). </w:t>
      </w:r>
      <w:r w:rsidRPr="004A43B1">
        <w:rPr>
          <w:rFonts w:ascii="Arial" w:hAnsi="Arial" w:cs="Arial"/>
          <w:sz w:val="20"/>
        </w:rPr>
        <w:t xml:space="preserve">Evaluer l’impact des pesticides sur l’environnement. </w:t>
      </w:r>
      <w:r w:rsidRPr="004A43B1">
        <w:rPr>
          <w:rFonts w:ascii="Arial" w:hAnsi="Arial" w:cs="Arial"/>
          <w:i/>
          <w:iCs/>
          <w:sz w:val="20"/>
          <w:lang w:val="en-GB"/>
        </w:rPr>
        <w:t>Courrier de l’environnement de l’INRA</w:t>
      </w:r>
      <w:r w:rsidRPr="004A43B1">
        <w:rPr>
          <w:rFonts w:ascii="Arial" w:hAnsi="Arial" w:cs="Arial"/>
          <w:sz w:val="20"/>
          <w:lang w:val="en-GB"/>
        </w:rPr>
        <w:t xml:space="preserve">, </w:t>
      </w:r>
      <w:r w:rsidRPr="004A43B1">
        <w:rPr>
          <w:rFonts w:ascii="Arial" w:hAnsi="Arial" w:cs="Arial"/>
          <w:i/>
          <w:iCs/>
          <w:sz w:val="20"/>
          <w:lang w:val="en-GB"/>
        </w:rPr>
        <w:t>31</w:t>
      </w:r>
      <w:r w:rsidRPr="004A43B1">
        <w:rPr>
          <w:rFonts w:ascii="Arial" w:hAnsi="Arial" w:cs="Arial"/>
          <w:sz w:val="20"/>
          <w:lang w:val="en-GB"/>
        </w:rPr>
        <w:t>, 5–22.</w:t>
      </w:r>
    </w:p>
    <w:p w14:paraId="0AAC0C90"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World Health Organization. (2017). Guidelines for drinking-water quality (Fourth edition incorporating the first addendum). https://apps.who.int/iris/handle/10665/254637</w:t>
      </w:r>
    </w:p>
    <w:p w14:paraId="5AB30EAF" w14:textId="42BDE94D" w:rsidR="004A43B1" w:rsidRPr="004A43B1" w:rsidRDefault="004A43B1" w:rsidP="004A43B1">
      <w:pPr>
        <w:pStyle w:val="Bibliography"/>
        <w:spacing w:line="240" w:lineRule="auto"/>
        <w:jc w:val="both"/>
        <w:rPr>
          <w:rFonts w:ascii="Arial" w:hAnsi="Arial" w:cs="Arial"/>
          <w:sz w:val="20"/>
          <w:lang w:val="en-GB"/>
        </w:rPr>
      </w:pPr>
      <w:r w:rsidRPr="002D4C9F">
        <w:rPr>
          <w:rFonts w:ascii="Arial" w:hAnsi="Arial" w:cs="Arial"/>
          <w:sz w:val="20"/>
        </w:rPr>
        <w:lastRenderedPageBreak/>
        <w:t xml:space="preserve">Yang, Y., Kang, Z., Xu, G., Wang, J., &amp; Yu, Y. (2023). </w:t>
      </w:r>
      <w:r w:rsidRPr="004A43B1">
        <w:rPr>
          <w:rFonts w:ascii="Arial" w:hAnsi="Arial" w:cs="Arial"/>
          <w:sz w:val="20"/>
          <w:lang w:val="en-GB"/>
        </w:rPr>
        <w:t xml:space="preserve">Degradation of bensulfuron methyl by nitrogen/boron codoped biochar activated peroxydisulfate at lower temperature. </w:t>
      </w:r>
      <w:r w:rsidRPr="004A43B1">
        <w:rPr>
          <w:rFonts w:ascii="Arial" w:hAnsi="Arial" w:cs="Arial"/>
          <w:i/>
          <w:iCs/>
          <w:sz w:val="20"/>
          <w:lang w:val="en-GB"/>
        </w:rPr>
        <w:t>Journal of Cleaner Production</w:t>
      </w:r>
      <w:r w:rsidRPr="004A43B1">
        <w:rPr>
          <w:rFonts w:ascii="Arial" w:hAnsi="Arial" w:cs="Arial"/>
          <w:sz w:val="20"/>
          <w:lang w:val="en-GB"/>
        </w:rPr>
        <w:t xml:space="preserve">, </w:t>
      </w:r>
      <w:r w:rsidRPr="004A43B1">
        <w:rPr>
          <w:rFonts w:ascii="Arial" w:hAnsi="Arial" w:cs="Arial"/>
          <w:i/>
          <w:iCs/>
          <w:sz w:val="20"/>
          <w:lang w:val="en-GB"/>
        </w:rPr>
        <w:t>402</w:t>
      </w:r>
      <w:r w:rsidRPr="004A43B1">
        <w:rPr>
          <w:rFonts w:ascii="Arial" w:hAnsi="Arial" w:cs="Arial"/>
          <w:sz w:val="20"/>
          <w:lang w:val="en-GB"/>
        </w:rPr>
        <w:t>, 136816. https://doi.org/10.1016/j.jclepro.2023.136816</w:t>
      </w:r>
    </w:p>
    <w:p w14:paraId="224736C1" w14:textId="77777777" w:rsidR="004A43B1" w:rsidRPr="004A43B1" w:rsidRDefault="004A43B1" w:rsidP="004A43B1">
      <w:pPr>
        <w:pStyle w:val="Bibliography"/>
        <w:spacing w:line="240" w:lineRule="auto"/>
        <w:jc w:val="both"/>
        <w:rPr>
          <w:rFonts w:ascii="Arial" w:hAnsi="Arial" w:cs="Arial"/>
          <w:sz w:val="20"/>
          <w:lang w:val="en-GB"/>
        </w:rPr>
      </w:pPr>
      <w:r w:rsidRPr="004A43B1">
        <w:rPr>
          <w:rFonts w:ascii="Arial" w:hAnsi="Arial" w:cs="Arial"/>
          <w:sz w:val="20"/>
          <w:lang w:val="en-GB"/>
        </w:rPr>
        <w:t xml:space="preserve">Zemolin, C. R., Avila, L. A., Cassol, G. V., Massey, J. H., &amp; Camargo, E. R. (2014). Environmental fate of S-Metolachlor: A review. </w:t>
      </w:r>
      <w:r w:rsidRPr="004A43B1">
        <w:rPr>
          <w:rFonts w:ascii="Arial" w:hAnsi="Arial" w:cs="Arial"/>
          <w:i/>
          <w:iCs/>
          <w:sz w:val="20"/>
          <w:lang w:val="en-GB"/>
        </w:rPr>
        <w:t>Planta Daninha</w:t>
      </w:r>
      <w:r w:rsidRPr="004A43B1">
        <w:rPr>
          <w:rFonts w:ascii="Arial" w:hAnsi="Arial" w:cs="Arial"/>
          <w:sz w:val="20"/>
          <w:lang w:val="en-GB"/>
        </w:rPr>
        <w:t xml:space="preserve">, </w:t>
      </w:r>
      <w:r w:rsidRPr="004A43B1">
        <w:rPr>
          <w:rFonts w:ascii="Arial" w:hAnsi="Arial" w:cs="Arial"/>
          <w:i/>
          <w:iCs/>
          <w:sz w:val="20"/>
          <w:lang w:val="en-GB"/>
        </w:rPr>
        <w:t>32</w:t>
      </w:r>
      <w:r w:rsidRPr="004A43B1">
        <w:rPr>
          <w:rFonts w:ascii="Arial" w:hAnsi="Arial" w:cs="Arial"/>
          <w:sz w:val="20"/>
          <w:lang w:val="en-GB"/>
        </w:rPr>
        <w:t>(3), 655–664. https://doi.org/10.1590/S0100-83582014000300022</w:t>
      </w:r>
    </w:p>
    <w:p w14:paraId="66193653" w14:textId="6E52F3A3" w:rsidR="00787367" w:rsidRPr="004A43B1" w:rsidRDefault="00EF30E4" w:rsidP="004A43B1">
      <w:pPr>
        <w:spacing w:after="0" w:line="240" w:lineRule="auto"/>
        <w:ind w:left="709" w:hanging="709"/>
        <w:jc w:val="both"/>
        <w:rPr>
          <w:rFonts w:ascii="Arial" w:hAnsi="Arial" w:cs="Arial"/>
          <w:i/>
          <w:iCs/>
          <w:sz w:val="20"/>
          <w:szCs w:val="20"/>
        </w:rPr>
      </w:pPr>
      <w:r w:rsidRPr="00EF30E4">
        <w:rPr>
          <w:rFonts w:ascii="Arial" w:hAnsi="Arial" w:cs="Arial"/>
          <w:i/>
          <w:iCs/>
          <w:sz w:val="20"/>
          <w:szCs w:val="20"/>
        </w:rPr>
        <w:fldChar w:fldCharType="end"/>
      </w:r>
    </w:p>
    <w:sectPr w:rsidR="00787367" w:rsidRPr="004A43B1" w:rsidSect="00D54BE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43215" w14:textId="77777777" w:rsidR="00620380" w:rsidRDefault="00620380" w:rsidP="0028449C">
      <w:pPr>
        <w:spacing w:after="0" w:line="240" w:lineRule="auto"/>
      </w:pPr>
      <w:r>
        <w:separator/>
      </w:r>
    </w:p>
  </w:endnote>
  <w:endnote w:type="continuationSeparator" w:id="0">
    <w:p w14:paraId="4BD20D6C" w14:textId="77777777" w:rsidR="00620380" w:rsidRDefault="00620380" w:rsidP="0028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15FD" w14:textId="77777777" w:rsidR="00D54BE1" w:rsidRDefault="00D54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086843"/>
      <w:docPartObj>
        <w:docPartGallery w:val="Page Numbers (Bottom of Page)"/>
        <w:docPartUnique/>
      </w:docPartObj>
    </w:sdtPr>
    <w:sdtEndPr/>
    <w:sdtContent>
      <w:p w14:paraId="150C89E4" w14:textId="77EAA117" w:rsidR="0028449C" w:rsidRDefault="0028449C">
        <w:pPr>
          <w:pStyle w:val="Footer"/>
          <w:jc w:val="right"/>
        </w:pPr>
        <w:r>
          <w:fldChar w:fldCharType="begin"/>
        </w:r>
        <w:r>
          <w:instrText>PAGE   \* MERGEFORMAT</w:instrText>
        </w:r>
        <w:r>
          <w:fldChar w:fldCharType="separate"/>
        </w:r>
        <w:r>
          <w:t>2</w:t>
        </w:r>
        <w:r>
          <w:fldChar w:fldCharType="end"/>
        </w:r>
      </w:p>
    </w:sdtContent>
  </w:sdt>
  <w:p w14:paraId="148A43E3" w14:textId="77777777" w:rsidR="0028449C" w:rsidRDefault="00284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5F35" w14:textId="77777777" w:rsidR="00D54BE1" w:rsidRDefault="00D54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5DE4A" w14:textId="77777777" w:rsidR="00620380" w:rsidRDefault="00620380" w:rsidP="0028449C">
      <w:pPr>
        <w:spacing w:after="0" w:line="240" w:lineRule="auto"/>
      </w:pPr>
      <w:r>
        <w:separator/>
      </w:r>
    </w:p>
  </w:footnote>
  <w:footnote w:type="continuationSeparator" w:id="0">
    <w:p w14:paraId="27008DA6" w14:textId="77777777" w:rsidR="00620380" w:rsidRDefault="00620380" w:rsidP="00284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F4EB1" w14:textId="11650E7D" w:rsidR="00D54BE1" w:rsidRDefault="00D54BE1">
    <w:pPr>
      <w:pStyle w:val="Header"/>
    </w:pPr>
    <w:r>
      <w:rPr>
        <w:noProof/>
      </w:rPr>
      <w:pict w14:anchorId="4C270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359782"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B61E" w14:textId="00AFBCFF" w:rsidR="00D54BE1" w:rsidRDefault="00D54BE1">
    <w:pPr>
      <w:pStyle w:val="Header"/>
    </w:pPr>
    <w:r>
      <w:rPr>
        <w:noProof/>
      </w:rPr>
      <w:pict w14:anchorId="0F851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359783"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A4DC" w14:textId="3A03A370" w:rsidR="00D54BE1" w:rsidRDefault="00D54BE1">
    <w:pPr>
      <w:pStyle w:val="Header"/>
    </w:pPr>
    <w:r>
      <w:rPr>
        <w:noProof/>
      </w:rPr>
      <w:pict w14:anchorId="5F1B6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359781"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4CDF"/>
    <w:multiLevelType w:val="multilevel"/>
    <w:tmpl w:val="8802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E37D9"/>
    <w:multiLevelType w:val="multilevel"/>
    <w:tmpl w:val="5D084F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134" w:hanging="41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C14DBF"/>
    <w:multiLevelType w:val="multilevel"/>
    <w:tmpl w:val="BDA2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E047A"/>
    <w:multiLevelType w:val="multilevel"/>
    <w:tmpl w:val="EEEA1A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134" w:hanging="41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770CBF"/>
    <w:multiLevelType w:val="multilevel"/>
    <w:tmpl w:val="B224B2F6"/>
    <w:lvl w:ilvl="0">
      <w:start w:val="1"/>
      <w:numFmt w:val="bullet"/>
      <w:lvlText w:val=""/>
      <w:lvlJc w:val="left"/>
      <w:pPr>
        <w:ind w:left="1134" w:hanging="414"/>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15:restartNumberingAfterBreak="0">
    <w:nsid w:val="18E07BF7"/>
    <w:multiLevelType w:val="multilevel"/>
    <w:tmpl w:val="1D4C2D3E"/>
    <w:lvl w:ilvl="0">
      <w:start w:val="1"/>
      <w:numFmt w:val="bullet"/>
      <w:lvlText w:val=""/>
      <w:lvlJc w:val="left"/>
      <w:pPr>
        <w:ind w:left="1134" w:hanging="414"/>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15:restartNumberingAfterBreak="0">
    <w:nsid w:val="193F344E"/>
    <w:multiLevelType w:val="multilevel"/>
    <w:tmpl w:val="7DF24996"/>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5B2F19"/>
    <w:multiLevelType w:val="multilevel"/>
    <w:tmpl w:val="7DF24996"/>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AF4452"/>
    <w:multiLevelType w:val="multilevel"/>
    <w:tmpl w:val="FA285780"/>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DE0EC3"/>
    <w:multiLevelType w:val="multilevel"/>
    <w:tmpl w:val="035660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DB51FE"/>
    <w:multiLevelType w:val="multilevel"/>
    <w:tmpl w:val="8F64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723DD"/>
    <w:multiLevelType w:val="multilevel"/>
    <w:tmpl w:val="118A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12BB0"/>
    <w:multiLevelType w:val="hybridMultilevel"/>
    <w:tmpl w:val="F95A7CDE"/>
    <w:lvl w:ilvl="0" w:tplc="60589F1A">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B4108A"/>
    <w:multiLevelType w:val="hybridMultilevel"/>
    <w:tmpl w:val="697AD21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0C04A8"/>
    <w:multiLevelType w:val="multilevel"/>
    <w:tmpl w:val="F0E28FDE"/>
    <w:lvl w:ilvl="0">
      <w:start w:val="1"/>
      <w:numFmt w:val="bullet"/>
      <w:lvlText w:val=""/>
      <w:lvlJc w:val="center"/>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B3FAC"/>
    <w:multiLevelType w:val="multilevel"/>
    <w:tmpl w:val="DD861182"/>
    <w:lvl w:ilvl="0">
      <w:start w:val="2"/>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154767"/>
    <w:multiLevelType w:val="hybridMultilevel"/>
    <w:tmpl w:val="E820B7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530578"/>
    <w:multiLevelType w:val="multilevel"/>
    <w:tmpl w:val="1056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567D50"/>
    <w:multiLevelType w:val="multilevel"/>
    <w:tmpl w:val="6F44EA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134" w:hanging="41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E01925"/>
    <w:multiLevelType w:val="multilevel"/>
    <w:tmpl w:val="AA76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B3C1C"/>
    <w:multiLevelType w:val="multilevel"/>
    <w:tmpl w:val="D62CF702"/>
    <w:lvl w:ilvl="0">
      <w:start w:val="2"/>
      <w:numFmt w:val="upperRoman"/>
      <w:lvlText w:val="%1."/>
      <w:lvlJc w:val="left"/>
      <w:pPr>
        <w:tabs>
          <w:tab w:val="num" w:pos="284"/>
        </w:tabs>
        <w:ind w:left="360" w:hanging="360"/>
      </w:pPr>
      <w:rPr>
        <w:rFonts w:hint="default"/>
      </w:rPr>
    </w:lvl>
    <w:lvl w:ilvl="1">
      <w:start w:val="4"/>
      <w:numFmt w:val="decimal"/>
      <w:lvlText w:val="%1.%2."/>
      <w:lvlJc w:val="left"/>
      <w:pPr>
        <w:tabs>
          <w:tab w:val="num" w:pos="567"/>
        </w:tabs>
        <w:ind w:left="720" w:hanging="360"/>
      </w:pPr>
      <w:rPr>
        <w:rFonts w:hint="default"/>
      </w:rPr>
    </w:lvl>
    <w:lvl w:ilvl="2">
      <w:start w:val="1"/>
      <w:numFmt w:val="decimal"/>
      <w:lvlRestart w:val="1"/>
      <w:lvlText w:val="%1.%2.%3."/>
      <w:lvlJc w:val="left"/>
      <w:pPr>
        <w:tabs>
          <w:tab w:val="num" w:pos="851"/>
        </w:tabs>
        <w:ind w:left="567" w:hanging="567"/>
      </w:pPr>
      <w:rPr>
        <w:rFonts w:hint="default"/>
        <w:b/>
        <w:bCs/>
      </w:rPr>
    </w:lvl>
    <w:lvl w:ilvl="3">
      <w:start w:val="1"/>
      <w:numFmt w:val="decimal"/>
      <w:lvlRestart w:val="1"/>
      <w:lvlText w:val="%1.%2.%3.%4."/>
      <w:lvlJc w:val="left"/>
      <w:pPr>
        <w:tabs>
          <w:tab w:val="num" w:pos="1134"/>
        </w:tabs>
        <w:ind w:left="1440" w:hanging="360"/>
      </w:pPr>
      <w:rPr>
        <w:rFonts w:hint="default"/>
      </w:rPr>
    </w:lvl>
    <w:lvl w:ilvl="4">
      <w:start w:val="1"/>
      <w:numFmt w:val="bullet"/>
      <w:lvlText w:val=""/>
      <w:lvlJc w:val="left"/>
      <w:pPr>
        <w:tabs>
          <w:tab w:val="num" w:pos="1474"/>
        </w:tabs>
        <w:ind w:left="1800" w:hanging="360"/>
      </w:pPr>
      <w:rPr>
        <w:rFonts w:ascii="Wingdings" w:hAnsi="Wingdings" w:hint="default"/>
      </w:rPr>
    </w:lvl>
    <w:lvl w:ilvl="5">
      <w:start w:val="1"/>
      <w:numFmt w:val="decimal"/>
      <w:lvlRestart w:val="1"/>
      <w:lvlText w:val="%1.%2.%3.%4.%5.%6."/>
      <w:lvlJc w:val="left"/>
      <w:pPr>
        <w:tabs>
          <w:tab w:val="num" w:pos="1985"/>
        </w:tabs>
        <w:ind w:left="2160" w:hanging="360"/>
      </w:pPr>
      <w:rPr>
        <w:rFonts w:ascii="Times New Roman" w:hAnsi="Times New Roman" w:hint="default"/>
        <w:sz w:val="24"/>
      </w:rPr>
    </w:lvl>
    <w:lvl w:ilvl="6">
      <w:start w:val="1"/>
      <w:numFmt w:val="decimal"/>
      <w:lvlText w:val="%7."/>
      <w:lvlJc w:val="left"/>
      <w:pPr>
        <w:tabs>
          <w:tab w:val="num" w:pos="2381"/>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20"/>
    <w:lvlOverride w:ilvl="0">
      <w:lvl w:ilvl="0">
        <w:start w:val="2"/>
        <w:numFmt w:val="upperRoman"/>
        <w:lvlText w:val="%1."/>
        <w:lvlJc w:val="left"/>
        <w:pPr>
          <w:tabs>
            <w:tab w:val="num" w:pos="284"/>
          </w:tabs>
          <w:ind w:left="360" w:hanging="360"/>
        </w:pPr>
        <w:rPr>
          <w:rFonts w:hint="default"/>
        </w:rPr>
      </w:lvl>
    </w:lvlOverride>
    <w:lvlOverride w:ilvl="1">
      <w:lvl w:ilvl="1">
        <w:start w:val="4"/>
        <w:numFmt w:val="decimal"/>
        <w:lvlText w:val="%1.%2."/>
        <w:lvlJc w:val="left"/>
        <w:pPr>
          <w:tabs>
            <w:tab w:val="num" w:pos="567"/>
          </w:tabs>
          <w:ind w:left="720" w:hanging="360"/>
        </w:pPr>
        <w:rPr>
          <w:rFonts w:hint="default"/>
        </w:rPr>
      </w:lvl>
    </w:lvlOverride>
    <w:lvlOverride w:ilvl="2">
      <w:lvl w:ilvl="2">
        <w:start w:val="1"/>
        <w:numFmt w:val="decimal"/>
        <w:lvlRestart w:val="1"/>
        <w:lvlText w:val="%1.%2.%3."/>
        <w:lvlJc w:val="left"/>
        <w:pPr>
          <w:tabs>
            <w:tab w:val="num" w:pos="851"/>
          </w:tabs>
          <w:ind w:left="567" w:hanging="567"/>
        </w:pPr>
        <w:rPr>
          <w:rFonts w:hint="default"/>
          <w:b/>
          <w:bCs/>
        </w:rPr>
      </w:lvl>
    </w:lvlOverride>
    <w:lvlOverride w:ilvl="3">
      <w:lvl w:ilvl="3">
        <w:start w:val="1"/>
        <w:numFmt w:val="decimal"/>
        <w:lvlRestart w:val="1"/>
        <w:lvlText w:val="%1.%2.%3.%4."/>
        <w:lvlJc w:val="left"/>
        <w:pPr>
          <w:tabs>
            <w:tab w:val="num" w:pos="1134"/>
          </w:tabs>
          <w:ind w:left="1440" w:hanging="360"/>
        </w:pPr>
        <w:rPr>
          <w:rFonts w:hint="default"/>
        </w:rPr>
      </w:lvl>
    </w:lvlOverride>
    <w:lvlOverride w:ilvl="4">
      <w:lvl w:ilvl="4">
        <w:start w:val="1"/>
        <w:numFmt w:val="bullet"/>
        <w:lvlText w:val=""/>
        <w:lvlJc w:val="left"/>
        <w:pPr>
          <w:tabs>
            <w:tab w:val="num" w:pos="1474"/>
          </w:tabs>
          <w:ind w:left="1134" w:hanging="414"/>
        </w:pPr>
        <w:rPr>
          <w:rFonts w:ascii="Wingdings" w:hAnsi="Wingdings" w:hint="default"/>
        </w:rPr>
      </w:lvl>
    </w:lvlOverride>
    <w:lvlOverride w:ilvl="5">
      <w:lvl w:ilvl="5">
        <w:start w:val="1"/>
        <w:numFmt w:val="decimal"/>
        <w:lvlRestart w:val="1"/>
        <w:lvlText w:val="%1.%2.%3.%4.%5.%6."/>
        <w:lvlJc w:val="left"/>
        <w:pPr>
          <w:tabs>
            <w:tab w:val="num" w:pos="1985"/>
          </w:tabs>
          <w:ind w:left="2160" w:hanging="360"/>
        </w:pPr>
        <w:rPr>
          <w:rFonts w:ascii="Times New Roman" w:hAnsi="Times New Roman" w:hint="default"/>
          <w:sz w:val="24"/>
        </w:rPr>
      </w:lvl>
    </w:lvlOverride>
    <w:lvlOverride w:ilvl="6">
      <w:lvl w:ilvl="6">
        <w:start w:val="1"/>
        <w:numFmt w:val="decimal"/>
        <w:lvlText w:val="%7."/>
        <w:lvlJc w:val="left"/>
        <w:pPr>
          <w:tabs>
            <w:tab w:val="num" w:pos="2381"/>
          </w:tabs>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0"/>
    <w:lvlOverride w:ilvl="0">
      <w:lvl w:ilvl="0">
        <w:start w:val="2"/>
        <w:numFmt w:val="upperRoman"/>
        <w:lvlText w:val="%1."/>
        <w:lvlJc w:val="left"/>
        <w:pPr>
          <w:tabs>
            <w:tab w:val="num" w:pos="284"/>
          </w:tabs>
          <w:ind w:left="360" w:hanging="360"/>
        </w:pPr>
        <w:rPr>
          <w:rFonts w:hint="default"/>
        </w:rPr>
      </w:lvl>
    </w:lvlOverride>
    <w:lvlOverride w:ilvl="1">
      <w:lvl w:ilvl="1">
        <w:start w:val="4"/>
        <w:numFmt w:val="decimal"/>
        <w:lvlText w:val="%1.%2."/>
        <w:lvlJc w:val="left"/>
        <w:pPr>
          <w:tabs>
            <w:tab w:val="num" w:pos="567"/>
          </w:tabs>
          <w:ind w:left="720" w:hanging="360"/>
        </w:pPr>
        <w:rPr>
          <w:rFonts w:hint="default"/>
        </w:rPr>
      </w:lvl>
    </w:lvlOverride>
    <w:lvlOverride w:ilvl="2">
      <w:lvl w:ilvl="2">
        <w:start w:val="1"/>
        <w:numFmt w:val="decimal"/>
        <w:lvlRestart w:val="1"/>
        <w:lvlText w:val="%1.%2.%3."/>
        <w:lvlJc w:val="left"/>
        <w:pPr>
          <w:tabs>
            <w:tab w:val="num" w:pos="851"/>
          </w:tabs>
          <w:ind w:left="567" w:hanging="567"/>
        </w:pPr>
        <w:rPr>
          <w:rFonts w:hint="default"/>
          <w:b/>
          <w:bCs/>
        </w:rPr>
      </w:lvl>
    </w:lvlOverride>
    <w:lvlOverride w:ilvl="3">
      <w:lvl w:ilvl="3">
        <w:start w:val="1"/>
        <w:numFmt w:val="decimal"/>
        <w:lvlRestart w:val="1"/>
        <w:lvlText w:val="%1.%2.%3.%4."/>
        <w:lvlJc w:val="left"/>
        <w:pPr>
          <w:tabs>
            <w:tab w:val="num" w:pos="1134"/>
          </w:tabs>
          <w:ind w:left="1440" w:hanging="360"/>
        </w:pPr>
        <w:rPr>
          <w:rFonts w:hint="default"/>
        </w:rPr>
      </w:lvl>
    </w:lvlOverride>
    <w:lvlOverride w:ilvl="4">
      <w:lvl w:ilvl="4">
        <w:start w:val="1"/>
        <w:numFmt w:val="bullet"/>
        <w:lvlText w:val=""/>
        <w:lvlJc w:val="left"/>
        <w:pPr>
          <w:tabs>
            <w:tab w:val="num" w:pos="1474"/>
          </w:tabs>
          <w:ind w:left="1134" w:hanging="414"/>
        </w:pPr>
        <w:rPr>
          <w:rFonts w:ascii="Wingdings" w:hAnsi="Wingdings" w:hint="default"/>
        </w:rPr>
      </w:lvl>
    </w:lvlOverride>
    <w:lvlOverride w:ilvl="5">
      <w:lvl w:ilvl="5">
        <w:start w:val="1"/>
        <w:numFmt w:val="decimal"/>
        <w:lvlRestart w:val="1"/>
        <w:lvlText w:val="%1.%2.%3.%4.%5.%6."/>
        <w:lvlJc w:val="left"/>
        <w:pPr>
          <w:tabs>
            <w:tab w:val="num" w:pos="1985"/>
          </w:tabs>
          <w:ind w:left="2160" w:hanging="360"/>
        </w:pPr>
        <w:rPr>
          <w:rFonts w:ascii="Times New Roman" w:hAnsi="Times New Roman" w:hint="default"/>
          <w:sz w:val="24"/>
        </w:rPr>
      </w:lvl>
    </w:lvlOverride>
    <w:lvlOverride w:ilvl="6">
      <w:lvl w:ilvl="6">
        <w:start w:val="1"/>
        <w:numFmt w:val="decimal"/>
        <w:lvlText w:val="%7."/>
        <w:lvlJc w:val="left"/>
        <w:pPr>
          <w:tabs>
            <w:tab w:val="num" w:pos="2381"/>
          </w:tabs>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
  </w:num>
  <w:num w:numId="5">
    <w:abstractNumId w:val="18"/>
  </w:num>
  <w:num w:numId="6">
    <w:abstractNumId w:val="3"/>
  </w:num>
  <w:num w:numId="7">
    <w:abstractNumId w:val="5"/>
  </w:num>
  <w:num w:numId="8">
    <w:abstractNumId w:val="4"/>
  </w:num>
  <w:num w:numId="9">
    <w:abstractNumId w:val="20"/>
    <w:lvlOverride w:ilvl="0">
      <w:lvl w:ilvl="0">
        <w:start w:val="2"/>
        <w:numFmt w:val="upperRoman"/>
        <w:lvlText w:val="%1."/>
        <w:lvlJc w:val="left"/>
        <w:pPr>
          <w:tabs>
            <w:tab w:val="num" w:pos="284"/>
          </w:tabs>
          <w:ind w:left="360" w:hanging="360"/>
        </w:pPr>
        <w:rPr>
          <w:rFonts w:hint="default"/>
        </w:rPr>
      </w:lvl>
    </w:lvlOverride>
    <w:lvlOverride w:ilvl="1">
      <w:lvl w:ilvl="1">
        <w:start w:val="4"/>
        <w:numFmt w:val="decimal"/>
        <w:lvlText w:val="%1.%2."/>
        <w:lvlJc w:val="left"/>
        <w:pPr>
          <w:tabs>
            <w:tab w:val="num" w:pos="567"/>
          </w:tabs>
          <w:ind w:left="720" w:hanging="360"/>
        </w:pPr>
        <w:rPr>
          <w:rFonts w:hint="default"/>
        </w:rPr>
      </w:lvl>
    </w:lvlOverride>
    <w:lvlOverride w:ilvl="2">
      <w:lvl w:ilvl="2">
        <w:start w:val="1"/>
        <w:numFmt w:val="decimal"/>
        <w:lvlRestart w:val="1"/>
        <w:lvlText w:val="%1.%2.%3."/>
        <w:lvlJc w:val="left"/>
        <w:pPr>
          <w:tabs>
            <w:tab w:val="num" w:pos="851"/>
          </w:tabs>
          <w:ind w:left="567" w:hanging="567"/>
        </w:pPr>
        <w:rPr>
          <w:rFonts w:hint="default"/>
          <w:b/>
          <w:bCs/>
        </w:rPr>
      </w:lvl>
    </w:lvlOverride>
    <w:lvlOverride w:ilvl="3">
      <w:lvl w:ilvl="3">
        <w:start w:val="1"/>
        <w:numFmt w:val="decimal"/>
        <w:lvlRestart w:val="1"/>
        <w:lvlText w:val="%1.%2.%3.%4."/>
        <w:lvlJc w:val="left"/>
        <w:pPr>
          <w:tabs>
            <w:tab w:val="num" w:pos="1134"/>
          </w:tabs>
          <w:ind w:left="1701" w:hanging="981"/>
        </w:pPr>
        <w:rPr>
          <w:rFonts w:hint="default"/>
        </w:rPr>
      </w:lvl>
    </w:lvlOverride>
    <w:lvlOverride w:ilvl="4">
      <w:lvl w:ilvl="4">
        <w:start w:val="1"/>
        <w:numFmt w:val="bullet"/>
        <w:lvlText w:val=""/>
        <w:lvlJc w:val="left"/>
        <w:pPr>
          <w:tabs>
            <w:tab w:val="num" w:pos="1474"/>
          </w:tabs>
          <w:ind w:left="1800" w:hanging="360"/>
        </w:pPr>
        <w:rPr>
          <w:rFonts w:ascii="Wingdings" w:hAnsi="Wingdings" w:hint="default"/>
        </w:rPr>
      </w:lvl>
    </w:lvlOverride>
    <w:lvlOverride w:ilvl="5">
      <w:lvl w:ilvl="5">
        <w:start w:val="1"/>
        <w:numFmt w:val="decimal"/>
        <w:lvlRestart w:val="1"/>
        <w:lvlText w:val="%1.%2.%3.%4.%5.%6."/>
        <w:lvlJc w:val="left"/>
        <w:pPr>
          <w:tabs>
            <w:tab w:val="num" w:pos="1985"/>
          </w:tabs>
          <w:ind w:left="2160" w:hanging="360"/>
        </w:pPr>
        <w:rPr>
          <w:rFonts w:ascii="Times New Roman" w:hAnsi="Times New Roman" w:hint="default"/>
          <w:sz w:val="24"/>
        </w:rPr>
      </w:lvl>
    </w:lvlOverride>
    <w:lvlOverride w:ilvl="6">
      <w:lvl w:ilvl="6">
        <w:start w:val="1"/>
        <w:numFmt w:val="decimal"/>
        <w:lvlText w:val="%7."/>
        <w:lvlJc w:val="left"/>
        <w:pPr>
          <w:tabs>
            <w:tab w:val="num" w:pos="2381"/>
          </w:tabs>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20"/>
    <w:lvlOverride w:ilvl="0">
      <w:lvl w:ilvl="0">
        <w:start w:val="2"/>
        <w:numFmt w:val="upperRoman"/>
        <w:lvlText w:val="%1."/>
        <w:lvlJc w:val="left"/>
        <w:pPr>
          <w:tabs>
            <w:tab w:val="num" w:pos="284"/>
          </w:tabs>
          <w:ind w:left="360" w:hanging="360"/>
        </w:pPr>
        <w:rPr>
          <w:rFonts w:hint="default"/>
        </w:rPr>
      </w:lvl>
    </w:lvlOverride>
    <w:lvlOverride w:ilvl="1">
      <w:lvl w:ilvl="1">
        <w:start w:val="4"/>
        <w:numFmt w:val="decimal"/>
        <w:lvlText w:val="%1.%2."/>
        <w:lvlJc w:val="left"/>
        <w:pPr>
          <w:tabs>
            <w:tab w:val="num" w:pos="567"/>
          </w:tabs>
          <w:ind w:left="720" w:hanging="360"/>
        </w:pPr>
        <w:rPr>
          <w:rFonts w:hint="default"/>
        </w:rPr>
      </w:lvl>
    </w:lvlOverride>
    <w:lvlOverride w:ilvl="2">
      <w:lvl w:ilvl="2">
        <w:start w:val="1"/>
        <w:numFmt w:val="decimal"/>
        <w:lvlRestart w:val="1"/>
        <w:lvlText w:val="%1.%2.%3."/>
        <w:lvlJc w:val="left"/>
        <w:pPr>
          <w:tabs>
            <w:tab w:val="num" w:pos="851"/>
          </w:tabs>
          <w:ind w:left="1080" w:hanging="360"/>
        </w:pPr>
        <w:rPr>
          <w:rFonts w:hint="default"/>
          <w:b/>
          <w:bCs/>
        </w:rPr>
      </w:lvl>
    </w:lvlOverride>
    <w:lvlOverride w:ilvl="3">
      <w:lvl w:ilvl="3">
        <w:start w:val="1"/>
        <w:numFmt w:val="decimal"/>
        <w:lvlRestart w:val="1"/>
        <w:lvlText w:val="%1.%2.%3.%4."/>
        <w:lvlJc w:val="left"/>
        <w:pPr>
          <w:tabs>
            <w:tab w:val="num" w:pos="1134"/>
          </w:tabs>
          <w:ind w:left="1440" w:hanging="360"/>
        </w:pPr>
        <w:rPr>
          <w:rFonts w:hint="default"/>
        </w:rPr>
      </w:lvl>
    </w:lvlOverride>
    <w:lvlOverride w:ilvl="4">
      <w:lvl w:ilvl="4">
        <w:start w:val="1"/>
        <w:numFmt w:val="decimal"/>
        <w:lvlText w:val="%1.%2.%3.%4.%5."/>
        <w:lvlJc w:val="left"/>
        <w:pPr>
          <w:tabs>
            <w:tab w:val="num" w:pos="1474"/>
          </w:tabs>
          <w:ind w:left="1701" w:hanging="981"/>
        </w:pPr>
        <w:rPr>
          <w:rFonts w:hint="default"/>
        </w:rPr>
      </w:lvl>
    </w:lvlOverride>
    <w:lvlOverride w:ilvl="5">
      <w:lvl w:ilvl="5">
        <w:start w:val="1"/>
        <w:numFmt w:val="decimal"/>
        <w:lvlRestart w:val="1"/>
        <w:lvlText w:val="%1.%2.%3.%4.%5.%6."/>
        <w:lvlJc w:val="left"/>
        <w:pPr>
          <w:tabs>
            <w:tab w:val="num" w:pos="1985"/>
          </w:tabs>
          <w:ind w:left="2160" w:hanging="360"/>
        </w:pPr>
        <w:rPr>
          <w:rFonts w:ascii="Times New Roman" w:hAnsi="Times New Roman" w:hint="default"/>
          <w:sz w:val="24"/>
        </w:rPr>
      </w:lvl>
    </w:lvlOverride>
    <w:lvlOverride w:ilvl="6">
      <w:lvl w:ilvl="6">
        <w:start w:val="1"/>
        <w:numFmt w:val="decimal"/>
        <w:lvlText w:val="%7."/>
        <w:lvlJc w:val="left"/>
        <w:pPr>
          <w:tabs>
            <w:tab w:val="num" w:pos="2381"/>
          </w:tabs>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20"/>
    <w:lvlOverride w:ilvl="0">
      <w:lvl w:ilvl="0">
        <w:start w:val="2"/>
        <w:numFmt w:val="upperRoman"/>
        <w:lvlText w:val="%1."/>
        <w:lvlJc w:val="left"/>
        <w:pPr>
          <w:tabs>
            <w:tab w:val="num" w:pos="284"/>
          </w:tabs>
          <w:ind w:left="360" w:hanging="360"/>
        </w:pPr>
        <w:rPr>
          <w:rFonts w:hint="default"/>
        </w:rPr>
      </w:lvl>
    </w:lvlOverride>
    <w:lvlOverride w:ilvl="1">
      <w:lvl w:ilvl="1">
        <w:start w:val="4"/>
        <w:numFmt w:val="decimal"/>
        <w:lvlText w:val="%1.%2."/>
        <w:lvlJc w:val="left"/>
        <w:pPr>
          <w:tabs>
            <w:tab w:val="num" w:pos="567"/>
          </w:tabs>
          <w:ind w:left="720" w:hanging="360"/>
        </w:pPr>
        <w:rPr>
          <w:rFonts w:hint="default"/>
        </w:rPr>
      </w:lvl>
    </w:lvlOverride>
    <w:lvlOverride w:ilvl="2">
      <w:lvl w:ilvl="2">
        <w:start w:val="1"/>
        <w:numFmt w:val="decimal"/>
        <w:lvlRestart w:val="1"/>
        <w:lvlText w:val="%1.%2.%3."/>
        <w:lvlJc w:val="left"/>
        <w:pPr>
          <w:tabs>
            <w:tab w:val="num" w:pos="851"/>
          </w:tabs>
          <w:ind w:left="1080" w:hanging="360"/>
        </w:pPr>
        <w:rPr>
          <w:rFonts w:hint="default"/>
          <w:b/>
          <w:bCs/>
        </w:rPr>
      </w:lvl>
    </w:lvlOverride>
    <w:lvlOverride w:ilvl="3">
      <w:lvl w:ilvl="3">
        <w:start w:val="1"/>
        <w:numFmt w:val="decimal"/>
        <w:lvlRestart w:val="1"/>
        <w:lvlText w:val="%1.%2.%3.%4."/>
        <w:lvlJc w:val="left"/>
        <w:pPr>
          <w:tabs>
            <w:tab w:val="num" w:pos="1134"/>
          </w:tabs>
          <w:ind w:left="1440" w:hanging="360"/>
        </w:pPr>
        <w:rPr>
          <w:rFonts w:hint="default"/>
        </w:rPr>
      </w:lvl>
    </w:lvlOverride>
    <w:lvlOverride w:ilvl="4">
      <w:lvl w:ilvl="4">
        <w:start w:val="1"/>
        <w:numFmt w:val="decimal"/>
        <w:lvlText w:val="%1.%2.%3.%4.%5."/>
        <w:lvlJc w:val="left"/>
        <w:pPr>
          <w:tabs>
            <w:tab w:val="num" w:pos="1474"/>
          </w:tabs>
          <w:ind w:left="1701" w:hanging="981"/>
        </w:pPr>
        <w:rPr>
          <w:rFonts w:hint="default"/>
        </w:rPr>
      </w:lvl>
    </w:lvlOverride>
    <w:lvlOverride w:ilvl="5">
      <w:lvl w:ilvl="5">
        <w:start w:val="1"/>
        <w:numFmt w:val="decimal"/>
        <w:lvlRestart w:val="1"/>
        <w:lvlText w:val="%1.%2.%3.%4.%5.%6."/>
        <w:lvlJc w:val="left"/>
        <w:pPr>
          <w:tabs>
            <w:tab w:val="num" w:pos="1985"/>
          </w:tabs>
          <w:ind w:left="2160" w:hanging="360"/>
        </w:pPr>
        <w:rPr>
          <w:rFonts w:ascii="Times New Roman" w:hAnsi="Times New Roman" w:hint="default"/>
          <w:sz w:val="24"/>
        </w:rPr>
      </w:lvl>
    </w:lvlOverride>
    <w:lvlOverride w:ilvl="6">
      <w:lvl w:ilvl="6">
        <w:start w:val="1"/>
        <w:numFmt w:val="decimal"/>
        <w:lvlText w:val="%7."/>
        <w:lvlJc w:val="left"/>
        <w:pPr>
          <w:tabs>
            <w:tab w:val="num" w:pos="2381"/>
          </w:tabs>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6"/>
  </w:num>
  <w:num w:numId="13">
    <w:abstractNumId w:val="13"/>
  </w:num>
  <w:num w:numId="14">
    <w:abstractNumId w:val="7"/>
  </w:num>
  <w:num w:numId="15">
    <w:abstractNumId w:val="8"/>
  </w:num>
  <w:num w:numId="16">
    <w:abstractNumId w:val="15"/>
  </w:num>
  <w:num w:numId="17">
    <w:abstractNumId w:val="19"/>
  </w:num>
  <w:num w:numId="18">
    <w:abstractNumId w:val="2"/>
  </w:num>
  <w:num w:numId="19">
    <w:abstractNumId w:val="9"/>
  </w:num>
  <w:num w:numId="20">
    <w:abstractNumId w:val="17"/>
  </w:num>
  <w:num w:numId="21">
    <w:abstractNumId w:val="10"/>
  </w:num>
  <w:num w:numId="22">
    <w:abstractNumId w:val="0"/>
  </w:num>
  <w:num w:numId="23">
    <w:abstractNumId w:val="11"/>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EC"/>
    <w:rsid w:val="00003764"/>
    <w:rsid w:val="000166BA"/>
    <w:rsid w:val="0002115B"/>
    <w:rsid w:val="000263B3"/>
    <w:rsid w:val="00027907"/>
    <w:rsid w:val="000327D9"/>
    <w:rsid w:val="00044137"/>
    <w:rsid w:val="00052B16"/>
    <w:rsid w:val="0005399C"/>
    <w:rsid w:val="0005685E"/>
    <w:rsid w:val="00057CB3"/>
    <w:rsid w:val="000721AB"/>
    <w:rsid w:val="000942D7"/>
    <w:rsid w:val="000A1D46"/>
    <w:rsid w:val="000A32A7"/>
    <w:rsid w:val="000B1EED"/>
    <w:rsid w:val="000B5DC5"/>
    <w:rsid w:val="000B7CAC"/>
    <w:rsid w:val="000C0DD4"/>
    <w:rsid w:val="000D0098"/>
    <w:rsid w:val="000E707F"/>
    <w:rsid w:val="000E711D"/>
    <w:rsid w:val="00103E77"/>
    <w:rsid w:val="00110607"/>
    <w:rsid w:val="00111568"/>
    <w:rsid w:val="0011534C"/>
    <w:rsid w:val="001162F7"/>
    <w:rsid w:val="00125245"/>
    <w:rsid w:val="0012554A"/>
    <w:rsid w:val="00127B47"/>
    <w:rsid w:val="001322E1"/>
    <w:rsid w:val="0014233F"/>
    <w:rsid w:val="0014246D"/>
    <w:rsid w:val="00147970"/>
    <w:rsid w:val="00155855"/>
    <w:rsid w:val="00163A4D"/>
    <w:rsid w:val="00165BBA"/>
    <w:rsid w:val="001806EB"/>
    <w:rsid w:val="001902A3"/>
    <w:rsid w:val="00196DAA"/>
    <w:rsid w:val="001B58C7"/>
    <w:rsid w:val="001C23D6"/>
    <w:rsid w:val="001D6F0A"/>
    <w:rsid w:val="001D711D"/>
    <w:rsid w:val="001E27E5"/>
    <w:rsid w:val="001F3FA8"/>
    <w:rsid w:val="001F50E5"/>
    <w:rsid w:val="00200228"/>
    <w:rsid w:val="00222D0A"/>
    <w:rsid w:val="00226459"/>
    <w:rsid w:val="002302E3"/>
    <w:rsid w:val="00233CF3"/>
    <w:rsid w:val="002471BD"/>
    <w:rsid w:val="0024775A"/>
    <w:rsid w:val="00252CCC"/>
    <w:rsid w:val="0025451F"/>
    <w:rsid w:val="00262522"/>
    <w:rsid w:val="002712AB"/>
    <w:rsid w:val="00275D08"/>
    <w:rsid w:val="002811D4"/>
    <w:rsid w:val="0028449C"/>
    <w:rsid w:val="002919BE"/>
    <w:rsid w:val="0029391A"/>
    <w:rsid w:val="002A0F6E"/>
    <w:rsid w:val="002A7900"/>
    <w:rsid w:val="002B27E0"/>
    <w:rsid w:val="002B5803"/>
    <w:rsid w:val="002C6ED1"/>
    <w:rsid w:val="002C7260"/>
    <w:rsid w:val="002D4AD0"/>
    <w:rsid w:val="002D4C9F"/>
    <w:rsid w:val="00302B5A"/>
    <w:rsid w:val="0032542B"/>
    <w:rsid w:val="003317D2"/>
    <w:rsid w:val="003374EC"/>
    <w:rsid w:val="00342236"/>
    <w:rsid w:val="00354C1D"/>
    <w:rsid w:val="00360C7B"/>
    <w:rsid w:val="003657A2"/>
    <w:rsid w:val="0036731A"/>
    <w:rsid w:val="00371EF0"/>
    <w:rsid w:val="003845C6"/>
    <w:rsid w:val="00396131"/>
    <w:rsid w:val="003A0B98"/>
    <w:rsid w:val="003A24F4"/>
    <w:rsid w:val="003B0155"/>
    <w:rsid w:val="003B5AD6"/>
    <w:rsid w:val="003E1643"/>
    <w:rsid w:val="003E1A38"/>
    <w:rsid w:val="003E30CA"/>
    <w:rsid w:val="003E312F"/>
    <w:rsid w:val="003F1E83"/>
    <w:rsid w:val="003F7AB1"/>
    <w:rsid w:val="004135E9"/>
    <w:rsid w:val="0041515F"/>
    <w:rsid w:val="0042019F"/>
    <w:rsid w:val="004367F4"/>
    <w:rsid w:val="00436D8A"/>
    <w:rsid w:val="00457F0A"/>
    <w:rsid w:val="00464A72"/>
    <w:rsid w:val="004726B8"/>
    <w:rsid w:val="00475004"/>
    <w:rsid w:val="0047779A"/>
    <w:rsid w:val="00495085"/>
    <w:rsid w:val="00495529"/>
    <w:rsid w:val="00495634"/>
    <w:rsid w:val="004A27BF"/>
    <w:rsid w:val="004A43B1"/>
    <w:rsid w:val="004B1C13"/>
    <w:rsid w:val="004B28DA"/>
    <w:rsid w:val="004C11AD"/>
    <w:rsid w:val="004E3C3B"/>
    <w:rsid w:val="004F4189"/>
    <w:rsid w:val="00514E95"/>
    <w:rsid w:val="00521D6A"/>
    <w:rsid w:val="00527C8D"/>
    <w:rsid w:val="005307B5"/>
    <w:rsid w:val="005315FC"/>
    <w:rsid w:val="00555DBC"/>
    <w:rsid w:val="00566DBA"/>
    <w:rsid w:val="0057204E"/>
    <w:rsid w:val="00577B31"/>
    <w:rsid w:val="0059015E"/>
    <w:rsid w:val="00594763"/>
    <w:rsid w:val="005A35B7"/>
    <w:rsid w:val="005A3EE0"/>
    <w:rsid w:val="005A4DDA"/>
    <w:rsid w:val="005A56FE"/>
    <w:rsid w:val="005B5B1A"/>
    <w:rsid w:val="005B6DD6"/>
    <w:rsid w:val="005C42C6"/>
    <w:rsid w:val="005C4BEA"/>
    <w:rsid w:val="005C5416"/>
    <w:rsid w:val="005C6031"/>
    <w:rsid w:val="005D2075"/>
    <w:rsid w:val="005D3FB4"/>
    <w:rsid w:val="005D60A9"/>
    <w:rsid w:val="005D7AF4"/>
    <w:rsid w:val="005E494A"/>
    <w:rsid w:val="005F420F"/>
    <w:rsid w:val="005F4E27"/>
    <w:rsid w:val="00604269"/>
    <w:rsid w:val="0061274B"/>
    <w:rsid w:val="00614756"/>
    <w:rsid w:val="00620380"/>
    <w:rsid w:val="00621FF9"/>
    <w:rsid w:val="0065229D"/>
    <w:rsid w:val="00667A6D"/>
    <w:rsid w:val="0068235C"/>
    <w:rsid w:val="0068329E"/>
    <w:rsid w:val="00684B3A"/>
    <w:rsid w:val="0069200B"/>
    <w:rsid w:val="006A3A81"/>
    <w:rsid w:val="006B2574"/>
    <w:rsid w:val="006B5D65"/>
    <w:rsid w:val="006C357B"/>
    <w:rsid w:val="006D12B9"/>
    <w:rsid w:val="006D153D"/>
    <w:rsid w:val="006E2F2E"/>
    <w:rsid w:val="006F5FB6"/>
    <w:rsid w:val="006F76B0"/>
    <w:rsid w:val="007001FA"/>
    <w:rsid w:val="00707388"/>
    <w:rsid w:val="007118D3"/>
    <w:rsid w:val="00720CA0"/>
    <w:rsid w:val="007217D9"/>
    <w:rsid w:val="007268A6"/>
    <w:rsid w:val="0073550A"/>
    <w:rsid w:val="00745D3F"/>
    <w:rsid w:val="007474B8"/>
    <w:rsid w:val="00756F4C"/>
    <w:rsid w:val="00762B30"/>
    <w:rsid w:val="007649C6"/>
    <w:rsid w:val="007749E3"/>
    <w:rsid w:val="00775356"/>
    <w:rsid w:val="00776E9C"/>
    <w:rsid w:val="00780A3D"/>
    <w:rsid w:val="00786500"/>
    <w:rsid w:val="00787367"/>
    <w:rsid w:val="00795DCE"/>
    <w:rsid w:val="007A1D5A"/>
    <w:rsid w:val="007A2952"/>
    <w:rsid w:val="007A6F69"/>
    <w:rsid w:val="007D4D4D"/>
    <w:rsid w:val="007F54A0"/>
    <w:rsid w:val="008128F6"/>
    <w:rsid w:val="0082118A"/>
    <w:rsid w:val="008221F2"/>
    <w:rsid w:val="00822E07"/>
    <w:rsid w:val="00841F37"/>
    <w:rsid w:val="00846A85"/>
    <w:rsid w:val="00854209"/>
    <w:rsid w:val="0086328E"/>
    <w:rsid w:val="008654BE"/>
    <w:rsid w:val="00877D35"/>
    <w:rsid w:val="008A2731"/>
    <w:rsid w:val="008A46EC"/>
    <w:rsid w:val="008A5EA1"/>
    <w:rsid w:val="008A7486"/>
    <w:rsid w:val="008B718D"/>
    <w:rsid w:val="008C0322"/>
    <w:rsid w:val="008C0BE3"/>
    <w:rsid w:val="008C1A7B"/>
    <w:rsid w:val="008C4AFA"/>
    <w:rsid w:val="008C5891"/>
    <w:rsid w:val="008F0C2D"/>
    <w:rsid w:val="008F46B1"/>
    <w:rsid w:val="008F49CA"/>
    <w:rsid w:val="008F77B0"/>
    <w:rsid w:val="00904CF8"/>
    <w:rsid w:val="009056B8"/>
    <w:rsid w:val="009109ED"/>
    <w:rsid w:val="00910B91"/>
    <w:rsid w:val="0092032F"/>
    <w:rsid w:val="00934F79"/>
    <w:rsid w:val="00943AC8"/>
    <w:rsid w:val="0094612F"/>
    <w:rsid w:val="00955557"/>
    <w:rsid w:val="00957DEE"/>
    <w:rsid w:val="00964854"/>
    <w:rsid w:val="00972423"/>
    <w:rsid w:val="009805E9"/>
    <w:rsid w:val="00986C9D"/>
    <w:rsid w:val="00990368"/>
    <w:rsid w:val="00992D54"/>
    <w:rsid w:val="009B57ED"/>
    <w:rsid w:val="009B5D41"/>
    <w:rsid w:val="009C2BAC"/>
    <w:rsid w:val="009C2C56"/>
    <w:rsid w:val="009C3EF4"/>
    <w:rsid w:val="009D0EE6"/>
    <w:rsid w:val="009D11D9"/>
    <w:rsid w:val="009D2766"/>
    <w:rsid w:val="009D77BA"/>
    <w:rsid w:val="009E3F8F"/>
    <w:rsid w:val="009F2AC2"/>
    <w:rsid w:val="009F3D50"/>
    <w:rsid w:val="00A008E7"/>
    <w:rsid w:val="00A012EB"/>
    <w:rsid w:val="00A27BE8"/>
    <w:rsid w:val="00A378AE"/>
    <w:rsid w:val="00A42A44"/>
    <w:rsid w:val="00A52E04"/>
    <w:rsid w:val="00A53BDF"/>
    <w:rsid w:val="00A54162"/>
    <w:rsid w:val="00A575B0"/>
    <w:rsid w:val="00A66776"/>
    <w:rsid w:val="00A701FC"/>
    <w:rsid w:val="00A72B43"/>
    <w:rsid w:val="00A809A3"/>
    <w:rsid w:val="00A875AC"/>
    <w:rsid w:val="00A91922"/>
    <w:rsid w:val="00AB2FCD"/>
    <w:rsid w:val="00AB77B6"/>
    <w:rsid w:val="00AC1E6C"/>
    <w:rsid w:val="00AC46C1"/>
    <w:rsid w:val="00AD04D4"/>
    <w:rsid w:val="00AE38A9"/>
    <w:rsid w:val="00AF3D47"/>
    <w:rsid w:val="00B06BFC"/>
    <w:rsid w:val="00B401CD"/>
    <w:rsid w:val="00B4309A"/>
    <w:rsid w:val="00B50CC5"/>
    <w:rsid w:val="00B51731"/>
    <w:rsid w:val="00B53807"/>
    <w:rsid w:val="00B5496F"/>
    <w:rsid w:val="00B578E8"/>
    <w:rsid w:val="00B6110D"/>
    <w:rsid w:val="00B61E02"/>
    <w:rsid w:val="00B64A1E"/>
    <w:rsid w:val="00B64B60"/>
    <w:rsid w:val="00B65A91"/>
    <w:rsid w:val="00B65F72"/>
    <w:rsid w:val="00B84DA9"/>
    <w:rsid w:val="00B87089"/>
    <w:rsid w:val="00BD13F7"/>
    <w:rsid w:val="00BD268B"/>
    <w:rsid w:val="00BE1A48"/>
    <w:rsid w:val="00BE563D"/>
    <w:rsid w:val="00BF1BBF"/>
    <w:rsid w:val="00C009EC"/>
    <w:rsid w:val="00C01C92"/>
    <w:rsid w:val="00C04E85"/>
    <w:rsid w:val="00C22254"/>
    <w:rsid w:val="00C2594A"/>
    <w:rsid w:val="00C26330"/>
    <w:rsid w:val="00C26EE6"/>
    <w:rsid w:val="00C375A8"/>
    <w:rsid w:val="00C42EEE"/>
    <w:rsid w:val="00C614E5"/>
    <w:rsid w:val="00C75314"/>
    <w:rsid w:val="00C820F7"/>
    <w:rsid w:val="00C90154"/>
    <w:rsid w:val="00C90A67"/>
    <w:rsid w:val="00C93B6D"/>
    <w:rsid w:val="00CA4622"/>
    <w:rsid w:val="00CA470A"/>
    <w:rsid w:val="00CA4965"/>
    <w:rsid w:val="00CB5E6F"/>
    <w:rsid w:val="00CC156E"/>
    <w:rsid w:val="00CD21C4"/>
    <w:rsid w:val="00CD2A39"/>
    <w:rsid w:val="00CD3B06"/>
    <w:rsid w:val="00CD44CF"/>
    <w:rsid w:val="00CD4EFE"/>
    <w:rsid w:val="00CD5B9B"/>
    <w:rsid w:val="00CE5CB7"/>
    <w:rsid w:val="00CF196E"/>
    <w:rsid w:val="00D10AB2"/>
    <w:rsid w:val="00D11A3E"/>
    <w:rsid w:val="00D35242"/>
    <w:rsid w:val="00D40CD5"/>
    <w:rsid w:val="00D43004"/>
    <w:rsid w:val="00D46E8C"/>
    <w:rsid w:val="00D54BE1"/>
    <w:rsid w:val="00D566C7"/>
    <w:rsid w:val="00D56E24"/>
    <w:rsid w:val="00D72C6B"/>
    <w:rsid w:val="00D734F3"/>
    <w:rsid w:val="00D74487"/>
    <w:rsid w:val="00D85F23"/>
    <w:rsid w:val="00D94F5D"/>
    <w:rsid w:val="00DC1BF3"/>
    <w:rsid w:val="00DC3E85"/>
    <w:rsid w:val="00DC5033"/>
    <w:rsid w:val="00DE33A1"/>
    <w:rsid w:val="00DF13DF"/>
    <w:rsid w:val="00DF34C4"/>
    <w:rsid w:val="00E10940"/>
    <w:rsid w:val="00E14D26"/>
    <w:rsid w:val="00E160CB"/>
    <w:rsid w:val="00E206B5"/>
    <w:rsid w:val="00E22F65"/>
    <w:rsid w:val="00E31F70"/>
    <w:rsid w:val="00E40270"/>
    <w:rsid w:val="00E537C1"/>
    <w:rsid w:val="00E53F8E"/>
    <w:rsid w:val="00E67DFD"/>
    <w:rsid w:val="00E80B5D"/>
    <w:rsid w:val="00E82B76"/>
    <w:rsid w:val="00E8430C"/>
    <w:rsid w:val="00E9637A"/>
    <w:rsid w:val="00EB05AA"/>
    <w:rsid w:val="00EB19AD"/>
    <w:rsid w:val="00EB2614"/>
    <w:rsid w:val="00EC0BB7"/>
    <w:rsid w:val="00EC237C"/>
    <w:rsid w:val="00EC296E"/>
    <w:rsid w:val="00ED3656"/>
    <w:rsid w:val="00EE0395"/>
    <w:rsid w:val="00EE1827"/>
    <w:rsid w:val="00EE6C41"/>
    <w:rsid w:val="00EF18A1"/>
    <w:rsid w:val="00EF30E4"/>
    <w:rsid w:val="00EF743B"/>
    <w:rsid w:val="00EF757D"/>
    <w:rsid w:val="00F01FAD"/>
    <w:rsid w:val="00F0769D"/>
    <w:rsid w:val="00F247EC"/>
    <w:rsid w:val="00F326E8"/>
    <w:rsid w:val="00F32F5C"/>
    <w:rsid w:val="00F437C7"/>
    <w:rsid w:val="00F60F16"/>
    <w:rsid w:val="00F64FEE"/>
    <w:rsid w:val="00F66CD9"/>
    <w:rsid w:val="00FB73EB"/>
    <w:rsid w:val="00FC5676"/>
    <w:rsid w:val="00FC71EB"/>
    <w:rsid w:val="00FE3AF6"/>
    <w:rsid w:val="00FE586E"/>
    <w:rsid w:val="00FF0FD6"/>
    <w:rsid w:val="00FF2F66"/>
    <w:rsid w:val="00FF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625C5"/>
  <w15:chartTrackingRefBased/>
  <w15:docId w15:val="{7597FB45-19C4-483C-BB5C-B53E5A3C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6EC"/>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8A4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6EC"/>
    <w:rPr>
      <w:rFonts w:eastAsiaTheme="majorEastAsia" w:cstheme="majorBidi"/>
      <w:color w:val="272727" w:themeColor="text1" w:themeTint="D8"/>
    </w:rPr>
  </w:style>
  <w:style w:type="paragraph" w:styleId="Title">
    <w:name w:val="Title"/>
    <w:basedOn w:val="Normal"/>
    <w:next w:val="Normal"/>
    <w:link w:val="TitleChar"/>
    <w:uiPriority w:val="10"/>
    <w:qFormat/>
    <w:rsid w:val="008A4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6EC"/>
    <w:pPr>
      <w:spacing w:before="160"/>
      <w:jc w:val="center"/>
    </w:pPr>
    <w:rPr>
      <w:i/>
      <w:iCs/>
      <w:color w:val="404040" w:themeColor="text1" w:themeTint="BF"/>
    </w:rPr>
  </w:style>
  <w:style w:type="character" w:customStyle="1" w:styleId="QuoteChar">
    <w:name w:val="Quote Char"/>
    <w:basedOn w:val="DefaultParagraphFont"/>
    <w:link w:val="Quote"/>
    <w:uiPriority w:val="29"/>
    <w:rsid w:val="008A46EC"/>
    <w:rPr>
      <w:i/>
      <w:iCs/>
      <w:color w:val="404040" w:themeColor="text1" w:themeTint="BF"/>
    </w:rPr>
  </w:style>
  <w:style w:type="paragraph" w:styleId="ListParagraph">
    <w:name w:val="List Paragraph"/>
    <w:basedOn w:val="Normal"/>
    <w:uiPriority w:val="34"/>
    <w:qFormat/>
    <w:rsid w:val="008A46EC"/>
    <w:pPr>
      <w:ind w:left="720"/>
      <w:contextualSpacing/>
    </w:pPr>
  </w:style>
  <w:style w:type="character" w:styleId="IntenseEmphasis">
    <w:name w:val="Intense Emphasis"/>
    <w:basedOn w:val="DefaultParagraphFont"/>
    <w:uiPriority w:val="21"/>
    <w:qFormat/>
    <w:rsid w:val="008A46EC"/>
    <w:rPr>
      <w:i/>
      <w:iCs/>
      <w:color w:val="0F4761" w:themeColor="accent1" w:themeShade="BF"/>
    </w:rPr>
  </w:style>
  <w:style w:type="paragraph" w:styleId="IntenseQuote">
    <w:name w:val="Intense Quote"/>
    <w:basedOn w:val="Normal"/>
    <w:next w:val="Normal"/>
    <w:link w:val="IntenseQuoteChar"/>
    <w:uiPriority w:val="30"/>
    <w:qFormat/>
    <w:rsid w:val="008A4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6EC"/>
    <w:rPr>
      <w:i/>
      <w:iCs/>
      <w:color w:val="0F4761" w:themeColor="accent1" w:themeShade="BF"/>
    </w:rPr>
  </w:style>
  <w:style w:type="character" w:styleId="IntenseReference">
    <w:name w:val="Intense Reference"/>
    <w:basedOn w:val="DefaultParagraphFont"/>
    <w:uiPriority w:val="32"/>
    <w:qFormat/>
    <w:rsid w:val="008A46EC"/>
    <w:rPr>
      <w:b/>
      <w:bCs/>
      <w:smallCaps/>
      <w:color w:val="0F4761" w:themeColor="accent1" w:themeShade="BF"/>
      <w:spacing w:val="5"/>
    </w:rPr>
  </w:style>
  <w:style w:type="paragraph" w:styleId="Caption">
    <w:name w:val="caption"/>
    <w:basedOn w:val="Normal"/>
    <w:next w:val="Normal"/>
    <w:uiPriority w:val="35"/>
    <w:unhideWhenUsed/>
    <w:qFormat/>
    <w:rsid w:val="008A46EC"/>
    <w:pPr>
      <w:spacing w:before="200" w:after="200" w:line="240" w:lineRule="auto"/>
      <w:ind w:firstLine="720"/>
      <w:jc w:val="both"/>
    </w:pPr>
    <w:rPr>
      <w:i/>
      <w:iCs/>
      <w:color w:val="0E2841" w:themeColor="text2"/>
      <w:sz w:val="18"/>
      <w:szCs w:val="18"/>
    </w:rPr>
  </w:style>
  <w:style w:type="table" w:styleId="TableGrid">
    <w:name w:val="Table Grid"/>
    <w:basedOn w:val="TableNormal"/>
    <w:uiPriority w:val="39"/>
    <w:rsid w:val="008A46EC"/>
    <w:pPr>
      <w:spacing w:before="200" w:after="0" w:line="240" w:lineRule="auto"/>
      <w:ind w:firstLine="720"/>
      <w:jc w:val="both"/>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8A46EC"/>
    <w:pPr>
      <w:spacing w:before="200" w:after="0" w:line="240" w:lineRule="auto"/>
      <w:jc w:val="both"/>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6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46EC"/>
    <w:rPr>
      <w:kern w:val="0"/>
      <w:sz w:val="22"/>
      <w:szCs w:val="22"/>
      <w:lang w:val="fr-FR"/>
      <w14:ligatures w14:val="none"/>
    </w:rPr>
  </w:style>
  <w:style w:type="paragraph" w:styleId="Footer">
    <w:name w:val="footer"/>
    <w:basedOn w:val="Normal"/>
    <w:link w:val="FooterChar"/>
    <w:uiPriority w:val="99"/>
    <w:unhideWhenUsed/>
    <w:rsid w:val="008A46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46EC"/>
    <w:rPr>
      <w:kern w:val="0"/>
      <w:sz w:val="22"/>
      <w:szCs w:val="22"/>
      <w:lang w:val="fr-FR"/>
      <w14:ligatures w14:val="none"/>
    </w:rPr>
  </w:style>
  <w:style w:type="paragraph" w:styleId="Revision">
    <w:name w:val="Revision"/>
    <w:hidden/>
    <w:uiPriority w:val="99"/>
    <w:semiHidden/>
    <w:rsid w:val="008A46EC"/>
    <w:pPr>
      <w:spacing w:after="0" w:line="240" w:lineRule="auto"/>
    </w:pPr>
    <w:rPr>
      <w:kern w:val="0"/>
      <w:sz w:val="22"/>
      <w:szCs w:val="22"/>
      <w:lang w:val="fr-FR"/>
      <w14:ligatures w14:val="none"/>
    </w:rPr>
  </w:style>
  <w:style w:type="character" w:styleId="Hyperlink">
    <w:name w:val="Hyperlink"/>
    <w:basedOn w:val="DefaultParagraphFont"/>
    <w:uiPriority w:val="99"/>
    <w:unhideWhenUsed/>
    <w:rsid w:val="008A46EC"/>
    <w:rPr>
      <w:color w:val="467886" w:themeColor="hyperlink"/>
      <w:u w:val="single"/>
    </w:rPr>
  </w:style>
  <w:style w:type="character" w:styleId="UnresolvedMention">
    <w:name w:val="Unresolved Mention"/>
    <w:basedOn w:val="DefaultParagraphFont"/>
    <w:uiPriority w:val="99"/>
    <w:semiHidden/>
    <w:unhideWhenUsed/>
    <w:rsid w:val="008A46EC"/>
    <w:rPr>
      <w:color w:val="605E5C"/>
      <w:shd w:val="clear" w:color="auto" w:fill="E1DFDD"/>
    </w:rPr>
  </w:style>
  <w:style w:type="character" w:styleId="CommentReference">
    <w:name w:val="annotation reference"/>
    <w:basedOn w:val="DefaultParagraphFont"/>
    <w:uiPriority w:val="99"/>
    <w:semiHidden/>
    <w:unhideWhenUsed/>
    <w:rsid w:val="00C75314"/>
    <w:rPr>
      <w:sz w:val="16"/>
      <w:szCs w:val="16"/>
    </w:rPr>
  </w:style>
  <w:style w:type="paragraph" w:styleId="CommentText">
    <w:name w:val="annotation text"/>
    <w:basedOn w:val="Normal"/>
    <w:link w:val="CommentTextChar"/>
    <w:uiPriority w:val="99"/>
    <w:unhideWhenUsed/>
    <w:rsid w:val="00C75314"/>
    <w:pPr>
      <w:spacing w:line="240" w:lineRule="auto"/>
    </w:pPr>
    <w:rPr>
      <w:sz w:val="20"/>
      <w:szCs w:val="20"/>
    </w:rPr>
  </w:style>
  <w:style w:type="character" w:customStyle="1" w:styleId="CommentTextChar">
    <w:name w:val="Comment Text Char"/>
    <w:basedOn w:val="DefaultParagraphFont"/>
    <w:link w:val="CommentText"/>
    <w:uiPriority w:val="99"/>
    <w:rsid w:val="00C75314"/>
    <w:rPr>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C75314"/>
    <w:rPr>
      <w:b/>
      <w:bCs/>
    </w:rPr>
  </w:style>
  <w:style w:type="character" w:customStyle="1" w:styleId="CommentSubjectChar">
    <w:name w:val="Comment Subject Char"/>
    <w:basedOn w:val="CommentTextChar"/>
    <w:link w:val="CommentSubject"/>
    <w:uiPriority w:val="99"/>
    <w:semiHidden/>
    <w:rsid w:val="00C75314"/>
    <w:rPr>
      <w:b/>
      <w:bCs/>
      <w:kern w:val="0"/>
      <w:sz w:val="20"/>
      <w:szCs w:val="20"/>
      <w:lang w:val="fr-FR"/>
      <w14:ligatures w14:val="none"/>
    </w:rPr>
  </w:style>
  <w:style w:type="paragraph" w:styleId="Bibliography">
    <w:name w:val="Bibliography"/>
    <w:basedOn w:val="Normal"/>
    <w:next w:val="Normal"/>
    <w:uiPriority w:val="37"/>
    <w:unhideWhenUsed/>
    <w:rsid w:val="00F64FEE"/>
    <w:pPr>
      <w:spacing w:after="0" w:line="480" w:lineRule="auto"/>
      <w:ind w:left="720" w:hanging="720"/>
    </w:pPr>
  </w:style>
  <w:style w:type="paragraph" w:customStyle="1" w:styleId="Body">
    <w:name w:val="Body"/>
    <w:basedOn w:val="Normal"/>
    <w:rsid w:val="00436D8A"/>
    <w:pPr>
      <w:spacing w:after="240" w:line="240" w:lineRule="auto"/>
      <w:jc w:val="both"/>
    </w:pPr>
    <w:rPr>
      <w:rFonts w:ascii="Helvetica" w:eastAsia="Times New Roman" w:hAnsi="Helvetica" w:cs="Times New Roman"/>
      <w:sz w:val="20"/>
      <w:szCs w:val="20"/>
      <w:lang w:val="en-US"/>
    </w:rPr>
  </w:style>
  <w:style w:type="character" w:styleId="LineNumber">
    <w:name w:val="line number"/>
    <w:basedOn w:val="DefaultParagraphFont"/>
    <w:uiPriority w:val="99"/>
    <w:semiHidden/>
    <w:unhideWhenUsed/>
    <w:rsid w:val="009056B8"/>
  </w:style>
  <w:style w:type="table" w:styleId="PlainTable2">
    <w:name w:val="Plain Table 2"/>
    <w:basedOn w:val="TableNormal"/>
    <w:uiPriority w:val="42"/>
    <w:rsid w:val="00C26E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26EE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C26EE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2411">
      <w:bodyDiv w:val="1"/>
      <w:marLeft w:val="0"/>
      <w:marRight w:val="0"/>
      <w:marTop w:val="0"/>
      <w:marBottom w:val="0"/>
      <w:divBdr>
        <w:top w:val="none" w:sz="0" w:space="0" w:color="auto"/>
        <w:left w:val="none" w:sz="0" w:space="0" w:color="auto"/>
        <w:bottom w:val="none" w:sz="0" w:space="0" w:color="auto"/>
        <w:right w:val="none" w:sz="0" w:space="0" w:color="auto"/>
      </w:divBdr>
    </w:div>
    <w:div w:id="117114350">
      <w:bodyDiv w:val="1"/>
      <w:marLeft w:val="0"/>
      <w:marRight w:val="0"/>
      <w:marTop w:val="0"/>
      <w:marBottom w:val="0"/>
      <w:divBdr>
        <w:top w:val="none" w:sz="0" w:space="0" w:color="auto"/>
        <w:left w:val="none" w:sz="0" w:space="0" w:color="auto"/>
        <w:bottom w:val="none" w:sz="0" w:space="0" w:color="auto"/>
        <w:right w:val="none" w:sz="0" w:space="0" w:color="auto"/>
      </w:divBdr>
    </w:div>
    <w:div w:id="138884387">
      <w:bodyDiv w:val="1"/>
      <w:marLeft w:val="0"/>
      <w:marRight w:val="0"/>
      <w:marTop w:val="0"/>
      <w:marBottom w:val="0"/>
      <w:divBdr>
        <w:top w:val="none" w:sz="0" w:space="0" w:color="auto"/>
        <w:left w:val="none" w:sz="0" w:space="0" w:color="auto"/>
        <w:bottom w:val="none" w:sz="0" w:space="0" w:color="auto"/>
        <w:right w:val="none" w:sz="0" w:space="0" w:color="auto"/>
      </w:divBdr>
    </w:div>
    <w:div w:id="384333933">
      <w:bodyDiv w:val="1"/>
      <w:marLeft w:val="0"/>
      <w:marRight w:val="0"/>
      <w:marTop w:val="0"/>
      <w:marBottom w:val="0"/>
      <w:divBdr>
        <w:top w:val="none" w:sz="0" w:space="0" w:color="auto"/>
        <w:left w:val="none" w:sz="0" w:space="0" w:color="auto"/>
        <w:bottom w:val="none" w:sz="0" w:space="0" w:color="auto"/>
        <w:right w:val="none" w:sz="0" w:space="0" w:color="auto"/>
      </w:divBdr>
    </w:div>
    <w:div w:id="514079101">
      <w:bodyDiv w:val="1"/>
      <w:marLeft w:val="0"/>
      <w:marRight w:val="0"/>
      <w:marTop w:val="0"/>
      <w:marBottom w:val="0"/>
      <w:divBdr>
        <w:top w:val="none" w:sz="0" w:space="0" w:color="auto"/>
        <w:left w:val="none" w:sz="0" w:space="0" w:color="auto"/>
        <w:bottom w:val="none" w:sz="0" w:space="0" w:color="auto"/>
        <w:right w:val="none" w:sz="0" w:space="0" w:color="auto"/>
      </w:divBdr>
    </w:div>
    <w:div w:id="596208971">
      <w:bodyDiv w:val="1"/>
      <w:marLeft w:val="0"/>
      <w:marRight w:val="0"/>
      <w:marTop w:val="0"/>
      <w:marBottom w:val="0"/>
      <w:divBdr>
        <w:top w:val="none" w:sz="0" w:space="0" w:color="auto"/>
        <w:left w:val="none" w:sz="0" w:space="0" w:color="auto"/>
        <w:bottom w:val="none" w:sz="0" w:space="0" w:color="auto"/>
        <w:right w:val="none" w:sz="0" w:space="0" w:color="auto"/>
      </w:divBdr>
    </w:div>
    <w:div w:id="675496357">
      <w:bodyDiv w:val="1"/>
      <w:marLeft w:val="0"/>
      <w:marRight w:val="0"/>
      <w:marTop w:val="0"/>
      <w:marBottom w:val="0"/>
      <w:divBdr>
        <w:top w:val="none" w:sz="0" w:space="0" w:color="auto"/>
        <w:left w:val="none" w:sz="0" w:space="0" w:color="auto"/>
        <w:bottom w:val="none" w:sz="0" w:space="0" w:color="auto"/>
        <w:right w:val="none" w:sz="0" w:space="0" w:color="auto"/>
      </w:divBdr>
    </w:div>
    <w:div w:id="786238618">
      <w:bodyDiv w:val="1"/>
      <w:marLeft w:val="0"/>
      <w:marRight w:val="0"/>
      <w:marTop w:val="0"/>
      <w:marBottom w:val="0"/>
      <w:divBdr>
        <w:top w:val="none" w:sz="0" w:space="0" w:color="auto"/>
        <w:left w:val="none" w:sz="0" w:space="0" w:color="auto"/>
        <w:bottom w:val="none" w:sz="0" w:space="0" w:color="auto"/>
        <w:right w:val="none" w:sz="0" w:space="0" w:color="auto"/>
      </w:divBdr>
    </w:div>
    <w:div w:id="793983860">
      <w:bodyDiv w:val="1"/>
      <w:marLeft w:val="0"/>
      <w:marRight w:val="0"/>
      <w:marTop w:val="0"/>
      <w:marBottom w:val="0"/>
      <w:divBdr>
        <w:top w:val="none" w:sz="0" w:space="0" w:color="auto"/>
        <w:left w:val="none" w:sz="0" w:space="0" w:color="auto"/>
        <w:bottom w:val="none" w:sz="0" w:space="0" w:color="auto"/>
        <w:right w:val="none" w:sz="0" w:space="0" w:color="auto"/>
      </w:divBdr>
    </w:div>
    <w:div w:id="848327226">
      <w:bodyDiv w:val="1"/>
      <w:marLeft w:val="0"/>
      <w:marRight w:val="0"/>
      <w:marTop w:val="0"/>
      <w:marBottom w:val="0"/>
      <w:divBdr>
        <w:top w:val="none" w:sz="0" w:space="0" w:color="auto"/>
        <w:left w:val="none" w:sz="0" w:space="0" w:color="auto"/>
        <w:bottom w:val="none" w:sz="0" w:space="0" w:color="auto"/>
        <w:right w:val="none" w:sz="0" w:space="0" w:color="auto"/>
      </w:divBdr>
    </w:div>
    <w:div w:id="1142818558">
      <w:bodyDiv w:val="1"/>
      <w:marLeft w:val="0"/>
      <w:marRight w:val="0"/>
      <w:marTop w:val="0"/>
      <w:marBottom w:val="0"/>
      <w:divBdr>
        <w:top w:val="none" w:sz="0" w:space="0" w:color="auto"/>
        <w:left w:val="none" w:sz="0" w:space="0" w:color="auto"/>
        <w:bottom w:val="none" w:sz="0" w:space="0" w:color="auto"/>
        <w:right w:val="none" w:sz="0" w:space="0" w:color="auto"/>
      </w:divBdr>
    </w:div>
    <w:div w:id="1192953824">
      <w:bodyDiv w:val="1"/>
      <w:marLeft w:val="0"/>
      <w:marRight w:val="0"/>
      <w:marTop w:val="0"/>
      <w:marBottom w:val="0"/>
      <w:divBdr>
        <w:top w:val="none" w:sz="0" w:space="0" w:color="auto"/>
        <w:left w:val="none" w:sz="0" w:space="0" w:color="auto"/>
        <w:bottom w:val="none" w:sz="0" w:space="0" w:color="auto"/>
        <w:right w:val="none" w:sz="0" w:space="0" w:color="auto"/>
      </w:divBdr>
    </w:div>
    <w:div w:id="1235552713">
      <w:bodyDiv w:val="1"/>
      <w:marLeft w:val="0"/>
      <w:marRight w:val="0"/>
      <w:marTop w:val="0"/>
      <w:marBottom w:val="0"/>
      <w:divBdr>
        <w:top w:val="none" w:sz="0" w:space="0" w:color="auto"/>
        <w:left w:val="none" w:sz="0" w:space="0" w:color="auto"/>
        <w:bottom w:val="none" w:sz="0" w:space="0" w:color="auto"/>
        <w:right w:val="none" w:sz="0" w:space="0" w:color="auto"/>
      </w:divBdr>
    </w:div>
    <w:div w:id="1355032906">
      <w:bodyDiv w:val="1"/>
      <w:marLeft w:val="0"/>
      <w:marRight w:val="0"/>
      <w:marTop w:val="0"/>
      <w:marBottom w:val="0"/>
      <w:divBdr>
        <w:top w:val="none" w:sz="0" w:space="0" w:color="auto"/>
        <w:left w:val="none" w:sz="0" w:space="0" w:color="auto"/>
        <w:bottom w:val="none" w:sz="0" w:space="0" w:color="auto"/>
        <w:right w:val="none" w:sz="0" w:space="0" w:color="auto"/>
      </w:divBdr>
    </w:div>
    <w:div w:id="1426731191">
      <w:bodyDiv w:val="1"/>
      <w:marLeft w:val="0"/>
      <w:marRight w:val="0"/>
      <w:marTop w:val="0"/>
      <w:marBottom w:val="0"/>
      <w:divBdr>
        <w:top w:val="none" w:sz="0" w:space="0" w:color="auto"/>
        <w:left w:val="none" w:sz="0" w:space="0" w:color="auto"/>
        <w:bottom w:val="none" w:sz="0" w:space="0" w:color="auto"/>
        <w:right w:val="none" w:sz="0" w:space="0" w:color="auto"/>
      </w:divBdr>
    </w:div>
    <w:div w:id="1536427482">
      <w:bodyDiv w:val="1"/>
      <w:marLeft w:val="0"/>
      <w:marRight w:val="0"/>
      <w:marTop w:val="0"/>
      <w:marBottom w:val="0"/>
      <w:divBdr>
        <w:top w:val="none" w:sz="0" w:space="0" w:color="auto"/>
        <w:left w:val="none" w:sz="0" w:space="0" w:color="auto"/>
        <w:bottom w:val="none" w:sz="0" w:space="0" w:color="auto"/>
        <w:right w:val="none" w:sz="0" w:space="0" w:color="auto"/>
      </w:divBdr>
      <w:divsChild>
        <w:div w:id="1190993060">
          <w:marLeft w:val="0"/>
          <w:marRight w:val="0"/>
          <w:marTop w:val="0"/>
          <w:marBottom w:val="0"/>
          <w:divBdr>
            <w:top w:val="none" w:sz="0" w:space="0" w:color="auto"/>
            <w:left w:val="none" w:sz="0" w:space="0" w:color="auto"/>
            <w:bottom w:val="none" w:sz="0" w:space="0" w:color="auto"/>
            <w:right w:val="none" w:sz="0" w:space="0" w:color="auto"/>
          </w:divBdr>
          <w:divsChild>
            <w:div w:id="12830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2429">
      <w:bodyDiv w:val="1"/>
      <w:marLeft w:val="0"/>
      <w:marRight w:val="0"/>
      <w:marTop w:val="0"/>
      <w:marBottom w:val="0"/>
      <w:divBdr>
        <w:top w:val="none" w:sz="0" w:space="0" w:color="auto"/>
        <w:left w:val="none" w:sz="0" w:space="0" w:color="auto"/>
        <w:bottom w:val="none" w:sz="0" w:space="0" w:color="auto"/>
        <w:right w:val="none" w:sz="0" w:space="0" w:color="auto"/>
      </w:divBdr>
    </w:div>
    <w:div w:id="1739130256">
      <w:bodyDiv w:val="1"/>
      <w:marLeft w:val="0"/>
      <w:marRight w:val="0"/>
      <w:marTop w:val="0"/>
      <w:marBottom w:val="0"/>
      <w:divBdr>
        <w:top w:val="none" w:sz="0" w:space="0" w:color="auto"/>
        <w:left w:val="none" w:sz="0" w:space="0" w:color="auto"/>
        <w:bottom w:val="none" w:sz="0" w:space="0" w:color="auto"/>
        <w:right w:val="none" w:sz="0" w:space="0" w:color="auto"/>
      </w:divBdr>
      <w:divsChild>
        <w:div w:id="981426242">
          <w:marLeft w:val="0"/>
          <w:marRight w:val="0"/>
          <w:marTop w:val="0"/>
          <w:marBottom w:val="0"/>
          <w:divBdr>
            <w:top w:val="none" w:sz="0" w:space="0" w:color="auto"/>
            <w:left w:val="none" w:sz="0" w:space="0" w:color="auto"/>
            <w:bottom w:val="none" w:sz="0" w:space="0" w:color="auto"/>
            <w:right w:val="none" w:sz="0" w:space="0" w:color="auto"/>
          </w:divBdr>
          <w:divsChild>
            <w:div w:id="598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88962">
      <w:bodyDiv w:val="1"/>
      <w:marLeft w:val="0"/>
      <w:marRight w:val="0"/>
      <w:marTop w:val="0"/>
      <w:marBottom w:val="0"/>
      <w:divBdr>
        <w:top w:val="none" w:sz="0" w:space="0" w:color="auto"/>
        <w:left w:val="none" w:sz="0" w:space="0" w:color="auto"/>
        <w:bottom w:val="none" w:sz="0" w:space="0" w:color="auto"/>
        <w:right w:val="none" w:sz="0" w:space="0" w:color="auto"/>
      </w:divBdr>
    </w:div>
    <w:div w:id="1811971726">
      <w:bodyDiv w:val="1"/>
      <w:marLeft w:val="0"/>
      <w:marRight w:val="0"/>
      <w:marTop w:val="0"/>
      <w:marBottom w:val="0"/>
      <w:divBdr>
        <w:top w:val="none" w:sz="0" w:space="0" w:color="auto"/>
        <w:left w:val="none" w:sz="0" w:space="0" w:color="auto"/>
        <w:bottom w:val="none" w:sz="0" w:space="0" w:color="auto"/>
        <w:right w:val="none" w:sz="0" w:space="0" w:color="auto"/>
      </w:divBdr>
    </w:div>
    <w:div w:id="1816946735">
      <w:bodyDiv w:val="1"/>
      <w:marLeft w:val="0"/>
      <w:marRight w:val="0"/>
      <w:marTop w:val="0"/>
      <w:marBottom w:val="0"/>
      <w:divBdr>
        <w:top w:val="none" w:sz="0" w:space="0" w:color="auto"/>
        <w:left w:val="none" w:sz="0" w:space="0" w:color="auto"/>
        <w:bottom w:val="none" w:sz="0" w:space="0" w:color="auto"/>
        <w:right w:val="none" w:sz="0" w:space="0" w:color="auto"/>
      </w:divBdr>
    </w:div>
    <w:div w:id="1829982643">
      <w:bodyDiv w:val="1"/>
      <w:marLeft w:val="0"/>
      <w:marRight w:val="0"/>
      <w:marTop w:val="0"/>
      <w:marBottom w:val="0"/>
      <w:divBdr>
        <w:top w:val="none" w:sz="0" w:space="0" w:color="auto"/>
        <w:left w:val="none" w:sz="0" w:space="0" w:color="auto"/>
        <w:bottom w:val="none" w:sz="0" w:space="0" w:color="auto"/>
        <w:right w:val="none" w:sz="0" w:space="0" w:color="auto"/>
      </w:divBdr>
    </w:div>
    <w:div w:id="1966307045">
      <w:bodyDiv w:val="1"/>
      <w:marLeft w:val="0"/>
      <w:marRight w:val="0"/>
      <w:marTop w:val="0"/>
      <w:marBottom w:val="0"/>
      <w:divBdr>
        <w:top w:val="none" w:sz="0" w:space="0" w:color="auto"/>
        <w:left w:val="none" w:sz="0" w:space="0" w:color="auto"/>
        <w:bottom w:val="none" w:sz="0" w:space="0" w:color="auto"/>
        <w:right w:val="none" w:sz="0" w:space="0" w:color="auto"/>
      </w:divBdr>
    </w:div>
    <w:div w:id="200188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CE0FF-DC72-4FB6-829A-8CD650ED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16341</Words>
  <Characters>93146</Characters>
  <Application>Microsoft Office Word</Application>
  <DocSecurity>0</DocSecurity>
  <Lines>776</Lines>
  <Paragraphs>218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Sévérin N'DO</dc:creator>
  <cp:keywords/>
  <dc:description/>
  <cp:lastModifiedBy>SDI 1084</cp:lastModifiedBy>
  <cp:revision>12</cp:revision>
  <dcterms:created xsi:type="dcterms:W3CDTF">2025-12-31T14:58:00Z</dcterms:created>
  <dcterms:modified xsi:type="dcterms:W3CDTF">2026-01-01T11:12:00Z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id="S5If8EKR"/&gt;&lt;style id="http://www.zotero.org/styles/accounting-forum" hasBibliography="1" bibliographyStyleHasBeenSet="1"/&gt;&lt;prefs&gt;&lt;pref name="fieldType" value="Field"/&gt;&lt;pref name="delayCitationUpd</vt:lpwstr>
  </property>
  <property fmtid="{D5CDD505-2E9C-101B-9397-08002B2CF9AE}" pid="3" name="ZOTERO_PREF_2">
    <vt:lpwstr>ates" value="true"/&gt;&lt;/prefs&gt;&lt;/data&gt;</vt:lpwstr>
  </property>
</Properties>
</file>