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CDD2D" w14:textId="4447C5C5" w:rsidR="00F3063C" w:rsidRDefault="00F3063C" w:rsidP="00F3063C">
      <w:pPr>
        <w:pStyle w:val="Author"/>
        <w:spacing w:line="240" w:lineRule="auto"/>
        <w:jc w:val="left"/>
        <w:rPr>
          <w:rFonts w:ascii="Arial" w:hAnsi="Arial" w:cs="Arial"/>
          <w:bCs/>
          <w:iCs/>
          <w:kern w:val="28"/>
          <w:sz w:val="36"/>
          <w:u w:val="single"/>
        </w:rPr>
      </w:pPr>
      <w:r w:rsidRPr="00F3063C">
        <w:rPr>
          <w:rFonts w:ascii="Arial" w:hAnsi="Arial" w:cs="Arial"/>
          <w:bCs/>
          <w:iCs/>
          <w:kern w:val="28"/>
          <w:sz w:val="36"/>
          <w:u w:val="single"/>
        </w:rPr>
        <w:t>Original Research Article</w:t>
      </w:r>
    </w:p>
    <w:p w14:paraId="2DC52F73" w14:textId="77777777" w:rsidR="00F3063C" w:rsidRPr="00F3063C" w:rsidRDefault="00F3063C" w:rsidP="00F3063C">
      <w:pPr>
        <w:pStyle w:val="Author"/>
        <w:spacing w:line="240" w:lineRule="auto"/>
        <w:jc w:val="left"/>
        <w:rPr>
          <w:rFonts w:ascii="Arial" w:hAnsi="Arial" w:cs="Arial"/>
          <w:bCs/>
          <w:iCs/>
          <w:kern w:val="28"/>
          <w:sz w:val="36"/>
          <w:u w:val="single"/>
        </w:rPr>
      </w:pPr>
    </w:p>
    <w:p w14:paraId="4960EAC8" w14:textId="031343CE" w:rsidR="00A258C3" w:rsidRDefault="00814539" w:rsidP="00814539">
      <w:pPr>
        <w:pStyle w:val="Author"/>
        <w:spacing w:line="240" w:lineRule="auto"/>
        <w:rPr>
          <w:rFonts w:ascii="Arial" w:hAnsi="Arial" w:cs="Arial"/>
          <w:bCs/>
          <w:iCs/>
          <w:kern w:val="28"/>
          <w:sz w:val="36"/>
        </w:rPr>
      </w:pPr>
      <w:r w:rsidRPr="00814539">
        <w:rPr>
          <w:rFonts w:ascii="Arial" w:hAnsi="Arial" w:cs="Arial"/>
          <w:bCs/>
          <w:iCs/>
          <w:kern w:val="28"/>
          <w:sz w:val="36"/>
        </w:rPr>
        <w:t>Comparative Evaluation of the Thermal Performance of Ventilated Fa</w:t>
      </w:r>
      <w:r w:rsidR="003D128C">
        <w:rPr>
          <w:rFonts w:ascii="Arial" w:hAnsi="Arial" w:cs="Arial"/>
          <w:bCs/>
          <w:iCs/>
          <w:kern w:val="28"/>
          <w:sz w:val="36"/>
        </w:rPr>
        <w:t>c</w:t>
      </w:r>
      <w:r w:rsidRPr="00814539">
        <w:rPr>
          <w:rFonts w:ascii="Arial" w:hAnsi="Arial" w:cs="Arial"/>
          <w:bCs/>
          <w:iCs/>
          <w:kern w:val="28"/>
          <w:sz w:val="36"/>
        </w:rPr>
        <w:t>ades in Warm–Semi-Arid Climates: Effect of Cladding Material and Air Cavity Thickness</w:t>
      </w:r>
    </w:p>
    <w:p w14:paraId="76EFABAB" w14:textId="77777777" w:rsidR="00814539" w:rsidRPr="00790ADA" w:rsidRDefault="00814539" w:rsidP="00814539">
      <w:pPr>
        <w:pStyle w:val="Author"/>
        <w:spacing w:line="240" w:lineRule="auto"/>
        <w:rPr>
          <w:rFonts w:ascii="Arial" w:hAnsi="Arial" w:cs="Arial"/>
          <w:sz w:val="36"/>
        </w:rPr>
      </w:pPr>
    </w:p>
    <w:p w14:paraId="1BB68CBB" w14:textId="77777777" w:rsidR="002C57D2" w:rsidRPr="00FB3A86" w:rsidRDefault="002C57D2" w:rsidP="00441B6F">
      <w:pPr>
        <w:pStyle w:val="Affiliation"/>
        <w:spacing w:after="0" w:line="240" w:lineRule="auto"/>
        <w:jc w:val="both"/>
        <w:rPr>
          <w:rFonts w:ascii="Arial" w:hAnsi="Arial" w:cs="Arial"/>
        </w:rPr>
      </w:pPr>
    </w:p>
    <w:p w14:paraId="5542A8BC" w14:textId="77777777" w:rsidR="00B01FCD" w:rsidRPr="00FB3A86" w:rsidRDefault="007A4F5D" w:rsidP="00441B6F">
      <w:pPr>
        <w:pStyle w:val="Copyright"/>
        <w:spacing w:after="0" w:line="240" w:lineRule="auto"/>
        <w:jc w:val="both"/>
        <w:rPr>
          <w:rFonts w:ascii="Arial" w:hAnsi="Arial" w:cs="Arial"/>
        </w:rPr>
        <w:sectPr w:rsidR="00B01FCD" w:rsidRPr="00FB3A86" w:rsidSect="00C633B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9501A6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78AFB48" w14:textId="5753FAC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9D6BA9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E88F6F1" w14:textId="77777777" w:rsidTr="001E44FE">
        <w:tc>
          <w:tcPr>
            <w:tcW w:w="9576" w:type="dxa"/>
            <w:shd w:val="clear" w:color="auto" w:fill="F2F2F2"/>
          </w:tcPr>
          <w:p w14:paraId="0C01EEE3" w14:textId="273243FD" w:rsidR="00814539" w:rsidRPr="00814539" w:rsidRDefault="00814539" w:rsidP="00814539">
            <w:pPr>
              <w:pStyle w:val="Body"/>
              <w:rPr>
                <w:rFonts w:ascii="Arial" w:eastAsia="Calibri" w:hAnsi="Arial" w:cs="Arial"/>
                <w:szCs w:val="22"/>
              </w:rPr>
            </w:pPr>
            <w:r w:rsidRPr="00814539">
              <w:rPr>
                <w:rFonts w:ascii="Arial" w:eastAsia="Calibri" w:hAnsi="Arial" w:cs="Arial"/>
                <w:szCs w:val="22"/>
              </w:rPr>
              <w:t>This study examines the high energy demand associated with cooling loads in buildings located in warm–semi-arid climates, focusing on ventilated fa</w:t>
            </w:r>
            <w:r w:rsidR="003D128C">
              <w:rPr>
                <w:rFonts w:ascii="Arial" w:eastAsia="Calibri" w:hAnsi="Arial" w:cs="Arial"/>
                <w:szCs w:val="22"/>
              </w:rPr>
              <w:t>c</w:t>
            </w:r>
            <w:r w:rsidRPr="00814539">
              <w:rPr>
                <w:rFonts w:ascii="Arial" w:eastAsia="Calibri" w:hAnsi="Arial" w:cs="Arial"/>
                <w:szCs w:val="22"/>
              </w:rPr>
              <w:t>ades as a passive strategy to reduce heat gain. Given the absence of clear design guidelines and the methodological inconsistency found in previous research for this specific climatic context, the study proposes a methodological framework to evaluate the thermal performance of different ventilated fa</w:t>
            </w:r>
            <w:r w:rsidR="003D128C">
              <w:rPr>
                <w:rFonts w:ascii="Arial" w:eastAsia="Calibri" w:hAnsi="Arial" w:cs="Arial"/>
                <w:szCs w:val="22"/>
              </w:rPr>
              <w:t>c</w:t>
            </w:r>
            <w:r w:rsidRPr="00814539">
              <w:rPr>
                <w:rFonts w:ascii="Arial" w:eastAsia="Calibri" w:hAnsi="Arial" w:cs="Arial"/>
                <w:szCs w:val="22"/>
              </w:rPr>
              <w:t>ade configurations.</w:t>
            </w:r>
          </w:p>
          <w:p w14:paraId="568D4839" w14:textId="5D8056EB" w:rsidR="00814539" w:rsidRPr="00814539" w:rsidRDefault="00814539" w:rsidP="00814539">
            <w:pPr>
              <w:pStyle w:val="Body"/>
              <w:rPr>
                <w:rFonts w:ascii="Arial" w:eastAsia="Calibri" w:hAnsi="Arial" w:cs="Arial"/>
                <w:szCs w:val="22"/>
              </w:rPr>
            </w:pPr>
            <w:r w:rsidRPr="00814539">
              <w:rPr>
                <w:rFonts w:ascii="Arial" w:eastAsia="Calibri" w:hAnsi="Arial" w:cs="Arial"/>
                <w:szCs w:val="22"/>
              </w:rPr>
              <w:t>The methodology was structured into three phases: (1) a review of specialized literature to identify critical variables influencing thermal behavior—primarily the properties of the exterior cladding and the geometry of the air cavity; (2) the development of an analytical matrix to refine and select key parameters; and (3) the construction of a comparative mathematical model. Based on this process, three cladding materials (</w:t>
            </w:r>
            <w:proofErr w:type="spellStart"/>
            <w:r w:rsidRPr="00814539">
              <w:rPr>
                <w:rFonts w:ascii="Arial" w:eastAsia="Calibri" w:hAnsi="Arial" w:cs="Arial"/>
                <w:szCs w:val="22"/>
              </w:rPr>
              <w:t>Dekton</w:t>
            </w:r>
            <w:proofErr w:type="spellEnd"/>
            <w:r w:rsidRPr="00814539">
              <w:rPr>
                <w:rFonts w:ascii="Arial" w:eastAsia="Calibri" w:hAnsi="Arial" w:cs="Arial"/>
                <w:szCs w:val="22"/>
              </w:rPr>
              <w:t>, porcelain ceramic, and fiber cement) and two air cavity depths (6 cm and 10 cm) were selected, resulting in six configurations.</w:t>
            </w:r>
          </w:p>
          <w:p w14:paraId="19C3694F" w14:textId="070319B5" w:rsidR="00814539" w:rsidRPr="00814539" w:rsidRDefault="00814539" w:rsidP="00814539">
            <w:pPr>
              <w:pStyle w:val="Body"/>
              <w:rPr>
                <w:rFonts w:ascii="Arial" w:eastAsia="Calibri" w:hAnsi="Arial" w:cs="Arial"/>
                <w:szCs w:val="22"/>
              </w:rPr>
            </w:pPr>
            <w:r w:rsidRPr="00814539">
              <w:rPr>
                <w:rFonts w:ascii="Arial" w:eastAsia="Calibri" w:hAnsi="Arial" w:cs="Arial"/>
                <w:szCs w:val="22"/>
              </w:rPr>
              <w:t xml:space="preserve">The thermal analysis was conducted using a one-dimensional series-resistance model applied to a case study consisting of a southwest-oriented classroom in the Biotechnology Building at the Universidad </w:t>
            </w:r>
            <w:proofErr w:type="spellStart"/>
            <w:r w:rsidRPr="00814539">
              <w:rPr>
                <w:rFonts w:ascii="Arial" w:eastAsia="Calibri" w:hAnsi="Arial" w:cs="Arial"/>
                <w:szCs w:val="22"/>
              </w:rPr>
              <w:t>Autónoma</w:t>
            </w:r>
            <w:proofErr w:type="spellEnd"/>
            <w:r w:rsidRPr="00814539">
              <w:rPr>
                <w:rFonts w:ascii="Arial" w:eastAsia="Calibri" w:hAnsi="Arial" w:cs="Arial"/>
                <w:szCs w:val="22"/>
              </w:rPr>
              <w:t xml:space="preserve"> de Querétaro, Mexico. A high heat-gain scenario was modeled, assuming an exterior temperature of 40 °C and an indoor temperature stabilized at 26 °C.</w:t>
            </w:r>
          </w:p>
          <w:p w14:paraId="7EA222F8" w14:textId="345D866A" w:rsidR="00814539" w:rsidRDefault="00814539" w:rsidP="00814539">
            <w:pPr>
              <w:pStyle w:val="Body"/>
              <w:spacing w:after="0"/>
              <w:rPr>
                <w:rFonts w:ascii="Arial" w:eastAsia="Calibri" w:hAnsi="Arial" w:cs="Arial"/>
                <w:szCs w:val="22"/>
              </w:rPr>
            </w:pPr>
            <w:r w:rsidRPr="00814539">
              <w:rPr>
                <w:rFonts w:ascii="Arial" w:eastAsia="Calibri" w:hAnsi="Arial" w:cs="Arial"/>
                <w:szCs w:val="22"/>
              </w:rPr>
              <w:t>Results indicate that the heat flux toward the interior ranged from 7.91 to 8.32 W/m². The air cavity was identified as the primary moderator of thermal load, while the cladding material exhibited only marginal influence, as the system’s highest thermal resistance is provided by the insulation layer. It is concluded that, under the steady-state approach adopted, the selection of the exterior cladding material has a limited impact on reducing direct heat flux. This study provides a quantitative methodological basis to support decision-making in the design of ventilated fa</w:t>
            </w:r>
            <w:r w:rsidR="003D128C">
              <w:rPr>
                <w:rFonts w:ascii="Arial" w:eastAsia="Calibri" w:hAnsi="Arial" w:cs="Arial"/>
                <w:szCs w:val="22"/>
              </w:rPr>
              <w:t>c</w:t>
            </w:r>
            <w:r w:rsidRPr="00814539">
              <w:rPr>
                <w:rFonts w:ascii="Arial" w:eastAsia="Calibri" w:hAnsi="Arial" w:cs="Arial"/>
                <w:szCs w:val="22"/>
              </w:rPr>
              <w:t>ades for warm–semi-arid climates</w:t>
            </w:r>
          </w:p>
          <w:p w14:paraId="68F588AB" w14:textId="16F036F1" w:rsidR="00814539" w:rsidRPr="00BA1B01" w:rsidRDefault="00814539" w:rsidP="00441B6F">
            <w:pPr>
              <w:pStyle w:val="Body"/>
              <w:spacing w:after="0"/>
              <w:rPr>
                <w:rFonts w:ascii="Arial" w:eastAsia="Calibri" w:hAnsi="Arial" w:cs="Arial"/>
                <w:szCs w:val="22"/>
              </w:rPr>
            </w:pPr>
          </w:p>
        </w:tc>
      </w:tr>
    </w:tbl>
    <w:p w14:paraId="577647D4" w14:textId="77777777" w:rsidR="00636EB2" w:rsidRDefault="00636EB2" w:rsidP="00441B6F">
      <w:pPr>
        <w:pStyle w:val="Body"/>
        <w:spacing w:after="0"/>
        <w:rPr>
          <w:rFonts w:ascii="Arial" w:hAnsi="Arial" w:cs="Arial"/>
          <w:i/>
        </w:rPr>
      </w:pPr>
    </w:p>
    <w:p w14:paraId="6FAE6668" w14:textId="1AE46DF7" w:rsidR="00A24E7E" w:rsidRDefault="00A24E7E" w:rsidP="00441B6F">
      <w:pPr>
        <w:pStyle w:val="Body"/>
        <w:spacing w:after="0"/>
        <w:rPr>
          <w:rFonts w:ascii="Arial" w:hAnsi="Arial" w:cs="Arial"/>
          <w:i/>
        </w:rPr>
      </w:pPr>
      <w:r>
        <w:rPr>
          <w:rFonts w:ascii="Arial" w:hAnsi="Arial" w:cs="Arial"/>
          <w:i/>
        </w:rPr>
        <w:t xml:space="preserve">Keywords: </w:t>
      </w:r>
      <w:r w:rsidR="00814539" w:rsidRPr="00814539">
        <w:rPr>
          <w:rFonts w:ascii="Arial" w:hAnsi="Arial" w:cs="Arial"/>
          <w:i/>
        </w:rPr>
        <w:t>Thermal analysis</w:t>
      </w:r>
      <w:r w:rsidR="00814539">
        <w:rPr>
          <w:rFonts w:ascii="Arial" w:hAnsi="Arial" w:cs="Arial"/>
          <w:i/>
        </w:rPr>
        <w:t>, p</w:t>
      </w:r>
      <w:r w:rsidR="00814539" w:rsidRPr="00814539">
        <w:rPr>
          <w:rFonts w:ascii="Arial" w:hAnsi="Arial" w:cs="Arial"/>
          <w:i/>
        </w:rPr>
        <w:t>arametric design</w:t>
      </w:r>
      <w:r w:rsidR="00814539">
        <w:rPr>
          <w:rFonts w:ascii="Arial" w:hAnsi="Arial" w:cs="Arial"/>
          <w:i/>
        </w:rPr>
        <w:t>, p</w:t>
      </w:r>
      <w:r w:rsidR="00814539" w:rsidRPr="00814539">
        <w:rPr>
          <w:rFonts w:ascii="Arial" w:hAnsi="Arial" w:cs="Arial"/>
          <w:i/>
        </w:rPr>
        <w:t>assive strategies</w:t>
      </w:r>
      <w:r w:rsidR="00814539">
        <w:rPr>
          <w:rFonts w:ascii="Arial" w:hAnsi="Arial" w:cs="Arial"/>
          <w:i/>
        </w:rPr>
        <w:t xml:space="preserve">, </w:t>
      </w:r>
      <w:r w:rsidR="00814539" w:rsidRPr="00814539">
        <w:rPr>
          <w:rFonts w:ascii="Arial" w:hAnsi="Arial" w:cs="Arial"/>
          <w:i/>
        </w:rPr>
        <w:t>energy efficiency</w:t>
      </w:r>
    </w:p>
    <w:p w14:paraId="630AC30D" w14:textId="77777777" w:rsidR="0024282C" w:rsidRDefault="0024282C" w:rsidP="00441B6F">
      <w:pPr>
        <w:pStyle w:val="Body"/>
        <w:spacing w:after="0"/>
        <w:rPr>
          <w:rFonts w:ascii="Arial" w:hAnsi="Arial" w:cs="Arial"/>
          <w:i/>
          <w:sz w:val="18"/>
        </w:rPr>
      </w:pPr>
    </w:p>
    <w:p w14:paraId="630098F1" w14:textId="77777777" w:rsidR="00365D43" w:rsidRDefault="00365D43" w:rsidP="00441B6F">
      <w:pPr>
        <w:pStyle w:val="AbstHead"/>
        <w:spacing w:after="0"/>
        <w:jc w:val="both"/>
        <w:rPr>
          <w:rFonts w:ascii="Arial" w:hAnsi="Arial" w:cs="Arial"/>
        </w:rPr>
      </w:pPr>
    </w:p>
    <w:p w14:paraId="38104B4F" w14:textId="5FB75A6C" w:rsidR="00365D43" w:rsidRDefault="00365D43" w:rsidP="00441B6F">
      <w:pPr>
        <w:pStyle w:val="AbstHead"/>
        <w:spacing w:after="0"/>
        <w:jc w:val="both"/>
        <w:rPr>
          <w:rFonts w:ascii="Arial" w:hAnsi="Arial" w:cs="Arial"/>
        </w:rPr>
      </w:pPr>
      <w:r>
        <w:rPr>
          <w:rFonts w:ascii="Arial" w:hAnsi="Arial" w:cs="Arial"/>
        </w:rPr>
        <w:t>F</w:t>
      </w:r>
      <w:r w:rsidRPr="00365D43">
        <w:rPr>
          <w:rFonts w:ascii="Arial" w:hAnsi="Arial" w:cs="Arial"/>
          <w:caps w:val="0"/>
        </w:rPr>
        <w:t>ig. 1. Effect of external factors on facade behavio</w:t>
      </w:r>
      <w:r>
        <w:rPr>
          <w:rFonts w:ascii="Arial" w:hAnsi="Arial" w:cs="Arial"/>
          <w:caps w:val="0"/>
        </w:rPr>
        <w:t>r</w:t>
      </w:r>
    </w:p>
    <w:p w14:paraId="3AE4732A" w14:textId="77777777" w:rsidR="00365D43" w:rsidRDefault="00365D43" w:rsidP="00441B6F">
      <w:pPr>
        <w:pStyle w:val="AbstHead"/>
        <w:spacing w:after="0"/>
        <w:jc w:val="both"/>
        <w:rPr>
          <w:rFonts w:ascii="Arial" w:hAnsi="Arial" w:cs="Arial"/>
        </w:rPr>
      </w:pPr>
    </w:p>
    <w:p w14:paraId="46647D1C" w14:textId="77777777" w:rsidR="00365D43" w:rsidRDefault="00365D43" w:rsidP="00441B6F">
      <w:pPr>
        <w:pStyle w:val="AbstHead"/>
        <w:spacing w:after="0"/>
        <w:jc w:val="both"/>
        <w:rPr>
          <w:rFonts w:ascii="Arial" w:hAnsi="Arial" w:cs="Arial"/>
        </w:rPr>
      </w:pPr>
    </w:p>
    <w:p w14:paraId="12B92519" w14:textId="77777777" w:rsidR="00365D43" w:rsidRDefault="00365D43" w:rsidP="00441B6F">
      <w:pPr>
        <w:pStyle w:val="AbstHead"/>
        <w:spacing w:after="0"/>
        <w:jc w:val="both"/>
        <w:rPr>
          <w:rFonts w:ascii="Arial" w:hAnsi="Arial" w:cs="Arial"/>
        </w:rPr>
      </w:pPr>
    </w:p>
    <w:p w14:paraId="59985EE8" w14:textId="7A89C78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57DD474" w14:textId="77777777" w:rsidR="00790ADA" w:rsidRPr="00FB3A86" w:rsidRDefault="00790ADA" w:rsidP="00441B6F">
      <w:pPr>
        <w:pStyle w:val="AbstHead"/>
        <w:spacing w:after="0"/>
        <w:jc w:val="both"/>
        <w:rPr>
          <w:rFonts w:ascii="Arial" w:hAnsi="Arial" w:cs="Arial"/>
        </w:rPr>
      </w:pPr>
    </w:p>
    <w:p w14:paraId="7FEAFB21" w14:textId="1A53D3B2" w:rsidR="008A3BDC" w:rsidRDefault="002247DA" w:rsidP="0030438A">
      <w:pPr>
        <w:pStyle w:val="Body"/>
        <w:spacing w:after="0"/>
        <w:rPr>
          <w:rFonts w:ascii="Arial" w:hAnsi="Arial" w:cs="Arial"/>
        </w:rPr>
      </w:pPr>
      <w:r w:rsidRPr="002247DA">
        <w:rPr>
          <w:rFonts w:ascii="Arial" w:hAnsi="Arial" w:cs="Arial"/>
        </w:rPr>
        <w:t>The building sector is one of the main global energy consumers, accounting for nearly 40% of total energy use, driven primarily by heating, cooling, and air-conditioning demands in warm regions (De Gracia et al., 2013).</w:t>
      </w:r>
    </w:p>
    <w:p w14:paraId="4ABBC31C" w14:textId="77777777" w:rsidR="002247DA" w:rsidRDefault="002247DA" w:rsidP="0030438A">
      <w:pPr>
        <w:pStyle w:val="Body"/>
        <w:spacing w:after="0"/>
        <w:rPr>
          <w:rFonts w:ascii="Arial" w:hAnsi="Arial" w:cs="Arial"/>
        </w:rPr>
      </w:pPr>
    </w:p>
    <w:p w14:paraId="1AB92386" w14:textId="094AE71C" w:rsidR="002247DA" w:rsidRDefault="002247DA" w:rsidP="0030438A">
      <w:pPr>
        <w:pStyle w:val="Body"/>
        <w:spacing w:after="0"/>
        <w:rPr>
          <w:rFonts w:ascii="Arial" w:hAnsi="Arial" w:cs="Arial"/>
        </w:rPr>
      </w:pPr>
      <w:r w:rsidRPr="002247DA">
        <w:rPr>
          <w:rFonts w:ascii="Arial" w:hAnsi="Arial" w:cs="Arial"/>
        </w:rPr>
        <w:t>This issue becomes more pronounced in hot semi-arid climates, where low humidity, high solar radiation, and elevated temperatures significantly increase cooling energy demand, as illustrated in Fig</w:t>
      </w:r>
      <w:r w:rsidR="00814539">
        <w:rPr>
          <w:rFonts w:ascii="Arial" w:hAnsi="Arial" w:cs="Arial"/>
        </w:rPr>
        <w:t>.</w:t>
      </w:r>
      <w:r w:rsidRPr="002247DA">
        <w:rPr>
          <w:rFonts w:ascii="Arial" w:hAnsi="Arial" w:cs="Arial"/>
        </w:rPr>
        <w:t xml:space="preserve"> 1 for a traditional fa</w:t>
      </w:r>
      <w:r>
        <w:rPr>
          <w:rFonts w:ascii="Arial" w:hAnsi="Arial" w:cs="Arial"/>
        </w:rPr>
        <w:t>c</w:t>
      </w:r>
      <w:r w:rsidRPr="002247DA">
        <w:rPr>
          <w:rFonts w:ascii="Arial" w:hAnsi="Arial" w:cs="Arial"/>
        </w:rPr>
        <w:t>ade. The pronounced thermal oscillation characteristic of this climate makes it an ideal context for studying the transient behavior of building envelopes.</w:t>
      </w:r>
    </w:p>
    <w:p w14:paraId="76F3D00A" w14:textId="0990C2CE" w:rsidR="00814539" w:rsidRDefault="00814539" w:rsidP="00814539">
      <w:pPr>
        <w:pStyle w:val="Caption"/>
        <w:jc w:val="center"/>
        <w:rPr>
          <w:rFonts w:ascii="Arial" w:hAnsi="Arial" w:cs="Arial"/>
          <w:b/>
          <w:bCs/>
          <w:color w:val="000000" w:themeColor="text1"/>
          <w:sz w:val="20"/>
          <w:szCs w:val="20"/>
        </w:rPr>
      </w:pPr>
      <w:r>
        <w:rPr>
          <w:rFonts w:ascii="Arial" w:hAnsi="Arial" w:cs="Arial"/>
          <w:noProof/>
        </w:rPr>
        <w:drawing>
          <wp:anchor distT="0" distB="0" distL="114300" distR="114300" simplePos="0" relativeHeight="251634688" behindDoc="0" locked="0" layoutInCell="1" allowOverlap="1" wp14:anchorId="5C8ECF17" wp14:editId="3BD8905F">
            <wp:simplePos x="0" y="0"/>
            <wp:positionH relativeFrom="margin">
              <wp:posOffset>1143635</wp:posOffset>
            </wp:positionH>
            <wp:positionV relativeFrom="margin">
              <wp:posOffset>1922780</wp:posOffset>
            </wp:positionV>
            <wp:extent cx="3067050" cy="2423160"/>
            <wp:effectExtent l="0" t="0" r="0" b="0"/>
            <wp:wrapTopAndBottom/>
            <wp:docPr id="6482673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67362" name="Imagen 648267362"/>
                    <pic:cNvPicPr/>
                  </pic:nvPicPr>
                  <pic:blipFill rotWithShape="1">
                    <a:blip r:embed="rId14" cstate="print">
                      <a:extLst>
                        <a:ext uri="{28A0092B-C50C-407E-A947-70E740481C1C}">
                          <a14:useLocalDpi xmlns:a14="http://schemas.microsoft.com/office/drawing/2010/main" val="0"/>
                        </a:ext>
                      </a:extLst>
                    </a:blip>
                    <a:srcRect l="12270" t="6855" r="10764" b="7060"/>
                    <a:stretch>
                      <a:fillRect/>
                    </a:stretch>
                  </pic:blipFill>
                  <pic:spPr bwMode="auto">
                    <a:xfrm>
                      <a:off x="0" y="0"/>
                      <a:ext cx="3067050" cy="2423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B38E55" w14:textId="27915429" w:rsidR="00651E72" w:rsidRDefault="00651E72" w:rsidP="00814539">
      <w:pPr>
        <w:pStyle w:val="Caption"/>
        <w:jc w:val="both"/>
        <w:rPr>
          <w:rFonts w:ascii="Arial" w:hAnsi="Arial" w:cs="Arial"/>
          <w:i w:val="0"/>
          <w:iCs w:val="0"/>
          <w:color w:val="auto"/>
          <w:sz w:val="20"/>
          <w:szCs w:val="20"/>
        </w:rPr>
      </w:pPr>
      <w:r w:rsidRPr="00651E72">
        <w:rPr>
          <w:rFonts w:ascii="Arial" w:hAnsi="Arial" w:cs="Arial"/>
          <w:i w:val="0"/>
          <w:iCs w:val="0"/>
          <w:color w:val="auto"/>
          <w:sz w:val="20"/>
          <w:szCs w:val="20"/>
        </w:rPr>
        <w:t>In response to this context, architecture and engineering have promoted the development of passive strategies aimed at improving the thermal performance of building envelopes. Among these, ventilated fa</w:t>
      </w:r>
      <w:r w:rsidR="003D128C">
        <w:rPr>
          <w:rFonts w:ascii="Arial" w:hAnsi="Arial" w:cs="Arial"/>
          <w:i w:val="0"/>
          <w:iCs w:val="0"/>
          <w:color w:val="auto"/>
          <w:sz w:val="20"/>
          <w:szCs w:val="20"/>
        </w:rPr>
        <w:t>c</w:t>
      </w:r>
      <w:r w:rsidRPr="00651E72">
        <w:rPr>
          <w:rFonts w:ascii="Arial" w:hAnsi="Arial" w:cs="Arial"/>
          <w:i w:val="0"/>
          <w:iCs w:val="0"/>
          <w:color w:val="auto"/>
          <w:sz w:val="20"/>
          <w:szCs w:val="20"/>
        </w:rPr>
        <w:t>ades have emerged as a relevant solution due to their ability to reduce heat gains, induce natural ventilation through the stack effect, and decrease cooling loads (</w:t>
      </w:r>
      <w:proofErr w:type="spellStart"/>
      <w:r w:rsidRPr="00651E72">
        <w:rPr>
          <w:rFonts w:ascii="Arial" w:hAnsi="Arial" w:cs="Arial"/>
          <w:i w:val="0"/>
          <w:iCs w:val="0"/>
          <w:color w:val="auto"/>
          <w:sz w:val="20"/>
          <w:szCs w:val="20"/>
        </w:rPr>
        <w:t>Schabowicz</w:t>
      </w:r>
      <w:proofErr w:type="spellEnd"/>
      <w:r w:rsidRPr="00651E72">
        <w:rPr>
          <w:rFonts w:ascii="Arial" w:hAnsi="Arial" w:cs="Arial"/>
          <w:i w:val="0"/>
          <w:iCs w:val="0"/>
          <w:color w:val="auto"/>
          <w:sz w:val="20"/>
          <w:szCs w:val="20"/>
        </w:rPr>
        <w:t xml:space="preserve"> &amp; </w:t>
      </w:r>
      <w:proofErr w:type="spellStart"/>
      <w:r w:rsidRPr="00651E72">
        <w:rPr>
          <w:rFonts w:ascii="Arial" w:hAnsi="Arial" w:cs="Arial"/>
          <w:i w:val="0"/>
          <w:iCs w:val="0"/>
          <w:color w:val="auto"/>
          <w:sz w:val="20"/>
          <w:szCs w:val="20"/>
        </w:rPr>
        <w:t>Zawiślak</w:t>
      </w:r>
      <w:proofErr w:type="spellEnd"/>
      <w:r w:rsidRPr="00651E72">
        <w:rPr>
          <w:rFonts w:ascii="Arial" w:hAnsi="Arial" w:cs="Arial"/>
          <w:i w:val="0"/>
          <w:iCs w:val="0"/>
          <w:color w:val="auto"/>
          <w:sz w:val="20"/>
          <w:szCs w:val="20"/>
        </w:rPr>
        <w:t>, 2020).</w:t>
      </w:r>
    </w:p>
    <w:p w14:paraId="3FDC8AEB" w14:textId="27230AC7" w:rsidR="00867DA5" w:rsidRDefault="00867DA5" w:rsidP="00814539">
      <w:pPr>
        <w:pStyle w:val="Caption"/>
        <w:jc w:val="both"/>
        <w:rPr>
          <w:rFonts w:ascii="Arial" w:hAnsi="Arial" w:cs="Arial"/>
          <w:i w:val="0"/>
          <w:iCs w:val="0"/>
          <w:color w:val="auto"/>
          <w:sz w:val="20"/>
          <w:szCs w:val="20"/>
        </w:rPr>
      </w:pPr>
      <w:r>
        <w:rPr>
          <w:rFonts w:ascii="Arial" w:hAnsi="Arial" w:cs="Arial"/>
          <w:b/>
          <w:bCs/>
          <w:color w:val="000000" w:themeColor="text1"/>
          <w:sz w:val="20"/>
          <w:szCs w:val="20"/>
        </w:rPr>
        <w:t xml:space="preserve">Fig. 2. </w:t>
      </w:r>
      <w:r w:rsidRPr="00077E3A">
        <w:rPr>
          <w:rFonts w:ascii="Arial" w:hAnsi="Arial" w:cs="Arial"/>
          <w:b/>
          <w:bCs/>
          <w:color w:val="000000" w:themeColor="text1"/>
          <w:sz w:val="20"/>
          <w:szCs w:val="20"/>
        </w:rPr>
        <w:t>Components and configuration of a ventilated facade system</w:t>
      </w:r>
    </w:p>
    <w:p w14:paraId="7B25F372" w14:textId="43459A65" w:rsidR="00651E72" w:rsidRDefault="00651E72" w:rsidP="00814539">
      <w:pPr>
        <w:pStyle w:val="Caption"/>
        <w:jc w:val="both"/>
        <w:rPr>
          <w:rFonts w:ascii="Arial" w:hAnsi="Arial" w:cs="Arial"/>
          <w:i w:val="0"/>
          <w:iCs w:val="0"/>
          <w:color w:val="auto"/>
          <w:sz w:val="20"/>
          <w:szCs w:val="20"/>
        </w:rPr>
      </w:pPr>
      <w:r w:rsidRPr="00651E72">
        <w:rPr>
          <w:rFonts w:ascii="Arial" w:hAnsi="Arial" w:cs="Arial"/>
          <w:i w:val="0"/>
          <w:iCs w:val="0"/>
          <w:color w:val="auto"/>
          <w:sz w:val="20"/>
          <w:szCs w:val="20"/>
        </w:rPr>
        <w:t>This multilayer system incorporates an external cladding, a structural support, and an air cavity positioned in front of the traditional fa</w:t>
      </w:r>
      <w:r>
        <w:rPr>
          <w:rFonts w:ascii="Arial" w:hAnsi="Arial" w:cs="Arial"/>
          <w:i w:val="0"/>
          <w:iCs w:val="0"/>
          <w:color w:val="auto"/>
          <w:sz w:val="20"/>
          <w:szCs w:val="20"/>
        </w:rPr>
        <w:t>c</w:t>
      </w:r>
      <w:r w:rsidRPr="00651E72">
        <w:rPr>
          <w:rFonts w:ascii="Arial" w:hAnsi="Arial" w:cs="Arial"/>
          <w:i w:val="0"/>
          <w:iCs w:val="0"/>
          <w:color w:val="auto"/>
          <w:sz w:val="20"/>
          <w:szCs w:val="20"/>
        </w:rPr>
        <w:t>ade, as shown in Fig</w:t>
      </w:r>
      <w:r w:rsidR="00814539">
        <w:rPr>
          <w:rFonts w:ascii="Arial" w:hAnsi="Arial" w:cs="Arial"/>
          <w:i w:val="0"/>
          <w:iCs w:val="0"/>
          <w:color w:val="auto"/>
          <w:sz w:val="20"/>
          <w:szCs w:val="20"/>
        </w:rPr>
        <w:t>.</w:t>
      </w:r>
      <w:r w:rsidRPr="00651E72">
        <w:rPr>
          <w:rFonts w:ascii="Arial" w:hAnsi="Arial" w:cs="Arial"/>
          <w:i w:val="0"/>
          <w:iCs w:val="0"/>
          <w:color w:val="auto"/>
          <w:sz w:val="20"/>
          <w:szCs w:val="20"/>
        </w:rPr>
        <w:t xml:space="preserve"> 2</w:t>
      </w:r>
      <w:r w:rsidR="00814539">
        <w:rPr>
          <w:rFonts w:ascii="Arial" w:hAnsi="Arial" w:cs="Arial"/>
          <w:i w:val="0"/>
          <w:iCs w:val="0"/>
          <w:color w:val="auto"/>
          <w:sz w:val="20"/>
          <w:szCs w:val="20"/>
        </w:rPr>
        <w:t xml:space="preserve">. </w:t>
      </w:r>
      <w:r w:rsidRPr="00651E72">
        <w:rPr>
          <w:rFonts w:ascii="Arial" w:hAnsi="Arial" w:cs="Arial"/>
          <w:i w:val="0"/>
          <w:iCs w:val="0"/>
          <w:color w:val="auto"/>
          <w:sz w:val="20"/>
          <w:szCs w:val="20"/>
        </w:rPr>
        <w:t>This configuration facilitates the upward movement of heated air within the cavity, promoting its evacuation and allowing the entry of cooler air. Consequently, it helps mitigate solar loads and stabilize the interior surface temperature (Pizzatto et al., 2025).</w:t>
      </w:r>
    </w:p>
    <w:p w14:paraId="1315322E" w14:textId="55CB671F" w:rsidR="005907FC" w:rsidRPr="005907FC" w:rsidRDefault="005907FC" w:rsidP="002247DA">
      <w:pPr>
        <w:pStyle w:val="Caption"/>
        <w:jc w:val="center"/>
        <w:rPr>
          <w:rFonts w:ascii="Arial" w:hAnsi="Arial" w:cs="Arial"/>
          <w:b/>
          <w:bCs/>
          <w:color w:val="000000" w:themeColor="text1"/>
          <w:sz w:val="20"/>
          <w:szCs w:val="20"/>
        </w:rPr>
      </w:pPr>
      <w:r>
        <w:rPr>
          <w:rFonts w:ascii="Arial" w:hAnsi="Arial" w:cs="Arial"/>
          <w:noProof/>
          <w:sz w:val="24"/>
          <w:szCs w:val="24"/>
        </w:rPr>
        <w:lastRenderedPageBreak/>
        <w:drawing>
          <wp:anchor distT="0" distB="0" distL="114300" distR="114300" simplePos="0" relativeHeight="251659776" behindDoc="0" locked="0" layoutInCell="1" allowOverlap="1" wp14:anchorId="3B5AC1E8" wp14:editId="113CD6A1">
            <wp:simplePos x="0" y="0"/>
            <wp:positionH relativeFrom="margin">
              <wp:posOffset>767715</wp:posOffset>
            </wp:positionH>
            <wp:positionV relativeFrom="margin">
              <wp:posOffset>0</wp:posOffset>
            </wp:positionV>
            <wp:extent cx="3705225" cy="2506980"/>
            <wp:effectExtent l="0" t="0" r="0" b="0"/>
            <wp:wrapTopAndBottom/>
            <wp:docPr id="66192368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923687" name="Imagen 661923687"/>
                    <pic:cNvPicPr/>
                  </pic:nvPicPr>
                  <pic:blipFill rotWithShape="1">
                    <a:blip r:embed="rId15" cstate="print">
                      <a:extLst>
                        <a:ext uri="{28A0092B-C50C-407E-A947-70E740481C1C}">
                          <a14:useLocalDpi xmlns:a14="http://schemas.microsoft.com/office/drawing/2010/main" val="0"/>
                        </a:ext>
                      </a:extLst>
                    </a:blip>
                    <a:srcRect l="9579" t="14168" r="11842" b="10568"/>
                    <a:stretch>
                      <a:fillRect/>
                    </a:stretch>
                  </pic:blipFill>
                  <pic:spPr bwMode="auto">
                    <a:xfrm>
                      <a:off x="0" y="0"/>
                      <a:ext cx="3705225" cy="2506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1F0FB4" w14:textId="257FEBA1" w:rsidR="008A3BDC" w:rsidRDefault="00651E72" w:rsidP="0030438A">
      <w:pPr>
        <w:pStyle w:val="Body"/>
        <w:spacing w:after="0"/>
        <w:rPr>
          <w:rFonts w:ascii="Arial" w:hAnsi="Arial" w:cs="Arial"/>
        </w:rPr>
      </w:pPr>
      <w:r w:rsidRPr="00651E72">
        <w:rPr>
          <w:rFonts w:ascii="Arial" w:hAnsi="Arial" w:cs="Arial"/>
        </w:rPr>
        <w:t>Ventilated fa</w:t>
      </w:r>
      <w:r w:rsidR="00A30B59">
        <w:rPr>
          <w:rFonts w:ascii="Arial" w:hAnsi="Arial" w:cs="Arial"/>
        </w:rPr>
        <w:t>c</w:t>
      </w:r>
      <w:r w:rsidRPr="00651E72">
        <w:rPr>
          <w:rFonts w:ascii="Arial" w:hAnsi="Arial" w:cs="Arial"/>
        </w:rPr>
        <w:t>ades have proven to be a high-performance strategy for both new construction and retrofitting, enhancing thermal resistance and reducing overheating (</w:t>
      </w:r>
      <w:proofErr w:type="spellStart"/>
      <w:r w:rsidRPr="00651E72">
        <w:rPr>
          <w:rFonts w:ascii="Arial" w:hAnsi="Arial" w:cs="Arial"/>
        </w:rPr>
        <w:t>Colinart</w:t>
      </w:r>
      <w:proofErr w:type="spellEnd"/>
      <w:r w:rsidRPr="00651E72">
        <w:rPr>
          <w:rFonts w:ascii="Arial" w:hAnsi="Arial" w:cs="Arial"/>
        </w:rPr>
        <w:t xml:space="preserve"> et al., 2019). However, their performance depends on the interaction among cladding properties, system geometry, and external climatic conditions (Aparicio-Fernández et al., 2014; El Dallal et al., 2024). This complexity has led to diverse results, limiting the extrapolation of useful conclusions for design.</w:t>
      </w:r>
    </w:p>
    <w:p w14:paraId="24007735" w14:textId="77777777" w:rsidR="00651E72" w:rsidRDefault="00651E72" w:rsidP="0030438A">
      <w:pPr>
        <w:pStyle w:val="Body"/>
        <w:spacing w:after="0"/>
        <w:rPr>
          <w:rFonts w:ascii="Arial" w:hAnsi="Arial" w:cs="Arial"/>
        </w:rPr>
      </w:pPr>
    </w:p>
    <w:p w14:paraId="21C099F1" w14:textId="72A2347C" w:rsidR="008A3BDC" w:rsidRDefault="00651E72" w:rsidP="008A3BDC">
      <w:pPr>
        <w:pStyle w:val="Body"/>
        <w:spacing w:after="0"/>
        <w:rPr>
          <w:rFonts w:ascii="Arial" w:hAnsi="Arial" w:cs="Arial"/>
        </w:rPr>
      </w:pPr>
      <w:r w:rsidRPr="00651E72">
        <w:rPr>
          <w:rFonts w:ascii="Arial" w:hAnsi="Arial" w:cs="Arial"/>
        </w:rPr>
        <w:t>Although previous studies consistently report clear benefits—such as validation of the stack effect and reductions in surface temperatures—significant methodological limitations persist: variability in critical parameters, differences in geometrical configurations, and a scarcity of research focused on warm semi-arid climates. This fragmentation poses challenges for establishing reliable design criteria in arid or semi-arid contexts.</w:t>
      </w:r>
    </w:p>
    <w:p w14:paraId="75F96140" w14:textId="77777777" w:rsidR="00651E72" w:rsidRPr="008A3BDC" w:rsidRDefault="00651E72" w:rsidP="008A3BDC">
      <w:pPr>
        <w:pStyle w:val="Body"/>
        <w:spacing w:after="0"/>
        <w:rPr>
          <w:rFonts w:ascii="Arial" w:hAnsi="Arial" w:cs="Arial"/>
        </w:rPr>
      </w:pPr>
    </w:p>
    <w:p w14:paraId="7A40F662" w14:textId="44790C24" w:rsidR="008C6679" w:rsidRDefault="00651E72" w:rsidP="008A3BDC">
      <w:pPr>
        <w:pStyle w:val="Body"/>
        <w:spacing w:after="0"/>
        <w:rPr>
          <w:rFonts w:ascii="Arial" w:hAnsi="Arial" w:cs="Arial"/>
        </w:rPr>
      </w:pPr>
      <w:r w:rsidRPr="00651E72">
        <w:rPr>
          <w:rFonts w:ascii="Arial" w:hAnsi="Arial" w:cs="Arial"/>
        </w:rPr>
        <w:t>In summary, the central issue identified is the lack of evidence-based guidelines that clearly indicate which ventilated fa</w:t>
      </w:r>
      <w:r w:rsidR="00B301A1">
        <w:rPr>
          <w:rFonts w:ascii="Arial" w:hAnsi="Arial" w:cs="Arial"/>
        </w:rPr>
        <w:t>c</w:t>
      </w:r>
      <w:r w:rsidRPr="00651E72">
        <w:rPr>
          <w:rFonts w:ascii="Arial" w:hAnsi="Arial" w:cs="Arial"/>
        </w:rPr>
        <w:t>ade configurations are most effective in warm semi-arid climates, a gap driven by the absence of comparative studies and methodological inconsistency across previous research.</w:t>
      </w:r>
    </w:p>
    <w:p w14:paraId="40BE0823" w14:textId="77777777" w:rsidR="00651E72" w:rsidRDefault="00651E72" w:rsidP="008A3BDC">
      <w:pPr>
        <w:pStyle w:val="Body"/>
        <w:spacing w:after="0"/>
        <w:rPr>
          <w:rFonts w:ascii="Arial" w:hAnsi="Arial" w:cs="Arial"/>
        </w:rPr>
      </w:pPr>
    </w:p>
    <w:p w14:paraId="581C2932" w14:textId="5FAC9A88" w:rsidR="005907FC" w:rsidRDefault="00651E72" w:rsidP="00651E72">
      <w:pPr>
        <w:pStyle w:val="Body"/>
        <w:spacing w:after="0"/>
        <w:rPr>
          <w:rFonts w:ascii="Arial" w:hAnsi="Arial" w:cs="Arial"/>
        </w:rPr>
      </w:pPr>
      <w:r w:rsidRPr="00651E72">
        <w:rPr>
          <w:rFonts w:ascii="Arial" w:hAnsi="Arial" w:cs="Arial"/>
        </w:rPr>
        <w:t>To address these limitations, this article proposes the development of a conceptual framework—namely, a methodology that integrates modeling and the creation of a synthesis tool. The objective is to conduct a parametric analysis through dynamic modeling to evaluate the individual and combined effects of key variables—cladding material and cavity width—on thermal loads and airflow patterns in a classroom used as a case study, as illustrated in Fig</w:t>
      </w:r>
      <w:r w:rsidR="00077E3A">
        <w:rPr>
          <w:rFonts w:ascii="Arial" w:hAnsi="Arial" w:cs="Arial"/>
        </w:rPr>
        <w:t>.</w:t>
      </w:r>
      <w:r w:rsidRPr="00651E72">
        <w:rPr>
          <w:rFonts w:ascii="Arial" w:hAnsi="Arial" w:cs="Arial"/>
        </w:rPr>
        <w:t xml:space="preserve"> 3.</w:t>
      </w:r>
    </w:p>
    <w:p w14:paraId="114D50C3" w14:textId="77777777" w:rsidR="00651E72" w:rsidRPr="00651E72" w:rsidRDefault="00651E72" w:rsidP="00651E72">
      <w:pPr>
        <w:pStyle w:val="Body"/>
        <w:spacing w:after="0"/>
        <w:rPr>
          <w:rFonts w:ascii="Arial" w:hAnsi="Arial" w:cs="Arial"/>
        </w:rPr>
      </w:pPr>
    </w:p>
    <w:p w14:paraId="417B840A" w14:textId="6DF86E04" w:rsidR="00651E72" w:rsidRDefault="00651E72" w:rsidP="00651E72">
      <w:pPr>
        <w:pStyle w:val="Body"/>
        <w:spacing w:after="0"/>
        <w:rPr>
          <w:rFonts w:ascii="Arial" w:hAnsi="Arial" w:cs="Arial"/>
        </w:rPr>
      </w:pPr>
      <w:r w:rsidRPr="00651E72">
        <w:rPr>
          <w:rFonts w:ascii="Arial" w:hAnsi="Arial" w:cs="Arial"/>
        </w:rPr>
        <w:t>The scope of this study is limited to the thermal analysis of passive ventilated fa</w:t>
      </w:r>
      <w:r w:rsidR="00A30B59">
        <w:rPr>
          <w:rFonts w:ascii="Arial" w:hAnsi="Arial" w:cs="Arial"/>
        </w:rPr>
        <w:t>c</w:t>
      </w:r>
      <w:r w:rsidRPr="00651E72">
        <w:rPr>
          <w:rFonts w:ascii="Arial" w:hAnsi="Arial" w:cs="Arial"/>
        </w:rPr>
        <w:t>ades under representative warm semi-arid climatic conditions, relying exclusively on mathematical modeling and simulation, without incorporating in situ experimental validation.</w:t>
      </w:r>
    </w:p>
    <w:p w14:paraId="43D0F079" w14:textId="77777777" w:rsidR="00651E72" w:rsidRPr="00651E72" w:rsidRDefault="00651E72" w:rsidP="00651E72">
      <w:pPr>
        <w:pStyle w:val="Body"/>
        <w:spacing w:after="0"/>
        <w:rPr>
          <w:rFonts w:ascii="Arial" w:hAnsi="Arial" w:cs="Arial"/>
        </w:rPr>
      </w:pPr>
    </w:p>
    <w:p w14:paraId="4EB119BE" w14:textId="069E3A41" w:rsidR="00A30B59" w:rsidRDefault="00651E72" w:rsidP="00651E72">
      <w:pPr>
        <w:pStyle w:val="Body"/>
        <w:spacing w:after="0"/>
        <w:rPr>
          <w:rFonts w:ascii="Arial" w:hAnsi="Arial" w:cs="Arial"/>
        </w:rPr>
      </w:pPr>
      <w:r w:rsidRPr="00651E72">
        <w:rPr>
          <w:rFonts w:ascii="Arial" w:hAnsi="Arial" w:cs="Arial"/>
        </w:rPr>
        <w:t>This research aims to bridge the gap between advanced modeling and architectural practice, contributing to a more efficient and evidence-based adoption of ventilated fa</w:t>
      </w:r>
      <w:r w:rsidR="00A30B59">
        <w:rPr>
          <w:rFonts w:ascii="Arial" w:hAnsi="Arial" w:cs="Arial"/>
        </w:rPr>
        <w:t>c</w:t>
      </w:r>
      <w:r w:rsidRPr="00651E72">
        <w:rPr>
          <w:rFonts w:ascii="Arial" w:hAnsi="Arial" w:cs="Arial"/>
        </w:rPr>
        <w:t>ades in regions where passive strategies are essential for mitigating the energy demand associated with cooling.</w:t>
      </w:r>
    </w:p>
    <w:p w14:paraId="6B794A1E" w14:textId="77777777" w:rsidR="00A30B59" w:rsidRDefault="00A30B59">
      <w:pPr>
        <w:rPr>
          <w:rFonts w:ascii="Arial" w:hAnsi="Arial" w:cs="Arial"/>
        </w:rPr>
      </w:pPr>
      <w:r>
        <w:rPr>
          <w:rFonts w:ascii="Arial" w:hAnsi="Arial" w:cs="Arial"/>
        </w:rPr>
        <w:br w:type="page"/>
      </w:r>
    </w:p>
    <w:p w14:paraId="142DE00D" w14:textId="36E3F777" w:rsidR="005907FC" w:rsidRDefault="00B055A7" w:rsidP="005907FC">
      <w:pPr>
        <w:pStyle w:val="Body"/>
        <w:spacing w:after="0"/>
        <w:jc w:val="center"/>
        <w:rPr>
          <w:rFonts w:ascii="Arial" w:hAnsi="Arial" w:cs="Arial"/>
          <w:b/>
          <w:bCs/>
          <w:i/>
          <w:iCs/>
          <w:color w:val="000000" w:themeColor="text1"/>
        </w:rPr>
      </w:pPr>
      <w:r>
        <w:rPr>
          <w:rFonts w:ascii="Arial" w:hAnsi="Arial" w:cs="Arial"/>
          <w:noProof/>
          <w:sz w:val="24"/>
          <w:szCs w:val="24"/>
        </w:rPr>
        <w:lastRenderedPageBreak/>
        <w:drawing>
          <wp:anchor distT="0" distB="0" distL="114300" distR="114300" simplePos="0" relativeHeight="251637760" behindDoc="0" locked="0" layoutInCell="1" allowOverlap="1" wp14:anchorId="0E2022A4" wp14:editId="20EFB79E">
            <wp:simplePos x="0" y="0"/>
            <wp:positionH relativeFrom="margin">
              <wp:posOffset>1529715</wp:posOffset>
            </wp:positionH>
            <wp:positionV relativeFrom="margin">
              <wp:posOffset>0</wp:posOffset>
            </wp:positionV>
            <wp:extent cx="2442845" cy="3009900"/>
            <wp:effectExtent l="0" t="0" r="0" b="0"/>
            <wp:wrapTopAndBottom/>
            <wp:docPr id="15477426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42649" name="Imagen 1547742649"/>
                    <pic:cNvPicPr/>
                  </pic:nvPicPr>
                  <pic:blipFill rotWithShape="1">
                    <a:blip r:embed="rId16" cstate="print">
                      <a:extLst>
                        <a:ext uri="{28A0092B-C50C-407E-A947-70E740481C1C}">
                          <a14:useLocalDpi xmlns:a14="http://schemas.microsoft.com/office/drawing/2010/main" val="0"/>
                        </a:ext>
                      </a:extLst>
                    </a:blip>
                    <a:srcRect l="25078" t="10816" r="29495" b="9954"/>
                    <a:stretch>
                      <a:fillRect/>
                    </a:stretch>
                  </pic:blipFill>
                  <pic:spPr bwMode="auto">
                    <a:xfrm>
                      <a:off x="0" y="0"/>
                      <a:ext cx="2442845" cy="3009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07FC" w:rsidRPr="005907FC">
        <w:rPr>
          <w:rFonts w:ascii="Arial" w:hAnsi="Arial" w:cs="Arial"/>
          <w:b/>
          <w:bCs/>
          <w:i/>
          <w:iCs/>
          <w:color w:val="000000" w:themeColor="text1"/>
        </w:rPr>
        <w:t xml:space="preserve">Fig. </w:t>
      </w:r>
      <w:r w:rsidR="005907FC">
        <w:rPr>
          <w:rFonts w:ascii="Arial" w:hAnsi="Arial" w:cs="Arial"/>
          <w:b/>
          <w:bCs/>
          <w:i/>
          <w:iCs/>
          <w:color w:val="000000" w:themeColor="text1"/>
        </w:rPr>
        <w:t>3</w:t>
      </w:r>
      <w:r w:rsidR="005907FC" w:rsidRPr="005907FC">
        <w:rPr>
          <w:rFonts w:ascii="Arial" w:hAnsi="Arial" w:cs="Arial"/>
          <w:b/>
          <w:bCs/>
          <w:i/>
          <w:iCs/>
          <w:color w:val="000000" w:themeColor="text1"/>
        </w:rPr>
        <w:t xml:space="preserve">. </w:t>
      </w:r>
      <w:r w:rsidR="00077E3A" w:rsidRPr="00077E3A">
        <w:rPr>
          <w:rFonts w:ascii="Arial" w:hAnsi="Arial" w:cs="Arial"/>
          <w:b/>
          <w:bCs/>
          <w:i/>
          <w:iCs/>
          <w:color w:val="000000" w:themeColor="text1"/>
        </w:rPr>
        <w:t>Ventilation mechanism and heat transfer in a ventilated facade</w:t>
      </w:r>
    </w:p>
    <w:p w14:paraId="6AE3691D" w14:textId="499FFCFE" w:rsidR="008C6679" w:rsidRPr="005907FC" w:rsidRDefault="008C6679" w:rsidP="005907FC">
      <w:pPr>
        <w:pStyle w:val="Body"/>
        <w:spacing w:after="0"/>
        <w:jc w:val="center"/>
        <w:rPr>
          <w:rFonts w:ascii="Arial" w:hAnsi="Arial" w:cs="Arial"/>
          <w:b/>
          <w:bCs/>
          <w:i/>
          <w:iCs/>
          <w:color w:val="000000" w:themeColor="text1"/>
        </w:rPr>
      </w:pPr>
    </w:p>
    <w:p w14:paraId="61F8434E" w14:textId="2AFE7CC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C3B00F3" w14:textId="77777777" w:rsidR="00790ADA" w:rsidRPr="00FB3A86" w:rsidRDefault="00790ADA" w:rsidP="00441B6F">
      <w:pPr>
        <w:pStyle w:val="AbstHead"/>
        <w:spacing w:after="0"/>
        <w:jc w:val="both"/>
        <w:rPr>
          <w:rFonts w:ascii="Arial" w:hAnsi="Arial" w:cs="Arial"/>
        </w:rPr>
      </w:pPr>
    </w:p>
    <w:p w14:paraId="6C26A887" w14:textId="77777777" w:rsidR="009A670B" w:rsidRDefault="009A670B" w:rsidP="001B2725">
      <w:pPr>
        <w:pStyle w:val="Body"/>
        <w:rPr>
          <w:rFonts w:ascii="Arial" w:hAnsi="Arial" w:cs="Arial"/>
          <w:b/>
          <w:sz w:val="22"/>
        </w:rPr>
      </w:pPr>
      <w:r w:rsidRPr="009A670B">
        <w:rPr>
          <w:rFonts w:ascii="Arial" w:hAnsi="Arial" w:cs="Arial"/>
          <w:b/>
          <w:sz w:val="22"/>
        </w:rPr>
        <w:t>2.1 General Approach and Methodological Strategy</w:t>
      </w:r>
    </w:p>
    <w:p w14:paraId="192BA547" w14:textId="2F2567AF" w:rsidR="009A670B" w:rsidRDefault="009A670B" w:rsidP="001B2725">
      <w:pPr>
        <w:pStyle w:val="Body"/>
        <w:spacing w:after="0"/>
        <w:rPr>
          <w:rFonts w:ascii="Arial" w:hAnsi="Arial" w:cs="Arial"/>
        </w:rPr>
      </w:pPr>
      <w:r w:rsidRPr="009A670B">
        <w:rPr>
          <w:rFonts w:ascii="Arial" w:hAnsi="Arial" w:cs="Arial"/>
        </w:rPr>
        <w:t>The methodology employed in this study was structured into three complementary stages. First, a review of specialized literature was conducted to identify the thermal variables that significantly influence the performance of ventilated fa</w:t>
      </w:r>
      <w:r>
        <w:rPr>
          <w:rFonts w:ascii="Arial" w:hAnsi="Arial" w:cs="Arial"/>
        </w:rPr>
        <w:t>c</w:t>
      </w:r>
      <w:r w:rsidRPr="009A670B">
        <w:rPr>
          <w:rFonts w:ascii="Arial" w:hAnsi="Arial" w:cs="Arial"/>
        </w:rPr>
        <w:t>ades. Based on this review, an analytical matrix was developed to organize the parameters reported in previous studies—thermal properties, geometric characteristics, and environmental conditions—thereby allowing the refinement and prioritization of the variables with the greatest impact on the system’s thermal behavior.</w:t>
      </w:r>
    </w:p>
    <w:p w14:paraId="0E7658E8" w14:textId="77777777" w:rsidR="009A670B" w:rsidRDefault="009A670B" w:rsidP="001B2725">
      <w:pPr>
        <w:pStyle w:val="Body"/>
        <w:spacing w:after="0"/>
        <w:rPr>
          <w:rFonts w:ascii="Arial" w:hAnsi="Arial" w:cs="Arial"/>
        </w:rPr>
      </w:pPr>
    </w:p>
    <w:p w14:paraId="234BD03F" w14:textId="236E2110" w:rsidR="001B2725" w:rsidRDefault="009A670B" w:rsidP="001B2725">
      <w:pPr>
        <w:pStyle w:val="Body"/>
        <w:spacing w:after="0"/>
        <w:rPr>
          <w:rFonts w:ascii="Arial" w:hAnsi="Arial" w:cs="Arial"/>
        </w:rPr>
      </w:pPr>
      <w:r w:rsidRPr="009A670B">
        <w:rPr>
          <w:rFonts w:ascii="Arial" w:hAnsi="Arial" w:cs="Arial"/>
        </w:rPr>
        <w:t>Finally, a comparative mathematical model was developed to evaluate the performance of different ventilated fa</w:t>
      </w:r>
      <w:r w:rsidR="00A30B59">
        <w:rPr>
          <w:rFonts w:ascii="Arial" w:hAnsi="Arial" w:cs="Arial"/>
        </w:rPr>
        <w:t>c</w:t>
      </w:r>
      <w:r w:rsidRPr="009A670B">
        <w:rPr>
          <w:rFonts w:ascii="Arial" w:hAnsi="Arial" w:cs="Arial"/>
        </w:rPr>
        <w:t>ade configurations under representative warm semi-arid conditions. This final stage enabled the analysis of both the individual and combined effects of the selected variables, providing a robust methodological foundation for assessing the thermal behavior of the system.</w:t>
      </w:r>
    </w:p>
    <w:p w14:paraId="476D0D6E" w14:textId="77777777" w:rsidR="009A670B" w:rsidRDefault="009A670B" w:rsidP="001B2725">
      <w:pPr>
        <w:pStyle w:val="Body"/>
        <w:spacing w:after="0"/>
        <w:rPr>
          <w:rFonts w:ascii="Arial" w:hAnsi="Arial" w:cs="Arial"/>
        </w:rPr>
      </w:pPr>
    </w:p>
    <w:p w14:paraId="797A0E77" w14:textId="77777777" w:rsidR="009A670B" w:rsidRDefault="009A670B" w:rsidP="00592BF6">
      <w:pPr>
        <w:pStyle w:val="Body"/>
        <w:rPr>
          <w:rFonts w:ascii="Arial" w:hAnsi="Arial" w:cs="Arial"/>
          <w:b/>
          <w:sz w:val="22"/>
        </w:rPr>
      </w:pPr>
      <w:r w:rsidRPr="009A670B">
        <w:rPr>
          <w:rFonts w:ascii="Arial" w:hAnsi="Arial" w:cs="Arial"/>
          <w:b/>
          <w:sz w:val="22"/>
        </w:rPr>
        <w:t>2.2 Selection Criteria and Matrix Development</w:t>
      </w:r>
    </w:p>
    <w:p w14:paraId="521AED9F" w14:textId="32CD2ACC" w:rsidR="009A670B" w:rsidRDefault="009A670B" w:rsidP="00592BF6">
      <w:pPr>
        <w:pStyle w:val="Body"/>
        <w:rPr>
          <w:rFonts w:ascii="Arial" w:hAnsi="Arial" w:cs="Arial"/>
        </w:rPr>
      </w:pPr>
      <w:r w:rsidRPr="009A670B">
        <w:rPr>
          <w:rFonts w:ascii="Arial" w:hAnsi="Arial" w:cs="Arial"/>
        </w:rPr>
        <w:t>The identification of the variables that govern the thermal behavior of ventilated fa</w:t>
      </w:r>
      <w:r>
        <w:rPr>
          <w:rFonts w:ascii="Arial" w:hAnsi="Arial" w:cs="Arial"/>
        </w:rPr>
        <w:t>c</w:t>
      </w:r>
      <w:r w:rsidRPr="009A670B">
        <w:rPr>
          <w:rFonts w:ascii="Arial" w:hAnsi="Arial" w:cs="Arial"/>
        </w:rPr>
        <w:t>ades was carried out through a literature review published between 2015 and 2025, with an emphasis on studies featuring experimental validation or highly rigorous dynamic thermal modeling.</w:t>
      </w:r>
    </w:p>
    <w:p w14:paraId="51BC9381" w14:textId="77777777" w:rsidR="009A670B" w:rsidRDefault="009A670B" w:rsidP="00592BF6">
      <w:pPr>
        <w:pStyle w:val="Body"/>
        <w:rPr>
          <w:rFonts w:ascii="Arial" w:hAnsi="Arial" w:cs="Arial"/>
        </w:rPr>
      </w:pPr>
      <w:r w:rsidRPr="009A670B">
        <w:rPr>
          <w:rFonts w:ascii="Arial" w:hAnsi="Arial" w:cs="Arial"/>
        </w:rPr>
        <w:t>This process enabled the systematic extraction of the most influential parameters, including air cavity depth, thermo-optical properties of the exterior cladding, the induced ventilation regime, and the system’s response under high solar radiation conditions.</w:t>
      </w:r>
    </w:p>
    <w:p w14:paraId="664D56C9" w14:textId="3DA7A6CD" w:rsidR="009A670B" w:rsidRDefault="009A670B" w:rsidP="00592BF6">
      <w:pPr>
        <w:pStyle w:val="Body"/>
        <w:spacing w:after="0"/>
        <w:rPr>
          <w:rFonts w:ascii="Arial" w:hAnsi="Arial" w:cs="Arial"/>
        </w:rPr>
      </w:pPr>
      <w:r w:rsidRPr="009A670B">
        <w:rPr>
          <w:rFonts w:ascii="Arial" w:hAnsi="Arial" w:cs="Arial"/>
        </w:rPr>
        <w:t xml:space="preserve">A comparative analysis of these sources supported the development of </w:t>
      </w:r>
      <w:r w:rsidR="00077E3A">
        <w:rPr>
          <w:rFonts w:ascii="Arial" w:hAnsi="Arial" w:cs="Arial"/>
        </w:rPr>
        <w:t>t</w:t>
      </w:r>
      <w:r w:rsidRPr="009A670B">
        <w:rPr>
          <w:rFonts w:ascii="Arial" w:hAnsi="Arial" w:cs="Arial"/>
        </w:rPr>
        <w:t xml:space="preserve">able 1, which synthesizes the dominant variables reported across the literature. The findings reveal a </w:t>
      </w:r>
      <w:r w:rsidRPr="009A670B">
        <w:rPr>
          <w:rFonts w:ascii="Arial" w:hAnsi="Arial" w:cs="Arial"/>
        </w:rPr>
        <w:lastRenderedPageBreak/>
        <w:t>consistent agreement that air cavities between 5 and 10 cm enhance natural ventilation potential in warm climates, while materials such as ceramic and fiber cement exhibit favorable performance due to their thermal stability and low emissivity.</w:t>
      </w:r>
    </w:p>
    <w:p w14:paraId="3927ABE1" w14:textId="6EA38931" w:rsidR="00A03B96" w:rsidRDefault="009A670B" w:rsidP="00441B6F">
      <w:pPr>
        <w:pStyle w:val="Body"/>
        <w:spacing w:after="0"/>
        <w:rPr>
          <w:rFonts w:ascii="Arial" w:hAnsi="Arial" w:cs="Arial"/>
        </w:rPr>
      </w:pPr>
      <w:r w:rsidRPr="009A670B">
        <w:rPr>
          <w:rFonts w:ascii="Arial" w:hAnsi="Arial" w:cs="Arial"/>
        </w:rPr>
        <w:t xml:space="preserve">Moreover, the review identified that next-generation ultracompact materials—such as </w:t>
      </w:r>
      <w:proofErr w:type="spellStart"/>
      <w:r w:rsidRPr="009A670B">
        <w:rPr>
          <w:rFonts w:ascii="Arial" w:hAnsi="Arial" w:cs="Arial"/>
        </w:rPr>
        <w:t>Dekton</w:t>
      </w:r>
      <w:proofErr w:type="spellEnd"/>
      <w:r w:rsidRPr="009A670B">
        <w:rPr>
          <w:rFonts w:ascii="Arial" w:hAnsi="Arial" w:cs="Arial"/>
        </w:rPr>
        <w:t>—have been scarcely examined despite their potentially advantageous surface properties for ventilated fa</w:t>
      </w:r>
      <w:r w:rsidR="003D128C">
        <w:rPr>
          <w:rFonts w:ascii="Arial" w:hAnsi="Arial" w:cs="Arial"/>
        </w:rPr>
        <w:t>c</w:t>
      </w:r>
      <w:r w:rsidRPr="009A670B">
        <w:rPr>
          <w:rFonts w:ascii="Arial" w:hAnsi="Arial" w:cs="Arial"/>
        </w:rPr>
        <w:t>ade applications, thus justifying their inclusion in the present study.</w:t>
      </w:r>
    </w:p>
    <w:p w14:paraId="39F12A10" w14:textId="77777777" w:rsidR="00A30B59" w:rsidRDefault="00A30B59" w:rsidP="00441B6F">
      <w:pPr>
        <w:pStyle w:val="Body"/>
        <w:spacing w:after="0"/>
        <w:rPr>
          <w:rFonts w:ascii="Arial" w:hAnsi="Arial" w:cs="Arial"/>
        </w:rPr>
      </w:pPr>
    </w:p>
    <w:p w14:paraId="6C8E1FDA" w14:textId="77777777" w:rsidR="009A670B" w:rsidRDefault="009A670B" w:rsidP="00441B6F">
      <w:pPr>
        <w:pStyle w:val="Body"/>
        <w:spacing w:after="0"/>
        <w:rPr>
          <w:rFonts w:ascii="Arial" w:hAnsi="Arial" w:cs="Arial"/>
        </w:rPr>
      </w:pPr>
    </w:p>
    <w:p w14:paraId="41F99BBF" w14:textId="63FF4509" w:rsidR="00E66E10" w:rsidRDefault="003275DA" w:rsidP="009A670B">
      <w:pPr>
        <w:pStyle w:val="Body"/>
        <w:spacing w:after="0"/>
        <w:jc w:val="center"/>
        <w:rPr>
          <w:rFonts w:ascii="Arial" w:hAnsi="Arial"/>
          <w:b/>
        </w:rPr>
      </w:pPr>
      <w:r w:rsidRPr="003275DA">
        <w:rPr>
          <w:rFonts w:ascii="Arial" w:hAnsi="Arial"/>
          <w:b/>
        </w:rPr>
        <w:t>Table 1.</w:t>
      </w:r>
      <w:r w:rsidRPr="003275DA">
        <w:rPr>
          <w:rFonts w:ascii="Arial" w:hAnsi="Arial"/>
          <w:b/>
        </w:rPr>
        <w:tab/>
      </w:r>
      <w:r w:rsidR="009A670B" w:rsidRPr="009A670B">
        <w:rPr>
          <w:rFonts w:ascii="Arial" w:hAnsi="Arial"/>
          <w:b/>
        </w:rPr>
        <w:t>Justification of the Parameters Selected for the Simulation Stage</w:t>
      </w:r>
    </w:p>
    <w:p w14:paraId="15BD02D1" w14:textId="77777777" w:rsidR="009A670B" w:rsidRPr="003275DA" w:rsidRDefault="009A670B" w:rsidP="00441B6F">
      <w:pPr>
        <w:pStyle w:val="Body"/>
        <w:spacing w:after="0"/>
        <w:rPr>
          <w:rFonts w:ascii="Arial" w:hAnsi="Arial"/>
          <w:b/>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384"/>
        <w:gridCol w:w="1276"/>
        <w:gridCol w:w="3270"/>
        <w:gridCol w:w="2494"/>
      </w:tblGrid>
      <w:tr w:rsidR="009A670B" w:rsidRPr="00DC3180" w14:paraId="6AC802F8" w14:textId="77777777" w:rsidTr="009A670B">
        <w:trPr>
          <w:jc w:val="center"/>
        </w:trPr>
        <w:tc>
          <w:tcPr>
            <w:tcW w:w="1384" w:type="dxa"/>
            <w:tcBorders>
              <w:bottom w:val="single" w:sz="4" w:space="0" w:color="auto"/>
            </w:tcBorders>
            <w:vAlign w:val="center"/>
          </w:tcPr>
          <w:p w14:paraId="27D0F311" w14:textId="0EBAAA56" w:rsidR="009A670B" w:rsidRPr="00DC3180" w:rsidRDefault="009A670B" w:rsidP="009A670B">
            <w:pPr>
              <w:jc w:val="center"/>
              <w:rPr>
                <w:rFonts w:ascii="Arial" w:hAnsi="Arial"/>
                <w:b/>
                <w:bCs/>
              </w:rPr>
            </w:pPr>
            <w:r>
              <w:rPr>
                <w:rFonts w:ascii="Arial" w:hAnsi="Arial"/>
                <w:b/>
                <w:bCs/>
              </w:rPr>
              <w:t>Variable</w:t>
            </w:r>
          </w:p>
        </w:tc>
        <w:tc>
          <w:tcPr>
            <w:tcW w:w="1276" w:type="dxa"/>
            <w:tcBorders>
              <w:bottom w:val="single" w:sz="4" w:space="0" w:color="auto"/>
            </w:tcBorders>
            <w:vAlign w:val="center"/>
          </w:tcPr>
          <w:p w14:paraId="1609987D" w14:textId="50B3A5DB" w:rsidR="009A670B" w:rsidRPr="00DC3180" w:rsidRDefault="009A670B" w:rsidP="009A670B">
            <w:pPr>
              <w:jc w:val="center"/>
              <w:rPr>
                <w:rFonts w:ascii="Arial" w:hAnsi="Arial"/>
                <w:b/>
                <w:bCs/>
              </w:rPr>
            </w:pPr>
            <w:r>
              <w:rPr>
                <w:rFonts w:ascii="Arial" w:hAnsi="Arial"/>
                <w:b/>
                <w:bCs/>
              </w:rPr>
              <w:t>Selected Values</w:t>
            </w:r>
          </w:p>
        </w:tc>
        <w:tc>
          <w:tcPr>
            <w:tcW w:w="3270" w:type="dxa"/>
            <w:vAlign w:val="center"/>
          </w:tcPr>
          <w:p w14:paraId="6C52FCDC" w14:textId="03489F7C" w:rsidR="009A670B" w:rsidRPr="00DC3180" w:rsidRDefault="009A670B" w:rsidP="009A670B">
            <w:pPr>
              <w:jc w:val="center"/>
              <w:rPr>
                <w:rFonts w:ascii="Arial" w:hAnsi="Arial"/>
                <w:b/>
                <w:bCs/>
              </w:rPr>
            </w:pPr>
            <w:r w:rsidRPr="009A670B">
              <w:rPr>
                <w:rFonts w:ascii="Arial" w:hAnsi="Arial"/>
                <w:b/>
                <w:bCs/>
              </w:rPr>
              <w:t>Justification Based on Literature Review</w:t>
            </w:r>
          </w:p>
        </w:tc>
        <w:tc>
          <w:tcPr>
            <w:tcW w:w="2494" w:type="dxa"/>
            <w:tcBorders>
              <w:bottom w:val="single" w:sz="4" w:space="0" w:color="auto"/>
            </w:tcBorders>
            <w:vAlign w:val="center"/>
          </w:tcPr>
          <w:p w14:paraId="092BA790" w14:textId="71293BED" w:rsidR="009A670B" w:rsidRPr="00DC3180" w:rsidRDefault="009A670B" w:rsidP="009A670B">
            <w:pPr>
              <w:jc w:val="center"/>
              <w:rPr>
                <w:rFonts w:ascii="Arial" w:hAnsi="Arial"/>
                <w:b/>
                <w:bCs/>
              </w:rPr>
            </w:pPr>
            <w:r>
              <w:rPr>
                <w:rFonts w:ascii="Arial" w:hAnsi="Arial"/>
                <w:b/>
                <w:bCs/>
              </w:rPr>
              <w:t>References</w:t>
            </w:r>
          </w:p>
        </w:tc>
      </w:tr>
      <w:tr w:rsidR="009A670B" w:rsidRPr="00DC3180" w14:paraId="7987501E" w14:textId="77777777" w:rsidTr="009A670B">
        <w:trPr>
          <w:trHeight w:val="773"/>
          <w:jc w:val="center"/>
          <w:hidden/>
        </w:trPr>
        <w:tc>
          <w:tcPr>
            <w:tcW w:w="1384" w:type="dxa"/>
            <w:tcBorders>
              <w:bottom w:val="nil"/>
            </w:tcBorders>
            <w:vAlign w:val="center"/>
          </w:tcPr>
          <w:p w14:paraId="1626E520" w14:textId="77777777" w:rsidR="009A670B" w:rsidRPr="00DC3180" w:rsidRDefault="009A670B" w:rsidP="009A670B">
            <w:pPr>
              <w:rPr>
                <w:rFonts w:ascii="Arial" w:hAnsi="Arial"/>
                <w:vanish/>
              </w:rPr>
            </w:pPr>
          </w:p>
          <w:p w14:paraId="6D30A802" w14:textId="09FBE39A" w:rsidR="009A670B" w:rsidRPr="00DC3180" w:rsidRDefault="009A670B" w:rsidP="009A670B">
            <w:pPr>
              <w:rPr>
                <w:rFonts w:ascii="Arial" w:hAnsi="Arial"/>
              </w:rPr>
            </w:pPr>
            <w:r>
              <w:rPr>
                <w:rFonts w:ascii="Arial" w:hAnsi="Arial"/>
              </w:rPr>
              <w:t>Air cavity depth</w:t>
            </w:r>
          </w:p>
          <w:p w14:paraId="7EAA3515" w14:textId="77777777" w:rsidR="009A670B" w:rsidRPr="00DC3180" w:rsidRDefault="009A670B" w:rsidP="009A670B">
            <w:pPr>
              <w:rPr>
                <w:rFonts w:ascii="Arial" w:hAnsi="Arial"/>
                <w:vanish/>
              </w:rPr>
            </w:pPr>
          </w:p>
          <w:p w14:paraId="7AF6E606" w14:textId="76D45B1B" w:rsidR="009A670B" w:rsidRPr="00DC3180" w:rsidRDefault="009A670B" w:rsidP="009A670B">
            <w:pPr>
              <w:rPr>
                <w:rFonts w:ascii="Arial" w:hAnsi="Arial"/>
                <w:b/>
                <w:bCs/>
              </w:rPr>
            </w:pPr>
          </w:p>
        </w:tc>
        <w:tc>
          <w:tcPr>
            <w:tcW w:w="1276" w:type="dxa"/>
            <w:tcBorders>
              <w:bottom w:val="nil"/>
            </w:tcBorders>
            <w:vAlign w:val="center"/>
          </w:tcPr>
          <w:p w14:paraId="6A28E5A0" w14:textId="01F6DEF7" w:rsidR="009A670B" w:rsidRPr="00DC3180" w:rsidRDefault="009A670B" w:rsidP="009A670B">
            <w:pPr>
              <w:rPr>
                <w:rFonts w:ascii="Arial" w:hAnsi="Arial"/>
                <w:b/>
                <w:bCs/>
              </w:rPr>
            </w:pPr>
            <w:r w:rsidRPr="009A670B">
              <w:rPr>
                <w:rFonts w:ascii="Arial" w:hAnsi="Arial"/>
              </w:rPr>
              <w:t>6 cm and 10 cm</w:t>
            </w:r>
          </w:p>
          <w:p w14:paraId="3DFE08DC" w14:textId="3223702D" w:rsidR="009A670B" w:rsidRPr="00DC3180" w:rsidRDefault="009A670B" w:rsidP="009A670B">
            <w:pPr>
              <w:rPr>
                <w:rFonts w:ascii="Arial" w:hAnsi="Arial"/>
                <w:b/>
                <w:bCs/>
              </w:rPr>
            </w:pPr>
          </w:p>
        </w:tc>
        <w:tc>
          <w:tcPr>
            <w:tcW w:w="3270" w:type="dxa"/>
            <w:tcBorders>
              <w:bottom w:val="nil"/>
            </w:tcBorders>
            <w:vAlign w:val="center"/>
          </w:tcPr>
          <w:p w14:paraId="22FC5A96" w14:textId="35C7C5FA" w:rsidR="009A670B" w:rsidRPr="00DC3180" w:rsidRDefault="009A670B" w:rsidP="009A670B">
            <w:pPr>
              <w:rPr>
                <w:rFonts w:ascii="Arial" w:hAnsi="Arial" w:cs="Arial"/>
              </w:rPr>
            </w:pPr>
            <w:r w:rsidRPr="009A670B">
              <w:rPr>
                <w:rFonts w:ascii="Arial" w:hAnsi="Arial" w:cs="Arial"/>
              </w:rPr>
              <w:t>Most frequently reported and efficient range for natural ventilation in warm climates (5–20 cm). The selection of 6 to 10 cm allows the evaluation of the transition zone where convective benefits stabilize and marginal returns decrease.</w:t>
            </w:r>
          </w:p>
        </w:tc>
        <w:tc>
          <w:tcPr>
            <w:tcW w:w="2494" w:type="dxa"/>
            <w:tcBorders>
              <w:bottom w:val="nil"/>
            </w:tcBorders>
            <w:vAlign w:val="center"/>
          </w:tcPr>
          <w:p w14:paraId="55A6C2AD" w14:textId="39CF109C" w:rsidR="009A670B" w:rsidRPr="00DC3180" w:rsidRDefault="009A670B" w:rsidP="009A670B">
            <w:pPr>
              <w:rPr>
                <w:rFonts w:ascii="Arial" w:hAnsi="Arial"/>
                <w:b/>
                <w:bCs/>
              </w:rPr>
            </w:pPr>
            <w:r w:rsidRPr="009A670B">
              <w:rPr>
                <w:rFonts w:ascii="Arial" w:hAnsi="Arial" w:cs="Arial"/>
              </w:rPr>
              <w:t xml:space="preserve">Andreeva et al., 2022; Cuce &amp; Cuce, 2025; </w:t>
            </w:r>
            <w:r w:rsidR="00D0577A">
              <w:rPr>
                <w:rFonts w:ascii="Arial" w:hAnsi="Arial" w:cs="Arial"/>
              </w:rPr>
              <w:t>Pizzatto et al</w:t>
            </w:r>
            <w:r w:rsidRPr="009A670B">
              <w:rPr>
                <w:rFonts w:ascii="Arial" w:hAnsi="Arial" w:cs="Arial"/>
              </w:rPr>
              <w:t xml:space="preserve">., 2025; </w:t>
            </w:r>
            <w:proofErr w:type="spellStart"/>
            <w:r w:rsidRPr="009A670B">
              <w:rPr>
                <w:rFonts w:ascii="Arial" w:hAnsi="Arial" w:cs="Arial"/>
              </w:rPr>
              <w:t>Schabowicz</w:t>
            </w:r>
            <w:proofErr w:type="spellEnd"/>
            <w:r w:rsidRPr="009A670B">
              <w:rPr>
                <w:rFonts w:ascii="Arial" w:hAnsi="Arial" w:cs="Arial"/>
              </w:rPr>
              <w:t xml:space="preserve"> &amp; </w:t>
            </w:r>
            <w:proofErr w:type="spellStart"/>
            <w:r w:rsidRPr="009A670B">
              <w:rPr>
                <w:rFonts w:ascii="Arial" w:hAnsi="Arial" w:cs="Arial"/>
              </w:rPr>
              <w:t>Zawiślak</w:t>
            </w:r>
            <w:proofErr w:type="spellEnd"/>
            <w:r w:rsidRPr="009A670B">
              <w:rPr>
                <w:rFonts w:ascii="Arial" w:hAnsi="Arial" w:cs="Arial"/>
              </w:rPr>
              <w:t>, 2020</w:t>
            </w:r>
          </w:p>
        </w:tc>
      </w:tr>
      <w:tr w:rsidR="00A30B59" w:rsidRPr="00DC3180" w14:paraId="629FDD76" w14:textId="77777777" w:rsidTr="00D2007B">
        <w:trPr>
          <w:jc w:val="center"/>
        </w:trPr>
        <w:tc>
          <w:tcPr>
            <w:tcW w:w="1384" w:type="dxa"/>
            <w:vMerge w:val="restart"/>
            <w:tcBorders>
              <w:top w:val="nil"/>
            </w:tcBorders>
            <w:vAlign w:val="center"/>
          </w:tcPr>
          <w:p w14:paraId="0BC17C8B" w14:textId="4FA6E384" w:rsidR="00A30B59" w:rsidRPr="00DC3180" w:rsidRDefault="00A30B59" w:rsidP="009A670B">
            <w:pPr>
              <w:rPr>
                <w:rFonts w:ascii="Arial" w:hAnsi="Arial" w:cs="Arial"/>
                <w:vanish/>
              </w:rPr>
            </w:pPr>
            <w:r w:rsidRPr="009A670B">
              <w:rPr>
                <w:rFonts w:ascii="Arial" w:hAnsi="Arial" w:cs="Arial"/>
              </w:rPr>
              <w:t>Exterior cladding material</w:t>
            </w:r>
          </w:p>
          <w:p w14:paraId="18D388CF" w14:textId="77777777" w:rsidR="00A30B59" w:rsidRPr="00DC3180" w:rsidRDefault="00A30B59" w:rsidP="009A670B">
            <w:pPr>
              <w:rPr>
                <w:rFonts w:ascii="Arial" w:hAnsi="Arial" w:cs="Arial"/>
              </w:rPr>
            </w:pPr>
          </w:p>
        </w:tc>
        <w:tc>
          <w:tcPr>
            <w:tcW w:w="1276" w:type="dxa"/>
            <w:tcBorders>
              <w:top w:val="nil"/>
              <w:bottom w:val="nil"/>
            </w:tcBorders>
            <w:vAlign w:val="center"/>
          </w:tcPr>
          <w:p w14:paraId="06343C67" w14:textId="2C8BFF43" w:rsidR="00A30B59" w:rsidRPr="00DC3180" w:rsidRDefault="00A30B59" w:rsidP="009A670B">
            <w:pPr>
              <w:rPr>
                <w:rFonts w:ascii="Arial" w:hAnsi="Arial" w:cs="Arial"/>
              </w:rPr>
            </w:pPr>
            <w:r w:rsidRPr="009A670B">
              <w:rPr>
                <w:rFonts w:ascii="Arial" w:hAnsi="Arial" w:cs="Arial"/>
              </w:rPr>
              <w:t>Exterior cladding material</w:t>
            </w:r>
          </w:p>
        </w:tc>
        <w:tc>
          <w:tcPr>
            <w:tcW w:w="3270" w:type="dxa"/>
            <w:tcBorders>
              <w:top w:val="nil"/>
              <w:bottom w:val="nil"/>
            </w:tcBorders>
            <w:vAlign w:val="center"/>
          </w:tcPr>
          <w:p w14:paraId="1D6F90EE" w14:textId="3100E705" w:rsidR="00A30B59" w:rsidRPr="00DC3180" w:rsidRDefault="00A30B59" w:rsidP="009A670B">
            <w:pPr>
              <w:rPr>
                <w:rFonts w:ascii="Arial" w:hAnsi="Arial" w:cs="Arial"/>
              </w:rPr>
            </w:pPr>
            <w:r w:rsidRPr="009A670B">
              <w:rPr>
                <w:rFonts w:ascii="Arial" w:hAnsi="Arial" w:cs="Arial"/>
              </w:rPr>
              <w:t>Very low emissivity (0.1–0.2), high thermal inertia, and minimal solar absorption. Represents next-generation materials virtually absent from existing ventilated fa</w:t>
            </w:r>
            <w:r w:rsidR="003D128C">
              <w:rPr>
                <w:rFonts w:ascii="Arial" w:hAnsi="Arial" w:cs="Arial"/>
              </w:rPr>
              <w:t>c</w:t>
            </w:r>
            <w:r w:rsidRPr="009A670B">
              <w:rPr>
                <w:rFonts w:ascii="Arial" w:hAnsi="Arial" w:cs="Arial"/>
              </w:rPr>
              <w:t>ade literature.</w:t>
            </w:r>
          </w:p>
        </w:tc>
        <w:tc>
          <w:tcPr>
            <w:tcW w:w="2494" w:type="dxa"/>
            <w:tcBorders>
              <w:top w:val="nil"/>
              <w:bottom w:val="nil"/>
            </w:tcBorders>
            <w:vAlign w:val="center"/>
          </w:tcPr>
          <w:p w14:paraId="54B9F940" w14:textId="39767CB2" w:rsidR="00A30B59" w:rsidRPr="00DC3180" w:rsidRDefault="00A30B59" w:rsidP="009A670B">
            <w:pPr>
              <w:rPr>
                <w:rFonts w:ascii="Arial" w:hAnsi="Arial" w:cs="Arial"/>
                <w:vanish/>
              </w:rPr>
            </w:pPr>
            <w:r w:rsidRPr="009A670B">
              <w:rPr>
                <w:rFonts w:ascii="Arial" w:hAnsi="Arial" w:cs="Arial"/>
              </w:rPr>
              <w:t xml:space="preserve">Cuce &amp; </w:t>
            </w:r>
            <w:proofErr w:type="spellStart"/>
            <w:r w:rsidRPr="009A670B">
              <w:rPr>
                <w:rFonts w:ascii="Arial" w:hAnsi="Arial" w:cs="Arial"/>
              </w:rPr>
              <w:t>Cuce</w:t>
            </w:r>
            <w:proofErr w:type="spellEnd"/>
            <w:r w:rsidRPr="009A670B">
              <w:rPr>
                <w:rFonts w:ascii="Arial" w:hAnsi="Arial" w:cs="Arial"/>
              </w:rPr>
              <w:t xml:space="preserve">, 2025; </w:t>
            </w:r>
            <w:proofErr w:type="spellStart"/>
            <w:r w:rsidRPr="009A670B">
              <w:rPr>
                <w:rFonts w:ascii="Arial" w:hAnsi="Arial" w:cs="Arial"/>
              </w:rPr>
              <w:t>Fathi</w:t>
            </w:r>
            <w:proofErr w:type="spellEnd"/>
            <w:r w:rsidRPr="009A670B">
              <w:rPr>
                <w:rFonts w:ascii="Arial" w:hAnsi="Arial" w:cs="Arial"/>
              </w:rPr>
              <w:t xml:space="preserve"> &amp; </w:t>
            </w:r>
            <w:proofErr w:type="spellStart"/>
            <w:r w:rsidRPr="009A670B">
              <w:rPr>
                <w:rFonts w:ascii="Arial" w:hAnsi="Arial" w:cs="Arial"/>
              </w:rPr>
              <w:t>Fakhriaemmanesh</w:t>
            </w:r>
            <w:proofErr w:type="spellEnd"/>
            <w:r w:rsidRPr="009A670B">
              <w:rPr>
                <w:rFonts w:ascii="Arial" w:hAnsi="Arial" w:cs="Arial"/>
              </w:rPr>
              <w:t xml:space="preserve">, 2025; </w:t>
            </w:r>
            <w:proofErr w:type="spellStart"/>
            <w:r w:rsidRPr="009A670B">
              <w:rPr>
                <w:rFonts w:ascii="Arial" w:hAnsi="Arial" w:cs="Arial"/>
              </w:rPr>
              <w:t>Gelesz</w:t>
            </w:r>
            <w:proofErr w:type="spellEnd"/>
            <w:r w:rsidRPr="009A670B">
              <w:rPr>
                <w:rFonts w:ascii="Arial" w:hAnsi="Arial" w:cs="Arial"/>
              </w:rPr>
              <w:t xml:space="preserve"> &amp; Reith, 2015</w:t>
            </w:r>
          </w:p>
          <w:p w14:paraId="7D9BF200" w14:textId="77777777" w:rsidR="00A30B59" w:rsidRPr="00DC3180" w:rsidRDefault="00A30B59" w:rsidP="009A670B">
            <w:pPr>
              <w:rPr>
                <w:rFonts w:ascii="Arial" w:hAnsi="Arial"/>
              </w:rPr>
            </w:pPr>
          </w:p>
        </w:tc>
      </w:tr>
      <w:tr w:rsidR="00A30B59" w:rsidRPr="00DC3180" w14:paraId="655DCFF8" w14:textId="77777777" w:rsidTr="00D2007B">
        <w:trPr>
          <w:jc w:val="center"/>
        </w:trPr>
        <w:tc>
          <w:tcPr>
            <w:tcW w:w="1384" w:type="dxa"/>
            <w:vMerge/>
            <w:vAlign w:val="center"/>
          </w:tcPr>
          <w:p w14:paraId="5B586229" w14:textId="77777777" w:rsidR="00A30B59" w:rsidRPr="00DC3180" w:rsidRDefault="00A30B59" w:rsidP="009A670B">
            <w:pPr>
              <w:rPr>
                <w:rFonts w:ascii="Arial" w:hAnsi="Arial"/>
              </w:rPr>
            </w:pPr>
          </w:p>
        </w:tc>
        <w:tc>
          <w:tcPr>
            <w:tcW w:w="1276" w:type="dxa"/>
            <w:tcBorders>
              <w:top w:val="nil"/>
              <w:bottom w:val="nil"/>
            </w:tcBorders>
            <w:vAlign w:val="center"/>
          </w:tcPr>
          <w:p w14:paraId="68BA9609" w14:textId="57C1D384" w:rsidR="00A30B59" w:rsidRPr="00DC3180" w:rsidRDefault="00A30B59" w:rsidP="009A670B">
            <w:pPr>
              <w:rPr>
                <w:rFonts w:ascii="Arial" w:hAnsi="Arial"/>
              </w:rPr>
            </w:pPr>
            <w:r w:rsidRPr="009A670B">
              <w:rPr>
                <w:rFonts w:ascii="Arial" w:hAnsi="Arial"/>
              </w:rPr>
              <w:t>Ceramic / porcelain</w:t>
            </w:r>
          </w:p>
        </w:tc>
        <w:tc>
          <w:tcPr>
            <w:tcW w:w="3270" w:type="dxa"/>
            <w:tcBorders>
              <w:top w:val="nil"/>
              <w:bottom w:val="nil"/>
            </w:tcBorders>
            <w:vAlign w:val="center"/>
          </w:tcPr>
          <w:p w14:paraId="164FE125" w14:textId="240F4208" w:rsidR="00A30B59" w:rsidRPr="00DC3180" w:rsidRDefault="00A30B59" w:rsidP="009A670B">
            <w:pPr>
              <w:rPr>
                <w:rFonts w:ascii="Arial" w:hAnsi="Arial" w:cs="Arial"/>
              </w:rPr>
            </w:pPr>
            <w:r w:rsidRPr="009A670B">
              <w:rPr>
                <w:rFonts w:ascii="Arial" w:hAnsi="Arial" w:cs="Arial"/>
              </w:rPr>
              <w:t>Widely studied and with well-documented thermal behavior in warm and warm-humid climates. Excellent durability, low maintenance, and high reflectance.</w:t>
            </w:r>
          </w:p>
        </w:tc>
        <w:tc>
          <w:tcPr>
            <w:tcW w:w="2494" w:type="dxa"/>
            <w:tcBorders>
              <w:top w:val="nil"/>
              <w:bottom w:val="nil"/>
            </w:tcBorders>
            <w:vAlign w:val="center"/>
          </w:tcPr>
          <w:p w14:paraId="7176606B" w14:textId="2038CDB6" w:rsidR="00A30B59" w:rsidRPr="00DC3180" w:rsidRDefault="00D0577A" w:rsidP="009A670B">
            <w:pPr>
              <w:rPr>
                <w:rFonts w:ascii="Arial" w:hAnsi="Arial" w:cs="Arial"/>
              </w:rPr>
            </w:pPr>
            <w:r>
              <w:rPr>
                <w:rFonts w:ascii="Arial" w:hAnsi="Arial" w:cs="Arial"/>
              </w:rPr>
              <w:t>Pizzatto</w:t>
            </w:r>
            <w:r w:rsidR="00A30B59" w:rsidRPr="009A670B">
              <w:rPr>
                <w:rFonts w:ascii="Arial" w:hAnsi="Arial" w:cs="Arial"/>
              </w:rPr>
              <w:t xml:space="preserve"> et al., 2025; El Dallal et al., 2024; Luciani-Mejía et al., 2018; Ibañez-Puy et al., 2017</w:t>
            </w:r>
          </w:p>
        </w:tc>
      </w:tr>
      <w:tr w:rsidR="00A30B59" w:rsidRPr="00DC3180" w14:paraId="2C8F21F0" w14:textId="77777777" w:rsidTr="00D2007B">
        <w:trPr>
          <w:jc w:val="center"/>
        </w:trPr>
        <w:tc>
          <w:tcPr>
            <w:tcW w:w="1384" w:type="dxa"/>
            <w:vMerge/>
            <w:tcBorders>
              <w:bottom w:val="nil"/>
            </w:tcBorders>
            <w:vAlign w:val="center"/>
          </w:tcPr>
          <w:p w14:paraId="5B005AE6" w14:textId="19652672" w:rsidR="00A30B59" w:rsidRPr="00DC3180" w:rsidRDefault="00A30B59" w:rsidP="009A670B">
            <w:pPr>
              <w:rPr>
                <w:rFonts w:ascii="Arial" w:hAnsi="Arial"/>
              </w:rPr>
            </w:pPr>
          </w:p>
        </w:tc>
        <w:tc>
          <w:tcPr>
            <w:tcW w:w="1276" w:type="dxa"/>
            <w:tcBorders>
              <w:top w:val="nil"/>
              <w:bottom w:val="nil"/>
            </w:tcBorders>
            <w:vAlign w:val="center"/>
          </w:tcPr>
          <w:p w14:paraId="37AC026C" w14:textId="0379807B" w:rsidR="00A30B59" w:rsidRPr="00DC3180" w:rsidRDefault="00A30B59" w:rsidP="009A670B">
            <w:pPr>
              <w:rPr>
                <w:rFonts w:ascii="Arial" w:hAnsi="Arial"/>
              </w:rPr>
            </w:pPr>
            <w:r w:rsidRPr="009A670B">
              <w:rPr>
                <w:rFonts w:ascii="Arial" w:hAnsi="Arial"/>
              </w:rPr>
              <w:t>Fiber cement</w:t>
            </w:r>
          </w:p>
        </w:tc>
        <w:tc>
          <w:tcPr>
            <w:tcW w:w="3270" w:type="dxa"/>
            <w:tcBorders>
              <w:top w:val="nil"/>
              <w:bottom w:val="nil"/>
            </w:tcBorders>
            <w:vAlign w:val="center"/>
          </w:tcPr>
          <w:p w14:paraId="01C26497" w14:textId="276B8192" w:rsidR="00A30B59" w:rsidRPr="00DC3180" w:rsidRDefault="00A30B59" w:rsidP="009A670B">
            <w:pPr>
              <w:rPr>
                <w:rFonts w:ascii="Arial" w:hAnsi="Arial" w:cs="Arial"/>
              </w:rPr>
            </w:pPr>
            <w:r w:rsidRPr="009A670B">
              <w:rPr>
                <w:rFonts w:ascii="Arial" w:hAnsi="Arial" w:cs="Arial"/>
              </w:rPr>
              <w:t>High reflectance, low cost, and reduced environmental impact. Commonly used in construction yet scarcely examined in combination with ventilated cavities in warm semi-arid climates.</w:t>
            </w:r>
          </w:p>
        </w:tc>
        <w:tc>
          <w:tcPr>
            <w:tcW w:w="2494" w:type="dxa"/>
            <w:tcBorders>
              <w:top w:val="nil"/>
              <w:bottom w:val="nil"/>
            </w:tcBorders>
            <w:vAlign w:val="center"/>
          </w:tcPr>
          <w:p w14:paraId="722C6798" w14:textId="7873CCC9" w:rsidR="00A30B59" w:rsidRPr="00DC3180" w:rsidRDefault="00A30B59" w:rsidP="009A670B">
            <w:pPr>
              <w:rPr>
                <w:rFonts w:ascii="Arial" w:hAnsi="Arial" w:cs="Arial"/>
              </w:rPr>
            </w:pPr>
            <w:r w:rsidRPr="009A670B">
              <w:rPr>
                <w:rFonts w:ascii="Arial" w:hAnsi="Arial" w:cs="Arial"/>
              </w:rPr>
              <w:t>Cuce &amp; Cuce, 2025; Azkorra-Larrinaga et al., 2023; Piasecki et al., 2019</w:t>
            </w:r>
          </w:p>
        </w:tc>
      </w:tr>
    </w:tbl>
    <w:p w14:paraId="1FD8D364" w14:textId="77777777" w:rsidR="00790ADA" w:rsidRDefault="00790ADA" w:rsidP="00441B6F">
      <w:pPr>
        <w:pStyle w:val="Body"/>
        <w:spacing w:after="0"/>
        <w:rPr>
          <w:rFonts w:ascii="Arial" w:hAnsi="Arial" w:cs="Arial"/>
        </w:rPr>
      </w:pPr>
    </w:p>
    <w:p w14:paraId="505F1874" w14:textId="77777777" w:rsidR="00A30B59" w:rsidRDefault="00A30B59" w:rsidP="00A874EA">
      <w:pPr>
        <w:pStyle w:val="Body"/>
        <w:spacing w:after="0"/>
        <w:rPr>
          <w:rFonts w:ascii="Arial" w:hAnsi="Arial" w:cs="Arial"/>
        </w:rPr>
      </w:pPr>
      <w:r w:rsidRPr="00A30B59">
        <w:rPr>
          <w:rFonts w:ascii="Arial" w:hAnsi="Arial" w:cs="Arial"/>
        </w:rPr>
        <w:t>The matrix enabled the refinement of the broad set of parameters identified in the literature and allowed the selection of a reduced number of configurations suitable for analysis. As a result, three cladding materials—</w:t>
      </w:r>
      <w:proofErr w:type="spellStart"/>
      <w:r w:rsidRPr="00A30B59">
        <w:rPr>
          <w:rFonts w:ascii="Arial" w:hAnsi="Arial" w:cs="Arial"/>
        </w:rPr>
        <w:t>Dekton</w:t>
      </w:r>
      <w:proofErr w:type="spellEnd"/>
      <w:r w:rsidRPr="00A30B59">
        <w:rPr>
          <w:rFonts w:ascii="Arial" w:hAnsi="Arial" w:cs="Arial"/>
        </w:rPr>
        <w:t>, ceramic porcelain, and fiber cement—and two cavity depths—6 cm and 10 cm—were selected, criteria supported both by their recurrent use in previous studies and by their relevance in hot and hot–semiarid climates.</w:t>
      </w:r>
    </w:p>
    <w:p w14:paraId="58040BA5" w14:textId="77777777" w:rsidR="00A30B59" w:rsidRDefault="00A30B59" w:rsidP="00A874EA">
      <w:pPr>
        <w:pStyle w:val="Body"/>
        <w:spacing w:after="0"/>
        <w:rPr>
          <w:rFonts w:ascii="Arial" w:hAnsi="Arial" w:cs="Arial"/>
        </w:rPr>
      </w:pPr>
    </w:p>
    <w:p w14:paraId="34565798" w14:textId="4503AE21" w:rsidR="00A30B59" w:rsidRDefault="00A30B59" w:rsidP="00A874EA">
      <w:pPr>
        <w:pStyle w:val="Body"/>
        <w:spacing w:after="0"/>
        <w:rPr>
          <w:rFonts w:ascii="Arial" w:hAnsi="Arial" w:cs="Arial"/>
        </w:rPr>
      </w:pPr>
      <w:r w:rsidRPr="00A30B59">
        <w:rPr>
          <w:rFonts w:ascii="Arial" w:hAnsi="Arial" w:cs="Arial"/>
        </w:rPr>
        <w:t>Furthermore, the matrix facilitated the definition of the indicators guiding the mathematical analysis: the thermal conductivity of the exterior cladding, the transient response of the ventilated cavity, and the system’s capacity to reduce the inward thermal load. These parameters enable consistent comparison across configurations and provide an integrated evaluation of the thermal performance of each alternative.</w:t>
      </w:r>
    </w:p>
    <w:p w14:paraId="393BF158" w14:textId="77777777" w:rsidR="00A30B59" w:rsidRDefault="00A30B59">
      <w:pPr>
        <w:rPr>
          <w:rFonts w:ascii="Arial" w:hAnsi="Arial" w:cs="Arial"/>
        </w:rPr>
      </w:pPr>
      <w:r>
        <w:rPr>
          <w:rFonts w:ascii="Arial" w:hAnsi="Arial" w:cs="Arial"/>
        </w:rPr>
        <w:br w:type="page"/>
      </w:r>
    </w:p>
    <w:p w14:paraId="60E7CA8B" w14:textId="60554C60" w:rsidR="001C1E5F" w:rsidRPr="001C1E5F" w:rsidRDefault="001C1E5F" w:rsidP="001C1E5F">
      <w:pPr>
        <w:pStyle w:val="Body"/>
        <w:rPr>
          <w:rFonts w:ascii="Arial" w:hAnsi="Arial" w:cs="Arial"/>
          <w:b/>
          <w:sz w:val="22"/>
        </w:rPr>
      </w:pPr>
      <w:r w:rsidRPr="001C1E5F">
        <w:rPr>
          <w:rFonts w:ascii="Arial" w:hAnsi="Arial" w:cs="Arial"/>
          <w:b/>
          <w:sz w:val="22"/>
        </w:rPr>
        <w:lastRenderedPageBreak/>
        <w:t xml:space="preserve">2.3 </w:t>
      </w:r>
      <w:r w:rsidR="00A30B59" w:rsidRPr="00A30B59">
        <w:rPr>
          <w:rFonts w:ascii="Arial" w:hAnsi="Arial" w:cs="Arial"/>
          <w:b/>
          <w:sz w:val="22"/>
        </w:rPr>
        <w:t>Case Study</w:t>
      </w:r>
    </w:p>
    <w:p w14:paraId="76A1C3A1" w14:textId="463A585C" w:rsidR="00A30B59" w:rsidRDefault="00A30B59" w:rsidP="001C1E5F">
      <w:pPr>
        <w:pStyle w:val="Body"/>
        <w:spacing w:after="0"/>
        <w:rPr>
          <w:rFonts w:ascii="Arial" w:hAnsi="Arial" w:cs="Arial"/>
        </w:rPr>
      </w:pPr>
      <w:r w:rsidRPr="00A30B59">
        <w:rPr>
          <w:rFonts w:ascii="Arial" w:hAnsi="Arial" w:cs="Arial"/>
        </w:rPr>
        <w:t xml:space="preserve">The case study was developed based on a real space located in the </w:t>
      </w:r>
      <w:r>
        <w:rPr>
          <w:rFonts w:ascii="Arial" w:hAnsi="Arial" w:cs="Arial"/>
        </w:rPr>
        <w:t>“</w:t>
      </w:r>
      <w:r w:rsidRPr="00A30B59">
        <w:rPr>
          <w:rFonts w:ascii="Arial" w:hAnsi="Arial" w:cs="Arial"/>
        </w:rPr>
        <w:t>Biotechnology Building</w:t>
      </w:r>
      <w:r>
        <w:rPr>
          <w:rFonts w:ascii="Arial" w:hAnsi="Arial" w:cs="Arial"/>
        </w:rPr>
        <w:t xml:space="preserve">” </w:t>
      </w:r>
      <w:r w:rsidRPr="00A30B59">
        <w:rPr>
          <w:rFonts w:ascii="Arial" w:hAnsi="Arial" w:cs="Arial"/>
        </w:rPr>
        <w:t xml:space="preserve">of the </w:t>
      </w:r>
      <w:proofErr w:type="spellStart"/>
      <w:r>
        <w:rPr>
          <w:rFonts w:ascii="Arial" w:hAnsi="Arial" w:cs="Arial"/>
        </w:rPr>
        <w:t>Facultad</w:t>
      </w:r>
      <w:proofErr w:type="spellEnd"/>
      <w:r>
        <w:rPr>
          <w:rFonts w:ascii="Arial" w:hAnsi="Arial" w:cs="Arial"/>
        </w:rPr>
        <w:t xml:space="preserve"> de </w:t>
      </w:r>
      <w:proofErr w:type="spellStart"/>
      <w:r>
        <w:rPr>
          <w:rFonts w:ascii="Arial" w:hAnsi="Arial" w:cs="Arial"/>
        </w:rPr>
        <w:t>Ingenieria</w:t>
      </w:r>
      <w:proofErr w:type="spellEnd"/>
      <w:r w:rsidRPr="00A30B59">
        <w:rPr>
          <w:rFonts w:ascii="Arial" w:hAnsi="Arial" w:cs="Arial"/>
        </w:rPr>
        <w:t xml:space="preserve"> at the Universidad </w:t>
      </w:r>
      <w:proofErr w:type="spellStart"/>
      <w:r w:rsidRPr="00A30B59">
        <w:rPr>
          <w:rFonts w:ascii="Arial" w:hAnsi="Arial" w:cs="Arial"/>
        </w:rPr>
        <w:t>Autónoma</w:t>
      </w:r>
      <w:proofErr w:type="spellEnd"/>
      <w:r w:rsidRPr="00A30B59">
        <w:rPr>
          <w:rFonts w:ascii="Arial" w:hAnsi="Arial" w:cs="Arial"/>
        </w:rPr>
        <w:t xml:space="preserve"> de Querétaro (UAQ). The southwest fa</w:t>
      </w:r>
      <w:r>
        <w:rPr>
          <w:rFonts w:ascii="Arial" w:hAnsi="Arial" w:cs="Arial"/>
        </w:rPr>
        <w:t>c</w:t>
      </w:r>
      <w:r w:rsidRPr="00A30B59">
        <w:rPr>
          <w:rFonts w:ascii="Arial" w:hAnsi="Arial" w:cs="Arial"/>
        </w:rPr>
        <w:t>ade segment of the envelope was selected, as it represents the most critical orientation under hot–semiarid conditions: it receives direct solar radiation for most of the afternoon, concentrating the highest thermal loads and therefore maximizing the demand on the fa</w:t>
      </w:r>
      <w:r>
        <w:rPr>
          <w:rFonts w:ascii="Arial" w:hAnsi="Arial" w:cs="Arial"/>
        </w:rPr>
        <w:t>c</w:t>
      </w:r>
      <w:r w:rsidRPr="00A30B59">
        <w:rPr>
          <w:rFonts w:ascii="Arial" w:hAnsi="Arial" w:cs="Arial"/>
        </w:rPr>
        <w:t>ade system.</w:t>
      </w:r>
    </w:p>
    <w:p w14:paraId="0CC7C654" w14:textId="77777777" w:rsidR="00A30B59" w:rsidRDefault="00A30B59" w:rsidP="001C1E5F">
      <w:pPr>
        <w:pStyle w:val="Body"/>
        <w:spacing w:after="0"/>
        <w:rPr>
          <w:rFonts w:ascii="Arial" w:hAnsi="Arial" w:cs="Arial"/>
        </w:rPr>
      </w:pPr>
    </w:p>
    <w:p w14:paraId="4CD34BD7" w14:textId="5B7E6139" w:rsidR="00A30B59" w:rsidRDefault="00A30B59" w:rsidP="001C1E5F">
      <w:pPr>
        <w:pStyle w:val="Body"/>
        <w:spacing w:after="0"/>
        <w:rPr>
          <w:rFonts w:ascii="Arial" w:hAnsi="Arial" w:cs="Arial"/>
        </w:rPr>
      </w:pPr>
      <w:r>
        <w:rPr>
          <w:rFonts w:ascii="Arial" w:hAnsi="Arial" w:cs="Arial"/>
          <w:noProof/>
        </w:rPr>
        <w:drawing>
          <wp:anchor distT="0" distB="0" distL="114300" distR="114300" simplePos="0" relativeHeight="251654656" behindDoc="0" locked="0" layoutInCell="1" allowOverlap="1" wp14:anchorId="73C4B519" wp14:editId="7E274F0B">
            <wp:simplePos x="0" y="0"/>
            <wp:positionH relativeFrom="margin">
              <wp:posOffset>1205865</wp:posOffset>
            </wp:positionH>
            <wp:positionV relativeFrom="margin">
              <wp:posOffset>2199640</wp:posOffset>
            </wp:positionV>
            <wp:extent cx="3228975" cy="2421255"/>
            <wp:effectExtent l="0" t="0" r="0" b="0"/>
            <wp:wrapTopAndBottom/>
            <wp:docPr id="14819765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76591" name="Imagen 148197659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28975" cy="2421255"/>
                    </a:xfrm>
                    <a:prstGeom prst="rect">
                      <a:avLst/>
                    </a:prstGeom>
                  </pic:spPr>
                </pic:pic>
              </a:graphicData>
            </a:graphic>
            <wp14:sizeRelH relativeFrom="margin">
              <wp14:pctWidth>0</wp14:pctWidth>
            </wp14:sizeRelH>
            <wp14:sizeRelV relativeFrom="margin">
              <wp14:pctHeight>0</wp14:pctHeight>
            </wp14:sizeRelV>
          </wp:anchor>
        </w:drawing>
      </w:r>
      <w:r w:rsidRPr="00A30B59">
        <w:rPr>
          <w:rFonts w:ascii="Arial" w:hAnsi="Arial" w:cs="Arial"/>
        </w:rPr>
        <w:t>The analyzed classroom measures 8.00 m in length and 4.95 m in width, resulting in a floor area of approximately 39.6 m². With an interior height of 5.00 m, the total volume is 198.00 m³. This geometry, together with its orientation and local climatic conditions, makes it a representative case for evaluating the thermal behavior of different ventilated fa</w:t>
      </w:r>
      <w:r w:rsidR="003D128C">
        <w:rPr>
          <w:rFonts w:ascii="Arial" w:hAnsi="Arial" w:cs="Arial"/>
        </w:rPr>
        <w:t>c</w:t>
      </w:r>
      <w:r w:rsidRPr="00A30B59">
        <w:rPr>
          <w:rFonts w:ascii="Arial" w:hAnsi="Arial" w:cs="Arial"/>
        </w:rPr>
        <w:t>ade configurations in hot–semiarid regions (Fig</w:t>
      </w:r>
      <w:r w:rsidR="00077E3A">
        <w:rPr>
          <w:rFonts w:ascii="Arial" w:hAnsi="Arial" w:cs="Arial"/>
        </w:rPr>
        <w:t>.</w:t>
      </w:r>
      <w:r w:rsidRPr="00A30B59">
        <w:rPr>
          <w:rFonts w:ascii="Arial" w:hAnsi="Arial" w:cs="Arial"/>
        </w:rPr>
        <w:t xml:space="preserve"> 4).</w:t>
      </w:r>
    </w:p>
    <w:p w14:paraId="293B03A6" w14:textId="6CC0BB9F" w:rsidR="00A30B59" w:rsidRDefault="00A30B59" w:rsidP="001C1E5F">
      <w:pPr>
        <w:pStyle w:val="Body"/>
        <w:spacing w:after="0"/>
        <w:rPr>
          <w:rFonts w:ascii="Arial" w:hAnsi="Arial" w:cs="Arial"/>
        </w:rPr>
      </w:pPr>
    </w:p>
    <w:p w14:paraId="5FE5AE4D" w14:textId="4A766CFA" w:rsidR="00A30B59" w:rsidRDefault="00A30B59" w:rsidP="00A30B59">
      <w:pPr>
        <w:pStyle w:val="Body"/>
        <w:spacing w:after="0"/>
        <w:jc w:val="center"/>
        <w:rPr>
          <w:rFonts w:ascii="Arial" w:hAnsi="Arial" w:cs="Arial"/>
        </w:rPr>
      </w:pPr>
      <w:r w:rsidRPr="005907FC">
        <w:rPr>
          <w:rFonts w:ascii="Arial" w:hAnsi="Arial" w:cs="Arial"/>
          <w:b/>
          <w:bCs/>
          <w:i/>
          <w:iCs/>
          <w:color w:val="000000" w:themeColor="text1"/>
        </w:rPr>
        <w:t xml:space="preserve">Fig. </w:t>
      </w:r>
      <w:r>
        <w:rPr>
          <w:rFonts w:ascii="Arial" w:hAnsi="Arial" w:cs="Arial"/>
          <w:b/>
          <w:bCs/>
          <w:i/>
          <w:iCs/>
          <w:color w:val="000000" w:themeColor="text1"/>
        </w:rPr>
        <w:t>4</w:t>
      </w:r>
      <w:r w:rsidRPr="005907FC">
        <w:rPr>
          <w:rFonts w:ascii="Arial" w:hAnsi="Arial" w:cs="Arial"/>
          <w:b/>
          <w:bCs/>
          <w:i/>
          <w:iCs/>
          <w:color w:val="000000" w:themeColor="text1"/>
        </w:rPr>
        <w:t xml:space="preserve">. </w:t>
      </w:r>
      <w:r w:rsidR="003D128C" w:rsidRPr="003D128C">
        <w:rPr>
          <w:rFonts w:ascii="Arial" w:hAnsi="Arial" w:cs="Arial"/>
          <w:b/>
          <w:bCs/>
          <w:i/>
          <w:iCs/>
          <w:color w:val="000000" w:themeColor="text1"/>
        </w:rPr>
        <w:t>Interior view of the reference classroom</w:t>
      </w:r>
      <w:r w:rsidR="003D128C">
        <w:rPr>
          <w:rFonts w:ascii="Arial" w:hAnsi="Arial" w:cs="Arial"/>
          <w:b/>
          <w:bCs/>
          <w:i/>
          <w:iCs/>
          <w:color w:val="000000" w:themeColor="text1"/>
        </w:rPr>
        <w:t xml:space="preserve"> </w:t>
      </w:r>
      <w:r w:rsidR="003D128C" w:rsidRPr="003D128C">
        <w:rPr>
          <w:rFonts w:ascii="Arial" w:hAnsi="Arial" w:cs="Arial"/>
          <w:b/>
          <w:bCs/>
          <w:i/>
          <w:iCs/>
          <w:color w:val="000000" w:themeColor="text1"/>
        </w:rPr>
        <w:t>used as case study</w:t>
      </w:r>
    </w:p>
    <w:p w14:paraId="09729D23" w14:textId="5A6A433C" w:rsidR="004A5DD1" w:rsidRDefault="004A5DD1" w:rsidP="00441B6F">
      <w:pPr>
        <w:pStyle w:val="Body"/>
        <w:spacing w:after="0"/>
        <w:rPr>
          <w:rFonts w:ascii="Arial" w:hAnsi="Arial" w:cs="Arial"/>
        </w:rPr>
      </w:pPr>
    </w:p>
    <w:p w14:paraId="33EBB431" w14:textId="2FB29604" w:rsidR="00A30B59" w:rsidRDefault="00A30B59" w:rsidP="00441B6F">
      <w:pPr>
        <w:pStyle w:val="Body"/>
        <w:spacing w:after="0"/>
        <w:rPr>
          <w:rFonts w:ascii="Arial" w:hAnsi="Arial" w:cs="Arial"/>
        </w:rPr>
      </w:pPr>
      <w:r w:rsidRPr="00A30B59">
        <w:rPr>
          <w:rFonts w:ascii="Arial" w:hAnsi="Arial" w:cs="Arial"/>
        </w:rPr>
        <w:t>The three-dimensional model was developed in Revit 2024.2, incorporating the exact location of the fa</w:t>
      </w:r>
      <w:r w:rsidR="003D128C">
        <w:rPr>
          <w:rFonts w:ascii="Arial" w:hAnsi="Arial" w:cs="Arial"/>
        </w:rPr>
        <w:t>c</w:t>
      </w:r>
      <w:r w:rsidRPr="00A30B59">
        <w:rPr>
          <w:rFonts w:ascii="Arial" w:hAnsi="Arial" w:cs="Arial"/>
        </w:rPr>
        <w:t>ade segment under study and accurately reproducing the physical composition of the wall. Each component—the exterior cladding, the air cavity, and the base wall—was defined using multilayer configurations to ensure proper geometric and material representation.</w:t>
      </w:r>
    </w:p>
    <w:p w14:paraId="1D6B4888" w14:textId="77777777" w:rsidR="004E3861" w:rsidRDefault="004E3861" w:rsidP="00441B6F">
      <w:pPr>
        <w:pStyle w:val="Body"/>
        <w:spacing w:after="0"/>
        <w:rPr>
          <w:rFonts w:ascii="Arial" w:hAnsi="Arial" w:cs="Arial"/>
        </w:rPr>
      </w:pPr>
    </w:p>
    <w:p w14:paraId="2692B161" w14:textId="77777777" w:rsidR="004E3861" w:rsidRDefault="004E3861" w:rsidP="004E3861">
      <w:pPr>
        <w:pStyle w:val="Head1"/>
        <w:spacing w:after="0"/>
        <w:jc w:val="both"/>
        <w:rPr>
          <w:rFonts w:ascii="Arial" w:hAnsi="Arial" w:cs="Arial"/>
        </w:rPr>
      </w:pPr>
      <w:r>
        <w:rPr>
          <w:rFonts w:ascii="Arial" w:hAnsi="Arial" w:cs="Arial"/>
        </w:rPr>
        <w:t>3. results and discussion</w:t>
      </w:r>
    </w:p>
    <w:p w14:paraId="66ED1A1E" w14:textId="77777777" w:rsidR="004E3861" w:rsidRDefault="004E3861" w:rsidP="00441B6F">
      <w:pPr>
        <w:pStyle w:val="Body"/>
        <w:spacing w:after="0"/>
        <w:rPr>
          <w:rFonts w:ascii="Arial" w:hAnsi="Arial" w:cs="Arial"/>
        </w:rPr>
      </w:pPr>
    </w:p>
    <w:p w14:paraId="66C15D62" w14:textId="77777777" w:rsidR="001D7865" w:rsidRDefault="001D7865" w:rsidP="00441B6F">
      <w:pPr>
        <w:pStyle w:val="Body"/>
        <w:spacing w:after="0"/>
        <w:rPr>
          <w:rFonts w:ascii="Arial" w:hAnsi="Arial" w:cs="Arial"/>
        </w:rPr>
      </w:pPr>
    </w:p>
    <w:p w14:paraId="5A025B36" w14:textId="242E7BE2" w:rsidR="001D7865" w:rsidRPr="001D7865" w:rsidRDefault="001D7865" w:rsidP="001D7865">
      <w:pPr>
        <w:pStyle w:val="Body"/>
        <w:rPr>
          <w:rFonts w:ascii="Arial" w:hAnsi="Arial" w:cs="Arial"/>
          <w:b/>
          <w:sz w:val="22"/>
        </w:rPr>
      </w:pPr>
      <w:r w:rsidRPr="001D7865">
        <w:rPr>
          <w:rFonts w:ascii="Arial" w:hAnsi="Arial" w:cs="Arial"/>
          <w:b/>
          <w:sz w:val="22"/>
        </w:rPr>
        <w:t>Ventilated Fa</w:t>
      </w:r>
      <w:r w:rsidR="00253FEB">
        <w:rPr>
          <w:rFonts w:ascii="Arial" w:hAnsi="Arial" w:cs="Arial"/>
          <w:b/>
          <w:sz w:val="22"/>
        </w:rPr>
        <w:t>c</w:t>
      </w:r>
      <w:r w:rsidRPr="001D7865">
        <w:rPr>
          <w:rFonts w:ascii="Arial" w:hAnsi="Arial" w:cs="Arial"/>
          <w:b/>
          <w:sz w:val="22"/>
        </w:rPr>
        <w:t>ade System Configuration</w:t>
      </w:r>
    </w:p>
    <w:p w14:paraId="36514C42" w14:textId="31EF23DA" w:rsidR="001D7865" w:rsidRDefault="001D7865" w:rsidP="00441B6F">
      <w:pPr>
        <w:pStyle w:val="Body"/>
        <w:spacing w:after="0"/>
        <w:rPr>
          <w:rFonts w:ascii="Arial" w:hAnsi="Arial" w:cs="Arial"/>
        </w:rPr>
      </w:pPr>
      <w:r w:rsidRPr="001D7865">
        <w:rPr>
          <w:rFonts w:ascii="Arial" w:hAnsi="Arial" w:cs="Arial"/>
        </w:rPr>
        <w:t>The geometric configuration of the ventilated fa</w:t>
      </w:r>
      <w:r w:rsidR="00D0577A">
        <w:rPr>
          <w:rFonts w:ascii="Arial" w:hAnsi="Arial" w:cs="Arial"/>
        </w:rPr>
        <w:t>c</w:t>
      </w:r>
      <w:r w:rsidRPr="001D7865">
        <w:rPr>
          <w:rFonts w:ascii="Arial" w:hAnsi="Arial" w:cs="Arial"/>
        </w:rPr>
        <w:t xml:space="preserve">ade included the explicit representation of the air cavity in two thicknesses—6 cm and 10 cm—as well as an interchangeable exterior cladding layer depending on the material analyzed: </w:t>
      </w:r>
      <w:proofErr w:type="spellStart"/>
      <w:r w:rsidRPr="001D7865">
        <w:rPr>
          <w:rFonts w:ascii="Arial" w:hAnsi="Arial" w:cs="Arial"/>
        </w:rPr>
        <w:t>Dekton</w:t>
      </w:r>
      <w:proofErr w:type="spellEnd"/>
      <w:r w:rsidRPr="001D7865">
        <w:rPr>
          <w:rFonts w:ascii="Arial" w:hAnsi="Arial" w:cs="Arial"/>
        </w:rPr>
        <w:t xml:space="preserve">, porcelain ceramic, or fiber cement. These elements are described in </w:t>
      </w:r>
      <w:r w:rsidR="003D128C">
        <w:rPr>
          <w:rFonts w:ascii="Arial" w:hAnsi="Arial" w:cs="Arial"/>
        </w:rPr>
        <w:t>t</w:t>
      </w:r>
      <w:r w:rsidRPr="001D7865">
        <w:rPr>
          <w:rFonts w:ascii="Arial" w:hAnsi="Arial" w:cs="Arial"/>
        </w:rPr>
        <w:t>able 2.</w:t>
      </w:r>
    </w:p>
    <w:p w14:paraId="59C40F4B" w14:textId="77777777" w:rsidR="00080F6C" w:rsidRDefault="00080F6C" w:rsidP="00441B6F">
      <w:pPr>
        <w:pStyle w:val="Body"/>
        <w:spacing w:after="0"/>
        <w:rPr>
          <w:rFonts w:ascii="Arial" w:hAnsi="Arial" w:cs="Arial"/>
        </w:rPr>
      </w:pPr>
    </w:p>
    <w:p w14:paraId="2390F262" w14:textId="4E065BFE" w:rsidR="00080F6C" w:rsidRDefault="00080F6C" w:rsidP="00080F6C">
      <w:pPr>
        <w:pStyle w:val="Body"/>
        <w:spacing w:after="0"/>
        <w:rPr>
          <w:rFonts w:ascii="Arial" w:hAnsi="Arial" w:cs="Arial"/>
        </w:rPr>
      </w:pPr>
      <w:r w:rsidRPr="001D7865">
        <w:rPr>
          <w:rFonts w:ascii="Arial" w:hAnsi="Arial" w:cs="Arial"/>
        </w:rPr>
        <w:t xml:space="preserve">The objective of the modeling process was to enable a standardized comparison of the six resulting configurations (three materials × two cavity thicknesses). Figures </w:t>
      </w:r>
      <w:r w:rsidR="00253FEB">
        <w:rPr>
          <w:rFonts w:ascii="Arial" w:hAnsi="Arial" w:cs="Arial"/>
        </w:rPr>
        <w:t>5</w:t>
      </w:r>
      <w:r w:rsidRPr="001D7865">
        <w:rPr>
          <w:rFonts w:ascii="Arial" w:hAnsi="Arial" w:cs="Arial"/>
        </w:rPr>
        <w:t xml:space="preserve">, </w:t>
      </w:r>
      <w:r w:rsidR="00253FEB">
        <w:rPr>
          <w:rFonts w:ascii="Arial" w:hAnsi="Arial" w:cs="Arial"/>
        </w:rPr>
        <w:t>6</w:t>
      </w:r>
      <w:r w:rsidRPr="001D7865">
        <w:rPr>
          <w:rFonts w:ascii="Arial" w:hAnsi="Arial" w:cs="Arial"/>
        </w:rPr>
        <w:t xml:space="preserve">, and </w:t>
      </w:r>
      <w:r w:rsidR="00253FEB">
        <w:rPr>
          <w:rFonts w:ascii="Arial" w:hAnsi="Arial" w:cs="Arial"/>
        </w:rPr>
        <w:t>7</w:t>
      </w:r>
      <w:r w:rsidRPr="001D7865">
        <w:rPr>
          <w:rFonts w:ascii="Arial" w:hAnsi="Arial" w:cs="Arial"/>
        </w:rPr>
        <w:t xml:space="preserve"> </w:t>
      </w:r>
      <w:r w:rsidRPr="001D7865">
        <w:rPr>
          <w:rFonts w:ascii="Arial" w:hAnsi="Arial" w:cs="Arial"/>
        </w:rPr>
        <w:lastRenderedPageBreak/>
        <w:t>illustrate the generated variants, which allowed for a consistent evaluation of the relative differences associated with each cladding material and air cavity geometry.</w:t>
      </w:r>
    </w:p>
    <w:p w14:paraId="155A97F1" w14:textId="2E679D52" w:rsidR="001D7865" w:rsidRDefault="001D7865" w:rsidP="001D7865">
      <w:pPr>
        <w:rPr>
          <w:rFonts w:ascii="Arial" w:hAnsi="Arial" w:cs="Arial"/>
        </w:rPr>
      </w:pPr>
      <w:r>
        <w:rPr>
          <w:rFonts w:ascii="Arial" w:hAnsi="Arial" w:cs="Arial"/>
        </w:rPr>
        <w:br w:type="page"/>
      </w:r>
    </w:p>
    <w:p w14:paraId="2BFDE666" w14:textId="1A30368E" w:rsidR="001D7865" w:rsidRDefault="001D7865" w:rsidP="001D7865">
      <w:pPr>
        <w:tabs>
          <w:tab w:val="left" w:pos="1080"/>
        </w:tabs>
        <w:jc w:val="center"/>
        <w:rPr>
          <w:rFonts w:ascii="Arial" w:hAnsi="Arial"/>
          <w:b/>
        </w:rPr>
      </w:pPr>
      <w:r>
        <w:rPr>
          <w:rFonts w:ascii="Arial" w:hAnsi="Arial"/>
          <w:b/>
        </w:rPr>
        <w:lastRenderedPageBreak/>
        <w:t>Table 2.</w:t>
      </w:r>
      <w:r w:rsidRPr="00DC3180">
        <w:rPr>
          <w:rFonts w:ascii="Arial" w:hAnsi="Arial"/>
          <w:b/>
        </w:rPr>
        <w:tab/>
      </w:r>
      <w:r w:rsidRPr="001D7865">
        <w:rPr>
          <w:rFonts w:ascii="Arial" w:hAnsi="Arial"/>
          <w:b/>
        </w:rPr>
        <w:t>Configurations of the ventilated fa</w:t>
      </w:r>
      <w:r>
        <w:rPr>
          <w:rFonts w:ascii="Arial" w:hAnsi="Arial"/>
          <w:b/>
        </w:rPr>
        <w:t>c</w:t>
      </w:r>
      <w:r w:rsidRPr="001D7865">
        <w:rPr>
          <w:rFonts w:ascii="Arial" w:hAnsi="Arial"/>
          <w:b/>
        </w:rPr>
        <w:t>ade system evaluated</w:t>
      </w:r>
    </w:p>
    <w:p w14:paraId="467CA31B" w14:textId="77777777" w:rsidR="001D7865" w:rsidRPr="00DC3180" w:rsidRDefault="001D7865" w:rsidP="001D7865">
      <w:pPr>
        <w:tabs>
          <w:tab w:val="left" w:pos="1080"/>
        </w:tabs>
        <w:jc w:val="both"/>
        <w:rPr>
          <w:rFonts w:ascii="Arial" w:hAnsi="Arial"/>
          <w:b/>
        </w:rPr>
      </w:pPr>
    </w:p>
    <w:tbl>
      <w:tblPr>
        <w:tblW w:w="564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843"/>
        <w:gridCol w:w="1570"/>
        <w:gridCol w:w="2235"/>
      </w:tblGrid>
      <w:tr w:rsidR="009F1F77" w:rsidRPr="00DC3180" w14:paraId="1AD210C3" w14:textId="77777777" w:rsidTr="009F1F77">
        <w:trPr>
          <w:jc w:val="center"/>
        </w:trPr>
        <w:tc>
          <w:tcPr>
            <w:tcW w:w="1843" w:type="dxa"/>
            <w:tcBorders>
              <w:bottom w:val="single" w:sz="4" w:space="0" w:color="auto"/>
            </w:tcBorders>
            <w:vAlign w:val="center"/>
          </w:tcPr>
          <w:p w14:paraId="368A2AA9" w14:textId="470BDBCD" w:rsidR="001D7865" w:rsidRPr="00DC3180" w:rsidRDefault="001D7865" w:rsidP="009F1F77">
            <w:pPr>
              <w:rPr>
                <w:rFonts w:ascii="Arial" w:hAnsi="Arial"/>
                <w:b/>
                <w:bCs/>
              </w:rPr>
            </w:pPr>
            <w:r>
              <w:rPr>
                <w:rFonts w:ascii="Arial" w:hAnsi="Arial"/>
                <w:b/>
                <w:bCs/>
              </w:rPr>
              <w:t>Case</w:t>
            </w:r>
          </w:p>
        </w:tc>
        <w:tc>
          <w:tcPr>
            <w:tcW w:w="1570" w:type="dxa"/>
            <w:tcBorders>
              <w:bottom w:val="single" w:sz="4" w:space="0" w:color="auto"/>
            </w:tcBorders>
            <w:vAlign w:val="center"/>
          </w:tcPr>
          <w:p w14:paraId="6D9365CA" w14:textId="32BD3F34" w:rsidR="001D7865" w:rsidRPr="00DC3180" w:rsidRDefault="001D7865" w:rsidP="009F1F77">
            <w:pPr>
              <w:rPr>
                <w:rFonts w:ascii="Arial" w:hAnsi="Arial"/>
                <w:b/>
                <w:bCs/>
              </w:rPr>
            </w:pPr>
            <w:r>
              <w:rPr>
                <w:rFonts w:ascii="Arial" w:hAnsi="Arial"/>
                <w:b/>
                <w:bCs/>
              </w:rPr>
              <w:t>Cladding Material</w:t>
            </w:r>
          </w:p>
        </w:tc>
        <w:tc>
          <w:tcPr>
            <w:tcW w:w="2235" w:type="dxa"/>
            <w:tcBorders>
              <w:bottom w:val="single" w:sz="4" w:space="0" w:color="auto"/>
            </w:tcBorders>
            <w:vAlign w:val="center"/>
          </w:tcPr>
          <w:p w14:paraId="4AB4F2C3" w14:textId="50F689DF" w:rsidR="001D7865" w:rsidRPr="00DC3180" w:rsidRDefault="001D7865" w:rsidP="009F1F77">
            <w:pPr>
              <w:rPr>
                <w:rFonts w:ascii="Arial" w:hAnsi="Arial"/>
                <w:b/>
                <w:bCs/>
              </w:rPr>
            </w:pPr>
            <w:r w:rsidRPr="001D7865">
              <w:rPr>
                <w:rFonts w:ascii="Arial" w:hAnsi="Arial"/>
                <w:b/>
                <w:bCs/>
              </w:rPr>
              <w:t>Air Cavity Thickness</w:t>
            </w:r>
          </w:p>
        </w:tc>
      </w:tr>
      <w:tr w:rsidR="00F27A6B" w:rsidRPr="00DC3180" w14:paraId="22AE45DA" w14:textId="77777777" w:rsidTr="009F1F77">
        <w:trPr>
          <w:trHeight w:val="203"/>
          <w:jc w:val="center"/>
          <w:hidden/>
        </w:trPr>
        <w:tc>
          <w:tcPr>
            <w:tcW w:w="1843" w:type="dxa"/>
            <w:vMerge w:val="restart"/>
            <w:vAlign w:val="center"/>
          </w:tcPr>
          <w:p w14:paraId="07D9CE3A" w14:textId="77777777" w:rsidR="00F27A6B" w:rsidRPr="00DC3180" w:rsidRDefault="00F27A6B" w:rsidP="009F1F77">
            <w:pPr>
              <w:rPr>
                <w:rFonts w:ascii="Arial" w:hAnsi="Arial"/>
                <w:vanish/>
              </w:rPr>
            </w:pPr>
          </w:p>
          <w:p w14:paraId="1EA4B505" w14:textId="7B15D0E3" w:rsidR="00F27A6B" w:rsidRPr="00DC3180" w:rsidRDefault="00F27A6B" w:rsidP="009F1F77">
            <w:pPr>
              <w:rPr>
                <w:rFonts w:ascii="Arial" w:hAnsi="Arial"/>
                <w:b/>
                <w:bCs/>
              </w:rPr>
            </w:pPr>
            <w:r>
              <w:rPr>
                <w:rFonts w:ascii="Arial" w:hAnsi="Arial"/>
              </w:rPr>
              <w:t>Case 1</w:t>
            </w:r>
          </w:p>
        </w:tc>
        <w:tc>
          <w:tcPr>
            <w:tcW w:w="1570" w:type="dxa"/>
            <w:vMerge w:val="restart"/>
            <w:vAlign w:val="center"/>
          </w:tcPr>
          <w:p w14:paraId="650C0FAC" w14:textId="68BD1F9B" w:rsidR="00F27A6B" w:rsidRPr="009F1F77" w:rsidRDefault="00F27A6B" w:rsidP="00F27A6B">
            <w:pPr>
              <w:rPr>
                <w:rFonts w:ascii="Arial" w:hAnsi="Arial"/>
              </w:rPr>
            </w:pPr>
            <w:proofErr w:type="spellStart"/>
            <w:r>
              <w:rPr>
                <w:rFonts w:ascii="Arial" w:hAnsi="Arial"/>
              </w:rPr>
              <w:t>Dekton</w:t>
            </w:r>
            <w:proofErr w:type="spellEnd"/>
          </w:p>
        </w:tc>
        <w:tc>
          <w:tcPr>
            <w:tcW w:w="2235" w:type="dxa"/>
            <w:tcBorders>
              <w:bottom w:val="nil"/>
            </w:tcBorders>
          </w:tcPr>
          <w:p w14:paraId="1AC2150D" w14:textId="6648C5D6" w:rsidR="00F27A6B" w:rsidRPr="00DC3180" w:rsidRDefault="00F27A6B" w:rsidP="00B42ED2">
            <w:pPr>
              <w:jc w:val="both"/>
              <w:rPr>
                <w:rFonts w:ascii="Arial" w:hAnsi="Arial"/>
                <w:b/>
                <w:bCs/>
              </w:rPr>
            </w:pPr>
            <w:r>
              <w:rPr>
                <w:rFonts w:ascii="Arial" w:hAnsi="Arial" w:cs="Arial"/>
              </w:rPr>
              <w:t xml:space="preserve">6 cm </w:t>
            </w:r>
          </w:p>
        </w:tc>
      </w:tr>
      <w:tr w:rsidR="00F27A6B" w:rsidRPr="00DC3180" w14:paraId="3F5C6792" w14:textId="77777777" w:rsidTr="009F1F77">
        <w:trPr>
          <w:jc w:val="center"/>
        </w:trPr>
        <w:tc>
          <w:tcPr>
            <w:tcW w:w="1843" w:type="dxa"/>
            <w:vMerge/>
            <w:tcBorders>
              <w:bottom w:val="nil"/>
            </w:tcBorders>
          </w:tcPr>
          <w:p w14:paraId="02DFD3F3" w14:textId="77777777" w:rsidR="00F27A6B" w:rsidRPr="00DC3180" w:rsidRDefault="00F27A6B" w:rsidP="00B42ED2">
            <w:pPr>
              <w:jc w:val="both"/>
              <w:rPr>
                <w:rFonts w:ascii="Arial" w:hAnsi="Arial" w:cs="Arial"/>
              </w:rPr>
            </w:pPr>
          </w:p>
        </w:tc>
        <w:tc>
          <w:tcPr>
            <w:tcW w:w="1570" w:type="dxa"/>
            <w:vMerge/>
            <w:tcBorders>
              <w:bottom w:val="nil"/>
            </w:tcBorders>
          </w:tcPr>
          <w:p w14:paraId="5FD2CFB1" w14:textId="7616C9D5" w:rsidR="00F27A6B" w:rsidRPr="00DC3180" w:rsidRDefault="00F27A6B" w:rsidP="00B42ED2">
            <w:pPr>
              <w:jc w:val="both"/>
              <w:rPr>
                <w:rFonts w:ascii="Arial" w:hAnsi="Arial" w:cs="Arial"/>
              </w:rPr>
            </w:pPr>
          </w:p>
        </w:tc>
        <w:tc>
          <w:tcPr>
            <w:tcW w:w="2235" w:type="dxa"/>
            <w:tcBorders>
              <w:top w:val="nil"/>
              <w:bottom w:val="nil"/>
            </w:tcBorders>
          </w:tcPr>
          <w:p w14:paraId="7B0D1144" w14:textId="62664D3B" w:rsidR="00F27A6B" w:rsidRPr="00DC3180" w:rsidRDefault="00F27A6B" w:rsidP="009F1F77">
            <w:pPr>
              <w:jc w:val="both"/>
              <w:rPr>
                <w:rFonts w:ascii="Arial" w:hAnsi="Arial"/>
              </w:rPr>
            </w:pPr>
            <w:r>
              <w:rPr>
                <w:rFonts w:ascii="Arial" w:hAnsi="Arial" w:cs="Arial"/>
              </w:rPr>
              <w:t>10 cm</w:t>
            </w:r>
          </w:p>
        </w:tc>
      </w:tr>
      <w:tr w:rsidR="009F1F77" w:rsidRPr="00DC3180" w14:paraId="0567F1B9" w14:textId="77777777" w:rsidTr="009F1F77">
        <w:trPr>
          <w:jc w:val="center"/>
        </w:trPr>
        <w:tc>
          <w:tcPr>
            <w:tcW w:w="1843" w:type="dxa"/>
            <w:vMerge w:val="restart"/>
            <w:tcBorders>
              <w:top w:val="nil"/>
            </w:tcBorders>
            <w:vAlign w:val="center"/>
          </w:tcPr>
          <w:p w14:paraId="56FE2E45" w14:textId="2594D32A" w:rsidR="009F1F77" w:rsidRPr="00DC3180" w:rsidRDefault="009F1F77" w:rsidP="009F1F77">
            <w:pPr>
              <w:rPr>
                <w:rFonts w:ascii="Arial" w:hAnsi="Arial"/>
                <w:vanish/>
              </w:rPr>
            </w:pPr>
            <w:r>
              <w:rPr>
                <w:rFonts w:ascii="Arial" w:hAnsi="Arial"/>
              </w:rPr>
              <w:t>Case 2</w:t>
            </w:r>
          </w:p>
          <w:p w14:paraId="7041EBEC" w14:textId="77777777" w:rsidR="009F1F77" w:rsidRPr="00DC3180" w:rsidRDefault="009F1F77" w:rsidP="009F1F77">
            <w:pPr>
              <w:rPr>
                <w:rFonts w:ascii="Arial" w:hAnsi="Arial"/>
              </w:rPr>
            </w:pPr>
          </w:p>
        </w:tc>
        <w:tc>
          <w:tcPr>
            <w:tcW w:w="1570" w:type="dxa"/>
            <w:vMerge w:val="restart"/>
            <w:tcBorders>
              <w:top w:val="nil"/>
            </w:tcBorders>
            <w:vAlign w:val="center"/>
          </w:tcPr>
          <w:p w14:paraId="2C04BB4A" w14:textId="7CD50153" w:rsidR="009F1F77" w:rsidRPr="00DC3180" w:rsidRDefault="009F1F77" w:rsidP="009F1F77">
            <w:pPr>
              <w:rPr>
                <w:rFonts w:ascii="Arial" w:hAnsi="Arial"/>
              </w:rPr>
            </w:pPr>
            <w:r>
              <w:rPr>
                <w:rFonts w:ascii="Arial" w:hAnsi="Arial"/>
              </w:rPr>
              <w:t>Ceramic</w:t>
            </w:r>
          </w:p>
        </w:tc>
        <w:tc>
          <w:tcPr>
            <w:tcW w:w="2235" w:type="dxa"/>
            <w:tcBorders>
              <w:top w:val="nil"/>
              <w:bottom w:val="nil"/>
            </w:tcBorders>
          </w:tcPr>
          <w:p w14:paraId="120FDB97" w14:textId="2C2D3ABA" w:rsidR="009F1F77" w:rsidRPr="00DC3180" w:rsidRDefault="009F1F77" w:rsidP="009F1F77">
            <w:pPr>
              <w:jc w:val="both"/>
              <w:rPr>
                <w:rFonts w:ascii="Arial" w:hAnsi="Arial" w:cs="Arial"/>
              </w:rPr>
            </w:pPr>
            <w:r>
              <w:rPr>
                <w:rFonts w:ascii="Arial" w:hAnsi="Arial" w:cs="Arial"/>
              </w:rPr>
              <w:t xml:space="preserve">6 cm </w:t>
            </w:r>
          </w:p>
        </w:tc>
      </w:tr>
      <w:tr w:rsidR="009F1F77" w:rsidRPr="00DC3180" w14:paraId="7D3A6E9F" w14:textId="77777777" w:rsidTr="009F1F77">
        <w:trPr>
          <w:jc w:val="center"/>
        </w:trPr>
        <w:tc>
          <w:tcPr>
            <w:tcW w:w="1843" w:type="dxa"/>
            <w:vMerge/>
            <w:tcBorders>
              <w:bottom w:val="nil"/>
            </w:tcBorders>
          </w:tcPr>
          <w:p w14:paraId="7FB0ECB7" w14:textId="6C7FE6E6" w:rsidR="009F1F77" w:rsidRPr="00DC3180" w:rsidRDefault="009F1F77" w:rsidP="009F1F77">
            <w:pPr>
              <w:jc w:val="both"/>
              <w:rPr>
                <w:rFonts w:ascii="Arial" w:hAnsi="Arial"/>
              </w:rPr>
            </w:pPr>
          </w:p>
        </w:tc>
        <w:tc>
          <w:tcPr>
            <w:tcW w:w="1570" w:type="dxa"/>
            <w:vMerge/>
            <w:tcBorders>
              <w:bottom w:val="nil"/>
            </w:tcBorders>
          </w:tcPr>
          <w:p w14:paraId="4176369F" w14:textId="01CA072F" w:rsidR="009F1F77" w:rsidRPr="00DC3180" w:rsidRDefault="009F1F77" w:rsidP="009F1F77">
            <w:pPr>
              <w:jc w:val="both"/>
              <w:rPr>
                <w:rFonts w:ascii="Arial" w:hAnsi="Arial"/>
              </w:rPr>
            </w:pPr>
          </w:p>
        </w:tc>
        <w:tc>
          <w:tcPr>
            <w:tcW w:w="2235" w:type="dxa"/>
            <w:tcBorders>
              <w:top w:val="nil"/>
              <w:bottom w:val="nil"/>
            </w:tcBorders>
          </w:tcPr>
          <w:p w14:paraId="5C6080CF" w14:textId="5B5F4796" w:rsidR="009F1F77" w:rsidRPr="00DC3180" w:rsidRDefault="009F1F77" w:rsidP="009F1F77">
            <w:pPr>
              <w:jc w:val="both"/>
              <w:rPr>
                <w:rFonts w:ascii="Arial" w:hAnsi="Arial" w:cs="Arial"/>
              </w:rPr>
            </w:pPr>
            <w:r>
              <w:rPr>
                <w:rFonts w:ascii="Arial" w:hAnsi="Arial" w:cs="Arial"/>
              </w:rPr>
              <w:t>10 cm</w:t>
            </w:r>
          </w:p>
        </w:tc>
      </w:tr>
      <w:tr w:rsidR="009F1F77" w:rsidRPr="00DC3180" w14:paraId="26B205F3" w14:textId="77777777" w:rsidTr="009F1F77">
        <w:trPr>
          <w:jc w:val="center"/>
        </w:trPr>
        <w:tc>
          <w:tcPr>
            <w:tcW w:w="1843" w:type="dxa"/>
            <w:vMerge w:val="restart"/>
            <w:tcBorders>
              <w:top w:val="nil"/>
            </w:tcBorders>
            <w:vAlign w:val="center"/>
          </w:tcPr>
          <w:p w14:paraId="45B2B968" w14:textId="7C83E38F" w:rsidR="009F1F77" w:rsidRPr="00DC3180" w:rsidRDefault="009F1F77" w:rsidP="009F1F77">
            <w:pPr>
              <w:rPr>
                <w:rFonts w:ascii="Arial" w:hAnsi="Arial"/>
              </w:rPr>
            </w:pPr>
            <w:r>
              <w:rPr>
                <w:rFonts w:ascii="Arial" w:hAnsi="Arial"/>
              </w:rPr>
              <w:t>Case 3</w:t>
            </w:r>
          </w:p>
        </w:tc>
        <w:tc>
          <w:tcPr>
            <w:tcW w:w="1570" w:type="dxa"/>
            <w:vMerge w:val="restart"/>
            <w:tcBorders>
              <w:top w:val="nil"/>
            </w:tcBorders>
            <w:vAlign w:val="center"/>
          </w:tcPr>
          <w:p w14:paraId="747F9721" w14:textId="2009E714" w:rsidR="009F1F77" w:rsidRPr="00DC3180" w:rsidRDefault="009F1F77" w:rsidP="009F1F77">
            <w:pPr>
              <w:rPr>
                <w:rFonts w:ascii="Arial" w:hAnsi="Arial"/>
              </w:rPr>
            </w:pPr>
            <w:r>
              <w:rPr>
                <w:rFonts w:ascii="Arial" w:hAnsi="Arial"/>
              </w:rPr>
              <w:t>Fiber-cement</w:t>
            </w:r>
          </w:p>
        </w:tc>
        <w:tc>
          <w:tcPr>
            <w:tcW w:w="2235" w:type="dxa"/>
            <w:tcBorders>
              <w:top w:val="nil"/>
              <w:bottom w:val="nil"/>
            </w:tcBorders>
          </w:tcPr>
          <w:p w14:paraId="6EB4BC8B" w14:textId="19D3BD47" w:rsidR="009F1F77" w:rsidRPr="00DC3180" w:rsidRDefault="009F1F77" w:rsidP="009F1F77">
            <w:pPr>
              <w:jc w:val="both"/>
              <w:rPr>
                <w:rFonts w:ascii="Arial" w:hAnsi="Arial" w:cs="Arial"/>
              </w:rPr>
            </w:pPr>
            <w:r>
              <w:rPr>
                <w:rFonts w:ascii="Arial" w:hAnsi="Arial" w:cs="Arial"/>
              </w:rPr>
              <w:t xml:space="preserve">6 cm </w:t>
            </w:r>
          </w:p>
        </w:tc>
      </w:tr>
      <w:tr w:rsidR="009F1F77" w:rsidRPr="00DC3180" w14:paraId="3A0AC556" w14:textId="77777777" w:rsidTr="004F65BB">
        <w:trPr>
          <w:jc w:val="center"/>
        </w:trPr>
        <w:tc>
          <w:tcPr>
            <w:tcW w:w="1843" w:type="dxa"/>
            <w:vMerge/>
            <w:tcBorders>
              <w:bottom w:val="single" w:sz="4" w:space="0" w:color="auto"/>
            </w:tcBorders>
          </w:tcPr>
          <w:p w14:paraId="6A84687C" w14:textId="77777777" w:rsidR="009F1F77" w:rsidRDefault="009F1F77" w:rsidP="009F1F77">
            <w:pPr>
              <w:jc w:val="both"/>
              <w:rPr>
                <w:rFonts w:ascii="Arial" w:hAnsi="Arial"/>
              </w:rPr>
            </w:pPr>
          </w:p>
        </w:tc>
        <w:tc>
          <w:tcPr>
            <w:tcW w:w="1570" w:type="dxa"/>
            <w:vMerge/>
            <w:tcBorders>
              <w:bottom w:val="single" w:sz="4" w:space="0" w:color="auto"/>
            </w:tcBorders>
          </w:tcPr>
          <w:p w14:paraId="74A94EB6" w14:textId="77777777" w:rsidR="009F1F77" w:rsidRPr="00DC3180" w:rsidRDefault="009F1F77" w:rsidP="009F1F77">
            <w:pPr>
              <w:jc w:val="both"/>
              <w:rPr>
                <w:rFonts w:ascii="Arial" w:hAnsi="Arial"/>
              </w:rPr>
            </w:pPr>
          </w:p>
        </w:tc>
        <w:tc>
          <w:tcPr>
            <w:tcW w:w="2235" w:type="dxa"/>
            <w:tcBorders>
              <w:top w:val="nil"/>
              <w:bottom w:val="single" w:sz="4" w:space="0" w:color="auto"/>
            </w:tcBorders>
          </w:tcPr>
          <w:p w14:paraId="1E3D8B03" w14:textId="4A414683" w:rsidR="009F1F77" w:rsidRDefault="009F1F77" w:rsidP="009F1F77">
            <w:pPr>
              <w:jc w:val="both"/>
              <w:rPr>
                <w:rFonts w:ascii="Arial" w:hAnsi="Arial" w:cs="Arial"/>
              </w:rPr>
            </w:pPr>
            <w:r>
              <w:rPr>
                <w:rFonts w:ascii="Arial" w:hAnsi="Arial" w:cs="Arial"/>
              </w:rPr>
              <w:t>10 cm</w:t>
            </w:r>
          </w:p>
        </w:tc>
      </w:tr>
    </w:tbl>
    <w:p w14:paraId="257B11E3" w14:textId="77777777" w:rsidR="001D7865" w:rsidRDefault="001D7865" w:rsidP="00441B6F">
      <w:pPr>
        <w:pStyle w:val="Body"/>
        <w:spacing w:after="0"/>
        <w:rPr>
          <w:rFonts w:ascii="Arial" w:hAnsi="Arial" w:cs="Arial"/>
        </w:rPr>
      </w:pPr>
    </w:p>
    <w:p w14:paraId="5D13A69B" w14:textId="7D1D754B" w:rsidR="001D7865" w:rsidRDefault="00253FEB" w:rsidP="00441B6F">
      <w:pPr>
        <w:pStyle w:val="Body"/>
        <w:spacing w:after="0"/>
        <w:rPr>
          <w:rFonts w:ascii="Arial" w:hAnsi="Arial" w:cs="Arial"/>
        </w:rPr>
      </w:pPr>
      <w:r>
        <w:rPr>
          <w:rFonts w:ascii="Arial" w:hAnsi="Arial" w:cs="Arial"/>
          <w:noProof/>
        </w:rPr>
        <w:drawing>
          <wp:anchor distT="0" distB="0" distL="114300" distR="114300" simplePos="0" relativeHeight="251636736" behindDoc="0" locked="0" layoutInCell="1" allowOverlap="1" wp14:anchorId="3D3DE1F3" wp14:editId="4FAA93E9">
            <wp:simplePos x="0" y="0"/>
            <wp:positionH relativeFrom="column">
              <wp:posOffset>14605</wp:posOffset>
            </wp:positionH>
            <wp:positionV relativeFrom="paragraph">
              <wp:posOffset>899160</wp:posOffset>
            </wp:positionV>
            <wp:extent cx="5208905" cy="3084830"/>
            <wp:effectExtent l="0" t="0" r="0" b="0"/>
            <wp:wrapTopAndBottom/>
            <wp:docPr id="16057442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744271" name="Imagen 1605744271"/>
                    <pic:cNvPicPr/>
                  </pic:nvPicPr>
                  <pic:blipFill rotWithShape="1">
                    <a:blip r:embed="rId18" cstate="print">
                      <a:extLst>
                        <a:ext uri="{28A0092B-C50C-407E-A947-70E740481C1C}">
                          <a14:useLocalDpi xmlns:a14="http://schemas.microsoft.com/office/drawing/2010/main" val="0"/>
                        </a:ext>
                      </a:extLst>
                    </a:blip>
                    <a:srcRect l="2848" t="6935" r="3264" b="14350"/>
                    <a:stretch>
                      <a:fillRect/>
                    </a:stretch>
                  </pic:blipFill>
                  <pic:spPr bwMode="auto">
                    <a:xfrm>
                      <a:off x="0" y="0"/>
                      <a:ext cx="5208905" cy="3084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53FEB">
        <w:rPr>
          <w:rFonts w:ascii="Arial" w:hAnsi="Arial" w:cs="Arial"/>
        </w:rPr>
        <w:t>Each configuration was modeled as a multilayer system consisting of a tempered-glass base wall, a ventilated air cavity with variable thickness (6 cm or 10 cm), and an interchangeable exterior cladding layer depending on the material under analysis (</w:t>
      </w:r>
      <w:proofErr w:type="spellStart"/>
      <w:r w:rsidRPr="00253FEB">
        <w:rPr>
          <w:rFonts w:ascii="Arial" w:hAnsi="Arial" w:cs="Arial"/>
        </w:rPr>
        <w:t>Dekton</w:t>
      </w:r>
      <w:proofErr w:type="spellEnd"/>
      <w:r w:rsidRPr="00253FEB">
        <w:rPr>
          <w:rFonts w:ascii="Arial" w:hAnsi="Arial" w:cs="Arial"/>
        </w:rPr>
        <w:t>, ceramic, or fiber-cement). This structure enabled a consistent comparison of the expected thermal behavior among the different ventilated fa</w:t>
      </w:r>
      <w:r w:rsidR="003D128C">
        <w:rPr>
          <w:rFonts w:ascii="Arial" w:hAnsi="Arial" w:cs="Arial"/>
        </w:rPr>
        <w:t>c</w:t>
      </w:r>
      <w:r w:rsidRPr="00253FEB">
        <w:rPr>
          <w:rFonts w:ascii="Arial" w:hAnsi="Arial" w:cs="Arial"/>
        </w:rPr>
        <w:t>ade variants, while keeping the geometric and construction parameters of the model constant.</w:t>
      </w:r>
    </w:p>
    <w:p w14:paraId="63E0E01F" w14:textId="147C7F7F" w:rsidR="00592D15" w:rsidRDefault="00253FEB" w:rsidP="003D128C">
      <w:pPr>
        <w:pStyle w:val="Body"/>
        <w:jc w:val="center"/>
        <w:rPr>
          <w:rFonts w:ascii="Arial" w:hAnsi="Arial" w:cs="Arial"/>
          <w:b/>
          <w:bCs/>
          <w:i/>
          <w:iCs/>
          <w:color w:val="000000" w:themeColor="text1"/>
        </w:rPr>
        <w:sectPr w:rsidR="00592D15" w:rsidSect="00C633BB">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sidRPr="005907FC">
        <w:rPr>
          <w:rFonts w:ascii="Arial" w:hAnsi="Arial" w:cs="Arial"/>
          <w:b/>
          <w:bCs/>
          <w:i/>
          <w:iCs/>
          <w:color w:val="000000" w:themeColor="text1"/>
        </w:rPr>
        <w:t xml:space="preserve">Fig. </w:t>
      </w:r>
      <w:r>
        <w:rPr>
          <w:rFonts w:ascii="Arial" w:hAnsi="Arial" w:cs="Arial"/>
          <w:b/>
          <w:bCs/>
          <w:i/>
          <w:iCs/>
          <w:color w:val="000000" w:themeColor="text1"/>
        </w:rPr>
        <w:t>5</w:t>
      </w:r>
      <w:r w:rsidRPr="005907FC">
        <w:rPr>
          <w:rFonts w:ascii="Arial" w:hAnsi="Arial" w:cs="Arial"/>
          <w:b/>
          <w:bCs/>
          <w:i/>
          <w:iCs/>
          <w:color w:val="000000" w:themeColor="text1"/>
        </w:rPr>
        <w:t xml:space="preserve">. </w:t>
      </w:r>
      <w:r w:rsidR="003D128C">
        <w:rPr>
          <w:rFonts w:ascii="Arial" w:hAnsi="Arial" w:cs="Arial"/>
          <w:b/>
          <w:bCs/>
          <w:i/>
          <w:iCs/>
          <w:color w:val="000000" w:themeColor="text1"/>
        </w:rPr>
        <w:t>F</w:t>
      </w:r>
      <w:r w:rsidR="003D128C" w:rsidRPr="003D128C">
        <w:rPr>
          <w:rFonts w:ascii="Arial" w:hAnsi="Arial" w:cs="Arial"/>
          <w:b/>
          <w:bCs/>
          <w:i/>
          <w:iCs/>
          <w:color w:val="000000" w:themeColor="text1"/>
        </w:rPr>
        <w:t>a</w:t>
      </w:r>
      <w:r w:rsidR="003D128C">
        <w:rPr>
          <w:rFonts w:ascii="Arial" w:hAnsi="Arial" w:cs="Arial"/>
          <w:b/>
          <w:bCs/>
          <w:i/>
          <w:iCs/>
          <w:color w:val="000000" w:themeColor="text1"/>
        </w:rPr>
        <w:t>c</w:t>
      </w:r>
      <w:r w:rsidR="003D128C" w:rsidRPr="003D128C">
        <w:rPr>
          <w:rFonts w:ascii="Arial" w:hAnsi="Arial" w:cs="Arial"/>
          <w:b/>
          <w:bCs/>
          <w:i/>
          <w:iCs/>
          <w:color w:val="000000" w:themeColor="text1"/>
        </w:rPr>
        <w:t>ade configurations analyzed:(1) existing single-glazed fa</w:t>
      </w:r>
      <w:r w:rsidR="00592D15">
        <w:rPr>
          <w:rFonts w:ascii="Arial" w:hAnsi="Arial" w:cs="Arial"/>
          <w:b/>
          <w:bCs/>
          <w:i/>
          <w:iCs/>
          <w:color w:val="000000" w:themeColor="text1"/>
        </w:rPr>
        <w:t>c</w:t>
      </w:r>
      <w:r w:rsidR="003D128C" w:rsidRPr="003D128C">
        <w:rPr>
          <w:rFonts w:ascii="Arial" w:hAnsi="Arial" w:cs="Arial"/>
          <w:b/>
          <w:bCs/>
          <w:i/>
          <w:iCs/>
          <w:color w:val="000000" w:themeColor="text1"/>
        </w:rPr>
        <w:t>ade (reference case),</w:t>
      </w:r>
      <w:r w:rsidR="003D128C">
        <w:rPr>
          <w:rFonts w:ascii="Arial" w:hAnsi="Arial" w:cs="Arial"/>
          <w:b/>
          <w:bCs/>
          <w:i/>
          <w:iCs/>
          <w:color w:val="000000" w:themeColor="text1"/>
        </w:rPr>
        <w:t xml:space="preserve"> </w:t>
      </w:r>
      <w:r w:rsidR="003D128C" w:rsidRPr="003D128C">
        <w:rPr>
          <w:rFonts w:ascii="Arial" w:hAnsi="Arial" w:cs="Arial"/>
          <w:b/>
          <w:bCs/>
          <w:i/>
          <w:iCs/>
          <w:color w:val="000000" w:themeColor="text1"/>
        </w:rPr>
        <w:t>(2) ventilated fa</w:t>
      </w:r>
      <w:r w:rsidR="003D128C">
        <w:rPr>
          <w:rFonts w:ascii="Arial" w:hAnsi="Arial" w:cs="Arial"/>
          <w:b/>
          <w:bCs/>
          <w:i/>
          <w:iCs/>
          <w:color w:val="000000" w:themeColor="text1"/>
        </w:rPr>
        <w:t>c</w:t>
      </w:r>
      <w:r w:rsidR="003D128C" w:rsidRPr="003D128C">
        <w:rPr>
          <w:rFonts w:ascii="Arial" w:hAnsi="Arial" w:cs="Arial"/>
          <w:b/>
          <w:bCs/>
          <w:i/>
          <w:iCs/>
          <w:color w:val="000000" w:themeColor="text1"/>
        </w:rPr>
        <w:t xml:space="preserve">ade with 6 cm air cavity and </w:t>
      </w:r>
      <w:proofErr w:type="spellStart"/>
      <w:r w:rsidR="003D128C" w:rsidRPr="003D128C">
        <w:rPr>
          <w:rFonts w:ascii="Arial" w:hAnsi="Arial" w:cs="Arial"/>
          <w:b/>
          <w:bCs/>
          <w:i/>
          <w:iCs/>
          <w:color w:val="000000" w:themeColor="text1"/>
        </w:rPr>
        <w:t>Dekton</w:t>
      </w:r>
      <w:proofErr w:type="spellEnd"/>
      <w:r w:rsidR="003D128C" w:rsidRPr="003D128C">
        <w:rPr>
          <w:rFonts w:ascii="Arial" w:hAnsi="Arial" w:cs="Arial"/>
          <w:b/>
          <w:bCs/>
          <w:i/>
          <w:iCs/>
          <w:color w:val="000000" w:themeColor="text1"/>
        </w:rPr>
        <w:t xml:space="preserve"> outer </w:t>
      </w:r>
      <w:proofErr w:type="gramStart"/>
      <w:r w:rsidR="003D128C" w:rsidRPr="003D128C">
        <w:rPr>
          <w:rFonts w:ascii="Arial" w:hAnsi="Arial" w:cs="Arial"/>
          <w:b/>
          <w:bCs/>
          <w:i/>
          <w:iCs/>
          <w:color w:val="000000" w:themeColor="text1"/>
        </w:rPr>
        <w:t>layer,(</w:t>
      </w:r>
      <w:proofErr w:type="gramEnd"/>
      <w:r w:rsidR="003D128C" w:rsidRPr="003D128C">
        <w:rPr>
          <w:rFonts w:ascii="Arial" w:hAnsi="Arial" w:cs="Arial"/>
          <w:b/>
          <w:bCs/>
          <w:i/>
          <w:iCs/>
          <w:color w:val="000000" w:themeColor="text1"/>
        </w:rPr>
        <w:t>3) ventilated fa</w:t>
      </w:r>
      <w:r w:rsidR="003D128C">
        <w:rPr>
          <w:rFonts w:ascii="Arial" w:hAnsi="Arial" w:cs="Arial"/>
          <w:b/>
          <w:bCs/>
          <w:i/>
          <w:iCs/>
          <w:color w:val="000000" w:themeColor="text1"/>
        </w:rPr>
        <w:t>c</w:t>
      </w:r>
      <w:r w:rsidR="003D128C" w:rsidRPr="003D128C">
        <w:rPr>
          <w:rFonts w:ascii="Arial" w:hAnsi="Arial" w:cs="Arial"/>
          <w:b/>
          <w:bCs/>
          <w:i/>
          <w:iCs/>
          <w:color w:val="000000" w:themeColor="text1"/>
        </w:rPr>
        <w:t xml:space="preserve">ade with 10 cm air cavity and </w:t>
      </w:r>
      <w:proofErr w:type="spellStart"/>
      <w:r w:rsidR="003D128C" w:rsidRPr="003D128C">
        <w:rPr>
          <w:rFonts w:ascii="Arial" w:hAnsi="Arial" w:cs="Arial"/>
          <w:b/>
          <w:bCs/>
          <w:i/>
          <w:iCs/>
          <w:color w:val="000000" w:themeColor="text1"/>
        </w:rPr>
        <w:t>Dekton</w:t>
      </w:r>
      <w:proofErr w:type="spellEnd"/>
      <w:r w:rsidR="003D128C" w:rsidRPr="003D128C">
        <w:rPr>
          <w:rFonts w:ascii="Arial" w:hAnsi="Arial" w:cs="Arial"/>
          <w:b/>
          <w:bCs/>
          <w:i/>
          <w:iCs/>
          <w:color w:val="000000" w:themeColor="text1"/>
        </w:rPr>
        <w:t xml:space="preserve"> outer layer, and</w:t>
      </w:r>
      <w:r w:rsidR="003D128C">
        <w:rPr>
          <w:rFonts w:ascii="Arial" w:hAnsi="Arial" w:cs="Arial"/>
          <w:b/>
          <w:bCs/>
          <w:i/>
          <w:iCs/>
          <w:color w:val="000000" w:themeColor="text1"/>
        </w:rPr>
        <w:t xml:space="preserve"> </w:t>
      </w:r>
      <w:r w:rsidR="003D128C" w:rsidRPr="003D128C">
        <w:rPr>
          <w:rFonts w:ascii="Arial" w:hAnsi="Arial" w:cs="Arial"/>
          <w:b/>
          <w:bCs/>
          <w:i/>
          <w:iCs/>
          <w:color w:val="000000" w:themeColor="text1"/>
        </w:rPr>
        <w:t>(4) perspective view of the proposed ventilated fa</w:t>
      </w:r>
      <w:r w:rsidR="003D128C">
        <w:rPr>
          <w:rFonts w:ascii="Arial" w:hAnsi="Arial" w:cs="Arial"/>
          <w:b/>
          <w:bCs/>
          <w:i/>
          <w:iCs/>
          <w:color w:val="000000" w:themeColor="text1"/>
        </w:rPr>
        <w:t>c</w:t>
      </w:r>
      <w:r w:rsidR="003D128C" w:rsidRPr="003D128C">
        <w:rPr>
          <w:rFonts w:ascii="Arial" w:hAnsi="Arial" w:cs="Arial"/>
          <w:b/>
          <w:bCs/>
          <w:i/>
          <w:iCs/>
          <w:color w:val="000000" w:themeColor="text1"/>
        </w:rPr>
        <w:t xml:space="preserve">ade with </w:t>
      </w:r>
      <w:proofErr w:type="spellStart"/>
      <w:r w:rsidR="003D128C" w:rsidRPr="003D128C">
        <w:rPr>
          <w:rFonts w:ascii="Arial" w:hAnsi="Arial" w:cs="Arial"/>
          <w:b/>
          <w:bCs/>
          <w:i/>
          <w:iCs/>
          <w:color w:val="000000" w:themeColor="text1"/>
        </w:rPr>
        <w:t>Dekton</w:t>
      </w:r>
      <w:proofErr w:type="spellEnd"/>
      <w:r w:rsidR="003D128C" w:rsidRPr="003D128C">
        <w:rPr>
          <w:rFonts w:ascii="Arial" w:hAnsi="Arial" w:cs="Arial"/>
          <w:b/>
          <w:bCs/>
          <w:i/>
          <w:iCs/>
          <w:color w:val="000000" w:themeColor="text1"/>
        </w:rPr>
        <w:t xml:space="preserve"> cladding</w:t>
      </w:r>
    </w:p>
    <w:p w14:paraId="08082962" w14:textId="0854DE8C" w:rsidR="00592D15" w:rsidRDefault="00592D15" w:rsidP="00592D15">
      <w:pPr>
        <w:pStyle w:val="Body"/>
        <w:jc w:val="center"/>
        <w:rPr>
          <w:rFonts w:ascii="Arial" w:hAnsi="Arial" w:cs="Arial"/>
          <w:b/>
          <w:bCs/>
          <w:i/>
          <w:iCs/>
          <w:color w:val="000000" w:themeColor="text1"/>
        </w:rPr>
      </w:pPr>
      <w:r>
        <w:rPr>
          <w:rFonts w:ascii="Arial" w:hAnsi="Arial" w:cs="Arial"/>
          <w:noProof/>
        </w:rPr>
        <w:lastRenderedPageBreak/>
        <w:drawing>
          <wp:anchor distT="0" distB="0" distL="114300" distR="114300" simplePos="0" relativeHeight="251680768" behindDoc="0" locked="0" layoutInCell="1" allowOverlap="1" wp14:anchorId="03BF6661" wp14:editId="5A9A15C9">
            <wp:simplePos x="0" y="0"/>
            <wp:positionH relativeFrom="margin">
              <wp:posOffset>-121285</wp:posOffset>
            </wp:positionH>
            <wp:positionV relativeFrom="margin">
              <wp:posOffset>3667760</wp:posOffset>
            </wp:positionV>
            <wp:extent cx="5434965" cy="2976880"/>
            <wp:effectExtent l="0" t="0" r="0" b="0"/>
            <wp:wrapTopAndBottom/>
            <wp:docPr id="9961987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198725" name="Imagen 996198725"/>
                    <pic:cNvPicPr/>
                  </pic:nvPicPr>
                  <pic:blipFill rotWithShape="1">
                    <a:blip r:embed="rId23" cstate="print">
                      <a:extLst>
                        <a:ext uri="{28A0092B-C50C-407E-A947-70E740481C1C}">
                          <a14:useLocalDpi xmlns:a14="http://schemas.microsoft.com/office/drawing/2010/main" val="0"/>
                        </a:ext>
                      </a:extLst>
                    </a:blip>
                    <a:srcRect l="3509" t="11525" r="2721" b="15743"/>
                    <a:stretch>
                      <a:fillRect/>
                    </a:stretch>
                  </pic:blipFill>
                  <pic:spPr bwMode="auto">
                    <a:xfrm>
                      <a:off x="0" y="0"/>
                      <a:ext cx="5434965" cy="2976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60288" behindDoc="0" locked="0" layoutInCell="1" allowOverlap="1" wp14:anchorId="35280D5B" wp14:editId="4A21672B">
            <wp:simplePos x="0" y="0"/>
            <wp:positionH relativeFrom="margin">
              <wp:posOffset>-121285</wp:posOffset>
            </wp:positionH>
            <wp:positionV relativeFrom="margin">
              <wp:posOffset>-78105</wp:posOffset>
            </wp:positionV>
            <wp:extent cx="5315585" cy="3002915"/>
            <wp:effectExtent l="0" t="0" r="0" b="0"/>
            <wp:wrapSquare wrapText="bothSides"/>
            <wp:docPr id="153051588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568237" name="Imagen 1689568237"/>
                    <pic:cNvPicPr/>
                  </pic:nvPicPr>
                  <pic:blipFill rotWithShape="1">
                    <a:blip r:embed="rId24" cstate="print">
                      <a:extLst>
                        <a:ext uri="{28A0092B-C50C-407E-A947-70E740481C1C}">
                          <a14:useLocalDpi xmlns:a14="http://schemas.microsoft.com/office/drawing/2010/main" val="0"/>
                        </a:ext>
                      </a:extLst>
                    </a:blip>
                    <a:srcRect l="4119" t="11231" r="3265" b="14681"/>
                    <a:stretch>
                      <a:fillRect/>
                    </a:stretch>
                  </pic:blipFill>
                  <pic:spPr bwMode="auto">
                    <a:xfrm>
                      <a:off x="0" y="0"/>
                      <a:ext cx="5315585" cy="3002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Hlk215811960"/>
      <w:r w:rsidR="00253FEB" w:rsidRPr="005907FC">
        <w:rPr>
          <w:rFonts w:ascii="Arial" w:hAnsi="Arial" w:cs="Arial"/>
          <w:b/>
          <w:bCs/>
          <w:i/>
          <w:iCs/>
          <w:color w:val="000000" w:themeColor="text1"/>
        </w:rPr>
        <w:t xml:space="preserve">Fig. </w:t>
      </w:r>
      <w:r w:rsidR="00253FEB">
        <w:rPr>
          <w:rFonts w:ascii="Arial" w:hAnsi="Arial" w:cs="Arial"/>
          <w:b/>
          <w:bCs/>
          <w:i/>
          <w:iCs/>
          <w:color w:val="000000" w:themeColor="text1"/>
        </w:rPr>
        <w:t>6</w:t>
      </w:r>
      <w:r w:rsidR="00253FEB" w:rsidRPr="005907FC">
        <w:rPr>
          <w:rFonts w:ascii="Arial" w:hAnsi="Arial" w:cs="Arial"/>
          <w:b/>
          <w:bCs/>
          <w:i/>
          <w:iCs/>
          <w:color w:val="000000" w:themeColor="text1"/>
        </w:rPr>
        <w:t xml:space="preserve">. </w:t>
      </w:r>
      <w:r w:rsidRPr="00592D15">
        <w:rPr>
          <w:rFonts w:ascii="Arial" w:hAnsi="Arial" w:cs="Arial"/>
          <w:b/>
          <w:bCs/>
          <w:i/>
          <w:iCs/>
          <w:color w:val="000000" w:themeColor="text1"/>
        </w:rPr>
        <w:t>Facade configurations analyzed:(1) existing single-glazed fa</w:t>
      </w:r>
      <w:r>
        <w:rPr>
          <w:rFonts w:ascii="Arial" w:hAnsi="Arial" w:cs="Arial"/>
          <w:b/>
          <w:bCs/>
          <w:i/>
          <w:iCs/>
          <w:color w:val="000000" w:themeColor="text1"/>
        </w:rPr>
        <w:t>c</w:t>
      </w:r>
      <w:r w:rsidRPr="00592D15">
        <w:rPr>
          <w:rFonts w:ascii="Arial" w:hAnsi="Arial" w:cs="Arial"/>
          <w:b/>
          <w:bCs/>
          <w:i/>
          <w:iCs/>
          <w:color w:val="000000" w:themeColor="text1"/>
        </w:rPr>
        <w:t xml:space="preserve">ade (reference case), (2) ventilated facade with 6 cm air cavity and </w:t>
      </w:r>
      <w:r>
        <w:rPr>
          <w:rFonts w:ascii="Arial" w:hAnsi="Arial" w:cs="Arial"/>
          <w:b/>
          <w:bCs/>
          <w:i/>
          <w:iCs/>
          <w:color w:val="000000" w:themeColor="text1"/>
        </w:rPr>
        <w:t>Ceramic</w:t>
      </w:r>
      <w:r w:rsidRPr="00592D15">
        <w:rPr>
          <w:rFonts w:ascii="Arial" w:hAnsi="Arial" w:cs="Arial"/>
          <w:b/>
          <w:bCs/>
          <w:i/>
          <w:iCs/>
          <w:color w:val="000000" w:themeColor="text1"/>
        </w:rPr>
        <w:t xml:space="preserve"> outer </w:t>
      </w:r>
      <w:proofErr w:type="gramStart"/>
      <w:r w:rsidRPr="00592D15">
        <w:rPr>
          <w:rFonts w:ascii="Arial" w:hAnsi="Arial" w:cs="Arial"/>
          <w:b/>
          <w:bCs/>
          <w:i/>
          <w:iCs/>
          <w:color w:val="000000" w:themeColor="text1"/>
        </w:rPr>
        <w:t>layer,(</w:t>
      </w:r>
      <w:proofErr w:type="gramEnd"/>
      <w:r w:rsidRPr="00592D15">
        <w:rPr>
          <w:rFonts w:ascii="Arial" w:hAnsi="Arial" w:cs="Arial"/>
          <w:b/>
          <w:bCs/>
          <w:i/>
          <w:iCs/>
          <w:color w:val="000000" w:themeColor="text1"/>
        </w:rPr>
        <w:t xml:space="preserve">3) ventilated facade with 10 cm air cavity and </w:t>
      </w:r>
      <w:r>
        <w:rPr>
          <w:rFonts w:ascii="Arial" w:hAnsi="Arial" w:cs="Arial"/>
          <w:b/>
          <w:bCs/>
          <w:i/>
          <w:iCs/>
          <w:color w:val="000000" w:themeColor="text1"/>
        </w:rPr>
        <w:t>ceramic</w:t>
      </w:r>
      <w:r w:rsidRPr="00592D15">
        <w:rPr>
          <w:rFonts w:ascii="Arial" w:hAnsi="Arial" w:cs="Arial"/>
          <w:b/>
          <w:bCs/>
          <w:i/>
          <w:iCs/>
          <w:color w:val="000000" w:themeColor="text1"/>
        </w:rPr>
        <w:t xml:space="preserve"> outer layer, and (4) perspective view of the proposed ventilated facade with </w:t>
      </w:r>
      <w:r>
        <w:rPr>
          <w:rFonts w:ascii="Arial" w:hAnsi="Arial" w:cs="Arial"/>
          <w:b/>
          <w:bCs/>
          <w:i/>
          <w:iCs/>
          <w:color w:val="000000" w:themeColor="text1"/>
        </w:rPr>
        <w:t>ceramic</w:t>
      </w:r>
      <w:r w:rsidRPr="00592D15">
        <w:rPr>
          <w:rFonts w:ascii="Arial" w:hAnsi="Arial" w:cs="Arial"/>
          <w:b/>
          <w:bCs/>
          <w:i/>
          <w:iCs/>
          <w:color w:val="000000" w:themeColor="text1"/>
        </w:rPr>
        <w:t xml:space="preserve"> cladding</w:t>
      </w:r>
      <w:bookmarkEnd w:id="0"/>
      <w:r w:rsidRPr="00592D15">
        <w:rPr>
          <w:rFonts w:ascii="Arial" w:hAnsi="Arial" w:cs="Arial"/>
          <w:b/>
          <w:bCs/>
          <w:i/>
          <w:iCs/>
          <w:color w:val="000000" w:themeColor="text1"/>
        </w:rPr>
        <w:t xml:space="preserve">. </w:t>
      </w:r>
    </w:p>
    <w:p w14:paraId="43AFC938" w14:textId="2DCFADB0" w:rsidR="00592D15" w:rsidRDefault="00253FEB" w:rsidP="00592D15">
      <w:pPr>
        <w:pStyle w:val="Body"/>
        <w:jc w:val="center"/>
        <w:rPr>
          <w:rFonts w:ascii="Arial" w:hAnsi="Arial" w:cs="Arial"/>
          <w:b/>
          <w:bCs/>
          <w:i/>
          <w:iCs/>
          <w:color w:val="000000" w:themeColor="text1"/>
        </w:rPr>
        <w:sectPr w:rsidR="00592D15" w:rsidSect="00C633BB">
          <w:pgSz w:w="12240" w:h="15840"/>
          <w:pgMar w:top="1440" w:right="2016" w:bottom="2016" w:left="2016" w:header="720" w:footer="1123" w:gutter="0"/>
          <w:cols w:space="720"/>
          <w:docGrid w:linePitch="272"/>
        </w:sectPr>
      </w:pPr>
      <w:r w:rsidRPr="005907FC">
        <w:rPr>
          <w:rFonts w:ascii="Arial" w:hAnsi="Arial" w:cs="Arial"/>
          <w:b/>
          <w:bCs/>
          <w:i/>
          <w:iCs/>
          <w:color w:val="000000" w:themeColor="text1"/>
        </w:rPr>
        <w:t xml:space="preserve">Fig. </w:t>
      </w:r>
      <w:r>
        <w:rPr>
          <w:rFonts w:ascii="Arial" w:hAnsi="Arial" w:cs="Arial"/>
          <w:b/>
          <w:bCs/>
          <w:i/>
          <w:iCs/>
          <w:color w:val="000000" w:themeColor="text1"/>
        </w:rPr>
        <w:t>7</w:t>
      </w:r>
      <w:r w:rsidRPr="005907FC">
        <w:rPr>
          <w:rFonts w:ascii="Arial" w:hAnsi="Arial" w:cs="Arial"/>
          <w:b/>
          <w:bCs/>
          <w:i/>
          <w:iCs/>
          <w:color w:val="000000" w:themeColor="text1"/>
        </w:rPr>
        <w:t xml:space="preserve">. </w:t>
      </w:r>
      <w:r w:rsidR="00592D15" w:rsidRPr="00592D15">
        <w:rPr>
          <w:rFonts w:ascii="Arial" w:hAnsi="Arial" w:cs="Arial"/>
          <w:b/>
          <w:bCs/>
          <w:i/>
          <w:iCs/>
          <w:color w:val="000000" w:themeColor="text1"/>
        </w:rPr>
        <w:t xml:space="preserve">Facade configurations analyzed:(1) existing single-glazed facade (reference case), (2) ventilated facade with 6 cm air cavity and </w:t>
      </w:r>
      <w:r w:rsidR="00592D15">
        <w:rPr>
          <w:rFonts w:ascii="Arial" w:hAnsi="Arial" w:cs="Arial"/>
          <w:b/>
          <w:bCs/>
          <w:i/>
          <w:iCs/>
          <w:color w:val="000000" w:themeColor="text1"/>
        </w:rPr>
        <w:t>fiber-cement</w:t>
      </w:r>
      <w:r w:rsidR="00592D15" w:rsidRPr="00592D15">
        <w:rPr>
          <w:rFonts w:ascii="Arial" w:hAnsi="Arial" w:cs="Arial"/>
          <w:b/>
          <w:bCs/>
          <w:i/>
          <w:iCs/>
          <w:color w:val="000000" w:themeColor="text1"/>
        </w:rPr>
        <w:t xml:space="preserve"> outer </w:t>
      </w:r>
      <w:proofErr w:type="gramStart"/>
      <w:r w:rsidR="00592D15" w:rsidRPr="00592D15">
        <w:rPr>
          <w:rFonts w:ascii="Arial" w:hAnsi="Arial" w:cs="Arial"/>
          <w:b/>
          <w:bCs/>
          <w:i/>
          <w:iCs/>
          <w:color w:val="000000" w:themeColor="text1"/>
        </w:rPr>
        <w:t>layer,(</w:t>
      </w:r>
      <w:proofErr w:type="gramEnd"/>
      <w:r w:rsidR="00592D15" w:rsidRPr="00592D15">
        <w:rPr>
          <w:rFonts w:ascii="Arial" w:hAnsi="Arial" w:cs="Arial"/>
          <w:b/>
          <w:bCs/>
          <w:i/>
          <w:iCs/>
          <w:color w:val="000000" w:themeColor="text1"/>
        </w:rPr>
        <w:t xml:space="preserve">3) ventilated facade with 10 cm air cavity and </w:t>
      </w:r>
      <w:r w:rsidR="00592D15">
        <w:rPr>
          <w:rFonts w:ascii="Arial" w:hAnsi="Arial" w:cs="Arial"/>
          <w:b/>
          <w:bCs/>
          <w:i/>
          <w:iCs/>
          <w:color w:val="000000" w:themeColor="text1"/>
        </w:rPr>
        <w:t>fiber-cement</w:t>
      </w:r>
      <w:r w:rsidR="00592D15" w:rsidRPr="00592D15">
        <w:rPr>
          <w:rFonts w:ascii="Arial" w:hAnsi="Arial" w:cs="Arial"/>
          <w:b/>
          <w:bCs/>
          <w:i/>
          <w:iCs/>
          <w:color w:val="000000" w:themeColor="text1"/>
        </w:rPr>
        <w:t xml:space="preserve"> outer layer, and (4) perspective view of the proposed ventilated facade with </w:t>
      </w:r>
      <w:r w:rsidR="00592D15">
        <w:rPr>
          <w:rFonts w:ascii="Arial" w:hAnsi="Arial" w:cs="Arial"/>
          <w:b/>
          <w:bCs/>
          <w:i/>
          <w:iCs/>
          <w:color w:val="000000" w:themeColor="text1"/>
        </w:rPr>
        <w:t>fiber-cement</w:t>
      </w:r>
      <w:r w:rsidR="00592D15" w:rsidRPr="00592D15">
        <w:rPr>
          <w:rFonts w:ascii="Arial" w:hAnsi="Arial" w:cs="Arial"/>
          <w:b/>
          <w:bCs/>
          <w:i/>
          <w:iCs/>
          <w:color w:val="000000" w:themeColor="text1"/>
        </w:rPr>
        <w:t xml:space="preserve"> </w:t>
      </w:r>
      <w:proofErr w:type="spellStart"/>
      <w:r w:rsidR="00592D15" w:rsidRPr="00592D15">
        <w:rPr>
          <w:rFonts w:ascii="Arial" w:hAnsi="Arial" w:cs="Arial"/>
          <w:b/>
          <w:bCs/>
          <w:i/>
          <w:iCs/>
          <w:color w:val="000000" w:themeColor="text1"/>
        </w:rPr>
        <w:t>claddi</w:t>
      </w:r>
      <w:r w:rsidR="00592D15">
        <w:rPr>
          <w:rFonts w:ascii="Arial" w:hAnsi="Arial" w:cs="Arial"/>
          <w:b/>
          <w:bCs/>
          <w:i/>
          <w:iCs/>
          <w:color w:val="000000" w:themeColor="text1"/>
        </w:rPr>
        <w:t>g</w:t>
      </w:r>
      <w:proofErr w:type="spellEnd"/>
      <w:r w:rsidR="00592D15">
        <w:rPr>
          <w:rFonts w:ascii="Arial" w:hAnsi="Arial" w:cs="Arial"/>
          <w:b/>
          <w:bCs/>
          <w:i/>
          <w:iCs/>
          <w:color w:val="000000" w:themeColor="text1"/>
        </w:rPr>
        <w:t>.</w:t>
      </w:r>
    </w:p>
    <w:p w14:paraId="6DDD7398" w14:textId="3AF0D00F" w:rsidR="00080F6C" w:rsidRPr="00253FEB" w:rsidRDefault="00253FEB" w:rsidP="00253FEB">
      <w:pPr>
        <w:pStyle w:val="Body"/>
        <w:rPr>
          <w:rFonts w:ascii="Arial" w:hAnsi="Arial" w:cs="Arial"/>
          <w:b/>
          <w:sz w:val="22"/>
        </w:rPr>
      </w:pPr>
      <w:r w:rsidRPr="00253FEB">
        <w:rPr>
          <w:rFonts w:ascii="Arial" w:hAnsi="Arial" w:cs="Arial"/>
          <w:b/>
          <w:sz w:val="22"/>
        </w:rPr>
        <w:lastRenderedPageBreak/>
        <w:t xml:space="preserve">2.6 </w:t>
      </w:r>
      <w:r w:rsidR="00A61C6A" w:rsidRPr="00A61C6A">
        <w:rPr>
          <w:rFonts w:ascii="Arial" w:hAnsi="Arial" w:cs="Arial"/>
          <w:b/>
          <w:sz w:val="22"/>
        </w:rPr>
        <w:t>Thermal calculation using a model</w:t>
      </w:r>
    </w:p>
    <w:p w14:paraId="7E8B87C0" w14:textId="2B676F65" w:rsidR="00EF7C5A" w:rsidRDefault="00344E1E" w:rsidP="00441B6F">
      <w:pPr>
        <w:pStyle w:val="Body"/>
        <w:spacing w:after="0"/>
        <w:rPr>
          <w:rFonts w:ascii="Arial" w:hAnsi="Arial" w:cs="Arial"/>
        </w:rPr>
      </w:pPr>
      <w:r w:rsidRPr="00344E1E">
        <w:rPr>
          <w:rFonts w:ascii="Arial" w:hAnsi="Arial" w:cs="Arial"/>
        </w:rPr>
        <w:t>In this study, a simplified thermal modeling approach was adopted based on a one-dimensional series-resistance scheme, with the purpose of estimating the heat flux through the evaluated ventilated fa</w:t>
      </w:r>
      <w:r w:rsidR="003D128C">
        <w:rPr>
          <w:rFonts w:ascii="Arial" w:hAnsi="Arial" w:cs="Arial"/>
        </w:rPr>
        <w:t>c</w:t>
      </w:r>
      <w:r w:rsidRPr="00344E1E">
        <w:rPr>
          <w:rFonts w:ascii="Arial" w:hAnsi="Arial" w:cs="Arial"/>
        </w:rPr>
        <w:t>ade configurations.</w:t>
      </w:r>
    </w:p>
    <w:p w14:paraId="1FA9573C" w14:textId="3CBF896A" w:rsidR="00344E1E" w:rsidRDefault="00344E1E" w:rsidP="00441B6F">
      <w:pPr>
        <w:pStyle w:val="Body"/>
        <w:spacing w:after="0"/>
        <w:rPr>
          <w:rFonts w:ascii="Arial" w:hAnsi="Arial" w:cs="Arial"/>
        </w:rPr>
      </w:pPr>
    </w:p>
    <w:p w14:paraId="58E71653" w14:textId="052F4D05" w:rsidR="00AC0B37" w:rsidRPr="00AC0B37" w:rsidRDefault="00344E1E" w:rsidP="00AC0B37">
      <w:pPr>
        <w:pStyle w:val="Body"/>
        <w:spacing w:after="0"/>
        <w:rPr>
          <w:rFonts w:ascii="Arial" w:hAnsi="Arial" w:cs="Arial"/>
        </w:rPr>
      </w:pPr>
      <w:r w:rsidRPr="00344E1E">
        <w:rPr>
          <w:rFonts w:ascii="Arial" w:hAnsi="Arial" w:cs="Arial"/>
        </w:rPr>
        <w:t>To ensure the reproducibility of the procedure, the analysis was developed under a clearly defined set of assumptions: a unit area of</w:t>
      </w:r>
      <w:r>
        <w:rPr>
          <w:rFonts w:ascii="Arial" w:hAnsi="Arial" w:cs="Arial"/>
        </w:rPr>
        <w:t xml:space="preserve"> </w:t>
      </w:r>
      <w:r w:rsidR="00EF7C5A">
        <w:rPr>
          <w:rFonts w:ascii="Arial" w:hAnsi="Arial" w:cs="Arial"/>
        </w:rPr>
        <w:t xml:space="preserve">1.00 </w:t>
      </w:r>
      <w:r w:rsidR="00EF7C5A" w:rsidRPr="00A30B59">
        <w:rPr>
          <w:rFonts w:ascii="Arial" w:hAnsi="Arial" w:cs="Arial"/>
        </w:rPr>
        <w:t>m²</w:t>
      </w:r>
      <w:r w:rsidR="00EF7C5A">
        <w:rPr>
          <w:rFonts w:ascii="Arial" w:hAnsi="Arial" w:cs="Arial"/>
        </w:rPr>
        <w:t xml:space="preserve">, </w:t>
      </w:r>
      <w:r w:rsidRPr="00344E1E">
        <w:rPr>
          <w:rFonts w:ascii="Arial" w:hAnsi="Arial" w:cs="Arial"/>
        </w:rPr>
        <w:t xml:space="preserve">a temperature difference representative of a warm–semi-arid climate </w:t>
      </w:r>
      <w:r w:rsidR="00EF7C5A">
        <w:rPr>
          <w:rFonts w:ascii="Arial" w:hAnsi="Arial" w:cs="Arial"/>
        </w:rPr>
        <w:t>(</w:t>
      </w:r>
      <m:oMath>
        <m:sSub>
          <m:sSubPr>
            <m:ctrlPr>
              <w:rPr>
                <w:rFonts w:ascii="Cambria Math" w:hAnsi="Cambria Math" w:cs="Arial"/>
              </w:rPr>
            </m:ctrlPr>
          </m:sSubPr>
          <m:e>
            <m:r>
              <w:rPr>
                <w:rFonts w:ascii="Cambria Math" w:hAnsi="Cambria Math" w:cs="Arial"/>
              </w:rPr>
              <m:t>T</m:t>
            </m:r>
          </m:e>
          <m:sub>
            <m:r>
              <w:rPr>
                <w:rFonts w:ascii="Cambria Math" w:hAnsi="Cambria Math" w:cs="Arial"/>
              </w:rPr>
              <m:t>ext</m:t>
            </m:r>
          </m:sub>
        </m:sSub>
        <m:r>
          <m:rPr>
            <m:sty m:val="p"/>
          </m:rPr>
          <w:rPr>
            <w:rFonts w:ascii="Cambria Math" w:hAnsi="Cambria Math" w:cs="Arial"/>
          </w:rPr>
          <m:t>:40°</m:t>
        </m:r>
        <m:r>
          <w:rPr>
            <w:rFonts w:ascii="Cambria Math" w:hAnsi="Cambria Math" w:cs="Arial"/>
          </w:rPr>
          <m:t>C</m:t>
        </m:r>
      </m:oMath>
      <w:r w:rsidR="00EF7C5A">
        <w:rPr>
          <w:rFonts w:ascii="Arial" w:hAnsi="Arial" w:cs="Arial"/>
        </w:rPr>
        <w:t xml:space="preserve"> , </w:t>
      </w:r>
      <m:oMath>
        <m:sSub>
          <m:sSubPr>
            <m:ctrlPr>
              <w:rPr>
                <w:rFonts w:ascii="Cambria Math" w:hAnsi="Cambria Math" w:cs="Arial"/>
              </w:rPr>
            </m:ctrlPr>
          </m:sSubPr>
          <m:e>
            <m:r>
              <w:rPr>
                <w:rFonts w:ascii="Cambria Math" w:hAnsi="Cambria Math" w:cs="Arial"/>
              </w:rPr>
              <m:t>T</m:t>
            </m:r>
          </m:e>
          <m:sub>
            <m:r>
              <w:rPr>
                <w:rFonts w:ascii="Cambria Math" w:hAnsi="Cambria Math" w:cs="Arial"/>
              </w:rPr>
              <m:t>int</m:t>
            </m:r>
          </m:sub>
        </m:sSub>
        <m:r>
          <m:rPr>
            <m:sty m:val="p"/>
          </m:rPr>
          <w:rPr>
            <w:rFonts w:ascii="Cambria Math" w:hAnsi="Cambria Math" w:cs="Arial"/>
          </w:rPr>
          <m:t>:26°</m:t>
        </m:r>
        <m:r>
          <w:rPr>
            <w:rFonts w:ascii="Cambria Math" w:hAnsi="Cambria Math" w:cs="Arial"/>
          </w:rPr>
          <m:t>C</m:t>
        </m:r>
      </m:oMath>
      <w:r w:rsidR="00EF7C5A">
        <w:rPr>
          <w:rFonts w:ascii="Arial" w:hAnsi="Arial" w:cs="Arial"/>
        </w:rPr>
        <w:t>)</w:t>
      </w:r>
      <w:r w:rsidR="00EF7C5A" w:rsidRPr="00B67183">
        <w:rPr>
          <w:rFonts w:ascii="Arial" w:hAnsi="Arial" w:cs="Arial"/>
        </w:rPr>
        <w:t xml:space="preserve">, </w:t>
      </w:r>
      <w:r w:rsidRPr="00344E1E">
        <w:rPr>
          <w:rFonts w:ascii="Arial" w:hAnsi="Arial" w:cs="Arial"/>
        </w:rPr>
        <w:t>typical convective coefficients for exterior</w:t>
      </w:r>
      <w:r w:rsidR="00AC0B37">
        <w:rPr>
          <w:rFonts w:ascii="Arial" w:hAnsi="Arial" w:cs="Arial"/>
        </w:rPr>
        <w:t xml:space="preserve"> </w:t>
      </w:r>
      <m:oMath>
        <m:sSub>
          <m:sSubPr>
            <m:ctrlPr>
              <w:rPr>
                <w:rFonts w:ascii="Cambria Math" w:hAnsi="Cambria Math" w:cs="Arial"/>
              </w:rPr>
            </m:ctrlPr>
          </m:sSubPr>
          <m:e>
            <m:r>
              <w:rPr>
                <w:rFonts w:ascii="Cambria Math" w:hAnsi="Cambria Math" w:cs="Arial"/>
              </w:rPr>
              <m:t>h</m:t>
            </m:r>
          </m:e>
          <m:sub>
            <m:r>
              <w:rPr>
                <w:rFonts w:ascii="Cambria Math" w:hAnsi="Cambria Math" w:cs="Arial"/>
              </w:rPr>
              <m:t>ext</m:t>
            </m:r>
          </m:sub>
        </m:sSub>
        <m:r>
          <m:rPr>
            <m:sty m:val="p"/>
          </m:rPr>
          <w:rPr>
            <w:rFonts w:ascii="Cambria Math" w:hAnsi="Cambria Math" w:cs="Arial"/>
          </w:rPr>
          <m:t xml:space="preserve">:15 </m:t>
        </m:r>
        <m:r>
          <w:rPr>
            <w:rFonts w:ascii="Cambria Math" w:hAnsi="Cambria Math" w:cs="Arial"/>
          </w:rPr>
          <m:t>W</m:t>
        </m:r>
        <m:r>
          <m:rPr>
            <m:sty m:val="p"/>
          </m:rPr>
          <w:rPr>
            <w:rFonts w:ascii="Cambria Math" w:hAnsi="Cambria Math" w:cs="Arial"/>
          </w:rPr>
          <m:t>/</m:t>
        </m:r>
        <m:sSup>
          <m:sSupPr>
            <m:ctrlPr>
              <w:rPr>
                <w:rFonts w:ascii="Cambria Math" w:hAnsi="Cambria Math" w:cs="Arial"/>
              </w:rPr>
            </m:ctrlPr>
          </m:sSupPr>
          <m:e>
            <m:r>
              <w:rPr>
                <w:rFonts w:ascii="Cambria Math" w:hAnsi="Cambria Math" w:cs="Arial"/>
              </w:rPr>
              <m:t>m</m:t>
            </m:r>
          </m:e>
          <m:sup>
            <m:r>
              <m:rPr>
                <m:sty m:val="p"/>
              </m:rPr>
              <w:rPr>
                <w:rFonts w:ascii="Cambria Math" w:hAnsi="Cambria Math" w:cs="Arial"/>
              </w:rPr>
              <m:t>2</m:t>
            </m:r>
          </m:sup>
        </m:sSup>
        <m:r>
          <w:rPr>
            <w:rFonts w:ascii="Cambria Math" w:hAnsi="Cambria Math" w:cs="Arial"/>
          </w:rPr>
          <m:t>K</m:t>
        </m:r>
      </m:oMath>
      <w:r w:rsidR="00AC0B37">
        <w:rPr>
          <w:rFonts w:ascii="Arial" w:hAnsi="Arial" w:cs="Arial"/>
          <w:iCs/>
        </w:rPr>
        <w:t xml:space="preserve"> </w:t>
      </w:r>
      <w:r w:rsidR="00AC0B37" w:rsidRPr="00AC0B37">
        <w:rPr>
          <w:rFonts w:ascii="Arial" w:hAnsi="Arial" w:cs="Arial"/>
          <w:iCs/>
        </w:rPr>
        <w:t>and interior surfaces</w:t>
      </w:r>
      <w:r w:rsidR="00AC0B37">
        <w:rPr>
          <w:rFonts w:ascii="Arial" w:hAnsi="Arial" w:cs="Arial"/>
          <w:iCs/>
        </w:rPr>
        <w:t xml:space="preserve"> </w:t>
      </w:r>
      <m:oMath>
        <m:sSub>
          <m:sSubPr>
            <m:ctrlPr>
              <w:rPr>
                <w:rFonts w:ascii="Cambria Math" w:hAnsi="Cambria Math" w:cs="Arial"/>
              </w:rPr>
            </m:ctrlPr>
          </m:sSubPr>
          <m:e>
            <m:r>
              <w:rPr>
                <w:rFonts w:ascii="Cambria Math" w:hAnsi="Cambria Math" w:cs="Arial"/>
              </w:rPr>
              <m:t>h</m:t>
            </m:r>
          </m:e>
          <m:sub>
            <m:r>
              <w:rPr>
                <w:rFonts w:ascii="Cambria Math" w:hAnsi="Cambria Math" w:cs="Arial"/>
              </w:rPr>
              <m:t>int</m:t>
            </m:r>
          </m:sub>
        </m:sSub>
        <m:r>
          <m:rPr>
            <m:sty m:val="p"/>
          </m:rPr>
          <w:rPr>
            <w:rFonts w:ascii="Cambria Math" w:hAnsi="Cambria Math" w:cs="Arial"/>
          </w:rPr>
          <m:t xml:space="preserve">:8 </m:t>
        </m:r>
        <m:r>
          <w:rPr>
            <w:rFonts w:ascii="Cambria Math" w:hAnsi="Cambria Math" w:cs="Arial"/>
          </w:rPr>
          <m:t>W</m:t>
        </m:r>
        <m:r>
          <m:rPr>
            <m:sty m:val="p"/>
          </m:rPr>
          <w:rPr>
            <w:rFonts w:ascii="Cambria Math" w:hAnsi="Cambria Math" w:cs="Arial"/>
          </w:rPr>
          <m:t>/</m:t>
        </m:r>
        <m:sSup>
          <m:sSupPr>
            <m:ctrlPr>
              <w:rPr>
                <w:rFonts w:ascii="Cambria Math" w:hAnsi="Cambria Math" w:cs="Arial"/>
              </w:rPr>
            </m:ctrlPr>
          </m:sSupPr>
          <m:e>
            <m:r>
              <w:rPr>
                <w:rFonts w:ascii="Cambria Math" w:hAnsi="Cambria Math" w:cs="Arial"/>
              </w:rPr>
              <m:t>m</m:t>
            </m:r>
          </m:e>
          <m:sup>
            <m:r>
              <m:rPr>
                <m:sty m:val="p"/>
              </m:rPr>
              <w:rPr>
                <w:rFonts w:ascii="Cambria Math" w:hAnsi="Cambria Math" w:cs="Arial"/>
              </w:rPr>
              <m:t>2</m:t>
            </m:r>
          </m:sup>
        </m:sSup>
        <m:r>
          <w:rPr>
            <w:rFonts w:ascii="Cambria Math" w:hAnsi="Cambria Math" w:cs="Arial"/>
          </w:rPr>
          <m:t>K</m:t>
        </m:r>
      </m:oMath>
      <w:r w:rsidR="00AC0B37">
        <w:rPr>
          <w:rFonts w:ascii="Arial" w:hAnsi="Arial" w:cs="Arial"/>
          <w:iCs/>
        </w:rPr>
        <w:t xml:space="preserve">, </w:t>
      </w:r>
      <w:r w:rsidR="00AC0B37" w:rsidRPr="00AC0B37">
        <w:rPr>
          <w:rFonts w:ascii="Arial" w:hAnsi="Arial" w:cs="Arial"/>
          <w:iCs/>
        </w:rPr>
        <w:t>a 6-mm tempered-glass base wall, a 50-mm mineral wool insulation layer</w:t>
      </w:r>
      <w:r w:rsidR="00AC0B37">
        <w:rPr>
          <w:rFonts w:ascii="Arial" w:hAnsi="Arial" w:cs="Arial"/>
          <w:iCs/>
        </w:rPr>
        <w:t xml:space="preserve"> </w:t>
      </w:r>
      <w:r w:rsidR="00AC0B37" w:rsidRPr="00B67183">
        <w:rPr>
          <w:rFonts w:ascii="Arial" w:hAnsi="Arial" w:cs="Arial"/>
        </w:rPr>
        <w:t xml:space="preserve">(λ: 0.037 </w:t>
      </w:r>
      <m:oMath>
        <m:r>
          <w:rPr>
            <w:rFonts w:ascii="Cambria Math" w:hAnsi="Cambria Math" w:cs="Arial"/>
          </w:rPr>
          <m:t>W</m:t>
        </m:r>
        <m:r>
          <m:rPr>
            <m:sty m:val="p"/>
          </m:rPr>
          <w:rPr>
            <w:rFonts w:ascii="Cambria Math" w:hAnsi="Cambria Math" w:cs="Arial"/>
          </w:rPr>
          <m:t>/</m:t>
        </m:r>
        <m:r>
          <w:rPr>
            <w:rFonts w:ascii="Cambria Math" w:hAnsi="Cambria Math" w:cs="Arial"/>
          </w:rPr>
          <m:t>mK</m:t>
        </m:r>
      </m:oMath>
      <w:r w:rsidR="00AC0B37" w:rsidRPr="00B67183">
        <w:rPr>
          <w:rFonts w:ascii="Arial" w:hAnsi="Arial" w:cs="Arial"/>
        </w:rPr>
        <w:t>),</w:t>
      </w:r>
      <w:r w:rsidR="00AC0B37">
        <w:rPr>
          <w:rFonts w:ascii="Arial" w:hAnsi="Arial" w:cs="Arial"/>
        </w:rPr>
        <w:t xml:space="preserve"> </w:t>
      </w:r>
      <w:r w:rsidR="00AC0B37" w:rsidRPr="00AC0B37">
        <w:rPr>
          <w:rFonts w:ascii="Arial" w:hAnsi="Arial" w:cs="Arial"/>
        </w:rPr>
        <w:t>and ventilated cavities of 6 cm and 10 cm, with assigned convective coefficients of</w:t>
      </w:r>
      <w:r w:rsidR="00AC0B37">
        <w:rPr>
          <w:rFonts w:ascii="Arial" w:hAnsi="Arial" w:cs="Arial"/>
        </w:rPr>
        <w:t xml:space="preserve"> </w:t>
      </w:r>
      <m:oMath>
        <m:sSub>
          <m:sSubPr>
            <m:ctrlPr>
              <w:rPr>
                <w:rFonts w:ascii="Cambria Math" w:hAnsi="Cambria Math" w:cs="Arial"/>
              </w:rPr>
            </m:ctrlPr>
          </m:sSubPr>
          <m:e>
            <m:r>
              <w:rPr>
                <w:rFonts w:ascii="Cambria Math" w:hAnsi="Cambria Math" w:cs="Arial"/>
              </w:rPr>
              <m:t>h</m:t>
            </m:r>
          </m:e>
          <m:sub>
            <m:r>
              <w:rPr>
                <w:rFonts w:ascii="Cambria Math" w:hAnsi="Cambria Math" w:cs="Arial"/>
              </w:rPr>
              <m:t>cav</m:t>
            </m:r>
          </m:sub>
        </m:sSub>
        <m:r>
          <m:rPr>
            <m:sty m:val="p"/>
          </m:rPr>
          <w:rPr>
            <w:rFonts w:ascii="Cambria Math" w:hAnsi="Cambria Math" w:cs="Arial"/>
          </w:rPr>
          <m:t xml:space="preserve">:5 </m:t>
        </m:r>
        <m:r>
          <w:rPr>
            <w:rFonts w:ascii="Cambria Math" w:hAnsi="Cambria Math" w:cs="Arial"/>
          </w:rPr>
          <m:t>W</m:t>
        </m:r>
        <m:r>
          <m:rPr>
            <m:sty m:val="p"/>
          </m:rPr>
          <w:rPr>
            <w:rFonts w:ascii="Cambria Math" w:hAnsi="Cambria Math" w:cs="Arial"/>
          </w:rPr>
          <m:t>/</m:t>
        </m:r>
        <m:sSup>
          <m:sSupPr>
            <m:ctrlPr>
              <w:rPr>
                <w:rFonts w:ascii="Cambria Math" w:hAnsi="Cambria Math" w:cs="Arial"/>
              </w:rPr>
            </m:ctrlPr>
          </m:sSupPr>
          <m:e>
            <m:r>
              <w:rPr>
                <w:rFonts w:ascii="Cambria Math" w:hAnsi="Cambria Math" w:cs="Arial"/>
              </w:rPr>
              <m:t>m</m:t>
            </m:r>
          </m:e>
          <m:sup>
            <m:r>
              <m:rPr>
                <m:sty m:val="p"/>
              </m:rPr>
              <w:rPr>
                <w:rFonts w:ascii="Cambria Math" w:hAnsi="Cambria Math" w:cs="Arial"/>
              </w:rPr>
              <m:t>2</m:t>
            </m:r>
          </m:sup>
        </m:sSup>
        <m:r>
          <w:rPr>
            <w:rFonts w:ascii="Cambria Math" w:hAnsi="Cambria Math" w:cs="Arial"/>
          </w:rPr>
          <m:t>K</m:t>
        </m:r>
      </m:oMath>
      <w:r w:rsidR="00AC0B37">
        <w:rPr>
          <w:rFonts w:ascii="Arial" w:hAnsi="Arial" w:cs="Arial"/>
          <w:iCs/>
        </w:rPr>
        <w:t xml:space="preserve"> and </w:t>
      </w:r>
      <m:oMath>
        <m:sSub>
          <m:sSubPr>
            <m:ctrlPr>
              <w:rPr>
                <w:rFonts w:ascii="Cambria Math" w:hAnsi="Cambria Math" w:cs="Arial"/>
              </w:rPr>
            </m:ctrlPr>
          </m:sSubPr>
          <m:e>
            <m:r>
              <w:rPr>
                <w:rFonts w:ascii="Cambria Math" w:hAnsi="Cambria Math" w:cs="Arial"/>
              </w:rPr>
              <m:t>h</m:t>
            </m:r>
          </m:e>
          <m:sub>
            <m:r>
              <w:rPr>
                <w:rFonts w:ascii="Cambria Math" w:hAnsi="Cambria Math" w:cs="Arial"/>
              </w:rPr>
              <m:t>cav</m:t>
            </m:r>
          </m:sub>
        </m:sSub>
        <m:r>
          <m:rPr>
            <m:sty m:val="p"/>
          </m:rPr>
          <w:rPr>
            <w:rFonts w:ascii="Cambria Math" w:hAnsi="Cambria Math" w:cs="Arial"/>
          </w:rPr>
          <m:t xml:space="preserve">:8 </m:t>
        </m:r>
        <m:r>
          <w:rPr>
            <w:rFonts w:ascii="Cambria Math" w:hAnsi="Cambria Math" w:cs="Arial"/>
          </w:rPr>
          <m:t>W</m:t>
        </m:r>
        <m:r>
          <m:rPr>
            <m:sty m:val="p"/>
          </m:rPr>
          <w:rPr>
            <w:rFonts w:ascii="Cambria Math" w:hAnsi="Cambria Math" w:cs="Arial"/>
          </w:rPr>
          <m:t>/</m:t>
        </m:r>
        <m:sSup>
          <m:sSupPr>
            <m:ctrlPr>
              <w:rPr>
                <w:rFonts w:ascii="Cambria Math" w:hAnsi="Cambria Math" w:cs="Arial"/>
              </w:rPr>
            </m:ctrlPr>
          </m:sSupPr>
          <m:e>
            <m:r>
              <w:rPr>
                <w:rFonts w:ascii="Cambria Math" w:hAnsi="Cambria Math" w:cs="Arial"/>
              </w:rPr>
              <m:t>m</m:t>
            </m:r>
          </m:e>
          <m:sup>
            <m:r>
              <m:rPr>
                <m:sty m:val="p"/>
              </m:rPr>
              <w:rPr>
                <w:rFonts w:ascii="Cambria Math" w:hAnsi="Cambria Math" w:cs="Arial"/>
              </w:rPr>
              <m:t>2</m:t>
            </m:r>
          </m:sup>
        </m:sSup>
        <m:r>
          <w:rPr>
            <w:rFonts w:ascii="Cambria Math" w:hAnsi="Cambria Math" w:cs="Arial"/>
          </w:rPr>
          <m:t>K</m:t>
        </m:r>
      </m:oMath>
      <w:r w:rsidR="00AC0B37" w:rsidRPr="00AC0B37">
        <w:t xml:space="preserve"> </w:t>
      </w:r>
      <w:r w:rsidR="00AC0B37">
        <w:t xml:space="preserve">, respectively. These assumptions represent consistent extreme heat-gain conditions for the </w:t>
      </w:r>
      <w:r w:rsidR="00AC0B37" w:rsidRPr="00AC0B37">
        <w:rPr>
          <w:rFonts w:ascii="Arial" w:hAnsi="Arial" w:cs="Arial"/>
        </w:rPr>
        <w:t xml:space="preserve">southwest facade of the building under study. </w:t>
      </w:r>
    </w:p>
    <w:p w14:paraId="718591DD" w14:textId="77777777" w:rsidR="00AC0B37" w:rsidRPr="00AC0B37" w:rsidRDefault="00AC0B37" w:rsidP="00AC0B37">
      <w:pPr>
        <w:pStyle w:val="Body"/>
        <w:spacing w:after="0"/>
        <w:rPr>
          <w:rFonts w:ascii="Arial" w:hAnsi="Arial" w:cs="Arial"/>
        </w:rPr>
      </w:pPr>
    </w:p>
    <w:p w14:paraId="09C34B09" w14:textId="513ECE84" w:rsidR="00AC0B37" w:rsidRPr="00AC0B37" w:rsidRDefault="00AC0B37" w:rsidP="00AC0B37">
      <w:pPr>
        <w:pStyle w:val="Body"/>
        <w:spacing w:after="0"/>
      </w:pPr>
      <w:r w:rsidRPr="00AC0B37">
        <w:rPr>
          <w:rFonts w:ascii="Arial" w:hAnsi="Arial" w:cs="Arial"/>
        </w:rPr>
        <w:t>Heat transfer by conduction through the exterior cladding layer was calculated using the classical Fourier expression:</w:t>
      </w:r>
    </w:p>
    <w:p w14:paraId="08A06300" w14:textId="5C2E616C" w:rsidR="00B67183" w:rsidRDefault="007A4F5D" w:rsidP="00B67183">
      <w:pPr>
        <w:jc w:val="center"/>
      </w:pPr>
      <m:oMath>
        <m:sSub>
          <m:sSubPr>
            <m:ctrlPr>
              <w:rPr>
                <w:rFonts w:ascii="Cambria Math" w:hAnsi="Cambria Math"/>
              </w:rPr>
            </m:ctrlPr>
          </m:sSubPr>
          <m:e>
            <m:r>
              <w:rPr>
                <w:rFonts w:ascii="Cambria Math" w:hAnsi="Cambria Math"/>
              </w:rPr>
              <m:t>R</m:t>
            </m:r>
          </m:e>
          <m:sub>
            <m:r>
              <w:rPr>
                <w:rFonts w:ascii="Cambria Math" w:hAnsi="Cambria Math"/>
              </w:rPr>
              <m:t>cond</m:t>
            </m:r>
            <m:r>
              <m:rPr>
                <m:sty m:val="p"/>
              </m:rPr>
              <w:rPr>
                <w:rFonts w:ascii="Cambria Math" w:hAnsi="Cambria Math"/>
              </w:rPr>
              <m:t xml:space="preserve">: </m:t>
            </m:r>
          </m:sub>
        </m:sSub>
        <m:f>
          <m:fPr>
            <m:ctrlPr>
              <w:rPr>
                <w:rFonts w:ascii="Cambria Math" w:hAnsi="Cambria Math"/>
              </w:rPr>
            </m:ctrlPr>
          </m:fPr>
          <m:num>
            <m:r>
              <w:rPr>
                <w:rFonts w:ascii="Cambria Math" w:hAnsi="Cambria Math"/>
              </w:rPr>
              <m:t>d</m:t>
            </m:r>
          </m:num>
          <m:den>
            <m:r>
              <w:rPr>
                <w:rFonts w:ascii="Cambria Math" w:hAnsi="Cambria Math"/>
              </w:rPr>
              <m:t>k</m:t>
            </m:r>
          </m:den>
        </m:f>
      </m:oMath>
      <w:r w:rsidR="00B67183">
        <w:t xml:space="preserve">    (1)</w:t>
      </w:r>
    </w:p>
    <w:p w14:paraId="473DC097" w14:textId="77777777" w:rsidR="00B67183" w:rsidRPr="00B67183" w:rsidRDefault="00B67183" w:rsidP="00B67183">
      <w:pPr>
        <w:jc w:val="center"/>
      </w:pPr>
    </w:p>
    <w:p w14:paraId="4415B620" w14:textId="62120CB0" w:rsidR="00AC0B37" w:rsidRPr="00AC0B37" w:rsidRDefault="00AC0B37" w:rsidP="00AC0B37">
      <w:pPr>
        <w:jc w:val="both"/>
        <w:rPr>
          <w:rFonts w:ascii="Arial" w:hAnsi="Arial" w:cs="Arial"/>
        </w:rPr>
      </w:pPr>
      <w:r>
        <w:rPr>
          <w:rFonts w:ascii="Arial" w:hAnsi="Arial" w:cs="Arial"/>
        </w:rPr>
        <w:t>W</w:t>
      </w:r>
      <w:r w:rsidRPr="00AC0B37">
        <w:rPr>
          <w:rFonts w:ascii="Arial" w:hAnsi="Arial" w:cs="Arial"/>
        </w:rPr>
        <w:t xml:space="preserve">here </w:t>
      </w:r>
      <w:r w:rsidRPr="00AC0B37">
        <w:rPr>
          <w:rFonts w:ascii="Cambria Math" w:hAnsi="Cambria Math" w:cs="Cambria Math"/>
        </w:rPr>
        <w:t>𝑑</w:t>
      </w:r>
      <w:r w:rsidRPr="00AC0B37">
        <w:rPr>
          <w:rFonts w:ascii="Arial" w:hAnsi="Arial" w:cs="Arial"/>
        </w:rPr>
        <w:t xml:space="preserve"> is the material thickness and </w:t>
      </w:r>
      <w:r w:rsidRPr="00AC0B37">
        <w:rPr>
          <w:rFonts w:ascii="Cambria Math" w:hAnsi="Cambria Math" w:cs="Cambria Math"/>
        </w:rPr>
        <w:t>𝑘</w:t>
      </w:r>
      <w:r w:rsidRPr="00AC0B37">
        <w:rPr>
          <w:rFonts w:ascii="Arial" w:hAnsi="Arial" w:cs="Arial"/>
        </w:rPr>
        <w:t xml:space="preserve"> its thermal conductivity (</w:t>
      </w:r>
      <w:proofErr w:type="spellStart"/>
      <w:r w:rsidRPr="00AC0B37">
        <w:rPr>
          <w:rFonts w:ascii="Arial" w:hAnsi="Arial" w:cs="Arial"/>
        </w:rPr>
        <w:t>Dekton</w:t>
      </w:r>
      <w:proofErr w:type="spellEnd"/>
      <w:r w:rsidRPr="00AC0B37">
        <w:rPr>
          <w:rFonts w:ascii="Arial" w:hAnsi="Arial" w:cs="Arial"/>
        </w:rPr>
        <w:t>, porcelain ceramic, or fiber-cement). Convection within the ventilated cavity and on the interior and exterior surfaces was modeled using:</w:t>
      </w:r>
    </w:p>
    <w:p w14:paraId="7B807F37" w14:textId="2B931191" w:rsidR="00B67183" w:rsidRDefault="00AC0B37" w:rsidP="00AC0B37">
      <w:pPr>
        <w:jc w:val="center"/>
      </w:pPr>
      <w:r>
        <w:t xml:space="preserve"> </w:t>
      </w:r>
      <m:oMath>
        <m:sSub>
          <m:sSubPr>
            <m:ctrlPr>
              <w:rPr>
                <w:rFonts w:ascii="Cambria Math" w:hAnsi="Cambria Math"/>
              </w:rPr>
            </m:ctrlPr>
          </m:sSubPr>
          <m:e>
            <m:r>
              <w:rPr>
                <w:rFonts w:ascii="Cambria Math" w:hAnsi="Cambria Math"/>
              </w:rPr>
              <m:t>R</m:t>
            </m:r>
          </m:e>
          <m:sub>
            <m:r>
              <w:rPr>
                <w:rFonts w:ascii="Cambria Math" w:hAnsi="Cambria Math"/>
              </w:rPr>
              <m:t>conv</m:t>
            </m:r>
            <m:r>
              <m:rPr>
                <m:sty m:val="p"/>
              </m:rPr>
              <w:rPr>
                <w:rFonts w:ascii="Cambria Math" w:hAnsi="Cambria Math"/>
              </w:rPr>
              <m:t xml:space="preserve">: </m:t>
            </m:r>
          </m:sub>
        </m:sSub>
        <m:f>
          <m:fPr>
            <m:ctrlPr>
              <w:rPr>
                <w:rFonts w:ascii="Cambria Math" w:hAnsi="Cambria Math"/>
              </w:rPr>
            </m:ctrlPr>
          </m:fPr>
          <m:num>
            <m:r>
              <w:rPr>
                <w:rFonts w:ascii="Cambria Math" w:hAnsi="Cambria Math"/>
              </w:rPr>
              <m:t>1</m:t>
            </m:r>
          </m:num>
          <m:den>
            <m:r>
              <w:rPr>
                <w:rFonts w:ascii="Cambria Math" w:hAnsi="Cambria Math"/>
              </w:rPr>
              <m:t>h</m:t>
            </m:r>
          </m:den>
        </m:f>
      </m:oMath>
      <w:r w:rsidR="00B67183">
        <w:t xml:space="preserve">    (2)</w:t>
      </w:r>
    </w:p>
    <w:p w14:paraId="5A9A8B30" w14:textId="77777777" w:rsidR="00B67183" w:rsidRDefault="00B67183" w:rsidP="00441B6F">
      <w:pPr>
        <w:pStyle w:val="Body"/>
        <w:spacing w:after="0"/>
      </w:pPr>
    </w:p>
    <w:p w14:paraId="19F6649C" w14:textId="1685532C" w:rsidR="00B67183" w:rsidRDefault="00AC0B37" w:rsidP="00AC0B37">
      <w:pPr>
        <w:pStyle w:val="Body"/>
      </w:pPr>
      <w:r>
        <w:t xml:space="preserve">where </w:t>
      </w:r>
      <w:r>
        <w:rPr>
          <w:rFonts w:ascii="Cambria Math" w:hAnsi="Cambria Math" w:cs="Cambria Math"/>
        </w:rPr>
        <w:t>ℎ</w:t>
      </w:r>
      <w:r>
        <w:t xml:space="preserve"> is the corresponding convective heat-transfer coefficient. The total thermal resistance of the multilayer assembly was obtained as:</w:t>
      </w:r>
    </w:p>
    <w:p w14:paraId="08549B53" w14:textId="3E66056B" w:rsidR="00B67183" w:rsidRDefault="007A4F5D" w:rsidP="00B67183">
      <w:pPr>
        <w:jc w:val="center"/>
      </w:pPr>
      <m:oMath>
        <m:sSub>
          <m:sSubPr>
            <m:ctrlPr>
              <w:rPr>
                <w:rFonts w:ascii="Cambria Math" w:hAnsi="Cambria Math"/>
              </w:rPr>
            </m:ctrlPr>
          </m:sSubPr>
          <m:e>
            <m:r>
              <w:rPr>
                <w:rFonts w:ascii="Cambria Math" w:hAnsi="Cambria Math"/>
              </w:rPr>
              <m:t>R</m:t>
            </m:r>
          </m:e>
          <m:sub>
            <m:r>
              <w:rPr>
                <w:rFonts w:ascii="Cambria Math" w:hAnsi="Cambria Math"/>
              </w:rPr>
              <m:t>total</m:t>
            </m:r>
            <m:r>
              <m:rPr>
                <m:sty m:val="p"/>
              </m:rPr>
              <w:rPr>
                <w:rFonts w:ascii="Cambria Math" w:hAnsi="Cambria Math"/>
              </w:rPr>
              <m:t xml:space="preserve">: </m:t>
            </m:r>
          </m:sub>
        </m:sSub>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R</m:t>
                </m:r>
              </m:e>
              <m:sub>
                <m:r>
                  <w:rPr>
                    <w:rFonts w:ascii="Cambria Math" w:hAnsi="Cambria Math"/>
                  </w:rPr>
                  <m:t>i</m:t>
                </m:r>
              </m:sub>
            </m:sSub>
          </m:e>
        </m:nary>
      </m:oMath>
      <w:r w:rsidR="00B67183">
        <w:t xml:space="preserve">   (3)</w:t>
      </w:r>
    </w:p>
    <w:p w14:paraId="7F8810FD" w14:textId="77777777" w:rsidR="00B67183" w:rsidRDefault="00B67183" w:rsidP="00B67183">
      <w:pPr>
        <w:jc w:val="center"/>
      </w:pPr>
    </w:p>
    <w:p w14:paraId="6E3E1ACB" w14:textId="5E735983" w:rsidR="00253FEB" w:rsidRDefault="00AC0B37" w:rsidP="00441B6F">
      <w:pPr>
        <w:pStyle w:val="Body"/>
        <w:spacing w:after="0"/>
        <w:rPr>
          <w:rFonts w:ascii="Arial" w:hAnsi="Arial" w:cs="Arial"/>
        </w:rPr>
      </w:pPr>
      <w:r w:rsidRPr="00AC0B37">
        <w:rPr>
          <w:rFonts w:ascii="Arial" w:hAnsi="Arial" w:cs="Arial"/>
        </w:rPr>
        <w:t>and the heat flux entering the interior space was determined through the general one-dimensional expression:</w:t>
      </w:r>
    </w:p>
    <w:p w14:paraId="4EF83380" w14:textId="33B55315" w:rsidR="00B67183" w:rsidRDefault="00B67183" w:rsidP="00B67183">
      <w:pPr>
        <w:pStyle w:val="Body"/>
        <w:spacing w:after="0"/>
        <w:jc w:val="center"/>
        <w:rPr>
          <w:rFonts w:ascii="Arial" w:hAnsi="Arial" w:cs="Arial"/>
        </w:rPr>
      </w:pPr>
      <m:oMath>
        <m:r>
          <w:rPr>
            <w:rFonts w:ascii="Cambria Math" w:hAnsi="Cambria Math" w:cs="Arial"/>
          </w:rPr>
          <m:t>q=</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ext</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int</m:t>
                </m:r>
              </m:sub>
            </m:sSub>
          </m:num>
          <m:den>
            <m:sSub>
              <m:sSubPr>
                <m:ctrlPr>
                  <w:rPr>
                    <w:rFonts w:ascii="Cambria Math" w:hAnsi="Cambria Math" w:cs="Arial"/>
                    <w:i/>
                  </w:rPr>
                </m:ctrlPr>
              </m:sSubPr>
              <m:e>
                <m:r>
                  <w:rPr>
                    <w:rFonts w:ascii="Cambria Math" w:hAnsi="Cambria Math" w:cs="Arial"/>
                  </w:rPr>
                  <m:t>R</m:t>
                </m:r>
              </m:e>
              <m:sub>
                <m:r>
                  <w:rPr>
                    <w:rFonts w:ascii="Cambria Math" w:hAnsi="Cambria Math" w:cs="Arial"/>
                  </w:rPr>
                  <m:t>total</m:t>
                </m:r>
              </m:sub>
            </m:sSub>
          </m:den>
        </m:f>
      </m:oMath>
      <w:r>
        <w:rPr>
          <w:rFonts w:ascii="Arial" w:hAnsi="Arial" w:cs="Arial"/>
        </w:rPr>
        <w:t xml:space="preserve"> (4)</w:t>
      </w:r>
    </w:p>
    <w:p w14:paraId="443103DF" w14:textId="77777777" w:rsidR="00B67183" w:rsidRDefault="00B67183" w:rsidP="00B67183">
      <w:pPr>
        <w:pStyle w:val="Body"/>
        <w:spacing w:after="0"/>
        <w:jc w:val="center"/>
        <w:rPr>
          <w:rFonts w:ascii="Arial" w:hAnsi="Arial" w:cs="Arial"/>
        </w:rPr>
      </w:pPr>
    </w:p>
    <w:p w14:paraId="5781ACD3" w14:textId="0BA529D7" w:rsidR="00B67183" w:rsidRDefault="00AC0B37" w:rsidP="00441B6F">
      <w:pPr>
        <w:pStyle w:val="Body"/>
        <w:spacing w:after="0"/>
        <w:rPr>
          <w:rFonts w:ascii="Arial" w:hAnsi="Arial" w:cs="Arial"/>
        </w:rPr>
      </w:pPr>
      <w:r w:rsidRPr="00AC0B37">
        <w:rPr>
          <w:rFonts w:ascii="Arial" w:hAnsi="Arial" w:cs="Arial"/>
        </w:rPr>
        <w:t>This procedure enabled a consistent comparison among the six configurations resulting from the combination of cladding materials and cavity depths.</w:t>
      </w:r>
    </w:p>
    <w:p w14:paraId="776DE988" w14:textId="77777777" w:rsidR="00B67183" w:rsidRPr="00FB3A86" w:rsidRDefault="00B67183" w:rsidP="00441B6F">
      <w:pPr>
        <w:pStyle w:val="Body"/>
        <w:spacing w:after="0"/>
        <w:rPr>
          <w:rFonts w:ascii="Arial" w:hAnsi="Arial" w:cs="Arial"/>
        </w:rPr>
      </w:pPr>
    </w:p>
    <w:p w14:paraId="5FA7FA95" w14:textId="77777777" w:rsidR="00F019C0" w:rsidRDefault="00F019C0" w:rsidP="00441B6F">
      <w:pPr>
        <w:pStyle w:val="Head1"/>
        <w:spacing w:after="0"/>
        <w:jc w:val="both"/>
        <w:rPr>
          <w:rFonts w:ascii="Arial" w:hAnsi="Arial" w:cs="Arial"/>
        </w:rPr>
      </w:pPr>
    </w:p>
    <w:p w14:paraId="32DF147F" w14:textId="4423E33F" w:rsidR="00AC0B37" w:rsidRDefault="00AC0B37" w:rsidP="00441B6F">
      <w:pPr>
        <w:pStyle w:val="Head1"/>
        <w:spacing w:after="0"/>
        <w:jc w:val="both"/>
        <w:rPr>
          <w:rFonts w:ascii="Arial" w:hAnsi="Arial" w:cs="Arial"/>
          <w:b w:val="0"/>
          <w:caps w:val="0"/>
          <w:sz w:val="20"/>
        </w:rPr>
      </w:pPr>
      <w:r w:rsidRPr="00AC0B37">
        <w:rPr>
          <w:rFonts w:ascii="Arial" w:hAnsi="Arial" w:cs="Arial"/>
          <w:b w:val="0"/>
          <w:caps w:val="0"/>
          <w:sz w:val="20"/>
        </w:rPr>
        <w:t xml:space="preserve">Given the previous calculations, </w:t>
      </w:r>
      <w:r>
        <w:rPr>
          <w:rFonts w:ascii="Arial" w:hAnsi="Arial" w:cs="Arial"/>
          <w:b w:val="0"/>
          <w:caps w:val="0"/>
          <w:sz w:val="20"/>
        </w:rPr>
        <w:t>t</w:t>
      </w:r>
      <w:r w:rsidRPr="00AC0B37">
        <w:rPr>
          <w:rFonts w:ascii="Arial" w:hAnsi="Arial" w:cs="Arial"/>
          <w:b w:val="0"/>
          <w:caps w:val="0"/>
          <w:sz w:val="20"/>
        </w:rPr>
        <w:t>able 3</w:t>
      </w:r>
      <w:r>
        <w:rPr>
          <w:rFonts w:ascii="Arial" w:hAnsi="Arial" w:cs="Arial"/>
          <w:b w:val="0"/>
          <w:caps w:val="0"/>
          <w:sz w:val="20"/>
        </w:rPr>
        <w:t xml:space="preserve"> and 4</w:t>
      </w:r>
      <w:r w:rsidRPr="00AC0B37">
        <w:rPr>
          <w:rFonts w:ascii="Arial" w:hAnsi="Arial" w:cs="Arial"/>
          <w:b w:val="0"/>
          <w:caps w:val="0"/>
          <w:sz w:val="20"/>
        </w:rPr>
        <w:t xml:space="preserve"> presents a consolidated summary of the thermal parameters obtained for each configuration, including conductive and convective resistances, total heat flux, and intermediate temperatures. This organization allows a clear evaluation of the influence of cladding materials and cavity depth on the thermal behavior, providing a consistent comparative basis across the six analyzed alternatives.</w:t>
      </w:r>
    </w:p>
    <w:p w14:paraId="4B8222E4" w14:textId="69B4DBEB" w:rsidR="00AC0B37" w:rsidRDefault="00AC0B37" w:rsidP="00441B6F">
      <w:pPr>
        <w:pStyle w:val="Head1"/>
        <w:spacing w:after="0"/>
        <w:jc w:val="both"/>
        <w:rPr>
          <w:rFonts w:ascii="Arial" w:hAnsi="Arial" w:cs="Arial"/>
          <w:b w:val="0"/>
          <w:caps w:val="0"/>
          <w:sz w:val="20"/>
        </w:rPr>
        <w:sectPr w:rsidR="00AC0B37" w:rsidSect="00C633BB">
          <w:pgSz w:w="12240" w:h="15840"/>
          <w:pgMar w:top="1440" w:right="2016" w:bottom="2016" w:left="2016" w:header="720" w:footer="1123" w:gutter="0"/>
          <w:cols w:space="720"/>
          <w:docGrid w:linePitch="272"/>
        </w:sectPr>
      </w:pPr>
    </w:p>
    <w:p w14:paraId="790C3801" w14:textId="09FD48B5" w:rsidR="00863BD3" w:rsidRDefault="009500A6" w:rsidP="00592D15">
      <w:pPr>
        <w:tabs>
          <w:tab w:val="left" w:pos="1080"/>
        </w:tabs>
        <w:jc w:val="center"/>
        <w:rPr>
          <w:rFonts w:ascii="Arial" w:hAnsi="Arial"/>
          <w:b/>
        </w:rPr>
      </w:pPr>
      <w:r>
        <w:rPr>
          <w:rFonts w:ascii="Arial" w:hAnsi="Arial"/>
          <w:b/>
        </w:rPr>
        <w:lastRenderedPageBreak/>
        <w:t xml:space="preserve">Table </w:t>
      </w:r>
      <w:r w:rsidR="00F019C0">
        <w:rPr>
          <w:rFonts w:ascii="Arial" w:hAnsi="Arial"/>
          <w:b/>
        </w:rPr>
        <w:t>3</w:t>
      </w:r>
      <w:r>
        <w:rPr>
          <w:rFonts w:ascii="Arial" w:hAnsi="Arial"/>
          <w:b/>
        </w:rPr>
        <w:t>.</w:t>
      </w:r>
      <w:r w:rsidR="00863BD3" w:rsidRPr="00DC3180">
        <w:rPr>
          <w:rFonts w:ascii="Arial" w:hAnsi="Arial"/>
          <w:b/>
        </w:rPr>
        <w:tab/>
      </w:r>
      <w:r w:rsidR="00592D15" w:rsidRPr="00592D15">
        <w:rPr>
          <w:rFonts w:ascii="Arial" w:hAnsi="Arial"/>
          <w:b/>
        </w:rPr>
        <w:t>Thermal performance of the ventilated fa</w:t>
      </w:r>
      <w:r w:rsidR="00592D15">
        <w:rPr>
          <w:rFonts w:ascii="Arial" w:hAnsi="Arial"/>
          <w:b/>
        </w:rPr>
        <w:t>c</w:t>
      </w:r>
      <w:r w:rsidR="00592D15" w:rsidRPr="00592D15">
        <w:rPr>
          <w:rFonts w:ascii="Arial" w:hAnsi="Arial"/>
          <w:b/>
        </w:rPr>
        <w:t>ade configurations evaluated</w:t>
      </w:r>
    </w:p>
    <w:p w14:paraId="64CD82E9" w14:textId="6C4AAE2F" w:rsidR="00863BD3" w:rsidRPr="00DC3180" w:rsidRDefault="00863BD3" w:rsidP="00441B6F">
      <w:pPr>
        <w:tabs>
          <w:tab w:val="left" w:pos="1080"/>
        </w:tabs>
        <w:jc w:val="both"/>
        <w:rPr>
          <w:rFonts w:ascii="Arial" w:hAnsi="Arial"/>
          <w:b/>
        </w:rPr>
      </w:pPr>
    </w:p>
    <w:tbl>
      <w:tblPr>
        <w:tblStyle w:val="TableGrid"/>
        <w:tblW w:w="12299" w:type="dxa"/>
        <w:tblLayout w:type="fixed"/>
        <w:tblLook w:val="01E0" w:firstRow="1" w:lastRow="1" w:firstColumn="1" w:lastColumn="1" w:noHBand="0" w:noVBand="0"/>
      </w:tblPr>
      <w:tblGrid>
        <w:gridCol w:w="959"/>
        <w:gridCol w:w="1701"/>
        <w:gridCol w:w="1417"/>
        <w:gridCol w:w="1134"/>
        <w:gridCol w:w="851"/>
        <w:gridCol w:w="1134"/>
        <w:gridCol w:w="992"/>
        <w:gridCol w:w="992"/>
        <w:gridCol w:w="993"/>
        <w:gridCol w:w="992"/>
        <w:gridCol w:w="1134"/>
      </w:tblGrid>
      <w:tr w:rsidR="00B055A7" w:rsidRPr="00DC3180" w14:paraId="506215C1" w14:textId="2CE93FB9" w:rsidTr="00B055A7">
        <w:tc>
          <w:tcPr>
            <w:tcW w:w="959" w:type="dxa"/>
          </w:tcPr>
          <w:p w14:paraId="3B240AEC" w14:textId="0CD5E209" w:rsidR="00B055A7" w:rsidRPr="00DC3180" w:rsidRDefault="00B055A7" w:rsidP="00FE57D5">
            <w:pPr>
              <w:jc w:val="center"/>
              <w:rPr>
                <w:rFonts w:ascii="Arial" w:hAnsi="Arial"/>
                <w:b/>
                <w:bCs/>
              </w:rPr>
            </w:pPr>
            <w:bookmarkStart w:id="1" w:name="_Hlk215806942"/>
            <w:bookmarkStart w:id="2" w:name="_Hlk215786577"/>
            <w:r>
              <w:rPr>
                <w:rFonts w:ascii="Arial" w:hAnsi="Arial"/>
                <w:b/>
                <w:bCs/>
              </w:rPr>
              <w:t>Case</w:t>
            </w:r>
          </w:p>
        </w:tc>
        <w:tc>
          <w:tcPr>
            <w:tcW w:w="1701" w:type="dxa"/>
          </w:tcPr>
          <w:p w14:paraId="70C3D73F" w14:textId="169801F2" w:rsidR="00B055A7" w:rsidRPr="00DC3180" w:rsidRDefault="00B055A7" w:rsidP="00FE57D5">
            <w:pPr>
              <w:jc w:val="center"/>
              <w:rPr>
                <w:rFonts w:ascii="Arial" w:hAnsi="Arial"/>
                <w:b/>
                <w:bCs/>
              </w:rPr>
            </w:pPr>
            <w:r w:rsidRPr="00F019C0">
              <w:rPr>
                <w:rFonts w:ascii="Arial" w:hAnsi="Arial"/>
                <w:b/>
                <w:bCs/>
              </w:rPr>
              <w:t>Cladding Material</w:t>
            </w:r>
          </w:p>
        </w:tc>
        <w:tc>
          <w:tcPr>
            <w:tcW w:w="1417" w:type="dxa"/>
          </w:tcPr>
          <w:p w14:paraId="24259216" w14:textId="75BF30D5" w:rsidR="00B055A7" w:rsidRPr="00DC3180" w:rsidRDefault="00B055A7" w:rsidP="00FE57D5">
            <w:pPr>
              <w:jc w:val="center"/>
              <w:rPr>
                <w:rFonts w:ascii="Arial" w:hAnsi="Arial"/>
                <w:b/>
                <w:bCs/>
              </w:rPr>
            </w:pPr>
            <w:r w:rsidRPr="00F019C0">
              <w:rPr>
                <w:rFonts w:ascii="Arial" w:hAnsi="Arial"/>
                <w:b/>
                <w:bCs/>
              </w:rPr>
              <w:t>Air Cavity Thickness</w:t>
            </w:r>
          </w:p>
        </w:tc>
        <w:tc>
          <w:tcPr>
            <w:tcW w:w="1134" w:type="dxa"/>
          </w:tcPr>
          <w:p w14:paraId="266489A1" w14:textId="77777777" w:rsidR="00B055A7" w:rsidRPr="00F019C0" w:rsidRDefault="007A4F5D" w:rsidP="00FE57D5">
            <w:pPr>
              <w:jc w:val="center"/>
              <w:rPr>
                <w:rFonts w:ascii="Arial" w:hAnsi="Arial"/>
                <w:b/>
                <w:bCs/>
              </w:rPr>
            </w:pPr>
            <m:oMathPara>
              <m:oMath>
                <m:sSub>
                  <m:sSubPr>
                    <m:ctrlPr>
                      <w:rPr>
                        <w:rFonts w:ascii="Cambria Math" w:eastAsia="Times New Roman" w:hAnsi="Cambria Math"/>
                        <w:b/>
                        <w:bCs/>
                        <w:i/>
                        <w:sz w:val="20"/>
                        <w:szCs w:val="20"/>
                      </w:rPr>
                    </m:ctrlPr>
                  </m:sSubPr>
                  <m:e>
                    <m:r>
                      <m:rPr>
                        <m:sty m:val="bi"/>
                      </m:rPr>
                      <w:rPr>
                        <w:rFonts w:ascii="Cambria Math" w:hAnsi="Cambria Math"/>
                      </w:rPr>
                      <m:t>R</m:t>
                    </m:r>
                  </m:e>
                  <m:sub>
                    <m:r>
                      <m:rPr>
                        <m:sty m:val="bi"/>
                      </m:rPr>
                      <w:rPr>
                        <w:rFonts w:ascii="Cambria Math" w:hAnsi="Cambria Math"/>
                      </w:rPr>
                      <m:t>clad</m:t>
                    </m:r>
                  </m:sub>
                </m:sSub>
              </m:oMath>
            </m:oMathPara>
          </w:p>
          <w:p w14:paraId="7E66F38E" w14:textId="3AF34005" w:rsidR="00B055A7" w:rsidRPr="00F019C0" w:rsidRDefault="00B055A7" w:rsidP="00FE57D5">
            <w:pPr>
              <w:jc w:val="center"/>
              <w:rPr>
                <w:rFonts w:ascii="Arial" w:hAnsi="Arial"/>
                <w:b/>
                <w:bCs/>
              </w:rPr>
            </w:pPr>
            <w:r>
              <w:rPr>
                <w:rFonts w:ascii="Arial" w:hAnsi="Arial"/>
                <w:b/>
                <w:bCs/>
              </w:rPr>
              <w:t>(K/W)</w:t>
            </w:r>
          </w:p>
        </w:tc>
        <w:tc>
          <w:tcPr>
            <w:tcW w:w="851" w:type="dxa"/>
          </w:tcPr>
          <w:p w14:paraId="0FC6C086" w14:textId="423646AF" w:rsidR="00B055A7" w:rsidRPr="00F019C0" w:rsidRDefault="007A4F5D" w:rsidP="00FE57D5">
            <w:pPr>
              <w:jc w:val="center"/>
              <w:rPr>
                <w:rFonts w:ascii="Arial" w:hAnsi="Arial"/>
                <w:b/>
                <w:bCs/>
              </w:rPr>
            </w:pPr>
            <m:oMathPara>
              <m:oMath>
                <m:sSub>
                  <m:sSubPr>
                    <m:ctrlPr>
                      <w:rPr>
                        <w:rFonts w:ascii="Cambria Math" w:eastAsia="Times New Roman" w:hAnsi="Cambria Math"/>
                        <w:b/>
                        <w:bCs/>
                        <w:i/>
                        <w:sz w:val="20"/>
                        <w:szCs w:val="20"/>
                      </w:rPr>
                    </m:ctrlPr>
                  </m:sSubPr>
                  <m:e>
                    <m:r>
                      <m:rPr>
                        <m:sty m:val="bi"/>
                      </m:rPr>
                      <w:rPr>
                        <w:rFonts w:ascii="Cambria Math" w:hAnsi="Cambria Math"/>
                      </w:rPr>
                      <m:t>R</m:t>
                    </m:r>
                  </m:e>
                  <m:sub>
                    <m:r>
                      <m:rPr>
                        <m:sty m:val="bi"/>
                      </m:rPr>
                      <w:rPr>
                        <w:rFonts w:ascii="Cambria Math" w:hAnsi="Cambria Math"/>
                      </w:rPr>
                      <m:t>cav</m:t>
                    </m:r>
                  </m:sub>
                </m:sSub>
              </m:oMath>
            </m:oMathPara>
          </w:p>
          <w:p w14:paraId="2BA5752A" w14:textId="56D483A9" w:rsidR="00B055A7" w:rsidRPr="00F019C0" w:rsidRDefault="00B055A7" w:rsidP="00FE57D5">
            <w:pPr>
              <w:jc w:val="center"/>
              <w:rPr>
                <w:rFonts w:ascii="Arial" w:hAnsi="Arial"/>
                <w:b/>
                <w:bCs/>
              </w:rPr>
            </w:pPr>
            <w:r>
              <w:rPr>
                <w:rFonts w:ascii="Arial" w:hAnsi="Arial"/>
                <w:b/>
                <w:bCs/>
              </w:rPr>
              <w:t>(K/W)</w:t>
            </w:r>
          </w:p>
        </w:tc>
        <w:tc>
          <w:tcPr>
            <w:tcW w:w="1134" w:type="dxa"/>
          </w:tcPr>
          <w:p w14:paraId="56D87302" w14:textId="1A1BA835" w:rsidR="00B055A7" w:rsidRPr="00F019C0" w:rsidRDefault="007A4F5D" w:rsidP="00FE57D5">
            <w:pPr>
              <w:jc w:val="center"/>
              <w:rPr>
                <w:rFonts w:ascii="Arial" w:hAnsi="Arial"/>
                <w:b/>
                <w:bCs/>
              </w:rPr>
            </w:pPr>
            <m:oMathPara>
              <m:oMath>
                <m:sSub>
                  <m:sSubPr>
                    <m:ctrlPr>
                      <w:rPr>
                        <w:rFonts w:ascii="Cambria Math" w:eastAsia="Times New Roman" w:hAnsi="Cambria Math"/>
                        <w:b/>
                        <w:bCs/>
                        <w:i/>
                        <w:sz w:val="20"/>
                        <w:szCs w:val="20"/>
                      </w:rPr>
                    </m:ctrlPr>
                  </m:sSubPr>
                  <m:e>
                    <m:r>
                      <m:rPr>
                        <m:sty m:val="bi"/>
                      </m:rPr>
                      <w:rPr>
                        <w:rFonts w:ascii="Cambria Math" w:hAnsi="Cambria Math"/>
                      </w:rPr>
                      <m:t>R</m:t>
                    </m:r>
                  </m:e>
                  <m:sub>
                    <m:r>
                      <m:rPr>
                        <m:sty m:val="bi"/>
                      </m:rPr>
                      <w:rPr>
                        <w:rFonts w:ascii="Cambria Math" w:hAnsi="Cambria Math"/>
                      </w:rPr>
                      <m:t>tot</m:t>
                    </m:r>
                  </m:sub>
                </m:sSub>
              </m:oMath>
            </m:oMathPara>
          </w:p>
          <w:p w14:paraId="64A6443C" w14:textId="48C0E6AC" w:rsidR="00B055A7" w:rsidRPr="00F019C0" w:rsidRDefault="00B055A7" w:rsidP="00FE57D5">
            <w:pPr>
              <w:jc w:val="center"/>
              <w:rPr>
                <w:rFonts w:ascii="Arial" w:hAnsi="Arial"/>
                <w:b/>
                <w:bCs/>
              </w:rPr>
            </w:pPr>
            <w:r>
              <w:rPr>
                <w:rFonts w:ascii="Arial" w:hAnsi="Arial"/>
                <w:b/>
                <w:bCs/>
              </w:rPr>
              <w:t>(K/W)</w:t>
            </w:r>
          </w:p>
        </w:tc>
        <w:bookmarkStart w:id="3" w:name="_Hlk215806836"/>
        <w:tc>
          <w:tcPr>
            <w:tcW w:w="992" w:type="dxa"/>
          </w:tcPr>
          <w:p w14:paraId="632E168C" w14:textId="77777777" w:rsidR="00B055A7" w:rsidRPr="00805CE5" w:rsidRDefault="007A4F5D" w:rsidP="00FE57D5">
            <w:pPr>
              <w:jc w:val="center"/>
              <w:rPr>
                <w:rFonts w:ascii="Arial" w:hAnsi="Arial"/>
                <w:b/>
                <w:bCs/>
              </w:rPr>
            </w:pPr>
            <m:oMathPara>
              <m:oMath>
                <m:sSub>
                  <m:sSubPr>
                    <m:ctrlPr>
                      <w:rPr>
                        <w:rFonts w:ascii="Cambria Math" w:hAnsi="Cambria Math"/>
                        <w:b/>
                        <w:bCs/>
                        <w:i/>
                      </w:rPr>
                    </m:ctrlPr>
                  </m:sSubPr>
                  <m:e>
                    <m:r>
                      <m:rPr>
                        <m:sty m:val="p"/>
                      </m:rPr>
                      <w:rPr>
                        <w:rFonts w:ascii="Cambria Math" w:hAnsi="Cambria Math"/>
                      </w:rPr>
                      <m:t>ΔT</m:t>
                    </m:r>
                  </m:e>
                  <m:sub>
                    <m:r>
                      <m:rPr>
                        <m:sty m:val="bi"/>
                      </m:rPr>
                      <w:rPr>
                        <w:rFonts w:ascii="Cambria Math" w:hAnsi="Cambria Math"/>
                      </w:rPr>
                      <m:t>clad</m:t>
                    </m:r>
                  </m:sub>
                </m:sSub>
              </m:oMath>
            </m:oMathPara>
          </w:p>
          <w:p w14:paraId="02B0375B" w14:textId="73A9F47B" w:rsidR="00B055A7" w:rsidRPr="00F019C0" w:rsidRDefault="00B055A7" w:rsidP="00FE57D5">
            <w:pPr>
              <w:jc w:val="center"/>
              <w:rPr>
                <w:rFonts w:ascii="Arial" w:hAnsi="Arial"/>
                <w:b/>
                <w:bCs/>
              </w:rPr>
            </w:pPr>
            <w:r>
              <w:rPr>
                <w:rFonts w:ascii="Arial" w:hAnsi="Arial"/>
                <w:b/>
                <w:bCs/>
              </w:rPr>
              <w:t>(K)</w:t>
            </w:r>
            <w:bookmarkEnd w:id="3"/>
          </w:p>
        </w:tc>
        <w:tc>
          <w:tcPr>
            <w:tcW w:w="992" w:type="dxa"/>
          </w:tcPr>
          <w:p w14:paraId="6CB6980F" w14:textId="29632289" w:rsidR="00B055A7" w:rsidRPr="00805CE5" w:rsidRDefault="007A4F5D" w:rsidP="00805CE5">
            <w:pPr>
              <w:jc w:val="center"/>
              <w:rPr>
                <w:rFonts w:ascii="Arial" w:hAnsi="Arial"/>
                <w:b/>
                <w:bCs/>
              </w:rPr>
            </w:pPr>
            <m:oMathPara>
              <m:oMath>
                <m:sSub>
                  <m:sSubPr>
                    <m:ctrlPr>
                      <w:rPr>
                        <w:rFonts w:ascii="Cambria Math" w:hAnsi="Cambria Math"/>
                        <w:b/>
                        <w:bCs/>
                        <w:i/>
                      </w:rPr>
                    </m:ctrlPr>
                  </m:sSubPr>
                  <m:e>
                    <m:r>
                      <m:rPr>
                        <m:sty m:val="p"/>
                      </m:rPr>
                      <w:rPr>
                        <w:rFonts w:ascii="Cambria Math" w:hAnsi="Cambria Math"/>
                      </w:rPr>
                      <m:t>ΔT</m:t>
                    </m:r>
                  </m:e>
                  <m:sub>
                    <m:r>
                      <m:rPr>
                        <m:sty m:val="bi"/>
                      </m:rPr>
                      <w:rPr>
                        <w:rFonts w:ascii="Cambria Math" w:hAnsi="Cambria Math"/>
                      </w:rPr>
                      <m:t>cav</m:t>
                    </m:r>
                  </m:sub>
                </m:sSub>
              </m:oMath>
            </m:oMathPara>
          </w:p>
          <w:p w14:paraId="1942134F" w14:textId="33F46705" w:rsidR="00B055A7" w:rsidRPr="00F019C0" w:rsidRDefault="00B055A7" w:rsidP="00805CE5">
            <w:pPr>
              <w:jc w:val="center"/>
              <w:rPr>
                <w:rFonts w:ascii="Arial" w:hAnsi="Arial"/>
                <w:b/>
                <w:bCs/>
              </w:rPr>
            </w:pPr>
            <w:r>
              <w:rPr>
                <w:rFonts w:ascii="Arial" w:hAnsi="Arial"/>
                <w:b/>
                <w:bCs/>
              </w:rPr>
              <w:t>(K)</w:t>
            </w:r>
          </w:p>
        </w:tc>
        <w:tc>
          <w:tcPr>
            <w:tcW w:w="993" w:type="dxa"/>
          </w:tcPr>
          <w:p w14:paraId="0D247E89" w14:textId="65BA215E" w:rsidR="00B055A7" w:rsidRPr="00805CE5" w:rsidRDefault="007A4F5D" w:rsidP="00805CE5">
            <w:pPr>
              <w:jc w:val="center"/>
              <w:rPr>
                <w:rFonts w:ascii="Arial" w:hAnsi="Arial"/>
                <w:b/>
                <w:bCs/>
              </w:rPr>
            </w:pPr>
            <m:oMathPara>
              <m:oMath>
                <m:sSub>
                  <m:sSubPr>
                    <m:ctrlPr>
                      <w:rPr>
                        <w:rFonts w:ascii="Cambria Math" w:hAnsi="Cambria Math"/>
                        <w:b/>
                        <w:bCs/>
                        <w:i/>
                      </w:rPr>
                    </m:ctrlPr>
                  </m:sSubPr>
                  <m:e>
                    <m:r>
                      <m:rPr>
                        <m:sty m:val="p"/>
                      </m:rPr>
                      <w:rPr>
                        <w:rFonts w:ascii="Cambria Math" w:hAnsi="Cambria Math"/>
                      </w:rPr>
                      <m:t>ΔT</m:t>
                    </m:r>
                  </m:e>
                  <m:sub>
                    <m:r>
                      <m:rPr>
                        <m:sty m:val="bi"/>
                      </m:rPr>
                      <w:rPr>
                        <w:rFonts w:ascii="Cambria Math" w:hAnsi="Cambria Math"/>
                      </w:rPr>
                      <m:t>suf-Out</m:t>
                    </m:r>
                  </m:sub>
                </m:sSub>
              </m:oMath>
            </m:oMathPara>
          </w:p>
          <w:p w14:paraId="7E4E6882" w14:textId="20330ABE" w:rsidR="00B055A7" w:rsidRPr="00F019C0" w:rsidRDefault="00B055A7" w:rsidP="00805CE5">
            <w:pPr>
              <w:jc w:val="center"/>
              <w:rPr>
                <w:rFonts w:ascii="Arial" w:hAnsi="Arial"/>
                <w:b/>
                <w:bCs/>
              </w:rPr>
            </w:pPr>
            <w:r>
              <w:rPr>
                <w:rFonts w:ascii="Arial" w:hAnsi="Arial"/>
                <w:b/>
                <w:bCs/>
              </w:rPr>
              <w:t>(°C)</w:t>
            </w:r>
          </w:p>
        </w:tc>
        <w:tc>
          <w:tcPr>
            <w:tcW w:w="992" w:type="dxa"/>
          </w:tcPr>
          <w:p w14:paraId="6B3137D1" w14:textId="7601169B" w:rsidR="00B055A7" w:rsidRPr="00805CE5" w:rsidRDefault="007A4F5D" w:rsidP="001F4176">
            <w:pPr>
              <w:jc w:val="center"/>
              <w:rPr>
                <w:rFonts w:ascii="Arial" w:hAnsi="Arial"/>
                <w:b/>
                <w:bCs/>
              </w:rPr>
            </w:pPr>
            <m:oMathPara>
              <m:oMath>
                <m:sSub>
                  <m:sSubPr>
                    <m:ctrlPr>
                      <w:rPr>
                        <w:rFonts w:ascii="Cambria Math" w:hAnsi="Cambria Math"/>
                        <w:b/>
                        <w:bCs/>
                        <w:i/>
                      </w:rPr>
                    </m:ctrlPr>
                  </m:sSubPr>
                  <m:e>
                    <m:r>
                      <m:rPr>
                        <m:sty m:val="p"/>
                      </m:rPr>
                      <w:rPr>
                        <w:rFonts w:ascii="Cambria Math" w:hAnsi="Cambria Math"/>
                      </w:rPr>
                      <m:t>ΔT</m:t>
                    </m:r>
                  </m:e>
                  <m:sub>
                    <m:r>
                      <m:rPr>
                        <m:sty m:val="bi"/>
                      </m:rPr>
                      <w:rPr>
                        <w:rFonts w:ascii="Cambria Math" w:hAnsi="Cambria Math"/>
                      </w:rPr>
                      <m:t>aft-clad</m:t>
                    </m:r>
                  </m:sub>
                </m:sSub>
              </m:oMath>
            </m:oMathPara>
          </w:p>
          <w:p w14:paraId="317A2871" w14:textId="39DE4DEC" w:rsidR="00B055A7" w:rsidRPr="00F019C0" w:rsidRDefault="00B055A7" w:rsidP="001F4176">
            <w:pPr>
              <w:jc w:val="center"/>
              <w:rPr>
                <w:rFonts w:ascii="Arial" w:hAnsi="Arial"/>
                <w:b/>
                <w:bCs/>
              </w:rPr>
            </w:pPr>
            <w:r>
              <w:rPr>
                <w:rFonts w:ascii="Arial" w:hAnsi="Arial"/>
                <w:b/>
                <w:bCs/>
              </w:rPr>
              <w:t>(°C)</w:t>
            </w:r>
          </w:p>
        </w:tc>
        <w:tc>
          <w:tcPr>
            <w:tcW w:w="1134" w:type="dxa"/>
          </w:tcPr>
          <w:p w14:paraId="7872E435" w14:textId="1E87902E" w:rsidR="00B055A7" w:rsidRPr="00805CE5" w:rsidRDefault="007A4F5D" w:rsidP="001F4176">
            <w:pPr>
              <w:jc w:val="center"/>
              <w:rPr>
                <w:rFonts w:ascii="Arial" w:hAnsi="Arial"/>
                <w:b/>
                <w:bCs/>
              </w:rPr>
            </w:pPr>
            <m:oMathPara>
              <m:oMath>
                <m:sSub>
                  <m:sSubPr>
                    <m:ctrlPr>
                      <w:rPr>
                        <w:rFonts w:ascii="Cambria Math" w:hAnsi="Cambria Math"/>
                        <w:b/>
                        <w:bCs/>
                        <w:i/>
                      </w:rPr>
                    </m:ctrlPr>
                  </m:sSubPr>
                  <m:e>
                    <m:r>
                      <m:rPr>
                        <m:sty m:val="p"/>
                      </m:rPr>
                      <w:rPr>
                        <w:rFonts w:ascii="Cambria Math" w:hAnsi="Cambria Math"/>
                      </w:rPr>
                      <m:t>ΔT</m:t>
                    </m:r>
                  </m:e>
                  <m:sub>
                    <m:r>
                      <m:rPr>
                        <m:sty m:val="bi"/>
                      </m:rPr>
                      <w:rPr>
                        <w:rFonts w:ascii="Cambria Math" w:hAnsi="Cambria Math"/>
                      </w:rPr>
                      <m:t>aft-cav</m:t>
                    </m:r>
                  </m:sub>
                </m:sSub>
              </m:oMath>
            </m:oMathPara>
          </w:p>
          <w:p w14:paraId="0B3E6EB5" w14:textId="6AA9C800" w:rsidR="00B055A7" w:rsidRPr="00F019C0" w:rsidRDefault="00B055A7" w:rsidP="001F4176">
            <w:pPr>
              <w:jc w:val="center"/>
              <w:rPr>
                <w:rFonts w:ascii="Arial" w:hAnsi="Arial"/>
                <w:b/>
                <w:bCs/>
              </w:rPr>
            </w:pPr>
            <w:r>
              <w:rPr>
                <w:rFonts w:ascii="Arial" w:hAnsi="Arial"/>
                <w:b/>
                <w:bCs/>
              </w:rPr>
              <w:t>(°C)</w:t>
            </w:r>
          </w:p>
        </w:tc>
      </w:tr>
      <w:bookmarkEnd w:id="1"/>
      <w:tr w:rsidR="00B055A7" w:rsidRPr="00DC3180" w14:paraId="67FB1A0F" w14:textId="7529C8B4" w:rsidTr="00B055A7">
        <w:trPr>
          <w:trHeight w:val="245"/>
        </w:trPr>
        <w:tc>
          <w:tcPr>
            <w:tcW w:w="959" w:type="dxa"/>
            <w:vMerge w:val="restart"/>
          </w:tcPr>
          <w:p w14:paraId="1025B5C2" w14:textId="42ACF892" w:rsidR="00B055A7" w:rsidRPr="00F019C0" w:rsidRDefault="00B055A7" w:rsidP="001F4176">
            <w:pPr>
              <w:jc w:val="center"/>
              <w:rPr>
                <w:rFonts w:ascii="Arial" w:hAnsi="Arial" w:cs="Arial"/>
              </w:rPr>
            </w:pPr>
            <w:r w:rsidRPr="00F019C0">
              <w:rPr>
                <w:rFonts w:ascii="Arial" w:hAnsi="Arial" w:cs="Arial"/>
              </w:rPr>
              <w:t>Case</w:t>
            </w:r>
            <w:r>
              <w:rPr>
                <w:rFonts w:ascii="Arial" w:hAnsi="Arial" w:cs="Arial"/>
              </w:rPr>
              <w:t xml:space="preserve"> 1</w:t>
            </w:r>
          </w:p>
        </w:tc>
        <w:tc>
          <w:tcPr>
            <w:tcW w:w="1701" w:type="dxa"/>
            <w:vMerge w:val="restart"/>
            <w:vAlign w:val="center"/>
          </w:tcPr>
          <w:p w14:paraId="21EB2FBD" w14:textId="79FB7F58" w:rsidR="00B055A7" w:rsidRPr="00F019C0" w:rsidRDefault="00B055A7" w:rsidP="001F4176">
            <w:pPr>
              <w:jc w:val="center"/>
              <w:rPr>
                <w:rFonts w:ascii="Arial" w:hAnsi="Arial" w:cs="Arial"/>
              </w:rPr>
            </w:pPr>
            <w:proofErr w:type="spellStart"/>
            <w:r w:rsidRPr="00F019C0">
              <w:rPr>
                <w:rFonts w:ascii="Arial" w:hAnsi="Arial" w:cs="Arial"/>
              </w:rPr>
              <w:t>Dekton</w:t>
            </w:r>
            <w:proofErr w:type="spellEnd"/>
          </w:p>
        </w:tc>
        <w:tc>
          <w:tcPr>
            <w:tcW w:w="1417" w:type="dxa"/>
          </w:tcPr>
          <w:p w14:paraId="5693323C" w14:textId="6CB11F51" w:rsidR="00B055A7" w:rsidRPr="00EE50D4" w:rsidRDefault="00B055A7" w:rsidP="001F4176">
            <w:pPr>
              <w:jc w:val="center"/>
              <w:rPr>
                <w:rFonts w:ascii="Arial" w:hAnsi="Arial" w:cs="Arial"/>
              </w:rPr>
            </w:pPr>
            <w:r w:rsidRPr="00EE50D4">
              <w:rPr>
                <w:rFonts w:ascii="Arial" w:hAnsi="Arial" w:cs="Arial"/>
              </w:rPr>
              <w:t>6 cm</w:t>
            </w:r>
          </w:p>
        </w:tc>
        <w:tc>
          <w:tcPr>
            <w:tcW w:w="1134" w:type="dxa"/>
          </w:tcPr>
          <w:p w14:paraId="196C085B" w14:textId="6EDF4129" w:rsidR="00B055A7" w:rsidRPr="00DC3180" w:rsidRDefault="00B055A7" w:rsidP="001F4176">
            <w:pPr>
              <w:jc w:val="center"/>
              <w:rPr>
                <w:rFonts w:ascii="Arial" w:hAnsi="Arial" w:cs="Arial"/>
              </w:rPr>
            </w:pPr>
            <w:r w:rsidRPr="00FB0C39">
              <w:t>0.00909</w:t>
            </w:r>
          </w:p>
        </w:tc>
        <w:tc>
          <w:tcPr>
            <w:tcW w:w="851" w:type="dxa"/>
          </w:tcPr>
          <w:p w14:paraId="7EC46AA6" w14:textId="069C50BC" w:rsidR="00B055A7" w:rsidRPr="00DC3180" w:rsidRDefault="00B055A7" w:rsidP="001F4176">
            <w:pPr>
              <w:jc w:val="center"/>
              <w:rPr>
                <w:rFonts w:ascii="Arial" w:hAnsi="Arial" w:cs="Arial"/>
              </w:rPr>
            </w:pPr>
            <w:r w:rsidRPr="009C2217">
              <w:t>0.2</w:t>
            </w:r>
            <w:r>
              <w:t>00</w:t>
            </w:r>
          </w:p>
        </w:tc>
        <w:tc>
          <w:tcPr>
            <w:tcW w:w="1134" w:type="dxa"/>
          </w:tcPr>
          <w:p w14:paraId="38639CD6" w14:textId="6F0B1E08" w:rsidR="00B055A7" w:rsidRPr="00DC3180" w:rsidRDefault="00B055A7" w:rsidP="001F4176">
            <w:pPr>
              <w:jc w:val="center"/>
              <w:rPr>
                <w:rFonts w:ascii="Arial" w:hAnsi="Arial" w:cs="Arial"/>
              </w:rPr>
            </w:pPr>
            <w:r w:rsidRPr="00003922">
              <w:t>1.75811</w:t>
            </w:r>
          </w:p>
        </w:tc>
        <w:tc>
          <w:tcPr>
            <w:tcW w:w="992" w:type="dxa"/>
          </w:tcPr>
          <w:p w14:paraId="195BB2BB" w14:textId="15ADD484" w:rsidR="00B055A7" w:rsidRPr="00DC3180" w:rsidRDefault="00B055A7" w:rsidP="001F4176">
            <w:pPr>
              <w:jc w:val="center"/>
              <w:rPr>
                <w:rFonts w:ascii="Arial" w:hAnsi="Arial" w:cs="Arial"/>
              </w:rPr>
            </w:pPr>
            <w:r w:rsidRPr="00B951A8">
              <w:t>0.0724</w:t>
            </w:r>
          </w:p>
        </w:tc>
        <w:tc>
          <w:tcPr>
            <w:tcW w:w="992" w:type="dxa"/>
          </w:tcPr>
          <w:p w14:paraId="63026A44" w14:textId="0996D3D3" w:rsidR="00B055A7" w:rsidRPr="00DC3180" w:rsidRDefault="00B055A7" w:rsidP="001F4176">
            <w:pPr>
              <w:jc w:val="center"/>
              <w:rPr>
                <w:rFonts w:ascii="Arial" w:hAnsi="Arial" w:cs="Arial"/>
              </w:rPr>
            </w:pPr>
            <w:r w:rsidRPr="0021674D">
              <w:t>1.5926</w:t>
            </w:r>
          </w:p>
        </w:tc>
        <w:tc>
          <w:tcPr>
            <w:tcW w:w="993" w:type="dxa"/>
          </w:tcPr>
          <w:p w14:paraId="6C8C9B43" w14:textId="536B30FE" w:rsidR="00B055A7" w:rsidRPr="00DC3180" w:rsidRDefault="00B055A7" w:rsidP="001F4176">
            <w:pPr>
              <w:jc w:val="center"/>
              <w:rPr>
                <w:rFonts w:ascii="Arial" w:hAnsi="Arial" w:cs="Arial"/>
              </w:rPr>
            </w:pPr>
            <w:r w:rsidRPr="00D820CD">
              <w:t>39.469</w:t>
            </w:r>
          </w:p>
        </w:tc>
        <w:tc>
          <w:tcPr>
            <w:tcW w:w="992" w:type="dxa"/>
          </w:tcPr>
          <w:p w14:paraId="40E88F16" w14:textId="1AAD30D2" w:rsidR="00B055A7" w:rsidRPr="00DC3180" w:rsidRDefault="00B055A7" w:rsidP="001F4176">
            <w:pPr>
              <w:jc w:val="center"/>
              <w:rPr>
                <w:rFonts w:ascii="Arial" w:hAnsi="Arial" w:cs="Arial"/>
              </w:rPr>
            </w:pPr>
            <w:r w:rsidRPr="00FF7984">
              <w:t>39.397</w:t>
            </w:r>
          </w:p>
        </w:tc>
        <w:tc>
          <w:tcPr>
            <w:tcW w:w="1134" w:type="dxa"/>
          </w:tcPr>
          <w:p w14:paraId="5F058F02" w14:textId="1E2B12A8" w:rsidR="00B055A7" w:rsidRPr="00DC3180" w:rsidRDefault="00B055A7" w:rsidP="001F4176">
            <w:pPr>
              <w:jc w:val="center"/>
              <w:rPr>
                <w:rFonts w:ascii="Arial" w:hAnsi="Arial" w:cs="Arial"/>
              </w:rPr>
            </w:pPr>
            <w:r w:rsidRPr="00F376E1">
              <w:t>37.804</w:t>
            </w:r>
          </w:p>
        </w:tc>
      </w:tr>
      <w:tr w:rsidR="00B055A7" w:rsidRPr="00DC3180" w14:paraId="713FF607" w14:textId="734C3609" w:rsidTr="00B055A7">
        <w:tc>
          <w:tcPr>
            <w:tcW w:w="959" w:type="dxa"/>
            <w:vMerge/>
          </w:tcPr>
          <w:p w14:paraId="27E2BDE3" w14:textId="77777777" w:rsidR="00B055A7" w:rsidRPr="00DC3180" w:rsidRDefault="00B055A7" w:rsidP="001F4176">
            <w:pPr>
              <w:jc w:val="center"/>
              <w:rPr>
                <w:rFonts w:ascii="Arial" w:hAnsi="Arial" w:cs="Arial"/>
              </w:rPr>
            </w:pPr>
          </w:p>
        </w:tc>
        <w:tc>
          <w:tcPr>
            <w:tcW w:w="1701" w:type="dxa"/>
            <w:vMerge/>
            <w:vAlign w:val="center"/>
          </w:tcPr>
          <w:p w14:paraId="409B7C11" w14:textId="5D1E9228" w:rsidR="00B055A7" w:rsidRPr="00DC3180" w:rsidRDefault="00B055A7" w:rsidP="001F4176">
            <w:pPr>
              <w:jc w:val="center"/>
              <w:rPr>
                <w:rFonts w:ascii="Arial" w:hAnsi="Arial" w:cs="Arial"/>
              </w:rPr>
            </w:pPr>
          </w:p>
        </w:tc>
        <w:tc>
          <w:tcPr>
            <w:tcW w:w="1417" w:type="dxa"/>
          </w:tcPr>
          <w:p w14:paraId="597ED1B5" w14:textId="3DB88221" w:rsidR="00B055A7" w:rsidRPr="00EE50D4" w:rsidRDefault="00B055A7" w:rsidP="001F4176">
            <w:pPr>
              <w:jc w:val="center"/>
              <w:rPr>
                <w:rFonts w:ascii="Arial" w:hAnsi="Arial" w:cs="Arial"/>
              </w:rPr>
            </w:pPr>
            <w:r w:rsidRPr="00EE50D4">
              <w:rPr>
                <w:rFonts w:ascii="Arial" w:hAnsi="Arial" w:cs="Arial"/>
              </w:rPr>
              <w:t>10 cm</w:t>
            </w:r>
          </w:p>
        </w:tc>
        <w:tc>
          <w:tcPr>
            <w:tcW w:w="1134" w:type="dxa"/>
          </w:tcPr>
          <w:p w14:paraId="0F5E5AD8" w14:textId="05D3BC2E" w:rsidR="00B055A7" w:rsidRPr="00DC3180" w:rsidRDefault="00B055A7" w:rsidP="001F4176">
            <w:pPr>
              <w:jc w:val="center"/>
              <w:rPr>
                <w:rFonts w:ascii="Arial" w:hAnsi="Arial" w:cs="Arial"/>
              </w:rPr>
            </w:pPr>
            <w:r w:rsidRPr="00FB0C39">
              <w:t>0.00909</w:t>
            </w:r>
          </w:p>
        </w:tc>
        <w:tc>
          <w:tcPr>
            <w:tcW w:w="851" w:type="dxa"/>
          </w:tcPr>
          <w:p w14:paraId="36DE2F82" w14:textId="74067DF4" w:rsidR="00B055A7" w:rsidRPr="00DC3180" w:rsidRDefault="00B055A7" w:rsidP="001F4176">
            <w:pPr>
              <w:jc w:val="center"/>
              <w:rPr>
                <w:rFonts w:ascii="Arial" w:hAnsi="Arial" w:cs="Arial"/>
              </w:rPr>
            </w:pPr>
            <w:r w:rsidRPr="009C2217">
              <w:t>0.125</w:t>
            </w:r>
          </w:p>
        </w:tc>
        <w:tc>
          <w:tcPr>
            <w:tcW w:w="1134" w:type="dxa"/>
          </w:tcPr>
          <w:p w14:paraId="5975E3C6" w14:textId="188C08C7" w:rsidR="00B055A7" w:rsidRPr="00DC3180" w:rsidRDefault="00B055A7" w:rsidP="001F4176">
            <w:pPr>
              <w:jc w:val="center"/>
              <w:rPr>
                <w:rFonts w:ascii="Arial" w:hAnsi="Arial" w:cs="Arial"/>
              </w:rPr>
            </w:pPr>
            <w:r w:rsidRPr="00003922">
              <w:t>1.68311</w:t>
            </w:r>
          </w:p>
        </w:tc>
        <w:tc>
          <w:tcPr>
            <w:tcW w:w="992" w:type="dxa"/>
          </w:tcPr>
          <w:p w14:paraId="7255904F" w14:textId="48BE8546" w:rsidR="00B055A7" w:rsidRPr="00DC3180" w:rsidRDefault="00B055A7" w:rsidP="001F4176">
            <w:pPr>
              <w:jc w:val="center"/>
              <w:rPr>
                <w:rFonts w:ascii="Arial" w:hAnsi="Arial" w:cs="Arial"/>
              </w:rPr>
            </w:pPr>
            <w:r w:rsidRPr="00B951A8">
              <w:t>0.0756</w:t>
            </w:r>
          </w:p>
        </w:tc>
        <w:tc>
          <w:tcPr>
            <w:tcW w:w="992" w:type="dxa"/>
          </w:tcPr>
          <w:p w14:paraId="7B8206E0" w14:textId="7A48F9B9" w:rsidR="00B055A7" w:rsidRPr="00DC3180" w:rsidRDefault="00B055A7" w:rsidP="001F4176">
            <w:pPr>
              <w:jc w:val="center"/>
              <w:rPr>
                <w:rFonts w:ascii="Arial" w:hAnsi="Arial" w:cs="Arial"/>
              </w:rPr>
            </w:pPr>
            <w:r w:rsidRPr="0021674D">
              <w:t>1.0397</w:t>
            </w:r>
          </w:p>
        </w:tc>
        <w:tc>
          <w:tcPr>
            <w:tcW w:w="993" w:type="dxa"/>
          </w:tcPr>
          <w:p w14:paraId="0A97A96B" w14:textId="52436FFE" w:rsidR="00B055A7" w:rsidRPr="00DC3180" w:rsidRDefault="00B055A7" w:rsidP="001F4176">
            <w:pPr>
              <w:jc w:val="center"/>
              <w:rPr>
                <w:rFonts w:ascii="Arial" w:hAnsi="Arial" w:cs="Arial"/>
              </w:rPr>
            </w:pPr>
            <w:r w:rsidRPr="00D820CD">
              <w:t>39.445</w:t>
            </w:r>
          </w:p>
        </w:tc>
        <w:tc>
          <w:tcPr>
            <w:tcW w:w="992" w:type="dxa"/>
          </w:tcPr>
          <w:p w14:paraId="2F7CAC00" w14:textId="01369EB1" w:rsidR="00B055A7" w:rsidRPr="00DC3180" w:rsidRDefault="00B055A7" w:rsidP="001F4176">
            <w:pPr>
              <w:jc w:val="center"/>
              <w:rPr>
                <w:rFonts w:ascii="Arial" w:hAnsi="Arial" w:cs="Arial"/>
              </w:rPr>
            </w:pPr>
            <w:r w:rsidRPr="00FF7984">
              <w:t>39.37</w:t>
            </w:r>
          </w:p>
        </w:tc>
        <w:tc>
          <w:tcPr>
            <w:tcW w:w="1134" w:type="dxa"/>
          </w:tcPr>
          <w:p w14:paraId="4DC1F034" w14:textId="75778C12" w:rsidR="00B055A7" w:rsidRPr="00DC3180" w:rsidRDefault="00B055A7" w:rsidP="001F4176">
            <w:pPr>
              <w:jc w:val="center"/>
              <w:rPr>
                <w:rFonts w:ascii="Arial" w:hAnsi="Arial" w:cs="Arial"/>
              </w:rPr>
            </w:pPr>
            <w:r w:rsidRPr="00F376E1">
              <w:t>38.33</w:t>
            </w:r>
          </w:p>
        </w:tc>
      </w:tr>
      <w:tr w:rsidR="00B055A7" w:rsidRPr="00DC3180" w14:paraId="1E16ACE9" w14:textId="2428DB53" w:rsidTr="00B055A7">
        <w:tc>
          <w:tcPr>
            <w:tcW w:w="959" w:type="dxa"/>
            <w:vMerge w:val="restart"/>
          </w:tcPr>
          <w:p w14:paraId="2E5007B2" w14:textId="2E927F38" w:rsidR="00B055A7" w:rsidRPr="00DC3180" w:rsidRDefault="00B055A7" w:rsidP="001F4176">
            <w:pPr>
              <w:jc w:val="center"/>
              <w:rPr>
                <w:rFonts w:ascii="Arial" w:hAnsi="Arial"/>
              </w:rPr>
            </w:pPr>
            <w:r>
              <w:rPr>
                <w:rFonts w:ascii="Arial" w:hAnsi="Arial"/>
              </w:rPr>
              <w:t>Case 2</w:t>
            </w:r>
          </w:p>
        </w:tc>
        <w:tc>
          <w:tcPr>
            <w:tcW w:w="1701" w:type="dxa"/>
            <w:vMerge w:val="restart"/>
            <w:vAlign w:val="center"/>
          </w:tcPr>
          <w:p w14:paraId="4F440657" w14:textId="65228F99" w:rsidR="00B055A7" w:rsidRPr="00DC3180" w:rsidRDefault="00B055A7" w:rsidP="001F4176">
            <w:pPr>
              <w:jc w:val="center"/>
              <w:rPr>
                <w:rFonts w:ascii="Arial" w:hAnsi="Arial"/>
              </w:rPr>
            </w:pPr>
            <w:r>
              <w:rPr>
                <w:rFonts w:ascii="Arial" w:hAnsi="Arial"/>
              </w:rPr>
              <w:t>Ceramic</w:t>
            </w:r>
          </w:p>
        </w:tc>
        <w:tc>
          <w:tcPr>
            <w:tcW w:w="1417" w:type="dxa"/>
          </w:tcPr>
          <w:p w14:paraId="3875E673" w14:textId="2A1A4D8E" w:rsidR="00B055A7" w:rsidRPr="00DC3180" w:rsidRDefault="00B055A7" w:rsidP="001F4176">
            <w:pPr>
              <w:jc w:val="center"/>
              <w:rPr>
                <w:rFonts w:ascii="Arial" w:hAnsi="Arial" w:cs="Arial"/>
              </w:rPr>
            </w:pPr>
            <w:r>
              <w:rPr>
                <w:rFonts w:ascii="Arial" w:hAnsi="Arial" w:cs="Arial"/>
              </w:rPr>
              <w:t>6 cm</w:t>
            </w:r>
          </w:p>
        </w:tc>
        <w:tc>
          <w:tcPr>
            <w:tcW w:w="1134" w:type="dxa"/>
          </w:tcPr>
          <w:p w14:paraId="0DFE25AA" w14:textId="26E6F4F9" w:rsidR="00B055A7" w:rsidRPr="00DC3180" w:rsidRDefault="00B055A7" w:rsidP="001F4176">
            <w:pPr>
              <w:jc w:val="center"/>
              <w:rPr>
                <w:rFonts w:ascii="Arial" w:hAnsi="Arial" w:cs="Arial"/>
              </w:rPr>
            </w:pPr>
            <w:r w:rsidRPr="00FB0C39">
              <w:t>0.01</w:t>
            </w:r>
          </w:p>
        </w:tc>
        <w:tc>
          <w:tcPr>
            <w:tcW w:w="851" w:type="dxa"/>
          </w:tcPr>
          <w:p w14:paraId="721074A5" w14:textId="53697F45" w:rsidR="00B055A7" w:rsidRPr="00DC3180" w:rsidRDefault="00B055A7" w:rsidP="001F4176">
            <w:pPr>
              <w:jc w:val="center"/>
              <w:rPr>
                <w:rFonts w:ascii="Arial" w:hAnsi="Arial" w:cs="Arial"/>
              </w:rPr>
            </w:pPr>
            <w:r w:rsidRPr="009C2217">
              <w:t>0.2</w:t>
            </w:r>
            <w:r>
              <w:t>00</w:t>
            </w:r>
          </w:p>
        </w:tc>
        <w:tc>
          <w:tcPr>
            <w:tcW w:w="1134" w:type="dxa"/>
          </w:tcPr>
          <w:p w14:paraId="6F2464D8" w14:textId="4F39751C" w:rsidR="00B055A7" w:rsidRPr="00DC3180" w:rsidRDefault="00B055A7" w:rsidP="001F4176">
            <w:pPr>
              <w:jc w:val="center"/>
              <w:rPr>
                <w:rFonts w:ascii="Arial" w:hAnsi="Arial" w:cs="Arial"/>
              </w:rPr>
            </w:pPr>
            <w:r w:rsidRPr="00003922">
              <w:t>1.75902</w:t>
            </w:r>
          </w:p>
        </w:tc>
        <w:tc>
          <w:tcPr>
            <w:tcW w:w="992" w:type="dxa"/>
          </w:tcPr>
          <w:p w14:paraId="7FDF670C" w14:textId="500BA68B" w:rsidR="00B055A7" w:rsidRPr="00DC3180" w:rsidRDefault="00B055A7" w:rsidP="001F4176">
            <w:pPr>
              <w:jc w:val="center"/>
              <w:rPr>
                <w:rFonts w:ascii="Arial" w:hAnsi="Arial" w:cs="Arial"/>
              </w:rPr>
            </w:pPr>
            <w:r w:rsidRPr="00B951A8">
              <w:t>0.0796</w:t>
            </w:r>
          </w:p>
        </w:tc>
        <w:tc>
          <w:tcPr>
            <w:tcW w:w="992" w:type="dxa"/>
          </w:tcPr>
          <w:p w14:paraId="57F58D0B" w14:textId="5CA137A0" w:rsidR="00B055A7" w:rsidRPr="00DC3180" w:rsidRDefault="00B055A7" w:rsidP="001F4176">
            <w:pPr>
              <w:jc w:val="center"/>
              <w:rPr>
                <w:rFonts w:ascii="Arial" w:hAnsi="Arial" w:cs="Arial"/>
              </w:rPr>
            </w:pPr>
            <w:r w:rsidRPr="0021674D">
              <w:t>1.5918</w:t>
            </w:r>
          </w:p>
        </w:tc>
        <w:tc>
          <w:tcPr>
            <w:tcW w:w="993" w:type="dxa"/>
          </w:tcPr>
          <w:p w14:paraId="18A440FF" w14:textId="002C3673" w:rsidR="00B055A7" w:rsidRPr="00DC3180" w:rsidRDefault="00B055A7" w:rsidP="001F4176">
            <w:pPr>
              <w:jc w:val="center"/>
              <w:rPr>
                <w:rFonts w:ascii="Arial" w:hAnsi="Arial" w:cs="Arial"/>
              </w:rPr>
            </w:pPr>
            <w:r w:rsidRPr="00D820CD">
              <w:t>39.469</w:t>
            </w:r>
          </w:p>
        </w:tc>
        <w:tc>
          <w:tcPr>
            <w:tcW w:w="992" w:type="dxa"/>
          </w:tcPr>
          <w:p w14:paraId="7BDF0DF3" w14:textId="27729AD5" w:rsidR="00B055A7" w:rsidRPr="00DC3180" w:rsidRDefault="00B055A7" w:rsidP="001F4176">
            <w:pPr>
              <w:jc w:val="center"/>
              <w:rPr>
                <w:rFonts w:ascii="Arial" w:hAnsi="Arial" w:cs="Arial"/>
              </w:rPr>
            </w:pPr>
            <w:r w:rsidRPr="00FF7984">
              <w:t>39.39</w:t>
            </w:r>
          </w:p>
        </w:tc>
        <w:tc>
          <w:tcPr>
            <w:tcW w:w="1134" w:type="dxa"/>
          </w:tcPr>
          <w:p w14:paraId="4E72D039" w14:textId="064594F7" w:rsidR="00B055A7" w:rsidRPr="00DC3180" w:rsidRDefault="00B055A7" w:rsidP="001F4176">
            <w:pPr>
              <w:jc w:val="center"/>
              <w:rPr>
                <w:rFonts w:ascii="Arial" w:hAnsi="Arial" w:cs="Arial"/>
              </w:rPr>
            </w:pPr>
            <w:r w:rsidRPr="00F376E1">
              <w:t>37.798</w:t>
            </w:r>
          </w:p>
        </w:tc>
      </w:tr>
      <w:tr w:rsidR="00B055A7" w:rsidRPr="00DC3180" w14:paraId="3D65DEC1" w14:textId="25AB0914" w:rsidTr="00B055A7">
        <w:tc>
          <w:tcPr>
            <w:tcW w:w="959" w:type="dxa"/>
            <w:vMerge/>
          </w:tcPr>
          <w:p w14:paraId="66F42608" w14:textId="16F32045" w:rsidR="00B055A7" w:rsidRPr="00DC3180" w:rsidRDefault="00B055A7" w:rsidP="001F4176">
            <w:pPr>
              <w:jc w:val="center"/>
              <w:rPr>
                <w:rFonts w:ascii="Arial" w:hAnsi="Arial"/>
              </w:rPr>
            </w:pPr>
          </w:p>
        </w:tc>
        <w:tc>
          <w:tcPr>
            <w:tcW w:w="1701" w:type="dxa"/>
            <w:vMerge/>
            <w:vAlign w:val="center"/>
          </w:tcPr>
          <w:p w14:paraId="3F63F45F" w14:textId="13823F4E" w:rsidR="00B055A7" w:rsidRPr="00DC3180" w:rsidRDefault="00B055A7" w:rsidP="001F4176">
            <w:pPr>
              <w:jc w:val="center"/>
              <w:rPr>
                <w:rFonts w:ascii="Arial" w:hAnsi="Arial"/>
              </w:rPr>
            </w:pPr>
          </w:p>
        </w:tc>
        <w:tc>
          <w:tcPr>
            <w:tcW w:w="1417" w:type="dxa"/>
          </w:tcPr>
          <w:p w14:paraId="154CC673" w14:textId="2C87B83C" w:rsidR="00B055A7" w:rsidRPr="00DC3180" w:rsidRDefault="00B055A7" w:rsidP="001F4176">
            <w:pPr>
              <w:jc w:val="center"/>
              <w:rPr>
                <w:rFonts w:ascii="Arial" w:hAnsi="Arial" w:cs="Arial"/>
              </w:rPr>
            </w:pPr>
            <w:r>
              <w:rPr>
                <w:rFonts w:ascii="Arial" w:hAnsi="Arial" w:cs="Arial"/>
              </w:rPr>
              <w:t>10 cm</w:t>
            </w:r>
          </w:p>
        </w:tc>
        <w:tc>
          <w:tcPr>
            <w:tcW w:w="1134" w:type="dxa"/>
          </w:tcPr>
          <w:p w14:paraId="59816C5C" w14:textId="0550BA25" w:rsidR="00B055A7" w:rsidRPr="00DC3180" w:rsidRDefault="00B055A7" w:rsidP="001F4176">
            <w:pPr>
              <w:jc w:val="center"/>
              <w:rPr>
                <w:rFonts w:ascii="Arial" w:hAnsi="Arial" w:cs="Arial"/>
              </w:rPr>
            </w:pPr>
            <w:r w:rsidRPr="00FB0C39">
              <w:t>0.01</w:t>
            </w:r>
          </w:p>
        </w:tc>
        <w:tc>
          <w:tcPr>
            <w:tcW w:w="851" w:type="dxa"/>
          </w:tcPr>
          <w:p w14:paraId="503A370D" w14:textId="7C90F4FD" w:rsidR="00B055A7" w:rsidRPr="00DC3180" w:rsidRDefault="00B055A7" w:rsidP="001F4176">
            <w:pPr>
              <w:jc w:val="center"/>
              <w:rPr>
                <w:rFonts w:ascii="Arial" w:hAnsi="Arial" w:cs="Arial"/>
              </w:rPr>
            </w:pPr>
            <w:r w:rsidRPr="009C2217">
              <w:t>0.125</w:t>
            </w:r>
          </w:p>
        </w:tc>
        <w:tc>
          <w:tcPr>
            <w:tcW w:w="1134" w:type="dxa"/>
          </w:tcPr>
          <w:p w14:paraId="7283B318" w14:textId="6A4EA390" w:rsidR="00B055A7" w:rsidRPr="00DC3180" w:rsidRDefault="00B055A7" w:rsidP="001F4176">
            <w:pPr>
              <w:jc w:val="center"/>
              <w:rPr>
                <w:rFonts w:ascii="Arial" w:hAnsi="Arial" w:cs="Arial"/>
              </w:rPr>
            </w:pPr>
            <w:r w:rsidRPr="00003922">
              <w:t>1.68402</w:t>
            </w:r>
          </w:p>
        </w:tc>
        <w:tc>
          <w:tcPr>
            <w:tcW w:w="992" w:type="dxa"/>
          </w:tcPr>
          <w:p w14:paraId="4D9F9F44" w14:textId="6A0113B6" w:rsidR="00B055A7" w:rsidRPr="00DC3180" w:rsidRDefault="00B055A7" w:rsidP="001F4176">
            <w:pPr>
              <w:jc w:val="center"/>
              <w:rPr>
                <w:rFonts w:ascii="Arial" w:hAnsi="Arial" w:cs="Arial"/>
              </w:rPr>
            </w:pPr>
            <w:r w:rsidRPr="00B951A8">
              <w:t>0.0831</w:t>
            </w:r>
          </w:p>
        </w:tc>
        <w:tc>
          <w:tcPr>
            <w:tcW w:w="992" w:type="dxa"/>
          </w:tcPr>
          <w:p w14:paraId="2421050B" w14:textId="2FDFD40F" w:rsidR="00B055A7" w:rsidRPr="00DC3180" w:rsidRDefault="00B055A7" w:rsidP="001F4176">
            <w:pPr>
              <w:jc w:val="center"/>
              <w:rPr>
                <w:rFonts w:ascii="Arial" w:hAnsi="Arial" w:cs="Arial"/>
              </w:rPr>
            </w:pPr>
            <w:r w:rsidRPr="0021674D">
              <w:t>1.0392</w:t>
            </w:r>
          </w:p>
        </w:tc>
        <w:tc>
          <w:tcPr>
            <w:tcW w:w="993" w:type="dxa"/>
          </w:tcPr>
          <w:p w14:paraId="6B4E007E" w14:textId="3B317EB8" w:rsidR="00B055A7" w:rsidRPr="00DC3180" w:rsidRDefault="00B055A7" w:rsidP="001F4176">
            <w:pPr>
              <w:jc w:val="center"/>
              <w:rPr>
                <w:rFonts w:ascii="Arial" w:hAnsi="Arial" w:cs="Arial"/>
              </w:rPr>
            </w:pPr>
            <w:r w:rsidRPr="00D820CD">
              <w:t>39.446</w:t>
            </w:r>
          </w:p>
        </w:tc>
        <w:tc>
          <w:tcPr>
            <w:tcW w:w="992" w:type="dxa"/>
          </w:tcPr>
          <w:p w14:paraId="74B9A9B8" w14:textId="72AAAF80" w:rsidR="00B055A7" w:rsidRPr="00DC3180" w:rsidRDefault="00B055A7" w:rsidP="001F4176">
            <w:pPr>
              <w:jc w:val="center"/>
              <w:rPr>
                <w:rFonts w:ascii="Arial" w:hAnsi="Arial" w:cs="Arial"/>
              </w:rPr>
            </w:pPr>
            <w:r w:rsidRPr="00FF7984">
              <w:t>39.363</w:t>
            </w:r>
          </w:p>
        </w:tc>
        <w:tc>
          <w:tcPr>
            <w:tcW w:w="1134" w:type="dxa"/>
          </w:tcPr>
          <w:p w14:paraId="2D880D19" w14:textId="3670761D" w:rsidR="00B055A7" w:rsidRPr="00DC3180" w:rsidRDefault="00B055A7" w:rsidP="001F4176">
            <w:pPr>
              <w:jc w:val="center"/>
              <w:rPr>
                <w:rFonts w:ascii="Arial" w:hAnsi="Arial" w:cs="Arial"/>
              </w:rPr>
            </w:pPr>
            <w:r w:rsidRPr="00F376E1">
              <w:t>38.323</w:t>
            </w:r>
          </w:p>
        </w:tc>
      </w:tr>
      <w:tr w:rsidR="00B055A7" w:rsidRPr="00DC3180" w14:paraId="0E50C050" w14:textId="576B40D6" w:rsidTr="00B055A7">
        <w:tc>
          <w:tcPr>
            <w:tcW w:w="959" w:type="dxa"/>
            <w:vMerge w:val="restart"/>
          </w:tcPr>
          <w:p w14:paraId="081F55B4" w14:textId="1641A26C" w:rsidR="00B055A7" w:rsidRPr="00DC3180" w:rsidRDefault="00B055A7" w:rsidP="001F4176">
            <w:pPr>
              <w:jc w:val="center"/>
              <w:rPr>
                <w:rFonts w:ascii="Arial" w:hAnsi="Arial"/>
              </w:rPr>
            </w:pPr>
            <w:r>
              <w:rPr>
                <w:rFonts w:ascii="Arial" w:hAnsi="Arial"/>
              </w:rPr>
              <w:t>Case 3</w:t>
            </w:r>
          </w:p>
        </w:tc>
        <w:tc>
          <w:tcPr>
            <w:tcW w:w="1701" w:type="dxa"/>
            <w:vMerge w:val="restart"/>
            <w:vAlign w:val="center"/>
          </w:tcPr>
          <w:p w14:paraId="352787B9" w14:textId="321DC259" w:rsidR="00B055A7" w:rsidRPr="00DC3180" w:rsidRDefault="00B055A7" w:rsidP="001F4176">
            <w:pPr>
              <w:jc w:val="center"/>
              <w:rPr>
                <w:rFonts w:ascii="Arial" w:hAnsi="Arial"/>
              </w:rPr>
            </w:pPr>
            <w:r>
              <w:rPr>
                <w:rFonts w:ascii="Arial" w:hAnsi="Arial"/>
              </w:rPr>
              <w:t>Fiber-Cement</w:t>
            </w:r>
          </w:p>
        </w:tc>
        <w:tc>
          <w:tcPr>
            <w:tcW w:w="1417" w:type="dxa"/>
          </w:tcPr>
          <w:p w14:paraId="21B3EB25" w14:textId="5E8272CE" w:rsidR="00B055A7" w:rsidRPr="00DC3180" w:rsidRDefault="00B055A7" w:rsidP="001F4176">
            <w:pPr>
              <w:jc w:val="center"/>
              <w:rPr>
                <w:rFonts w:ascii="Arial" w:hAnsi="Arial" w:cs="Arial"/>
              </w:rPr>
            </w:pPr>
            <w:r>
              <w:rPr>
                <w:rFonts w:ascii="Arial" w:hAnsi="Arial" w:cs="Arial"/>
              </w:rPr>
              <w:t>6 cm</w:t>
            </w:r>
          </w:p>
        </w:tc>
        <w:tc>
          <w:tcPr>
            <w:tcW w:w="1134" w:type="dxa"/>
          </w:tcPr>
          <w:p w14:paraId="4F52BEE2" w14:textId="0501CE13" w:rsidR="00B055A7" w:rsidRPr="00DC3180" w:rsidRDefault="00B055A7" w:rsidP="001F4176">
            <w:pPr>
              <w:jc w:val="center"/>
              <w:rPr>
                <w:rFonts w:ascii="Arial" w:hAnsi="Arial" w:cs="Arial"/>
              </w:rPr>
            </w:pPr>
            <w:r w:rsidRPr="00FB0C39">
              <w:t>0.02</w:t>
            </w:r>
          </w:p>
        </w:tc>
        <w:tc>
          <w:tcPr>
            <w:tcW w:w="851" w:type="dxa"/>
          </w:tcPr>
          <w:p w14:paraId="21E43EF4" w14:textId="08BD95A4" w:rsidR="00B055A7" w:rsidRPr="00DC3180" w:rsidRDefault="00B055A7" w:rsidP="001F4176">
            <w:pPr>
              <w:jc w:val="center"/>
              <w:rPr>
                <w:rFonts w:ascii="Arial" w:hAnsi="Arial" w:cs="Arial"/>
              </w:rPr>
            </w:pPr>
            <w:r w:rsidRPr="009C2217">
              <w:t>0.2</w:t>
            </w:r>
            <w:r>
              <w:t>00</w:t>
            </w:r>
          </w:p>
        </w:tc>
        <w:tc>
          <w:tcPr>
            <w:tcW w:w="1134" w:type="dxa"/>
          </w:tcPr>
          <w:p w14:paraId="18AF0E8D" w14:textId="65E5B6D5" w:rsidR="00B055A7" w:rsidRPr="00DC3180" w:rsidRDefault="00B055A7" w:rsidP="001F4176">
            <w:pPr>
              <w:jc w:val="center"/>
              <w:rPr>
                <w:rFonts w:ascii="Arial" w:hAnsi="Arial" w:cs="Arial"/>
              </w:rPr>
            </w:pPr>
            <w:r w:rsidRPr="00003922">
              <w:t>1.76902</w:t>
            </w:r>
          </w:p>
        </w:tc>
        <w:tc>
          <w:tcPr>
            <w:tcW w:w="992" w:type="dxa"/>
          </w:tcPr>
          <w:p w14:paraId="4BE3A5F3" w14:textId="465E1890" w:rsidR="00B055A7" w:rsidRPr="00DC3180" w:rsidRDefault="00B055A7" w:rsidP="001F4176">
            <w:pPr>
              <w:jc w:val="center"/>
              <w:rPr>
                <w:rFonts w:ascii="Arial" w:hAnsi="Arial" w:cs="Arial"/>
              </w:rPr>
            </w:pPr>
            <w:r w:rsidRPr="00B951A8">
              <w:t>0.1583</w:t>
            </w:r>
          </w:p>
        </w:tc>
        <w:tc>
          <w:tcPr>
            <w:tcW w:w="992" w:type="dxa"/>
          </w:tcPr>
          <w:p w14:paraId="0C7C51DD" w14:textId="38D7229C" w:rsidR="00B055A7" w:rsidRPr="00DC3180" w:rsidRDefault="00B055A7" w:rsidP="001F4176">
            <w:pPr>
              <w:jc w:val="center"/>
              <w:rPr>
                <w:rFonts w:ascii="Arial" w:hAnsi="Arial" w:cs="Arial"/>
              </w:rPr>
            </w:pPr>
            <w:r w:rsidRPr="0021674D">
              <w:t>1.5828</w:t>
            </w:r>
          </w:p>
        </w:tc>
        <w:tc>
          <w:tcPr>
            <w:tcW w:w="993" w:type="dxa"/>
          </w:tcPr>
          <w:p w14:paraId="05939AC8" w14:textId="74D7215F" w:rsidR="00B055A7" w:rsidRPr="00DC3180" w:rsidRDefault="00B055A7" w:rsidP="001F4176">
            <w:pPr>
              <w:jc w:val="center"/>
              <w:rPr>
                <w:rFonts w:ascii="Arial" w:hAnsi="Arial" w:cs="Arial"/>
              </w:rPr>
            </w:pPr>
            <w:r w:rsidRPr="00D820CD">
              <w:t>39.472</w:t>
            </w:r>
          </w:p>
        </w:tc>
        <w:tc>
          <w:tcPr>
            <w:tcW w:w="992" w:type="dxa"/>
          </w:tcPr>
          <w:p w14:paraId="4BE9A463" w14:textId="191BA9D7" w:rsidR="00B055A7" w:rsidRPr="00DC3180" w:rsidRDefault="00B055A7" w:rsidP="001F4176">
            <w:pPr>
              <w:jc w:val="center"/>
              <w:rPr>
                <w:rFonts w:ascii="Arial" w:hAnsi="Arial" w:cs="Arial"/>
              </w:rPr>
            </w:pPr>
            <w:r w:rsidRPr="00FF7984">
              <w:t>39.314</w:t>
            </w:r>
          </w:p>
        </w:tc>
        <w:tc>
          <w:tcPr>
            <w:tcW w:w="1134" w:type="dxa"/>
          </w:tcPr>
          <w:p w14:paraId="48A339E4" w14:textId="136FFAB9" w:rsidR="00B055A7" w:rsidRPr="00DC3180" w:rsidRDefault="00B055A7" w:rsidP="001F4176">
            <w:pPr>
              <w:jc w:val="center"/>
              <w:rPr>
                <w:rFonts w:ascii="Arial" w:hAnsi="Arial" w:cs="Arial"/>
              </w:rPr>
            </w:pPr>
            <w:r w:rsidRPr="00F376E1">
              <w:t>37.731</w:t>
            </w:r>
          </w:p>
        </w:tc>
      </w:tr>
      <w:tr w:rsidR="00B055A7" w:rsidRPr="00DC3180" w14:paraId="502DC178" w14:textId="38F0CC1A" w:rsidTr="00B055A7">
        <w:tc>
          <w:tcPr>
            <w:tcW w:w="959" w:type="dxa"/>
            <w:vMerge/>
          </w:tcPr>
          <w:p w14:paraId="6421C0BE" w14:textId="77777777" w:rsidR="00B055A7" w:rsidRPr="00DC3180" w:rsidRDefault="00B055A7" w:rsidP="001F4176">
            <w:pPr>
              <w:jc w:val="center"/>
              <w:rPr>
                <w:rFonts w:ascii="Arial" w:hAnsi="Arial"/>
              </w:rPr>
            </w:pPr>
          </w:p>
        </w:tc>
        <w:tc>
          <w:tcPr>
            <w:tcW w:w="1701" w:type="dxa"/>
            <w:vMerge/>
          </w:tcPr>
          <w:p w14:paraId="7DEC1E53" w14:textId="3DDA8C56" w:rsidR="00B055A7" w:rsidRPr="00DC3180" w:rsidRDefault="00B055A7" w:rsidP="001F4176">
            <w:pPr>
              <w:jc w:val="center"/>
              <w:rPr>
                <w:rFonts w:ascii="Arial" w:hAnsi="Arial"/>
              </w:rPr>
            </w:pPr>
          </w:p>
        </w:tc>
        <w:tc>
          <w:tcPr>
            <w:tcW w:w="1417" w:type="dxa"/>
          </w:tcPr>
          <w:p w14:paraId="6654462B" w14:textId="177B9FA0" w:rsidR="00B055A7" w:rsidRPr="00DC3180" w:rsidRDefault="00B055A7" w:rsidP="001F4176">
            <w:pPr>
              <w:jc w:val="center"/>
              <w:rPr>
                <w:rFonts w:ascii="Arial" w:hAnsi="Arial" w:cs="Arial"/>
              </w:rPr>
            </w:pPr>
            <w:r>
              <w:rPr>
                <w:rFonts w:ascii="Arial" w:hAnsi="Arial" w:cs="Arial"/>
              </w:rPr>
              <w:t>10 cm</w:t>
            </w:r>
          </w:p>
        </w:tc>
        <w:tc>
          <w:tcPr>
            <w:tcW w:w="1134" w:type="dxa"/>
          </w:tcPr>
          <w:p w14:paraId="4A14CEBD" w14:textId="314B5DF5" w:rsidR="00B055A7" w:rsidRPr="00DC3180" w:rsidRDefault="00B055A7" w:rsidP="001F4176">
            <w:pPr>
              <w:jc w:val="center"/>
              <w:rPr>
                <w:rFonts w:ascii="Arial" w:hAnsi="Arial" w:cs="Arial"/>
              </w:rPr>
            </w:pPr>
            <w:r w:rsidRPr="00FB0C39">
              <w:t>0.02</w:t>
            </w:r>
          </w:p>
        </w:tc>
        <w:tc>
          <w:tcPr>
            <w:tcW w:w="851" w:type="dxa"/>
          </w:tcPr>
          <w:p w14:paraId="1B4C10D0" w14:textId="6AD50DF8" w:rsidR="00B055A7" w:rsidRPr="00DC3180" w:rsidRDefault="00B055A7" w:rsidP="001F4176">
            <w:pPr>
              <w:jc w:val="center"/>
              <w:rPr>
                <w:rFonts w:ascii="Arial" w:hAnsi="Arial" w:cs="Arial"/>
              </w:rPr>
            </w:pPr>
            <w:r w:rsidRPr="009C2217">
              <w:t>0.125</w:t>
            </w:r>
          </w:p>
        </w:tc>
        <w:tc>
          <w:tcPr>
            <w:tcW w:w="1134" w:type="dxa"/>
          </w:tcPr>
          <w:p w14:paraId="0CD14548" w14:textId="38A3FC52" w:rsidR="00B055A7" w:rsidRPr="00DC3180" w:rsidRDefault="00B055A7" w:rsidP="001F4176">
            <w:pPr>
              <w:jc w:val="center"/>
              <w:rPr>
                <w:rFonts w:ascii="Arial" w:hAnsi="Arial" w:cs="Arial"/>
              </w:rPr>
            </w:pPr>
            <w:r w:rsidRPr="00003922">
              <w:t>1.69402</w:t>
            </w:r>
          </w:p>
        </w:tc>
        <w:tc>
          <w:tcPr>
            <w:tcW w:w="992" w:type="dxa"/>
          </w:tcPr>
          <w:p w14:paraId="0DDBCEBA" w14:textId="22E13849" w:rsidR="00B055A7" w:rsidRPr="00DC3180" w:rsidRDefault="00B055A7" w:rsidP="001F4176">
            <w:pPr>
              <w:jc w:val="center"/>
              <w:rPr>
                <w:rFonts w:ascii="Arial" w:hAnsi="Arial" w:cs="Arial"/>
              </w:rPr>
            </w:pPr>
            <w:r w:rsidRPr="00B951A8">
              <w:t>0.1653</w:t>
            </w:r>
          </w:p>
        </w:tc>
        <w:tc>
          <w:tcPr>
            <w:tcW w:w="992" w:type="dxa"/>
          </w:tcPr>
          <w:p w14:paraId="4F346E5E" w14:textId="30578860" w:rsidR="00B055A7" w:rsidRPr="00DC3180" w:rsidRDefault="00B055A7" w:rsidP="001F4176">
            <w:pPr>
              <w:jc w:val="center"/>
              <w:rPr>
                <w:rFonts w:ascii="Arial" w:hAnsi="Arial" w:cs="Arial"/>
              </w:rPr>
            </w:pPr>
            <w:r w:rsidRPr="0021674D">
              <w:t>1.033</w:t>
            </w:r>
          </w:p>
        </w:tc>
        <w:tc>
          <w:tcPr>
            <w:tcW w:w="993" w:type="dxa"/>
          </w:tcPr>
          <w:p w14:paraId="0D76FE20" w14:textId="7C284181" w:rsidR="00B055A7" w:rsidRPr="00DC3180" w:rsidRDefault="00B055A7" w:rsidP="001F4176">
            <w:pPr>
              <w:jc w:val="center"/>
              <w:rPr>
                <w:rFonts w:ascii="Arial" w:hAnsi="Arial" w:cs="Arial"/>
              </w:rPr>
            </w:pPr>
            <w:r w:rsidRPr="00D820CD">
              <w:t>39.449</w:t>
            </w:r>
          </w:p>
        </w:tc>
        <w:tc>
          <w:tcPr>
            <w:tcW w:w="992" w:type="dxa"/>
          </w:tcPr>
          <w:p w14:paraId="0438AD55" w14:textId="554F615D" w:rsidR="00B055A7" w:rsidRPr="00DC3180" w:rsidRDefault="00B055A7" w:rsidP="001F4176">
            <w:pPr>
              <w:jc w:val="center"/>
              <w:rPr>
                <w:rFonts w:ascii="Arial" w:hAnsi="Arial" w:cs="Arial"/>
              </w:rPr>
            </w:pPr>
            <w:r w:rsidRPr="00FF7984">
              <w:t>39.284</w:t>
            </w:r>
          </w:p>
        </w:tc>
        <w:tc>
          <w:tcPr>
            <w:tcW w:w="1134" w:type="dxa"/>
          </w:tcPr>
          <w:p w14:paraId="08D2C6FC" w14:textId="49F249EC" w:rsidR="00B055A7" w:rsidRPr="00DC3180" w:rsidRDefault="00B055A7" w:rsidP="001F4176">
            <w:pPr>
              <w:jc w:val="center"/>
              <w:rPr>
                <w:rFonts w:ascii="Arial" w:hAnsi="Arial" w:cs="Arial"/>
              </w:rPr>
            </w:pPr>
            <w:r w:rsidRPr="00F376E1">
              <w:t>38.251</w:t>
            </w:r>
          </w:p>
        </w:tc>
      </w:tr>
      <w:bookmarkEnd w:id="2"/>
    </w:tbl>
    <w:p w14:paraId="4AEE76AF" w14:textId="0BDADCF9" w:rsidR="00863BD3" w:rsidRDefault="00863BD3" w:rsidP="00441B6F">
      <w:pPr>
        <w:pStyle w:val="BodyText3"/>
        <w:tabs>
          <w:tab w:val="left" w:pos="1080"/>
        </w:tabs>
        <w:spacing w:after="0"/>
        <w:ind w:left="1080" w:hanging="1080"/>
        <w:jc w:val="both"/>
        <w:rPr>
          <w:rFonts w:ascii="Arial" w:hAnsi="Arial"/>
          <w:b/>
          <w:sz w:val="20"/>
          <w:szCs w:val="20"/>
        </w:rPr>
      </w:pPr>
    </w:p>
    <w:p w14:paraId="5ED67CD2" w14:textId="1A50C2BA" w:rsidR="00B055A7" w:rsidRDefault="00B055A7" w:rsidP="00592D15">
      <w:pPr>
        <w:tabs>
          <w:tab w:val="left" w:pos="1080"/>
        </w:tabs>
        <w:jc w:val="center"/>
        <w:rPr>
          <w:rFonts w:ascii="Arial" w:hAnsi="Arial"/>
          <w:b/>
        </w:rPr>
      </w:pPr>
      <w:r>
        <w:rPr>
          <w:rFonts w:ascii="Arial" w:hAnsi="Arial"/>
          <w:b/>
        </w:rPr>
        <w:t xml:space="preserve">Table </w:t>
      </w:r>
      <w:r w:rsidR="00AC0B37">
        <w:rPr>
          <w:rFonts w:ascii="Arial" w:hAnsi="Arial"/>
          <w:b/>
        </w:rPr>
        <w:t>4</w:t>
      </w:r>
      <w:r>
        <w:rPr>
          <w:rFonts w:ascii="Arial" w:hAnsi="Arial"/>
          <w:b/>
        </w:rPr>
        <w:t>.</w:t>
      </w:r>
      <w:r w:rsidRPr="00DC3180">
        <w:rPr>
          <w:rFonts w:ascii="Arial" w:hAnsi="Arial"/>
          <w:b/>
        </w:rPr>
        <w:tab/>
      </w:r>
      <w:r w:rsidR="00592D15" w:rsidRPr="00592D15">
        <w:rPr>
          <w:rFonts w:ascii="Arial" w:hAnsi="Arial"/>
          <w:b/>
        </w:rPr>
        <w:t>Heat flux through the facade for each ventilated fa</w:t>
      </w:r>
      <w:r w:rsidR="00592D15">
        <w:rPr>
          <w:rFonts w:ascii="Arial" w:hAnsi="Arial"/>
          <w:b/>
        </w:rPr>
        <w:t>c</w:t>
      </w:r>
      <w:r w:rsidR="00592D15" w:rsidRPr="00592D15">
        <w:rPr>
          <w:rFonts w:ascii="Arial" w:hAnsi="Arial"/>
          <w:b/>
        </w:rPr>
        <w:t>ade configuration under design conditions.</w:t>
      </w:r>
    </w:p>
    <w:p w14:paraId="5705B9CA" w14:textId="77777777" w:rsidR="00592D15" w:rsidRDefault="00592D15" w:rsidP="00344E1E">
      <w:pPr>
        <w:tabs>
          <w:tab w:val="left" w:pos="1080"/>
        </w:tabs>
        <w:jc w:val="both"/>
        <w:rPr>
          <w:rFonts w:ascii="Arial" w:hAnsi="Arial"/>
          <w:b/>
        </w:rPr>
      </w:pPr>
    </w:p>
    <w:tbl>
      <w:tblPr>
        <w:tblStyle w:val="TableGrid"/>
        <w:tblW w:w="7796" w:type="dxa"/>
        <w:jc w:val="center"/>
        <w:tblLayout w:type="fixed"/>
        <w:tblLook w:val="01E0" w:firstRow="1" w:lastRow="1" w:firstColumn="1" w:lastColumn="1" w:noHBand="0" w:noVBand="0"/>
      </w:tblPr>
      <w:tblGrid>
        <w:gridCol w:w="988"/>
        <w:gridCol w:w="1988"/>
        <w:gridCol w:w="1843"/>
        <w:gridCol w:w="1276"/>
        <w:gridCol w:w="1701"/>
      </w:tblGrid>
      <w:tr w:rsidR="00B055A7" w:rsidRPr="00F019C0" w14:paraId="60E90B41" w14:textId="5E85AB84" w:rsidTr="00B055A7">
        <w:trPr>
          <w:jc w:val="center"/>
        </w:trPr>
        <w:tc>
          <w:tcPr>
            <w:tcW w:w="988" w:type="dxa"/>
          </w:tcPr>
          <w:p w14:paraId="60D1EA0A" w14:textId="77777777" w:rsidR="00B055A7" w:rsidRPr="00DC3180" w:rsidRDefault="00B055A7" w:rsidP="00B055A7">
            <w:pPr>
              <w:jc w:val="center"/>
              <w:rPr>
                <w:rFonts w:ascii="Arial" w:hAnsi="Arial"/>
                <w:b/>
                <w:bCs/>
              </w:rPr>
            </w:pPr>
            <w:r>
              <w:rPr>
                <w:rFonts w:ascii="Arial" w:hAnsi="Arial"/>
                <w:b/>
                <w:bCs/>
              </w:rPr>
              <w:t>Case</w:t>
            </w:r>
          </w:p>
        </w:tc>
        <w:tc>
          <w:tcPr>
            <w:tcW w:w="1988" w:type="dxa"/>
          </w:tcPr>
          <w:p w14:paraId="700C6104" w14:textId="77777777" w:rsidR="00B055A7" w:rsidRPr="00DC3180" w:rsidRDefault="00B055A7" w:rsidP="00B055A7">
            <w:pPr>
              <w:jc w:val="center"/>
              <w:rPr>
                <w:rFonts w:ascii="Arial" w:hAnsi="Arial"/>
                <w:b/>
                <w:bCs/>
              </w:rPr>
            </w:pPr>
            <w:r w:rsidRPr="00F019C0">
              <w:rPr>
                <w:rFonts w:ascii="Arial" w:hAnsi="Arial"/>
                <w:b/>
                <w:bCs/>
              </w:rPr>
              <w:t>Cladding Material</w:t>
            </w:r>
          </w:p>
        </w:tc>
        <w:tc>
          <w:tcPr>
            <w:tcW w:w="1843" w:type="dxa"/>
          </w:tcPr>
          <w:p w14:paraId="0E7C3377" w14:textId="64ED30FD" w:rsidR="00B055A7" w:rsidRDefault="00B055A7" w:rsidP="00B055A7">
            <w:pPr>
              <w:jc w:val="center"/>
              <w:rPr>
                <w:rFonts w:ascii="Arial" w:hAnsi="Arial"/>
                <w:b/>
                <w:bCs/>
              </w:rPr>
            </w:pPr>
            <w:r w:rsidRPr="00F019C0">
              <w:rPr>
                <w:rFonts w:ascii="Arial" w:hAnsi="Arial"/>
                <w:b/>
                <w:bCs/>
              </w:rPr>
              <w:t>Air Cavity Thickness</w:t>
            </w:r>
          </w:p>
        </w:tc>
        <w:tc>
          <w:tcPr>
            <w:tcW w:w="1276" w:type="dxa"/>
          </w:tcPr>
          <w:p w14:paraId="25F2B910" w14:textId="56DC1349" w:rsidR="00B055A7" w:rsidRPr="00DC3180" w:rsidRDefault="00B055A7" w:rsidP="00B055A7">
            <w:pPr>
              <w:jc w:val="center"/>
              <w:rPr>
                <w:rFonts w:ascii="Arial" w:hAnsi="Arial"/>
                <w:b/>
                <w:bCs/>
              </w:rPr>
            </w:pPr>
            <w:r>
              <w:rPr>
                <w:rFonts w:ascii="Arial" w:hAnsi="Arial"/>
                <w:b/>
                <w:bCs/>
              </w:rPr>
              <w:t>q (</w:t>
            </w:r>
            <m:oMath>
              <m:r>
                <m:rPr>
                  <m:sty m:val="bi"/>
                </m:rPr>
                <w:rPr>
                  <w:rFonts w:ascii="Cambria Math" w:hAnsi="Cambria Math"/>
                </w:rPr>
                <m:t>W/</m:t>
              </m:r>
              <m:sSup>
                <m:sSupPr>
                  <m:ctrlPr>
                    <w:rPr>
                      <w:rFonts w:ascii="Cambria Math" w:hAnsi="Cambria Math"/>
                      <w:b/>
                      <w:bCs/>
                      <w:i/>
                    </w:rPr>
                  </m:ctrlPr>
                </m:sSupPr>
                <m:e>
                  <m:r>
                    <m:rPr>
                      <m:sty m:val="bi"/>
                    </m:rPr>
                    <w:rPr>
                      <w:rFonts w:ascii="Cambria Math" w:hAnsi="Cambria Math"/>
                    </w:rPr>
                    <m:t>m</m:t>
                  </m:r>
                </m:e>
                <m:sup>
                  <m:r>
                    <m:rPr>
                      <m:sty m:val="bi"/>
                    </m:rPr>
                    <w:rPr>
                      <w:rFonts w:ascii="Cambria Math" w:hAnsi="Cambria Math"/>
                    </w:rPr>
                    <m:t>2</m:t>
                  </m:r>
                </m:sup>
              </m:sSup>
            </m:oMath>
            <w:r>
              <w:rPr>
                <w:rFonts w:ascii="Arial" w:hAnsi="Arial"/>
                <w:b/>
                <w:bCs/>
              </w:rPr>
              <w:t>)</w:t>
            </w:r>
          </w:p>
        </w:tc>
        <w:tc>
          <w:tcPr>
            <w:tcW w:w="1701" w:type="dxa"/>
            <w:vAlign w:val="center"/>
          </w:tcPr>
          <w:p w14:paraId="4C524FB5" w14:textId="77777777" w:rsidR="00B055A7" w:rsidRDefault="00B055A7" w:rsidP="00B055A7">
            <w:pPr>
              <w:jc w:val="center"/>
              <w:rPr>
                <w:rFonts w:ascii="Arial" w:hAnsi="Arial"/>
                <w:b/>
                <w:bCs/>
              </w:rPr>
            </w:pPr>
            <w:proofErr w:type="spellStart"/>
            <w:r w:rsidRPr="00FE57D5">
              <w:rPr>
                <w:rFonts w:ascii="Arial" w:hAnsi="Arial"/>
                <w:b/>
                <w:bCs/>
              </w:rPr>
              <w:t>Potencia</w:t>
            </w:r>
            <w:proofErr w:type="spellEnd"/>
          </w:p>
          <w:p w14:paraId="4911CB22" w14:textId="0CC8B25E" w:rsidR="00B055A7" w:rsidRPr="00F019C0" w:rsidRDefault="00B055A7" w:rsidP="00B055A7">
            <w:pPr>
              <w:jc w:val="center"/>
              <w:rPr>
                <w:rFonts w:ascii="Arial" w:hAnsi="Arial"/>
                <w:b/>
                <w:bCs/>
              </w:rPr>
            </w:pPr>
            <w:r w:rsidRPr="00FE57D5">
              <w:rPr>
                <w:rFonts w:ascii="Arial" w:hAnsi="Arial"/>
                <w:b/>
                <w:bCs/>
              </w:rPr>
              <w:t>W</w:t>
            </w:r>
          </w:p>
        </w:tc>
      </w:tr>
      <w:tr w:rsidR="00B055A7" w:rsidRPr="00DC3180" w14:paraId="1514762E" w14:textId="4AAAAB92" w:rsidTr="00B055A7">
        <w:trPr>
          <w:trHeight w:val="245"/>
          <w:jc w:val="center"/>
        </w:trPr>
        <w:tc>
          <w:tcPr>
            <w:tcW w:w="988" w:type="dxa"/>
            <w:vMerge w:val="restart"/>
          </w:tcPr>
          <w:p w14:paraId="676194CD" w14:textId="77777777" w:rsidR="00B055A7" w:rsidRPr="00F019C0" w:rsidRDefault="00B055A7" w:rsidP="00B055A7">
            <w:pPr>
              <w:jc w:val="center"/>
              <w:rPr>
                <w:rFonts w:ascii="Arial" w:hAnsi="Arial" w:cs="Arial"/>
              </w:rPr>
            </w:pPr>
            <w:r w:rsidRPr="00F019C0">
              <w:rPr>
                <w:rFonts w:ascii="Arial" w:hAnsi="Arial" w:cs="Arial"/>
              </w:rPr>
              <w:t>Case</w:t>
            </w:r>
            <w:r>
              <w:rPr>
                <w:rFonts w:ascii="Arial" w:hAnsi="Arial" w:cs="Arial"/>
              </w:rPr>
              <w:t xml:space="preserve"> 1</w:t>
            </w:r>
          </w:p>
        </w:tc>
        <w:tc>
          <w:tcPr>
            <w:tcW w:w="1988" w:type="dxa"/>
            <w:vMerge w:val="restart"/>
            <w:vAlign w:val="center"/>
          </w:tcPr>
          <w:p w14:paraId="259674A9" w14:textId="77777777" w:rsidR="00B055A7" w:rsidRPr="00F019C0" w:rsidRDefault="00B055A7" w:rsidP="00B055A7">
            <w:pPr>
              <w:jc w:val="center"/>
              <w:rPr>
                <w:rFonts w:ascii="Arial" w:hAnsi="Arial" w:cs="Arial"/>
              </w:rPr>
            </w:pPr>
            <w:proofErr w:type="spellStart"/>
            <w:r w:rsidRPr="00F019C0">
              <w:rPr>
                <w:rFonts w:ascii="Arial" w:hAnsi="Arial" w:cs="Arial"/>
              </w:rPr>
              <w:t>Dekton</w:t>
            </w:r>
            <w:proofErr w:type="spellEnd"/>
          </w:p>
        </w:tc>
        <w:tc>
          <w:tcPr>
            <w:tcW w:w="1843" w:type="dxa"/>
          </w:tcPr>
          <w:p w14:paraId="1F0FBC99" w14:textId="7A7D511E" w:rsidR="00B055A7" w:rsidRPr="00AD61A5" w:rsidRDefault="00B055A7" w:rsidP="00B055A7">
            <w:pPr>
              <w:jc w:val="center"/>
            </w:pPr>
            <w:r w:rsidRPr="00EE50D4">
              <w:rPr>
                <w:rFonts w:ascii="Arial" w:hAnsi="Arial" w:cs="Arial"/>
              </w:rPr>
              <w:t>6 cm</w:t>
            </w:r>
          </w:p>
        </w:tc>
        <w:tc>
          <w:tcPr>
            <w:tcW w:w="1276" w:type="dxa"/>
          </w:tcPr>
          <w:p w14:paraId="1806385C" w14:textId="541CCD23" w:rsidR="00B055A7" w:rsidRPr="00EE50D4" w:rsidRDefault="00B055A7" w:rsidP="00B055A7">
            <w:pPr>
              <w:jc w:val="center"/>
              <w:rPr>
                <w:rFonts w:ascii="Arial" w:hAnsi="Arial" w:cs="Arial"/>
              </w:rPr>
            </w:pPr>
            <w:r w:rsidRPr="00AD61A5">
              <w:t>7.963</w:t>
            </w:r>
          </w:p>
        </w:tc>
        <w:tc>
          <w:tcPr>
            <w:tcW w:w="1701" w:type="dxa"/>
          </w:tcPr>
          <w:p w14:paraId="1084E02D" w14:textId="0A6F6AF0" w:rsidR="00B055A7" w:rsidRPr="00EE50D4" w:rsidRDefault="00B055A7" w:rsidP="00B055A7">
            <w:pPr>
              <w:jc w:val="center"/>
              <w:rPr>
                <w:rFonts w:ascii="Arial" w:hAnsi="Arial" w:cs="Arial"/>
              </w:rPr>
            </w:pPr>
            <w:r w:rsidRPr="00070652">
              <w:t>315.34</w:t>
            </w:r>
          </w:p>
        </w:tc>
      </w:tr>
      <w:tr w:rsidR="00B055A7" w:rsidRPr="00DC3180" w14:paraId="7FB7CFC3" w14:textId="5498D38C" w:rsidTr="00B055A7">
        <w:trPr>
          <w:jc w:val="center"/>
        </w:trPr>
        <w:tc>
          <w:tcPr>
            <w:tcW w:w="988" w:type="dxa"/>
            <w:vMerge/>
          </w:tcPr>
          <w:p w14:paraId="4D06749D" w14:textId="77777777" w:rsidR="00B055A7" w:rsidRPr="00DC3180" w:rsidRDefault="00B055A7" w:rsidP="00B055A7">
            <w:pPr>
              <w:jc w:val="center"/>
              <w:rPr>
                <w:rFonts w:ascii="Arial" w:hAnsi="Arial" w:cs="Arial"/>
              </w:rPr>
            </w:pPr>
          </w:p>
        </w:tc>
        <w:tc>
          <w:tcPr>
            <w:tcW w:w="1988" w:type="dxa"/>
            <w:vMerge/>
            <w:vAlign w:val="center"/>
          </w:tcPr>
          <w:p w14:paraId="0BB483D4" w14:textId="77777777" w:rsidR="00B055A7" w:rsidRPr="00DC3180" w:rsidRDefault="00B055A7" w:rsidP="00B055A7">
            <w:pPr>
              <w:jc w:val="center"/>
              <w:rPr>
                <w:rFonts w:ascii="Arial" w:hAnsi="Arial" w:cs="Arial"/>
              </w:rPr>
            </w:pPr>
          </w:p>
        </w:tc>
        <w:tc>
          <w:tcPr>
            <w:tcW w:w="1843" w:type="dxa"/>
          </w:tcPr>
          <w:p w14:paraId="057D7097" w14:textId="349DEBBA" w:rsidR="00B055A7" w:rsidRPr="00AD61A5" w:rsidRDefault="00B055A7" w:rsidP="00B055A7">
            <w:pPr>
              <w:jc w:val="center"/>
            </w:pPr>
            <w:r w:rsidRPr="00EE50D4">
              <w:rPr>
                <w:rFonts w:ascii="Arial" w:hAnsi="Arial" w:cs="Arial"/>
              </w:rPr>
              <w:t>10 cm</w:t>
            </w:r>
          </w:p>
        </w:tc>
        <w:tc>
          <w:tcPr>
            <w:tcW w:w="1276" w:type="dxa"/>
          </w:tcPr>
          <w:p w14:paraId="273218DC" w14:textId="62405A7D" w:rsidR="00B055A7" w:rsidRPr="00EE50D4" w:rsidRDefault="00B055A7" w:rsidP="00B055A7">
            <w:pPr>
              <w:jc w:val="center"/>
              <w:rPr>
                <w:rFonts w:ascii="Arial" w:hAnsi="Arial" w:cs="Arial"/>
              </w:rPr>
            </w:pPr>
            <w:r w:rsidRPr="00AD61A5">
              <w:t>8.318</w:t>
            </w:r>
          </w:p>
        </w:tc>
        <w:tc>
          <w:tcPr>
            <w:tcW w:w="1701" w:type="dxa"/>
          </w:tcPr>
          <w:p w14:paraId="05F87A5B" w14:textId="6F6621CC" w:rsidR="00B055A7" w:rsidRPr="00EE50D4" w:rsidRDefault="00B055A7" w:rsidP="00B055A7">
            <w:pPr>
              <w:jc w:val="center"/>
              <w:rPr>
                <w:rFonts w:ascii="Arial" w:hAnsi="Arial" w:cs="Arial"/>
              </w:rPr>
            </w:pPr>
            <w:r w:rsidRPr="00070652">
              <w:t>329.39</w:t>
            </w:r>
          </w:p>
        </w:tc>
      </w:tr>
      <w:tr w:rsidR="00B055A7" w:rsidRPr="00DC3180" w14:paraId="203C2F35" w14:textId="287A9607" w:rsidTr="00B055A7">
        <w:trPr>
          <w:jc w:val="center"/>
        </w:trPr>
        <w:tc>
          <w:tcPr>
            <w:tcW w:w="988" w:type="dxa"/>
            <w:vMerge w:val="restart"/>
          </w:tcPr>
          <w:p w14:paraId="49AA5FE7" w14:textId="77777777" w:rsidR="00B055A7" w:rsidRPr="00DC3180" w:rsidRDefault="00B055A7" w:rsidP="00B055A7">
            <w:pPr>
              <w:jc w:val="center"/>
              <w:rPr>
                <w:rFonts w:ascii="Arial" w:hAnsi="Arial"/>
              </w:rPr>
            </w:pPr>
            <w:r>
              <w:rPr>
                <w:rFonts w:ascii="Arial" w:hAnsi="Arial"/>
              </w:rPr>
              <w:t>Case 2</w:t>
            </w:r>
          </w:p>
        </w:tc>
        <w:tc>
          <w:tcPr>
            <w:tcW w:w="1988" w:type="dxa"/>
            <w:vMerge w:val="restart"/>
            <w:vAlign w:val="center"/>
          </w:tcPr>
          <w:p w14:paraId="282E08B2" w14:textId="77777777" w:rsidR="00B055A7" w:rsidRPr="00DC3180" w:rsidRDefault="00B055A7" w:rsidP="00B055A7">
            <w:pPr>
              <w:jc w:val="center"/>
              <w:rPr>
                <w:rFonts w:ascii="Arial" w:hAnsi="Arial"/>
              </w:rPr>
            </w:pPr>
            <w:r>
              <w:rPr>
                <w:rFonts w:ascii="Arial" w:hAnsi="Arial"/>
              </w:rPr>
              <w:t>Ceramic</w:t>
            </w:r>
          </w:p>
        </w:tc>
        <w:tc>
          <w:tcPr>
            <w:tcW w:w="1843" w:type="dxa"/>
          </w:tcPr>
          <w:p w14:paraId="32A4EAC2" w14:textId="296913EA" w:rsidR="00B055A7" w:rsidRPr="00AD61A5" w:rsidRDefault="00B055A7" w:rsidP="00B055A7">
            <w:pPr>
              <w:jc w:val="center"/>
            </w:pPr>
            <w:r>
              <w:rPr>
                <w:rFonts w:ascii="Arial" w:hAnsi="Arial" w:cs="Arial"/>
              </w:rPr>
              <w:t>6 cm</w:t>
            </w:r>
          </w:p>
        </w:tc>
        <w:tc>
          <w:tcPr>
            <w:tcW w:w="1276" w:type="dxa"/>
          </w:tcPr>
          <w:p w14:paraId="09105E19" w14:textId="73E265B1" w:rsidR="00B055A7" w:rsidRPr="00DC3180" w:rsidRDefault="00B055A7" w:rsidP="00B055A7">
            <w:pPr>
              <w:jc w:val="center"/>
              <w:rPr>
                <w:rFonts w:ascii="Arial" w:hAnsi="Arial" w:cs="Arial"/>
              </w:rPr>
            </w:pPr>
            <w:r w:rsidRPr="00AD61A5">
              <w:t>7.959</w:t>
            </w:r>
          </w:p>
        </w:tc>
        <w:tc>
          <w:tcPr>
            <w:tcW w:w="1701" w:type="dxa"/>
          </w:tcPr>
          <w:p w14:paraId="01DA6164" w14:textId="3C2B7A2F" w:rsidR="00B055A7" w:rsidRDefault="00B055A7" w:rsidP="00B055A7">
            <w:pPr>
              <w:jc w:val="center"/>
              <w:rPr>
                <w:rFonts w:ascii="Arial" w:hAnsi="Arial" w:cs="Arial"/>
              </w:rPr>
            </w:pPr>
            <w:r w:rsidRPr="00070652">
              <w:t>315.18</w:t>
            </w:r>
          </w:p>
        </w:tc>
      </w:tr>
      <w:tr w:rsidR="00B055A7" w:rsidRPr="00DC3180" w14:paraId="4A4CFE83" w14:textId="31D6DA73" w:rsidTr="00B055A7">
        <w:trPr>
          <w:jc w:val="center"/>
        </w:trPr>
        <w:tc>
          <w:tcPr>
            <w:tcW w:w="988" w:type="dxa"/>
            <w:vMerge/>
          </w:tcPr>
          <w:p w14:paraId="3FEBC1EC" w14:textId="77777777" w:rsidR="00B055A7" w:rsidRPr="00DC3180" w:rsidRDefault="00B055A7" w:rsidP="00B055A7">
            <w:pPr>
              <w:jc w:val="center"/>
              <w:rPr>
                <w:rFonts w:ascii="Arial" w:hAnsi="Arial"/>
              </w:rPr>
            </w:pPr>
          </w:p>
        </w:tc>
        <w:tc>
          <w:tcPr>
            <w:tcW w:w="1988" w:type="dxa"/>
            <w:vMerge/>
            <w:vAlign w:val="center"/>
          </w:tcPr>
          <w:p w14:paraId="527B4104" w14:textId="77777777" w:rsidR="00B055A7" w:rsidRPr="00DC3180" w:rsidRDefault="00B055A7" w:rsidP="00B055A7">
            <w:pPr>
              <w:jc w:val="center"/>
              <w:rPr>
                <w:rFonts w:ascii="Arial" w:hAnsi="Arial"/>
              </w:rPr>
            </w:pPr>
          </w:p>
        </w:tc>
        <w:tc>
          <w:tcPr>
            <w:tcW w:w="1843" w:type="dxa"/>
          </w:tcPr>
          <w:p w14:paraId="48215E92" w14:textId="3F2DCD94" w:rsidR="00B055A7" w:rsidRPr="00AD61A5" w:rsidRDefault="00B055A7" w:rsidP="00B055A7">
            <w:pPr>
              <w:jc w:val="center"/>
            </w:pPr>
            <w:r>
              <w:rPr>
                <w:rFonts w:ascii="Arial" w:hAnsi="Arial" w:cs="Arial"/>
              </w:rPr>
              <w:t>10 cm</w:t>
            </w:r>
          </w:p>
        </w:tc>
        <w:tc>
          <w:tcPr>
            <w:tcW w:w="1276" w:type="dxa"/>
          </w:tcPr>
          <w:p w14:paraId="5D7A1ED4" w14:textId="53AF163A" w:rsidR="00B055A7" w:rsidRPr="00DC3180" w:rsidRDefault="00B055A7" w:rsidP="00B055A7">
            <w:pPr>
              <w:jc w:val="center"/>
              <w:rPr>
                <w:rFonts w:ascii="Arial" w:hAnsi="Arial" w:cs="Arial"/>
              </w:rPr>
            </w:pPr>
            <w:r w:rsidRPr="00AD61A5">
              <w:t>8.313</w:t>
            </w:r>
          </w:p>
        </w:tc>
        <w:tc>
          <w:tcPr>
            <w:tcW w:w="1701" w:type="dxa"/>
          </w:tcPr>
          <w:p w14:paraId="1A872C33" w14:textId="6AFB2647" w:rsidR="00B055A7" w:rsidRDefault="00B055A7" w:rsidP="00B055A7">
            <w:pPr>
              <w:jc w:val="center"/>
              <w:rPr>
                <w:rFonts w:ascii="Arial" w:hAnsi="Arial" w:cs="Arial"/>
              </w:rPr>
            </w:pPr>
            <w:r w:rsidRPr="00070652">
              <w:t>329.21</w:t>
            </w:r>
          </w:p>
        </w:tc>
      </w:tr>
      <w:tr w:rsidR="00B055A7" w:rsidRPr="00DC3180" w14:paraId="04C4FED8" w14:textId="4EB75068" w:rsidTr="00B055A7">
        <w:trPr>
          <w:jc w:val="center"/>
        </w:trPr>
        <w:tc>
          <w:tcPr>
            <w:tcW w:w="988" w:type="dxa"/>
            <w:vMerge w:val="restart"/>
          </w:tcPr>
          <w:p w14:paraId="06CCD25E" w14:textId="77777777" w:rsidR="00B055A7" w:rsidRPr="00DC3180" w:rsidRDefault="00B055A7" w:rsidP="00B055A7">
            <w:pPr>
              <w:jc w:val="center"/>
              <w:rPr>
                <w:rFonts w:ascii="Arial" w:hAnsi="Arial"/>
              </w:rPr>
            </w:pPr>
            <w:r>
              <w:rPr>
                <w:rFonts w:ascii="Arial" w:hAnsi="Arial"/>
              </w:rPr>
              <w:t>Case 3</w:t>
            </w:r>
          </w:p>
        </w:tc>
        <w:tc>
          <w:tcPr>
            <w:tcW w:w="1988" w:type="dxa"/>
            <w:vMerge w:val="restart"/>
            <w:vAlign w:val="center"/>
          </w:tcPr>
          <w:p w14:paraId="7AAF0D67" w14:textId="77777777" w:rsidR="00B055A7" w:rsidRPr="00DC3180" w:rsidRDefault="00B055A7" w:rsidP="00B055A7">
            <w:pPr>
              <w:jc w:val="center"/>
              <w:rPr>
                <w:rFonts w:ascii="Arial" w:hAnsi="Arial"/>
              </w:rPr>
            </w:pPr>
            <w:r>
              <w:rPr>
                <w:rFonts w:ascii="Arial" w:hAnsi="Arial"/>
              </w:rPr>
              <w:t>Fiber-Cement</w:t>
            </w:r>
          </w:p>
        </w:tc>
        <w:tc>
          <w:tcPr>
            <w:tcW w:w="1843" w:type="dxa"/>
          </w:tcPr>
          <w:p w14:paraId="03857A7C" w14:textId="5B346AE0" w:rsidR="00B055A7" w:rsidRPr="00AD61A5" w:rsidRDefault="00B055A7" w:rsidP="00B055A7">
            <w:pPr>
              <w:jc w:val="center"/>
            </w:pPr>
            <w:r>
              <w:rPr>
                <w:rFonts w:ascii="Arial" w:hAnsi="Arial" w:cs="Arial"/>
              </w:rPr>
              <w:t>6 cm</w:t>
            </w:r>
          </w:p>
        </w:tc>
        <w:tc>
          <w:tcPr>
            <w:tcW w:w="1276" w:type="dxa"/>
          </w:tcPr>
          <w:p w14:paraId="28A21D88" w14:textId="0A5414DB" w:rsidR="00B055A7" w:rsidRPr="00DC3180" w:rsidRDefault="00B055A7" w:rsidP="00B055A7">
            <w:pPr>
              <w:jc w:val="center"/>
              <w:rPr>
                <w:rFonts w:ascii="Arial" w:hAnsi="Arial" w:cs="Arial"/>
              </w:rPr>
            </w:pPr>
            <w:r w:rsidRPr="00AD61A5">
              <w:t>7.914</w:t>
            </w:r>
          </w:p>
        </w:tc>
        <w:tc>
          <w:tcPr>
            <w:tcW w:w="1701" w:type="dxa"/>
          </w:tcPr>
          <w:p w14:paraId="6994823E" w14:textId="3FF85D64" w:rsidR="00B055A7" w:rsidRDefault="00B055A7" w:rsidP="00B055A7">
            <w:pPr>
              <w:jc w:val="center"/>
              <w:rPr>
                <w:rFonts w:ascii="Arial" w:hAnsi="Arial" w:cs="Arial"/>
              </w:rPr>
            </w:pPr>
            <w:r w:rsidRPr="00070652">
              <w:t>313.39</w:t>
            </w:r>
          </w:p>
        </w:tc>
      </w:tr>
      <w:tr w:rsidR="00B055A7" w:rsidRPr="00DC3180" w14:paraId="05CA90DA" w14:textId="015563E9" w:rsidTr="00B055A7">
        <w:trPr>
          <w:jc w:val="center"/>
        </w:trPr>
        <w:tc>
          <w:tcPr>
            <w:tcW w:w="988" w:type="dxa"/>
            <w:vMerge/>
          </w:tcPr>
          <w:p w14:paraId="14715134" w14:textId="77777777" w:rsidR="00B055A7" w:rsidRPr="00DC3180" w:rsidRDefault="00B055A7" w:rsidP="00B055A7">
            <w:pPr>
              <w:jc w:val="center"/>
              <w:rPr>
                <w:rFonts w:ascii="Arial" w:hAnsi="Arial"/>
              </w:rPr>
            </w:pPr>
          </w:p>
        </w:tc>
        <w:tc>
          <w:tcPr>
            <w:tcW w:w="1988" w:type="dxa"/>
            <w:vMerge/>
          </w:tcPr>
          <w:p w14:paraId="5A44FC39" w14:textId="77777777" w:rsidR="00B055A7" w:rsidRPr="00DC3180" w:rsidRDefault="00B055A7" w:rsidP="00B055A7">
            <w:pPr>
              <w:jc w:val="center"/>
              <w:rPr>
                <w:rFonts w:ascii="Arial" w:hAnsi="Arial"/>
              </w:rPr>
            </w:pPr>
          </w:p>
        </w:tc>
        <w:tc>
          <w:tcPr>
            <w:tcW w:w="1843" w:type="dxa"/>
          </w:tcPr>
          <w:p w14:paraId="70040D3A" w14:textId="04F4F17D" w:rsidR="00B055A7" w:rsidRPr="00AD61A5" w:rsidRDefault="00B055A7" w:rsidP="00B055A7">
            <w:pPr>
              <w:jc w:val="center"/>
            </w:pPr>
            <w:r>
              <w:rPr>
                <w:rFonts w:ascii="Arial" w:hAnsi="Arial" w:cs="Arial"/>
              </w:rPr>
              <w:t>10 cm</w:t>
            </w:r>
          </w:p>
        </w:tc>
        <w:tc>
          <w:tcPr>
            <w:tcW w:w="1276" w:type="dxa"/>
          </w:tcPr>
          <w:p w14:paraId="238D09B9" w14:textId="5A5ECA70" w:rsidR="00B055A7" w:rsidRPr="00DC3180" w:rsidRDefault="00B055A7" w:rsidP="00B055A7">
            <w:pPr>
              <w:jc w:val="center"/>
              <w:rPr>
                <w:rFonts w:ascii="Arial" w:hAnsi="Arial" w:cs="Arial"/>
              </w:rPr>
            </w:pPr>
            <w:r w:rsidRPr="00AD61A5">
              <w:t>8.264</w:t>
            </w:r>
          </w:p>
        </w:tc>
        <w:tc>
          <w:tcPr>
            <w:tcW w:w="1701" w:type="dxa"/>
          </w:tcPr>
          <w:p w14:paraId="43E69DE3" w14:textId="362398E0" w:rsidR="00B055A7" w:rsidRDefault="00B055A7" w:rsidP="00B055A7">
            <w:pPr>
              <w:jc w:val="center"/>
              <w:rPr>
                <w:rFonts w:ascii="Arial" w:hAnsi="Arial" w:cs="Arial"/>
              </w:rPr>
            </w:pPr>
            <w:r w:rsidRPr="00070652">
              <w:t>327.27</w:t>
            </w:r>
          </w:p>
        </w:tc>
      </w:tr>
    </w:tbl>
    <w:p w14:paraId="581E192D" w14:textId="77777777" w:rsidR="00B055A7" w:rsidRDefault="00B055A7" w:rsidP="00441B6F">
      <w:pPr>
        <w:pStyle w:val="BodyText3"/>
        <w:tabs>
          <w:tab w:val="left" w:pos="1080"/>
        </w:tabs>
        <w:spacing w:after="0"/>
        <w:ind w:left="1080" w:hanging="1080"/>
        <w:jc w:val="both"/>
        <w:rPr>
          <w:rFonts w:ascii="Arial" w:hAnsi="Arial"/>
          <w:b/>
          <w:sz w:val="20"/>
          <w:szCs w:val="20"/>
        </w:rPr>
      </w:pPr>
    </w:p>
    <w:p w14:paraId="63A45DCC" w14:textId="773E8FAA" w:rsidR="009A60A2" w:rsidRPr="00592D15" w:rsidRDefault="00592D15" w:rsidP="00592D15">
      <w:pPr>
        <w:pStyle w:val="Body"/>
        <w:spacing w:after="0"/>
        <w:rPr>
          <w:rFonts w:ascii="Arial" w:hAnsi="Arial" w:cs="Arial"/>
        </w:rPr>
      </w:pPr>
      <w:r>
        <w:rPr>
          <w:rFonts w:ascii="Arial" w:hAnsi="Arial" w:cs="Arial"/>
        </w:rPr>
        <w:t>Where</w:t>
      </w:r>
      <w:r w:rsidR="00F019C0">
        <w:rPr>
          <w:rFonts w:ascii="Arial" w:hAnsi="Arial" w:cs="Arial"/>
        </w:rPr>
        <w:t>:</w:t>
      </w:r>
    </w:p>
    <w:p w14:paraId="04DB1738" w14:textId="24963B28" w:rsidR="00AC0B37" w:rsidRPr="00AC0B37" w:rsidRDefault="007A4F5D" w:rsidP="00950232">
      <w:pPr>
        <w:pStyle w:val="Body"/>
        <w:numPr>
          <w:ilvl w:val="0"/>
          <w:numId w:val="31"/>
        </w:numPr>
        <w:spacing w:after="0"/>
        <w:rPr>
          <w:rFonts w:ascii="Arial" w:hAnsi="Arial" w:cs="Arial"/>
        </w:rPr>
      </w:pPr>
      <m:oMath>
        <m:sSub>
          <m:sSubPr>
            <m:ctrlPr>
              <w:rPr>
                <w:rFonts w:ascii="Cambria Math" w:hAnsi="Cambria Math" w:cs="Arial"/>
              </w:rPr>
            </m:ctrlPr>
          </m:sSubPr>
          <m:e>
            <m:r>
              <w:rPr>
                <w:rFonts w:ascii="Cambria Math" w:hAnsi="Cambria Math" w:cs="Arial"/>
              </w:rPr>
              <m:t>R</m:t>
            </m:r>
          </m:e>
          <m:sub>
            <m:r>
              <w:rPr>
                <w:rFonts w:ascii="Cambria Math" w:hAnsi="Cambria Math" w:cs="Arial"/>
              </w:rPr>
              <m:t>clad</m:t>
            </m:r>
          </m:sub>
        </m:sSub>
      </m:oMath>
      <w:r w:rsidR="009A60A2" w:rsidRPr="00AC0B37">
        <w:rPr>
          <w:rFonts w:ascii="Arial" w:hAnsi="Arial" w:cs="Arial"/>
        </w:rPr>
        <w:t xml:space="preserve"> (K/W</w:t>
      </w:r>
      <w:proofErr w:type="gramStart"/>
      <w:r w:rsidR="009A60A2" w:rsidRPr="00AC0B37">
        <w:rPr>
          <w:rFonts w:ascii="Arial" w:hAnsi="Arial" w:cs="Arial"/>
        </w:rPr>
        <w:t>) :</w:t>
      </w:r>
      <w:proofErr w:type="gramEnd"/>
      <w:r w:rsidR="009A60A2" w:rsidRPr="00AC0B37">
        <w:rPr>
          <w:rFonts w:ascii="Arial" w:hAnsi="Arial" w:cs="Arial"/>
        </w:rPr>
        <w:t xml:space="preserve"> </w:t>
      </w:r>
      <w:r w:rsidR="00AC0B37" w:rsidRPr="00AC0B37">
        <w:rPr>
          <w:rFonts w:ascii="Arial" w:hAnsi="Arial" w:cs="Arial"/>
        </w:rPr>
        <w:t>Thermal resistance by conduction through the exterior cladding, calculated using Fourier’s law</w:t>
      </w:r>
    </w:p>
    <w:p w14:paraId="032333F8" w14:textId="2F147B67" w:rsidR="00AC0B37" w:rsidRPr="00AC0B37" w:rsidRDefault="007A4F5D" w:rsidP="00CE1CF0">
      <w:pPr>
        <w:pStyle w:val="Body"/>
        <w:numPr>
          <w:ilvl w:val="0"/>
          <w:numId w:val="31"/>
        </w:numPr>
        <w:spacing w:after="0"/>
        <w:rPr>
          <w:rFonts w:ascii="Arial" w:hAnsi="Arial" w:cs="Arial"/>
        </w:rPr>
      </w:pPr>
      <m:oMath>
        <m:sSub>
          <m:sSubPr>
            <m:ctrlPr>
              <w:rPr>
                <w:rFonts w:ascii="Cambria Math" w:hAnsi="Cambria Math" w:cs="Arial"/>
              </w:rPr>
            </m:ctrlPr>
          </m:sSubPr>
          <m:e>
            <m:r>
              <w:rPr>
                <w:rFonts w:ascii="Cambria Math" w:hAnsi="Cambria Math" w:cs="Arial"/>
              </w:rPr>
              <m:t>R</m:t>
            </m:r>
          </m:e>
          <m:sub>
            <m:r>
              <w:rPr>
                <w:rFonts w:ascii="Cambria Math" w:hAnsi="Cambria Math" w:cs="Arial"/>
              </w:rPr>
              <m:t>cav</m:t>
            </m:r>
          </m:sub>
        </m:sSub>
      </m:oMath>
      <w:r w:rsidR="009A60A2" w:rsidRPr="00AC0B37">
        <w:rPr>
          <w:rFonts w:ascii="Arial" w:hAnsi="Arial" w:cs="Arial"/>
        </w:rPr>
        <w:t xml:space="preserve"> (K/W</w:t>
      </w:r>
      <w:proofErr w:type="gramStart"/>
      <w:r w:rsidR="009A60A2" w:rsidRPr="00AC0B37">
        <w:rPr>
          <w:rFonts w:ascii="Arial" w:hAnsi="Arial" w:cs="Arial"/>
        </w:rPr>
        <w:t>) :</w:t>
      </w:r>
      <w:proofErr w:type="gramEnd"/>
      <w:r w:rsidR="009A60A2" w:rsidRPr="00AC0B37">
        <w:rPr>
          <w:rFonts w:ascii="Arial" w:hAnsi="Arial" w:cs="Arial"/>
        </w:rPr>
        <w:t xml:space="preserve"> </w:t>
      </w:r>
      <w:r w:rsidR="00AC0B37" w:rsidRPr="00AC0B37">
        <w:rPr>
          <w:rFonts w:ascii="Arial" w:hAnsi="Arial" w:cs="Arial"/>
        </w:rPr>
        <w:t>Thermal resistance associated with convection within the ventilated cavity.</w:t>
      </w:r>
    </w:p>
    <w:p w14:paraId="6769C5DD" w14:textId="119ABB83" w:rsidR="009A60A2" w:rsidRPr="00AC0B37" w:rsidRDefault="007A4F5D" w:rsidP="00CE1CF0">
      <w:pPr>
        <w:pStyle w:val="Body"/>
        <w:numPr>
          <w:ilvl w:val="0"/>
          <w:numId w:val="31"/>
        </w:numPr>
        <w:spacing w:after="0"/>
        <w:rPr>
          <w:rFonts w:ascii="Arial" w:hAnsi="Arial" w:cs="Arial"/>
        </w:rPr>
      </w:pPr>
      <m:oMath>
        <m:sSub>
          <m:sSubPr>
            <m:ctrlPr>
              <w:rPr>
                <w:rFonts w:ascii="Cambria Math" w:hAnsi="Cambria Math" w:cs="Arial"/>
              </w:rPr>
            </m:ctrlPr>
          </m:sSubPr>
          <m:e>
            <m:r>
              <w:rPr>
                <w:rFonts w:ascii="Cambria Math" w:hAnsi="Cambria Math" w:cs="Arial"/>
              </w:rPr>
              <m:t>R</m:t>
            </m:r>
          </m:e>
          <m:sub>
            <m:r>
              <w:rPr>
                <w:rFonts w:ascii="Cambria Math" w:hAnsi="Cambria Math" w:cs="Arial"/>
              </w:rPr>
              <m:t>tot</m:t>
            </m:r>
          </m:sub>
        </m:sSub>
      </m:oMath>
      <w:r w:rsidR="009A60A2" w:rsidRPr="00AC0B37">
        <w:rPr>
          <w:rFonts w:ascii="Arial" w:hAnsi="Arial" w:cs="Arial"/>
        </w:rPr>
        <w:t xml:space="preserve"> (K/W</w:t>
      </w:r>
      <w:proofErr w:type="gramStart"/>
      <w:r w:rsidR="009A60A2" w:rsidRPr="00AC0B37">
        <w:rPr>
          <w:rFonts w:ascii="Arial" w:hAnsi="Arial" w:cs="Arial"/>
        </w:rPr>
        <w:t>) :</w:t>
      </w:r>
      <w:proofErr w:type="gramEnd"/>
      <w:r w:rsidR="009A60A2" w:rsidRPr="00AC0B37">
        <w:rPr>
          <w:rFonts w:ascii="Arial" w:hAnsi="Arial" w:cs="Arial"/>
        </w:rPr>
        <w:t xml:space="preserve"> </w:t>
      </w:r>
      <w:r w:rsidR="00AC0B37" w:rsidRPr="00AC0B37">
        <w:rPr>
          <w:rFonts w:ascii="Arial" w:hAnsi="Arial" w:cs="Arial"/>
        </w:rPr>
        <w:t>Sum of all thermal resistances in the multilayer system.</w:t>
      </w:r>
    </w:p>
    <w:p w14:paraId="2756CB74" w14:textId="0735154B" w:rsidR="009A60A2" w:rsidRPr="00AC0B37" w:rsidRDefault="009A60A2" w:rsidP="009A60A2">
      <w:pPr>
        <w:pStyle w:val="Body"/>
        <w:numPr>
          <w:ilvl w:val="0"/>
          <w:numId w:val="31"/>
        </w:numPr>
        <w:spacing w:after="0"/>
        <w:rPr>
          <w:rFonts w:ascii="Arial" w:hAnsi="Arial" w:cs="Arial"/>
        </w:rPr>
      </w:pPr>
      <w:proofErr w:type="spellStart"/>
      <w:r w:rsidRPr="00AC0B37">
        <w:rPr>
          <w:rFonts w:ascii="Arial" w:hAnsi="Arial" w:cs="Arial"/>
        </w:rPr>
        <w:t>Potencia</w:t>
      </w:r>
      <w:proofErr w:type="spellEnd"/>
      <w:r w:rsidRPr="00AC0B37">
        <w:rPr>
          <w:rFonts w:ascii="Arial" w:hAnsi="Arial" w:cs="Arial"/>
        </w:rPr>
        <w:t xml:space="preserve"> (W</w:t>
      </w:r>
      <w:proofErr w:type="gramStart"/>
      <w:r w:rsidRPr="00AC0B37">
        <w:rPr>
          <w:rFonts w:ascii="Arial" w:hAnsi="Arial" w:cs="Arial"/>
        </w:rPr>
        <w:t>) :</w:t>
      </w:r>
      <w:proofErr w:type="gramEnd"/>
      <w:r w:rsidRPr="00AC0B37">
        <w:rPr>
          <w:rFonts w:ascii="Arial" w:hAnsi="Arial" w:cs="Arial"/>
        </w:rPr>
        <w:t xml:space="preserve"> </w:t>
      </w:r>
      <w:r w:rsidR="00AC0B37" w:rsidRPr="00AC0B37">
        <w:rPr>
          <w:rFonts w:ascii="Arial" w:hAnsi="Arial" w:cs="Arial"/>
        </w:rPr>
        <w:t>Total heat transfer through the entire fa</w:t>
      </w:r>
      <w:r w:rsidR="003D128C">
        <w:rPr>
          <w:rFonts w:ascii="Arial" w:hAnsi="Arial" w:cs="Arial"/>
        </w:rPr>
        <w:t>c</w:t>
      </w:r>
      <w:r w:rsidR="00AC0B37" w:rsidRPr="00AC0B37">
        <w:rPr>
          <w:rFonts w:ascii="Arial" w:hAnsi="Arial" w:cs="Arial"/>
        </w:rPr>
        <w:t>ade panel under analysis.</w:t>
      </w:r>
    </w:p>
    <w:p w14:paraId="51160C8D" w14:textId="77777777" w:rsidR="004434C6" w:rsidRDefault="007A4F5D" w:rsidP="00D03AD0">
      <w:pPr>
        <w:pStyle w:val="Body"/>
        <w:numPr>
          <w:ilvl w:val="0"/>
          <w:numId w:val="31"/>
        </w:numPr>
        <w:spacing w:after="0"/>
        <w:rPr>
          <w:rFonts w:ascii="Arial" w:hAnsi="Arial" w:cs="Arial"/>
        </w:rPr>
      </w:pPr>
      <m:oMath>
        <m:sSub>
          <m:sSubPr>
            <m:ctrlPr>
              <w:rPr>
                <w:rFonts w:ascii="Cambria Math" w:hAnsi="Cambria Math" w:cs="Arial"/>
              </w:rPr>
            </m:ctrlPr>
          </m:sSubPr>
          <m:e>
            <m:r>
              <m:rPr>
                <m:sty m:val="p"/>
              </m:rPr>
              <w:rPr>
                <w:rFonts w:ascii="Cambria Math" w:hAnsi="Cambria Math" w:cs="Arial"/>
              </w:rPr>
              <m:t>ΔT</m:t>
            </m:r>
          </m:e>
          <m:sub>
            <m:r>
              <w:rPr>
                <w:rFonts w:ascii="Cambria Math" w:hAnsi="Cambria Math" w:cs="Arial"/>
              </w:rPr>
              <m:t>clad</m:t>
            </m:r>
          </m:sub>
        </m:sSub>
      </m:oMath>
      <w:r w:rsidR="009A60A2" w:rsidRPr="004434C6">
        <w:rPr>
          <w:rFonts w:ascii="Arial" w:hAnsi="Arial" w:cs="Arial"/>
        </w:rPr>
        <w:t xml:space="preserve"> </w:t>
      </w:r>
      <w:proofErr w:type="gramStart"/>
      <w:r w:rsidR="009A60A2" w:rsidRPr="004434C6">
        <w:rPr>
          <w:rFonts w:ascii="Arial" w:hAnsi="Arial" w:cs="Arial"/>
        </w:rPr>
        <w:t>(K) :</w:t>
      </w:r>
      <w:proofErr w:type="gramEnd"/>
      <w:r w:rsidR="009A60A2" w:rsidRPr="004434C6">
        <w:rPr>
          <w:rFonts w:ascii="Arial" w:hAnsi="Arial" w:cs="Arial"/>
        </w:rPr>
        <w:t xml:space="preserve"> </w:t>
      </w:r>
      <w:r w:rsidR="004434C6" w:rsidRPr="004434C6">
        <w:rPr>
          <w:rFonts w:ascii="Arial" w:hAnsi="Arial" w:cs="Arial"/>
        </w:rPr>
        <w:t>Temperature drop occurring exclusively across the exterior cladding.</w:t>
      </w:r>
    </w:p>
    <w:p w14:paraId="79AAA04D" w14:textId="77777777" w:rsidR="004434C6" w:rsidRDefault="007A4F5D" w:rsidP="00DF217C">
      <w:pPr>
        <w:pStyle w:val="Body"/>
        <w:numPr>
          <w:ilvl w:val="0"/>
          <w:numId w:val="31"/>
        </w:numPr>
        <w:spacing w:after="0"/>
        <w:rPr>
          <w:rFonts w:ascii="Arial" w:hAnsi="Arial" w:cs="Arial"/>
        </w:rPr>
      </w:pPr>
      <m:oMath>
        <m:sSub>
          <m:sSubPr>
            <m:ctrlPr>
              <w:rPr>
                <w:rFonts w:ascii="Cambria Math" w:hAnsi="Cambria Math" w:cs="Arial"/>
              </w:rPr>
            </m:ctrlPr>
          </m:sSubPr>
          <m:e>
            <m:r>
              <m:rPr>
                <m:sty m:val="p"/>
              </m:rPr>
              <w:rPr>
                <w:rFonts w:ascii="Cambria Math" w:hAnsi="Cambria Math" w:cs="Arial"/>
              </w:rPr>
              <m:t>ΔT</m:t>
            </m:r>
          </m:e>
          <m:sub>
            <m:r>
              <w:rPr>
                <w:rFonts w:ascii="Cambria Math" w:hAnsi="Cambria Math" w:cs="Arial"/>
              </w:rPr>
              <m:t>cav</m:t>
            </m:r>
          </m:sub>
        </m:sSub>
      </m:oMath>
      <w:r w:rsidR="009A60A2" w:rsidRPr="004434C6">
        <w:rPr>
          <w:rFonts w:ascii="Arial" w:hAnsi="Arial" w:cs="Arial"/>
        </w:rPr>
        <w:t xml:space="preserve"> </w:t>
      </w:r>
      <w:proofErr w:type="gramStart"/>
      <w:r w:rsidR="009A60A2" w:rsidRPr="004434C6">
        <w:rPr>
          <w:rFonts w:ascii="Arial" w:hAnsi="Arial" w:cs="Arial"/>
        </w:rPr>
        <w:t>(K) :</w:t>
      </w:r>
      <w:proofErr w:type="gramEnd"/>
      <w:r w:rsidR="009A60A2" w:rsidRPr="004434C6">
        <w:rPr>
          <w:rFonts w:ascii="Arial" w:hAnsi="Arial" w:cs="Arial"/>
        </w:rPr>
        <w:t xml:space="preserve"> </w:t>
      </w:r>
      <w:r w:rsidR="004434C6" w:rsidRPr="004434C6">
        <w:rPr>
          <w:rFonts w:ascii="Arial" w:hAnsi="Arial" w:cs="Arial"/>
        </w:rPr>
        <w:t>Temperature drop within the ventilated cavity.</w:t>
      </w:r>
    </w:p>
    <w:p w14:paraId="0971DB3E" w14:textId="668AE61C" w:rsidR="009A60A2" w:rsidRPr="004434C6" w:rsidRDefault="007A4F5D" w:rsidP="00DF217C">
      <w:pPr>
        <w:pStyle w:val="Body"/>
        <w:numPr>
          <w:ilvl w:val="0"/>
          <w:numId w:val="31"/>
        </w:numPr>
        <w:spacing w:after="0"/>
        <w:rPr>
          <w:rFonts w:ascii="Arial" w:hAnsi="Arial" w:cs="Arial"/>
        </w:rPr>
      </w:pPr>
      <m:oMath>
        <m:sSub>
          <m:sSubPr>
            <m:ctrlPr>
              <w:rPr>
                <w:rFonts w:ascii="Cambria Math" w:hAnsi="Cambria Math" w:cs="Arial"/>
              </w:rPr>
            </m:ctrlPr>
          </m:sSubPr>
          <m:e>
            <m:r>
              <m:rPr>
                <m:sty m:val="p"/>
              </m:rPr>
              <w:rPr>
                <w:rFonts w:ascii="Cambria Math" w:hAnsi="Cambria Math" w:cs="Arial"/>
              </w:rPr>
              <m:t>ΔT</m:t>
            </m:r>
          </m:e>
          <m:sub>
            <m:r>
              <w:rPr>
                <w:rFonts w:ascii="Cambria Math" w:hAnsi="Cambria Math" w:cs="Arial"/>
              </w:rPr>
              <m:t>suf</m:t>
            </m:r>
            <m:r>
              <m:rPr>
                <m:sty m:val="p"/>
              </m:rPr>
              <w:rPr>
                <w:rFonts w:ascii="Cambria Math" w:hAnsi="Cambria Math" w:cs="Arial"/>
              </w:rPr>
              <m:t>-</m:t>
            </m:r>
            <m:r>
              <w:rPr>
                <w:rFonts w:ascii="Cambria Math" w:hAnsi="Cambria Math" w:cs="Arial"/>
              </w:rPr>
              <m:t>Out</m:t>
            </m:r>
          </m:sub>
        </m:sSub>
      </m:oMath>
      <w:r w:rsidR="009A60A2" w:rsidRPr="004434C6">
        <w:rPr>
          <w:rFonts w:ascii="Arial" w:hAnsi="Arial" w:cs="Arial"/>
        </w:rPr>
        <w:t xml:space="preserve"> (°C</w:t>
      </w:r>
      <w:proofErr w:type="gramStart"/>
      <w:r w:rsidR="009A60A2" w:rsidRPr="004434C6">
        <w:rPr>
          <w:rFonts w:ascii="Arial" w:hAnsi="Arial" w:cs="Arial"/>
        </w:rPr>
        <w:t>) :</w:t>
      </w:r>
      <w:proofErr w:type="gramEnd"/>
      <w:r w:rsidR="009A60A2" w:rsidRPr="004434C6">
        <w:rPr>
          <w:rFonts w:ascii="Arial" w:hAnsi="Arial" w:cs="Arial"/>
        </w:rPr>
        <w:t xml:space="preserve"> </w:t>
      </w:r>
      <w:r w:rsidR="00AC0B37" w:rsidRPr="004434C6">
        <w:rPr>
          <w:rFonts w:ascii="Arial" w:hAnsi="Arial" w:cs="Arial"/>
        </w:rPr>
        <w:t>Temperature of the exterior surface of the cladding after accounting for external convection.</w:t>
      </w:r>
    </w:p>
    <w:p w14:paraId="74334C25" w14:textId="5B624D18" w:rsidR="009A60A2" w:rsidRPr="00AC0B37" w:rsidRDefault="007A4F5D" w:rsidP="00BA7872">
      <w:pPr>
        <w:pStyle w:val="Body"/>
        <w:numPr>
          <w:ilvl w:val="0"/>
          <w:numId w:val="31"/>
        </w:numPr>
        <w:spacing w:after="0"/>
        <w:rPr>
          <w:rFonts w:ascii="Arial" w:hAnsi="Arial" w:cs="Arial"/>
        </w:rPr>
      </w:pPr>
      <m:oMath>
        <m:sSub>
          <m:sSubPr>
            <m:ctrlPr>
              <w:rPr>
                <w:rFonts w:ascii="Cambria Math" w:hAnsi="Cambria Math" w:cs="Arial"/>
              </w:rPr>
            </m:ctrlPr>
          </m:sSubPr>
          <m:e>
            <m:r>
              <m:rPr>
                <m:sty m:val="p"/>
              </m:rPr>
              <w:rPr>
                <w:rFonts w:ascii="Cambria Math" w:hAnsi="Cambria Math" w:cs="Arial"/>
              </w:rPr>
              <m:t>ΔT</m:t>
            </m:r>
          </m:e>
          <m:sub>
            <m:r>
              <w:rPr>
                <w:rFonts w:ascii="Cambria Math" w:hAnsi="Cambria Math" w:cs="Arial"/>
              </w:rPr>
              <m:t>aft</m:t>
            </m:r>
            <m:r>
              <m:rPr>
                <m:sty m:val="p"/>
              </m:rPr>
              <w:rPr>
                <w:rFonts w:ascii="Cambria Math" w:hAnsi="Cambria Math" w:cs="Arial"/>
              </w:rPr>
              <m:t>-</m:t>
            </m:r>
            <m:r>
              <w:rPr>
                <w:rFonts w:ascii="Cambria Math" w:hAnsi="Cambria Math" w:cs="Arial"/>
              </w:rPr>
              <m:t>Clad</m:t>
            </m:r>
          </m:sub>
        </m:sSub>
        <m:r>
          <m:rPr>
            <m:sty m:val="p"/>
          </m:rPr>
          <w:rPr>
            <w:rFonts w:ascii="Cambria Math" w:hAnsi="Cambria Math" w:cs="Arial"/>
          </w:rPr>
          <m:t xml:space="preserve"> </m:t>
        </m:r>
      </m:oMath>
      <w:r w:rsidR="009A60A2" w:rsidRPr="00AC0B37">
        <w:rPr>
          <w:rFonts w:ascii="Arial" w:hAnsi="Arial" w:cs="Arial"/>
        </w:rPr>
        <w:t xml:space="preserve"> (°C</w:t>
      </w:r>
      <w:proofErr w:type="gramStart"/>
      <w:r w:rsidR="009A60A2" w:rsidRPr="00AC0B37">
        <w:rPr>
          <w:rFonts w:ascii="Arial" w:hAnsi="Arial" w:cs="Arial"/>
        </w:rPr>
        <w:t>) :</w:t>
      </w:r>
      <w:proofErr w:type="gramEnd"/>
      <w:r w:rsidR="00B055A7" w:rsidRPr="00AC0B37">
        <w:rPr>
          <w:rFonts w:ascii="Arial" w:hAnsi="Arial" w:cs="Arial"/>
        </w:rPr>
        <w:t xml:space="preserve"> </w:t>
      </w:r>
      <w:r w:rsidR="00AC0B37" w:rsidRPr="00AC0B37">
        <w:rPr>
          <w:rFonts w:ascii="Arial" w:hAnsi="Arial" w:cs="Arial"/>
        </w:rPr>
        <w:t>Temperature after passing through the exterior cladding, before entering the cavity</w:t>
      </w:r>
      <w:r w:rsidR="00B055A7" w:rsidRPr="00AC0B37">
        <w:rPr>
          <w:rFonts w:ascii="Arial" w:hAnsi="Arial" w:cs="Arial"/>
        </w:rPr>
        <w:t>.</w:t>
      </w:r>
    </w:p>
    <w:p w14:paraId="465569DF" w14:textId="0C8C0FCF" w:rsidR="00B055A7" w:rsidRPr="009A60A2" w:rsidRDefault="007A4F5D" w:rsidP="00BA7872">
      <w:pPr>
        <w:pStyle w:val="Body"/>
        <w:numPr>
          <w:ilvl w:val="0"/>
          <w:numId w:val="31"/>
        </w:numPr>
        <w:spacing w:after="0"/>
        <w:rPr>
          <w:rFonts w:ascii="Arial" w:hAnsi="Arial" w:cs="Arial"/>
        </w:rPr>
      </w:pPr>
      <m:oMath>
        <m:sSub>
          <m:sSubPr>
            <m:ctrlPr>
              <w:rPr>
                <w:rFonts w:ascii="Cambria Math" w:hAnsi="Cambria Math" w:cs="Arial"/>
              </w:rPr>
            </m:ctrlPr>
          </m:sSubPr>
          <m:e>
            <m:r>
              <m:rPr>
                <m:sty m:val="p"/>
              </m:rPr>
              <w:rPr>
                <w:rFonts w:ascii="Cambria Math" w:hAnsi="Cambria Math" w:cs="Arial"/>
              </w:rPr>
              <m:t>ΔT</m:t>
            </m:r>
          </m:e>
          <m:sub>
            <m:r>
              <w:rPr>
                <w:rFonts w:ascii="Cambria Math" w:hAnsi="Cambria Math" w:cs="Arial"/>
              </w:rPr>
              <m:t>aft</m:t>
            </m:r>
            <m:r>
              <m:rPr>
                <m:sty m:val="p"/>
              </m:rPr>
              <w:rPr>
                <w:rFonts w:ascii="Cambria Math" w:hAnsi="Cambria Math" w:cs="Arial"/>
              </w:rPr>
              <m:t>-</m:t>
            </m:r>
            <m:r>
              <w:rPr>
                <w:rFonts w:ascii="Cambria Math" w:hAnsi="Cambria Math" w:cs="Arial"/>
              </w:rPr>
              <m:t>Cav</m:t>
            </m:r>
          </m:sub>
        </m:sSub>
        <m:r>
          <m:rPr>
            <m:sty m:val="p"/>
          </m:rPr>
          <w:rPr>
            <w:rFonts w:ascii="Cambria Math" w:hAnsi="Cambria Math" w:cs="Arial"/>
          </w:rPr>
          <m:t xml:space="preserve"> </m:t>
        </m:r>
      </m:oMath>
      <w:r w:rsidR="00B055A7" w:rsidRPr="00AC0B37">
        <w:rPr>
          <w:rFonts w:ascii="Arial" w:hAnsi="Arial" w:cs="Arial"/>
        </w:rPr>
        <w:t xml:space="preserve"> (°C</w:t>
      </w:r>
      <w:proofErr w:type="gramStart"/>
      <w:r w:rsidR="00B055A7" w:rsidRPr="00AC0B37">
        <w:rPr>
          <w:rFonts w:ascii="Arial" w:hAnsi="Arial" w:cs="Arial"/>
        </w:rPr>
        <w:t>) :</w:t>
      </w:r>
      <w:proofErr w:type="gramEnd"/>
      <w:r w:rsidR="00B055A7" w:rsidRPr="00AC0B37">
        <w:rPr>
          <w:rFonts w:ascii="Arial" w:hAnsi="Arial" w:cs="Arial"/>
        </w:rPr>
        <w:t xml:space="preserve"> </w:t>
      </w:r>
      <w:r w:rsidR="00AC0B37" w:rsidRPr="00AC0B37">
        <w:rPr>
          <w:rFonts w:ascii="Arial" w:hAnsi="Arial" w:cs="Arial"/>
        </w:rPr>
        <w:t>Temperature after the ventilated cavity (before reaching the insulation and interior wall).</w:t>
      </w:r>
    </w:p>
    <w:p w14:paraId="5177CA44" w14:textId="77777777" w:rsidR="00F019C0" w:rsidRDefault="00F019C0" w:rsidP="00441B6F">
      <w:pPr>
        <w:pStyle w:val="Body"/>
        <w:spacing w:after="0"/>
        <w:rPr>
          <w:rFonts w:ascii="Arial" w:hAnsi="Arial" w:cs="Arial"/>
        </w:rPr>
        <w:sectPr w:rsidR="00F019C0" w:rsidSect="00C633BB">
          <w:pgSz w:w="15840" w:h="12240" w:orient="landscape"/>
          <w:pgMar w:top="2016" w:right="1440" w:bottom="2016" w:left="2016" w:header="720" w:footer="1123" w:gutter="0"/>
          <w:cols w:space="720"/>
          <w:docGrid w:linePitch="272"/>
        </w:sectPr>
      </w:pPr>
    </w:p>
    <w:p w14:paraId="58650C63"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3799291A" w14:textId="77777777" w:rsidR="00790ADA" w:rsidRPr="00FB3A86" w:rsidRDefault="00790ADA" w:rsidP="00441B6F">
      <w:pPr>
        <w:pStyle w:val="ConcHead"/>
        <w:spacing w:after="0"/>
        <w:jc w:val="both"/>
        <w:rPr>
          <w:rFonts w:ascii="Arial" w:hAnsi="Arial" w:cs="Arial"/>
        </w:rPr>
      </w:pPr>
    </w:p>
    <w:p w14:paraId="679B5638" w14:textId="42B1A535" w:rsidR="00344E1E" w:rsidRDefault="00AC0B37" w:rsidP="00441B6F">
      <w:pPr>
        <w:pStyle w:val="Body"/>
        <w:spacing w:after="0"/>
        <w:rPr>
          <w:rFonts w:ascii="Arial" w:hAnsi="Arial" w:cs="Arial"/>
        </w:rPr>
      </w:pPr>
      <w:r w:rsidRPr="00AC0B37">
        <w:rPr>
          <w:rFonts w:ascii="Arial" w:hAnsi="Arial" w:cs="Arial"/>
        </w:rPr>
        <w:t>The simplified thermal analysis using the series</w:t>
      </w:r>
      <w:r w:rsidRPr="00AC0B37">
        <w:rPr>
          <w:rFonts w:ascii="Cambria Math" w:hAnsi="Cambria Math" w:cs="Cambria Math"/>
        </w:rPr>
        <w:t>‐</w:t>
      </w:r>
      <w:r w:rsidRPr="00AC0B37">
        <w:rPr>
          <w:rFonts w:ascii="Arial" w:hAnsi="Arial" w:cs="Arial"/>
        </w:rPr>
        <w:t>resistance model enabled a consistent comparison of six ventilated fa</w:t>
      </w:r>
      <w:r w:rsidR="003D128C">
        <w:rPr>
          <w:rFonts w:ascii="Arial" w:hAnsi="Arial" w:cs="Arial"/>
        </w:rPr>
        <w:t>c</w:t>
      </w:r>
      <w:r w:rsidRPr="00AC0B37">
        <w:rPr>
          <w:rFonts w:ascii="Arial" w:hAnsi="Arial" w:cs="Arial"/>
        </w:rPr>
        <w:t>ade configurations, derived from the combination of three cladding materials and two ventilated cavity depths under conditions representative of a warm–semi-arid climate.</w:t>
      </w:r>
    </w:p>
    <w:p w14:paraId="7AD197C7" w14:textId="77777777" w:rsidR="00AC0B37" w:rsidRDefault="00AC0B37" w:rsidP="00441B6F">
      <w:pPr>
        <w:pStyle w:val="Body"/>
        <w:spacing w:after="0"/>
      </w:pPr>
    </w:p>
    <w:p w14:paraId="66D4A8E1" w14:textId="028EE27D" w:rsidR="00344E1E" w:rsidRDefault="00AC0B37" w:rsidP="00441B6F">
      <w:pPr>
        <w:pStyle w:val="Body"/>
        <w:spacing w:after="0"/>
      </w:pPr>
      <w:r w:rsidRPr="00AC0B37">
        <w:t>The results indicate that the heat flux entering the interior remains within a narrow range of 7.91 to 8.32 W/m², with moderate variations primarily attributable to differences in convection within the cavity and, to a lesser extent, to the thermal properties of the exterior cladding.</w:t>
      </w:r>
    </w:p>
    <w:p w14:paraId="0387D02A" w14:textId="77777777" w:rsidR="00AC0B37" w:rsidRDefault="00AC0B37" w:rsidP="00441B6F">
      <w:pPr>
        <w:pStyle w:val="Body"/>
        <w:spacing w:after="0"/>
      </w:pPr>
    </w:p>
    <w:p w14:paraId="67B8FC76" w14:textId="2932E541" w:rsidR="00344E1E" w:rsidRDefault="00AC0B37" w:rsidP="00441B6F">
      <w:pPr>
        <w:pStyle w:val="Body"/>
        <w:spacing w:after="0"/>
        <w:rPr>
          <w:rFonts w:ascii="Arial" w:hAnsi="Arial" w:cs="Arial"/>
        </w:rPr>
      </w:pPr>
      <w:r w:rsidRPr="00AC0B37">
        <w:rPr>
          <w:rFonts w:ascii="Arial" w:hAnsi="Arial" w:cs="Arial"/>
        </w:rPr>
        <w:t>The temperature drop across the cladding layer is minimal due to its small thickness, whereas the ventilated cavity contributes a more significant reduction, confirming its role as a passive element capable of partially attenuating the thermal load on the envelope. The dominance of the insulation layer in the total thermal resistance explains the similarity among configurations, indicating that—under a steady-state approach—the selection of the exterior skin material has a limited influence on the direct heat flux.</w:t>
      </w:r>
    </w:p>
    <w:p w14:paraId="17EB1ACA" w14:textId="77777777" w:rsidR="00AC0B37" w:rsidRDefault="00AC0B37" w:rsidP="00441B6F">
      <w:pPr>
        <w:pStyle w:val="Body"/>
        <w:spacing w:after="0"/>
        <w:rPr>
          <w:rFonts w:ascii="Arial" w:hAnsi="Arial" w:cs="Arial"/>
        </w:rPr>
      </w:pPr>
    </w:p>
    <w:p w14:paraId="6FB51A75" w14:textId="23CC176C" w:rsidR="00344E1E" w:rsidRDefault="00AC0B37" w:rsidP="00441B6F">
      <w:pPr>
        <w:pStyle w:val="Body"/>
        <w:spacing w:after="0"/>
        <w:rPr>
          <w:rFonts w:ascii="Arial" w:hAnsi="Arial" w:cs="Arial"/>
        </w:rPr>
      </w:pPr>
      <w:r w:rsidRPr="00AC0B37">
        <w:rPr>
          <w:rFonts w:ascii="Arial" w:hAnsi="Arial" w:cs="Arial"/>
        </w:rPr>
        <w:t>Overall, this study establishes a clear methodological basis for comparing preliminary design alternatives and provides quantitative insights to support decision-making in the design of ventilated fa</w:t>
      </w:r>
      <w:r>
        <w:rPr>
          <w:rFonts w:ascii="Arial" w:hAnsi="Arial" w:cs="Arial"/>
        </w:rPr>
        <w:t>c</w:t>
      </w:r>
      <w:r w:rsidRPr="00AC0B37">
        <w:rPr>
          <w:rFonts w:ascii="Arial" w:hAnsi="Arial" w:cs="Arial"/>
        </w:rPr>
        <w:t>ades in warm–semi-arid climates.</w:t>
      </w:r>
    </w:p>
    <w:p w14:paraId="5CB8AC32" w14:textId="77777777" w:rsidR="00694AB5" w:rsidRDefault="00694AB5" w:rsidP="00344E1E">
      <w:pPr>
        <w:pStyle w:val="ReferHead"/>
        <w:jc w:val="both"/>
        <w:rPr>
          <w:rFonts w:ascii="Arial" w:hAnsi="Arial" w:cs="Arial"/>
          <w:b w:val="0"/>
          <w:caps w:val="0"/>
          <w:sz w:val="20"/>
        </w:rPr>
      </w:pPr>
      <w:bookmarkStart w:id="4" w:name="_GoBack"/>
      <w:bookmarkEnd w:id="4"/>
    </w:p>
    <w:p w14:paraId="5054618A" w14:textId="77777777" w:rsidR="00694AB5" w:rsidRPr="00694AB5" w:rsidRDefault="00694AB5" w:rsidP="00694AB5">
      <w:pPr>
        <w:pStyle w:val="ReferHead"/>
        <w:jc w:val="both"/>
        <w:rPr>
          <w:rFonts w:ascii="Arial" w:hAnsi="Arial" w:cs="Arial"/>
          <w:b w:val="0"/>
          <w:caps w:val="0"/>
          <w:sz w:val="20"/>
        </w:rPr>
      </w:pPr>
      <w:r w:rsidRPr="00694AB5">
        <w:rPr>
          <w:rFonts w:ascii="Arial" w:hAnsi="Arial" w:cs="Arial"/>
          <w:b w:val="0"/>
          <w:caps w:val="0"/>
          <w:sz w:val="20"/>
        </w:rPr>
        <w:t>COMPETING INTERESTS DISCLAIMER:</w:t>
      </w:r>
    </w:p>
    <w:p w14:paraId="74AD996E" w14:textId="502ED528" w:rsidR="00694AB5" w:rsidRDefault="00694AB5" w:rsidP="00694AB5">
      <w:pPr>
        <w:pStyle w:val="ReferHead"/>
        <w:jc w:val="both"/>
        <w:rPr>
          <w:rFonts w:ascii="Arial" w:hAnsi="Arial" w:cs="Arial"/>
          <w:b w:val="0"/>
          <w:caps w:val="0"/>
          <w:sz w:val="20"/>
        </w:rPr>
      </w:pPr>
      <w:r w:rsidRPr="00694AB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D894F7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7BB410E" w14:textId="77777777" w:rsidR="00790ADA" w:rsidRPr="00FB3A86" w:rsidRDefault="00790ADA" w:rsidP="00441B6F">
      <w:pPr>
        <w:pStyle w:val="ReferHead"/>
        <w:spacing w:after="0"/>
        <w:jc w:val="both"/>
        <w:rPr>
          <w:rFonts w:ascii="Arial" w:hAnsi="Arial" w:cs="Arial"/>
        </w:rPr>
      </w:pPr>
    </w:p>
    <w:p w14:paraId="38FA5340" w14:textId="77777777" w:rsidR="00C856F8" w:rsidRDefault="00C856F8" w:rsidP="008738B9">
      <w:pPr>
        <w:pStyle w:val="Body"/>
      </w:pPr>
      <w:proofErr w:type="spellStart"/>
      <w:r w:rsidRPr="00C856F8">
        <w:t>Andreeva</w:t>
      </w:r>
      <w:proofErr w:type="spellEnd"/>
      <w:r w:rsidRPr="00C856F8">
        <w:t xml:space="preserve">, D., </w:t>
      </w:r>
      <w:proofErr w:type="spellStart"/>
      <w:r w:rsidRPr="00C856F8">
        <w:t>Nemova</w:t>
      </w:r>
      <w:proofErr w:type="spellEnd"/>
      <w:r w:rsidRPr="00C856F8">
        <w:t xml:space="preserve">, D., &amp; </w:t>
      </w:r>
      <w:proofErr w:type="spellStart"/>
      <w:r w:rsidRPr="00C856F8">
        <w:t>Kotov</w:t>
      </w:r>
      <w:proofErr w:type="spellEnd"/>
      <w:r w:rsidRPr="00C856F8">
        <w:t xml:space="preserve">, E. (2022). Multi-skin adaptive ventilated facade: A review. Energies, 15(9), Article 3447. </w:t>
      </w:r>
      <w:hyperlink r:id="rId25" w:history="1">
        <w:r w:rsidRPr="0076019A">
          <w:rPr>
            <w:rStyle w:val="Hyperlink"/>
          </w:rPr>
          <w:t>https://doi.org/10.3390/en15093447</w:t>
        </w:r>
      </w:hyperlink>
      <w:r>
        <w:t xml:space="preserve"> </w:t>
      </w:r>
    </w:p>
    <w:p w14:paraId="0D414563" w14:textId="77777777" w:rsidR="00C856F8" w:rsidRDefault="00C856F8" w:rsidP="008738B9">
      <w:pPr>
        <w:pStyle w:val="Body"/>
      </w:pPr>
      <w:r w:rsidRPr="00C856F8">
        <w:t xml:space="preserve">Aparicio-Fernández, C., </w:t>
      </w:r>
      <w:proofErr w:type="spellStart"/>
      <w:r w:rsidRPr="00C856F8">
        <w:t>Vivancos</w:t>
      </w:r>
      <w:proofErr w:type="spellEnd"/>
      <w:r w:rsidRPr="00C856F8">
        <w:t>, J.-L., Ferrer-</w:t>
      </w:r>
      <w:proofErr w:type="spellStart"/>
      <w:r w:rsidRPr="00C856F8">
        <w:t>Gisbert</w:t>
      </w:r>
      <w:proofErr w:type="spellEnd"/>
      <w:r w:rsidRPr="00C856F8">
        <w:t xml:space="preserve">, P., &amp; </w:t>
      </w:r>
      <w:proofErr w:type="spellStart"/>
      <w:r w:rsidRPr="00C856F8">
        <w:t>Royo</w:t>
      </w:r>
      <w:proofErr w:type="spellEnd"/>
      <w:r w:rsidRPr="00C856F8">
        <w:t xml:space="preserve">-Pastor, R. (2014). Energy performance of a ventilated façade by simulation with experimental validation. Applied Thermal Engineering, 66(1–2), 563–570. </w:t>
      </w:r>
      <w:hyperlink r:id="rId26" w:history="1">
        <w:r w:rsidRPr="0076019A">
          <w:rPr>
            <w:rStyle w:val="Hyperlink"/>
          </w:rPr>
          <w:t>https://doi.org/10.1016/j.applthermaleng.2014.02.041</w:t>
        </w:r>
      </w:hyperlink>
      <w:r>
        <w:t xml:space="preserve"> </w:t>
      </w:r>
    </w:p>
    <w:p w14:paraId="5651CE31" w14:textId="77777777" w:rsidR="00C856F8" w:rsidRDefault="00C856F8" w:rsidP="008738B9">
      <w:pPr>
        <w:pStyle w:val="Body"/>
      </w:pPr>
      <w:proofErr w:type="spellStart"/>
      <w:r w:rsidRPr="00C856F8">
        <w:t>Azkorra</w:t>
      </w:r>
      <w:proofErr w:type="spellEnd"/>
      <w:r w:rsidRPr="00C856F8">
        <w:t xml:space="preserve">-Larrinaga, Z., Romero-Antón, N., Martín-Escudero, K., Lopez-Ruiz, G., &amp; </w:t>
      </w:r>
      <w:proofErr w:type="spellStart"/>
      <w:r w:rsidRPr="00C856F8">
        <w:t>Giraldo</w:t>
      </w:r>
      <w:proofErr w:type="spellEnd"/>
      <w:r w:rsidRPr="00C856F8">
        <w:t xml:space="preserve">-Soto, C. (2023). Evaluation of the thermal performance of two passive facade system solutions for sustainable development. Sustainability, 15(24), Article 16737. </w:t>
      </w:r>
      <w:hyperlink r:id="rId27" w:history="1">
        <w:r w:rsidRPr="0076019A">
          <w:rPr>
            <w:rStyle w:val="Hyperlink"/>
          </w:rPr>
          <w:t>https://doi.org/10.3390/su152416737</w:t>
        </w:r>
      </w:hyperlink>
      <w:r>
        <w:t xml:space="preserve"> </w:t>
      </w:r>
    </w:p>
    <w:p w14:paraId="0628904B" w14:textId="77777777" w:rsidR="00C856F8" w:rsidRDefault="00C856F8" w:rsidP="008738B9">
      <w:pPr>
        <w:pStyle w:val="Body"/>
      </w:pPr>
      <w:proofErr w:type="spellStart"/>
      <w:r w:rsidRPr="00C856F8">
        <w:t>Colinart</w:t>
      </w:r>
      <w:proofErr w:type="spellEnd"/>
      <w:r w:rsidRPr="00C856F8">
        <w:t xml:space="preserve">, T., </w:t>
      </w:r>
      <w:proofErr w:type="spellStart"/>
      <w:r w:rsidRPr="00C856F8">
        <w:t>Bendouma</w:t>
      </w:r>
      <w:proofErr w:type="spellEnd"/>
      <w:r w:rsidRPr="00C856F8">
        <w:t xml:space="preserve">, M., &amp; </w:t>
      </w:r>
      <w:proofErr w:type="spellStart"/>
      <w:r w:rsidRPr="00C856F8">
        <w:t>Glouannec</w:t>
      </w:r>
      <w:proofErr w:type="spellEnd"/>
      <w:r w:rsidRPr="00C856F8">
        <w:t xml:space="preserve">, P. (2019). Building renovation with prefabricated ventilated façade element: A case study. Energy and Buildings, 186, 221–235. </w:t>
      </w:r>
      <w:hyperlink r:id="rId28" w:history="1">
        <w:r w:rsidRPr="0076019A">
          <w:rPr>
            <w:rStyle w:val="Hyperlink"/>
          </w:rPr>
          <w:t>https://doi.org/10.1016/j.enbuild.2019.01.033</w:t>
        </w:r>
      </w:hyperlink>
      <w:r>
        <w:t xml:space="preserve"> </w:t>
      </w:r>
    </w:p>
    <w:p w14:paraId="2D21C53F" w14:textId="77777777" w:rsidR="00C856F8" w:rsidRDefault="00C856F8" w:rsidP="008738B9">
      <w:pPr>
        <w:pStyle w:val="Body"/>
      </w:pPr>
      <w:proofErr w:type="spellStart"/>
      <w:r w:rsidRPr="00C856F8">
        <w:t>Cuce</w:t>
      </w:r>
      <w:proofErr w:type="spellEnd"/>
      <w:r w:rsidRPr="00C856F8">
        <w:t xml:space="preserve">, P. M., &amp; </w:t>
      </w:r>
      <w:proofErr w:type="spellStart"/>
      <w:r w:rsidRPr="00C856F8">
        <w:t>Cuce</w:t>
      </w:r>
      <w:proofErr w:type="spellEnd"/>
      <w:r w:rsidRPr="00C856F8">
        <w:t xml:space="preserve">, E. (2025). Ventilated facades for low-carbon buildings: A review. Processes, 13(7), Article 2275. </w:t>
      </w:r>
      <w:hyperlink r:id="rId29" w:history="1">
        <w:r w:rsidRPr="0076019A">
          <w:rPr>
            <w:rStyle w:val="Hyperlink"/>
          </w:rPr>
          <w:t>https://doi.org/10.3390/pr13072275</w:t>
        </w:r>
      </w:hyperlink>
      <w:r>
        <w:t xml:space="preserve"> </w:t>
      </w:r>
    </w:p>
    <w:p w14:paraId="6B08848A" w14:textId="77777777" w:rsidR="00C856F8" w:rsidRDefault="00C856F8" w:rsidP="008738B9">
      <w:pPr>
        <w:pStyle w:val="Body"/>
      </w:pPr>
      <w:r w:rsidRPr="00C856F8">
        <w:t xml:space="preserve">De </w:t>
      </w:r>
      <w:proofErr w:type="spellStart"/>
      <w:r w:rsidRPr="00C856F8">
        <w:t>Gracia</w:t>
      </w:r>
      <w:proofErr w:type="spellEnd"/>
      <w:r w:rsidRPr="00C856F8">
        <w:t xml:space="preserve">, A., Castell, A., Navarro, L., </w:t>
      </w:r>
      <w:proofErr w:type="spellStart"/>
      <w:r w:rsidRPr="00C856F8">
        <w:t>Oró</w:t>
      </w:r>
      <w:proofErr w:type="spellEnd"/>
      <w:r w:rsidRPr="00C856F8">
        <w:t xml:space="preserve">, E., &amp; Cabeza, L. F. (2013). Numerical modelling of ventilated facades: A review. Renewable and Sustainable Energy Reviews, 22, 539–549. </w:t>
      </w:r>
      <w:hyperlink r:id="rId30" w:history="1">
        <w:r w:rsidRPr="0076019A">
          <w:rPr>
            <w:rStyle w:val="Hyperlink"/>
          </w:rPr>
          <w:t>https://doi.org/10.1016/j.rser.2013.02.029</w:t>
        </w:r>
      </w:hyperlink>
      <w:r>
        <w:t xml:space="preserve"> </w:t>
      </w:r>
    </w:p>
    <w:p w14:paraId="15974F59" w14:textId="77777777" w:rsidR="00C856F8" w:rsidRDefault="00C856F8" w:rsidP="008738B9">
      <w:pPr>
        <w:pStyle w:val="Body"/>
      </w:pPr>
      <w:r w:rsidRPr="00C856F8">
        <w:t xml:space="preserve">El </w:t>
      </w:r>
      <w:proofErr w:type="spellStart"/>
      <w:r w:rsidRPr="00C856F8">
        <w:t>Dallal</w:t>
      </w:r>
      <w:proofErr w:type="spellEnd"/>
      <w:r w:rsidRPr="00C856F8">
        <w:t>, I. S., Abdel-</w:t>
      </w:r>
      <w:proofErr w:type="spellStart"/>
      <w:r w:rsidRPr="00C856F8">
        <w:t>Maksoud</w:t>
      </w:r>
      <w:proofErr w:type="spellEnd"/>
      <w:r w:rsidRPr="00C856F8">
        <w:t xml:space="preserve">, R. A., &amp; </w:t>
      </w:r>
      <w:proofErr w:type="spellStart"/>
      <w:r w:rsidRPr="00C856F8">
        <w:t>Faragallah</w:t>
      </w:r>
      <w:proofErr w:type="spellEnd"/>
      <w:r w:rsidRPr="00C856F8">
        <w:t xml:space="preserve">, R. N. (2024). Guidelines for Façade Techniques to Optimize Energy Efficiency in Educational Buildings. Port-Said Engineering Research Journal. </w:t>
      </w:r>
      <w:hyperlink r:id="rId31" w:history="1">
        <w:r w:rsidRPr="0076019A">
          <w:rPr>
            <w:rStyle w:val="Hyperlink"/>
          </w:rPr>
          <w:t>https://doi.org/10.21608/pserj.2024.282378.1333</w:t>
        </w:r>
      </w:hyperlink>
      <w:r>
        <w:t xml:space="preserve"> </w:t>
      </w:r>
    </w:p>
    <w:p w14:paraId="34122A6D" w14:textId="77777777" w:rsidR="00C856F8" w:rsidRDefault="00C856F8" w:rsidP="008738B9">
      <w:pPr>
        <w:pStyle w:val="Body"/>
      </w:pPr>
      <w:proofErr w:type="spellStart"/>
      <w:r w:rsidRPr="00C856F8">
        <w:t>Fathi</w:t>
      </w:r>
      <w:proofErr w:type="spellEnd"/>
      <w:r w:rsidRPr="00C856F8">
        <w:t xml:space="preserve">, S., &amp; </w:t>
      </w:r>
      <w:proofErr w:type="spellStart"/>
      <w:r w:rsidRPr="00C856F8">
        <w:t>Fakhraeimanesh</w:t>
      </w:r>
      <w:proofErr w:type="spellEnd"/>
      <w:r w:rsidRPr="00C856F8">
        <w:t xml:space="preserve">, S. (2025). Smart materials in building façades: A systematic review of applications and impacts on energy efficiency. Energy Reports, 14, 2123–2140. </w:t>
      </w:r>
      <w:hyperlink r:id="rId32" w:history="1">
        <w:r w:rsidRPr="0076019A">
          <w:rPr>
            <w:rStyle w:val="Hyperlink"/>
          </w:rPr>
          <w:t>https://doi.org/10.1016/j.egyr.2025.08.042</w:t>
        </w:r>
      </w:hyperlink>
      <w:r>
        <w:t xml:space="preserve"> </w:t>
      </w:r>
    </w:p>
    <w:p w14:paraId="60489476" w14:textId="77777777" w:rsidR="00C856F8" w:rsidRDefault="00C856F8" w:rsidP="008738B9">
      <w:pPr>
        <w:pStyle w:val="Body"/>
      </w:pPr>
      <w:proofErr w:type="spellStart"/>
      <w:r w:rsidRPr="00C856F8">
        <w:t>Gelesz</w:t>
      </w:r>
      <w:proofErr w:type="spellEnd"/>
      <w:r w:rsidRPr="00C856F8">
        <w:t xml:space="preserve">, A., &amp; Reith, A. (2015). Climate-based performance evaluation of double skin facades by building energy modelling in Central Europe. Energy Procedia, 78, 555–560. </w:t>
      </w:r>
      <w:hyperlink r:id="rId33" w:history="1">
        <w:r w:rsidRPr="0076019A">
          <w:rPr>
            <w:rStyle w:val="Hyperlink"/>
          </w:rPr>
          <w:t>https://doi.org/10.1016/j.egypro.2015.11.735</w:t>
        </w:r>
      </w:hyperlink>
      <w:r>
        <w:t xml:space="preserve"> </w:t>
      </w:r>
    </w:p>
    <w:p w14:paraId="55D6EE7E" w14:textId="77777777" w:rsidR="00C856F8" w:rsidRDefault="00C856F8" w:rsidP="008738B9">
      <w:pPr>
        <w:pStyle w:val="Body"/>
      </w:pPr>
      <w:proofErr w:type="spellStart"/>
      <w:r w:rsidRPr="00C856F8">
        <w:lastRenderedPageBreak/>
        <w:t>Ibañez</w:t>
      </w:r>
      <w:proofErr w:type="spellEnd"/>
      <w:r w:rsidRPr="00C856F8">
        <w:t xml:space="preserve">-Puy, M., </w:t>
      </w:r>
      <w:proofErr w:type="spellStart"/>
      <w:r w:rsidRPr="00C856F8">
        <w:t>Vidaurre-Arbizu</w:t>
      </w:r>
      <w:proofErr w:type="spellEnd"/>
      <w:r w:rsidRPr="00C856F8">
        <w:t xml:space="preserve">, M., </w:t>
      </w:r>
      <w:proofErr w:type="spellStart"/>
      <w:r w:rsidRPr="00C856F8">
        <w:t>Sacristán</w:t>
      </w:r>
      <w:proofErr w:type="spellEnd"/>
      <w:r w:rsidRPr="00C856F8">
        <w:t xml:space="preserve">-Fernández, J. A., &amp; Martín-Gómez, C. (2017). Opaque ventilated façades: Thermal and energy performance review. Renewable and Sustainable Energy Reviews, 79, 180–191. </w:t>
      </w:r>
      <w:hyperlink r:id="rId34" w:history="1">
        <w:r w:rsidRPr="0076019A">
          <w:rPr>
            <w:rStyle w:val="Hyperlink"/>
          </w:rPr>
          <w:t>https://doi.org/10.1016/j.rser.2017.05.059</w:t>
        </w:r>
      </w:hyperlink>
      <w:r>
        <w:t xml:space="preserve"> </w:t>
      </w:r>
    </w:p>
    <w:p w14:paraId="0E7E0A4B" w14:textId="77777777" w:rsidR="00C856F8" w:rsidRDefault="00C856F8" w:rsidP="008738B9">
      <w:pPr>
        <w:pStyle w:val="Body"/>
      </w:pPr>
      <w:proofErr w:type="spellStart"/>
      <w:r w:rsidRPr="00C856F8">
        <w:t>Luciani-Mejía</w:t>
      </w:r>
      <w:proofErr w:type="spellEnd"/>
      <w:r w:rsidRPr="00C856F8">
        <w:t xml:space="preserve">, S., Velasco-Gómez, R., &amp; Hudson, R. (2018). </w:t>
      </w:r>
      <w:proofErr w:type="spellStart"/>
      <w:r w:rsidRPr="00C856F8">
        <w:t>Ecoenvolventes</w:t>
      </w:r>
      <w:proofErr w:type="spellEnd"/>
      <w:r w:rsidRPr="00C856F8">
        <w:t xml:space="preserve">: </w:t>
      </w:r>
      <w:proofErr w:type="spellStart"/>
      <w:r w:rsidRPr="00C856F8">
        <w:t>análisis</w:t>
      </w:r>
      <w:proofErr w:type="spellEnd"/>
      <w:r w:rsidRPr="00C856F8">
        <w:t xml:space="preserve"> del </w:t>
      </w:r>
      <w:proofErr w:type="spellStart"/>
      <w:r w:rsidRPr="00C856F8">
        <w:t>uso</w:t>
      </w:r>
      <w:proofErr w:type="spellEnd"/>
      <w:r w:rsidRPr="00C856F8">
        <w:t xml:space="preserve"> de </w:t>
      </w:r>
      <w:proofErr w:type="spellStart"/>
      <w:r w:rsidRPr="00C856F8">
        <w:t>fachadas</w:t>
      </w:r>
      <w:proofErr w:type="spellEnd"/>
      <w:r w:rsidRPr="00C856F8">
        <w:t xml:space="preserve"> </w:t>
      </w:r>
      <w:proofErr w:type="spellStart"/>
      <w:r w:rsidRPr="00C856F8">
        <w:t>ventiladas</w:t>
      </w:r>
      <w:proofErr w:type="spellEnd"/>
      <w:r w:rsidRPr="00C856F8">
        <w:t xml:space="preserve"> </w:t>
      </w:r>
      <w:proofErr w:type="spellStart"/>
      <w:r w:rsidRPr="00C856F8">
        <w:t>en</w:t>
      </w:r>
      <w:proofErr w:type="spellEnd"/>
      <w:r w:rsidRPr="00C856F8">
        <w:t xml:space="preserve"> </w:t>
      </w:r>
      <w:proofErr w:type="spellStart"/>
      <w:r w:rsidRPr="00C856F8">
        <w:t>clima</w:t>
      </w:r>
      <w:proofErr w:type="spellEnd"/>
      <w:r w:rsidRPr="00C856F8">
        <w:t xml:space="preserve"> </w:t>
      </w:r>
      <w:proofErr w:type="spellStart"/>
      <w:r w:rsidRPr="00C856F8">
        <w:t>cálido-húmedo</w:t>
      </w:r>
      <w:proofErr w:type="spellEnd"/>
      <w:r w:rsidRPr="00C856F8">
        <w:t xml:space="preserve">. </w:t>
      </w:r>
      <w:proofErr w:type="spellStart"/>
      <w:r w:rsidRPr="00C856F8">
        <w:t>Revista</w:t>
      </w:r>
      <w:proofErr w:type="spellEnd"/>
      <w:r w:rsidRPr="00C856F8">
        <w:t xml:space="preserve"> de </w:t>
      </w:r>
      <w:proofErr w:type="spellStart"/>
      <w:r w:rsidRPr="00C856F8">
        <w:t>Arquitectura</w:t>
      </w:r>
      <w:proofErr w:type="spellEnd"/>
      <w:r w:rsidRPr="00C856F8">
        <w:t xml:space="preserve"> (Bogotá), 20(2), 62–77. </w:t>
      </w:r>
      <w:hyperlink r:id="rId35" w:history="1">
        <w:r w:rsidRPr="0076019A">
          <w:rPr>
            <w:rStyle w:val="Hyperlink"/>
          </w:rPr>
          <w:t>https://doi.org/10.14718/RevArq.2018.20.2.1726</w:t>
        </w:r>
      </w:hyperlink>
      <w:r>
        <w:t xml:space="preserve"> </w:t>
      </w:r>
    </w:p>
    <w:p w14:paraId="1FB7DD88" w14:textId="77777777" w:rsidR="00C856F8" w:rsidRDefault="00C856F8" w:rsidP="008738B9">
      <w:pPr>
        <w:pStyle w:val="Body"/>
      </w:pPr>
      <w:proofErr w:type="spellStart"/>
      <w:r w:rsidRPr="00C856F8">
        <w:t>Piasecki</w:t>
      </w:r>
      <w:proofErr w:type="spellEnd"/>
      <w:r w:rsidRPr="00C856F8">
        <w:t xml:space="preserve">, M., </w:t>
      </w:r>
      <w:proofErr w:type="spellStart"/>
      <w:r w:rsidRPr="00C856F8">
        <w:t>Fedorczak-Cisak</w:t>
      </w:r>
      <w:proofErr w:type="spellEnd"/>
      <w:r w:rsidRPr="00C856F8">
        <w:t xml:space="preserve">, M., </w:t>
      </w:r>
      <w:proofErr w:type="spellStart"/>
      <w:r w:rsidRPr="00C856F8">
        <w:t>Furtak</w:t>
      </w:r>
      <w:proofErr w:type="spellEnd"/>
      <w:r w:rsidRPr="00C856F8">
        <w:t xml:space="preserve">, M., &amp; </w:t>
      </w:r>
      <w:proofErr w:type="spellStart"/>
      <w:r w:rsidRPr="00C856F8">
        <w:t>Biskupski</w:t>
      </w:r>
      <w:proofErr w:type="spellEnd"/>
      <w:r w:rsidRPr="00C856F8">
        <w:t xml:space="preserve">, J. (2019). Experimental confirmation of the reliability of </w:t>
      </w:r>
      <w:proofErr w:type="spellStart"/>
      <w:r w:rsidRPr="00C856F8">
        <w:t>Fanger’s</w:t>
      </w:r>
      <w:proofErr w:type="spellEnd"/>
      <w:r w:rsidRPr="00C856F8">
        <w:t xml:space="preserve"> thermal comfort model—Case study of a near-zero energy building (NZEB) office building. Sustainability, 11(9), 2461. </w:t>
      </w:r>
      <w:hyperlink r:id="rId36" w:history="1">
        <w:r w:rsidRPr="0076019A">
          <w:rPr>
            <w:rStyle w:val="Hyperlink"/>
          </w:rPr>
          <w:t>https://doi.org/10.3390/su11092461</w:t>
        </w:r>
      </w:hyperlink>
      <w:r>
        <w:t xml:space="preserve"> </w:t>
      </w:r>
    </w:p>
    <w:p w14:paraId="0354CAAF" w14:textId="77777777" w:rsidR="00C856F8" w:rsidRDefault="00C856F8" w:rsidP="009911A9">
      <w:pPr>
        <w:pStyle w:val="Body"/>
        <w:spacing w:after="0"/>
        <w:jc w:val="left"/>
      </w:pPr>
      <w:r w:rsidRPr="00C856F8">
        <w:tab/>
      </w:r>
      <w:proofErr w:type="spellStart"/>
      <w:r w:rsidRPr="00C856F8">
        <w:t>Pizzatto</w:t>
      </w:r>
      <w:proofErr w:type="spellEnd"/>
      <w:r w:rsidRPr="00C856F8">
        <w:t xml:space="preserve">, S. M. d. S., </w:t>
      </w:r>
      <w:proofErr w:type="spellStart"/>
      <w:r w:rsidRPr="00C856F8">
        <w:t>Pizzatto</w:t>
      </w:r>
      <w:proofErr w:type="spellEnd"/>
      <w:r w:rsidRPr="00C856F8">
        <w:t xml:space="preserve">, F., </w:t>
      </w:r>
      <w:proofErr w:type="spellStart"/>
      <w:r w:rsidRPr="00C856F8">
        <w:t>Raupp</w:t>
      </w:r>
      <w:proofErr w:type="spellEnd"/>
      <w:r w:rsidRPr="00C856F8">
        <w:t xml:space="preserve">-Pereira, F., Arcaro, S., </w:t>
      </w:r>
      <w:proofErr w:type="spellStart"/>
      <w:r w:rsidRPr="00C856F8">
        <w:t>Angioletto</w:t>
      </w:r>
      <w:proofErr w:type="spellEnd"/>
      <w:r w:rsidRPr="00C856F8">
        <w:t xml:space="preserve">, E., &amp; </w:t>
      </w:r>
      <w:proofErr w:type="spellStart"/>
      <w:r w:rsidRPr="00C856F8">
        <w:t>Montedo</w:t>
      </w:r>
      <w:proofErr w:type="spellEnd"/>
      <w:r w:rsidRPr="00C856F8">
        <w:t xml:space="preserve">, O. R. K. (2025). Ventilated facade system: A review. </w:t>
      </w:r>
      <w:proofErr w:type="spellStart"/>
      <w:r w:rsidRPr="00C856F8">
        <w:t>Boletín</w:t>
      </w:r>
      <w:proofErr w:type="spellEnd"/>
      <w:r w:rsidRPr="00C856F8">
        <w:t xml:space="preserve"> de la Sociedad Española de </w:t>
      </w:r>
      <w:proofErr w:type="spellStart"/>
      <w:r w:rsidRPr="00C856F8">
        <w:t>Cerámica</w:t>
      </w:r>
      <w:proofErr w:type="spellEnd"/>
      <w:r w:rsidRPr="00C856F8">
        <w:t xml:space="preserve"> y </w:t>
      </w:r>
      <w:proofErr w:type="spellStart"/>
      <w:r w:rsidRPr="00C856F8">
        <w:t>Vidrio</w:t>
      </w:r>
      <w:proofErr w:type="spellEnd"/>
      <w:r w:rsidRPr="00C856F8">
        <w:t xml:space="preserve">, 64, Article 100443. </w:t>
      </w:r>
      <w:hyperlink r:id="rId37" w:history="1">
        <w:r w:rsidRPr="0076019A">
          <w:rPr>
            <w:rStyle w:val="Hyperlink"/>
          </w:rPr>
          <w:t>https://doi.org/10.1016/j.bsecv.2025.100443</w:t>
        </w:r>
      </w:hyperlink>
      <w:r>
        <w:t xml:space="preserve"> </w:t>
      </w:r>
    </w:p>
    <w:p w14:paraId="59D67345" w14:textId="19A0B8A1" w:rsidR="00B01FCD" w:rsidRDefault="00C856F8" w:rsidP="00441B6F">
      <w:pPr>
        <w:pStyle w:val="Appendix"/>
        <w:spacing w:after="0"/>
        <w:jc w:val="both"/>
        <w:rPr>
          <w:b w:val="0"/>
          <w:caps w:val="0"/>
          <w:sz w:val="20"/>
        </w:rPr>
      </w:pPr>
      <w:proofErr w:type="spellStart"/>
      <w:r w:rsidRPr="00C856F8">
        <w:rPr>
          <w:b w:val="0"/>
          <w:caps w:val="0"/>
          <w:sz w:val="20"/>
        </w:rPr>
        <w:t>Schabowicz</w:t>
      </w:r>
      <w:proofErr w:type="spellEnd"/>
      <w:r w:rsidRPr="00C856F8">
        <w:rPr>
          <w:b w:val="0"/>
          <w:caps w:val="0"/>
          <w:sz w:val="20"/>
        </w:rPr>
        <w:t xml:space="preserve">, K., &amp; </w:t>
      </w:r>
      <w:proofErr w:type="spellStart"/>
      <w:r w:rsidRPr="00C856F8">
        <w:rPr>
          <w:b w:val="0"/>
          <w:caps w:val="0"/>
          <w:sz w:val="20"/>
        </w:rPr>
        <w:t>Zawiślak</w:t>
      </w:r>
      <w:proofErr w:type="spellEnd"/>
      <w:r w:rsidRPr="00C856F8">
        <w:rPr>
          <w:b w:val="0"/>
          <w:caps w:val="0"/>
          <w:sz w:val="20"/>
        </w:rPr>
        <w:t xml:space="preserve">, Ł. (2020). Numerical comparison of thermal </w:t>
      </w:r>
      <w:proofErr w:type="spellStart"/>
      <w:r w:rsidRPr="00C856F8">
        <w:rPr>
          <w:b w:val="0"/>
          <w:caps w:val="0"/>
          <w:sz w:val="20"/>
        </w:rPr>
        <w:t>behaviour</w:t>
      </w:r>
      <w:proofErr w:type="spellEnd"/>
      <w:r w:rsidRPr="00C856F8">
        <w:rPr>
          <w:b w:val="0"/>
          <w:caps w:val="0"/>
          <w:sz w:val="20"/>
        </w:rPr>
        <w:t xml:space="preserve"> between ventilated facades. </w:t>
      </w:r>
      <w:proofErr w:type="spellStart"/>
      <w:r w:rsidRPr="00C856F8">
        <w:rPr>
          <w:b w:val="0"/>
          <w:caps w:val="0"/>
          <w:sz w:val="20"/>
        </w:rPr>
        <w:t>Studia</w:t>
      </w:r>
      <w:proofErr w:type="spellEnd"/>
      <w:r w:rsidRPr="00C856F8">
        <w:rPr>
          <w:b w:val="0"/>
          <w:caps w:val="0"/>
          <w:sz w:val="20"/>
        </w:rPr>
        <w:t xml:space="preserve"> </w:t>
      </w:r>
      <w:proofErr w:type="spellStart"/>
      <w:r w:rsidRPr="00C856F8">
        <w:rPr>
          <w:b w:val="0"/>
          <w:caps w:val="0"/>
          <w:sz w:val="20"/>
        </w:rPr>
        <w:t>Geotechnica</w:t>
      </w:r>
      <w:proofErr w:type="spellEnd"/>
      <w:r w:rsidRPr="00C856F8">
        <w:rPr>
          <w:b w:val="0"/>
          <w:caps w:val="0"/>
          <w:sz w:val="20"/>
        </w:rPr>
        <w:t xml:space="preserve"> et </w:t>
      </w:r>
      <w:proofErr w:type="spellStart"/>
      <w:r w:rsidRPr="00C856F8">
        <w:rPr>
          <w:b w:val="0"/>
          <w:caps w:val="0"/>
          <w:sz w:val="20"/>
        </w:rPr>
        <w:t>Mechanica</w:t>
      </w:r>
      <w:proofErr w:type="spellEnd"/>
      <w:r w:rsidRPr="00C856F8">
        <w:rPr>
          <w:b w:val="0"/>
          <w:caps w:val="0"/>
          <w:sz w:val="20"/>
        </w:rPr>
        <w:t xml:space="preserve">, 42(4), 297–305. </w:t>
      </w:r>
      <w:hyperlink r:id="rId38" w:history="1">
        <w:r w:rsidRPr="0076019A">
          <w:rPr>
            <w:rStyle w:val="Hyperlink"/>
            <w:b w:val="0"/>
            <w:caps w:val="0"/>
            <w:sz w:val="20"/>
          </w:rPr>
          <w:t>https://doi.org/10.2478/sgem-2019-0044</w:t>
        </w:r>
      </w:hyperlink>
      <w:r>
        <w:rPr>
          <w:b w:val="0"/>
          <w:caps w:val="0"/>
          <w:sz w:val="20"/>
        </w:rPr>
        <w:t xml:space="preserve"> </w:t>
      </w:r>
    </w:p>
    <w:p w14:paraId="45D7A9B7" w14:textId="77777777" w:rsidR="00C856F8" w:rsidRPr="00FB3A86" w:rsidRDefault="00C856F8" w:rsidP="00441B6F">
      <w:pPr>
        <w:pStyle w:val="Appendix"/>
        <w:spacing w:after="0"/>
        <w:jc w:val="both"/>
        <w:rPr>
          <w:rFonts w:ascii="Arial" w:hAnsi="Arial" w:cs="Arial"/>
          <w:b w:val="0"/>
        </w:rPr>
      </w:pPr>
    </w:p>
    <w:sectPr w:rsidR="00C856F8" w:rsidRPr="00FB3A86" w:rsidSect="00C633B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BB4AB" w14:textId="77777777" w:rsidR="007A4F5D" w:rsidRDefault="007A4F5D" w:rsidP="00C37E61">
      <w:r>
        <w:separator/>
      </w:r>
    </w:p>
  </w:endnote>
  <w:endnote w:type="continuationSeparator" w:id="0">
    <w:p w14:paraId="1997AF65" w14:textId="77777777" w:rsidR="007A4F5D" w:rsidRDefault="007A4F5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BE3F3" w14:textId="77777777" w:rsidR="00C633BB" w:rsidRDefault="00C63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585FC" w14:textId="77777777" w:rsidR="00C633BB" w:rsidRDefault="00C63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6D440" w14:textId="77777777" w:rsidR="009E048A" w:rsidRDefault="009E048A">
    <w:pPr>
      <w:pStyle w:val="Footer"/>
      <w:rPr>
        <w:rFonts w:ascii="Arial" w:hAnsi="Arial" w:cs="Arial"/>
        <w:sz w:val="16"/>
      </w:rPr>
    </w:pPr>
  </w:p>
  <w:p w14:paraId="44E961C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8582665" w14:textId="77777777" w:rsidR="009E048A" w:rsidRDefault="009E048A">
    <w:pPr>
      <w:pStyle w:val="Footer"/>
      <w:rPr>
        <w:rFonts w:ascii="Arial" w:hAnsi="Arial" w:cs="Arial"/>
        <w:sz w:val="16"/>
      </w:rPr>
    </w:pPr>
  </w:p>
  <w:p w14:paraId="78C5BF2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9C60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AE96F" w14:textId="77777777" w:rsidR="007A4F5D" w:rsidRDefault="007A4F5D" w:rsidP="00C37E61">
      <w:r>
        <w:separator/>
      </w:r>
    </w:p>
  </w:footnote>
  <w:footnote w:type="continuationSeparator" w:id="0">
    <w:p w14:paraId="226517DD" w14:textId="77777777" w:rsidR="007A4F5D" w:rsidRDefault="007A4F5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4177E" w14:textId="09FA2D53" w:rsidR="00C633BB" w:rsidRDefault="00C633BB">
    <w:pPr>
      <w:pStyle w:val="Header"/>
    </w:pPr>
    <w:r>
      <w:rPr>
        <w:noProof/>
      </w:rPr>
      <w:pict w14:anchorId="4072A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0779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33465" w14:textId="078E2F76" w:rsidR="00C633BB" w:rsidRDefault="00C633BB">
    <w:pPr>
      <w:pStyle w:val="Header"/>
    </w:pPr>
    <w:r>
      <w:rPr>
        <w:noProof/>
      </w:rPr>
      <w:pict w14:anchorId="08037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0779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68126" w14:textId="49D044E1" w:rsidR="00296529" w:rsidRPr="00296529" w:rsidRDefault="00C633BB" w:rsidP="00296529">
    <w:pPr>
      <w:ind w:left="2160"/>
      <w:jc w:val="center"/>
      <w:rPr>
        <w:rFonts w:ascii="Times New Roman" w:eastAsia="Calibri" w:hAnsi="Times New Roman"/>
        <w:i/>
        <w:sz w:val="18"/>
        <w:szCs w:val="22"/>
      </w:rPr>
    </w:pPr>
    <w:r>
      <w:rPr>
        <w:noProof/>
      </w:rPr>
      <w:pict w14:anchorId="4CFE1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0779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5C532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925718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8051C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CF33E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07570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A251C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5B0B" w14:textId="77F4C977" w:rsidR="00C633BB" w:rsidRDefault="00C633BB">
    <w:pPr>
      <w:pStyle w:val="Header"/>
    </w:pPr>
    <w:r>
      <w:rPr>
        <w:noProof/>
      </w:rPr>
      <w:pict w14:anchorId="4D8EB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0780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EAD2E" w14:textId="25F5E0D4" w:rsidR="00C633BB" w:rsidRDefault="00C633BB">
    <w:pPr>
      <w:pStyle w:val="Header"/>
    </w:pPr>
    <w:r>
      <w:rPr>
        <w:noProof/>
      </w:rPr>
      <w:pict w14:anchorId="1C05C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0780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74ECB" w14:textId="526E8C1C" w:rsidR="00C633BB" w:rsidRDefault="00C633BB">
    <w:pPr>
      <w:pStyle w:val="Header"/>
    </w:pPr>
    <w:r>
      <w:rPr>
        <w:noProof/>
      </w:rPr>
      <w:pict w14:anchorId="2F57B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0779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AC58AC"/>
    <w:multiLevelType w:val="hybridMultilevel"/>
    <w:tmpl w:val="29ECB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7E3A"/>
    <w:rsid w:val="00080F6C"/>
    <w:rsid w:val="000A47FA"/>
    <w:rsid w:val="000A5E0A"/>
    <w:rsid w:val="000A65D3"/>
    <w:rsid w:val="000B1E33"/>
    <w:rsid w:val="000D689F"/>
    <w:rsid w:val="000E7B7B"/>
    <w:rsid w:val="000E7D62"/>
    <w:rsid w:val="00103357"/>
    <w:rsid w:val="00120AF5"/>
    <w:rsid w:val="00123C9F"/>
    <w:rsid w:val="00126190"/>
    <w:rsid w:val="00130F17"/>
    <w:rsid w:val="001320BF"/>
    <w:rsid w:val="00163BC4"/>
    <w:rsid w:val="00165778"/>
    <w:rsid w:val="00191062"/>
    <w:rsid w:val="00192B72"/>
    <w:rsid w:val="001A29D8"/>
    <w:rsid w:val="001A5CAA"/>
    <w:rsid w:val="001B0427"/>
    <w:rsid w:val="001B2725"/>
    <w:rsid w:val="001C1E5F"/>
    <w:rsid w:val="001D3A51"/>
    <w:rsid w:val="001D7865"/>
    <w:rsid w:val="001E0706"/>
    <w:rsid w:val="001E10D2"/>
    <w:rsid w:val="001E25B4"/>
    <w:rsid w:val="001E3030"/>
    <w:rsid w:val="001E44FE"/>
    <w:rsid w:val="001F4176"/>
    <w:rsid w:val="001F5E68"/>
    <w:rsid w:val="00200595"/>
    <w:rsid w:val="00204835"/>
    <w:rsid w:val="002247DA"/>
    <w:rsid w:val="00231920"/>
    <w:rsid w:val="0023195C"/>
    <w:rsid w:val="0024282C"/>
    <w:rsid w:val="002460DC"/>
    <w:rsid w:val="00250985"/>
    <w:rsid w:val="00253FEB"/>
    <w:rsid w:val="002556F6"/>
    <w:rsid w:val="00272F36"/>
    <w:rsid w:val="002779B9"/>
    <w:rsid w:val="00283105"/>
    <w:rsid w:val="00284C4C"/>
    <w:rsid w:val="00287E68"/>
    <w:rsid w:val="00296529"/>
    <w:rsid w:val="002B27FB"/>
    <w:rsid w:val="002B685A"/>
    <w:rsid w:val="002C57D2"/>
    <w:rsid w:val="002E0D56"/>
    <w:rsid w:val="002F2C8A"/>
    <w:rsid w:val="0030438A"/>
    <w:rsid w:val="00313478"/>
    <w:rsid w:val="00315186"/>
    <w:rsid w:val="003204F7"/>
    <w:rsid w:val="00321B2A"/>
    <w:rsid w:val="003275DA"/>
    <w:rsid w:val="003312EA"/>
    <w:rsid w:val="0033343E"/>
    <w:rsid w:val="00344E1E"/>
    <w:rsid w:val="003512C2"/>
    <w:rsid w:val="00365D43"/>
    <w:rsid w:val="00371FB6"/>
    <w:rsid w:val="003763C1"/>
    <w:rsid w:val="00376BBE"/>
    <w:rsid w:val="0039224F"/>
    <w:rsid w:val="003A43A4"/>
    <w:rsid w:val="003A7E18"/>
    <w:rsid w:val="003C43FD"/>
    <w:rsid w:val="003C4C86"/>
    <w:rsid w:val="003C6258"/>
    <w:rsid w:val="003D128C"/>
    <w:rsid w:val="003E2904"/>
    <w:rsid w:val="00401927"/>
    <w:rsid w:val="00401B3A"/>
    <w:rsid w:val="0041027F"/>
    <w:rsid w:val="00410845"/>
    <w:rsid w:val="00412475"/>
    <w:rsid w:val="00423789"/>
    <w:rsid w:val="00440F43"/>
    <w:rsid w:val="00441B6F"/>
    <w:rsid w:val="004434C6"/>
    <w:rsid w:val="00446221"/>
    <w:rsid w:val="00450E62"/>
    <w:rsid w:val="004539DB"/>
    <w:rsid w:val="00471A80"/>
    <w:rsid w:val="004A5DD1"/>
    <w:rsid w:val="004D04CE"/>
    <w:rsid w:val="004D305E"/>
    <w:rsid w:val="004D4277"/>
    <w:rsid w:val="004E3861"/>
    <w:rsid w:val="00502516"/>
    <w:rsid w:val="00505F06"/>
    <w:rsid w:val="00506828"/>
    <w:rsid w:val="0053056E"/>
    <w:rsid w:val="00546DD0"/>
    <w:rsid w:val="00554879"/>
    <w:rsid w:val="00554FDA"/>
    <w:rsid w:val="005665A2"/>
    <w:rsid w:val="005907FC"/>
    <w:rsid w:val="00592BF6"/>
    <w:rsid w:val="00592D15"/>
    <w:rsid w:val="005C784C"/>
    <w:rsid w:val="005D17F6"/>
    <w:rsid w:val="005E5539"/>
    <w:rsid w:val="00602BF5"/>
    <w:rsid w:val="00617FDD"/>
    <w:rsid w:val="00633614"/>
    <w:rsid w:val="00633F68"/>
    <w:rsid w:val="00636EB2"/>
    <w:rsid w:val="006375B8"/>
    <w:rsid w:val="00651E72"/>
    <w:rsid w:val="006521E6"/>
    <w:rsid w:val="0066510A"/>
    <w:rsid w:val="00673F9F"/>
    <w:rsid w:val="0068351E"/>
    <w:rsid w:val="00686953"/>
    <w:rsid w:val="006872B3"/>
    <w:rsid w:val="00687DEA"/>
    <w:rsid w:val="00687E67"/>
    <w:rsid w:val="00693A73"/>
    <w:rsid w:val="00694AB5"/>
    <w:rsid w:val="006967F7"/>
    <w:rsid w:val="006A250C"/>
    <w:rsid w:val="006A687F"/>
    <w:rsid w:val="006B21D3"/>
    <w:rsid w:val="006B57D0"/>
    <w:rsid w:val="006C44E7"/>
    <w:rsid w:val="006D30FF"/>
    <w:rsid w:val="006D6940"/>
    <w:rsid w:val="006E7749"/>
    <w:rsid w:val="006F11EC"/>
    <w:rsid w:val="0070082C"/>
    <w:rsid w:val="007227E5"/>
    <w:rsid w:val="007369E6"/>
    <w:rsid w:val="00746E59"/>
    <w:rsid w:val="00754C9A"/>
    <w:rsid w:val="0075599A"/>
    <w:rsid w:val="00761D52"/>
    <w:rsid w:val="0077749E"/>
    <w:rsid w:val="00790ADA"/>
    <w:rsid w:val="007A34AE"/>
    <w:rsid w:val="007A4F5D"/>
    <w:rsid w:val="007A5B91"/>
    <w:rsid w:val="007D2288"/>
    <w:rsid w:val="007E088F"/>
    <w:rsid w:val="007F7B32"/>
    <w:rsid w:val="00804BC2"/>
    <w:rsid w:val="00805CE5"/>
    <w:rsid w:val="0081322C"/>
    <w:rsid w:val="0081431A"/>
    <w:rsid w:val="00814539"/>
    <w:rsid w:val="0083216F"/>
    <w:rsid w:val="00837557"/>
    <w:rsid w:val="00847790"/>
    <w:rsid w:val="00847DAC"/>
    <w:rsid w:val="00860000"/>
    <w:rsid w:val="00863BD3"/>
    <w:rsid w:val="008641ED"/>
    <w:rsid w:val="0086625D"/>
    <w:rsid w:val="00866D66"/>
    <w:rsid w:val="008671C6"/>
    <w:rsid w:val="00867DA5"/>
    <w:rsid w:val="008738B9"/>
    <w:rsid w:val="00875803"/>
    <w:rsid w:val="008A3BDC"/>
    <w:rsid w:val="008B459E"/>
    <w:rsid w:val="008C6679"/>
    <w:rsid w:val="008E13AE"/>
    <w:rsid w:val="008E1506"/>
    <w:rsid w:val="008E7080"/>
    <w:rsid w:val="008E710C"/>
    <w:rsid w:val="008F69D6"/>
    <w:rsid w:val="00902823"/>
    <w:rsid w:val="00915CA6"/>
    <w:rsid w:val="00927834"/>
    <w:rsid w:val="009500A6"/>
    <w:rsid w:val="00957C18"/>
    <w:rsid w:val="0096090A"/>
    <w:rsid w:val="009659BA"/>
    <w:rsid w:val="00983040"/>
    <w:rsid w:val="009911A9"/>
    <w:rsid w:val="009A60A2"/>
    <w:rsid w:val="009A670B"/>
    <w:rsid w:val="009B3FB9"/>
    <w:rsid w:val="009C2465"/>
    <w:rsid w:val="009C5117"/>
    <w:rsid w:val="009D35A0"/>
    <w:rsid w:val="009D7EB7"/>
    <w:rsid w:val="009E048A"/>
    <w:rsid w:val="009E08E9"/>
    <w:rsid w:val="009E3DB9"/>
    <w:rsid w:val="009E6E35"/>
    <w:rsid w:val="009F0EDA"/>
    <w:rsid w:val="009F1F77"/>
    <w:rsid w:val="00A03B96"/>
    <w:rsid w:val="00A05B19"/>
    <w:rsid w:val="00A1134E"/>
    <w:rsid w:val="00A24E7E"/>
    <w:rsid w:val="00A258C3"/>
    <w:rsid w:val="00A30B59"/>
    <w:rsid w:val="00A347C0"/>
    <w:rsid w:val="00A40551"/>
    <w:rsid w:val="00A46D7F"/>
    <w:rsid w:val="00A51431"/>
    <w:rsid w:val="00A539AD"/>
    <w:rsid w:val="00A61C6A"/>
    <w:rsid w:val="00A76ED4"/>
    <w:rsid w:val="00A874EA"/>
    <w:rsid w:val="00A94063"/>
    <w:rsid w:val="00AA6219"/>
    <w:rsid w:val="00AA74E0"/>
    <w:rsid w:val="00AB4ADE"/>
    <w:rsid w:val="00AB703F"/>
    <w:rsid w:val="00AC0B37"/>
    <w:rsid w:val="00AC6BB8"/>
    <w:rsid w:val="00AE008F"/>
    <w:rsid w:val="00B01FCD"/>
    <w:rsid w:val="00B055A7"/>
    <w:rsid w:val="00B1776C"/>
    <w:rsid w:val="00B301A1"/>
    <w:rsid w:val="00B52583"/>
    <w:rsid w:val="00B52896"/>
    <w:rsid w:val="00B67183"/>
    <w:rsid w:val="00B95236"/>
    <w:rsid w:val="00B96BD9"/>
    <w:rsid w:val="00BA00E0"/>
    <w:rsid w:val="00BA1B01"/>
    <w:rsid w:val="00BA2641"/>
    <w:rsid w:val="00BB37AA"/>
    <w:rsid w:val="00BC53A0"/>
    <w:rsid w:val="00BE62AD"/>
    <w:rsid w:val="00BF121F"/>
    <w:rsid w:val="00BF1F80"/>
    <w:rsid w:val="00BF6B6A"/>
    <w:rsid w:val="00C166EF"/>
    <w:rsid w:val="00C17EB0"/>
    <w:rsid w:val="00C27F5F"/>
    <w:rsid w:val="00C30A0F"/>
    <w:rsid w:val="00C37E61"/>
    <w:rsid w:val="00C633BB"/>
    <w:rsid w:val="00C70F1B"/>
    <w:rsid w:val="00C71A47"/>
    <w:rsid w:val="00C7464C"/>
    <w:rsid w:val="00C85588"/>
    <w:rsid w:val="00C856F8"/>
    <w:rsid w:val="00CB4277"/>
    <w:rsid w:val="00CD6755"/>
    <w:rsid w:val="00CD6856"/>
    <w:rsid w:val="00CE0089"/>
    <w:rsid w:val="00CE793C"/>
    <w:rsid w:val="00CF193C"/>
    <w:rsid w:val="00D0577A"/>
    <w:rsid w:val="00D173F1"/>
    <w:rsid w:val="00D74CB0"/>
    <w:rsid w:val="00D8295D"/>
    <w:rsid w:val="00DB3105"/>
    <w:rsid w:val="00DC2A65"/>
    <w:rsid w:val="00DE15F0"/>
    <w:rsid w:val="00DE5663"/>
    <w:rsid w:val="00DE78AA"/>
    <w:rsid w:val="00E053D0"/>
    <w:rsid w:val="00E13A16"/>
    <w:rsid w:val="00E15994"/>
    <w:rsid w:val="00E3114E"/>
    <w:rsid w:val="00E31A70"/>
    <w:rsid w:val="00E35B02"/>
    <w:rsid w:val="00E40DD0"/>
    <w:rsid w:val="00E66496"/>
    <w:rsid w:val="00E66B35"/>
    <w:rsid w:val="00E66E10"/>
    <w:rsid w:val="00E769F6"/>
    <w:rsid w:val="00E8407C"/>
    <w:rsid w:val="00E84F3C"/>
    <w:rsid w:val="00EA012C"/>
    <w:rsid w:val="00EA257D"/>
    <w:rsid w:val="00EB2D21"/>
    <w:rsid w:val="00EB504E"/>
    <w:rsid w:val="00EB796E"/>
    <w:rsid w:val="00EC2F87"/>
    <w:rsid w:val="00EC6A55"/>
    <w:rsid w:val="00ED0288"/>
    <w:rsid w:val="00EE50D4"/>
    <w:rsid w:val="00EE52CB"/>
    <w:rsid w:val="00EF581D"/>
    <w:rsid w:val="00EF7C5A"/>
    <w:rsid w:val="00EF7FD8"/>
    <w:rsid w:val="00F019C0"/>
    <w:rsid w:val="00F06F59"/>
    <w:rsid w:val="00F17413"/>
    <w:rsid w:val="00F17988"/>
    <w:rsid w:val="00F27A6B"/>
    <w:rsid w:val="00F3063C"/>
    <w:rsid w:val="00F469F0"/>
    <w:rsid w:val="00F53273"/>
    <w:rsid w:val="00F755E4"/>
    <w:rsid w:val="00F77D02"/>
    <w:rsid w:val="00FA003D"/>
    <w:rsid w:val="00FB3A86"/>
    <w:rsid w:val="00FD36C8"/>
    <w:rsid w:val="00FE57D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55A7"/>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C2F87"/>
    <w:pPr>
      <w:ind w:left="720"/>
      <w:contextualSpacing/>
    </w:pPr>
  </w:style>
  <w:style w:type="paragraph" w:styleId="Caption">
    <w:name w:val="caption"/>
    <w:basedOn w:val="Normal"/>
    <w:next w:val="Normal"/>
    <w:unhideWhenUsed/>
    <w:qFormat/>
    <w:rsid w:val="00E13A16"/>
    <w:pPr>
      <w:spacing w:after="200"/>
    </w:pPr>
    <w:rPr>
      <w:i/>
      <w:iCs/>
      <w:color w:val="1F497D" w:themeColor="text2"/>
      <w:sz w:val="18"/>
      <w:szCs w:val="18"/>
    </w:rPr>
  </w:style>
  <w:style w:type="character" w:styleId="PlaceholderText">
    <w:name w:val="Placeholder Text"/>
    <w:basedOn w:val="DefaultParagraphFont"/>
    <w:uiPriority w:val="99"/>
    <w:semiHidden/>
    <w:rsid w:val="00EF7C5A"/>
    <w:rPr>
      <w:color w:val="666666"/>
    </w:rPr>
  </w:style>
  <w:style w:type="table" w:customStyle="1" w:styleId="Estilo1">
    <w:name w:val="Estilo1"/>
    <w:basedOn w:val="TableNormal"/>
    <w:uiPriority w:val="99"/>
    <w:rsid w:val="00EE50D4"/>
    <w:tblPr/>
  </w:style>
  <w:style w:type="character" w:styleId="Strong">
    <w:name w:val="Strong"/>
    <w:basedOn w:val="DefaultParagraphFont"/>
    <w:uiPriority w:val="22"/>
    <w:qFormat/>
    <w:rsid w:val="009A60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s://doi.org/10.1016/j.applthermaleng.2014.02.041" TargetMode="External"/><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hyperlink" Target="https://doi.org/10.1016/j.rser.2017.05.05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3390/en15093447" TargetMode="External"/><Relationship Id="rId33" Type="http://schemas.openxmlformats.org/officeDocument/2006/relationships/hyperlink" Target="https://doi.org/10.1016/j.egypro.2015.11.735" TargetMode="External"/><Relationship Id="rId38" Type="http://schemas.openxmlformats.org/officeDocument/2006/relationships/hyperlink" Target="https://doi.org/10.2478/sgem-2019-0044"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5.xml"/><Relationship Id="rId29" Type="http://schemas.openxmlformats.org/officeDocument/2006/relationships/hyperlink" Target="https://doi.org/10.3390/pr130722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jpeg"/><Relationship Id="rId32" Type="http://schemas.openxmlformats.org/officeDocument/2006/relationships/hyperlink" Target="https://doi.org/10.1016/j.egyr.2025.08.042" TargetMode="External"/><Relationship Id="rId37" Type="http://schemas.openxmlformats.org/officeDocument/2006/relationships/hyperlink" Target="https://doi.org/10.1016/j.bsecv.2025.100443"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6.jpeg"/><Relationship Id="rId28" Type="http://schemas.openxmlformats.org/officeDocument/2006/relationships/hyperlink" Target="https://doi.org/10.1016/j.enbuild.2019.01.033" TargetMode="External"/><Relationship Id="rId36" Type="http://schemas.openxmlformats.org/officeDocument/2006/relationships/hyperlink" Target="https://doi.org/10.3390/su11092461" TargetMode="Externa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yperlink" Target="https://doi.org/10.21608/pserj.2024.282378.133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 Id="rId27" Type="http://schemas.openxmlformats.org/officeDocument/2006/relationships/hyperlink" Target="https://doi.org/10.3390/su152416737" TargetMode="External"/><Relationship Id="rId30" Type="http://schemas.openxmlformats.org/officeDocument/2006/relationships/hyperlink" Target="https://doi.org/10.1016/j.rser.2013.02.029" TargetMode="External"/><Relationship Id="rId35" Type="http://schemas.openxmlformats.org/officeDocument/2006/relationships/hyperlink" Target="https://doi.org/10.14718/RevArq.2018.20.2.1726"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9826F-2DB3-4AD6-8933-BF9719D4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515</TotalTime>
  <Pages>13</Pages>
  <Words>3631</Words>
  <Characters>20702</Characters>
  <Application>Microsoft Office Word</Application>
  <DocSecurity>0</DocSecurity>
  <Lines>172</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24285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83</cp:revision>
  <cp:lastPrinted>1999-07-06T11:00:00Z</cp:lastPrinted>
  <dcterms:created xsi:type="dcterms:W3CDTF">2014-10-25T14:34:00Z</dcterms:created>
  <dcterms:modified xsi:type="dcterms:W3CDTF">2025-12-06T10:12:00Z</dcterms:modified>
</cp:coreProperties>
</file>