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8B2B" w14:textId="21FA25DC" w:rsidR="00CB25AB" w:rsidRPr="00922768" w:rsidRDefault="003F2569" w:rsidP="00F47D71">
      <w:pPr>
        <w:spacing w:line="276" w:lineRule="auto"/>
        <w:jc w:val="right"/>
        <w:rPr>
          <w:rFonts w:ascii="Arial" w:hAnsi="Arial" w:cs="Arial"/>
          <w:b/>
          <w:bCs/>
          <w:sz w:val="36"/>
          <w:szCs w:val="36"/>
        </w:rPr>
      </w:pPr>
      <w:bookmarkStart w:id="0" w:name="_Hlk217636203"/>
      <w:r>
        <w:rPr>
          <w:rFonts w:ascii="Arial" w:hAnsi="Arial" w:cs="Arial"/>
          <w:b/>
          <w:bCs/>
          <w:sz w:val="36"/>
          <w:szCs w:val="36"/>
        </w:rPr>
        <w:t xml:space="preserve">REDUCTION </w:t>
      </w:r>
      <w:r w:rsidR="00CB25AB" w:rsidRPr="00922768">
        <w:rPr>
          <w:rFonts w:ascii="Arial" w:hAnsi="Arial" w:cs="Arial"/>
          <w:b/>
          <w:bCs/>
          <w:sz w:val="36"/>
          <w:szCs w:val="36"/>
        </w:rPr>
        <w:t>OF ADVERSE MATERNAL OUTCOMES CAUSED BY ENVIRONMENTAL CONTAMINANTS: IS IT ACHIEVABLE?</w:t>
      </w:r>
    </w:p>
    <w:bookmarkEnd w:id="0"/>
    <w:p w14:paraId="219B1E7F" w14:textId="3C75545D" w:rsidR="00F47D71" w:rsidRDefault="00F47D71" w:rsidP="00F47D71">
      <w:pPr>
        <w:jc w:val="right"/>
        <w:rPr>
          <w:rFonts w:ascii="Arial" w:hAnsi="Arial" w:cs="Arial"/>
          <w:i/>
        </w:rPr>
      </w:pPr>
    </w:p>
    <w:p w14:paraId="7C323964" w14:textId="77777777" w:rsidR="00594D1C" w:rsidRPr="00F47D71" w:rsidRDefault="00594D1C" w:rsidP="00F47D71">
      <w:pPr>
        <w:jc w:val="right"/>
        <w:rPr>
          <w:rFonts w:ascii="Arial" w:hAnsi="Arial" w:cs="Arial"/>
          <w:i/>
        </w:rPr>
      </w:pPr>
    </w:p>
    <w:p w14:paraId="26CDF91B" w14:textId="77777777" w:rsidR="00F47D71" w:rsidRPr="00F47D71" w:rsidRDefault="00F47D71" w:rsidP="00F47D71">
      <w:pPr>
        <w:jc w:val="right"/>
        <w:rPr>
          <w:rFonts w:ascii="Arial" w:hAnsi="Arial" w:cs="Arial"/>
        </w:rPr>
      </w:pPr>
    </w:p>
    <w:p w14:paraId="46FC4A34" w14:textId="77777777" w:rsidR="002C57D2" w:rsidRPr="00FB3A86" w:rsidRDefault="002C57D2" w:rsidP="00441B6F">
      <w:pPr>
        <w:pStyle w:val="Affiliation"/>
        <w:spacing w:after="0" w:line="240" w:lineRule="auto"/>
        <w:jc w:val="both"/>
        <w:rPr>
          <w:rFonts w:ascii="Arial" w:hAnsi="Arial" w:cs="Arial"/>
        </w:rPr>
      </w:pPr>
    </w:p>
    <w:p w14:paraId="57B78B60" w14:textId="2957B77A" w:rsidR="00B01FCD" w:rsidRPr="00FB3A86" w:rsidRDefault="00783066" w:rsidP="00441B6F">
      <w:pPr>
        <w:pStyle w:val="Copyright"/>
        <w:spacing w:after="0" w:line="240" w:lineRule="auto"/>
        <w:jc w:val="both"/>
        <w:rPr>
          <w:rFonts w:ascii="Arial" w:hAnsi="Arial" w:cs="Arial"/>
        </w:rPr>
        <w:sectPr w:rsidR="00B01FCD" w:rsidRPr="00FB3A86" w:rsidSect="00594D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DE41D2" wp14:editId="6EEA309C">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F49B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6ABD97" w14:textId="609A88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F809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F166D7" w14:textId="77777777" w:rsidTr="001E44FE">
        <w:tc>
          <w:tcPr>
            <w:tcW w:w="9576" w:type="dxa"/>
            <w:shd w:val="clear" w:color="auto" w:fill="F2F2F2"/>
          </w:tcPr>
          <w:p w14:paraId="2CDDD10E" w14:textId="77777777" w:rsidR="00E3114E" w:rsidRDefault="00E3114E" w:rsidP="00441B6F">
            <w:pPr>
              <w:pStyle w:val="Body"/>
              <w:spacing w:after="0"/>
              <w:rPr>
                <w:rFonts w:ascii="Arial" w:eastAsia="Calibri" w:hAnsi="Arial" w:cs="Arial"/>
                <w:b/>
                <w:szCs w:val="22"/>
              </w:rPr>
            </w:pPr>
          </w:p>
          <w:p w14:paraId="54A9CF5D" w14:textId="7792557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62BA5" w:rsidRPr="000A538D">
              <w:rPr>
                <w:rFonts w:ascii="Arial" w:hAnsi="Arial" w:cs="Arial"/>
              </w:rPr>
              <w:t>This review examines synthesized evidence on exposure-outcome relationships, quantifies the preventable burden, and evaluates scaling strategies for evidence-based interventions for achieving elimination</w:t>
            </w:r>
            <w:r w:rsidRPr="00BA1B01">
              <w:rPr>
                <w:rFonts w:ascii="Arial" w:eastAsia="Calibri" w:hAnsi="Arial" w:cs="Arial"/>
                <w:szCs w:val="22"/>
              </w:rPr>
              <w:t>.</w:t>
            </w:r>
          </w:p>
          <w:p w14:paraId="1185155B" w14:textId="46720C0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07C7">
              <w:rPr>
                <w:rFonts w:ascii="Arial" w:eastAsia="Calibri" w:hAnsi="Arial" w:cs="Arial"/>
                <w:szCs w:val="22"/>
              </w:rPr>
              <w:t>Narrative Review</w:t>
            </w:r>
          </w:p>
          <w:p w14:paraId="07E5866C" w14:textId="60893B2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DF670A">
              <w:rPr>
                <w:rFonts w:ascii="Arial" w:eastAsia="Calibri" w:hAnsi="Arial" w:cs="Arial"/>
                <w:b/>
                <w:bCs/>
                <w:szCs w:val="22"/>
              </w:rPr>
              <w:t xml:space="preserve">: </w:t>
            </w:r>
            <w:r w:rsidR="00DF670A" w:rsidRPr="000A538D">
              <w:rPr>
                <w:rFonts w:ascii="Arial" w:hAnsi="Arial" w:cs="Arial"/>
              </w:rPr>
              <w:t>We conducted a narrative review of studies linking prenatal environmental exposures to maternal outcomes, systematic reviews</w:t>
            </w:r>
            <w:r w:rsidR="0014793E">
              <w:rPr>
                <w:rFonts w:ascii="Arial" w:hAnsi="Arial" w:cs="Arial"/>
              </w:rPr>
              <w:t>,</w:t>
            </w:r>
            <w:r w:rsidR="00DF670A" w:rsidRPr="000A538D">
              <w:rPr>
                <w:rFonts w:ascii="Arial" w:hAnsi="Arial" w:cs="Arial"/>
              </w:rPr>
              <w:t xml:space="preserve"> </w:t>
            </w:r>
            <w:r w:rsidR="00F56EFD">
              <w:rPr>
                <w:rFonts w:ascii="Arial" w:hAnsi="Arial" w:cs="Arial"/>
              </w:rPr>
              <w:t>meta-analyses examining effect sizes and the</w:t>
            </w:r>
            <w:r w:rsidR="00DF670A" w:rsidRPr="000A538D">
              <w:rPr>
                <w:rFonts w:ascii="Arial" w:hAnsi="Arial" w:cs="Arial"/>
              </w:rPr>
              <w:t xml:space="preserve"> effectiveness of remediation interventions, and case studies of successful contamination elimination programs in the United </w:t>
            </w:r>
            <w:r w:rsidR="00BE7349" w:rsidRPr="000A538D">
              <w:rPr>
                <w:rFonts w:ascii="Arial" w:hAnsi="Arial" w:cs="Arial"/>
              </w:rPr>
              <w:t>States.</w:t>
            </w:r>
          </w:p>
          <w:p w14:paraId="0B628DA4" w14:textId="60DD9826" w:rsidR="00BA1B01" w:rsidRPr="00BA1B01" w:rsidRDefault="00C50550" w:rsidP="00441B6F">
            <w:pPr>
              <w:pStyle w:val="Body"/>
              <w:spacing w:after="0"/>
              <w:rPr>
                <w:rFonts w:ascii="Arial" w:eastAsia="Calibri" w:hAnsi="Arial" w:cs="Arial"/>
                <w:b/>
                <w:bCs/>
                <w:szCs w:val="22"/>
              </w:rPr>
            </w:pPr>
            <w:r>
              <w:rPr>
                <w:rFonts w:ascii="Arial" w:eastAsia="Calibri" w:hAnsi="Arial" w:cs="Arial"/>
                <w:b/>
                <w:bCs/>
                <w:szCs w:val="22"/>
              </w:rPr>
              <w:t>Findings</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sidR="008F7765" w:rsidRPr="000A538D">
              <w:rPr>
                <w:rFonts w:ascii="Arial" w:hAnsi="Arial" w:cs="Arial"/>
              </w:rPr>
              <w:t xml:space="preserve">Studies </w:t>
            </w:r>
            <w:r w:rsidR="00BE7349" w:rsidRPr="000A538D">
              <w:rPr>
                <w:rFonts w:ascii="Arial" w:hAnsi="Arial" w:cs="Arial"/>
              </w:rPr>
              <w:t>show that</w:t>
            </w:r>
            <w:r w:rsidR="008F7765" w:rsidRPr="000A538D">
              <w:rPr>
                <w:rFonts w:ascii="Arial" w:hAnsi="Arial" w:cs="Arial"/>
              </w:rPr>
              <w:t xml:space="preserve"> lead exposure is associated with a 2-3-fold increased risk of gestational hypertension and preeclampsia, mercury exposure with a 1.5- 2.0-fold increased risk of gestational diabetes, and </w:t>
            </w:r>
            <w:r w:rsidR="00F56EFD" w:rsidRPr="00F56EFD">
              <w:rPr>
                <w:rFonts w:ascii="Arial" w:hAnsi="Arial" w:cs="Arial"/>
              </w:rPr>
              <w:t>Per- and polyfluoroalkyl substances (</w:t>
            </w:r>
            <w:proofErr w:type="gramStart"/>
            <w:r w:rsidR="00F56EFD" w:rsidRPr="00F56EFD">
              <w:rPr>
                <w:rFonts w:ascii="Arial" w:hAnsi="Arial" w:cs="Arial"/>
              </w:rPr>
              <w:t xml:space="preserve">PFAS) </w:t>
            </w:r>
            <w:r w:rsidR="008F7765" w:rsidRPr="000A538D">
              <w:rPr>
                <w:rFonts w:ascii="Arial" w:hAnsi="Arial" w:cs="Arial"/>
              </w:rPr>
              <w:t xml:space="preserve"> exposure</w:t>
            </w:r>
            <w:proofErr w:type="gramEnd"/>
            <w:r w:rsidR="008F7765" w:rsidRPr="000A538D">
              <w:rPr>
                <w:rFonts w:ascii="Arial" w:hAnsi="Arial" w:cs="Arial"/>
              </w:rPr>
              <w:t xml:space="preserve"> with elevated odds of </w:t>
            </w:r>
            <w:r w:rsidR="00BE7349" w:rsidRPr="000A538D">
              <w:rPr>
                <w:rFonts w:ascii="Arial" w:hAnsi="Arial" w:cs="Arial"/>
              </w:rPr>
              <w:t>pre-eclampsia</w:t>
            </w:r>
            <w:r w:rsidR="008F7765" w:rsidRPr="000A538D">
              <w:rPr>
                <w:rFonts w:ascii="Arial" w:hAnsi="Arial" w:cs="Arial"/>
              </w:rPr>
              <w:t xml:space="preserve"> and pregnancy-induced hypertension</w:t>
            </w:r>
            <w:r w:rsidR="00BA1B01" w:rsidRPr="00BA1B01">
              <w:rPr>
                <w:rFonts w:ascii="Arial" w:eastAsia="Calibri" w:hAnsi="Arial" w:cs="Arial"/>
                <w:szCs w:val="22"/>
              </w:rPr>
              <w:t>.</w:t>
            </w:r>
          </w:p>
          <w:p w14:paraId="5EE08D17" w14:textId="08912466"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7349" w:rsidRPr="009E054B">
              <w:rPr>
                <w:rFonts w:ascii="Arial" w:hAnsi="Arial" w:cs="Arial"/>
              </w:rPr>
              <w:t xml:space="preserve">Lead, mercury, and </w:t>
            </w:r>
            <w:bookmarkStart w:id="2" w:name="_Hlk214453626"/>
            <w:r w:rsidR="00BE7349" w:rsidRPr="009E054B">
              <w:rPr>
                <w:rFonts w:ascii="Arial" w:hAnsi="Arial" w:cs="Arial"/>
              </w:rPr>
              <w:t>P</w:t>
            </w:r>
            <w:r w:rsidR="0096227F">
              <w:rPr>
                <w:rFonts w:ascii="Arial" w:hAnsi="Arial" w:cs="Arial"/>
              </w:rPr>
              <w:t>er- and polyfluoroalkyl</w:t>
            </w:r>
            <w:r w:rsidR="00F56EFD">
              <w:rPr>
                <w:rFonts w:ascii="Arial" w:hAnsi="Arial" w:cs="Arial"/>
              </w:rPr>
              <w:t xml:space="preserve"> substances (PFAS)</w:t>
            </w:r>
            <w:r w:rsidR="00BE7349" w:rsidRPr="009E054B">
              <w:rPr>
                <w:rFonts w:ascii="Arial" w:hAnsi="Arial" w:cs="Arial"/>
              </w:rPr>
              <w:t xml:space="preserve"> </w:t>
            </w:r>
            <w:bookmarkEnd w:id="2"/>
            <w:r w:rsidR="00BE7349" w:rsidRPr="009E054B">
              <w:rPr>
                <w:rFonts w:ascii="Arial" w:hAnsi="Arial" w:cs="Arial"/>
              </w:rPr>
              <w:t>exposures contribute to tens of thousands of maternal complications annually in the U.S., including preeclampsia, gestational diabetes, and preterm birth, leading to significant health and economic impacts. Eliminating these exposures is feasible through interventions like lead service-line replacement and PFAS water treatment, but it requires sustained policy, funding, and community governance. Coordinated national action, focused on equity and accountability, can prevent harm, reduce maternal morbidity, and promote environmental and reproductive justice</w:t>
            </w:r>
            <w:r w:rsidRPr="00BA1B01">
              <w:rPr>
                <w:rFonts w:ascii="Arial" w:eastAsia="Calibri" w:hAnsi="Arial" w:cs="Arial"/>
                <w:szCs w:val="22"/>
              </w:rPr>
              <w:t>.</w:t>
            </w:r>
          </w:p>
          <w:p w14:paraId="67919441" w14:textId="26A76B28" w:rsidR="00505F06" w:rsidRPr="00BA1B01" w:rsidRDefault="00505F06" w:rsidP="00441B6F">
            <w:pPr>
              <w:pStyle w:val="Body"/>
              <w:spacing w:after="0"/>
              <w:rPr>
                <w:rFonts w:ascii="Arial" w:eastAsia="Calibri" w:hAnsi="Arial" w:cs="Arial"/>
                <w:szCs w:val="22"/>
              </w:rPr>
            </w:pPr>
          </w:p>
        </w:tc>
      </w:tr>
    </w:tbl>
    <w:p w14:paraId="06032F29" w14:textId="77777777" w:rsidR="00636EB2" w:rsidRDefault="00636EB2" w:rsidP="000F0425">
      <w:pPr>
        <w:pStyle w:val="Body"/>
        <w:spacing w:after="0"/>
        <w:jc w:val="left"/>
        <w:rPr>
          <w:rFonts w:ascii="Arial" w:hAnsi="Arial" w:cs="Arial"/>
          <w:i/>
        </w:rPr>
      </w:pPr>
    </w:p>
    <w:p w14:paraId="4334DE55" w14:textId="34D3B5F7" w:rsidR="00A24E7E" w:rsidRDefault="00A24E7E" w:rsidP="000F0425">
      <w:pPr>
        <w:pStyle w:val="Body"/>
        <w:spacing w:after="0"/>
        <w:jc w:val="left"/>
        <w:rPr>
          <w:rFonts w:ascii="Arial" w:hAnsi="Arial" w:cs="Arial"/>
          <w:i/>
        </w:rPr>
      </w:pPr>
      <w:r>
        <w:rPr>
          <w:rFonts w:ascii="Arial" w:hAnsi="Arial" w:cs="Arial"/>
          <w:i/>
        </w:rPr>
        <w:t xml:space="preserve">Keywords: </w:t>
      </w:r>
      <w:r w:rsidR="0051352A">
        <w:rPr>
          <w:rFonts w:ascii="Arial" w:hAnsi="Arial" w:cs="Arial"/>
          <w:i/>
        </w:rPr>
        <w:t xml:space="preserve">Environmental contaminants, </w:t>
      </w:r>
      <w:r w:rsidR="00D346E7">
        <w:rPr>
          <w:rFonts w:ascii="Arial" w:hAnsi="Arial" w:cs="Arial"/>
          <w:i/>
        </w:rPr>
        <w:t xml:space="preserve">Exposures, </w:t>
      </w:r>
      <w:r w:rsidR="0051352A">
        <w:rPr>
          <w:rFonts w:ascii="Arial" w:hAnsi="Arial" w:cs="Arial"/>
          <w:i/>
        </w:rPr>
        <w:t xml:space="preserve">Maternal </w:t>
      </w:r>
      <w:r w:rsidR="000F0425">
        <w:rPr>
          <w:rFonts w:ascii="Arial" w:hAnsi="Arial" w:cs="Arial"/>
          <w:i/>
        </w:rPr>
        <w:t xml:space="preserve">Mortality, </w:t>
      </w:r>
      <w:r w:rsidR="00B05C9E">
        <w:rPr>
          <w:rFonts w:ascii="Arial" w:hAnsi="Arial" w:cs="Arial"/>
          <w:i/>
        </w:rPr>
        <w:t>Birth</w:t>
      </w:r>
      <w:r w:rsidR="000F0425">
        <w:rPr>
          <w:rFonts w:ascii="Arial" w:hAnsi="Arial" w:cs="Arial"/>
          <w:i/>
        </w:rPr>
        <w:t xml:space="preserve"> </w:t>
      </w:r>
      <w:r w:rsidR="00B05C9E">
        <w:rPr>
          <w:rFonts w:ascii="Arial" w:hAnsi="Arial" w:cs="Arial"/>
          <w:i/>
        </w:rPr>
        <w:t>Outcomes, Lead</w:t>
      </w:r>
      <w:r w:rsidR="0051352A">
        <w:rPr>
          <w:rFonts w:ascii="Arial" w:hAnsi="Arial" w:cs="Arial"/>
          <w:i/>
        </w:rPr>
        <w:t>,</w:t>
      </w:r>
      <w:r w:rsidR="00B05C9E">
        <w:rPr>
          <w:rFonts w:ascii="Arial" w:hAnsi="Arial" w:cs="Arial"/>
          <w:i/>
        </w:rPr>
        <w:t xml:space="preserve"> Mercury</w:t>
      </w:r>
      <w:r w:rsidR="00225D5A">
        <w:rPr>
          <w:rFonts w:ascii="Arial" w:hAnsi="Arial" w:cs="Arial"/>
          <w:i/>
        </w:rPr>
        <w:t>,</w:t>
      </w:r>
      <w:r w:rsidR="000F0425">
        <w:rPr>
          <w:rFonts w:ascii="Arial" w:hAnsi="Arial" w:cs="Arial"/>
          <w:i/>
        </w:rPr>
        <w:t xml:space="preserve"> </w:t>
      </w:r>
      <w:r w:rsidR="0051352A">
        <w:rPr>
          <w:rFonts w:ascii="Arial" w:hAnsi="Arial" w:cs="Arial"/>
          <w:i/>
        </w:rPr>
        <w:t>PFAS</w:t>
      </w:r>
      <w:r w:rsidR="000F0425">
        <w:rPr>
          <w:rFonts w:ascii="Arial" w:hAnsi="Arial" w:cs="Arial"/>
          <w:i/>
        </w:rPr>
        <w:t>, exposure</w:t>
      </w:r>
      <w:r w:rsidR="00E752E7">
        <w:rPr>
          <w:rFonts w:ascii="Arial" w:hAnsi="Arial" w:cs="Arial"/>
          <w:i/>
        </w:rPr>
        <w:t xml:space="preserve">, Health policy, Environmental health prevention. </w:t>
      </w:r>
    </w:p>
    <w:p w14:paraId="5644263B" w14:textId="721C9053" w:rsidR="0024282C" w:rsidRDefault="0024282C" w:rsidP="000B55F7">
      <w:pPr>
        <w:pStyle w:val="Body"/>
        <w:spacing w:after="0"/>
        <w:rPr>
          <w:rFonts w:ascii="Arial" w:hAnsi="Arial" w:cs="Arial"/>
          <w:i/>
          <w:sz w:val="18"/>
        </w:rPr>
      </w:pPr>
    </w:p>
    <w:p w14:paraId="0F7B99A7" w14:textId="77777777" w:rsidR="00505F06" w:rsidRPr="00A24E7E" w:rsidRDefault="00505F06" w:rsidP="00441B6F">
      <w:pPr>
        <w:pStyle w:val="Body"/>
        <w:spacing w:after="0"/>
        <w:rPr>
          <w:rFonts w:ascii="Arial" w:hAnsi="Arial" w:cs="Arial"/>
          <w:i/>
        </w:rPr>
      </w:pPr>
    </w:p>
    <w:p w14:paraId="13C24495" w14:textId="426964DE" w:rsidR="007F7B32" w:rsidRDefault="00B01FCD" w:rsidP="00E56434">
      <w:pPr>
        <w:pStyle w:val="AbstHead"/>
        <w:spacing w:after="0"/>
        <w:rPr>
          <w:rFonts w:ascii="Arial" w:hAnsi="Arial" w:cs="Arial"/>
        </w:rPr>
      </w:pPr>
      <w:r w:rsidRPr="00C50550">
        <w:rPr>
          <w:rFonts w:ascii="Arial" w:hAnsi="Arial" w:cs="Arial"/>
          <w:sz w:val="20"/>
        </w:rPr>
        <w:t>INTRODUCTION</w:t>
      </w:r>
      <w:r w:rsidR="007F7B32">
        <w:rPr>
          <w:rFonts w:ascii="Arial" w:hAnsi="Arial" w:cs="Arial"/>
        </w:rPr>
        <w:t xml:space="preserve"> </w:t>
      </w:r>
    </w:p>
    <w:p w14:paraId="1ECDC25A" w14:textId="77777777" w:rsidR="00790ADA" w:rsidRPr="00FB3A86" w:rsidRDefault="00790ADA" w:rsidP="00441B6F">
      <w:pPr>
        <w:pStyle w:val="AbstHead"/>
        <w:spacing w:after="0"/>
        <w:jc w:val="both"/>
        <w:rPr>
          <w:rFonts w:ascii="Arial" w:hAnsi="Arial" w:cs="Arial"/>
        </w:rPr>
      </w:pPr>
    </w:p>
    <w:p w14:paraId="339CF47B" w14:textId="77777777" w:rsidR="00E60E6F" w:rsidRPr="00E60E6F" w:rsidRDefault="00E60E6F" w:rsidP="00F56EFD">
      <w:pPr>
        <w:pStyle w:val="AbstHead"/>
        <w:contextualSpacing/>
        <w:jc w:val="both"/>
        <w:rPr>
          <w:rFonts w:ascii="Arial" w:hAnsi="Arial" w:cs="Arial"/>
          <w:b w:val="0"/>
          <w:caps w:val="0"/>
          <w:sz w:val="20"/>
        </w:rPr>
      </w:pPr>
      <w:r w:rsidRPr="00E60E6F">
        <w:rPr>
          <w:rFonts w:ascii="Arial" w:hAnsi="Arial" w:cs="Arial"/>
          <w:b w:val="0"/>
          <w:caps w:val="0"/>
          <w:sz w:val="20"/>
        </w:rPr>
        <w:t>The United States is experiencing a maternal health crisis unparalleled among high</w:t>
      </w:r>
      <w:r w:rsidRPr="00E60E6F">
        <w:rPr>
          <w:rFonts w:ascii="Cambria Math" w:hAnsi="Cambria Math" w:cs="Cambria Math"/>
          <w:b w:val="0"/>
          <w:caps w:val="0"/>
          <w:sz w:val="20"/>
        </w:rPr>
        <w:t>‑</w:t>
      </w:r>
      <w:r w:rsidRPr="00E60E6F">
        <w:rPr>
          <w:rFonts w:ascii="Arial" w:hAnsi="Arial" w:cs="Arial"/>
          <w:b w:val="0"/>
          <w:caps w:val="0"/>
          <w:sz w:val="20"/>
        </w:rPr>
        <w:t>income nations. Maternal mortality has steadily increased over three decades to 32.9 deaths per 100,000 live births in 2021, more than double the rates in comparable wealthy countries and the highest among developed nations. [1], [2], [3] Severe maternal morbidity (SMM) now affects roughly 50,000–60,000 women annually, with corresponding 1.4–1.7% of birth outcomes, and has increased markedly since 2006, driven by rises in events such as blood transfusion and eclampsia.[4], [5] These outcomes are inequitably distributed among American women of African descent, Indian, and Alaska Native descent, who experience maternal mortality rates many times higher than those of non-Hispanic women of European ancestry, disparities that persist after accounting for education, income, and insurance, and implicate structural racism and systemic barriers to quality care. [1], [6], [7]</w:t>
      </w:r>
    </w:p>
    <w:p w14:paraId="275BD9CB" w14:textId="77777777" w:rsidR="00E60E6F" w:rsidRPr="00E60E6F" w:rsidRDefault="00E60E6F" w:rsidP="00F56EFD">
      <w:pPr>
        <w:pStyle w:val="AbstHead"/>
        <w:contextualSpacing/>
        <w:jc w:val="both"/>
        <w:rPr>
          <w:rFonts w:ascii="Arial" w:hAnsi="Arial" w:cs="Arial"/>
          <w:b w:val="0"/>
          <w:caps w:val="0"/>
          <w:sz w:val="20"/>
        </w:rPr>
      </w:pPr>
      <w:r w:rsidRPr="00E60E6F">
        <w:rPr>
          <w:rFonts w:ascii="Arial" w:hAnsi="Arial" w:cs="Arial"/>
          <w:b w:val="0"/>
          <w:caps w:val="0"/>
          <w:sz w:val="20"/>
        </w:rPr>
        <w:t xml:space="preserve">Traditional clinical and sociodemographic risk factors such as advanced maternal age, obesity, chronic hypertension, pregestational diabetes, prior obstetric complications, and limited prenatal care account for only part of the burden on </w:t>
      </w:r>
      <w:r w:rsidRPr="00E60E6F">
        <w:rPr>
          <w:rFonts w:ascii="Arial" w:hAnsi="Arial" w:cs="Arial"/>
          <w:b w:val="0"/>
          <w:caps w:val="0"/>
          <w:sz w:val="20"/>
        </w:rPr>
        <w:lastRenderedPageBreak/>
        <w:t>maternal health. A growing body of evidence identifies environmental contaminants in water, housing, air, and consumer products, like nicotine in cigarettes, as modifiable contributors to adverse maternal and birth outcomes.[8], [9] Lead, mercury, and per</w:t>
      </w:r>
      <w:r w:rsidRPr="00E60E6F">
        <w:rPr>
          <w:rFonts w:ascii="Cambria Math" w:hAnsi="Cambria Math" w:cs="Cambria Math"/>
          <w:b w:val="0"/>
          <w:caps w:val="0"/>
          <w:sz w:val="20"/>
        </w:rPr>
        <w:t>‑</w:t>
      </w:r>
      <w:r w:rsidRPr="00E60E6F">
        <w:rPr>
          <w:rFonts w:ascii="Arial" w:hAnsi="Arial" w:cs="Arial"/>
          <w:b w:val="0"/>
          <w:caps w:val="0"/>
          <w:sz w:val="20"/>
        </w:rPr>
        <w:t xml:space="preserve"> and polyfluoroalkyl substances (PFAS) are of particular concern because these substances are nearly ubiquitous in reproductive</w:t>
      </w:r>
      <w:r w:rsidRPr="00E60E6F">
        <w:rPr>
          <w:rFonts w:ascii="Cambria Math" w:hAnsi="Cambria Math" w:cs="Cambria Math"/>
          <w:b w:val="0"/>
          <w:caps w:val="0"/>
          <w:sz w:val="20"/>
        </w:rPr>
        <w:t>‑</w:t>
      </w:r>
      <w:r w:rsidRPr="00E60E6F">
        <w:rPr>
          <w:rFonts w:ascii="Arial" w:hAnsi="Arial" w:cs="Arial"/>
          <w:b w:val="0"/>
          <w:caps w:val="0"/>
          <w:sz w:val="20"/>
        </w:rPr>
        <w:t>age women, environmentally persistent, disproportionately concentrated in marginalized communities, biologically plausible drivers of placental, endocrine, inflammatory, metabolic, and vascular dysfunction, and in principle preventable through remediation and regulation.[10], [11], [12]</w:t>
      </w:r>
    </w:p>
    <w:p w14:paraId="7C39FA83" w14:textId="77777777" w:rsidR="00E60E6F" w:rsidRDefault="00E60E6F" w:rsidP="00F56EFD">
      <w:pPr>
        <w:pStyle w:val="AbstHead"/>
        <w:spacing w:after="0"/>
        <w:contextualSpacing/>
        <w:jc w:val="both"/>
        <w:rPr>
          <w:rFonts w:ascii="Arial" w:hAnsi="Arial" w:cs="Arial"/>
          <w:b w:val="0"/>
          <w:caps w:val="0"/>
          <w:sz w:val="20"/>
        </w:rPr>
      </w:pPr>
      <w:r w:rsidRPr="00E60E6F">
        <w:rPr>
          <w:rFonts w:ascii="Arial" w:hAnsi="Arial" w:cs="Arial"/>
          <w:b w:val="0"/>
          <w:caps w:val="0"/>
          <w:sz w:val="20"/>
        </w:rPr>
        <w:t>Framing exposure reduction as an elimination goal leverages a successful public</w:t>
      </w:r>
      <w:r w:rsidRPr="00E60E6F">
        <w:rPr>
          <w:rFonts w:ascii="Cambria Math" w:hAnsi="Cambria Math" w:cs="Cambria Math"/>
          <w:b w:val="0"/>
          <w:caps w:val="0"/>
          <w:sz w:val="20"/>
        </w:rPr>
        <w:t>‑</w:t>
      </w:r>
      <w:r w:rsidRPr="00E60E6F">
        <w:rPr>
          <w:rFonts w:ascii="Arial" w:hAnsi="Arial" w:cs="Arial"/>
          <w:b w:val="0"/>
          <w:caps w:val="0"/>
          <w:sz w:val="20"/>
        </w:rPr>
        <w:t xml:space="preserve">health paradigm. Reducing prevalence to near zero within a defined area through sustained intervention has precedent in environmental health, including the phase-out of leaded gasoline (yielding a nearly 90% decline in childhood blood lead), substantial reductions in mercury emissions under Clean Air Act rules, and bans on persistent organic pollutants such as Dichlorodiphenyltrichloroethane (DDT).[11], [12], [13], [14] This review synthesizes evidence linking lead, mercury, and PFAS to maternal and birth complications. It evaluates elimination-oriented strategies </w:t>
      </w:r>
      <w:proofErr w:type="gramStart"/>
      <w:r w:rsidRPr="00E60E6F">
        <w:rPr>
          <w:rFonts w:ascii="Arial" w:hAnsi="Arial" w:cs="Arial"/>
          <w:b w:val="0"/>
          <w:caps w:val="0"/>
          <w:sz w:val="20"/>
        </w:rPr>
        <w:t>( such</w:t>
      </w:r>
      <w:proofErr w:type="gramEnd"/>
      <w:r w:rsidRPr="00E60E6F">
        <w:rPr>
          <w:rFonts w:ascii="Arial" w:hAnsi="Arial" w:cs="Arial"/>
          <w:b w:val="0"/>
          <w:caps w:val="0"/>
          <w:sz w:val="20"/>
        </w:rPr>
        <w:t xml:space="preserve"> as regulatory reform, targeted remediation, exposure surveillance, community-centered interventions, and equity-focused policy levers) that could plausibly decrease environmentally attributable maternal morbidity and mortality within the coming decade.</w:t>
      </w:r>
    </w:p>
    <w:p w14:paraId="474DBB5A" w14:textId="77777777" w:rsidR="00E92461" w:rsidRDefault="00E92461" w:rsidP="00E92461">
      <w:pPr>
        <w:pStyle w:val="AbstHead"/>
        <w:spacing w:after="0"/>
        <w:rPr>
          <w:rFonts w:ascii="Arial" w:hAnsi="Arial" w:cs="Arial"/>
        </w:rPr>
      </w:pPr>
    </w:p>
    <w:p w14:paraId="458C9129" w14:textId="223C1530" w:rsidR="00E92461" w:rsidRDefault="00E92461" w:rsidP="00E92461">
      <w:pPr>
        <w:pStyle w:val="AbstHead"/>
        <w:spacing w:after="0"/>
        <w:rPr>
          <w:rFonts w:ascii="Arial" w:hAnsi="Arial" w:cs="Arial"/>
        </w:rPr>
      </w:pPr>
      <w:r w:rsidRPr="00E92461">
        <w:rPr>
          <w:rFonts w:ascii="Arial" w:hAnsi="Arial" w:cs="Arial"/>
        </w:rPr>
        <w:t xml:space="preserve">Dynamics of Heavy Metal </w:t>
      </w:r>
      <w:proofErr w:type="gramStart"/>
      <w:r w:rsidRPr="00E92461">
        <w:rPr>
          <w:rFonts w:ascii="Arial" w:hAnsi="Arial" w:cs="Arial"/>
        </w:rPr>
        <w:t>Exposure  to</w:t>
      </w:r>
      <w:proofErr w:type="gramEnd"/>
      <w:r w:rsidRPr="00E92461">
        <w:rPr>
          <w:rFonts w:ascii="Arial" w:hAnsi="Arial" w:cs="Arial"/>
        </w:rPr>
        <w:t xml:space="preserve"> Adverse  Maternal Birth Outcomes</w:t>
      </w:r>
    </w:p>
    <w:p w14:paraId="1EF90ECF" w14:textId="77777777" w:rsidR="00790ADA" w:rsidRPr="00FB3A86" w:rsidRDefault="00790ADA" w:rsidP="00441B6F">
      <w:pPr>
        <w:pStyle w:val="Body"/>
        <w:spacing w:after="0"/>
        <w:rPr>
          <w:rFonts w:ascii="Arial" w:hAnsi="Arial" w:cs="Arial"/>
        </w:rPr>
      </w:pPr>
    </w:p>
    <w:p w14:paraId="53B9E9A6" w14:textId="50B03D02" w:rsidR="00AA74E0" w:rsidRDefault="00AA74E0" w:rsidP="006601FD">
      <w:pPr>
        <w:pStyle w:val="Body"/>
        <w:spacing w:after="0"/>
        <w:jc w:val="left"/>
        <w:rPr>
          <w:rFonts w:ascii="Arial" w:hAnsi="Arial" w:cs="Arial"/>
          <w:b/>
          <w:sz w:val="22"/>
          <w:szCs w:val="22"/>
        </w:rPr>
      </w:pPr>
      <w:r w:rsidRPr="00C30A0F">
        <w:rPr>
          <w:rFonts w:ascii="Arial" w:hAnsi="Arial" w:cs="Arial"/>
          <w:b/>
          <w:caps/>
          <w:sz w:val="22"/>
        </w:rPr>
        <w:t>2.1</w:t>
      </w:r>
      <w:r w:rsidR="006601FD" w:rsidRPr="006601FD">
        <w:rPr>
          <w:rFonts w:ascii="Arial" w:hAnsi="Arial" w:cs="Arial"/>
          <w:b/>
          <w:sz w:val="22"/>
          <w:szCs w:val="22"/>
        </w:rPr>
        <w:t xml:space="preserve"> Lead Exposure and Maternal Outcomes</w:t>
      </w:r>
    </w:p>
    <w:p w14:paraId="1A40DB1A" w14:textId="77777777" w:rsidR="003732C8" w:rsidRPr="00F56EFD" w:rsidRDefault="003732C8" w:rsidP="00F56EFD">
      <w:pPr>
        <w:pStyle w:val="Body"/>
        <w:contextualSpacing/>
        <w:rPr>
          <w:rFonts w:ascii="Arial" w:hAnsi="Arial" w:cs="Arial"/>
        </w:rPr>
      </w:pPr>
      <w:r w:rsidRPr="003732C8">
        <w:rPr>
          <w:rFonts w:ascii="Arial" w:hAnsi="Arial" w:cs="Arial"/>
        </w:rPr>
        <w:t xml:space="preserve">Epidemiologic evidence links maternal lead burden, measured in blood, cord blood, placental tissue, and bone, to hypertensive disorders, gestational diabetes, preterm delivery, and placental complications; associations are observed at levels below conventional reference thresholds and across diverse cohorts.[15], [16]  An experimental study by Zhong et al. and other observational cohorts in 2022 demonstrated that maternal blood lead levels, even below </w:t>
      </w:r>
      <w:r w:rsidRPr="00F56EFD">
        <w:rPr>
          <w:rFonts w:ascii="Arial" w:hAnsi="Arial" w:cs="Arial"/>
        </w:rPr>
        <w:t xml:space="preserve">5 </w:t>
      </w:r>
      <w:proofErr w:type="spellStart"/>
      <w:r w:rsidRPr="00F56EFD">
        <w:rPr>
          <w:rFonts w:ascii="Arial" w:hAnsi="Arial" w:cs="Arial"/>
        </w:rPr>
        <w:t>μg</w:t>
      </w:r>
      <w:proofErr w:type="spellEnd"/>
      <w:r w:rsidRPr="00F56EFD">
        <w:rPr>
          <w:rFonts w:ascii="Arial" w:hAnsi="Arial" w:cs="Arial"/>
        </w:rPr>
        <w:t>/dL, are significantly associated with preeclampsia risk across multiple populations, with physiological mobilization of skeletal lead during pregnancy contributing to the maternal burden. [16], [17]</w:t>
      </w:r>
    </w:p>
    <w:p w14:paraId="1E4565F7" w14:textId="664B5790" w:rsidR="00505F06" w:rsidRDefault="003732C8" w:rsidP="00F56EFD">
      <w:pPr>
        <w:pStyle w:val="Body"/>
        <w:contextualSpacing/>
        <w:rPr>
          <w:rFonts w:ascii="Arial" w:hAnsi="Arial" w:cs="Arial"/>
        </w:rPr>
      </w:pPr>
      <w:r w:rsidRPr="00F56EFD">
        <w:rPr>
          <w:rFonts w:ascii="Arial" w:hAnsi="Arial" w:cs="Arial"/>
        </w:rPr>
        <w:t>Recent studies using early</w:t>
      </w:r>
      <w:r w:rsidRPr="00F56EFD">
        <w:rPr>
          <w:rFonts w:ascii="Cambria Math" w:hAnsi="Cambria Math" w:cs="Cambria Math"/>
        </w:rPr>
        <w:t>‑</w:t>
      </w:r>
      <w:r w:rsidRPr="00F56EFD">
        <w:rPr>
          <w:rFonts w:ascii="Arial" w:hAnsi="Arial" w:cs="Arial"/>
        </w:rPr>
        <w:t>pregnancy measures and placental or bone matrices that reflect exposure during critical windows or cumulative burdens tend to show more potent effects, with lead adversely affecting maternal and fetal health. In a survey of 5,215 Korean women, higher maternal blood concentrations of heavy metals, including lead, during early pregnancy were linked to reduced birth weights</w:t>
      </w:r>
      <w:r w:rsidRPr="003732C8">
        <w:rPr>
          <w:rFonts w:ascii="Arial" w:hAnsi="Arial" w:cs="Arial"/>
        </w:rPr>
        <w:t xml:space="preserve"> of approximately 24 grams. [15], [16] Additionally, elevated placental cadmium levels (≥ 0.31 </w:t>
      </w:r>
      <w:proofErr w:type="spellStart"/>
      <w:r w:rsidRPr="003732C8">
        <w:rPr>
          <w:rFonts w:ascii="Arial" w:hAnsi="Arial" w:cs="Arial"/>
        </w:rPr>
        <w:t>μg</w:t>
      </w:r>
      <w:proofErr w:type="spellEnd"/>
      <w:r w:rsidRPr="003732C8">
        <w:rPr>
          <w:rFonts w:ascii="Arial" w:hAnsi="Arial" w:cs="Arial"/>
        </w:rPr>
        <w:t xml:space="preserve">/g) are associated with an increased risk of </w:t>
      </w:r>
      <w:r w:rsidR="0014793E" w:rsidRPr="003732C8">
        <w:rPr>
          <w:rFonts w:ascii="Arial" w:hAnsi="Arial" w:cs="Arial"/>
        </w:rPr>
        <w:t>pre-eclampsia</w:t>
      </w:r>
      <w:r w:rsidRPr="003732C8">
        <w:rPr>
          <w:rFonts w:ascii="Arial" w:hAnsi="Arial" w:cs="Arial"/>
        </w:rPr>
        <w:t xml:space="preserve"> and poor fetal growth, likely due to placental toxicity and nutrient transfer </w:t>
      </w:r>
      <w:proofErr w:type="gramStart"/>
      <w:r w:rsidRPr="003732C8">
        <w:rPr>
          <w:rFonts w:ascii="Arial" w:hAnsi="Arial" w:cs="Arial"/>
        </w:rPr>
        <w:t>disruption.[</w:t>
      </w:r>
      <w:proofErr w:type="gramEnd"/>
      <w:r w:rsidRPr="003732C8">
        <w:rPr>
          <w:rFonts w:ascii="Arial" w:hAnsi="Arial" w:cs="Arial"/>
        </w:rPr>
        <w:t>18] This impact suggests both recent and lifetime heavy metal stores contribute to hypertensive and metabolic dysfunction in pregnancy.</w:t>
      </w:r>
    </w:p>
    <w:p w14:paraId="23E1D7B2" w14:textId="77777777" w:rsidR="00F56EFD" w:rsidRDefault="00F56EFD" w:rsidP="00F56EFD">
      <w:pPr>
        <w:pStyle w:val="Body"/>
        <w:contextualSpacing/>
        <w:rPr>
          <w:rFonts w:ascii="Arial" w:hAnsi="Arial" w:cs="Arial"/>
        </w:rPr>
      </w:pPr>
    </w:p>
    <w:p w14:paraId="2C663165" w14:textId="77777777" w:rsidR="00F56EFD" w:rsidRDefault="00F56EFD" w:rsidP="00F56EFD">
      <w:pPr>
        <w:pStyle w:val="Body"/>
        <w:contextualSpacing/>
        <w:rPr>
          <w:rFonts w:ascii="Arial" w:hAnsi="Arial" w:cs="Arial"/>
        </w:rPr>
      </w:pPr>
    </w:p>
    <w:p w14:paraId="20D8C644" w14:textId="77777777" w:rsidR="00532B32" w:rsidRDefault="00E64874" w:rsidP="00532B32">
      <w:pPr>
        <w:pStyle w:val="Body"/>
        <w:spacing w:after="0"/>
        <w:jc w:val="left"/>
        <w:rPr>
          <w:rFonts w:ascii="Arial" w:hAnsi="Arial" w:cs="Arial"/>
          <w:b/>
          <w:bCs/>
          <w:sz w:val="22"/>
          <w:szCs w:val="22"/>
        </w:rPr>
      </w:pPr>
      <w:r w:rsidRPr="00E64874">
        <w:rPr>
          <w:rFonts w:ascii="Arial" w:hAnsi="Arial" w:cs="Arial"/>
          <w:b/>
          <w:bCs/>
          <w:sz w:val="22"/>
          <w:szCs w:val="22"/>
        </w:rPr>
        <w:t>2.2 Mercury Exposure and Maternal Birth Outcomes</w:t>
      </w:r>
    </w:p>
    <w:p w14:paraId="4F088397" w14:textId="1FAB7A7A" w:rsidR="00E64874" w:rsidRDefault="00E64874" w:rsidP="00532B32">
      <w:pPr>
        <w:pStyle w:val="Body"/>
        <w:spacing w:after="0"/>
        <w:contextualSpacing/>
        <w:jc w:val="left"/>
        <w:rPr>
          <w:rFonts w:ascii="Arial" w:hAnsi="Arial" w:cs="Arial"/>
        </w:rPr>
      </w:pPr>
      <w:r w:rsidRPr="00E64874">
        <w:rPr>
          <w:rFonts w:ascii="Arial" w:hAnsi="Arial" w:cs="Arial"/>
        </w:rPr>
        <w:t xml:space="preserve">Mercury exposure may contribute to gestational diabetes, preeclampsia, and preterm birth through its disruption of thyroid function and downstream effects on glucose and vascular regulation. A 2023 Swedish prospective birth cohort study of 515 women found that 12% of methylmercury's total impact on reduced birth weight and length was mediated through decreased maternal thyroid hormone levels in the third trimester, suggesting thyroid disruption as a mechanistic pathway. [19] Mercury’s interference with thyroid function and downstream effects on glucose and vascular regulation offer a plausible mechanistic pathway linking exposure to increased risks of GDM, </w:t>
      </w:r>
      <w:r w:rsidR="0014793E" w:rsidRPr="00E64874">
        <w:rPr>
          <w:rFonts w:ascii="Arial" w:hAnsi="Arial" w:cs="Arial"/>
        </w:rPr>
        <w:t>pre-eclampsia</w:t>
      </w:r>
      <w:r w:rsidRPr="00E64874">
        <w:rPr>
          <w:rFonts w:ascii="Arial" w:hAnsi="Arial" w:cs="Arial"/>
        </w:rPr>
        <w:t>, and preterm birth in susceptible populations. [18], [19]</w:t>
      </w:r>
    </w:p>
    <w:p w14:paraId="7917EA3A" w14:textId="77777777" w:rsidR="00532B32" w:rsidRPr="00532B32" w:rsidRDefault="00532B32" w:rsidP="00532B32">
      <w:pPr>
        <w:pStyle w:val="Body"/>
        <w:spacing w:after="0"/>
        <w:contextualSpacing/>
        <w:jc w:val="left"/>
        <w:rPr>
          <w:rFonts w:ascii="Arial" w:hAnsi="Arial" w:cs="Arial"/>
          <w:b/>
          <w:bCs/>
          <w:sz w:val="22"/>
          <w:szCs w:val="22"/>
        </w:rPr>
      </w:pPr>
    </w:p>
    <w:p w14:paraId="14AD0F73" w14:textId="77777777" w:rsidR="00E64874" w:rsidRPr="00532B32" w:rsidRDefault="00E64874" w:rsidP="00532B32">
      <w:pPr>
        <w:pStyle w:val="Body"/>
        <w:spacing w:after="0"/>
        <w:contextualSpacing/>
        <w:jc w:val="left"/>
        <w:rPr>
          <w:rFonts w:ascii="Arial" w:hAnsi="Arial" w:cs="Arial"/>
          <w:b/>
          <w:bCs/>
          <w:sz w:val="22"/>
          <w:szCs w:val="22"/>
        </w:rPr>
      </w:pPr>
      <w:r w:rsidRPr="00532B32">
        <w:rPr>
          <w:rFonts w:ascii="Arial" w:hAnsi="Arial" w:cs="Arial"/>
          <w:b/>
          <w:bCs/>
          <w:sz w:val="22"/>
          <w:szCs w:val="22"/>
        </w:rPr>
        <w:t>2.3 PFAS exposure and maternal outcomes</w:t>
      </w:r>
    </w:p>
    <w:p w14:paraId="4E366F37" w14:textId="3E48B476" w:rsidR="00E64874" w:rsidRPr="00E64874" w:rsidRDefault="00E64874" w:rsidP="00532B32">
      <w:pPr>
        <w:pStyle w:val="Body"/>
        <w:spacing w:after="0"/>
        <w:contextualSpacing/>
        <w:rPr>
          <w:rFonts w:ascii="Arial" w:hAnsi="Arial" w:cs="Arial"/>
        </w:rPr>
      </w:pPr>
      <w:r w:rsidRPr="00E64874">
        <w:rPr>
          <w:rFonts w:ascii="Arial" w:hAnsi="Arial" w:cs="Arial"/>
        </w:rPr>
        <w:t>Emerging epidemiologic evidence links prenatal PFAS exposure to hypertensive disorders of pregnancy, gestational diabetes, pregnancy loss, and placental dysfunction, with several large cohorts reporting dose–response relationships and stronger effects for early</w:t>
      </w:r>
      <w:r w:rsidRPr="00E64874">
        <w:rPr>
          <w:rFonts w:ascii="Cambria Math" w:hAnsi="Cambria Math" w:cs="Cambria Math"/>
        </w:rPr>
        <w:t>‑</w:t>
      </w:r>
      <w:r w:rsidRPr="00E64874">
        <w:rPr>
          <w:rFonts w:ascii="Arial" w:hAnsi="Arial" w:cs="Arial"/>
        </w:rPr>
        <w:t>onset preeclampsia and in metabolically susceptible women. [20], [21], [22]A plasma analysis of early pregnancy links PFAS exposure to hypertensive disorders, with PFOA doubling associated with 51% higher odds of gestational hypertension. Meta-analyses showing PFOA, PFOS, and PFNA significantly increase preeclampsia risk (ORs 1.20–1.23) and pregnancy loss [22], especially in the first trimester. [23] These associations with estimated population</w:t>
      </w:r>
      <w:r w:rsidRPr="00E64874">
        <w:rPr>
          <w:rFonts w:ascii="Cambria Math" w:hAnsi="Cambria Math" w:cs="Cambria Math"/>
        </w:rPr>
        <w:t>‑</w:t>
      </w:r>
      <w:r w:rsidRPr="00E64874">
        <w:rPr>
          <w:rFonts w:ascii="Arial" w:hAnsi="Arial" w:cs="Arial"/>
        </w:rPr>
        <w:t xml:space="preserve">attributable fractions of 15–20% in one cohort support the need for regulatory action despite remaining mechanistic uncertainties. [24] These findings collectively support a precautionary stance, given that pregnancy PFAS levels are associated with placental parameters of fetal-maternal exchange, highlighting their broad physiological </w:t>
      </w:r>
      <w:r w:rsidR="00DE25F5" w:rsidRPr="00E64874">
        <w:rPr>
          <w:rFonts w:ascii="Arial" w:hAnsi="Arial" w:cs="Arial"/>
        </w:rPr>
        <w:t>impact</w:t>
      </w:r>
      <w:r w:rsidRPr="00E64874">
        <w:rPr>
          <w:rFonts w:ascii="Arial" w:hAnsi="Arial" w:cs="Arial"/>
        </w:rPr>
        <w:t xml:space="preserve"> despite heterogeneous findings across settings.</w:t>
      </w:r>
    </w:p>
    <w:p w14:paraId="0A8B6D7D" w14:textId="77777777" w:rsidR="00790ADA" w:rsidRPr="00FB3A86" w:rsidRDefault="00790ADA" w:rsidP="00441B6F">
      <w:pPr>
        <w:pStyle w:val="Body"/>
        <w:spacing w:after="0"/>
        <w:rPr>
          <w:rFonts w:ascii="Arial" w:hAnsi="Arial" w:cs="Arial"/>
        </w:rPr>
      </w:pPr>
    </w:p>
    <w:p w14:paraId="21F3FEE6" w14:textId="4C86EDC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30024" w:rsidRPr="00F30024">
        <w:rPr>
          <w:rFonts w:ascii="Arial" w:hAnsi="Arial" w:cs="Arial"/>
        </w:rPr>
        <w:t>INTERVENTIONS TO ELIMINATE ENVIRONMENTAL CONTAMINANTS</w:t>
      </w:r>
    </w:p>
    <w:p w14:paraId="288670A8" w14:textId="77777777" w:rsidR="00790ADA" w:rsidRPr="00FB3A86" w:rsidRDefault="00790ADA" w:rsidP="00441B6F">
      <w:pPr>
        <w:pStyle w:val="Head1"/>
        <w:spacing w:after="0"/>
        <w:jc w:val="both"/>
        <w:rPr>
          <w:rFonts w:ascii="Arial" w:hAnsi="Arial" w:cs="Arial"/>
        </w:rPr>
      </w:pPr>
    </w:p>
    <w:p w14:paraId="45905ADD" w14:textId="3E1F3155" w:rsidR="00C30A0F" w:rsidRPr="00782FB5" w:rsidRDefault="00C30A0F" w:rsidP="00F30024">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782FB5" w:rsidRPr="00782FB5">
        <w:rPr>
          <w:rFonts w:ascii="Arial" w:hAnsi="Arial" w:cs="Arial"/>
          <w:b/>
          <w:sz w:val="22"/>
        </w:rPr>
        <w:t>Federal-Level Interventions</w:t>
      </w:r>
    </w:p>
    <w:p w14:paraId="4DFA9DFC" w14:textId="42BBD074" w:rsidR="00505F06" w:rsidRDefault="00D617FE" w:rsidP="00441B6F">
      <w:pPr>
        <w:pStyle w:val="Body"/>
        <w:spacing w:after="0"/>
        <w:rPr>
          <w:rFonts w:ascii="Arial" w:hAnsi="Arial" w:cs="Arial"/>
        </w:rPr>
      </w:pPr>
      <w:r w:rsidRPr="00D617FE">
        <w:rPr>
          <w:rFonts w:ascii="Arial" w:hAnsi="Arial" w:cs="Arial"/>
        </w:rPr>
        <w:t xml:space="preserve">In 2024, the EPA finalized landmark regulations, including the Lead and Copper Rule Improvements, requiring the replacement of all lead service lines within 10 years and lowering the action level to 10 parts per billion. [25]  The PFAS </w:t>
      </w:r>
      <w:r w:rsidRPr="00D617FE">
        <w:rPr>
          <w:rFonts w:ascii="Arial" w:hAnsi="Arial" w:cs="Arial"/>
        </w:rPr>
        <w:lastRenderedPageBreak/>
        <w:t>National Primary Drinking Water Regulation establishes MCLs of 4.0 ng/L for PFOA/PFOS and 10 ng/L for other PFAS compounds, with compliance required by 2029.[25], [26] The designation of PFOA and PFOS as CERCLA hazardous substances enables cost recovery from responsible parties while protecting passive receptors, such as water utilities, through enforcement discretion policies [25], complemented by the Minamata Convention's comprehensive mercury controls, now implemented by 151 countries, including the U.S. [27] The Bipartisan Infrastructure Law provides unprecedented funding of $15 billion for lead service line replacement and $9-10 billion for PFAS remediation in drinking water systems, supporting communities most affected by environmental contamination.[26]  These regulatory actions are monitored through robust surveillance systems, including the CDC's National Health and Nutrition Examination Survey program, which tracks 17+ PFAS compounds and heavy metals in blood samples from participants in the US [28], and Pregnancy Risk Assessment Monitoring System (PRAMS), [29]  which collects population-based maternal health data from 46 states to assess the impacts of environmental exposures on birth outcomes.[28]</w:t>
      </w:r>
    </w:p>
    <w:p w14:paraId="0BA53256" w14:textId="77777777" w:rsidR="005C3B7A" w:rsidRDefault="005C3B7A" w:rsidP="00441B6F">
      <w:pPr>
        <w:pStyle w:val="Body"/>
        <w:spacing w:after="0"/>
        <w:rPr>
          <w:rFonts w:ascii="Arial" w:hAnsi="Arial" w:cs="Arial"/>
        </w:rPr>
      </w:pPr>
    </w:p>
    <w:p w14:paraId="018D471E" w14:textId="77777777" w:rsidR="005C3B7A" w:rsidRPr="005C3B7A" w:rsidRDefault="005C3B7A" w:rsidP="005C3B7A">
      <w:pPr>
        <w:pStyle w:val="Body"/>
        <w:contextualSpacing/>
        <w:rPr>
          <w:rFonts w:ascii="Arial" w:hAnsi="Arial" w:cs="Arial"/>
          <w:b/>
          <w:bCs/>
          <w:sz w:val="22"/>
          <w:szCs w:val="22"/>
        </w:rPr>
      </w:pPr>
      <w:r w:rsidRPr="005C3B7A">
        <w:rPr>
          <w:rFonts w:ascii="Arial" w:hAnsi="Arial" w:cs="Arial"/>
          <w:b/>
          <w:bCs/>
          <w:sz w:val="22"/>
          <w:szCs w:val="22"/>
        </w:rPr>
        <w:t>3.2 State and Regional Strategies</w:t>
      </w:r>
    </w:p>
    <w:p w14:paraId="23EE082A" w14:textId="03A0C056" w:rsidR="005C3B7A" w:rsidRPr="005C3B7A" w:rsidRDefault="005C3B7A" w:rsidP="005C3B7A">
      <w:pPr>
        <w:pStyle w:val="Body"/>
        <w:contextualSpacing/>
        <w:rPr>
          <w:rFonts w:ascii="Arial" w:hAnsi="Arial" w:cs="Arial"/>
        </w:rPr>
      </w:pPr>
      <w:r w:rsidRPr="005C3B7A">
        <w:rPr>
          <w:rFonts w:ascii="Arial" w:hAnsi="Arial" w:cs="Arial"/>
          <w:b/>
          <w:bCs/>
        </w:rPr>
        <w:t>S</w:t>
      </w:r>
      <w:r w:rsidRPr="005C3B7A">
        <w:rPr>
          <w:rFonts w:ascii="Arial" w:hAnsi="Arial" w:cs="Arial"/>
        </w:rPr>
        <w:t xml:space="preserve">tates are already demonstrating that stronger protections are both feasible and practical. Michigan’s 2020 PFAS limits and bans on PFAS uses show comprehensive source control at the state level. Rhode Island’s Lead Law, which combines universal screening with mandatory remediation in rental housing and imposes </w:t>
      </w:r>
      <w:r>
        <w:rPr>
          <w:rFonts w:ascii="Arial" w:hAnsi="Arial" w:cs="Arial"/>
        </w:rPr>
        <w:t>liability on landlords</w:t>
      </w:r>
      <w:r w:rsidRPr="005C3B7A">
        <w:rPr>
          <w:rFonts w:ascii="Arial" w:hAnsi="Arial" w:cs="Arial"/>
        </w:rPr>
        <w:t xml:space="preserve">, has led to significant reductions in childhood lead poisoning. California’s Proposition 65 has driven product reformulation through disclosure requirements, and federal technical assistance and funding incentives should help accelerate adoption and foster interstate cooperation on cross-border contaminants. </w:t>
      </w:r>
    </w:p>
    <w:p w14:paraId="7DBC0AEC" w14:textId="77777777" w:rsidR="005C3B7A" w:rsidRDefault="005C3B7A" w:rsidP="005C3B7A">
      <w:pPr>
        <w:pStyle w:val="Body"/>
        <w:contextualSpacing/>
        <w:rPr>
          <w:rFonts w:ascii="Arial" w:hAnsi="Arial" w:cs="Arial"/>
        </w:rPr>
      </w:pPr>
      <w:r w:rsidRPr="005C3B7A">
        <w:rPr>
          <w:rFonts w:ascii="Arial" w:hAnsi="Arial" w:cs="Arial"/>
        </w:rPr>
        <w:t xml:space="preserve">State Revolving Funds need to be restructured to provide equitable, maternal-health-focused infrastructure: significantly increase SRF capitalization, implement equity-based prioritization directing 40–50% of resources to disadvantaged communities with dedicated application assistance, expand principal forgiveness to 30–40%, targeting environmental justice areas, and establish maternal-health set-asides (e.g., lead service-line replacement prioritized for households with pregnant women; PFAS treatment for maternity facilities) to ensure financing supports for elimination timelines. </w:t>
      </w:r>
    </w:p>
    <w:p w14:paraId="4C0B22A2" w14:textId="77777777" w:rsidR="005C3B7A" w:rsidRPr="005C3B7A" w:rsidRDefault="005C3B7A" w:rsidP="005C3B7A">
      <w:pPr>
        <w:pStyle w:val="Body"/>
        <w:contextualSpacing/>
        <w:rPr>
          <w:rFonts w:ascii="Arial" w:hAnsi="Arial" w:cs="Arial"/>
        </w:rPr>
      </w:pPr>
    </w:p>
    <w:p w14:paraId="31FBF902" w14:textId="77777777" w:rsidR="005C3B7A" w:rsidRPr="005C3B7A" w:rsidRDefault="005C3B7A" w:rsidP="0016462F">
      <w:pPr>
        <w:pStyle w:val="Body"/>
        <w:spacing w:after="0"/>
        <w:contextualSpacing/>
        <w:rPr>
          <w:rFonts w:ascii="Arial" w:hAnsi="Arial" w:cs="Arial"/>
          <w:b/>
          <w:bCs/>
          <w:sz w:val="22"/>
          <w:szCs w:val="22"/>
        </w:rPr>
      </w:pPr>
      <w:r w:rsidRPr="005C3B7A">
        <w:rPr>
          <w:rFonts w:ascii="Arial" w:hAnsi="Arial" w:cs="Arial"/>
          <w:b/>
          <w:bCs/>
          <w:sz w:val="22"/>
          <w:szCs w:val="22"/>
        </w:rPr>
        <w:t>3.3 Community and Local Interventions</w:t>
      </w:r>
    </w:p>
    <w:p w14:paraId="6C47BD3B" w14:textId="5DE1493F" w:rsidR="005C3B7A" w:rsidRDefault="005C3B7A" w:rsidP="0016462F">
      <w:pPr>
        <w:pStyle w:val="Body"/>
        <w:spacing w:after="0"/>
        <w:contextualSpacing/>
        <w:rPr>
          <w:rFonts w:ascii="Arial" w:hAnsi="Arial" w:cs="Arial"/>
        </w:rPr>
      </w:pPr>
      <w:r w:rsidRPr="005C3B7A">
        <w:rPr>
          <w:rFonts w:ascii="Arial" w:hAnsi="Arial" w:cs="Arial"/>
        </w:rPr>
        <w:t>Community</w:t>
      </w:r>
      <w:r w:rsidRPr="005C3B7A">
        <w:rPr>
          <w:rFonts w:ascii="Cambria Math" w:hAnsi="Cambria Math" w:cs="Cambria Math"/>
        </w:rPr>
        <w:t>‑</w:t>
      </w:r>
      <w:r w:rsidRPr="005C3B7A">
        <w:rPr>
          <w:rFonts w:ascii="Arial" w:hAnsi="Arial" w:cs="Arial"/>
        </w:rPr>
        <w:t>level action translates policy into measurable improvements in environmental quality and maternal health by pairing rapid infrastructure remediation with genuine community partnership, targeted public</w:t>
      </w:r>
      <w:r w:rsidRPr="005C3B7A">
        <w:rPr>
          <w:rFonts w:ascii="Cambria Math" w:hAnsi="Cambria Math" w:cs="Cambria Math"/>
        </w:rPr>
        <w:t>‑</w:t>
      </w:r>
      <w:r w:rsidRPr="005C3B7A">
        <w:rPr>
          <w:rFonts w:ascii="Arial" w:hAnsi="Arial" w:cs="Arial"/>
        </w:rPr>
        <w:t>health capacity, and clinical integration. For instance, fast and equity</w:t>
      </w:r>
      <w:r w:rsidRPr="005C3B7A">
        <w:rPr>
          <w:rFonts w:ascii="Cambria Math" w:hAnsi="Cambria Math" w:cs="Cambria Math"/>
        </w:rPr>
        <w:t>‑</w:t>
      </w:r>
      <w:r w:rsidRPr="005C3B7A">
        <w:rPr>
          <w:rFonts w:ascii="Arial" w:hAnsi="Arial" w:cs="Arial"/>
        </w:rPr>
        <w:t>prioritized lead service</w:t>
      </w:r>
      <w:r w:rsidRPr="005C3B7A">
        <w:rPr>
          <w:rFonts w:ascii="Cambria Math" w:hAnsi="Cambria Math" w:cs="Cambria Math"/>
        </w:rPr>
        <w:t>‑</w:t>
      </w:r>
      <w:r w:rsidRPr="005C3B7A">
        <w:rPr>
          <w:rFonts w:ascii="Arial" w:hAnsi="Arial" w:cs="Arial"/>
        </w:rPr>
        <w:t>line replacement and PFAS treatment yield rapid declines in tap concentrations and improvements in birth outcomes when accompanied by political leadership, diversified funding, multilingual outreach, and resident engagement.[30] Community</w:t>
      </w:r>
      <w:r w:rsidRPr="005C3B7A">
        <w:rPr>
          <w:rFonts w:ascii="Cambria Math" w:hAnsi="Cambria Math" w:cs="Cambria Math"/>
        </w:rPr>
        <w:t>‑</w:t>
      </w:r>
      <w:r w:rsidRPr="005C3B7A">
        <w:rPr>
          <w:rFonts w:ascii="Arial" w:hAnsi="Arial" w:cs="Arial"/>
        </w:rPr>
        <w:t>based participatory research that positions residents as co</w:t>
      </w:r>
      <w:r w:rsidRPr="005C3B7A">
        <w:rPr>
          <w:rFonts w:ascii="Cambria Math" w:hAnsi="Cambria Math" w:cs="Cambria Math"/>
        </w:rPr>
        <w:t>‑</w:t>
      </w:r>
      <w:r w:rsidRPr="005C3B7A">
        <w:rPr>
          <w:rFonts w:ascii="Arial" w:hAnsi="Arial" w:cs="Arial"/>
        </w:rPr>
        <w:t>investigators produces actionable science and sustained remediation priorities [31], whereas ignoring community reports prolongs exposure and erodes trust with severe health consequences.[32]  Local health departments should be resourced with environmental epidemiologists, GIS specialists, community health workers, and data</w:t>
      </w:r>
      <w:r w:rsidRPr="005C3B7A">
        <w:rPr>
          <w:rFonts w:ascii="Cambria Math" w:hAnsi="Cambria Math" w:cs="Cambria Math"/>
        </w:rPr>
        <w:t>‑</w:t>
      </w:r>
      <w:r w:rsidRPr="005C3B7A">
        <w:rPr>
          <w:rFonts w:ascii="Arial" w:hAnsi="Arial" w:cs="Arial"/>
        </w:rPr>
        <w:t>integration infrastructure to identify hotspots and coordinate responses. At the same time, prenatal care settings must screen for ecological exposures, provide targeted testing and advisories, and link pregnant women to remediation and point</w:t>
      </w:r>
      <w:r w:rsidRPr="005C3B7A">
        <w:rPr>
          <w:rFonts w:ascii="Cambria Math" w:hAnsi="Cambria Math" w:cs="Cambria Math"/>
        </w:rPr>
        <w:t>‑</w:t>
      </w:r>
      <w:r w:rsidRPr="005C3B7A">
        <w:rPr>
          <w:rFonts w:ascii="Arial" w:hAnsi="Arial" w:cs="Arial"/>
        </w:rPr>
        <w:t>of</w:t>
      </w:r>
      <w:r w:rsidRPr="005C3B7A">
        <w:rPr>
          <w:rFonts w:ascii="Cambria Math" w:hAnsi="Cambria Math" w:cs="Cambria Math"/>
        </w:rPr>
        <w:t>‑</w:t>
      </w:r>
      <w:r w:rsidRPr="005C3B7A">
        <w:rPr>
          <w:rFonts w:ascii="Arial" w:hAnsi="Arial" w:cs="Arial"/>
        </w:rPr>
        <w:t xml:space="preserve">use interventions to protect maternal and perinatal </w:t>
      </w:r>
      <w:proofErr w:type="gramStart"/>
      <w:r w:rsidRPr="005C3B7A">
        <w:rPr>
          <w:rFonts w:ascii="Arial" w:hAnsi="Arial" w:cs="Arial"/>
        </w:rPr>
        <w:t>outcomes.[</w:t>
      </w:r>
      <w:proofErr w:type="gramEnd"/>
      <w:r w:rsidRPr="005C3B7A">
        <w:rPr>
          <w:rFonts w:ascii="Arial" w:hAnsi="Arial" w:cs="Arial"/>
        </w:rPr>
        <w:t>30]</w:t>
      </w:r>
    </w:p>
    <w:p w14:paraId="051AE5A2" w14:textId="77777777" w:rsidR="0016462F" w:rsidRPr="005C3B7A" w:rsidRDefault="0016462F" w:rsidP="0016462F">
      <w:pPr>
        <w:pStyle w:val="Body"/>
        <w:spacing w:after="0"/>
        <w:contextualSpacing/>
        <w:rPr>
          <w:rFonts w:ascii="Arial" w:hAnsi="Arial" w:cs="Arial"/>
        </w:rPr>
      </w:pPr>
    </w:p>
    <w:p w14:paraId="17335F5F" w14:textId="77777777" w:rsidR="005C3B7A" w:rsidRPr="005C3B7A" w:rsidRDefault="005C3B7A" w:rsidP="0016462F">
      <w:pPr>
        <w:pStyle w:val="Body"/>
        <w:contextualSpacing/>
        <w:rPr>
          <w:rFonts w:ascii="Arial" w:hAnsi="Arial" w:cs="Arial"/>
          <w:b/>
          <w:bCs/>
          <w:sz w:val="22"/>
          <w:szCs w:val="22"/>
        </w:rPr>
      </w:pPr>
      <w:r w:rsidRPr="005C3B7A">
        <w:rPr>
          <w:rFonts w:ascii="Arial" w:hAnsi="Arial" w:cs="Arial"/>
          <w:b/>
          <w:bCs/>
          <w:sz w:val="22"/>
          <w:szCs w:val="22"/>
        </w:rPr>
        <w:t>3.4 Clinical Interventions</w:t>
      </w:r>
    </w:p>
    <w:p w14:paraId="46A3C90C" w14:textId="7D1C19F2" w:rsidR="00E053D0" w:rsidRDefault="005C3B7A" w:rsidP="0016462F">
      <w:pPr>
        <w:pStyle w:val="Body"/>
        <w:spacing w:after="0"/>
        <w:contextualSpacing/>
        <w:rPr>
          <w:rFonts w:ascii="Arial" w:hAnsi="Arial" w:cs="Arial"/>
        </w:rPr>
      </w:pPr>
      <w:r w:rsidRPr="005C3B7A">
        <w:rPr>
          <w:rFonts w:ascii="Arial" w:hAnsi="Arial" w:cs="Arial"/>
        </w:rPr>
        <w:t>Clinical care for environmentally exposed pregnant women should combine systematic screening, exposure</w:t>
      </w:r>
      <w:r w:rsidRPr="005C3B7A">
        <w:rPr>
          <w:rFonts w:ascii="Cambria Math" w:hAnsi="Cambria Math" w:cs="Cambria Math"/>
        </w:rPr>
        <w:t>‑</w:t>
      </w:r>
      <w:r w:rsidRPr="005C3B7A">
        <w:rPr>
          <w:rFonts w:ascii="Arial" w:hAnsi="Arial" w:cs="Arial"/>
        </w:rPr>
        <w:t>focused management, and clinician advocacy while recognizing that medical actions cannot substitute for upstream remediation. Additionally, implementing brief environmental health histories and EHR</w:t>
      </w:r>
      <w:r w:rsidRPr="005C3B7A">
        <w:rPr>
          <w:rFonts w:ascii="Cambria Math" w:hAnsi="Cambria Math" w:cs="Cambria Math"/>
        </w:rPr>
        <w:t>‑</w:t>
      </w:r>
      <w:r w:rsidRPr="005C3B7A">
        <w:rPr>
          <w:rFonts w:ascii="Arial" w:hAnsi="Arial" w:cs="Arial"/>
        </w:rPr>
        <w:t>integrated screening tools to identify high</w:t>
      </w:r>
      <w:r w:rsidRPr="005C3B7A">
        <w:rPr>
          <w:rFonts w:ascii="Cambria Math" w:hAnsi="Cambria Math" w:cs="Cambria Math"/>
        </w:rPr>
        <w:t>‑</w:t>
      </w:r>
      <w:r w:rsidRPr="005C3B7A">
        <w:rPr>
          <w:rFonts w:ascii="Arial" w:hAnsi="Arial" w:cs="Arial"/>
        </w:rPr>
        <w:t>risk housing, water, occupational, and dietary exposures. [33] Mitigating near-term risks in pregnancy involves implementing targeted biomarker testing, such as blood lead screening for high-risk individuals and selective mercury testing for frequent consumers of high-mercury fish, paired with exposure-specific counseling (e.g</w:t>
      </w:r>
      <w:r w:rsidR="00477E08">
        <w:rPr>
          <w:rFonts w:ascii="Arial" w:hAnsi="Arial" w:cs="Arial"/>
        </w:rPr>
        <w:t>.,</w:t>
      </w:r>
      <w:r w:rsidRPr="005C3B7A">
        <w:rPr>
          <w:rFonts w:ascii="Arial" w:hAnsi="Arial" w:cs="Arial"/>
        </w:rPr>
        <w:t xml:space="preserve"> lead hazard avoidance, nutritional support, substitution of low-mercury fish or omega-3 supplements, and PFAS mitigation via point-of-use filters or bottled water). These strategies should be integrated with enhanced surveillance protocols, including earlier glucose screening, more frequent blood pressure monitoring, and serial fetal growth scans, as well as selective interventions like aspirin for preeclampsia prevention, micronutrient supplementation, and thyroid function testing based on individual risk profiles.[33] Importantly, clinicians must document and report exposure</w:t>
      </w:r>
      <w:r w:rsidRPr="005C3B7A">
        <w:rPr>
          <w:rFonts w:ascii="Cambria Math" w:hAnsi="Cambria Math" w:cs="Cambria Math"/>
        </w:rPr>
        <w:t>‑</w:t>
      </w:r>
      <w:r w:rsidRPr="005C3B7A">
        <w:rPr>
          <w:rFonts w:ascii="Arial" w:hAnsi="Arial" w:cs="Arial"/>
        </w:rPr>
        <w:t>related clusters to health departments, support patient access to remediation resources, and engage in policy advocacy. Clinical measures reduce individual risk and inform public</w:t>
      </w:r>
      <w:r w:rsidRPr="005C3B7A">
        <w:rPr>
          <w:rFonts w:ascii="Cambria Math" w:hAnsi="Cambria Math" w:cs="Cambria Math"/>
        </w:rPr>
        <w:t>‑</w:t>
      </w:r>
      <w:r w:rsidRPr="005C3B7A">
        <w:rPr>
          <w:rFonts w:ascii="Arial" w:hAnsi="Arial" w:cs="Arial"/>
        </w:rPr>
        <w:t xml:space="preserve">health action but cannot replace the structural investments required to eliminate sources of lead, mercury, and </w:t>
      </w:r>
      <w:proofErr w:type="gramStart"/>
      <w:r w:rsidRPr="005C3B7A">
        <w:rPr>
          <w:rFonts w:ascii="Arial" w:hAnsi="Arial" w:cs="Arial"/>
        </w:rPr>
        <w:t>PFAS.[</w:t>
      </w:r>
      <w:proofErr w:type="gramEnd"/>
      <w:r w:rsidRPr="005C3B7A">
        <w:rPr>
          <w:rFonts w:ascii="Arial" w:hAnsi="Arial" w:cs="Arial"/>
        </w:rPr>
        <w:t>34]</w:t>
      </w:r>
    </w:p>
    <w:p w14:paraId="127CFEAD" w14:textId="77777777" w:rsidR="008F7F1B" w:rsidRDefault="00E15DF9" w:rsidP="007E65E0">
      <w:pPr>
        <w:pStyle w:val="ConcHead"/>
        <w:spacing w:after="0"/>
        <w:jc w:val="both"/>
        <w:rPr>
          <w:rFonts w:ascii="Arial" w:hAnsi="Arial" w:cs="Arial"/>
        </w:rPr>
      </w:pPr>
      <w:r>
        <w:rPr>
          <w:rFonts w:ascii="Arial" w:hAnsi="Arial" w:cs="Arial"/>
        </w:rPr>
        <w:br/>
      </w:r>
    </w:p>
    <w:p w14:paraId="4CE09A56" w14:textId="77777777" w:rsidR="008F7F1B" w:rsidRDefault="008F7F1B" w:rsidP="007E65E0">
      <w:pPr>
        <w:pStyle w:val="ConcHead"/>
        <w:spacing w:after="0"/>
        <w:jc w:val="both"/>
        <w:rPr>
          <w:rFonts w:ascii="Arial" w:hAnsi="Arial" w:cs="Arial"/>
        </w:rPr>
      </w:pPr>
    </w:p>
    <w:p w14:paraId="3B5E85CC" w14:textId="798A620E" w:rsidR="0015043F" w:rsidRPr="007E65E0" w:rsidRDefault="007E65E0" w:rsidP="007E65E0">
      <w:pPr>
        <w:pStyle w:val="ConcHead"/>
        <w:spacing w:after="0"/>
        <w:jc w:val="both"/>
        <w:rPr>
          <w:rFonts w:ascii="Arial" w:hAnsi="Arial" w:cs="Arial"/>
        </w:rPr>
      </w:pPr>
      <w:r w:rsidRPr="007E65E0">
        <w:rPr>
          <w:rFonts w:ascii="Arial" w:hAnsi="Arial" w:cs="Arial"/>
        </w:rPr>
        <w:t xml:space="preserve">4. </w:t>
      </w:r>
      <w:r w:rsidR="0015043F" w:rsidRPr="007E65E0">
        <w:rPr>
          <w:rFonts w:ascii="Arial" w:hAnsi="Arial" w:cs="Arial"/>
          <w:szCs w:val="22"/>
        </w:rPr>
        <w:t>The Economic Case: Costs of Inaction Versus Investment in Elimination</w:t>
      </w:r>
    </w:p>
    <w:p w14:paraId="0F96DB98" w14:textId="6B4DCC7B" w:rsidR="00204C9F" w:rsidRPr="00204C9F" w:rsidRDefault="00E15DF9" w:rsidP="00204C9F">
      <w:pPr>
        <w:pStyle w:val="Body"/>
        <w:rPr>
          <w:rFonts w:ascii="Arial" w:hAnsi="Arial" w:cs="Arial"/>
          <w:b/>
          <w:bCs/>
        </w:rPr>
      </w:pPr>
      <w:r>
        <w:rPr>
          <w:rFonts w:ascii="Arial" w:hAnsi="Arial" w:cs="Arial"/>
        </w:rPr>
        <w:br/>
      </w:r>
      <w:r w:rsidR="00204C9F" w:rsidRPr="00204C9F">
        <w:rPr>
          <w:rFonts w:ascii="Arial" w:hAnsi="Arial" w:cs="Arial"/>
          <w:b/>
          <w:bCs/>
          <w:sz w:val="22"/>
          <w:szCs w:val="22"/>
        </w:rPr>
        <w:t>4.1 The Economic Burden of Contamination-Attributable Adverse Birth Outcomes</w:t>
      </w:r>
    </w:p>
    <w:p w14:paraId="3E3378BB" w14:textId="77777777" w:rsidR="00204C9F" w:rsidRPr="00204C9F" w:rsidRDefault="00204C9F" w:rsidP="00204C9F">
      <w:pPr>
        <w:pStyle w:val="Body"/>
        <w:rPr>
          <w:rFonts w:ascii="Arial" w:hAnsi="Arial" w:cs="Arial"/>
        </w:rPr>
      </w:pPr>
      <w:r w:rsidRPr="00204C9F">
        <w:rPr>
          <w:rFonts w:ascii="Arial" w:hAnsi="Arial" w:cs="Arial"/>
        </w:rPr>
        <w:lastRenderedPageBreak/>
        <w:t>Adverse birth outcomes represent one of the most economically consequential manifestations of environmental contamination, imposing costs that extend far beyond the perinatal period and reverberate across healthcare systems, educational institutions, labor markets, and families for decades. Low birth weight, preterm birth, stillbirth, and related complications generate immediate medical expenditures while also increasing the likelihood of lifelong disability, reduced educational attainment, and diminished economic productivity. When such outcomes are attributable to preventable environmental exposures to lead, mercury, per- and polyfluoroalkyl substances (PFAS), and other hazardous substances, including industrial effluents. These constitute not only a public health failure but also a sustained and avoidable economic burden.</w:t>
      </w:r>
    </w:p>
    <w:p w14:paraId="69272CB4" w14:textId="77777777" w:rsidR="00204C9F" w:rsidRPr="00204C9F" w:rsidRDefault="00204C9F" w:rsidP="00204C9F">
      <w:pPr>
        <w:pStyle w:val="Body"/>
        <w:rPr>
          <w:rFonts w:ascii="Arial" w:hAnsi="Arial" w:cs="Arial"/>
        </w:rPr>
      </w:pPr>
      <w:r w:rsidRPr="00204C9F">
        <w:rPr>
          <w:rFonts w:ascii="Arial" w:hAnsi="Arial" w:cs="Arial"/>
        </w:rPr>
        <w:t>At the most immediate level, adverse birth outcomes substantially increase healthcare utilization during infancy, contributing to high healthcare spending, particularly in the US. Preterm infants, particularly those born before 32 weeks’ gestation, often require prolonged neonatal intensive care unit (NICU) stays involving mechanical ventilation, parenteral nutrition, and specialized monitoring. Average NICU costs exceed $3,500 per day, with hospitalizations lasting from 10 days for moderate prematurity to 60–90 days or longer for extremely preterm infants. Even infants born moderately preterm (32–36 weeks) incur first-year medical costs ranging from $15,000 to $25,000, while very preterm infants routinely incur costs between $100,000 and $250,000 in the first year alone. Additionally, low-birth-weight infants born at term also incur elevated medical expenditures. Compared with normal birth weight infants, they experience 30–40% higher rates of physician visits, emergency department use, and prescription drug utilization in the first year of life. These elevated costs persist beyond infancy, driven by increased prevalence of respiratory disease, metabolic disorders, neurodevelopmental impairments, and sensory deficits. Collectively, across approximately 3.7 million births annually in the US, adverse birth outcomes account for an estimated $25 billion in direct medical expenditures each year.</w:t>
      </w:r>
    </w:p>
    <w:p w14:paraId="31B8151F" w14:textId="77777777" w:rsidR="00204C9F" w:rsidRPr="00204C9F" w:rsidRDefault="00204C9F" w:rsidP="00204C9F">
      <w:pPr>
        <w:pStyle w:val="Body"/>
        <w:rPr>
          <w:rFonts w:ascii="Arial" w:hAnsi="Arial" w:cs="Arial"/>
        </w:rPr>
      </w:pPr>
      <w:r w:rsidRPr="00204C9F">
        <w:rPr>
          <w:rFonts w:ascii="Arial" w:hAnsi="Arial" w:cs="Arial"/>
        </w:rPr>
        <w:t>Several cost estimates indicate that environmental contamination contributes a meaningful fraction of the economic burden. Conservative attribution estimates suggest that lead, mercury, and PFAS exposure together account for approximately 25,000–38,000 adverse birth outcomes annually, corresponding to $375–570 million in direct medical costs. These figures represent a pressing healthcare expenditure that does not capture downstream economic consequences, which are far larger in magnitude. Furthermore, Lifetime and indirect costs account for the majority of the financial burden of adverse birth outcomes. Children born preterm or with low birth weight face elevated risks of cognitive impairment, learning disabilities, behavioral disorders, and chronic medical conditions that persist in adulthood. These impairments necessitate early intervention services, special education, and long-term medical care, while also reducing educational attainment and labor market participation. The National Academy of Medicine estimates that the average lifetime cost per preterm birth exceeds $75,000 in 2023 dollars, even when excluding more severe disability. For the subset of children, approximately 15–20% of preterm births, who develop moderate to severe developmental disabilities, lifetime costs range from $400,000 to $700,000 per affected individual. Therefore, applying these costs to contamination-attributable cases yields a total annual economic burden of approximately $10–15 billion, amortized over the lifespans of affected cohorts. When combined with direct medical expenditures, the total annual economic burden attributable specifically to lead, mercury, and PFAS contamination reaches approximately $12–15 billion. Notably, this estimate excludes contamination-attributable congenital anomalies, stillbirths, and maternal morbidity such as preeclampsia and gestational hypertension. It also omits the broader neurodevelopmental impacts of environmental neurotoxicants among children whose birth outcomes were nominally expected, an omission that substantially understates actual societal costs.</w:t>
      </w:r>
    </w:p>
    <w:p w14:paraId="56149ADC" w14:textId="7EE9419C" w:rsidR="00F64490" w:rsidRDefault="00204C9F" w:rsidP="00204C9F">
      <w:pPr>
        <w:pStyle w:val="Body"/>
        <w:rPr>
          <w:rFonts w:ascii="Arial" w:hAnsi="Arial" w:cs="Arial"/>
        </w:rPr>
      </w:pPr>
      <w:r w:rsidRPr="00204C9F">
        <w:rPr>
          <w:rFonts w:ascii="Arial" w:hAnsi="Arial" w:cs="Arial"/>
        </w:rPr>
        <w:t>Crucially, the economic burden of environmental contamination is not evenly distributed as it fails to assess disparities in exposures among underserved and underrepresented populations in the US. Communities of color and low-income populations experience higher exposure levels due to legacy infrastructure, industrial siting, housing conditions, and regulatory inequities. As a result, contamination-attributable adverse birth outcomes exacerbate existing socioeconomic disparities and contribute to intergenerational cycles of disadvantage. For example, children with environmentally mediated developmental disabilities require special education services costing school systems $10,000–25,000 per student annually, diverting resources from broader educational investments. Therefore, reduced educational attainment results in lower lifetime earnings, reduced tax contributions, and increased reliance on public assistance. Furthermore, broader analyses of environmental chemical exposures estimate total annual economic losses exceeding $300 billion due to IQ decrements, developmental disabilities, and childhood disease. Against this backdrop, the birth outcome–focused estimates presented here represent only a narrow slice of a much larger economic burden. Moreover, traditional cost-of-illness frameworks fail to capture intangible but tangible harm, including parental stress, reduced quality of life, and the emotional toll of caring for children with preventable disabilities. These distributional impacts constitute a form of structural economic harm that conventional cost-benefit analysis often fails to internalize fully.</w:t>
      </w:r>
      <w:r w:rsidR="00F64490">
        <w:rPr>
          <w:rFonts w:ascii="Arial" w:hAnsi="Arial" w:cs="Arial"/>
        </w:rPr>
        <w:br/>
      </w:r>
    </w:p>
    <w:p w14:paraId="4FEB5CF1" w14:textId="2655D4AA" w:rsidR="005A7EA1" w:rsidRPr="006C1EAF" w:rsidRDefault="002C6140" w:rsidP="005A7EA1">
      <w:pPr>
        <w:pStyle w:val="Body"/>
        <w:rPr>
          <w:rFonts w:ascii="Arial" w:hAnsi="Arial" w:cs="Arial"/>
          <w:b/>
          <w:bCs/>
        </w:rPr>
      </w:pPr>
      <w:r>
        <w:rPr>
          <w:rFonts w:ascii="Arial" w:hAnsi="Arial" w:cs="Arial"/>
          <w:b/>
          <w:bCs/>
        </w:rPr>
        <w:t>4</w:t>
      </w:r>
      <w:r w:rsidR="005A7EA1" w:rsidRPr="00C305E8">
        <w:rPr>
          <w:rFonts w:ascii="Arial" w:hAnsi="Arial" w:cs="Arial"/>
          <w:b/>
          <w:bCs/>
        </w:rPr>
        <w:t>.2 Costs of Elimination: Infrastructure and Systems Investment Requirements</w:t>
      </w:r>
    </w:p>
    <w:p w14:paraId="13596DCF" w14:textId="77777777" w:rsidR="005A7EA1" w:rsidRPr="005A7EA1" w:rsidRDefault="005A7EA1" w:rsidP="005A7EA1">
      <w:pPr>
        <w:pStyle w:val="Body"/>
        <w:rPr>
          <w:rFonts w:ascii="Arial" w:hAnsi="Arial" w:cs="Arial"/>
        </w:rPr>
      </w:pPr>
      <w:r w:rsidRPr="005A7EA1">
        <w:rPr>
          <w:rFonts w:ascii="Arial" w:hAnsi="Arial" w:cs="Arial"/>
        </w:rPr>
        <w:lastRenderedPageBreak/>
        <w:t>Eliminating contamination-related adverse birth outcomes requires substantial upfront investment in physical infrastructure, environmental remediation, and public health systems. While these costs are high in absolute terms, they must be weighed against the persistent, compounding costs of inaction. Importantly, elimination investments are essentially finite, while the costs of ongoing exposure accrue indefinitely. Across all three contaminants, i.e., lead, mercury, and PFAS, comprehensive elimination requires $102–165 billion over 10–15 years, equivalent to $7–12 billion annually. While substantial, these investments are modest relative to overall public spending and should be considered long-term capital investments that yield durable health and economic benefits.</w:t>
      </w:r>
    </w:p>
    <w:p w14:paraId="013BE932" w14:textId="24D699DE" w:rsidR="005A7EA1" w:rsidRPr="005A7EA1" w:rsidRDefault="005A7EA1" w:rsidP="005A7EA1">
      <w:pPr>
        <w:pStyle w:val="Body"/>
        <w:rPr>
          <w:rFonts w:ascii="Arial" w:hAnsi="Arial" w:cs="Arial"/>
        </w:rPr>
      </w:pPr>
      <w:r w:rsidRPr="005A7EA1">
        <w:rPr>
          <w:rFonts w:ascii="Arial" w:hAnsi="Arial" w:cs="Arial"/>
        </w:rPr>
        <w:t xml:space="preserve">Lead elimination represents the most significant and most capital-intensive component of comprehensive contamination control. The United States is estimated to have between 6 and 10 million lead service lines connecting water mains to residential properties, concentrated in older urban areas but also present in many small municipalities. Replacement costs range from $3,000 to $8,000 per service line, with a national average of approximately $4,500. Comprehensive lead service line replacement, therefore, requires $30–45 billion in investment. Additional water system costs, including corrosion control optimization, replacement of lead-containing fixtures in schools and childcare facilities, and distribution system upgrades, add an estimated $10–15 billion. Housing-based lead hazards represent an equally significant challenge. Approximately 3.6 million housing units with children present contain deteriorating lead-based paint requiring remediation. Professional lead hazard control measures, including paint stabilization, window replacement, and soil remediation, cost an average of $11,000 per dwelling. Comprehensive housing remediation, therefore, requires an additional $40–55 billion. Taken together, </w:t>
      </w:r>
      <w:r w:rsidR="00C305E8">
        <w:rPr>
          <w:rFonts w:ascii="Arial" w:hAnsi="Arial" w:cs="Arial"/>
        </w:rPr>
        <w:t>complete</w:t>
      </w:r>
      <w:r w:rsidRPr="005A7EA1">
        <w:rPr>
          <w:rFonts w:ascii="Arial" w:hAnsi="Arial" w:cs="Arial"/>
        </w:rPr>
        <w:t xml:space="preserve"> lead elimination requires $80–115 billion in investment over 10–15 years, or $5–8 billion annually.</w:t>
      </w:r>
    </w:p>
    <w:p w14:paraId="7B209FA0" w14:textId="39A3314B" w:rsidR="005A7EA1" w:rsidRPr="005A7EA1" w:rsidRDefault="005A7EA1" w:rsidP="005A7EA1">
      <w:pPr>
        <w:pStyle w:val="Body"/>
        <w:rPr>
          <w:rFonts w:ascii="Arial" w:hAnsi="Arial" w:cs="Arial"/>
        </w:rPr>
      </w:pPr>
      <w:r w:rsidRPr="005A7EA1">
        <w:rPr>
          <w:rFonts w:ascii="Arial" w:hAnsi="Arial" w:cs="Arial"/>
        </w:rPr>
        <w:t>Mercury elimination differs fundamentally from lead and PFAS in that the primary drivers of exposure reduction—coal-fired power plant retirement and emissions controls—are already underway as part of climate and energy policy. As a result, the marginal costs attributable specifically to mercury reduction are relatively modest. Remaining investments include enhanced fish tissue monitoring, culturally appropriate consumption advisories, and support for subsistence fishing communities, costing approximately $100–200 million annually. Additional costs associated with the dental amalgam phase-down are minimal. Total marginal mercury elimination costs are estimated at $2–5 billion over 10 years.</w:t>
      </w:r>
    </w:p>
    <w:p w14:paraId="5941FEA3" w14:textId="6DF53C59" w:rsidR="005A7EA1" w:rsidRPr="00C305E8" w:rsidRDefault="005A7EA1" w:rsidP="005A7EA1">
      <w:pPr>
        <w:pStyle w:val="Body"/>
        <w:rPr>
          <w:rFonts w:ascii="Arial" w:hAnsi="Arial" w:cs="Arial"/>
        </w:rPr>
      </w:pPr>
      <w:r w:rsidRPr="005A7EA1">
        <w:rPr>
          <w:rFonts w:ascii="Arial" w:hAnsi="Arial" w:cs="Arial"/>
        </w:rPr>
        <w:t>PFAS remediation entails a different but comparably complex investment profile. Municipal drinking water treatment systems using granular activated carbon or ion exchange can achieve greater than 95% PFAS removal but require substantial capital investment. Estimates suggest that 1,000–1,500 water systems serving approximately 200 million people need treatment upgrades, at a total capital cost of $15–25 billion. Point-of-use treatment for private wells adds $2–5 billion, while groundwater remediation at military and industrial sites may require $10–15 billion. In aggregate, PFAS elimination requires $20–45 billion over 10–15 years, or $2–4 billion annually. Overall, while the cost of investing in infrastructure and systems to eradicate these environmental contaminants is high, the risk hazardous substances pose to population health outweighs the cost of building a lasting solution to eliminate ecological pollutants.</w:t>
      </w:r>
    </w:p>
    <w:p w14:paraId="53821554" w14:textId="4469011A" w:rsidR="005A7EA1" w:rsidRPr="00C305E8" w:rsidRDefault="00332AEB" w:rsidP="005A7EA1">
      <w:pPr>
        <w:pStyle w:val="Body"/>
        <w:rPr>
          <w:rFonts w:ascii="Arial" w:hAnsi="Arial" w:cs="Arial"/>
          <w:b/>
          <w:bCs/>
        </w:rPr>
      </w:pPr>
      <w:r w:rsidRPr="00C305E8">
        <w:rPr>
          <w:rFonts w:ascii="Arial" w:hAnsi="Arial" w:cs="Arial"/>
          <w:b/>
          <w:bCs/>
        </w:rPr>
        <w:t>4</w:t>
      </w:r>
      <w:r w:rsidR="005A7EA1" w:rsidRPr="00C305E8">
        <w:rPr>
          <w:rFonts w:ascii="Arial" w:hAnsi="Arial" w:cs="Arial"/>
          <w:b/>
          <w:bCs/>
        </w:rPr>
        <w:t>.3 Return on Investment: Comparative Cost-Benefit and Portfolio Analysis</w:t>
      </w:r>
    </w:p>
    <w:p w14:paraId="020B65AC" w14:textId="617D6EE5" w:rsidR="005A7EA1" w:rsidRPr="005A7EA1" w:rsidRDefault="005A7EA1" w:rsidP="005A7EA1">
      <w:pPr>
        <w:pStyle w:val="Body"/>
        <w:rPr>
          <w:rFonts w:ascii="Arial" w:hAnsi="Arial" w:cs="Arial"/>
        </w:rPr>
      </w:pPr>
      <w:r w:rsidRPr="005A7EA1">
        <w:rPr>
          <w:rFonts w:ascii="Arial" w:hAnsi="Arial" w:cs="Arial"/>
        </w:rPr>
        <w:t xml:space="preserve">When elimination investments are compared against the economic burden of contamination-attributable adverse birth outcomes, the conclusion is unequivocal: elimination is not only ethically justified but economically optimal. Benefit-cost analyses consistently demonstrate positive returns across all three contaminants, even under conservative assumptions. Considering the portfolio, the integrated investments in lead, PFAS, and mercury remediation generate total benefits estimated at $350–540 billion over </w:t>
      </w:r>
      <w:r w:rsidR="00332AEB">
        <w:rPr>
          <w:rFonts w:ascii="Arial" w:hAnsi="Arial" w:cs="Arial"/>
        </w:rPr>
        <w:t>20 years, relative to assets valued at</w:t>
      </w:r>
      <w:r w:rsidRPr="005A7EA1">
        <w:rPr>
          <w:rFonts w:ascii="Arial" w:hAnsi="Arial" w:cs="Arial"/>
        </w:rPr>
        <w:t xml:space="preserve"> $102–165 billion. The benefit-cost ratio of this portfolio ranges from 2.1:1 to 3.3:1, with the break-even point reaching within 6–9 years. Few public investments provide comparable returns at the national level.</w:t>
      </w:r>
    </w:p>
    <w:p w14:paraId="0BCAA662" w14:textId="15026FC4" w:rsidR="005A7EA1" w:rsidRPr="005A7EA1" w:rsidRDefault="005A7EA1" w:rsidP="005A7EA1">
      <w:pPr>
        <w:pStyle w:val="Body"/>
        <w:rPr>
          <w:rFonts w:ascii="Arial" w:hAnsi="Arial" w:cs="Arial"/>
        </w:rPr>
      </w:pPr>
      <w:r w:rsidRPr="005A7EA1">
        <w:rPr>
          <w:rFonts w:ascii="Arial" w:hAnsi="Arial" w:cs="Arial"/>
        </w:rPr>
        <w:t xml:space="preserve">Regarding lead, improvements in birth outcomes alone nearly reach cost neutrality, with benefit-cost ratios ranging from 0.4:1 to 1.6:1. However, this limited view overlooks the main economic advantages of lead elimination, including neurodevelopmental improvements, lower cardiovascular disease rates, and higher lifetime productivity. Overall societal benefits are estimated at $200–280 billion over 20 years, with benefit-cost ratios of 2.5:1 to 3.5:1 and payback periods around 10 years. Historical evidence supports this: removing leaded gasoline provided returns </w:t>
      </w:r>
      <w:r w:rsidR="00332AEB">
        <w:rPr>
          <w:rFonts w:ascii="Arial" w:hAnsi="Arial" w:cs="Arial"/>
        </w:rPr>
        <w:t>of over 40:1. PFAS cleanup also shows strong economic returns, with benefit-cost ratios of 2:1 to 4:1 and payback periods of</w:t>
      </w:r>
      <w:r w:rsidRPr="005A7EA1">
        <w:rPr>
          <w:rFonts w:ascii="Arial" w:hAnsi="Arial" w:cs="Arial"/>
        </w:rPr>
        <w:t xml:space="preserve"> 5–8 years. Though research on PFAS health effects beyond birth outcomes is still developing, links to immune issues, endocrine disruption, and cancer imply the total benefits are likely underestimated. Achieving these gains depends on effective source control; without stopping ongoing PFAS production and release, cleanup costs continue. Mercury elimination delivers the highest returns, with benefit-cost ratios from 6:1 to over 17:1, and total ratios above 15:1. Since the main action, retiring coal plants, is economically justified even without health benefits, mercury-related health improvements are a costless co-benefit of climate policies. In summary, the </w:t>
      </w:r>
      <w:r>
        <w:rPr>
          <w:rFonts w:ascii="Arial" w:hAnsi="Arial" w:cs="Arial"/>
        </w:rPr>
        <w:t>costs of</w:t>
      </w:r>
      <w:r w:rsidRPr="005A7EA1">
        <w:rPr>
          <w:rFonts w:ascii="Arial" w:hAnsi="Arial" w:cs="Arial"/>
        </w:rPr>
        <w:t xml:space="preserve"> investing in a contaminant-free environment outweigh the economic burden imposed by these chemicals on preventable adverse birth outcomes.</w:t>
      </w:r>
    </w:p>
    <w:p w14:paraId="3F2AAD43" w14:textId="2136ADAB" w:rsidR="005A7EA1" w:rsidRPr="005A7EA1" w:rsidRDefault="005A7EA1" w:rsidP="005A7EA1">
      <w:pPr>
        <w:pStyle w:val="Body"/>
        <w:rPr>
          <w:rFonts w:ascii="Arial" w:hAnsi="Arial" w:cs="Arial"/>
          <w:b/>
          <w:bCs/>
        </w:rPr>
      </w:pPr>
      <w:r>
        <w:rPr>
          <w:rFonts w:ascii="Arial" w:hAnsi="Arial" w:cs="Arial"/>
          <w:b/>
          <w:bCs/>
        </w:rPr>
        <w:lastRenderedPageBreak/>
        <w:t>4</w:t>
      </w:r>
      <w:r w:rsidRPr="005A7EA1">
        <w:rPr>
          <w:rFonts w:ascii="Arial" w:hAnsi="Arial" w:cs="Arial"/>
          <w:b/>
          <w:bCs/>
        </w:rPr>
        <w:t>.4 Financing Mechanisms and Fiscal Feasibility</w:t>
      </w:r>
    </w:p>
    <w:p w14:paraId="0F6E1427" w14:textId="03FED8DC" w:rsidR="005A7EA1" w:rsidRDefault="005A7EA1" w:rsidP="005A7EA1">
      <w:pPr>
        <w:pStyle w:val="Body"/>
        <w:rPr>
          <w:rFonts w:ascii="Arial" w:hAnsi="Arial" w:cs="Arial"/>
        </w:rPr>
      </w:pPr>
      <w:r w:rsidRPr="005A7EA1">
        <w:rPr>
          <w:rFonts w:ascii="Arial" w:hAnsi="Arial" w:cs="Arial"/>
        </w:rPr>
        <w:t>The scale of investment required to eliminate contamination is well within national fiscal capacity, particularly when costs are distributed across multiple financing mechanisms. Federal appropriations represent the cornerstone of elimination funding. Existing allocations under recent infrastructure legislation provide a foundation but fall short of comprehensive needs. Expanding federal investment to $7–12 billion annually would require less than 0.25% of federal revenues and is comparable in scale to historical infrastructure initiatives. Additionally, State Revolving Funds offer an effective mechanism for financing water infrastructure upgrades, particularly when paired with principal forgiveness for disadvantaged communities. Utility rate structures and municipal bonding can also support investment, with evidence from cities such as Newark demonstrating feasibility with modest household cost increases. For PFAS, polluter-pays liability under environmental law represents both an equitable and fiscally prudent approach. Shifting remediation costs to responsible manufacturers and institutions reduces taxpayer burden while preserving public health benefits. Finally, innovative financing mechanisms such as social impact bonds offer potential to monetize future healthcare savings, aligning private capital with public health objectives.</w:t>
      </w:r>
      <w:r w:rsidR="008E4793">
        <w:rPr>
          <w:rFonts w:ascii="Arial" w:hAnsi="Arial" w:cs="Arial"/>
        </w:rPr>
        <w:t xml:space="preserve">  </w:t>
      </w:r>
      <w:r w:rsidRPr="005A7EA1">
        <w:rPr>
          <w:rFonts w:ascii="Arial" w:hAnsi="Arial" w:cs="Arial"/>
        </w:rPr>
        <w:t>In conclusion, the economic evaluation of eliminating contamination-attributable adverse birth outcomes is compelling. Inaction imposes large, recurring, and inequitable costs, while elimination represents a finite investment with durable returns. From a purely economic perspective, setting aside moral and ethical considerations, elimination is the rational policy choice.</w:t>
      </w:r>
    </w:p>
    <w:p w14:paraId="1544859D" w14:textId="26743895" w:rsidR="00D41B9E" w:rsidRPr="00F61762" w:rsidRDefault="00D41B9E" w:rsidP="00D41B9E">
      <w:pPr>
        <w:pStyle w:val="Body"/>
        <w:rPr>
          <w:rFonts w:ascii="Arial" w:hAnsi="Arial" w:cs="Arial"/>
          <w:b/>
          <w:bCs/>
          <w:sz w:val="22"/>
          <w:szCs w:val="22"/>
        </w:rPr>
      </w:pPr>
      <w:r w:rsidRPr="00D41B9E">
        <w:rPr>
          <w:rFonts w:ascii="Arial" w:hAnsi="Arial" w:cs="Arial"/>
          <w:b/>
          <w:bCs/>
          <w:sz w:val="22"/>
          <w:szCs w:val="22"/>
        </w:rPr>
        <w:t>5. PROJECTION OF ELIMINATION</w:t>
      </w:r>
    </w:p>
    <w:p w14:paraId="5CF1261B" w14:textId="78D6C91F" w:rsidR="00D41B9E" w:rsidRPr="00F61762" w:rsidRDefault="00D41B9E" w:rsidP="00D41B9E">
      <w:pPr>
        <w:pStyle w:val="Body"/>
        <w:rPr>
          <w:rFonts w:ascii="Arial" w:hAnsi="Arial" w:cs="Arial"/>
          <w:b/>
          <w:bCs/>
          <w:sz w:val="22"/>
          <w:szCs w:val="22"/>
        </w:rPr>
      </w:pPr>
      <w:r w:rsidRPr="00F61762">
        <w:rPr>
          <w:rFonts w:ascii="Arial" w:hAnsi="Arial" w:cs="Arial"/>
          <w:b/>
          <w:bCs/>
          <w:sz w:val="22"/>
          <w:szCs w:val="22"/>
        </w:rPr>
        <w:t>5.1 Future Projection of Elimination: Framework and Assumptions</w:t>
      </w:r>
    </w:p>
    <w:p w14:paraId="4E0ACBAF" w14:textId="21AC7129" w:rsidR="00D41B9E" w:rsidRPr="00D41B9E" w:rsidRDefault="00D41B9E" w:rsidP="00D41B9E">
      <w:pPr>
        <w:pStyle w:val="Body"/>
        <w:rPr>
          <w:rFonts w:ascii="Arial" w:hAnsi="Arial" w:cs="Arial"/>
        </w:rPr>
      </w:pPr>
      <w:r w:rsidRPr="00D41B9E">
        <w:rPr>
          <w:rFonts w:ascii="Arial" w:hAnsi="Arial" w:cs="Arial"/>
        </w:rPr>
        <w:t>Projecting the future elimination of contamination-attributable maternal health complications requires a robust, policy-sensitive modeling framework that integrates exposure science, infrastructure timelines, regulatory action, and maternal health trends. Unlike models based solely on epidemiological forecasting, this approach recognizes that elimination is not an inevitable consequence of time or medical advancement, but a function of deliberate and sustained intervention. The framework is structured around four interrelated drivers: regulatory and financial commitment; infrastructure remediation capacity; population-level reductions in toxic exposures (specifically lead, mercury, and PFAS); and the subsequent improvement in maternal health outcomes. By simulating these components across various investment and implementation scenarios, the model forecasts how quickly different levels of elimination can be achieved and under what policy conditions.</w:t>
      </w:r>
    </w:p>
    <w:p w14:paraId="774B2BC1" w14:textId="37050404" w:rsidR="00D41B9E" w:rsidRPr="00D41B9E" w:rsidRDefault="00D41B9E" w:rsidP="00D41B9E">
      <w:pPr>
        <w:pStyle w:val="Body"/>
        <w:rPr>
          <w:rFonts w:ascii="Arial" w:hAnsi="Arial" w:cs="Arial"/>
        </w:rPr>
      </w:pPr>
      <w:r w:rsidRPr="00D41B9E">
        <w:rPr>
          <w:rFonts w:ascii="Arial" w:hAnsi="Arial" w:cs="Arial"/>
        </w:rPr>
        <w:t>Key assumptions guide this forward-looking model. First, dose-response relationships between contaminants and maternal health outcomes are assumed to be log-linear, without a safe threshold—consistent with toxicological data showing harm at even the lowest exposure levels. This ensures the model captures the full benefit of even modest exposure reductions. Second, infrastructure-based interventions (e.g., lead pipe replacement, PFAS water treatment) are expected to reduce exposures by 80–95% within two to five years of implementation, based on outcomes observed in Newark, Oakdale, and similar case studies. Third, health benefits—particularly reductions in preeclampsia, gestational hypertension, and other maternal complications—are projected to materialize within two to three years after exposure levels decline, reflecting biological and systemic response lags. Notably, the model adopts a conservative posture by excluding synergistic effects among multiple contaminants, even though real-world interactions likely amplify both the harm and the potential benefits of reductions. Finally, ongoing background trends such as improving healthcare access, smoking cessation, and prenatal care improvements are assumed to continue at historical rates, contributing a baseline 1–2% annual decline in maternal morbidity independent of environmental interventions.</w:t>
      </w:r>
    </w:p>
    <w:p w14:paraId="0564677F" w14:textId="07CF4F62" w:rsidR="00D41B9E" w:rsidRPr="00D41B9E" w:rsidRDefault="00D41B9E" w:rsidP="00D41B9E">
      <w:pPr>
        <w:pStyle w:val="Body"/>
        <w:rPr>
          <w:rFonts w:ascii="Arial" w:hAnsi="Arial" w:cs="Arial"/>
        </w:rPr>
      </w:pPr>
      <w:r w:rsidRPr="00D41B9E">
        <w:rPr>
          <w:rFonts w:ascii="Arial" w:hAnsi="Arial" w:cs="Arial"/>
        </w:rPr>
        <w:t>Within this future-oriented framework, elimination is defined pragmatically. Due to unavoidable background exposures, such as trace PFAS in consumer goods, legacy soil contamination, and mercury from global atmospheric circulation, absolutely zero exposure is unattainable. Thus, the model defines elimination targets in relative terms: 80% elimination (reducing contamination-related maternal complications from ~20,000 to 4,000 annually), 90% (down to 2,000), and 95% (down to 1,000), with the latter serving as a benchmark for "functional elimination." These targets provide measurable, outcome-based goals that align with environmental health policy and enable scenario-based comparisons. Critically, they also provide policymakers with a timeline for impact, illustrating that under aggressive interventions, functional elimination is feasible within 15–20 years, while under current trajectories, progress may take several decades. This structured, assumption-grounded model enables transparent forecasting of what is possible—and what is at stake, when choosing between delayed action and ambitious investment.</w:t>
      </w:r>
    </w:p>
    <w:p w14:paraId="6086A41E" w14:textId="40B4D533" w:rsidR="00D41B9E" w:rsidRPr="00024240" w:rsidRDefault="00F61762" w:rsidP="00D41B9E">
      <w:pPr>
        <w:pStyle w:val="Body"/>
        <w:rPr>
          <w:rFonts w:ascii="Arial" w:hAnsi="Arial" w:cs="Arial"/>
          <w:b/>
          <w:bCs/>
          <w:sz w:val="22"/>
          <w:szCs w:val="22"/>
        </w:rPr>
      </w:pPr>
      <w:r w:rsidRPr="00024240">
        <w:rPr>
          <w:rFonts w:ascii="Arial" w:hAnsi="Arial" w:cs="Arial"/>
          <w:b/>
          <w:bCs/>
          <w:sz w:val="22"/>
          <w:szCs w:val="22"/>
        </w:rPr>
        <w:t>5</w:t>
      </w:r>
      <w:r w:rsidR="00D41B9E" w:rsidRPr="00024240">
        <w:rPr>
          <w:rFonts w:ascii="Arial" w:hAnsi="Arial" w:cs="Arial"/>
          <w:b/>
          <w:bCs/>
          <w:sz w:val="22"/>
          <w:szCs w:val="22"/>
        </w:rPr>
        <w:t>.2 Scenario-Based Projections Under Alternative Policy Pathways</w:t>
      </w:r>
    </w:p>
    <w:p w14:paraId="152AA877" w14:textId="04363755" w:rsidR="00D41B9E" w:rsidRPr="00D41B9E" w:rsidRDefault="00D41B9E" w:rsidP="00D41B9E">
      <w:pPr>
        <w:pStyle w:val="Body"/>
        <w:rPr>
          <w:rFonts w:ascii="Arial" w:hAnsi="Arial" w:cs="Arial"/>
        </w:rPr>
      </w:pPr>
      <w:r w:rsidRPr="00D41B9E">
        <w:rPr>
          <w:rFonts w:ascii="Arial" w:hAnsi="Arial" w:cs="Arial"/>
        </w:rPr>
        <w:t xml:space="preserve">To translate the modeling framework into actionable timelines, three policy scenarios are evaluated: Conservative, Moderate, and Accelerated. These scenarios differ systematically in investment levels, regulatory ambition, and </w:t>
      </w:r>
      <w:r w:rsidRPr="00D41B9E">
        <w:rPr>
          <w:rFonts w:ascii="Arial" w:hAnsi="Arial" w:cs="Arial"/>
        </w:rPr>
        <w:lastRenderedPageBreak/>
        <w:t>implementation speed, providing a structured framework for examining how policy choices shape elimination outcomes. Rather than representing optimistic versus pessimistic forecasts, these scenarios reflect plausible trajectories under differing political and institutional commitments.</w:t>
      </w:r>
    </w:p>
    <w:p w14:paraId="208DA709" w14:textId="77777777" w:rsidR="00D41B9E" w:rsidRPr="00D41B9E" w:rsidRDefault="00D41B9E" w:rsidP="00D41B9E">
      <w:pPr>
        <w:pStyle w:val="Body"/>
        <w:rPr>
          <w:rFonts w:ascii="Arial" w:hAnsi="Arial" w:cs="Arial"/>
        </w:rPr>
      </w:pPr>
      <w:r w:rsidRPr="00D41B9E">
        <w:rPr>
          <w:rFonts w:ascii="Arial" w:hAnsi="Arial" w:cs="Arial"/>
        </w:rPr>
        <w:t>The Conservative Scenario assumes continuation of current policy trajectories. Federal investment remains limited to $3–5 billion annually, approximately half of the estimated need, with minimal state or local supplementation. Regulatory standards are finalized but weakened, such as PFAS drinking water limits set above proposed health-based levels, while lead regulations remain essentially unchanged. Mercury reduction proceeds only through existing Clean Air Act mechanisms, without targeted acceleration. Implementation is slow and fragmented: lead service line replacement proceeds over 15–25 years, PFAS treatment is confined primarily to the largest utilities, and housing remediation remains minimal. Under this scenario, progress is incremental. By year five, only a 20% reduction in contamination-attributable maternal complications is achieved, reflecting limited completion of infrastructure. By year ten, reductions reach 40%, and by year fifteen, approximately 60%. Functional elimination is not achieved until 2045–2050, and 90% elimination remains unattainable by mid-century. This scenario illustrates that while incremental progress occurs, insufficient investment and weak standards result in prolonged exposure for millions of women, effectively locking in avoidable harm for a generation.</w:t>
      </w:r>
    </w:p>
    <w:p w14:paraId="754DDAE2" w14:textId="28700F3B" w:rsidR="00D41B9E" w:rsidRPr="00D41B9E" w:rsidRDefault="00D41B9E" w:rsidP="00D41B9E">
      <w:pPr>
        <w:pStyle w:val="Body"/>
        <w:rPr>
          <w:rFonts w:ascii="Arial" w:hAnsi="Arial" w:cs="Arial"/>
        </w:rPr>
      </w:pPr>
      <w:r w:rsidRPr="00D41B9E">
        <w:rPr>
          <w:rFonts w:ascii="Arial" w:hAnsi="Arial" w:cs="Arial"/>
        </w:rPr>
        <w:t xml:space="preserve">The Moderate Scenario represents the most likely trajectory under sustained but imperfect political commitment. Federal investment increases to $7–9 billion annually, covering 70–80% of </w:t>
      </w:r>
      <w:r w:rsidR="00F61762">
        <w:rPr>
          <w:rFonts w:ascii="Arial" w:hAnsi="Arial" w:cs="Arial"/>
        </w:rPr>
        <w:t xml:space="preserve">the </w:t>
      </w:r>
      <w:r w:rsidRPr="00D41B9E">
        <w:rPr>
          <w:rFonts w:ascii="Arial" w:hAnsi="Arial" w:cs="Arial"/>
        </w:rPr>
        <w:t>estimated need, with meaningful state and local cost-sharing. Regulatory standards are finalized as proposed, including stringent PFAS limits and updated lead action levels, while coal retirement for mercury is modestly accelerated. Implementation adopts proven best practices: lead service line replacement proceeds at the pace demonstrated in high-performing cities, PFAS treatment prioritizes high-risk systems, and housing remediation is targeted toward pregnant women and families with young children. Under this scenario, reductions accelerate substantially. By year five, contamination-attributable maternal complications decline by approximately 35%. By year ten, reductions reach 65%, and by year fifteen, approximately 85%. Functional elimination (95%) is achieved between 2045 and 2048, while 80% elimination occurs by the late 2030s. This scenario demonstrates that elimination within 15–20 years is realistic if policy commitments align with technical capacity. Compared with the Conservative Scenario, tens of thousands of maternal complications and hundreds of maternal deaths are prevented.</w:t>
      </w:r>
    </w:p>
    <w:p w14:paraId="2A02D3A3" w14:textId="66E64B01" w:rsidR="00D41B9E" w:rsidRPr="00D41B9E" w:rsidRDefault="00D41B9E" w:rsidP="00D41B9E">
      <w:pPr>
        <w:pStyle w:val="Body"/>
        <w:rPr>
          <w:rFonts w:ascii="Arial" w:hAnsi="Arial" w:cs="Arial"/>
        </w:rPr>
      </w:pPr>
      <w:r w:rsidRPr="00D41B9E">
        <w:rPr>
          <w:rFonts w:ascii="Arial" w:hAnsi="Arial" w:cs="Arial"/>
        </w:rPr>
        <w:t>The Accelerated Scenario represents the upper bound of feasible action given current technology and institutional constraints. Federal investment reaches $10–12 billion annually, fully meeting estimated needs, supplemented by robust state and local matching and polluter-pays financing for PFAS. Regulatory standards are strengthened across all contaminants, including near-zero lead goals and more protective PFAS limits. Implementation proceeds as a national emergency mobilization: lead service line replacement occurs at Newark-level pace nationwide, PFAS treatment is rapidly deployed, housing remediation is comprehensive, and surveillance and enforcement are intensified. Under this scenario, progress is rapid. By year five, contamination-attributable maternal complications declined by approximately 50%. By year ten, reductions reach 80%, and by year twelve, 90%. The early 2040s achieve functional elimination. The cumulative benefits are substantial: over 100,000 maternal complications and more than 1,000 maternal deaths are prevented relative to the Conservative Scenario. Although total investment ranges from $120 to $ 144 billion over 12 years, these costs are offset by avoided healthcare expenditures and long-term reductions in cardiovascular and metabolic diseases. These scenarios illustrate that elimination timelines are not fixed or inevitable; they are policy-contingent. Faster elimination is achievable, but only with commensurate investment, regulatory ambition, and implementation capacity.</w:t>
      </w:r>
    </w:p>
    <w:p w14:paraId="7C062494" w14:textId="68A870F8" w:rsidR="00D41B9E" w:rsidRPr="00F61762" w:rsidRDefault="00F61762" w:rsidP="00D41B9E">
      <w:pPr>
        <w:pStyle w:val="Body"/>
        <w:rPr>
          <w:rFonts w:ascii="Arial" w:hAnsi="Arial" w:cs="Arial"/>
          <w:b/>
          <w:bCs/>
          <w:sz w:val="22"/>
          <w:szCs w:val="22"/>
        </w:rPr>
      </w:pPr>
      <w:r w:rsidRPr="00F61762">
        <w:rPr>
          <w:rFonts w:ascii="Arial" w:hAnsi="Arial" w:cs="Arial"/>
          <w:b/>
          <w:bCs/>
          <w:sz w:val="22"/>
          <w:szCs w:val="22"/>
        </w:rPr>
        <w:t>5</w:t>
      </w:r>
      <w:r w:rsidR="00D41B9E" w:rsidRPr="00F61762">
        <w:rPr>
          <w:rFonts w:ascii="Arial" w:hAnsi="Arial" w:cs="Arial"/>
          <w:b/>
          <w:bCs/>
          <w:sz w:val="22"/>
          <w:szCs w:val="22"/>
        </w:rPr>
        <w:t>.3 Heterogeneity in Elimination Progress Across Geography, Demography, and Contaminants</w:t>
      </w:r>
    </w:p>
    <w:p w14:paraId="12B63828" w14:textId="77777777" w:rsidR="00D41B9E" w:rsidRPr="00D41B9E" w:rsidRDefault="00D41B9E" w:rsidP="00D41B9E">
      <w:pPr>
        <w:pStyle w:val="Body"/>
        <w:rPr>
          <w:rFonts w:ascii="Arial" w:hAnsi="Arial" w:cs="Arial"/>
        </w:rPr>
      </w:pPr>
      <w:r w:rsidRPr="00D41B9E">
        <w:rPr>
          <w:rFonts w:ascii="Arial" w:hAnsi="Arial" w:cs="Arial"/>
        </w:rPr>
        <w:t>National-level projections necessarily obscure substantial heterogeneity in elimination progress across communities, populations, and contaminants. Understanding this variation is critical for both realistic planning and ensuring that elimination efforts do not inadvertently exacerbate existing inequities. Geographic disparities are among the most pronounced. Large urban centers with political will, fiscal capacity, and technical expertise can implement remediation rapidly, particularly when supported by federal funding. Cities that have demonstrated successful lead service replacement or PFAS treatment deployment may achieve near-complete elimination within a decade. In contrast, small rural communities often lack administrative capacity, engineering expertise, and matching funds required to access and deploy remediation resources. Without targeted support, these communities may lag decades behind national averages, perpetuating exposure inequities.</w:t>
      </w:r>
    </w:p>
    <w:p w14:paraId="739509B4" w14:textId="77777777" w:rsidR="00D41B9E" w:rsidRPr="00D41B9E" w:rsidRDefault="00D41B9E" w:rsidP="00D41B9E">
      <w:pPr>
        <w:pStyle w:val="Body"/>
        <w:rPr>
          <w:rFonts w:ascii="Arial" w:hAnsi="Arial" w:cs="Arial"/>
        </w:rPr>
      </w:pPr>
      <w:r w:rsidRPr="00D41B9E">
        <w:rPr>
          <w:rFonts w:ascii="Arial" w:hAnsi="Arial" w:cs="Arial"/>
        </w:rPr>
        <w:t xml:space="preserve">Environmental justice considerations add another layer of complexity. Communities with the highest exposure burdens, often low-income communities of color, stand to gain the most from elimination. If equity-based prioritization is implemented, such as directing a substantial share of federal investment to disadvantaged areas, these communities may benefit first. Conversely, in the absence of explicit equity provisions, they risk being served last, as wealthier communities leverage greater capacity to secure funding and implement projects. Thus, elimination timelines are not merely technical projections but reflections of distributive choices. State-level variation further contributes to heterogeneity. States with strong </w:t>
      </w:r>
      <w:r w:rsidRPr="00D41B9E">
        <w:rPr>
          <w:rFonts w:ascii="Arial" w:hAnsi="Arial" w:cs="Arial"/>
        </w:rPr>
        <w:lastRenderedPageBreak/>
        <w:t>environmental governance, proactive regulation, and administrative capacity may achieve elimination targets years ahead of the national average. Others, particularly those resistant to ecological regulation, may lag substantially. This divergence raises concerns about unequal protection and suggests a need for federal backstops to ensure minimum progress nationwide.</w:t>
      </w:r>
    </w:p>
    <w:p w14:paraId="2751BEA3" w14:textId="1B2A73EF" w:rsidR="00D41B9E" w:rsidRPr="00D41B9E" w:rsidRDefault="00D41B9E" w:rsidP="00D41B9E">
      <w:pPr>
        <w:pStyle w:val="Body"/>
        <w:rPr>
          <w:rFonts w:ascii="Arial" w:hAnsi="Arial" w:cs="Arial"/>
        </w:rPr>
      </w:pPr>
      <w:r w:rsidRPr="00D41B9E">
        <w:rPr>
          <w:rFonts w:ascii="Arial" w:hAnsi="Arial" w:cs="Arial"/>
        </w:rPr>
        <w:t>Finally, elimination timelines differ markedly by contaminant. Mercury is likely to be eliminated fastest, mainly as a co-benefit of coal retirement and clean energy transition. PFAS elimination is intermediate: treatment technologies are effective, but widespread use and diffuse sources complicate source control. Lead elimination is the slowest, requiring physical replacement of millions of service lines and remediation of millions of housing units. These differences underscore the need for contamination-specific strategies within a unified elimination framework.</w:t>
      </w:r>
    </w:p>
    <w:p w14:paraId="797B508F" w14:textId="71BCDC9D" w:rsidR="00D41B9E" w:rsidRPr="00024240" w:rsidRDefault="00F61762" w:rsidP="00D41B9E">
      <w:pPr>
        <w:pStyle w:val="Body"/>
        <w:rPr>
          <w:rFonts w:ascii="Arial" w:hAnsi="Arial" w:cs="Arial"/>
          <w:b/>
          <w:bCs/>
          <w:sz w:val="22"/>
          <w:szCs w:val="22"/>
        </w:rPr>
      </w:pPr>
      <w:r w:rsidRPr="00024240">
        <w:rPr>
          <w:rFonts w:ascii="Arial" w:hAnsi="Arial" w:cs="Arial"/>
          <w:b/>
          <w:bCs/>
          <w:sz w:val="22"/>
          <w:szCs w:val="22"/>
        </w:rPr>
        <w:t>5</w:t>
      </w:r>
      <w:r w:rsidR="00D41B9E" w:rsidRPr="00024240">
        <w:rPr>
          <w:rFonts w:ascii="Arial" w:hAnsi="Arial" w:cs="Arial"/>
          <w:b/>
          <w:bCs/>
          <w:sz w:val="22"/>
          <w:szCs w:val="22"/>
        </w:rPr>
        <w:t>.4 Monitoring, Accountability, and Adaptive Management for Sustained Progress</w:t>
      </w:r>
    </w:p>
    <w:p w14:paraId="2C9FA8F3" w14:textId="5708D1C6" w:rsidR="00D41B9E" w:rsidRPr="00D41B9E" w:rsidRDefault="00D41B9E" w:rsidP="00D41B9E">
      <w:pPr>
        <w:pStyle w:val="Body"/>
        <w:rPr>
          <w:rFonts w:ascii="Arial" w:hAnsi="Arial" w:cs="Arial"/>
        </w:rPr>
      </w:pPr>
      <w:r w:rsidRPr="00D41B9E">
        <w:rPr>
          <w:rFonts w:ascii="Arial" w:hAnsi="Arial" w:cs="Arial"/>
        </w:rPr>
        <w:t>Achieving projected elimination timelines requires continuous monitoring and adaptive management. Without robust accountability mechanisms, even well-designed policies risk falling short due to implementation bottlenecks, funding gaps, or unforeseen challenges. Process indicators provide early signals of progress or delay. Annual tracking of lead service line replacements, PFAS treatment installations, housing remediation units, and funding allocations allows policymakers to assess whether implementation is on track. Targets are ambitious but achievable, reflecting the pace required to meet elimination goals within defined timelines.</w:t>
      </w:r>
    </w:p>
    <w:p w14:paraId="0CED8703" w14:textId="15CDFA40" w:rsidR="00D41B9E" w:rsidRPr="00D41B9E" w:rsidRDefault="00D41B9E" w:rsidP="00D41B9E">
      <w:pPr>
        <w:pStyle w:val="Body"/>
        <w:rPr>
          <w:rFonts w:ascii="Arial" w:hAnsi="Arial" w:cs="Arial"/>
        </w:rPr>
      </w:pPr>
      <w:r w:rsidRPr="00D41B9E">
        <w:rPr>
          <w:rFonts w:ascii="Arial" w:hAnsi="Arial" w:cs="Arial"/>
        </w:rPr>
        <w:t>Outcome indicators assess whether reductions in exposure translate into improvements in health. Biennial monitoring of population biomarkers, water system compliance, and maternal health outcomes provides evidence of real-world impact. Disaggregation by race, ethnicity, and geography is essential to ensure equitable progress. Adaptive management is triggered when indicators fall below expectations. If process indicators lag by more than 20% for two consecutive years, a structured review process is initiated to identify barriers and adjust strategies. Similarly, if maternal health outcomes fail to improve as projected, further investigation is warranted to determine whether exposure reductions are insufficient or whether other factors are offsetting gains.</w:t>
      </w:r>
    </w:p>
    <w:p w14:paraId="290ED324" w14:textId="69F7A68D" w:rsidR="008E4793" w:rsidRPr="00204C9F" w:rsidRDefault="00D41B9E" w:rsidP="005A7EA1">
      <w:pPr>
        <w:pStyle w:val="Body"/>
        <w:rPr>
          <w:rFonts w:ascii="Arial" w:hAnsi="Arial" w:cs="Arial"/>
        </w:rPr>
      </w:pPr>
      <w:r w:rsidRPr="00D41B9E">
        <w:rPr>
          <w:rFonts w:ascii="Arial" w:hAnsi="Arial" w:cs="Arial"/>
        </w:rPr>
        <w:t>In this way, elimination is treated not as a static target but as a dynamic process requiring continuous learning and adjustment. Robust monitoring ensures that projections remain grounded in reality and that policy remains responsive to emerging evidence. The projection of elimination is not merely an academic exercise but a roadmap for action. The timelines presented here demonstrate that eliminating contamination-attributable maternal health harms is achievable within a generation, and sooner with decisive action. The pace of elimination depends not only on technical feasibility but also on political will, investment, and a commitment to equity. The choice is not whether elimination is possible, but how quickly society chooses to realize it.</w:t>
      </w:r>
    </w:p>
    <w:p w14:paraId="73060C59" w14:textId="0EBFABF2" w:rsidR="00B01FCD" w:rsidRDefault="00B01FCD" w:rsidP="00441B6F">
      <w:pPr>
        <w:pStyle w:val="ConcHead"/>
        <w:spacing w:after="0"/>
        <w:jc w:val="both"/>
        <w:rPr>
          <w:rFonts w:ascii="Arial" w:hAnsi="Arial" w:cs="Arial"/>
        </w:rPr>
      </w:pPr>
      <w:r w:rsidRPr="00FB3A86">
        <w:rPr>
          <w:rFonts w:ascii="Arial" w:hAnsi="Arial" w:cs="Arial"/>
        </w:rPr>
        <w:t>Conclusion</w:t>
      </w:r>
    </w:p>
    <w:p w14:paraId="4A14947D" w14:textId="77777777" w:rsidR="00790ADA" w:rsidRPr="00FB3A86" w:rsidRDefault="00790ADA" w:rsidP="00DA1A0E">
      <w:pPr>
        <w:pStyle w:val="ConcHead"/>
        <w:spacing w:after="0"/>
        <w:rPr>
          <w:rFonts w:ascii="Arial" w:hAnsi="Arial" w:cs="Arial"/>
        </w:rPr>
      </w:pPr>
    </w:p>
    <w:p w14:paraId="097CE87D" w14:textId="3B7DE23E" w:rsidR="00DA1A0E" w:rsidRPr="00DA1A0E" w:rsidRDefault="000034F7" w:rsidP="00DA1A0E">
      <w:pPr>
        <w:pStyle w:val="Body"/>
        <w:spacing w:after="0"/>
        <w:contextualSpacing/>
        <w:jc w:val="left"/>
        <w:rPr>
          <w:rFonts w:ascii="Arial" w:hAnsi="Arial" w:cs="Arial"/>
          <w:b/>
          <w:bCs/>
        </w:rPr>
      </w:pPr>
      <w:r>
        <w:rPr>
          <w:rFonts w:ascii="Arial" w:hAnsi="Arial" w:cs="Arial"/>
          <w:b/>
          <w:bCs/>
        </w:rPr>
        <w:t>6</w:t>
      </w:r>
      <w:r w:rsidR="00DA1A0E" w:rsidRPr="00DA1A0E">
        <w:rPr>
          <w:rFonts w:ascii="Arial" w:hAnsi="Arial" w:cs="Arial"/>
          <w:b/>
          <w:bCs/>
        </w:rPr>
        <w:t>.1 Summary of key findings</w:t>
      </w:r>
    </w:p>
    <w:p w14:paraId="17EFBA2F" w14:textId="75D004C4" w:rsidR="00DA1A0E" w:rsidRPr="00DA1A0E" w:rsidRDefault="00DA1A0E" w:rsidP="00DA1A0E">
      <w:pPr>
        <w:pStyle w:val="Body"/>
        <w:spacing w:after="0"/>
        <w:contextualSpacing/>
        <w:rPr>
          <w:rFonts w:ascii="Arial" w:hAnsi="Arial" w:cs="Arial"/>
        </w:rPr>
      </w:pPr>
      <w:r w:rsidRPr="00DA1A0E">
        <w:rPr>
          <w:rFonts w:ascii="Arial" w:hAnsi="Arial" w:cs="Arial"/>
        </w:rPr>
        <w:t>This review concludes that lead, mercury, and PFAS materially contribute to adverse maternal outcomes in the United States, with robust epidemiologic evidence linking these contaminants to preeclampsia, gestational hypertension, gestational diabetes, preterm birth, and pregnancy loss. An estimate of roughly 15,000–25,000 excess maternal complications annually attributable to these exposures, producing thousands of SMM events and tens of maternal deaths each year, and imposing multi</w:t>
      </w:r>
      <w:r w:rsidRPr="00DA1A0E">
        <w:rPr>
          <w:rFonts w:ascii="Cambria Math" w:hAnsi="Cambria Math" w:cs="Cambria Math"/>
        </w:rPr>
        <w:t>‑</w:t>
      </w:r>
      <w:r w:rsidRPr="00DA1A0E">
        <w:rPr>
          <w:rFonts w:ascii="Arial" w:hAnsi="Arial" w:cs="Arial"/>
        </w:rPr>
        <w:t>billion-dollar health and long</w:t>
      </w:r>
      <w:r w:rsidRPr="00DA1A0E">
        <w:rPr>
          <w:rFonts w:ascii="Cambria Math" w:hAnsi="Cambria Math" w:cs="Cambria Math"/>
        </w:rPr>
        <w:t>‑</w:t>
      </w:r>
      <w:r w:rsidRPr="00DA1A0E">
        <w:rPr>
          <w:rFonts w:ascii="Arial" w:hAnsi="Arial" w:cs="Arial"/>
        </w:rPr>
        <w:t>term economic burdens. [2]</w:t>
      </w:r>
    </w:p>
    <w:p w14:paraId="62C66E72" w14:textId="1E269EE9" w:rsidR="00DA1A0E" w:rsidRPr="00DA1A0E" w:rsidRDefault="000034F7" w:rsidP="00DA1A0E">
      <w:pPr>
        <w:pStyle w:val="Body"/>
        <w:spacing w:after="0"/>
        <w:contextualSpacing/>
        <w:rPr>
          <w:rFonts w:ascii="Arial" w:hAnsi="Arial" w:cs="Arial"/>
          <w:b/>
          <w:bCs/>
        </w:rPr>
      </w:pPr>
      <w:r>
        <w:rPr>
          <w:rFonts w:ascii="Arial" w:hAnsi="Arial" w:cs="Arial"/>
          <w:b/>
          <w:bCs/>
        </w:rPr>
        <w:t>6</w:t>
      </w:r>
      <w:r w:rsidR="00DA1A0E" w:rsidRPr="00DA1A0E">
        <w:rPr>
          <w:rFonts w:ascii="Arial" w:hAnsi="Arial" w:cs="Arial"/>
          <w:b/>
          <w:bCs/>
        </w:rPr>
        <w:t>.2 Feasibility of elimination</w:t>
      </w:r>
    </w:p>
    <w:p w14:paraId="7187EF4A" w14:textId="77777777" w:rsidR="00DA1A0E" w:rsidRPr="00DA1A0E" w:rsidRDefault="00DA1A0E" w:rsidP="00DA1A0E">
      <w:pPr>
        <w:pStyle w:val="Body"/>
        <w:spacing w:after="0"/>
        <w:contextualSpacing/>
        <w:rPr>
          <w:rFonts w:ascii="Arial" w:hAnsi="Arial" w:cs="Arial"/>
        </w:rPr>
      </w:pPr>
      <w:r w:rsidRPr="00DA1A0E">
        <w:rPr>
          <w:rFonts w:ascii="Arial" w:hAnsi="Arial" w:cs="Arial"/>
        </w:rPr>
        <w:t>Elimination is technically and economically feasible. Proven technologies (lead service-line replacement, housing abatement, PFAS water treatment, mercury source control) and benefit-cost estimates show that remediation investments pay for themselves within 10–15 years. The principal barrier is sustained policy and governance to marshal resources, enforce standards, and maintain commitment across electoral cycles.</w:t>
      </w:r>
    </w:p>
    <w:p w14:paraId="06F3EEF6" w14:textId="1DA971A2" w:rsidR="00DA1A0E" w:rsidRPr="00DA1A0E" w:rsidRDefault="000034F7" w:rsidP="00DA1A0E">
      <w:pPr>
        <w:pStyle w:val="Body"/>
        <w:spacing w:after="0"/>
        <w:contextualSpacing/>
        <w:rPr>
          <w:rFonts w:ascii="Arial" w:hAnsi="Arial" w:cs="Arial"/>
          <w:b/>
          <w:bCs/>
        </w:rPr>
      </w:pPr>
      <w:r>
        <w:rPr>
          <w:rFonts w:ascii="Arial" w:hAnsi="Arial" w:cs="Arial"/>
          <w:b/>
          <w:bCs/>
        </w:rPr>
        <w:t>6</w:t>
      </w:r>
      <w:r w:rsidR="00DA1A0E" w:rsidRPr="00DA1A0E">
        <w:rPr>
          <w:rFonts w:ascii="Arial" w:hAnsi="Arial" w:cs="Arial"/>
          <w:b/>
          <w:bCs/>
        </w:rPr>
        <w:t>.3 Critical success factors</w:t>
      </w:r>
    </w:p>
    <w:p w14:paraId="5722F742" w14:textId="77777777" w:rsidR="00DA1A0E" w:rsidRPr="00DA1A0E" w:rsidRDefault="00DA1A0E" w:rsidP="00DA1A0E">
      <w:pPr>
        <w:pStyle w:val="Body"/>
        <w:spacing w:after="0"/>
        <w:contextualSpacing/>
        <w:rPr>
          <w:rFonts w:ascii="Arial" w:hAnsi="Arial" w:cs="Arial"/>
        </w:rPr>
      </w:pPr>
      <w:r w:rsidRPr="00DA1A0E">
        <w:rPr>
          <w:rFonts w:ascii="Arial" w:hAnsi="Arial" w:cs="Arial"/>
        </w:rPr>
        <w:t>Achieving timely elimination requires coordinated action across domains: sustained federal funding and permanent trust mechanisms, health</w:t>
      </w:r>
      <w:r w:rsidRPr="00DA1A0E">
        <w:rPr>
          <w:rFonts w:ascii="Cambria Math" w:hAnsi="Cambria Math" w:cs="Cambria Math"/>
        </w:rPr>
        <w:t>‑</w:t>
      </w:r>
      <w:r w:rsidRPr="00DA1A0E">
        <w:rPr>
          <w:rFonts w:ascii="Arial" w:hAnsi="Arial" w:cs="Arial"/>
        </w:rPr>
        <w:t>science–based regulatory standards (zero</w:t>
      </w:r>
      <w:r w:rsidRPr="00DA1A0E">
        <w:rPr>
          <w:rFonts w:ascii="Cambria Math" w:hAnsi="Cambria Math" w:cs="Cambria Math"/>
        </w:rPr>
        <w:t>‑</w:t>
      </w:r>
      <w:r w:rsidRPr="00DA1A0E">
        <w:rPr>
          <w:rFonts w:ascii="Arial" w:hAnsi="Arial" w:cs="Arial"/>
        </w:rPr>
        <w:t>lead water goals; stringent PFAS Maximum Contaminant Levels), polluter</w:t>
      </w:r>
      <w:r w:rsidRPr="00DA1A0E">
        <w:rPr>
          <w:rFonts w:ascii="Cambria Math" w:hAnsi="Cambria Math" w:cs="Cambria Math"/>
        </w:rPr>
        <w:t>‑</w:t>
      </w:r>
      <w:r w:rsidRPr="00DA1A0E">
        <w:rPr>
          <w:rFonts w:ascii="Arial" w:hAnsi="Arial" w:cs="Arial"/>
        </w:rPr>
        <w:t>pays liability frameworks, community co</w:t>
      </w:r>
      <w:r w:rsidRPr="00DA1A0E">
        <w:rPr>
          <w:rFonts w:ascii="Cambria Math" w:hAnsi="Cambria Math" w:cs="Cambria Math"/>
        </w:rPr>
        <w:t>‑</w:t>
      </w:r>
      <w:r w:rsidRPr="00DA1A0E">
        <w:rPr>
          <w:rFonts w:ascii="Arial" w:hAnsi="Arial" w:cs="Arial"/>
        </w:rPr>
        <w:t>leadership in intervention design, equity</w:t>
      </w:r>
      <w:r w:rsidRPr="00DA1A0E">
        <w:rPr>
          <w:rFonts w:ascii="Cambria Math" w:hAnsi="Cambria Math" w:cs="Cambria Math"/>
        </w:rPr>
        <w:t>‑</w:t>
      </w:r>
      <w:r w:rsidRPr="00DA1A0E">
        <w:rPr>
          <w:rFonts w:ascii="Arial" w:hAnsi="Arial" w:cs="Arial"/>
        </w:rPr>
        <w:t>based prioritization for environmental</w:t>
      </w:r>
      <w:r w:rsidRPr="00DA1A0E">
        <w:rPr>
          <w:rFonts w:ascii="Cambria Math" w:hAnsi="Cambria Math" w:cs="Cambria Math"/>
        </w:rPr>
        <w:t>‑</w:t>
      </w:r>
      <w:r w:rsidRPr="00DA1A0E">
        <w:rPr>
          <w:rFonts w:ascii="Arial" w:hAnsi="Arial" w:cs="Arial"/>
        </w:rPr>
        <w:t>justice communities, and integration of environmental, housing, maternal</w:t>
      </w:r>
      <w:r w:rsidRPr="00DA1A0E">
        <w:rPr>
          <w:rFonts w:ascii="Cambria Math" w:hAnsi="Cambria Math" w:cs="Cambria Math"/>
        </w:rPr>
        <w:t>‑</w:t>
      </w:r>
      <w:r w:rsidRPr="00DA1A0E">
        <w:rPr>
          <w:rFonts w:ascii="Arial" w:hAnsi="Arial" w:cs="Arial"/>
        </w:rPr>
        <w:t>health, and climate policy to maximize co</w:t>
      </w:r>
      <w:r w:rsidRPr="00DA1A0E">
        <w:rPr>
          <w:rFonts w:ascii="Cambria Math" w:hAnsi="Cambria Math" w:cs="Cambria Math"/>
        </w:rPr>
        <w:t>‑</w:t>
      </w:r>
      <w:r w:rsidRPr="00DA1A0E">
        <w:rPr>
          <w:rFonts w:ascii="Arial" w:hAnsi="Arial" w:cs="Arial"/>
        </w:rPr>
        <w:t>benefits and efficiency.</w:t>
      </w:r>
    </w:p>
    <w:p w14:paraId="7374790A" w14:textId="75C5B874" w:rsidR="00DA1A0E" w:rsidRPr="00DA1A0E" w:rsidRDefault="000034F7" w:rsidP="00DA1A0E">
      <w:pPr>
        <w:pStyle w:val="Body"/>
        <w:spacing w:after="0"/>
        <w:contextualSpacing/>
        <w:jc w:val="left"/>
        <w:rPr>
          <w:rFonts w:ascii="Arial" w:hAnsi="Arial" w:cs="Arial"/>
          <w:b/>
          <w:bCs/>
        </w:rPr>
      </w:pPr>
      <w:r>
        <w:rPr>
          <w:rFonts w:ascii="Arial" w:hAnsi="Arial" w:cs="Arial"/>
          <w:b/>
          <w:bCs/>
        </w:rPr>
        <w:t>6</w:t>
      </w:r>
      <w:r w:rsidR="00DA1A0E" w:rsidRPr="00DA1A0E">
        <w:rPr>
          <w:rFonts w:ascii="Arial" w:hAnsi="Arial" w:cs="Arial"/>
          <w:b/>
          <w:bCs/>
        </w:rPr>
        <w:t>.4 Priority actions and accountability</w:t>
      </w:r>
    </w:p>
    <w:p w14:paraId="56545B35" w14:textId="77777777" w:rsidR="00DA1A0E" w:rsidRPr="00DA1A0E" w:rsidRDefault="00DA1A0E" w:rsidP="00DA1A0E">
      <w:pPr>
        <w:pStyle w:val="Body"/>
        <w:spacing w:after="0"/>
        <w:contextualSpacing/>
        <w:rPr>
          <w:rFonts w:ascii="Arial" w:hAnsi="Arial" w:cs="Arial"/>
        </w:rPr>
      </w:pPr>
      <w:r w:rsidRPr="00DA1A0E">
        <w:rPr>
          <w:rFonts w:ascii="Arial" w:hAnsi="Arial" w:cs="Arial"/>
        </w:rPr>
        <w:t>Immediate priorities include finalizing and enforcing protective PFAS standards, scaling lead service</w:t>
      </w:r>
      <w:r w:rsidRPr="00DA1A0E">
        <w:rPr>
          <w:rFonts w:ascii="Cambria Math" w:hAnsi="Cambria Math" w:cs="Cambria Math"/>
        </w:rPr>
        <w:t>‑</w:t>
      </w:r>
      <w:r w:rsidRPr="00DA1A0E">
        <w:rPr>
          <w:rFonts w:ascii="Arial" w:hAnsi="Arial" w:cs="Arial"/>
        </w:rPr>
        <w:t xml:space="preserve">line and housing remediation prioritization and principal forgiveness for disadvantaged communities, updating occupational protections for </w:t>
      </w:r>
      <w:r w:rsidRPr="00DA1A0E">
        <w:rPr>
          <w:rFonts w:ascii="Arial" w:hAnsi="Arial" w:cs="Arial"/>
        </w:rPr>
        <w:lastRenderedPageBreak/>
        <w:t>reproductive</w:t>
      </w:r>
      <w:r w:rsidRPr="00DA1A0E">
        <w:rPr>
          <w:rFonts w:ascii="Cambria Math" w:hAnsi="Cambria Math" w:cs="Cambria Math"/>
        </w:rPr>
        <w:t>‑</w:t>
      </w:r>
      <w:r w:rsidRPr="00DA1A0E">
        <w:rPr>
          <w:rFonts w:ascii="Arial" w:hAnsi="Arial" w:cs="Arial"/>
        </w:rPr>
        <w:t>age workers, expanding biomonitoring and integrated exposure–outcome surveillance, and institutionalizing transparent targets and triggers for adaptive management to ensure implementation stays on schedule.</w:t>
      </w:r>
    </w:p>
    <w:p w14:paraId="7D3BF3B7" w14:textId="6AFFCD39" w:rsidR="00DA1A0E" w:rsidRPr="00390CFC" w:rsidRDefault="007E3640" w:rsidP="00DA1A0E">
      <w:pPr>
        <w:pStyle w:val="Body"/>
        <w:spacing w:after="0"/>
        <w:contextualSpacing/>
        <w:rPr>
          <w:rFonts w:ascii="Arial" w:hAnsi="Arial" w:cs="Arial"/>
          <w:b/>
          <w:bCs/>
        </w:rPr>
      </w:pPr>
      <w:r>
        <w:rPr>
          <w:rFonts w:ascii="Arial" w:hAnsi="Arial" w:cs="Arial"/>
          <w:b/>
          <w:bCs/>
        </w:rPr>
        <w:t>6</w:t>
      </w:r>
      <w:r w:rsidR="00DA1A0E" w:rsidRPr="00390CFC">
        <w:rPr>
          <w:rFonts w:ascii="Arial" w:hAnsi="Arial" w:cs="Arial"/>
          <w:b/>
          <w:bCs/>
        </w:rPr>
        <w:t>.5 The path forward and moral imperative</w:t>
      </w:r>
    </w:p>
    <w:p w14:paraId="0001B02A" w14:textId="77777777" w:rsidR="00DA1A0E" w:rsidRDefault="00DA1A0E" w:rsidP="00DA1A0E">
      <w:pPr>
        <w:pStyle w:val="Body"/>
        <w:spacing w:after="0"/>
        <w:contextualSpacing/>
        <w:rPr>
          <w:rFonts w:ascii="Arial" w:hAnsi="Arial" w:cs="Arial"/>
        </w:rPr>
      </w:pPr>
      <w:r w:rsidRPr="00DA1A0E">
        <w:rPr>
          <w:rFonts w:ascii="Arial" w:hAnsi="Arial" w:cs="Arial"/>
        </w:rPr>
        <w:t>The evidence, precedent, and economic analysis converge: elimination of environment</w:t>
      </w:r>
      <w:r w:rsidRPr="00DA1A0E">
        <w:rPr>
          <w:rFonts w:ascii="Cambria Math" w:hAnsi="Cambria Math" w:cs="Cambria Math"/>
        </w:rPr>
        <w:t>‑</w:t>
      </w:r>
      <w:r w:rsidRPr="00DA1A0E">
        <w:rPr>
          <w:rFonts w:ascii="Arial" w:hAnsi="Arial" w:cs="Arial"/>
        </w:rPr>
        <w:t>attributable maternal complications is achievable and ethically required; delayed action perpetuates preventable harm concentrated in marginalized communities, whereas timely, well</w:t>
      </w:r>
      <w:r w:rsidRPr="00DA1A0E">
        <w:rPr>
          <w:rFonts w:ascii="Cambria Math" w:hAnsi="Cambria Math" w:cs="Cambria Math"/>
        </w:rPr>
        <w:t>‑</w:t>
      </w:r>
      <w:r w:rsidRPr="00DA1A0E">
        <w:rPr>
          <w:rFonts w:ascii="Arial" w:hAnsi="Arial" w:cs="Arial"/>
        </w:rPr>
        <w:t>resourced, and equity</w:t>
      </w:r>
      <w:r w:rsidRPr="00DA1A0E">
        <w:rPr>
          <w:rFonts w:ascii="Cambria Math" w:hAnsi="Cambria Math" w:cs="Cambria Math"/>
        </w:rPr>
        <w:t>‑</w:t>
      </w:r>
      <w:r w:rsidRPr="00DA1A0E">
        <w:rPr>
          <w:rFonts w:ascii="Arial" w:hAnsi="Arial" w:cs="Arial"/>
        </w:rPr>
        <w:t>centered elimination strategies will avert substantial morbidity, save lives, reduce long</w:t>
      </w:r>
      <w:r w:rsidRPr="00DA1A0E">
        <w:rPr>
          <w:rFonts w:ascii="Cambria Math" w:hAnsi="Cambria Math" w:cs="Cambria Math"/>
        </w:rPr>
        <w:t>‑</w:t>
      </w:r>
      <w:r w:rsidRPr="00DA1A0E">
        <w:rPr>
          <w:rFonts w:ascii="Arial" w:hAnsi="Arial" w:cs="Arial"/>
        </w:rPr>
        <w:t>term disease burden, and advance environmental and reproductive justice, if political will is mobilized to turn knowledge and tools into sustained national action.</w:t>
      </w:r>
    </w:p>
    <w:p w14:paraId="32C94B00" w14:textId="77777777" w:rsidR="00C72E7E" w:rsidRDefault="00C72E7E" w:rsidP="00DA1A0E">
      <w:pPr>
        <w:pStyle w:val="Body"/>
        <w:spacing w:after="0"/>
        <w:contextualSpacing/>
        <w:rPr>
          <w:rFonts w:ascii="Arial" w:hAnsi="Arial" w:cs="Arial"/>
        </w:rPr>
      </w:pPr>
    </w:p>
    <w:p w14:paraId="66E5F7A1" w14:textId="77777777" w:rsidR="00860000" w:rsidRDefault="00860000" w:rsidP="00441B6F">
      <w:pPr>
        <w:pStyle w:val="ReferHead"/>
        <w:spacing w:after="0"/>
        <w:jc w:val="both"/>
        <w:rPr>
          <w:rFonts w:ascii="Arial" w:hAnsi="Arial" w:cs="Arial"/>
        </w:rPr>
      </w:pPr>
    </w:p>
    <w:p w14:paraId="1F59B9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B3682E" w14:textId="37EFDB10" w:rsidR="000504FE" w:rsidRPr="009F08BA" w:rsidRDefault="000504FE" w:rsidP="000504FE">
      <w:pPr>
        <w:pStyle w:val="Bibliography"/>
        <w:rPr>
          <w:rFonts w:ascii="Arial" w:hAnsi="Arial" w:cs="Arial"/>
          <w:sz w:val="20"/>
        </w:rPr>
      </w:pPr>
      <w:r>
        <w:rPr>
          <w:rFonts w:ascii="Arial" w:hAnsi="Arial" w:cs="Arial"/>
          <w:sz w:val="20"/>
          <w:szCs w:val="20"/>
        </w:rPr>
        <w:fldChar w:fldCharType="begin"/>
      </w:r>
      <w:r>
        <w:rPr>
          <w:rFonts w:ascii="Arial" w:hAnsi="Arial" w:cs="Arial"/>
          <w:sz w:val="20"/>
          <w:szCs w:val="20"/>
        </w:rPr>
        <w:instrText xml:space="preserve"> ADDIN ZOTERO_BIBL {"uncited":[],"omitted":[],"custom":[]} CSL_BIBLIOGRAPHY </w:instrText>
      </w:r>
      <w:r>
        <w:rPr>
          <w:rFonts w:ascii="Arial" w:hAnsi="Arial" w:cs="Arial"/>
          <w:sz w:val="20"/>
          <w:szCs w:val="20"/>
        </w:rPr>
        <w:fldChar w:fldCharType="separate"/>
      </w:r>
      <w:r w:rsidRPr="009F08BA">
        <w:rPr>
          <w:rFonts w:ascii="Arial" w:hAnsi="Arial" w:cs="Arial"/>
          <w:sz w:val="20"/>
        </w:rPr>
        <w:t>[1]</w:t>
      </w:r>
      <w:r w:rsidRPr="009F08BA">
        <w:rPr>
          <w:rFonts w:ascii="Arial" w:hAnsi="Arial" w:cs="Arial"/>
          <w:sz w:val="20"/>
        </w:rPr>
        <w:tab/>
        <w:t>D. L. Hoyert, “Health E-stat: Maternal mortality rates in the United States, 2022,” National Center for Health Statistics (U.S.), Hyattsville, MD, May 2024. doi: 10.15620/cdc/152992.</w:t>
      </w:r>
      <w:r w:rsidR="00C91648">
        <w:rPr>
          <w:rFonts w:ascii="Arial" w:hAnsi="Arial" w:cs="Arial"/>
          <w:sz w:val="20"/>
        </w:rPr>
        <w:t xml:space="preserve"> </w:t>
      </w:r>
    </w:p>
    <w:p w14:paraId="7DB066DA" w14:textId="77777777" w:rsidR="000504FE" w:rsidRPr="009F08BA" w:rsidRDefault="000504FE" w:rsidP="000504FE">
      <w:pPr>
        <w:pStyle w:val="Bibliography"/>
        <w:rPr>
          <w:rFonts w:ascii="Arial" w:hAnsi="Arial" w:cs="Arial"/>
          <w:sz w:val="20"/>
        </w:rPr>
      </w:pPr>
      <w:r w:rsidRPr="009F08BA">
        <w:rPr>
          <w:rFonts w:ascii="Arial" w:hAnsi="Arial" w:cs="Arial"/>
          <w:sz w:val="20"/>
        </w:rPr>
        <w:t>[2]</w:t>
      </w:r>
      <w:r w:rsidRPr="009F08BA">
        <w:rPr>
          <w:rFonts w:ascii="Arial" w:hAnsi="Arial" w:cs="Arial"/>
          <w:sz w:val="20"/>
        </w:rPr>
        <w:tab/>
        <w:t>D. Hoyert, “Maternal mortality rates in the United States, 2021,” National Center for Health Statistics (U.S.), Mar. 2023. doi: 10.15620/cdc:124678.</w:t>
      </w:r>
    </w:p>
    <w:p w14:paraId="7366B799" w14:textId="77777777" w:rsidR="000504FE" w:rsidRPr="009F08BA" w:rsidRDefault="000504FE" w:rsidP="000504FE">
      <w:pPr>
        <w:pStyle w:val="Bibliography"/>
        <w:rPr>
          <w:rFonts w:ascii="Arial" w:hAnsi="Arial" w:cs="Arial"/>
          <w:sz w:val="20"/>
        </w:rPr>
      </w:pPr>
      <w:r w:rsidRPr="009F08BA">
        <w:rPr>
          <w:rFonts w:ascii="Arial" w:hAnsi="Arial" w:cs="Arial"/>
          <w:sz w:val="20"/>
        </w:rPr>
        <w:t>[3]</w:t>
      </w:r>
      <w:r w:rsidRPr="009F08BA">
        <w:rPr>
          <w:rFonts w:ascii="Arial" w:hAnsi="Arial" w:cs="Arial"/>
          <w:sz w:val="20"/>
        </w:rPr>
        <w:tab/>
        <w:t>M. Z. Gunja, E. D. Gumas, R. Masitha, and L. C. Zephyrin, “Insights into the U.S. Maternal Mortality Crisis: An International Comparison,” 2024, doi: 10.26099/CTHN-ST75.</w:t>
      </w:r>
    </w:p>
    <w:p w14:paraId="469E5E72" w14:textId="77777777" w:rsidR="000504FE" w:rsidRPr="009F08BA" w:rsidRDefault="000504FE" w:rsidP="000504FE">
      <w:pPr>
        <w:pStyle w:val="Bibliography"/>
        <w:rPr>
          <w:rFonts w:ascii="Arial" w:hAnsi="Arial" w:cs="Arial"/>
          <w:sz w:val="20"/>
        </w:rPr>
      </w:pPr>
      <w:r w:rsidRPr="009F08BA">
        <w:rPr>
          <w:rFonts w:ascii="Arial" w:hAnsi="Arial" w:cs="Arial"/>
          <w:sz w:val="20"/>
        </w:rPr>
        <w:t>[4]</w:t>
      </w:r>
      <w:r w:rsidRPr="009F08BA">
        <w:rPr>
          <w:rFonts w:ascii="Arial" w:hAnsi="Arial" w:cs="Arial"/>
          <w:sz w:val="20"/>
        </w:rPr>
        <w:tab/>
        <w:t xml:space="preserve">A. Thakkar </w:t>
      </w:r>
      <w:r w:rsidRPr="009F08BA">
        <w:rPr>
          <w:rFonts w:ascii="Arial" w:hAnsi="Arial" w:cs="Arial"/>
          <w:i/>
          <w:iCs/>
          <w:sz w:val="20"/>
        </w:rPr>
        <w:t>et al.</w:t>
      </w:r>
      <w:r w:rsidRPr="009F08BA">
        <w:rPr>
          <w:rFonts w:ascii="Arial" w:hAnsi="Arial" w:cs="Arial"/>
          <w:sz w:val="20"/>
        </w:rPr>
        <w:t xml:space="preserve">, “Assessment and Prediction of Cardiovascular Contributions to Severe Maternal Morbidity,” </w:t>
      </w:r>
      <w:r w:rsidRPr="009F08BA">
        <w:rPr>
          <w:rFonts w:ascii="Arial" w:hAnsi="Arial" w:cs="Arial"/>
          <w:i/>
          <w:iCs/>
          <w:sz w:val="20"/>
        </w:rPr>
        <w:t>JACC Adv.</w:t>
      </w:r>
      <w:r w:rsidRPr="009F08BA">
        <w:rPr>
          <w:rFonts w:ascii="Arial" w:hAnsi="Arial" w:cs="Arial"/>
          <w:sz w:val="20"/>
        </w:rPr>
        <w:t>, vol. 2, no. 2, p. 100275, Mar. 2023, doi: 10.1016/j.jacadv.2023.100275.</w:t>
      </w:r>
    </w:p>
    <w:p w14:paraId="449A0A9D" w14:textId="77777777" w:rsidR="000504FE" w:rsidRPr="009F08BA" w:rsidRDefault="000504FE" w:rsidP="000504FE">
      <w:pPr>
        <w:pStyle w:val="Bibliography"/>
        <w:rPr>
          <w:rFonts w:ascii="Arial" w:hAnsi="Arial" w:cs="Arial"/>
          <w:sz w:val="20"/>
        </w:rPr>
      </w:pPr>
      <w:r w:rsidRPr="009F08BA">
        <w:rPr>
          <w:rFonts w:ascii="Arial" w:hAnsi="Arial" w:cs="Arial"/>
          <w:sz w:val="20"/>
        </w:rPr>
        <w:t>[5]</w:t>
      </w:r>
      <w:r w:rsidRPr="009F08BA">
        <w:rPr>
          <w:rFonts w:ascii="Arial" w:hAnsi="Arial" w:cs="Arial"/>
          <w:sz w:val="20"/>
        </w:rPr>
        <w:tab/>
        <w:t xml:space="preserve">S. A. Leonard </w:t>
      </w:r>
      <w:r w:rsidRPr="009F08BA">
        <w:rPr>
          <w:rFonts w:ascii="Arial" w:hAnsi="Arial" w:cs="Arial"/>
          <w:i/>
          <w:iCs/>
          <w:sz w:val="20"/>
        </w:rPr>
        <w:t>et al.</w:t>
      </w:r>
      <w:r w:rsidRPr="009F08BA">
        <w:rPr>
          <w:rFonts w:ascii="Arial" w:hAnsi="Arial" w:cs="Arial"/>
          <w:sz w:val="20"/>
        </w:rPr>
        <w:t xml:space="preserve">, “Obstetric comorbidity scores and disparities in severe maternal morbidity across marginalized groups,” </w:t>
      </w:r>
      <w:r w:rsidRPr="009F08BA">
        <w:rPr>
          <w:rFonts w:ascii="Arial" w:hAnsi="Arial" w:cs="Arial"/>
          <w:i/>
          <w:iCs/>
          <w:sz w:val="20"/>
        </w:rPr>
        <w:t>Am. J. Obstet. Gynecol. MFM</w:t>
      </w:r>
      <w:r w:rsidRPr="009F08BA">
        <w:rPr>
          <w:rFonts w:ascii="Arial" w:hAnsi="Arial" w:cs="Arial"/>
          <w:sz w:val="20"/>
        </w:rPr>
        <w:t>, vol. 4, no. 2, p. 100530, Mar. 2022, doi: 10.1016/j.ajogmf.2021.100530.</w:t>
      </w:r>
    </w:p>
    <w:p w14:paraId="649602A6" w14:textId="77777777" w:rsidR="000504FE" w:rsidRPr="009F08BA" w:rsidRDefault="000504FE" w:rsidP="000504FE">
      <w:pPr>
        <w:pStyle w:val="Bibliography"/>
        <w:rPr>
          <w:rFonts w:ascii="Arial" w:hAnsi="Arial" w:cs="Arial"/>
          <w:sz w:val="20"/>
        </w:rPr>
      </w:pPr>
      <w:r w:rsidRPr="009F08BA">
        <w:rPr>
          <w:rFonts w:ascii="Arial" w:hAnsi="Arial" w:cs="Arial"/>
          <w:sz w:val="20"/>
        </w:rPr>
        <w:t>[6]</w:t>
      </w:r>
      <w:r w:rsidRPr="009F08BA">
        <w:rPr>
          <w:rFonts w:ascii="Arial" w:hAnsi="Arial" w:cs="Arial"/>
          <w:sz w:val="20"/>
        </w:rPr>
        <w:tab/>
        <w:t xml:space="preserve">J. Crear-Perry, R. Correa-de-Araujo, T. Lewis Johnson, M. R. McLemore, E. Neilson, and M. Wallace, “Social and Structural Determinants of Health Inequities in Maternal Health,” </w:t>
      </w:r>
      <w:r w:rsidRPr="009F08BA">
        <w:rPr>
          <w:rFonts w:ascii="Arial" w:hAnsi="Arial" w:cs="Arial"/>
          <w:i/>
          <w:iCs/>
          <w:sz w:val="20"/>
        </w:rPr>
        <w:t>J. Womens Health</w:t>
      </w:r>
      <w:r w:rsidRPr="009F08BA">
        <w:rPr>
          <w:rFonts w:ascii="Arial" w:hAnsi="Arial" w:cs="Arial"/>
          <w:sz w:val="20"/>
        </w:rPr>
        <w:t>, vol. 30, no. 2, pp. 230–235, Feb. 2021, doi: 10.1089/jwh.2020.8882.</w:t>
      </w:r>
    </w:p>
    <w:p w14:paraId="69F07D6F" w14:textId="77777777" w:rsidR="000504FE" w:rsidRPr="009F08BA" w:rsidRDefault="000504FE" w:rsidP="000504FE">
      <w:pPr>
        <w:pStyle w:val="Bibliography"/>
        <w:rPr>
          <w:rFonts w:ascii="Arial" w:hAnsi="Arial" w:cs="Arial"/>
          <w:sz w:val="20"/>
        </w:rPr>
      </w:pPr>
      <w:r w:rsidRPr="009F08BA">
        <w:rPr>
          <w:rFonts w:ascii="Arial" w:hAnsi="Arial" w:cs="Arial"/>
          <w:sz w:val="20"/>
        </w:rPr>
        <w:t>[7]</w:t>
      </w:r>
      <w:r w:rsidRPr="009F08BA">
        <w:rPr>
          <w:rFonts w:ascii="Arial" w:hAnsi="Arial" w:cs="Arial"/>
          <w:sz w:val="20"/>
        </w:rPr>
        <w:tab/>
        <w:t xml:space="preserve">E. A. Howell, “Reducing Disparities in Severe Maternal Morbidity and Mortality,” </w:t>
      </w:r>
      <w:r w:rsidRPr="009F08BA">
        <w:rPr>
          <w:rFonts w:ascii="Arial" w:hAnsi="Arial" w:cs="Arial"/>
          <w:i/>
          <w:iCs/>
          <w:sz w:val="20"/>
        </w:rPr>
        <w:t>Clin. Obstet. Gynecol.</w:t>
      </w:r>
      <w:r w:rsidRPr="009F08BA">
        <w:rPr>
          <w:rFonts w:ascii="Arial" w:hAnsi="Arial" w:cs="Arial"/>
          <w:sz w:val="20"/>
        </w:rPr>
        <w:t>, vol. 61, no. 2, pp. 387–399, June 2018, doi: 10.1097/GRF.0000000000000349.</w:t>
      </w:r>
    </w:p>
    <w:p w14:paraId="4A08F114" w14:textId="77777777" w:rsidR="000504FE" w:rsidRPr="009F08BA" w:rsidRDefault="000504FE" w:rsidP="000504FE">
      <w:pPr>
        <w:pStyle w:val="Bibliography"/>
        <w:rPr>
          <w:rFonts w:ascii="Arial" w:hAnsi="Arial" w:cs="Arial"/>
          <w:sz w:val="20"/>
        </w:rPr>
      </w:pPr>
      <w:r w:rsidRPr="009F08BA">
        <w:rPr>
          <w:rFonts w:ascii="Arial" w:hAnsi="Arial" w:cs="Arial"/>
          <w:sz w:val="20"/>
        </w:rPr>
        <w:t>[8]</w:t>
      </w:r>
      <w:r w:rsidRPr="009F08BA">
        <w:rPr>
          <w:rFonts w:ascii="Arial" w:hAnsi="Arial" w:cs="Arial"/>
          <w:sz w:val="20"/>
        </w:rPr>
        <w:tab/>
        <w:t xml:space="preserve">H. H. Burris </w:t>
      </w:r>
      <w:r w:rsidRPr="009F08BA">
        <w:rPr>
          <w:rFonts w:ascii="Arial" w:hAnsi="Arial" w:cs="Arial"/>
          <w:i/>
          <w:iCs/>
          <w:sz w:val="20"/>
        </w:rPr>
        <w:t>et al.</w:t>
      </w:r>
      <w:r w:rsidRPr="009F08BA">
        <w:rPr>
          <w:rFonts w:ascii="Arial" w:hAnsi="Arial" w:cs="Arial"/>
          <w:sz w:val="20"/>
        </w:rPr>
        <w:t xml:space="preserve">, “Offspring DNA methylation of the aryl-hydrocarbon receptor repressor gene is associated with maternal BMI, gestational age, and birth weight,” </w:t>
      </w:r>
      <w:r w:rsidRPr="009F08BA">
        <w:rPr>
          <w:rFonts w:ascii="Arial" w:hAnsi="Arial" w:cs="Arial"/>
          <w:i/>
          <w:iCs/>
          <w:sz w:val="20"/>
        </w:rPr>
        <w:t>Epigenetics</w:t>
      </w:r>
      <w:r w:rsidRPr="009F08BA">
        <w:rPr>
          <w:rFonts w:ascii="Arial" w:hAnsi="Arial" w:cs="Arial"/>
          <w:sz w:val="20"/>
        </w:rPr>
        <w:t>, vol. 10, no. 10, pp. 913–921, 2015, doi: 10.1080/15592294.2015.1078963.</w:t>
      </w:r>
    </w:p>
    <w:p w14:paraId="5415595E" w14:textId="77777777" w:rsidR="000504FE" w:rsidRPr="009F08BA" w:rsidRDefault="000504FE" w:rsidP="000504FE">
      <w:pPr>
        <w:pStyle w:val="Bibliography"/>
        <w:rPr>
          <w:rFonts w:ascii="Arial" w:hAnsi="Arial" w:cs="Arial"/>
          <w:sz w:val="20"/>
        </w:rPr>
      </w:pPr>
      <w:r w:rsidRPr="009F08BA">
        <w:rPr>
          <w:rFonts w:ascii="Arial" w:hAnsi="Arial" w:cs="Arial"/>
          <w:sz w:val="20"/>
        </w:rPr>
        <w:t>[9]</w:t>
      </w:r>
      <w:r w:rsidRPr="009F08BA">
        <w:rPr>
          <w:rFonts w:ascii="Arial" w:hAnsi="Arial" w:cs="Arial"/>
          <w:sz w:val="20"/>
        </w:rPr>
        <w:tab/>
        <w:t xml:space="preserve">H. H. Burris, A. A. Baccarelli, R. O. Wright, and R. J. Wright, “Epigenetics: linking social and environmental exposures to preterm birth,” </w:t>
      </w:r>
      <w:r w:rsidRPr="009F08BA">
        <w:rPr>
          <w:rFonts w:ascii="Arial" w:hAnsi="Arial" w:cs="Arial"/>
          <w:i/>
          <w:iCs/>
          <w:sz w:val="20"/>
        </w:rPr>
        <w:t>Pediatr. Res.</w:t>
      </w:r>
      <w:r w:rsidRPr="009F08BA">
        <w:rPr>
          <w:rFonts w:ascii="Arial" w:hAnsi="Arial" w:cs="Arial"/>
          <w:sz w:val="20"/>
        </w:rPr>
        <w:t>, vol. 79, no. 1–2, pp. 136–140, Jan. 2016, doi: 10.1038/pr.2015.191.</w:t>
      </w:r>
    </w:p>
    <w:p w14:paraId="52124177" w14:textId="77777777" w:rsidR="000504FE" w:rsidRPr="009F08BA" w:rsidRDefault="000504FE" w:rsidP="000504FE">
      <w:pPr>
        <w:pStyle w:val="Bibliography"/>
        <w:rPr>
          <w:rFonts w:ascii="Arial" w:hAnsi="Arial" w:cs="Arial"/>
          <w:sz w:val="20"/>
        </w:rPr>
      </w:pPr>
      <w:r w:rsidRPr="009F08BA">
        <w:rPr>
          <w:rFonts w:ascii="Arial" w:hAnsi="Arial" w:cs="Arial"/>
          <w:sz w:val="20"/>
        </w:rPr>
        <w:t>[10]</w:t>
      </w:r>
      <w:r w:rsidRPr="009F08BA">
        <w:rPr>
          <w:rFonts w:ascii="Arial" w:hAnsi="Arial" w:cs="Arial"/>
          <w:sz w:val="20"/>
        </w:rPr>
        <w:tab/>
        <w:t xml:space="preserve">Y. Hu </w:t>
      </w:r>
      <w:r w:rsidRPr="009F08BA">
        <w:rPr>
          <w:rFonts w:ascii="Arial" w:hAnsi="Arial" w:cs="Arial"/>
          <w:i/>
          <w:iCs/>
          <w:sz w:val="20"/>
        </w:rPr>
        <w:t>et al.</w:t>
      </w:r>
      <w:r w:rsidRPr="009F08BA">
        <w:rPr>
          <w:rFonts w:ascii="Arial" w:hAnsi="Arial" w:cs="Arial"/>
          <w:sz w:val="20"/>
        </w:rPr>
        <w:t xml:space="preserve">, “Individual and combined effects of maternal per- and polyfluoroalkyl substances exposure on preterm birth: a nested case-control study in China,” </w:t>
      </w:r>
      <w:r w:rsidRPr="009F08BA">
        <w:rPr>
          <w:rFonts w:ascii="Arial" w:hAnsi="Arial" w:cs="Arial"/>
          <w:i/>
          <w:iCs/>
          <w:sz w:val="20"/>
        </w:rPr>
        <w:t>Environ. Health</w:t>
      </w:r>
      <w:r w:rsidRPr="009F08BA">
        <w:rPr>
          <w:rFonts w:ascii="Arial" w:hAnsi="Arial" w:cs="Arial"/>
          <w:sz w:val="20"/>
        </w:rPr>
        <w:t>, vol. 24, no. 1, p. 58, Aug. 2025, doi: 10.1186/s12940-025-01213-3.</w:t>
      </w:r>
    </w:p>
    <w:p w14:paraId="216655AA" w14:textId="77777777" w:rsidR="000504FE" w:rsidRPr="009F08BA" w:rsidRDefault="000504FE" w:rsidP="000504FE">
      <w:pPr>
        <w:pStyle w:val="Bibliography"/>
        <w:rPr>
          <w:rFonts w:ascii="Arial" w:hAnsi="Arial" w:cs="Arial"/>
          <w:sz w:val="20"/>
        </w:rPr>
      </w:pPr>
      <w:r w:rsidRPr="009F08BA">
        <w:rPr>
          <w:rFonts w:ascii="Arial" w:hAnsi="Arial" w:cs="Arial"/>
          <w:sz w:val="20"/>
        </w:rPr>
        <w:t>[11]</w:t>
      </w:r>
      <w:r w:rsidRPr="009F08BA">
        <w:rPr>
          <w:rFonts w:ascii="Arial" w:hAnsi="Arial" w:cs="Arial"/>
          <w:sz w:val="20"/>
        </w:rPr>
        <w:tab/>
        <w:t xml:space="preserve">A. Alsadik, O. O. Akintunde, H. R. Habibi, and G. Achari, “PFAS in water environments: recent progress and challenges in monitoring, toxicity, treatment technologies, and post-treatment toxicity,” </w:t>
      </w:r>
      <w:r w:rsidRPr="009F08BA">
        <w:rPr>
          <w:rFonts w:ascii="Arial" w:hAnsi="Arial" w:cs="Arial"/>
          <w:i/>
          <w:iCs/>
          <w:sz w:val="20"/>
        </w:rPr>
        <w:t>Environ. Syst. Res.</w:t>
      </w:r>
      <w:r w:rsidRPr="009F08BA">
        <w:rPr>
          <w:rFonts w:ascii="Arial" w:hAnsi="Arial" w:cs="Arial"/>
          <w:sz w:val="20"/>
        </w:rPr>
        <w:t>, vol. 14, no. 1, p. 18, Aug. 2025, doi: 10.1186/s40068-025-00411-9.</w:t>
      </w:r>
    </w:p>
    <w:p w14:paraId="6DF10FA8" w14:textId="5ABC32F9" w:rsidR="000504FE" w:rsidRPr="009F08BA" w:rsidRDefault="000504FE" w:rsidP="000504FE">
      <w:pPr>
        <w:pStyle w:val="Bibliography"/>
        <w:rPr>
          <w:rFonts w:ascii="Arial" w:hAnsi="Arial" w:cs="Arial"/>
          <w:sz w:val="20"/>
        </w:rPr>
      </w:pPr>
      <w:r w:rsidRPr="009F08BA">
        <w:rPr>
          <w:rFonts w:ascii="Arial" w:hAnsi="Arial" w:cs="Arial"/>
          <w:sz w:val="20"/>
        </w:rPr>
        <w:t>[12]</w:t>
      </w:r>
      <w:r w:rsidRPr="009F08BA">
        <w:rPr>
          <w:rFonts w:ascii="Arial" w:hAnsi="Arial" w:cs="Arial"/>
          <w:sz w:val="20"/>
        </w:rPr>
        <w:tab/>
        <w:t>US EPA, “Mercury and Air Toxics Standards,” 2025 2023. [Online]. Available: https://www.epa.gov/stationary-sources-air-pollution/mercury-and-air-toxics-standards</w:t>
      </w:r>
    </w:p>
    <w:p w14:paraId="53F28303" w14:textId="77777777" w:rsidR="000504FE" w:rsidRPr="009F08BA" w:rsidRDefault="000504FE" w:rsidP="000504FE">
      <w:pPr>
        <w:pStyle w:val="Bibliography"/>
        <w:rPr>
          <w:rFonts w:ascii="Arial" w:hAnsi="Arial" w:cs="Arial"/>
          <w:sz w:val="20"/>
        </w:rPr>
      </w:pPr>
      <w:r w:rsidRPr="009F08BA">
        <w:rPr>
          <w:rFonts w:ascii="Arial" w:hAnsi="Arial" w:cs="Arial"/>
          <w:sz w:val="20"/>
        </w:rPr>
        <w:t>[13]</w:t>
      </w:r>
      <w:r w:rsidRPr="009F08BA">
        <w:rPr>
          <w:rFonts w:ascii="Arial" w:hAnsi="Arial" w:cs="Arial"/>
          <w:sz w:val="20"/>
        </w:rPr>
        <w:tab/>
        <w:t xml:space="preserve">R. C. Angrand, G. Collins, P. J. Landrigan, and V. M. Thomas, “Relation of blood lead levels and lead in gasoline: an updated systematic review,” </w:t>
      </w:r>
      <w:r w:rsidRPr="009F08BA">
        <w:rPr>
          <w:rFonts w:ascii="Arial" w:hAnsi="Arial" w:cs="Arial"/>
          <w:i/>
          <w:iCs/>
          <w:sz w:val="20"/>
        </w:rPr>
        <w:t>Environ. Health</w:t>
      </w:r>
      <w:r w:rsidRPr="009F08BA">
        <w:rPr>
          <w:rFonts w:ascii="Arial" w:hAnsi="Arial" w:cs="Arial"/>
          <w:sz w:val="20"/>
        </w:rPr>
        <w:t>, vol. 21, no. 1, p. 138, Dec. 2022, doi: 10.1186/s12940-022-00936-x.</w:t>
      </w:r>
    </w:p>
    <w:p w14:paraId="1998E1FC" w14:textId="77777777" w:rsidR="000504FE" w:rsidRPr="009F08BA" w:rsidRDefault="000504FE" w:rsidP="000504FE">
      <w:pPr>
        <w:pStyle w:val="Bibliography"/>
        <w:rPr>
          <w:rFonts w:ascii="Arial" w:hAnsi="Arial" w:cs="Arial"/>
          <w:sz w:val="20"/>
        </w:rPr>
      </w:pPr>
      <w:r w:rsidRPr="009F08BA">
        <w:rPr>
          <w:rFonts w:ascii="Arial" w:hAnsi="Arial" w:cs="Arial"/>
          <w:sz w:val="20"/>
        </w:rPr>
        <w:t>[14]</w:t>
      </w:r>
      <w:r w:rsidRPr="009F08BA">
        <w:rPr>
          <w:rFonts w:ascii="Arial" w:hAnsi="Arial" w:cs="Arial"/>
          <w:sz w:val="20"/>
        </w:rPr>
        <w:tab/>
        <w:t>EPA, “Biden-Harris Administration Reaffirms Scientific, Economic, and Legal Underpinnings of Limits on Toxic Air Pollution from Power Plants,” US Environmental Protection Agency, Press Release, Feb. 2023. [Online]. Available: https://www.epa.gov/newsreleases/biden-harris-administration-reaffirms-scientific-economic-and-legal-underpinnings</w:t>
      </w:r>
    </w:p>
    <w:p w14:paraId="1922367F" w14:textId="77777777" w:rsidR="000504FE" w:rsidRPr="009F08BA" w:rsidRDefault="000504FE" w:rsidP="000504FE">
      <w:pPr>
        <w:pStyle w:val="Bibliography"/>
        <w:rPr>
          <w:rFonts w:ascii="Arial" w:hAnsi="Arial" w:cs="Arial"/>
          <w:sz w:val="20"/>
        </w:rPr>
      </w:pPr>
      <w:r w:rsidRPr="009F08BA">
        <w:rPr>
          <w:rFonts w:ascii="Arial" w:hAnsi="Arial" w:cs="Arial"/>
          <w:sz w:val="20"/>
        </w:rPr>
        <w:t>[15]</w:t>
      </w:r>
      <w:r w:rsidRPr="009F08BA">
        <w:rPr>
          <w:rFonts w:ascii="Arial" w:hAnsi="Arial" w:cs="Arial"/>
          <w:sz w:val="20"/>
        </w:rPr>
        <w:tab/>
        <w:t xml:space="preserve">S. S. Zinia </w:t>
      </w:r>
      <w:r w:rsidRPr="009F08BA">
        <w:rPr>
          <w:rFonts w:ascii="Arial" w:hAnsi="Arial" w:cs="Arial"/>
          <w:i/>
          <w:iCs/>
          <w:sz w:val="20"/>
        </w:rPr>
        <w:t>et al.</w:t>
      </w:r>
      <w:r w:rsidRPr="009F08BA">
        <w:rPr>
          <w:rFonts w:ascii="Arial" w:hAnsi="Arial" w:cs="Arial"/>
          <w:sz w:val="20"/>
        </w:rPr>
        <w:t xml:space="preserve">, “Effects of heavy metal exposure during pregnancy on birth outcomes,” </w:t>
      </w:r>
      <w:r w:rsidRPr="009F08BA">
        <w:rPr>
          <w:rFonts w:ascii="Arial" w:hAnsi="Arial" w:cs="Arial"/>
          <w:i/>
          <w:iCs/>
          <w:sz w:val="20"/>
        </w:rPr>
        <w:t>Sci. Rep.</w:t>
      </w:r>
      <w:r w:rsidRPr="009F08BA">
        <w:rPr>
          <w:rFonts w:ascii="Arial" w:hAnsi="Arial" w:cs="Arial"/>
          <w:sz w:val="20"/>
        </w:rPr>
        <w:t>, vol. 13, no. 1, p. 18990, Nov. 2023, doi: 10.1038/s41598-023-46271-0.</w:t>
      </w:r>
    </w:p>
    <w:p w14:paraId="50917795" w14:textId="77777777" w:rsidR="000504FE" w:rsidRPr="009F08BA" w:rsidRDefault="000504FE" w:rsidP="000504FE">
      <w:pPr>
        <w:pStyle w:val="Bibliography"/>
        <w:rPr>
          <w:rFonts w:ascii="Arial" w:hAnsi="Arial" w:cs="Arial"/>
          <w:sz w:val="20"/>
        </w:rPr>
      </w:pPr>
      <w:r w:rsidRPr="009F08BA">
        <w:rPr>
          <w:rFonts w:ascii="Arial" w:hAnsi="Arial" w:cs="Arial"/>
          <w:sz w:val="20"/>
        </w:rPr>
        <w:t>[16]</w:t>
      </w:r>
      <w:r w:rsidRPr="009F08BA">
        <w:rPr>
          <w:rFonts w:ascii="Arial" w:hAnsi="Arial" w:cs="Arial"/>
          <w:sz w:val="20"/>
        </w:rPr>
        <w:tab/>
        <w:t xml:space="preserve">Z. Zhong, Q. Yang, C. Li, X. Chen, and F. Zhou, “A global perspective of correlation between maternal blood lead levels and risks of preeclampsia: An updated systematic review and meta-analysis,” </w:t>
      </w:r>
      <w:r w:rsidRPr="009F08BA">
        <w:rPr>
          <w:rFonts w:ascii="Arial" w:hAnsi="Arial" w:cs="Arial"/>
          <w:i/>
          <w:iCs/>
          <w:sz w:val="20"/>
        </w:rPr>
        <w:t>Front. Public Health</w:t>
      </w:r>
      <w:r w:rsidRPr="009F08BA">
        <w:rPr>
          <w:rFonts w:ascii="Arial" w:hAnsi="Arial" w:cs="Arial"/>
          <w:sz w:val="20"/>
        </w:rPr>
        <w:t>, vol. 10, p. 1072052, Dec. 2022, doi: 10.3389/fpubh.2022.1072052.</w:t>
      </w:r>
    </w:p>
    <w:p w14:paraId="77A579F9" w14:textId="77777777" w:rsidR="000504FE" w:rsidRPr="009F08BA" w:rsidRDefault="000504FE" w:rsidP="000504FE">
      <w:pPr>
        <w:pStyle w:val="Bibliography"/>
        <w:rPr>
          <w:rFonts w:ascii="Arial" w:hAnsi="Arial" w:cs="Arial"/>
          <w:sz w:val="20"/>
        </w:rPr>
      </w:pPr>
      <w:r w:rsidRPr="009F08BA">
        <w:rPr>
          <w:rFonts w:ascii="Arial" w:hAnsi="Arial" w:cs="Arial"/>
          <w:sz w:val="20"/>
        </w:rPr>
        <w:t>[17]</w:t>
      </w:r>
      <w:r w:rsidRPr="009F08BA">
        <w:rPr>
          <w:rFonts w:ascii="Arial" w:hAnsi="Arial" w:cs="Arial"/>
          <w:sz w:val="20"/>
        </w:rPr>
        <w:tab/>
        <w:t xml:space="preserve">J. Ma </w:t>
      </w:r>
      <w:r w:rsidRPr="009F08BA">
        <w:rPr>
          <w:rFonts w:ascii="Arial" w:hAnsi="Arial" w:cs="Arial"/>
          <w:i/>
          <w:iCs/>
          <w:sz w:val="20"/>
        </w:rPr>
        <w:t>et al.</w:t>
      </w:r>
      <w:r w:rsidRPr="009F08BA">
        <w:rPr>
          <w:rFonts w:ascii="Arial" w:hAnsi="Arial" w:cs="Arial"/>
          <w:sz w:val="20"/>
        </w:rPr>
        <w:t xml:space="preserve">, “Exposure to metal mixtures and hypertensive disorders of pregnancy: A nested case-control study in China,” </w:t>
      </w:r>
      <w:r w:rsidRPr="009F08BA">
        <w:rPr>
          <w:rFonts w:ascii="Arial" w:hAnsi="Arial" w:cs="Arial"/>
          <w:i/>
          <w:iCs/>
          <w:sz w:val="20"/>
        </w:rPr>
        <w:t>Environ. Pollut.</w:t>
      </w:r>
      <w:r w:rsidRPr="009F08BA">
        <w:rPr>
          <w:rFonts w:ascii="Arial" w:hAnsi="Arial" w:cs="Arial"/>
          <w:sz w:val="20"/>
        </w:rPr>
        <w:t>, vol. 306, p. 119439, Aug. 2022, doi: 10.1016/j.envpol.2022.119439.</w:t>
      </w:r>
    </w:p>
    <w:p w14:paraId="22454669" w14:textId="77777777" w:rsidR="000504FE" w:rsidRPr="009F08BA" w:rsidRDefault="000504FE" w:rsidP="000504FE">
      <w:pPr>
        <w:pStyle w:val="Bibliography"/>
        <w:rPr>
          <w:rFonts w:ascii="Arial" w:hAnsi="Arial" w:cs="Arial"/>
          <w:sz w:val="20"/>
        </w:rPr>
      </w:pPr>
      <w:r w:rsidRPr="009F08BA">
        <w:rPr>
          <w:rFonts w:ascii="Arial" w:hAnsi="Arial" w:cs="Arial"/>
          <w:sz w:val="20"/>
        </w:rPr>
        <w:t>[18]</w:t>
      </w:r>
      <w:r w:rsidRPr="009F08BA">
        <w:rPr>
          <w:rFonts w:ascii="Arial" w:hAnsi="Arial" w:cs="Arial"/>
          <w:sz w:val="20"/>
        </w:rPr>
        <w:tab/>
        <w:t xml:space="preserve">W. Wu </w:t>
      </w:r>
      <w:r w:rsidRPr="009F08BA">
        <w:rPr>
          <w:rFonts w:ascii="Arial" w:hAnsi="Arial" w:cs="Arial"/>
          <w:i/>
          <w:iCs/>
          <w:sz w:val="20"/>
        </w:rPr>
        <w:t>et al.</w:t>
      </w:r>
      <w:r w:rsidRPr="009F08BA">
        <w:rPr>
          <w:rFonts w:ascii="Arial" w:hAnsi="Arial" w:cs="Arial"/>
          <w:sz w:val="20"/>
        </w:rPr>
        <w:t xml:space="preserve">, “Cadmium levels in maternal blood, placenta, and cord blood in relation to preeclampsia and fetal growth: a case-control study in China,” </w:t>
      </w:r>
      <w:r w:rsidRPr="009F08BA">
        <w:rPr>
          <w:rFonts w:ascii="Arial" w:hAnsi="Arial" w:cs="Arial"/>
          <w:i/>
          <w:iCs/>
          <w:sz w:val="20"/>
        </w:rPr>
        <w:t>Hypertens. Res.</w:t>
      </w:r>
      <w:r w:rsidRPr="009F08BA">
        <w:rPr>
          <w:rFonts w:ascii="Arial" w:hAnsi="Arial" w:cs="Arial"/>
          <w:sz w:val="20"/>
        </w:rPr>
        <w:t>, vol. 48, no. 4, pp. 1321–1330, Apr. 2025, doi: 10.1038/s41440-025-02122-1.</w:t>
      </w:r>
    </w:p>
    <w:p w14:paraId="56AAF4D9" w14:textId="77777777" w:rsidR="000504FE" w:rsidRPr="009F08BA" w:rsidRDefault="000504FE" w:rsidP="000504FE">
      <w:pPr>
        <w:pStyle w:val="Bibliography"/>
        <w:rPr>
          <w:rFonts w:ascii="Arial" w:hAnsi="Arial" w:cs="Arial"/>
          <w:sz w:val="20"/>
        </w:rPr>
      </w:pPr>
      <w:r w:rsidRPr="009F08BA">
        <w:rPr>
          <w:rFonts w:ascii="Arial" w:hAnsi="Arial" w:cs="Arial"/>
          <w:sz w:val="20"/>
        </w:rPr>
        <w:t>[19]</w:t>
      </w:r>
      <w:r w:rsidRPr="009F08BA">
        <w:rPr>
          <w:rFonts w:ascii="Arial" w:hAnsi="Arial" w:cs="Arial"/>
          <w:sz w:val="20"/>
        </w:rPr>
        <w:tab/>
        <w:t xml:space="preserve">K. Gustin </w:t>
      </w:r>
      <w:r w:rsidRPr="009F08BA">
        <w:rPr>
          <w:rFonts w:ascii="Arial" w:hAnsi="Arial" w:cs="Arial"/>
          <w:i/>
          <w:iCs/>
          <w:sz w:val="20"/>
        </w:rPr>
        <w:t>et al.</w:t>
      </w:r>
      <w:r w:rsidRPr="009F08BA">
        <w:rPr>
          <w:rFonts w:ascii="Arial" w:hAnsi="Arial" w:cs="Arial"/>
          <w:sz w:val="20"/>
        </w:rPr>
        <w:t xml:space="preserve">, “Mediation by Thyroid Hormone in the Relationships Between Gestational Exposure to Methylmercury and Birth Size,” </w:t>
      </w:r>
      <w:r w:rsidRPr="009F08BA">
        <w:rPr>
          <w:rFonts w:ascii="Arial" w:hAnsi="Arial" w:cs="Arial"/>
          <w:i/>
          <w:iCs/>
          <w:sz w:val="20"/>
        </w:rPr>
        <w:t>Expo. Health</w:t>
      </w:r>
      <w:r w:rsidRPr="009F08BA">
        <w:rPr>
          <w:rFonts w:ascii="Arial" w:hAnsi="Arial" w:cs="Arial"/>
          <w:sz w:val="20"/>
        </w:rPr>
        <w:t>, vol. 16, no. 2, pp. 357–368, Apr. 2024, doi: 10.1007/s12403-023-00556-x.</w:t>
      </w:r>
    </w:p>
    <w:p w14:paraId="77800657" w14:textId="77777777" w:rsidR="000504FE" w:rsidRPr="009F08BA" w:rsidRDefault="000504FE" w:rsidP="000504FE">
      <w:pPr>
        <w:pStyle w:val="Bibliography"/>
        <w:rPr>
          <w:rFonts w:ascii="Arial" w:hAnsi="Arial" w:cs="Arial"/>
          <w:sz w:val="20"/>
        </w:rPr>
      </w:pPr>
      <w:r w:rsidRPr="009F08BA">
        <w:rPr>
          <w:rFonts w:ascii="Arial" w:hAnsi="Arial" w:cs="Arial"/>
          <w:sz w:val="20"/>
        </w:rPr>
        <w:t>[20]</w:t>
      </w:r>
      <w:r w:rsidRPr="009F08BA">
        <w:rPr>
          <w:rFonts w:ascii="Arial" w:hAnsi="Arial" w:cs="Arial"/>
          <w:sz w:val="20"/>
        </w:rPr>
        <w:tab/>
        <w:t xml:space="preserve">X. Gao </w:t>
      </w:r>
      <w:r w:rsidRPr="009F08BA">
        <w:rPr>
          <w:rFonts w:ascii="Arial" w:hAnsi="Arial" w:cs="Arial"/>
          <w:i/>
          <w:iCs/>
          <w:sz w:val="20"/>
        </w:rPr>
        <w:t>et al.</w:t>
      </w:r>
      <w:r w:rsidRPr="009F08BA">
        <w:rPr>
          <w:rFonts w:ascii="Arial" w:hAnsi="Arial" w:cs="Arial"/>
          <w:sz w:val="20"/>
        </w:rPr>
        <w:t xml:space="preserve">, “Per- and polyfluoroalkyl substances exposure during pregnancy and adverse pregnancy and birth outcomes: A systematic review and meta-analysis,” </w:t>
      </w:r>
      <w:r w:rsidRPr="009F08BA">
        <w:rPr>
          <w:rFonts w:ascii="Arial" w:hAnsi="Arial" w:cs="Arial"/>
          <w:i/>
          <w:iCs/>
          <w:sz w:val="20"/>
        </w:rPr>
        <w:t>Environ. Res.</w:t>
      </w:r>
      <w:r w:rsidRPr="009F08BA">
        <w:rPr>
          <w:rFonts w:ascii="Arial" w:hAnsi="Arial" w:cs="Arial"/>
          <w:sz w:val="20"/>
        </w:rPr>
        <w:t>, vol. 201, p. 111632, Oct. 2021, doi: 10.1016/j.envres.2021.111632.</w:t>
      </w:r>
    </w:p>
    <w:p w14:paraId="05802BD3" w14:textId="77777777" w:rsidR="000504FE" w:rsidRPr="009F08BA" w:rsidRDefault="000504FE" w:rsidP="000504FE">
      <w:pPr>
        <w:pStyle w:val="Bibliography"/>
        <w:rPr>
          <w:rFonts w:ascii="Arial" w:hAnsi="Arial" w:cs="Arial"/>
          <w:sz w:val="20"/>
        </w:rPr>
      </w:pPr>
      <w:r w:rsidRPr="009F08BA">
        <w:rPr>
          <w:rFonts w:ascii="Arial" w:hAnsi="Arial" w:cs="Arial"/>
          <w:sz w:val="20"/>
        </w:rPr>
        <w:lastRenderedPageBreak/>
        <w:t>[21]</w:t>
      </w:r>
      <w:r w:rsidRPr="009F08BA">
        <w:rPr>
          <w:rFonts w:ascii="Arial" w:hAnsi="Arial" w:cs="Arial"/>
          <w:sz w:val="20"/>
        </w:rPr>
        <w:tab/>
        <w:t xml:space="preserve">E. V. Preston </w:t>
      </w:r>
      <w:r w:rsidRPr="009F08BA">
        <w:rPr>
          <w:rFonts w:ascii="Arial" w:hAnsi="Arial" w:cs="Arial"/>
          <w:i/>
          <w:iCs/>
          <w:sz w:val="20"/>
        </w:rPr>
        <w:t>et al.</w:t>
      </w:r>
      <w:r w:rsidRPr="009F08BA">
        <w:rPr>
          <w:rFonts w:ascii="Arial" w:hAnsi="Arial" w:cs="Arial"/>
          <w:sz w:val="20"/>
        </w:rPr>
        <w:t xml:space="preserve">, “Early-pregnancy plasma per- and polyfluoroalkyl substance (PFAS) concentrations and hypertensive disorders of pregnancy in the Project Viva cohort,” </w:t>
      </w:r>
      <w:r w:rsidRPr="009F08BA">
        <w:rPr>
          <w:rFonts w:ascii="Arial" w:hAnsi="Arial" w:cs="Arial"/>
          <w:i/>
          <w:iCs/>
          <w:sz w:val="20"/>
        </w:rPr>
        <w:t>Environ. Int.</w:t>
      </w:r>
      <w:r w:rsidRPr="009F08BA">
        <w:rPr>
          <w:rFonts w:ascii="Arial" w:hAnsi="Arial" w:cs="Arial"/>
          <w:sz w:val="20"/>
        </w:rPr>
        <w:t>, vol. 165, p. 107335, July 2022, doi: 10.1016/j.envint.2022.107335.</w:t>
      </w:r>
    </w:p>
    <w:p w14:paraId="211DE6A4" w14:textId="77777777" w:rsidR="000504FE" w:rsidRPr="009F08BA" w:rsidRDefault="000504FE" w:rsidP="000504FE">
      <w:pPr>
        <w:pStyle w:val="Bibliography"/>
        <w:rPr>
          <w:rFonts w:ascii="Arial" w:hAnsi="Arial" w:cs="Arial"/>
          <w:sz w:val="20"/>
        </w:rPr>
      </w:pPr>
      <w:r w:rsidRPr="009F08BA">
        <w:rPr>
          <w:rFonts w:ascii="Arial" w:hAnsi="Arial" w:cs="Arial"/>
          <w:sz w:val="20"/>
        </w:rPr>
        <w:t>[22]</w:t>
      </w:r>
      <w:r w:rsidRPr="009F08BA">
        <w:rPr>
          <w:rFonts w:ascii="Arial" w:hAnsi="Arial" w:cs="Arial"/>
          <w:sz w:val="20"/>
        </w:rPr>
        <w:tab/>
        <w:t xml:space="preserve">Z. Liew </w:t>
      </w:r>
      <w:r w:rsidRPr="009F08BA">
        <w:rPr>
          <w:rFonts w:ascii="Arial" w:hAnsi="Arial" w:cs="Arial"/>
          <w:i/>
          <w:iCs/>
          <w:sz w:val="20"/>
        </w:rPr>
        <w:t>et al.</w:t>
      </w:r>
      <w:r w:rsidRPr="009F08BA">
        <w:rPr>
          <w:rFonts w:ascii="Arial" w:hAnsi="Arial" w:cs="Arial"/>
          <w:sz w:val="20"/>
        </w:rPr>
        <w:t xml:space="preserve">, “Maternal Plasma Perfluoroalkyl Substances and Miscarriage: A Nested Case–Control Study in the Danish National Birth Cohort,” </w:t>
      </w:r>
      <w:r w:rsidRPr="009F08BA">
        <w:rPr>
          <w:rFonts w:ascii="Arial" w:hAnsi="Arial" w:cs="Arial"/>
          <w:i/>
          <w:iCs/>
          <w:sz w:val="20"/>
        </w:rPr>
        <w:t>Environ. Health Perspect.</w:t>
      </w:r>
      <w:r w:rsidRPr="009F08BA">
        <w:rPr>
          <w:rFonts w:ascii="Arial" w:hAnsi="Arial" w:cs="Arial"/>
          <w:sz w:val="20"/>
        </w:rPr>
        <w:t>, vol. 128, no. 4, p. 047007, Apr. 2020, doi: 10.1289/EHP6202.</w:t>
      </w:r>
    </w:p>
    <w:p w14:paraId="1325E2C5" w14:textId="77777777" w:rsidR="000504FE" w:rsidRPr="009F08BA" w:rsidRDefault="000504FE" w:rsidP="000504FE">
      <w:pPr>
        <w:pStyle w:val="Bibliography"/>
        <w:rPr>
          <w:rFonts w:ascii="Arial" w:hAnsi="Arial" w:cs="Arial"/>
          <w:sz w:val="20"/>
        </w:rPr>
      </w:pPr>
      <w:r w:rsidRPr="009F08BA">
        <w:rPr>
          <w:rFonts w:ascii="Arial" w:hAnsi="Arial" w:cs="Arial"/>
          <w:sz w:val="20"/>
        </w:rPr>
        <w:t>[23]</w:t>
      </w:r>
      <w:r w:rsidRPr="009F08BA">
        <w:rPr>
          <w:rFonts w:ascii="Arial" w:hAnsi="Arial" w:cs="Arial"/>
          <w:sz w:val="20"/>
        </w:rPr>
        <w:tab/>
        <w:t xml:space="preserve">S. Wikström, G. Hussein, A. Lingroth Karlsson, C. H. Lindh, and C.-G. Bornehag, “Exposure to perfluoroalkyl substances in early pregnancy and risk of sporadic first trimester miscarriage,” </w:t>
      </w:r>
      <w:r w:rsidRPr="009F08BA">
        <w:rPr>
          <w:rFonts w:ascii="Arial" w:hAnsi="Arial" w:cs="Arial"/>
          <w:i/>
          <w:iCs/>
          <w:sz w:val="20"/>
        </w:rPr>
        <w:t>Sci. Rep.</w:t>
      </w:r>
      <w:r w:rsidRPr="009F08BA">
        <w:rPr>
          <w:rFonts w:ascii="Arial" w:hAnsi="Arial" w:cs="Arial"/>
          <w:sz w:val="20"/>
        </w:rPr>
        <w:t>, vol. 11, no. 1, p. 3568, Feb. 2021, doi: 10.1038/s41598-021-82748-6.</w:t>
      </w:r>
    </w:p>
    <w:p w14:paraId="2F795418" w14:textId="77777777" w:rsidR="000504FE" w:rsidRPr="009F08BA" w:rsidRDefault="000504FE" w:rsidP="000504FE">
      <w:pPr>
        <w:pStyle w:val="Bibliography"/>
        <w:rPr>
          <w:rFonts w:ascii="Arial" w:hAnsi="Arial" w:cs="Arial"/>
          <w:sz w:val="20"/>
        </w:rPr>
      </w:pPr>
      <w:r w:rsidRPr="009F08BA">
        <w:rPr>
          <w:rFonts w:ascii="Arial" w:hAnsi="Arial" w:cs="Arial"/>
          <w:sz w:val="20"/>
        </w:rPr>
        <w:t>[24]</w:t>
      </w:r>
      <w:r w:rsidRPr="009F08BA">
        <w:rPr>
          <w:rFonts w:ascii="Arial" w:hAnsi="Arial" w:cs="Arial"/>
          <w:sz w:val="20"/>
        </w:rPr>
        <w:tab/>
        <w:t xml:space="preserve">R. Huang </w:t>
      </w:r>
      <w:r w:rsidRPr="009F08BA">
        <w:rPr>
          <w:rFonts w:ascii="Arial" w:hAnsi="Arial" w:cs="Arial"/>
          <w:i/>
          <w:iCs/>
          <w:sz w:val="20"/>
        </w:rPr>
        <w:t>et al.</w:t>
      </w:r>
      <w:r w:rsidRPr="009F08BA">
        <w:rPr>
          <w:rFonts w:ascii="Arial" w:hAnsi="Arial" w:cs="Arial"/>
          <w:sz w:val="20"/>
        </w:rPr>
        <w:t xml:space="preserve">, “Prenatal exposure to perfluoroalkyl and polyfluoroalkyl substances and the risk of hypertensive disorders of pregnancy,” </w:t>
      </w:r>
      <w:r w:rsidRPr="009F08BA">
        <w:rPr>
          <w:rFonts w:ascii="Arial" w:hAnsi="Arial" w:cs="Arial"/>
          <w:i/>
          <w:iCs/>
          <w:sz w:val="20"/>
        </w:rPr>
        <w:t>Environ. Health</w:t>
      </w:r>
      <w:r w:rsidRPr="009F08BA">
        <w:rPr>
          <w:rFonts w:ascii="Arial" w:hAnsi="Arial" w:cs="Arial"/>
          <w:sz w:val="20"/>
        </w:rPr>
        <w:t>, vol. 18, no. 1, p. 5, Dec. 2019, doi: 10.1186/s12940-018-0445-3.</w:t>
      </w:r>
    </w:p>
    <w:p w14:paraId="5C9BDCDB" w14:textId="729E5533" w:rsidR="000504FE" w:rsidRPr="009F08BA" w:rsidRDefault="000504FE" w:rsidP="000504FE">
      <w:pPr>
        <w:pStyle w:val="Bibliography"/>
        <w:rPr>
          <w:rFonts w:ascii="Arial" w:hAnsi="Arial" w:cs="Arial"/>
          <w:sz w:val="20"/>
        </w:rPr>
      </w:pPr>
      <w:r w:rsidRPr="009F08BA">
        <w:rPr>
          <w:rFonts w:ascii="Arial" w:hAnsi="Arial" w:cs="Arial"/>
          <w:sz w:val="20"/>
        </w:rPr>
        <w:t>[25] US EPA Environmental Protection Agency, “Use of Ortho-Phthalates in Food Contact Applications; Final Rule,” EPA, 89, no. 210, pp. 86420–86441, Oct. 2024. [Online]. Available: https://www.govinfo.gov/content/pkg/FR-2024-10-30/pdf/2024-24970.pdf</w:t>
      </w:r>
    </w:p>
    <w:p w14:paraId="6274A9FA" w14:textId="77777777" w:rsidR="000504FE" w:rsidRPr="009F08BA" w:rsidRDefault="000504FE" w:rsidP="000504FE">
      <w:pPr>
        <w:pStyle w:val="Bibliography"/>
        <w:rPr>
          <w:rFonts w:ascii="Arial" w:hAnsi="Arial" w:cs="Arial"/>
          <w:sz w:val="20"/>
        </w:rPr>
      </w:pPr>
      <w:r w:rsidRPr="009F08BA">
        <w:rPr>
          <w:rFonts w:ascii="Arial" w:hAnsi="Arial" w:cs="Arial"/>
          <w:sz w:val="20"/>
        </w:rPr>
        <w:t>[26]</w:t>
      </w:r>
      <w:r w:rsidRPr="009F08BA">
        <w:rPr>
          <w:rFonts w:ascii="Arial" w:hAnsi="Arial" w:cs="Arial"/>
          <w:sz w:val="20"/>
        </w:rPr>
        <w:tab/>
        <w:t>E. P. A. EPA, “Designation of Perfluorooctanoic Acid (PFOA) and Perfluorooctanesulfonic Acid (PFOS) as CERCLA Hazardous Substances,” US Environmental Protection Agency, 89, no. 90, pp. 39124–39154, May 2024. [Online]. Available: https://www.federalregister.gov/documents/2024/05/08/2024-08547/designation-of-perfluorooctanoic-acid-pfoa-and-perfluorooctanesulfonic-acid-pfos-as-cercla-hazardous</w:t>
      </w:r>
    </w:p>
    <w:p w14:paraId="30A9D5A8" w14:textId="77777777" w:rsidR="000504FE" w:rsidRPr="009F08BA" w:rsidRDefault="000504FE" w:rsidP="000504FE">
      <w:pPr>
        <w:pStyle w:val="Bibliography"/>
        <w:rPr>
          <w:rFonts w:ascii="Arial" w:hAnsi="Arial" w:cs="Arial"/>
          <w:sz w:val="20"/>
        </w:rPr>
      </w:pPr>
      <w:r w:rsidRPr="009F08BA">
        <w:rPr>
          <w:rFonts w:ascii="Arial" w:hAnsi="Arial" w:cs="Arial"/>
          <w:sz w:val="20"/>
        </w:rPr>
        <w:t>[27]</w:t>
      </w:r>
      <w:r w:rsidRPr="009F08BA">
        <w:rPr>
          <w:rFonts w:ascii="Arial" w:hAnsi="Arial" w:cs="Arial"/>
          <w:sz w:val="20"/>
        </w:rPr>
        <w:tab/>
        <w:t>U. N. E. P. UNEP, “Global commitment to mercury reduction: UNEP’s role in advancing the Minamata Convention,” Nov. 3, 2025. [Online]. Available: https://www.unep.org/news-and-stories/speech/global-commitment-mercury-reduction-uneps-role-advancing-minamata</w:t>
      </w:r>
    </w:p>
    <w:p w14:paraId="7E764ED7" w14:textId="77777777" w:rsidR="000504FE" w:rsidRPr="009F08BA" w:rsidRDefault="000504FE" w:rsidP="000504FE">
      <w:pPr>
        <w:pStyle w:val="Bibliography"/>
        <w:rPr>
          <w:rFonts w:ascii="Arial" w:hAnsi="Arial" w:cs="Arial"/>
          <w:sz w:val="20"/>
        </w:rPr>
      </w:pPr>
      <w:r w:rsidRPr="009F08BA">
        <w:rPr>
          <w:rFonts w:ascii="Arial" w:hAnsi="Arial" w:cs="Arial"/>
          <w:sz w:val="20"/>
        </w:rPr>
        <w:t>[28]</w:t>
      </w:r>
      <w:r w:rsidRPr="009F08BA">
        <w:rPr>
          <w:rFonts w:ascii="Arial" w:hAnsi="Arial" w:cs="Arial"/>
          <w:sz w:val="20"/>
        </w:rPr>
        <w:tab/>
        <w:t xml:space="preserve">H. B. Shulman, D. V. D’Angelo, L. Harrison, R. A. Smith, and L. Warner, “The Pregnancy Risk Assessment Monitoring System (PRAMS): Overview of Design and Methodology,” </w:t>
      </w:r>
      <w:r w:rsidRPr="009F08BA">
        <w:rPr>
          <w:rFonts w:ascii="Arial" w:hAnsi="Arial" w:cs="Arial"/>
          <w:i/>
          <w:iCs/>
          <w:sz w:val="20"/>
        </w:rPr>
        <w:t>Am. J. Public Health</w:t>
      </w:r>
      <w:r w:rsidRPr="009F08BA">
        <w:rPr>
          <w:rFonts w:ascii="Arial" w:hAnsi="Arial" w:cs="Arial"/>
          <w:sz w:val="20"/>
        </w:rPr>
        <w:t>, vol. 108, no. 10, pp. 1305–1313, Oct. 2018, doi: 10.2105/AJPH.2018.304563.</w:t>
      </w:r>
    </w:p>
    <w:p w14:paraId="1BBB92E2" w14:textId="77777777" w:rsidR="000504FE" w:rsidRPr="009F08BA" w:rsidRDefault="000504FE" w:rsidP="000504FE">
      <w:pPr>
        <w:pStyle w:val="Bibliography"/>
        <w:rPr>
          <w:rFonts w:ascii="Arial" w:hAnsi="Arial" w:cs="Arial"/>
          <w:sz w:val="20"/>
        </w:rPr>
      </w:pPr>
      <w:r w:rsidRPr="009F08BA">
        <w:rPr>
          <w:rFonts w:ascii="Arial" w:hAnsi="Arial" w:cs="Arial"/>
          <w:sz w:val="20"/>
        </w:rPr>
        <w:t>[29]</w:t>
      </w:r>
      <w:r w:rsidRPr="009F08BA">
        <w:rPr>
          <w:rFonts w:ascii="Arial" w:hAnsi="Arial" w:cs="Arial"/>
          <w:sz w:val="20"/>
        </w:rPr>
        <w:tab/>
        <w:t xml:space="preserve">J. C. Botelho, K. Kato, L.-Y. Wong, and A. M. Calafat, “Per- and polyfluoroalkyl substances (PFAS) exposure in the U.S. population: NHANES 1999–March 2020,” </w:t>
      </w:r>
      <w:r w:rsidRPr="009F08BA">
        <w:rPr>
          <w:rFonts w:ascii="Arial" w:hAnsi="Arial" w:cs="Arial"/>
          <w:i/>
          <w:iCs/>
          <w:sz w:val="20"/>
        </w:rPr>
        <w:t>Environ. Res.</w:t>
      </w:r>
      <w:r w:rsidRPr="009F08BA">
        <w:rPr>
          <w:rFonts w:ascii="Arial" w:hAnsi="Arial" w:cs="Arial"/>
          <w:sz w:val="20"/>
        </w:rPr>
        <w:t>, vol. 270, p. 120916, Apr. 2025, doi: 10.1016/j.envres.2025.120916.</w:t>
      </w:r>
    </w:p>
    <w:p w14:paraId="05FE967C" w14:textId="77777777" w:rsidR="000504FE" w:rsidRPr="009F08BA" w:rsidRDefault="000504FE" w:rsidP="000504FE">
      <w:pPr>
        <w:pStyle w:val="Bibliography"/>
        <w:rPr>
          <w:rFonts w:ascii="Arial" w:hAnsi="Arial" w:cs="Arial"/>
          <w:sz w:val="20"/>
        </w:rPr>
      </w:pPr>
      <w:r w:rsidRPr="009F08BA">
        <w:rPr>
          <w:rFonts w:ascii="Arial" w:hAnsi="Arial" w:cs="Arial"/>
          <w:sz w:val="20"/>
        </w:rPr>
        <w:t>[30]</w:t>
      </w:r>
      <w:r w:rsidRPr="009F08BA">
        <w:rPr>
          <w:rFonts w:ascii="Arial" w:hAnsi="Arial" w:cs="Arial"/>
          <w:sz w:val="20"/>
        </w:rPr>
        <w:tab/>
        <w:t xml:space="preserve">K. Ortlund </w:t>
      </w:r>
      <w:r w:rsidRPr="009F08BA">
        <w:rPr>
          <w:rFonts w:ascii="Arial" w:hAnsi="Arial" w:cs="Arial"/>
          <w:i/>
          <w:iCs/>
          <w:sz w:val="20"/>
        </w:rPr>
        <w:t>et al.</w:t>
      </w:r>
      <w:r w:rsidRPr="009F08BA">
        <w:rPr>
          <w:rFonts w:ascii="Arial" w:hAnsi="Arial" w:cs="Arial"/>
          <w:sz w:val="20"/>
        </w:rPr>
        <w:t xml:space="preserve">, “Characterizing Prenatal Exposure to Contemporary and Emerging Chemicals in a Prospective Cohort of Pregnant Women in Atlanta, Georgia,” </w:t>
      </w:r>
      <w:r w:rsidRPr="009F08BA">
        <w:rPr>
          <w:rFonts w:ascii="Arial" w:hAnsi="Arial" w:cs="Arial"/>
          <w:i/>
          <w:iCs/>
          <w:sz w:val="20"/>
        </w:rPr>
        <w:t>Environ. Health</w:t>
      </w:r>
      <w:r w:rsidRPr="009F08BA">
        <w:rPr>
          <w:rFonts w:ascii="Arial" w:hAnsi="Arial" w:cs="Arial"/>
          <w:sz w:val="20"/>
        </w:rPr>
        <w:t>, p. envhealth.5c00347, Nov. 2025, doi: 10.1021/envhealth.5c00347.</w:t>
      </w:r>
    </w:p>
    <w:p w14:paraId="12DFD73C" w14:textId="77777777" w:rsidR="000504FE" w:rsidRPr="009F08BA" w:rsidRDefault="000504FE" w:rsidP="000504FE">
      <w:pPr>
        <w:pStyle w:val="Bibliography"/>
        <w:rPr>
          <w:rFonts w:ascii="Arial" w:hAnsi="Arial" w:cs="Arial"/>
          <w:sz w:val="20"/>
        </w:rPr>
      </w:pPr>
      <w:r w:rsidRPr="009F08BA">
        <w:rPr>
          <w:rFonts w:ascii="Arial" w:hAnsi="Arial" w:cs="Arial"/>
          <w:sz w:val="20"/>
        </w:rPr>
        <w:t>[31]</w:t>
      </w:r>
      <w:r w:rsidRPr="009F08BA">
        <w:rPr>
          <w:rFonts w:ascii="Arial" w:hAnsi="Arial" w:cs="Arial"/>
          <w:sz w:val="20"/>
        </w:rPr>
        <w:tab/>
        <w:t xml:space="preserve">A. K. Cohen and R. E. Snyder, “Community-Based Participatory Research for Epidemiology, Health Equity, and Community Goals: Insights From Brazil, France, and USA,” </w:t>
      </w:r>
      <w:r w:rsidRPr="009F08BA">
        <w:rPr>
          <w:rFonts w:ascii="Arial" w:hAnsi="Arial" w:cs="Arial"/>
          <w:i/>
          <w:iCs/>
          <w:sz w:val="20"/>
        </w:rPr>
        <w:t>Community Health Equity Res. Policy</w:t>
      </w:r>
      <w:r w:rsidRPr="009F08BA">
        <w:rPr>
          <w:rFonts w:ascii="Arial" w:hAnsi="Arial" w:cs="Arial"/>
          <w:sz w:val="20"/>
        </w:rPr>
        <w:t>, vol. 45, no. 4, pp. 385–393, July 2025, doi: 10.1177/2752535X241262857.</w:t>
      </w:r>
    </w:p>
    <w:p w14:paraId="3050D783" w14:textId="77777777" w:rsidR="000504FE" w:rsidRPr="009F08BA" w:rsidRDefault="000504FE" w:rsidP="000504FE">
      <w:pPr>
        <w:pStyle w:val="Bibliography"/>
        <w:rPr>
          <w:rFonts w:ascii="Arial" w:hAnsi="Arial" w:cs="Arial"/>
          <w:sz w:val="20"/>
        </w:rPr>
      </w:pPr>
      <w:r w:rsidRPr="009F08BA">
        <w:rPr>
          <w:rFonts w:ascii="Arial" w:hAnsi="Arial" w:cs="Arial"/>
          <w:sz w:val="20"/>
        </w:rPr>
        <w:t>[32]</w:t>
      </w:r>
      <w:r w:rsidRPr="009F08BA">
        <w:rPr>
          <w:rFonts w:ascii="Arial" w:hAnsi="Arial" w:cs="Arial"/>
          <w:sz w:val="20"/>
        </w:rPr>
        <w:tab/>
        <w:t xml:space="preserve">S. Wikström, P.-I. Lin, C. H. Lindh, H. Shu, and C.-G. Bornehag, “Maternal serum levels of perfluoroalkyl substances in early pregnancy and offspring birth weight,” </w:t>
      </w:r>
      <w:r w:rsidRPr="009F08BA">
        <w:rPr>
          <w:rFonts w:ascii="Arial" w:hAnsi="Arial" w:cs="Arial"/>
          <w:i/>
          <w:iCs/>
          <w:sz w:val="20"/>
        </w:rPr>
        <w:t>Pediatr. Res.</w:t>
      </w:r>
      <w:r w:rsidRPr="009F08BA">
        <w:rPr>
          <w:rFonts w:ascii="Arial" w:hAnsi="Arial" w:cs="Arial"/>
          <w:sz w:val="20"/>
        </w:rPr>
        <w:t>, vol. 87, no. 6, pp. 1093–1099, May 2020, doi: 10.1038/s41390-019-0720-1.</w:t>
      </w:r>
    </w:p>
    <w:p w14:paraId="286897B4" w14:textId="77777777" w:rsidR="000504FE" w:rsidRPr="009F08BA" w:rsidRDefault="000504FE" w:rsidP="000504FE">
      <w:pPr>
        <w:pStyle w:val="Bibliography"/>
        <w:rPr>
          <w:rFonts w:ascii="Arial" w:hAnsi="Arial" w:cs="Arial"/>
          <w:sz w:val="20"/>
        </w:rPr>
      </w:pPr>
      <w:r w:rsidRPr="009F08BA">
        <w:rPr>
          <w:rFonts w:ascii="Arial" w:hAnsi="Arial" w:cs="Arial"/>
          <w:sz w:val="20"/>
        </w:rPr>
        <w:t>[33]</w:t>
      </w:r>
      <w:r w:rsidRPr="009F08BA">
        <w:rPr>
          <w:rFonts w:ascii="Arial" w:hAnsi="Arial" w:cs="Arial"/>
          <w:sz w:val="20"/>
        </w:rPr>
        <w:tab/>
        <w:t xml:space="preserve">“Reducing Prenatal Exposure to Toxic Environmental Agents: ACOG Committee Opinion, Number 832,” </w:t>
      </w:r>
      <w:r w:rsidRPr="009F08BA">
        <w:rPr>
          <w:rFonts w:ascii="Arial" w:hAnsi="Arial" w:cs="Arial"/>
          <w:i/>
          <w:iCs/>
          <w:sz w:val="20"/>
        </w:rPr>
        <w:t>Obstet. Gynecol.</w:t>
      </w:r>
      <w:r w:rsidRPr="009F08BA">
        <w:rPr>
          <w:rFonts w:ascii="Arial" w:hAnsi="Arial" w:cs="Arial"/>
          <w:sz w:val="20"/>
        </w:rPr>
        <w:t>, vol. 138, no. 1, pp. e40–e54, July 2021, doi: 10.1097/AOG.0000000000004449.</w:t>
      </w:r>
    </w:p>
    <w:p w14:paraId="4F90A96F" w14:textId="77777777" w:rsidR="000504FE" w:rsidRPr="009F08BA" w:rsidRDefault="000504FE" w:rsidP="000504FE">
      <w:pPr>
        <w:pStyle w:val="Bibliography"/>
        <w:rPr>
          <w:rFonts w:ascii="Arial" w:hAnsi="Arial" w:cs="Arial"/>
          <w:sz w:val="20"/>
        </w:rPr>
      </w:pPr>
      <w:r w:rsidRPr="009F08BA">
        <w:rPr>
          <w:rFonts w:ascii="Arial" w:hAnsi="Arial" w:cs="Arial"/>
          <w:sz w:val="20"/>
        </w:rPr>
        <w:t>[34]</w:t>
      </w:r>
      <w:r w:rsidRPr="009F08BA">
        <w:rPr>
          <w:rFonts w:ascii="Arial" w:hAnsi="Arial" w:cs="Arial"/>
          <w:sz w:val="20"/>
        </w:rPr>
        <w:tab/>
        <w:t xml:space="preserve">Committee on the Guidance on PFAS Testing and Health Outcomes, Board on Environmental Studies and Toxicology, Board on Population Health and Public Health Practice, Division on Earth and Life Studies, Health and Medicine Division, and National Academies of Sciences, Engineering, and Medicine, </w:t>
      </w:r>
      <w:r w:rsidRPr="009F08BA">
        <w:rPr>
          <w:rFonts w:ascii="Arial" w:hAnsi="Arial" w:cs="Arial"/>
          <w:i/>
          <w:iCs/>
          <w:sz w:val="20"/>
        </w:rPr>
        <w:t>Guidance on PFAS Exposure, Testing, and Clinical Follow-Up</w:t>
      </w:r>
      <w:r w:rsidRPr="009F08BA">
        <w:rPr>
          <w:rFonts w:ascii="Arial" w:hAnsi="Arial" w:cs="Arial"/>
          <w:sz w:val="20"/>
        </w:rPr>
        <w:t>. Washington, D.C.: National Academies Press, 2022, p. 26156. doi: 10.17226/26156.</w:t>
      </w:r>
    </w:p>
    <w:p w14:paraId="7BC0E761" w14:textId="77777777" w:rsidR="000504FE" w:rsidRPr="00633150" w:rsidRDefault="000504FE" w:rsidP="000504FE">
      <w:pPr>
        <w:spacing w:line="360" w:lineRule="auto"/>
        <w:rPr>
          <w:rFonts w:ascii="Arial" w:hAnsi="Arial" w:cs="Arial"/>
        </w:rPr>
      </w:pPr>
      <w:r>
        <w:rPr>
          <w:rFonts w:ascii="Arial" w:hAnsi="Arial" w:cs="Arial"/>
        </w:rPr>
        <w:fldChar w:fldCharType="end"/>
      </w:r>
    </w:p>
    <w:p w14:paraId="0AF83D8A" w14:textId="77777777" w:rsidR="00790ADA" w:rsidRPr="00FB3A86" w:rsidRDefault="00790ADA" w:rsidP="00441B6F">
      <w:pPr>
        <w:pStyle w:val="Body"/>
        <w:spacing w:after="0"/>
        <w:rPr>
          <w:rFonts w:ascii="Arial" w:hAnsi="Arial" w:cs="Arial"/>
        </w:rPr>
      </w:pPr>
    </w:p>
    <w:p w14:paraId="4E8A40A1" w14:textId="77777777" w:rsidR="00B01FCD" w:rsidRPr="00FB3A86" w:rsidRDefault="00B01FCD" w:rsidP="00441B6F">
      <w:pPr>
        <w:pStyle w:val="Appendix"/>
        <w:spacing w:after="0"/>
        <w:jc w:val="both"/>
        <w:rPr>
          <w:rFonts w:ascii="Arial" w:hAnsi="Arial" w:cs="Arial"/>
          <w:b w:val="0"/>
        </w:rPr>
      </w:pPr>
    </w:p>
    <w:sectPr w:rsidR="00B01FCD" w:rsidRPr="00FB3A86" w:rsidSect="00594D1C">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18ECD" w14:textId="77777777" w:rsidR="00734716" w:rsidRDefault="00734716" w:rsidP="00C37E61">
      <w:r>
        <w:separator/>
      </w:r>
    </w:p>
  </w:endnote>
  <w:endnote w:type="continuationSeparator" w:id="0">
    <w:p w14:paraId="00155AD2" w14:textId="77777777" w:rsidR="00734716" w:rsidRDefault="007347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F32B" w14:textId="77777777" w:rsidR="00594D1C" w:rsidRDefault="0059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38A3" w14:textId="77777777" w:rsidR="00594D1C" w:rsidRDefault="00594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49D" w14:textId="6F922F5D" w:rsidR="00754C9A" w:rsidRPr="00594D1C" w:rsidRDefault="00754C9A" w:rsidP="00594D1C">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DD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C0133" w14:textId="77777777" w:rsidR="00734716" w:rsidRDefault="00734716" w:rsidP="00C37E61">
      <w:r>
        <w:separator/>
      </w:r>
    </w:p>
  </w:footnote>
  <w:footnote w:type="continuationSeparator" w:id="0">
    <w:p w14:paraId="2D75DFC0" w14:textId="77777777" w:rsidR="00734716" w:rsidRDefault="007347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F105" w14:textId="56AE6586" w:rsidR="00594D1C" w:rsidRDefault="00594D1C">
    <w:pPr>
      <w:pStyle w:val="Header"/>
    </w:pPr>
    <w:r>
      <w:rPr>
        <w:noProof/>
      </w:rPr>
      <w:pict w14:anchorId="51AC3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E8B2" w14:textId="1E06109E" w:rsidR="00594D1C" w:rsidRDefault="00594D1C">
    <w:pPr>
      <w:pStyle w:val="Header"/>
    </w:pPr>
    <w:r>
      <w:rPr>
        <w:noProof/>
      </w:rPr>
      <w:pict w14:anchorId="0922F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CDE1" w14:textId="07E6B86C" w:rsidR="00296529" w:rsidRPr="00296529" w:rsidRDefault="00594D1C" w:rsidP="00296529">
    <w:pPr>
      <w:ind w:left="2160"/>
      <w:jc w:val="center"/>
      <w:rPr>
        <w:rFonts w:ascii="Times New Roman" w:eastAsia="Calibri" w:hAnsi="Times New Roman"/>
        <w:i/>
        <w:sz w:val="18"/>
        <w:szCs w:val="22"/>
      </w:rPr>
    </w:pPr>
    <w:r>
      <w:rPr>
        <w:noProof/>
      </w:rPr>
      <w:pict w14:anchorId="226E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FBE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F2A1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5FA8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0FE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C1B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954E5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3447" w14:textId="4BCC931B" w:rsidR="00594D1C" w:rsidRDefault="00594D1C">
    <w:pPr>
      <w:pStyle w:val="Header"/>
    </w:pPr>
    <w:r>
      <w:rPr>
        <w:noProof/>
      </w:rPr>
      <w:pict w14:anchorId="11F70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FB19" w14:textId="626FA177" w:rsidR="00594D1C" w:rsidRDefault="00594D1C">
    <w:pPr>
      <w:pStyle w:val="Header"/>
    </w:pPr>
    <w:r>
      <w:rPr>
        <w:noProof/>
      </w:rPr>
      <w:pict w14:anchorId="6F8F2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9C36" w14:textId="33305413" w:rsidR="00594D1C" w:rsidRDefault="00594D1C">
    <w:pPr>
      <w:pStyle w:val="Header"/>
    </w:pPr>
    <w:r>
      <w:rPr>
        <w:noProof/>
      </w:rPr>
      <w:pict w14:anchorId="4BDB3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1065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4F7"/>
    <w:rsid w:val="00016FFB"/>
    <w:rsid w:val="00024240"/>
    <w:rsid w:val="00025A0C"/>
    <w:rsid w:val="00030174"/>
    <w:rsid w:val="0004579C"/>
    <w:rsid w:val="000504FE"/>
    <w:rsid w:val="0007356D"/>
    <w:rsid w:val="000A47FA"/>
    <w:rsid w:val="000A65D3"/>
    <w:rsid w:val="000B1E33"/>
    <w:rsid w:val="000B55F7"/>
    <w:rsid w:val="000D51C2"/>
    <w:rsid w:val="000D689F"/>
    <w:rsid w:val="000E7B7B"/>
    <w:rsid w:val="000E7D62"/>
    <w:rsid w:val="000F0425"/>
    <w:rsid w:val="00103357"/>
    <w:rsid w:val="00123C9F"/>
    <w:rsid w:val="00126190"/>
    <w:rsid w:val="00130F17"/>
    <w:rsid w:val="001320BF"/>
    <w:rsid w:val="0014793E"/>
    <w:rsid w:val="0015043F"/>
    <w:rsid w:val="00152527"/>
    <w:rsid w:val="00162BA5"/>
    <w:rsid w:val="00163BC4"/>
    <w:rsid w:val="0016462F"/>
    <w:rsid w:val="00191062"/>
    <w:rsid w:val="00192B72"/>
    <w:rsid w:val="001A29D8"/>
    <w:rsid w:val="001A5CAA"/>
    <w:rsid w:val="001B0427"/>
    <w:rsid w:val="001C4774"/>
    <w:rsid w:val="001C738A"/>
    <w:rsid w:val="001D3A51"/>
    <w:rsid w:val="001E10D2"/>
    <w:rsid w:val="001E25B4"/>
    <w:rsid w:val="001E44FE"/>
    <w:rsid w:val="00200595"/>
    <w:rsid w:val="00204835"/>
    <w:rsid w:val="00204C9F"/>
    <w:rsid w:val="00225D5A"/>
    <w:rsid w:val="00231920"/>
    <w:rsid w:val="0023195C"/>
    <w:rsid w:val="0024282C"/>
    <w:rsid w:val="002450EC"/>
    <w:rsid w:val="002460DC"/>
    <w:rsid w:val="00250985"/>
    <w:rsid w:val="002556F6"/>
    <w:rsid w:val="00283105"/>
    <w:rsid w:val="00284C4C"/>
    <w:rsid w:val="00296529"/>
    <w:rsid w:val="002B27FB"/>
    <w:rsid w:val="002B685A"/>
    <w:rsid w:val="002C57D2"/>
    <w:rsid w:val="002C6140"/>
    <w:rsid w:val="002D01C9"/>
    <w:rsid w:val="002E0D56"/>
    <w:rsid w:val="00315186"/>
    <w:rsid w:val="00332AEB"/>
    <w:rsid w:val="0033343E"/>
    <w:rsid w:val="003512C2"/>
    <w:rsid w:val="0035132C"/>
    <w:rsid w:val="00371FB6"/>
    <w:rsid w:val="003732C8"/>
    <w:rsid w:val="003763C1"/>
    <w:rsid w:val="00376BBE"/>
    <w:rsid w:val="00390CFC"/>
    <w:rsid w:val="0039224F"/>
    <w:rsid w:val="003A43A4"/>
    <w:rsid w:val="003A7E18"/>
    <w:rsid w:val="003C4C86"/>
    <w:rsid w:val="003C6258"/>
    <w:rsid w:val="003E2904"/>
    <w:rsid w:val="003F1EED"/>
    <w:rsid w:val="003F2569"/>
    <w:rsid w:val="00401927"/>
    <w:rsid w:val="0041027F"/>
    <w:rsid w:val="00412475"/>
    <w:rsid w:val="00423789"/>
    <w:rsid w:val="00430D13"/>
    <w:rsid w:val="00440F43"/>
    <w:rsid w:val="00440FDE"/>
    <w:rsid w:val="00441B6F"/>
    <w:rsid w:val="00446221"/>
    <w:rsid w:val="00450E62"/>
    <w:rsid w:val="004539DB"/>
    <w:rsid w:val="00471A80"/>
    <w:rsid w:val="00477E08"/>
    <w:rsid w:val="004C6B39"/>
    <w:rsid w:val="004D305E"/>
    <w:rsid w:val="004D4277"/>
    <w:rsid w:val="00502516"/>
    <w:rsid w:val="00505F06"/>
    <w:rsid w:val="00506828"/>
    <w:rsid w:val="0051352A"/>
    <w:rsid w:val="0053056E"/>
    <w:rsid w:val="00532B32"/>
    <w:rsid w:val="005544E3"/>
    <w:rsid w:val="00554FDA"/>
    <w:rsid w:val="00594D1C"/>
    <w:rsid w:val="005A7EA1"/>
    <w:rsid w:val="005C3B7A"/>
    <w:rsid w:val="005C784C"/>
    <w:rsid w:val="005D17F6"/>
    <w:rsid w:val="005D4134"/>
    <w:rsid w:val="005E5539"/>
    <w:rsid w:val="005F3CC3"/>
    <w:rsid w:val="00602BF5"/>
    <w:rsid w:val="00606B6A"/>
    <w:rsid w:val="00617FDD"/>
    <w:rsid w:val="00624CEB"/>
    <w:rsid w:val="00633614"/>
    <w:rsid w:val="00633F68"/>
    <w:rsid w:val="00636EB2"/>
    <w:rsid w:val="006375B8"/>
    <w:rsid w:val="006601FD"/>
    <w:rsid w:val="0066510A"/>
    <w:rsid w:val="00673F9F"/>
    <w:rsid w:val="00686953"/>
    <w:rsid w:val="00687DEA"/>
    <w:rsid w:val="00687E67"/>
    <w:rsid w:val="00694D3F"/>
    <w:rsid w:val="006967F7"/>
    <w:rsid w:val="006A250C"/>
    <w:rsid w:val="006B21D3"/>
    <w:rsid w:val="006B3B73"/>
    <w:rsid w:val="006B57D0"/>
    <w:rsid w:val="006C1EAF"/>
    <w:rsid w:val="006D30FF"/>
    <w:rsid w:val="006D4598"/>
    <w:rsid w:val="006D6940"/>
    <w:rsid w:val="006F11EC"/>
    <w:rsid w:val="0070082C"/>
    <w:rsid w:val="00734716"/>
    <w:rsid w:val="007369E6"/>
    <w:rsid w:val="00746E59"/>
    <w:rsid w:val="00754C9A"/>
    <w:rsid w:val="0075599A"/>
    <w:rsid w:val="00760C75"/>
    <w:rsid w:val="00761D52"/>
    <w:rsid w:val="0077749E"/>
    <w:rsid w:val="00782FB5"/>
    <w:rsid w:val="00783066"/>
    <w:rsid w:val="00790ADA"/>
    <w:rsid w:val="007D2288"/>
    <w:rsid w:val="007E088F"/>
    <w:rsid w:val="007E3640"/>
    <w:rsid w:val="007E65E0"/>
    <w:rsid w:val="007F7B32"/>
    <w:rsid w:val="00804BC2"/>
    <w:rsid w:val="0081431A"/>
    <w:rsid w:val="0083216F"/>
    <w:rsid w:val="00860000"/>
    <w:rsid w:val="00863BD3"/>
    <w:rsid w:val="00866D66"/>
    <w:rsid w:val="008671C6"/>
    <w:rsid w:val="00875803"/>
    <w:rsid w:val="008B459E"/>
    <w:rsid w:val="008E13AE"/>
    <w:rsid w:val="008E1506"/>
    <w:rsid w:val="008E4793"/>
    <w:rsid w:val="008E710C"/>
    <w:rsid w:val="008F69D6"/>
    <w:rsid w:val="008F7765"/>
    <w:rsid w:val="008F7F1B"/>
    <w:rsid w:val="00902823"/>
    <w:rsid w:val="00915CA6"/>
    <w:rsid w:val="00927834"/>
    <w:rsid w:val="009500A6"/>
    <w:rsid w:val="00956EEA"/>
    <w:rsid w:val="00957C18"/>
    <w:rsid w:val="0096227F"/>
    <w:rsid w:val="009659BA"/>
    <w:rsid w:val="00983040"/>
    <w:rsid w:val="009B3FB9"/>
    <w:rsid w:val="009C2465"/>
    <w:rsid w:val="009D110C"/>
    <w:rsid w:val="009D35A0"/>
    <w:rsid w:val="009D7EB7"/>
    <w:rsid w:val="009E048A"/>
    <w:rsid w:val="009E08E9"/>
    <w:rsid w:val="009E3DB9"/>
    <w:rsid w:val="009E6E35"/>
    <w:rsid w:val="009F0EDA"/>
    <w:rsid w:val="00A03B96"/>
    <w:rsid w:val="00A05B19"/>
    <w:rsid w:val="00A1084F"/>
    <w:rsid w:val="00A1134E"/>
    <w:rsid w:val="00A24E7E"/>
    <w:rsid w:val="00A258C3"/>
    <w:rsid w:val="00A347C0"/>
    <w:rsid w:val="00A47A32"/>
    <w:rsid w:val="00A51431"/>
    <w:rsid w:val="00A539AD"/>
    <w:rsid w:val="00A94063"/>
    <w:rsid w:val="00A9617A"/>
    <w:rsid w:val="00AA6219"/>
    <w:rsid w:val="00AA74E0"/>
    <w:rsid w:val="00AB703F"/>
    <w:rsid w:val="00AC1E89"/>
    <w:rsid w:val="00AC6BB8"/>
    <w:rsid w:val="00AE008F"/>
    <w:rsid w:val="00B01FCD"/>
    <w:rsid w:val="00B05C9E"/>
    <w:rsid w:val="00B1776C"/>
    <w:rsid w:val="00B52896"/>
    <w:rsid w:val="00B6563C"/>
    <w:rsid w:val="00B95236"/>
    <w:rsid w:val="00B96BD9"/>
    <w:rsid w:val="00BA1B01"/>
    <w:rsid w:val="00BA2641"/>
    <w:rsid w:val="00BB37AA"/>
    <w:rsid w:val="00BC53A0"/>
    <w:rsid w:val="00BE62AD"/>
    <w:rsid w:val="00BE7349"/>
    <w:rsid w:val="00BF121F"/>
    <w:rsid w:val="00BF1F80"/>
    <w:rsid w:val="00C166EF"/>
    <w:rsid w:val="00C17EB0"/>
    <w:rsid w:val="00C27F5F"/>
    <w:rsid w:val="00C305E8"/>
    <w:rsid w:val="00C30A0F"/>
    <w:rsid w:val="00C37E61"/>
    <w:rsid w:val="00C50550"/>
    <w:rsid w:val="00C70F1B"/>
    <w:rsid w:val="00C71A47"/>
    <w:rsid w:val="00C72E7E"/>
    <w:rsid w:val="00C7464C"/>
    <w:rsid w:val="00C85588"/>
    <w:rsid w:val="00C91648"/>
    <w:rsid w:val="00CA5957"/>
    <w:rsid w:val="00CB25AB"/>
    <w:rsid w:val="00CD6755"/>
    <w:rsid w:val="00CD6856"/>
    <w:rsid w:val="00CE0089"/>
    <w:rsid w:val="00CE793C"/>
    <w:rsid w:val="00D173F1"/>
    <w:rsid w:val="00D24D97"/>
    <w:rsid w:val="00D264B5"/>
    <w:rsid w:val="00D346E7"/>
    <w:rsid w:val="00D41B9E"/>
    <w:rsid w:val="00D617FE"/>
    <w:rsid w:val="00D8295D"/>
    <w:rsid w:val="00DA1A0E"/>
    <w:rsid w:val="00DC2A65"/>
    <w:rsid w:val="00DE15F0"/>
    <w:rsid w:val="00DE25F5"/>
    <w:rsid w:val="00DE5663"/>
    <w:rsid w:val="00DE78AA"/>
    <w:rsid w:val="00DF670A"/>
    <w:rsid w:val="00E053D0"/>
    <w:rsid w:val="00E15994"/>
    <w:rsid w:val="00E15DF9"/>
    <w:rsid w:val="00E30D73"/>
    <w:rsid w:val="00E3114E"/>
    <w:rsid w:val="00E31A70"/>
    <w:rsid w:val="00E35B02"/>
    <w:rsid w:val="00E56434"/>
    <w:rsid w:val="00E60E6F"/>
    <w:rsid w:val="00E64874"/>
    <w:rsid w:val="00E64E77"/>
    <w:rsid w:val="00E66496"/>
    <w:rsid w:val="00E66B35"/>
    <w:rsid w:val="00E66E10"/>
    <w:rsid w:val="00E752E7"/>
    <w:rsid w:val="00E769F6"/>
    <w:rsid w:val="00E8407C"/>
    <w:rsid w:val="00E84F3C"/>
    <w:rsid w:val="00E92461"/>
    <w:rsid w:val="00EA012C"/>
    <w:rsid w:val="00EC5E40"/>
    <w:rsid w:val="00ED0288"/>
    <w:rsid w:val="00EE52CB"/>
    <w:rsid w:val="00EF0073"/>
    <w:rsid w:val="00EF07C7"/>
    <w:rsid w:val="00EF581D"/>
    <w:rsid w:val="00EF7FD8"/>
    <w:rsid w:val="00F06F59"/>
    <w:rsid w:val="00F17988"/>
    <w:rsid w:val="00F24BA0"/>
    <w:rsid w:val="00F30024"/>
    <w:rsid w:val="00F469F0"/>
    <w:rsid w:val="00F47D71"/>
    <w:rsid w:val="00F53273"/>
    <w:rsid w:val="00F56EFD"/>
    <w:rsid w:val="00F61762"/>
    <w:rsid w:val="00F6449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DB497D"/>
  <w15:docId w15:val="{13911955-17FE-418A-907F-C6DC88F1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ibliography">
    <w:name w:val="Bibliography"/>
    <w:basedOn w:val="Normal"/>
    <w:next w:val="Normal"/>
    <w:uiPriority w:val="37"/>
    <w:semiHidden/>
    <w:unhideWhenUsed/>
    <w:rsid w:val="000504FE"/>
    <w:pPr>
      <w:ind w:left="-14"/>
    </w:pPr>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1C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1AC0-F5AC-48C3-B6DD-2228DBBA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10</Pages>
  <Words>7798</Words>
  <Characters>44452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2025-12-24T10:05:00Z</dcterms:created>
  <dcterms:modified xsi:type="dcterms:W3CDTF">2025-12-26T07:04:00Z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682c0378030321b954c5db7fc82edce5381530225e9e240be08606e833e03135</vt:lpwstr>
  </property>
</Properties>
</file>