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4F4AF" w14:textId="77777777" w:rsidR="007D02A4" w:rsidRDefault="007D02A4" w:rsidP="00896137">
      <w:pPr>
        <w:spacing w:before="121"/>
        <w:jc w:val="right"/>
        <w:rPr>
          <w:b/>
          <w:bCs/>
          <w:sz w:val="36"/>
          <w:szCs w:val="36"/>
          <w:lang w:val="en-IN"/>
        </w:rPr>
      </w:pPr>
      <w:r w:rsidRPr="007D02A4">
        <w:rPr>
          <w:b/>
          <w:bCs/>
          <w:sz w:val="36"/>
          <w:szCs w:val="36"/>
        </w:rPr>
        <w:t>Original Research Article</w:t>
      </w:r>
    </w:p>
    <w:p w14:paraId="14D17CD6" w14:textId="77777777" w:rsidR="007D02A4" w:rsidRDefault="007D02A4" w:rsidP="00896137">
      <w:pPr>
        <w:spacing w:before="121"/>
        <w:jc w:val="right"/>
        <w:rPr>
          <w:b/>
          <w:bCs/>
          <w:sz w:val="36"/>
          <w:szCs w:val="36"/>
          <w:lang w:val="en-IN"/>
        </w:rPr>
      </w:pPr>
    </w:p>
    <w:p w14:paraId="3F11B1F7" w14:textId="694B9CF6" w:rsidR="00215B41" w:rsidRDefault="00215B41" w:rsidP="00896137">
      <w:pPr>
        <w:spacing w:before="121"/>
        <w:jc w:val="right"/>
        <w:rPr>
          <w:b/>
          <w:bCs/>
          <w:i/>
          <w:iCs/>
          <w:sz w:val="36"/>
          <w:szCs w:val="36"/>
          <w:lang w:val="en-IN"/>
        </w:rPr>
      </w:pPr>
      <w:bookmarkStart w:id="0" w:name="_Hlk216532244"/>
      <w:r w:rsidRPr="00896137">
        <w:rPr>
          <w:b/>
          <w:bCs/>
          <w:sz w:val="36"/>
          <w:szCs w:val="36"/>
        </w:rPr>
        <w:t xml:space="preserve">Effect of Salt Concentration on the Production of α-Amylase and Protease by </w:t>
      </w:r>
      <w:r w:rsidRPr="00896137">
        <w:rPr>
          <w:b/>
          <w:bCs/>
          <w:i/>
          <w:iCs/>
          <w:sz w:val="36"/>
          <w:szCs w:val="36"/>
        </w:rPr>
        <w:t>Bacillus coagulans</w:t>
      </w:r>
    </w:p>
    <w:bookmarkEnd w:id="0"/>
    <w:p w14:paraId="69730180" w14:textId="77777777" w:rsidR="006A6BEF" w:rsidRPr="006A6BEF" w:rsidRDefault="006A6BEF" w:rsidP="00896137">
      <w:pPr>
        <w:spacing w:before="121"/>
        <w:jc w:val="right"/>
        <w:rPr>
          <w:b/>
          <w:bCs/>
          <w:sz w:val="36"/>
          <w:szCs w:val="36"/>
          <w:lang w:val="en-IN"/>
        </w:rPr>
      </w:pPr>
    </w:p>
    <w:p w14:paraId="282411B9" w14:textId="77777777" w:rsidR="001C0D60" w:rsidRDefault="001C0D60" w:rsidP="004D5138">
      <w:pPr>
        <w:spacing w:line="24" w:lineRule="atLeast"/>
        <w:jc w:val="right"/>
        <w:rPr>
          <w:i/>
          <w:iCs/>
          <w:sz w:val="20"/>
          <w:szCs w:val="20"/>
          <w:lang w:val="en-US"/>
        </w:rPr>
      </w:pPr>
    </w:p>
    <w:p w14:paraId="094BAF34" w14:textId="77777777" w:rsidR="001C0D60" w:rsidRDefault="001C0D60" w:rsidP="004D5138">
      <w:pPr>
        <w:spacing w:line="24" w:lineRule="atLeast"/>
        <w:jc w:val="right"/>
        <w:rPr>
          <w:i/>
          <w:iCs/>
          <w:sz w:val="20"/>
          <w:szCs w:val="20"/>
          <w:lang w:val="en-US"/>
        </w:rPr>
      </w:pPr>
    </w:p>
    <w:p w14:paraId="40DCD1F5" w14:textId="04AC5ED2" w:rsidR="00215B41" w:rsidRPr="005E5325" w:rsidRDefault="00215B41" w:rsidP="005E5325">
      <w:pPr>
        <w:pStyle w:val="ListParagraph"/>
        <w:spacing w:before="121"/>
        <w:ind w:left="709"/>
        <w:jc w:val="both"/>
        <w:rPr>
          <w:b/>
          <w:bCs/>
          <w:lang w:val="en-US"/>
        </w:rPr>
      </w:pPr>
      <w:r w:rsidRPr="005E5325">
        <w:rPr>
          <w:b/>
          <w:bCs/>
          <w:lang w:val="en-US"/>
        </w:rPr>
        <w:t>ABS</w:t>
      </w:r>
      <w:r w:rsidR="005E5325" w:rsidRPr="005E5325">
        <w:rPr>
          <w:b/>
          <w:bCs/>
          <w:lang w:val="en-US"/>
        </w:rPr>
        <w:t>T</w:t>
      </w:r>
      <w:r w:rsidRPr="005E5325">
        <w:rPr>
          <w:b/>
          <w:bCs/>
          <w:lang w:val="en-US"/>
        </w:rPr>
        <w:t>RACT</w:t>
      </w:r>
    </w:p>
    <w:p w14:paraId="0B313A43" w14:textId="71ECA8F7" w:rsidR="00993C38" w:rsidRPr="005E5325" w:rsidRDefault="00993C38" w:rsidP="00ED417A">
      <w:pPr>
        <w:pBdr>
          <w:top w:val="single" w:sz="4" w:space="1" w:color="auto"/>
          <w:left w:val="single" w:sz="4" w:space="4" w:color="auto"/>
          <w:bottom w:val="single" w:sz="4" w:space="1" w:color="auto"/>
          <w:right w:val="single" w:sz="4" w:space="4" w:color="auto"/>
        </w:pBdr>
        <w:spacing w:before="121"/>
        <w:ind w:left="806"/>
        <w:jc w:val="both"/>
        <w:rPr>
          <w:sz w:val="20"/>
          <w:szCs w:val="20"/>
          <w:lang w:val="en-US"/>
        </w:rPr>
      </w:pPr>
      <w:r w:rsidRPr="005E5325">
        <w:rPr>
          <w:i/>
          <w:iCs/>
          <w:sz w:val="20"/>
          <w:szCs w:val="20"/>
          <w:lang w:val="en-US"/>
        </w:rPr>
        <w:t xml:space="preserve">Bacillus </w:t>
      </w:r>
      <w:proofErr w:type="spellStart"/>
      <w:r w:rsidRPr="005E5325">
        <w:rPr>
          <w:i/>
          <w:iCs/>
          <w:sz w:val="20"/>
          <w:szCs w:val="20"/>
          <w:lang w:val="en-US"/>
        </w:rPr>
        <w:t>coagulans</w:t>
      </w:r>
      <w:proofErr w:type="spellEnd"/>
      <w:r w:rsidRPr="005E5325">
        <w:rPr>
          <w:sz w:val="20"/>
          <w:szCs w:val="20"/>
          <w:lang w:val="en-US"/>
        </w:rPr>
        <w:t xml:space="preserve"> is a moderately halotolerant bacterium with potential applications in enzyme production and wastewater treatment in brackish aquaculture systems. In this study, we examined how different NaCl concentrations (0 - 5%) affect the growth and extracellular α-amylase and protease activities of the strain </w:t>
      </w:r>
      <w:r w:rsidRPr="005E5325">
        <w:rPr>
          <w:i/>
          <w:iCs/>
          <w:sz w:val="20"/>
          <w:szCs w:val="20"/>
          <w:lang w:val="en-US"/>
        </w:rPr>
        <w:t xml:space="preserve">B. </w:t>
      </w:r>
      <w:proofErr w:type="spellStart"/>
      <w:r w:rsidRPr="005E5325">
        <w:rPr>
          <w:i/>
          <w:iCs/>
          <w:sz w:val="20"/>
          <w:szCs w:val="20"/>
          <w:lang w:val="en-US"/>
        </w:rPr>
        <w:t>coagulans</w:t>
      </w:r>
      <w:proofErr w:type="spellEnd"/>
      <w:r w:rsidRPr="005E5325">
        <w:rPr>
          <w:sz w:val="20"/>
          <w:szCs w:val="20"/>
          <w:lang w:val="en-US"/>
        </w:rPr>
        <w:t xml:space="preserve"> PILS15.4. We also evaluated its ability to reduce chemical oxygen demand (COD) in real shrimp-pond wastewater with a salinity of 2.2%.</w:t>
      </w:r>
      <w:r w:rsidR="00E705CE" w:rsidRPr="005E5325">
        <w:rPr>
          <w:sz w:val="20"/>
          <w:szCs w:val="20"/>
          <w:lang w:val="en-US"/>
        </w:rPr>
        <w:t xml:space="preserve"> </w:t>
      </w:r>
      <w:r w:rsidRPr="005E5325">
        <w:rPr>
          <w:sz w:val="20"/>
          <w:szCs w:val="20"/>
          <w:lang w:val="en-US"/>
        </w:rPr>
        <w:t>The bacterium maintained relatively good growth up to about 3% NaCl, although cell density declined steadily as salinity increased. α-Amylase and protease activities were highest at low salinity (0 - 0.5% NaCl; 13.4 - 13.6 U/mL and 31.9 - 32.2 U/mL, respectively) and dropped sharply at salt levels above 3%. In the wastewater experiment, the inoculated treatment consistently achieved higher COD removal than the control, with the greatest improvement observed during the first 24 hours (20.7 - 21.4% compared with 2.3 - 3.8%). Both incubation time and bacterial addition significantly influenced COD reduction.</w:t>
      </w:r>
      <w:r w:rsidR="00E705CE" w:rsidRPr="005E5325">
        <w:rPr>
          <w:sz w:val="20"/>
          <w:szCs w:val="20"/>
          <w:lang w:val="en-US"/>
        </w:rPr>
        <w:t xml:space="preserve"> </w:t>
      </w:r>
      <w:r w:rsidRPr="005E5325">
        <w:rPr>
          <w:sz w:val="20"/>
          <w:szCs w:val="20"/>
          <w:lang w:val="en-US"/>
        </w:rPr>
        <w:t xml:space="preserve">Overall, B. </w:t>
      </w:r>
      <w:proofErr w:type="spellStart"/>
      <w:r w:rsidRPr="005E5325">
        <w:rPr>
          <w:sz w:val="20"/>
          <w:szCs w:val="20"/>
          <w:lang w:val="en-US"/>
        </w:rPr>
        <w:t>coagulans</w:t>
      </w:r>
      <w:proofErr w:type="spellEnd"/>
      <w:r w:rsidRPr="005E5325">
        <w:rPr>
          <w:sz w:val="20"/>
          <w:szCs w:val="20"/>
          <w:lang w:val="en-US"/>
        </w:rPr>
        <w:t xml:space="preserve"> showed promising potential for improving the early-stage degradation of organic matter in shrimp-pond wastewater under moderate salinity, although its enzyme production and treatment efficiency were clearly limited at higher salt concentrations.</w:t>
      </w:r>
    </w:p>
    <w:p w14:paraId="3502341F" w14:textId="2EBB1834" w:rsidR="00215B41" w:rsidRPr="005E5325" w:rsidRDefault="00AA76E0" w:rsidP="00E06E41">
      <w:pPr>
        <w:spacing w:before="121"/>
        <w:ind w:left="567"/>
        <w:jc w:val="both"/>
        <w:rPr>
          <w:sz w:val="20"/>
          <w:szCs w:val="20"/>
          <w:lang w:val="en-US"/>
        </w:rPr>
      </w:pPr>
      <w:r w:rsidRPr="005E5325">
        <w:rPr>
          <w:b/>
          <w:bCs/>
          <w:i/>
          <w:iCs/>
          <w:sz w:val="20"/>
          <w:szCs w:val="20"/>
          <w:lang w:val="en-US"/>
        </w:rPr>
        <w:t>Keywords:</w:t>
      </w:r>
      <w:r w:rsidRPr="005E5325">
        <w:rPr>
          <w:sz w:val="20"/>
          <w:szCs w:val="20"/>
          <w:lang w:val="en-US"/>
        </w:rPr>
        <w:t xml:space="preserve"> </w:t>
      </w:r>
      <w:r w:rsidRPr="005E5325">
        <w:rPr>
          <w:i/>
          <w:iCs/>
          <w:sz w:val="20"/>
          <w:szCs w:val="20"/>
          <w:lang w:val="en-US"/>
        </w:rPr>
        <w:t xml:space="preserve">Bacillus </w:t>
      </w:r>
      <w:proofErr w:type="spellStart"/>
      <w:r w:rsidRPr="005E5325">
        <w:rPr>
          <w:i/>
          <w:iCs/>
          <w:sz w:val="20"/>
          <w:szCs w:val="20"/>
          <w:lang w:val="en-US"/>
        </w:rPr>
        <w:t>coagulans</w:t>
      </w:r>
      <w:proofErr w:type="spellEnd"/>
      <w:r w:rsidRPr="005E5325">
        <w:rPr>
          <w:sz w:val="20"/>
          <w:szCs w:val="20"/>
          <w:lang w:val="en-US"/>
        </w:rPr>
        <w:t>, salt tolerance, α-amylase, protease, COD reduction, shrimp-pond wastewater</w:t>
      </w:r>
      <w:r w:rsidR="00215B41" w:rsidRPr="005E5325">
        <w:rPr>
          <w:sz w:val="20"/>
          <w:szCs w:val="20"/>
          <w:lang w:val="en-US"/>
        </w:rPr>
        <w:t>.</w:t>
      </w:r>
    </w:p>
    <w:p w14:paraId="30966354" w14:textId="44501214" w:rsidR="00215B41" w:rsidRPr="006A2BE8" w:rsidRDefault="00215B41" w:rsidP="004E4DBC">
      <w:pPr>
        <w:pStyle w:val="ListParagraph"/>
        <w:numPr>
          <w:ilvl w:val="0"/>
          <w:numId w:val="6"/>
        </w:numPr>
        <w:spacing w:before="120"/>
        <w:ind w:left="924" w:hanging="357"/>
        <w:jc w:val="both"/>
        <w:rPr>
          <w:b/>
          <w:bCs/>
          <w:sz w:val="24"/>
          <w:szCs w:val="24"/>
          <w:lang w:val="en-US"/>
        </w:rPr>
      </w:pPr>
      <w:r w:rsidRPr="006A2BE8">
        <w:rPr>
          <w:b/>
          <w:bCs/>
          <w:lang w:val="en-US"/>
        </w:rPr>
        <w:t>INTRODUCTION</w:t>
      </w:r>
    </w:p>
    <w:p w14:paraId="68CBD5C9" w14:textId="44960108" w:rsidR="00DD2F6C" w:rsidRPr="00DD2F6C" w:rsidRDefault="00993C38" w:rsidP="00DD2F6C">
      <w:pPr>
        <w:ind w:left="567"/>
        <w:jc w:val="both"/>
        <w:rPr>
          <w:sz w:val="20"/>
          <w:szCs w:val="20"/>
          <w:lang w:val="en-US"/>
        </w:rPr>
      </w:pPr>
      <w:r w:rsidRPr="00456241">
        <w:rPr>
          <w:sz w:val="20"/>
          <w:szCs w:val="20"/>
          <w:lang w:val="en-US"/>
        </w:rPr>
        <w:t xml:space="preserve">Intensive shrimp aquaculture generates large volumes of wastewater containing proteins, starch, and various organic compounds. </w:t>
      </w:r>
      <w:r w:rsidR="00B06549" w:rsidRPr="00B06549">
        <w:rPr>
          <w:sz w:val="20"/>
          <w:szCs w:val="20"/>
        </w:rPr>
        <w:t xml:space="preserve">This contamination, if left untreated, accumulates over time and leads to an increase in ammonia, nitrites, and suspended solids, which degrades water quality and negatively affects farmed shrimp and other aquatic organisms (Boyd &amp; Tucker, 2012). As the aquaculture industry moves towards sustainable and environmentally friendly development, enzyme-producing microorganisms have attracted increasing interest as alternatives to chemicals and antibiotics (Zorriehzahra et al., 2016). Among these microorganisms, </w:t>
      </w:r>
      <w:r w:rsidR="00B06549" w:rsidRPr="00D70ECE">
        <w:rPr>
          <w:i/>
          <w:iCs/>
          <w:sz w:val="20"/>
          <w:szCs w:val="20"/>
        </w:rPr>
        <w:t>Bacillus</w:t>
      </w:r>
      <w:r w:rsidR="00B06549" w:rsidRPr="00B06549">
        <w:rPr>
          <w:sz w:val="20"/>
          <w:szCs w:val="20"/>
        </w:rPr>
        <w:t xml:space="preserve"> (</w:t>
      </w:r>
      <w:r w:rsidR="00B06549" w:rsidRPr="00D70ECE">
        <w:rPr>
          <w:i/>
          <w:iCs/>
          <w:sz w:val="20"/>
          <w:szCs w:val="20"/>
        </w:rPr>
        <w:t>Weizmannia</w:t>
      </w:r>
      <w:r w:rsidR="00B06549" w:rsidRPr="00B06549">
        <w:rPr>
          <w:sz w:val="20"/>
          <w:szCs w:val="20"/>
        </w:rPr>
        <w:t xml:space="preserve">) </w:t>
      </w:r>
      <w:r w:rsidR="00B06549" w:rsidRPr="00D70ECE">
        <w:rPr>
          <w:i/>
          <w:iCs/>
          <w:sz w:val="20"/>
          <w:szCs w:val="20"/>
        </w:rPr>
        <w:t>coagulans</w:t>
      </w:r>
      <w:r w:rsidR="00B06549" w:rsidRPr="00B06549">
        <w:rPr>
          <w:sz w:val="20"/>
          <w:szCs w:val="20"/>
        </w:rPr>
        <w:t xml:space="preserve"> are notable for their ability to form heat-resistant spores and tolerate changing environmental conditions such as salinity and low pH. </w:t>
      </w:r>
      <w:r w:rsidR="00B06549" w:rsidRPr="002A1E83">
        <w:rPr>
          <w:sz w:val="20"/>
          <w:szCs w:val="20"/>
        </w:rPr>
        <w:t>Many strains are capable of secreting α-amylase and extracellular proteases</w:t>
      </w:r>
      <w:r w:rsidR="00375651" w:rsidRPr="002A1E83">
        <w:rPr>
          <w:sz w:val="20"/>
          <w:szCs w:val="20"/>
          <w:lang w:val="en-US"/>
        </w:rPr>
        <w:t>.</w:t>
      </w:r>
      <w:r w:rsidR="00B06549" w:rsidRPr="002A1E83">
        <w:rPr>
          <w:sz w:val="20"/>
          <w:szCs w:val="20"/>
        </w:rPr>
        <w:t xml:space="preserve"> </w:t>
      </w:r>
      <w:r w:rsidR="00375651" w:rsidRPr="002A1E83">
        <w:rPr>
          <w:sz w:val="20"/>
          <w:szCs w:val="20"/>
          <w:lang w:val="en-US"/>
        </w:rPr>
        <w:t xml:space="preserve">Both </w:t>
      </w:r>
      <w:r w:rsidR="00375651" w:rsidRPr="002A1E83">
        <w:rPr>
          <w:sz w:val="20"/>
          <w:szCs w:val="20"/>
        </w:rPr>
        <w:t xml:space="preserve">α-amylase and proteases </w:t>
      </w:r>
      <w:r w:rsidR="00B06549" w:rsidRPr="002A1E83">
        <w:rPr>
          <w:sz w:val="20"/>
          <w:szCs w:val="20"/>
        </w:rPr>
        <w:t xml:space="preserve">enzymes involved in the breakdown of starches and proteins, the main organic pollutants in shrimp ponds (Gopinath et al., 2017; Medda &amp; Chandra, 1980). </w:t>
      </w:r>
      <w:r w:rsidR="00DD2F6C" w:rsidRPr="00C1564A">
        <w:rPr>
          <w:sz w:val="20"/>
          <w:szCs w:val="20"/>
        </w:rPr>
        <w:t>Some strains have the ability to enhance digestion as well as antagonize disease-causing Vibrio in shrimp (Farzanfar, 2006; Wang et al., 2012).</w:t>
      </w:r>
    </w:p>
    <w:p w14:paraId="4F28946D" w14:textId="017B90A1" w:rsidR="003334A4" w:rsidRPr="003334A4" w:rsidRDefault="00592F47" w:rsidP="00B50909">
      <w:pPr>
        <w:ind w:left="567"/>
        <w:jc w:val="both"/>
        <w:rPr>
          <w:sz w:val="20"/>
          <w:szCs w:val="20"/>
          <w:lang w:val="en-US"/>
        </w:rPr>
      </w:pPr>
      <w:r w:rsidRPr="00592F47">
        <w:rPr>
          <w:sz w:val="20"/>
          <w:szCs w:val="20"/>
        </w:rPr>
        <w:t>According to Csonka (1989), Sleator &amp; Hill (2002), salinity affects</w:t>
      </w:r>
      <w:r w:rsidR="009D1892">
        <w:rPr>
          <w:sz w:val="20"/>
          <w:szCs w:val="20"/>
          <w:lang w:val="en-US"/>
        </w:rPr>
        <w:t xml:space="preserve"> to</w:t>
      </w:r>
      <w:r w:rsidRPr="00592F47">
        <w:rPr>
          <w:sz w:val="20"/>
          <w:szCs w:val="20"/>
        </w:rPr>
        <w:t xml:space="preserve"> the physiology of bacteria, as well as affecting growth, nutrient transport, and enzyme production. Elevated NaCl levels </w:t>
      </w:r>
      <w:r w:rsidRPr="003334A4">
        <w:rPr>
          <w:sz w:val="20"/>
          <w:szCs w:val="20"/>
        </w:rPr>
        <w:t xml:space="preserve">can disrupt osmotic balance, reduce cell elasticity, and inhibit protein synthesis. </w:t>
      </w:r>
      <w:r w:rsidR="008D64B1" w:rsidRPr="000C267A">
        <w:rPr>
          <w:sz w:val="20"/>
          <w:szCs w:val="20"/>
        </w:rPr>
        <w:t xml:space="preserve">The study by Adbeid et al. </w:t>
      </w:r>
      <w:r w:rsidR="008D64B1" w:rsidRPr="000C267A">
        <w:rPr>
          <w:sz w:val="20"/>
          <w:szCs w:val="20"/>
          <w:lang w:val="en-US"/>
        </w:rPr>
        <w:t xml:space="preserve">(2016) </w:t>
      </w:r>
      <w:r w:rsidR="008D64B1" w:rsidRPr="000C267A">
        <w:rPr>
          <w:sz w:val="20"/>
          <w:szCs w:val="20"/>
        </w:rPr>
        <w:t>show</w:t>
      </w:r>
      <w:r w:rsidR="008D64B1" w:rsidRPr="000C267A">
        <w:rPr>
          <w:sz w:val="20"/>
          <w:szCs w:val="20"/>
          <w:lang w:val="en-US"/>
        </w:rPr>
        <w:t>n</w:t>
      </w:r>
      <w:r w:rsidR="008D64B1" w:rsidRPr="000C267A">
        <w:rPr>
          <w:sz w:val="20"/>
          <w:szCs w:val="20"/>
        </w:rPr>
        <w:t xml:space="preserve"> that strains of </w:t>
      </w:r>
      <w:r w:rsidR="008D64B1" w:rsidRPr="000C267A">
        <w:rPr>
          <w:i/>
          <w:iCs/>
          <w:sz w:val="20"/>
          <w:szCs w:val="20"/>
        </w:rPr>
        <w:t>Bacillus</w:t>
      </w:r>
      <w:r w:rsidR="003334A4" w:rsidRPr="000C267A">
        <w:rPr>
          <w:sz w:val="20"/>
          <w:szCs w:val="20"/>
        </w:rPr>
        <w:t xml:space="preserve"> may be adapted to salinity, but the salinity tolerance of </w:t>
      </w:r>
      <w:r w:rsidR="003334A4" w:rsidRPr="00444164">
        <w:rPr>
          <w:i/>
          <w:iCs/>
          <w:sz w:val="20"/>
          <w:szCs w:val="20"/>
        </w:rPr>
        <w:t>B. coagulans</w:t>
      </w:r>
      <w:r w:rsidR="003334A4" w:rsidRPr="000C267A">
        <w:rPr>
          <w:sz w:val="20"/>
          <w:szCs w:val="20"/>
        </w:rPr>
        <w:t xml:space="preserve"> under aquaculture conditions has not been studied</w:t>
      </w:r>
      <w:r w:rsidR="000C267A" w:rsidRPr="000C267A">
        <w:rPr>
          <w:sz w:val="20"/>
          <w:szCs w:val="20"/>
          <w:lang w:val="en-US"/>
        </w:rPr>
        <w:t>.</w:t>
      </w:r>
    </w:p>
    <w:p w14:paraId="02FD9DE5" w14:textId="77777777" w:rsidR="00860F3B" w:rsidRPr="0060323F" w:rsidRDefault="00592F47" w:rsidP="00B50909">
      <w:pPr>
        <w:ind w:left="567"/>
        <w:jc w:val="both"/>
        <w:rPr>
          <w:sz w:val="20"/>
          <w:szCs w:val="20"/>
          <w:lang w:val="en-US"/>
        </w:rPr>
      </w:pPr>
      <w:r w:rsidRPr="0060323F">
        <w:rPr>
          <w:sz w:val="20"/>
          <w:szCs w:val="20"/>
        </w:rPr>
        <w:lastRenderedPageBreak/>
        <w:t xml:space="preserve">Therefore, this study focuses on two main objectives: </w:t>
      </w:r>
    </w:p>
    <w:p w14:paraId="1F7FF851" w14:textId="61F9884C" w:rsidR="00860F3B" w:rsidRPr="0060323F" w:rsidRDefault="00592F47" w:rsidP="00860F3B">
      <w:pPr>
        <w:pStyle w:val="ListParagraph"/>
        <w:numPr>
          <w:ilvl w:val="0"/>
          <w:numId w:val="7"/>
        </w:numPr>
        <w:jc w:val="both"/>
        <w:rPr>
          <w:sz w:val="20"/>
          <w:szCs w:val="20"/>
          <w:lang w:val="en-US"/>
        </w:rPr>
      </w:pPr>
      <w:r w:rsidRPr="0060323F">
        <w:rPr>
          <w:sz w:val="20"/>
          <w:szCs w:val="20"/>
        </w:rPr>
        <w:t xml:space="preserve">to determine the effect of NaCl concentration on the growth and production of α-amylase and protease enzymes of </w:t>
      </w:r>
      <w:r w:rsidRPr="00444164">
        <w:rPr>
          <w:i/>
          <w:iCs/>
          <w:sz w:val="20"/>
          <w:szCs w:val="20"/>
        </w:rPr>
        <w:t xml:space="preserve">B. </w:t>
      </w:r>
      <w:r w:rsidR="00444164">
        <w:rPr>
          <w:i/>
          <w:iCs/>
          <w:sz w:val="20"/>
          <w:szCs w:val="20"/>
          <w:lang w:val="en-US"/>
        </w:rPr>
        <w:t>c</w:t>
      </w:r>
      <w:r w:rsidRPr="00444164">
        <w:rPr>
          <w:i/>
          <w:iCs/>
          <w:sz w:val="20"/>
          <w:szCs w:val="20"/>
        </w:rPr>
        <w:t>oagulans</w:t>
      </w:r>
      <w:r w:rsidR="00860F3B" w:rsidRPr="0060323F">
        <w:rPr>
          <w:sz w:val="20"/>
          <w:szCs w:val="20"/>
          <w:lang w:val="en-US"/>
        </w:rPr>
        <w:t>;</w:t>
      </w:r>
    </w:p>
    <w:p w14:paraId="40F2DC37" w14:textId="606861E2" w:rsidR="00592F47" w:rsidRPr="0060323F" w:rsidRDefault="00592F47" w:rsidP="00860F3B">
      <w:pPr>
        <w:pStyle w:val="ListParagraph"/>
        <w:numPr>
          <w:ilvl w:val="0"/>
          <w:numId w:val="7"/>
        </w:numPr>
        <w:jc w:val="both"/>
        <w:rPr>
          <w:sz w:val="20"/>
          <w:szCs w:val="20"/>
          <w:lang w:val="en-US"/>
        </w:rPr>
      </w:pPr>
      <w:r w:rsidRPr="0060323F">
        <w:rPr>
          <w:sz w:val="20"/>
          <w:szCs w:val="20"/>
        </w:rPr>
        <w:t xml:space="preserve"> and (2) to evaluate its application potential in the treatment of COD in shrimp pond wastewater.</w:t>
      </w:r>
    </w:p>
    <w:p w14:paraId="336AF687" w14:textId="36FFF918" w:rsidR="00E2766C" w:rsidRDefault="00C44A47" w:rsidP="00C44A47">
      <w:pPr>
        <w:ind w:left="567"/>
        <w:jc w:val="both"/>
        <w:rPr>
          <w:sz w:val="20"/>
          <w:szCs w:val="20"/>
          <w:lang w:val="en"/>
        </w:rPr>
      </w:pPr>
      <w:r w:rsidRPr="00C44A47">
        <w:rPr>
          <w:sz w:val="20"/>
          <w:szCs w:val="20"/>
          <w:lang w:val="en"/>
        </w:rPr>
        <w:t xml:space="preserve">Shrimp farming wastewater often contains a lot of organic matter from leftovers, feces, and </w:t>
      </w:r>
      <w:r w:rsidRPr="00311157">
        <w:rPr>
          <w:sz w:val="20"/>
          <w:szCs w:val="20"/>
          <w:lang w:val="en"/>
        </w:rPr>
        <w:t xml:space="preserve">suspended solids. </w:t>
      </w:r>
      <w:r w:rsidR="00311157" w:rsidRPr="00311157">
        <w:rPr>
          <w:sz w:val="20"/>
          <w:szCs w:val="20"/>
        </w:rPr>
        <w:t xml:space="preserve">It is these substances that increase ammonia, nitrite, and COD levels, which affect the health of shrimp (Boyd &amp; Tucker, 2012). Akhter et al., (2015) studied the use of </w:t>
      </w:r>
      <w:r w:rsidR="00311157" w:rsidRPr="00D70ECE">
        <w:rPr>
          <w:i/>
          <w:iCs/>
          <w:sz w:val="20"/>
          <w:szCs w:val="20"/>
        </w:rPr>
        <w:t>B. coagulans</w:t>
      </w:r>
      <w:r w:rsidR="00311157" w:rsidRPr="00311157">
        <w:rPr>
          <w:sz w:val="20"/>
          <w:szCs w:val="20"/>
        </w:rPr>
        <w:t xml:space="preserve"> strains to accelerate the decomposition of organic matter in shrimp ponds.</w:t>
      </w:r>
      <w:r w:rsidRPr="00C44A47">
        <w:rPr>
          <w:sz w:val="20"/>
          <w:szCs w:val="20"/>
          <w:lang w:val="en"/>
        </w:rPr>
        <w:t xml:space="preserve"> </w:t>
      </w:r>
    </w:p>
    <w:p w14:paraId="7D710729" w14:textId="1A9629DF" w:rsidR="00C44A47" w:rsidRPr="00C44A47" w:rsidRDefault="00C44A47" w:rsidP="00C44A47">
      <w:pPr>
        <w:ind w:left="567"/>
        <w:jc w:val="both"/>
        <w:rPr>
          <w:sz w:val="20"/>
          <w:szCs w:val="20"/>
          <w:lang w:val="en"/>
        </w:rPr>
      </w:pPr>
      <w:r w:rsidRPr="00C44A47">
        <w:rPr>
          <w:sz w:val="20"/>
          <w:szCs w:val="20"/>
          <w:lang w:val="en"/>
        </w:rPr>
        <w:t xml:space="preserve">In general, these studies have shown that </w:t>
      </w:r>
      <w:r w:rsidRPr="00D70ECE">
        <w:rPr>
          <w:i/>
          <w:iCs/>
          <w:sz w:val="20"/>
          <w:szCs w:val="20"/>
          <w:lang w:val="en"/>
        </w:rPr>
        <w:t xml:space="preserve">B. </w:t>
      </w:r>
      <w:proofErr w:type="spellStart"/>
      <w:r w:rsidRPr="00D70ECE">
        <w:rPr>
          <w:i/>
          <w:iCs/>
          <w:sz w:val="20"/>
          <w:szCs w:val="20"/>
          <w:lang w:val="en"/>
        </w:rPr>
        <w:t>coagulans</w:t>
      </w:r>
      <w:proofErr w:type="spellEnd"/>
      <w:r w:rsidRPr="00C44A47">
        <w:rPr>
          <w:sz w:val="20"/>
          <w:szCs w:val="20"/>
          <w:lang w:val="en"/>
        </w:rPr>
        <w:t xml:space="preserve"> are beneficial in the production of hydrolytic enzymes and contribute to the biological treatment of aquaculture wastewater. However, the processing performance of this bacterial strain is strongly affected by salinity. Therefore, in order to properly assess the application potential of this bacterial strain, it is necessary to have data under conditions similar to the shrimp pond environment.</w:t>
      </w:r>
    </w:p>
    <w:p w14:paraId="51DF0B12" w14:textId="77777777" w:rsidR="00215B41" w:rsidRPr="00456241" w:rsidRDefault="00215B41" w:rsidP="004E4DBC">
      <w:pPr>
        <w:pStyle w:val="ListParagraph"/>
        <w:numPr>
          <w:ilvl w:val="0"/>
          <w:numId w:val="6"/>
        </w:numPr>
        <w:spacing w:before="120"/>
        <w:ind w:left="924" w:hanging="357"/>
        <w:jc w:val="both"/>
        <w:rPr>
          <w:b/>
          <w:bCs/>
          <w:lang w:val="en-US"/>
        </w:rPr>
      </w:pPr>
      <w:r w:rsidRPr="00456241">
        <w:rPr>
          <w:b/>
          <w:bCs/>
          <w:lang w:val="en-US"/>
        </w:rPr>
        <w:t>METHODOLOGY</w:t>
      </w:r>
    </w:p>
    <w:p w14:paraId="74B88D40" w14:textId="27044289" w:rsidR="00215B41" w:rsidRPr="006A2BE8" w:rsidRDefault="0019491C" w:rsidP="00B50909">
      <w:pPr>
        <w:ind w:left="567"/>
        <w:jc w:val="both"/>
        <w:rPr>
          <w:b/>
          <w:bCs/>
          <w:lang w:val="en-US"/>
        </w:rPr>
      </w:pPr>
      <w:r w:rsidRPr="006A2BE8">
        <w:rPr>
          <w:b/>
          <w:bCs/>
          <w:lang w:val="en-US"/>
        </w:rPr>
        <w:t xml:space="preserve">2.1 </w:t>
      </w:r>
      <w:r w:rsidR="00215B41" w:rsidRPr="006A2BE8">
        <w:rPr>
          <w:b/>
          <w:bCs/>
          <w:lang w:val="en-US"/>
        </w:rPr>
        <w:t>Bacterial</w:t>
      </w:r>
      <w:r w:rsidR="00215B41" w:rsidRPr="006A2BE8">
        <w:rPr>
          <w:b/>
          <w:bCs/>
        </w:rPr>
        <w:t xml:space="preserve"> </w:t>
      </w:r>
      <w:r w:rsidR="008E6B60">
        <w:rPr>
          <w:b/>
          <w:bCs/>
          <w:lang w:val="en-US"/>
        </w:rPr>
        <w:t>s</w:t>
      </w:r>
      <w:r w:rsidR="00215B41" w:rsidRPr="006A2BE8">
        <w:rPr>
          <w:b/>
          <w:bCs/>
        </w:rPr>
        <w:t xml:space="preserve">train and </w:t>
      </w:r>
      <w:r w:rsidR="008E6B60">
        <w:rPr>
          <w:b/>
          <w:bCs/>
          <w:lang w:val="en-US"/>
        </w:rPr>
        <w:t>c</w:t>
      </w:r>
      <w:r w:rsidR="00215B41" w:rsidRPr="006A2BE8">
        <w:rPr>
          <w:b/>
          <w:bCs/>
        </w:rPr>
        <w:t xml:space="preserve">ulture </w:t>
      </w:r>
      <w:r w:rsidR="008E6B60">
        <w:rPr>
          <w:b/>
          <w:bCs/>
          <w:lang w:val="en-US"/>
        </w:rPr>
        <w:t>c</w:t>
      </w:r>
      <w:r w:rsidR="00215B41" w:rsidRPr="006A2BE8">
        <w:rPr>
          <w:b/>
          <w:bCs/>
        </w:rPr>
        <w:t>onditions</w:t>
      </w:r>
    </w:p>
    <w:p w14:paraId="32BAAF5B" w14:textId="717A353A" w:rsidR="004568E5" w:rsidRPr="000A161C" w:rsidRDefault="00215B41" w:rsidP="00B50909">
      <w:pPr>
        <w:ind w:left="567"/>
        <w:jc w:val="both"/>
        <w:rPr>
          <w:sz w:val="20"/>
          <w:szCs w:val="20"/>
          <w:lang w:val="en-US"/>
        </w:rPr>
      </w:pPr>
      <w:r w:rsidRPr="00B93A3C">
        <w:rPr>
          <w:sz w:val="20"/>
          <w:szCs w:val="20"/>
          <w:lang w:val="en-US"/>
        </w:rPr>
        <w:t xml:space="preserve">The bacterial strain used in this study, </w:t>
      </w:r>
      <w:r w:rsidRPr="00D70ECE">
        <w:rPr>
          <w:i/>
          <w:iCs/>
          <w:sz w:val="20"/>
          <w:szCs w:val="20"/>
          <w:lang w:val="en-US"/>
        </w:rPr>
        <w:t>B</w:t>
      </w:r>
      <w:r w:rsidR="00D70ECE" w:rsidRPr="00D70ECE">
        <w:rPr>
          <w:i/>
          <w:iCs/>
          <w:sz w:val="20"/>
          <w:szCs w:val="20"/>
          <w:lang w:val="en-US"/>
        </w:rPr>
        <w:t xml:space="preserve">. </w:t>
      </w:r>
      <w:proofErr w:type="spellStart"/>
      <w:r w:rsidRPr="00D70ECE">
        <w:rPr>
          <w:i/>
          <w:iCs/>
          <w:sz w:val="20"/>
          <w:szCs w:val="20"/>
          <w:lang w:val="en-US"/>
        </w:rPr>
        <w:t>coagulans</w:t>
      </w:r>
      <w:proofErr w:type="spellEnd"/>
      <w:r w:rsidRPr="00B93A3C">
        <w:rPr>
          <w:sz w:val="20"/>
          <w:szCs w:val="20"/>
          <w:lang w:val="en-US"/>
        </w:rPr>
        <w:t xml:space="preserve"> PILS</w:t>
      </w:r>
      <w:r w:rsidR="00311A89" w:rsidRPr="00B93A3C">
        <w:rPr>
          <w:sz w:val="20"/>
          <w:szCs w:val="20"/>
          <w:lang w:val="en-US"/>
        </w:rPr>
        <w:t>15.</w:t>
      </w:r>
      <w:r w:rsidR="008211B5" w:rsidRPr="00B93A3C">
        <w:rPr>
          <w:sz w:val="20"/>
          <w:szCs w:val="20"/>
          <w:lang w:val="en-US"/>
        </w:rPr>
        <w:t>4</w:t>
      </w:r>
      <w:r w:rsidRPr="00B93A3C">
        <w:rPr>
          <w:sz w:val="20"/>
          <w:szCs w:val="20"/>
          <w:lang w:val="en-US"/>
        </w:rPr>
        <w:t xml:space="preserve">, was obtained from the Department of Plant and Agricultural Biotechnology, Institute of Life Sciences - Academy of </w:t>
      </w:r>
      <w:r w:rsidRPr="000A161C">
        <w:rPr>
          <w:sz w:val="20"/>
          <w:szCs w:val="20"/>
          <w:lang w:val="en-US"/>
        </w:rPr>
        <w:t xml:space="preserve">Science and Technology Vietnam. </w:t>
      </w:r>
      <w:r w:rsidR="00C3004C" w:rsidRPr="000A161C">
        <w:rPr>
          <w:sz w:val="20"/>
          <w:szCs w:val="20"/>
        </w:rPr>
        <w:t>This strain of bacteria was activated in a liquid MRS medium for further experiments</w:t>
      </w:r>
      <w:r w:rsidRPr="000A161C">
        <w:rPr>
          <w:sz w:val="20"/>
          <w:szCs w:val="20"/>
          <w:lang w:val="en-US"/>
        </w:rPr>
        <w:t>.</w:t>
      </w:r>
    </w:p>
    <w:p w14:paraId="60DFF060" w14:textId="121E4E0C" w:rsidR="00215B41" w:rsidRPr="00530652" w:rsidRDefault="0019491C" w:rsidP="00B50909">
      <w:pPr>
        <w:ind w:left="567"/>
        <w:jc w:val="both"/>
        <w:rPr>
          <w:b/>
          <w:bCs/>
          <w:lang w:val="en-US"/>
        </w:rPr>
      </w:pPr>
      <w:r w:rsidRPr="00530652">
        <w:rPr>
          <w:b/>
          <w:bCs/>
          <w:lang w:val="en-US"/>
        </w:rPr>
        <w:t xml:space="preserve">2.2 </w:t>
      </w:r>
      <w:r w:rsidR="00215B41" w:rsidRPr="00530652">
        <w:rPr>
          <w:b/>
          <w:bCs/>
          <w:lang w:val="en-US"/>
        </w:rPr>
        <w:t xml:space="preserve">Effect of </w:t>
      </w:r>
      <w:r w:rsidR="008E6B60" w:rsidRPr="00530652">
        <w:rPr>
          <w:b/>
          <w:bCs/>
          <w:lang w:val="en-US"/>
        </w:rPr>
        <w:t>s</w:t>
      </w:r>
      <w:r w:rsidR="00215B41" w:rsidRPr="00530652">
        <w:rPr>
          <w:b/>
          <w:bCs/>
          <w:lang w:val="en-US"/>
        </w:rPr>
        <w:t xml:space="preserve">alt </w:t>
      </w:r>
      <w:r w:rsidR="008E6B60" w:rsidRPr="00530652">
        <w:rPr>
          <w:b/>
          <w:bCs/>
          <w:lang w:val="en-US"/>
        </w:rPr>
        <w:t>c</w:t>
      </w:r>
      <w:r w:rsidR="00215B41" w:rsidRPr="00530652">
        <w:rPr>
          <w:b/>
          <w:bCs/>
          <w:lang w:val="en-US"/>
        </w:rPr>
        <w:t xml:space="preserve">oncentration on </w:t>
      </w:r>
      <w:r w:rsidR="008E6B60" w:rsidRPr="00530652">
        <w:rPr>
          <w:b/>
          <w:bCs/>
          <w:lang w:val="en-US"/>
        </w:rPr>
        <w:t>b</w:t>
      </w:r>
      <w:r w:rsidR="00215B41" w:rsidRPr="00530652">
        <w:rPr>
          <w:b/>
          <w:bCs/>
          <w:lang w:val="en-US"/>
        </w:rPr>
        <w:t xml:space="preserve">acterial </w:t>
      </w:r>
      <w:r w:rsidR="008E6B60" w:rsidRPr="00530652">
        <w:rPr>
          <w:b/>
          <w:bCs/>
          <w:lang w:val="en-US"/>
        </w:rPr>
        <w:t>g</w:t>
      </w:r>
      <w:r w:rsidR="00215B41" w:rsidRPr="00530652">
        <w:rPr>
          <w:b/>
          <w:bCs/>
          <w:lang w:val="en-US"/>
        </w:rPr>
        <w:t>rowth</w:t>
      </w:r>
    </w:p>
    <w:p w14:paraId="73AD9200" w14:textId="58B342EC" w:rsidR="00215B41" w:rsidRPr="00530652" w:rsidRDefault="00AA76E0" w:rsidP="00B50909">
      <w:pPr>
        <w:ind w:left="567"/>
        <w:jc w:val="both"/>
        <w:rPr>
          <w:sz w:val="20"/>
          <w:szCs w:val="20"/>
          <w:lang w:val="en-US"/>
        </w:rPr>
      </w:pPr>
      <w:r w:rsidRPr="00530652">
        <w:rPr>
          <w:sz w:val="20"/>
          <w:szCs w:val="20"/>
          <w:lang w:val="en-US"/>
        </w:rPr>
        <w:t>The effects of salinity on growth were tested using MRS broth containing 0</w:t>
      </w:r>
      <w:r w:rsidR="00BE0F82" w:rsidRPr="00530652">
        <w:rPr>
          <w:sz w:val="20"/>
          <w:szCs w:val="20"/>
          <w:lang w:val="en-US"/>
        </w:rPr>
        <w:t xml:space="preserve"> - </w:t>
      </w:r>
      <w:r w:rsidRPr="00530652">
        <w:rPr>
          <w:sz w:val="20"/>
          <w:szCs w:val="20"/>
          <w:lang w:val="en-US"/>
        </w:rPr>
        <w:t>5% (w/v) NaCl. Each 50 mL culture flask was inoculated with 1% (v/v) activated culture (approximately 10</w:t>
      </w:r>
      <w:r w:rsidR="00BE0F82" w:rsidRPr="00530652">
        <w:rPr>
          <w:sz w:val="20"/>
          <w:szCs w:val="20"/>
          <w:lang w:val="en-US"/>
        </w:rPr>
        <w:t>8</w:t>
      </w:r>
      <w:r w:rsidRPr="00530652">
        <w:rPr>
          <w:sz w:val="20"/>
          <w:szCs w:val="20"/>
          <w:lang w:val="en-US"/>
        </w:rPr>
        <w:t xml:space="preserve"> CFU/mL) and incubated at </w:t>
      </w:r>
      <w:r w:rsidR="00BE0F82" w:rsidRPr="00530652">
        <w:rPr>
          <w:sz w:val="20"/>
          <w:szCs w:val="20"/>
          <w:lang w:val="en-US"/>
        </w:rPr>
        <w:t>room temperature (</w:t>
      </w:r>
      <w:r w:rsidRPr="00530652">
        <w:rPr>
          <w:sz w:val="20"/>
          <w:szCs w:val="20"/>
          <w:lang w:val="en-US"/>
        </w:rPr>
        <w:t>30°C</w:t>
      </w:r>
      <w:r w:rsidR="00BE0F82" w:rsidRPr="00530652">
        <w:rPr>
          <w:sz w:val="20"/>
          <w:szCs w:val="20"/>
          <w:lang w:val="en-US"/>
        </w:rPr>
        <w:t>)</w:t>
      </w:r>
      <w:r w:rsidRPr="00530652">
        <w:rPr>
          <w:sz w:val="20"/>
          <w:szCs w:val="20"/>
          <w:lang w:val="en-US"/>
        </w:rPr>
        <w:t xml:space="preserve"> for 24 hours at 150 rpm. Growth was measured using OD</w:t>
      </w:r>
      <w:r w:rsidRPr="00530652">
        <w:rPr>
          <w:rFonts w:ascii="Cambria Math" w:hAnsi="Cambria Math" w:cs="Cambria Math"/>
          <w:sz w:val="20"/>
          <w:szCs w:val="20"/>
          <w:lang w:val="en-US"/>
        </w:rPr>
        <w:t>₆₀₀</w:t>
      </w:r>
      <w:r w:rsidRPr="00530652">
        <w:rPr>
          <w:sz w:val="20"/>
          <w:szCs w:val="20"/>
          <w:lang w:val="en-US"/>
        </w:rPr>
        <w:t xml:space="preserve"> and by plating serial dilutions on MRS agar.</w:t>
      </w:r>
    </w:p>
    <w:p w14:paraId="1F141EA6" w14:textId="5E2CE4A4" w:rsidR="00AA76E0" w:rsidRPr="00530652" w:rsidRDefault="0019491C" w:rsidP="00CA3B20">
      <w:pPr>
        <w:ind w:left="567"/>
        <w:jc w:val="both"/>
        <w:rPr>
          <w:b/>
          <w:bCs/>
          <w:lang w:val="en-US"/>
        </w:rPr>
      </w:pPr>
      <w:r w:rsidRPr="00530652">
        <w:rPr>
          <w:b/>
          <w:bCs/>
          <w:lang w:val="en-US"/>
        </w:rPr>
        <w:t xml:space="preserve">2.3 </w:t>
      </w:r>
      <w:r w:rsidR="00AA76E0" w:rsidRPr="00530652">
        <w:rPr>
          <w:b/>
          <w:bCs/>
          <w:lang w:val="en-US"/>
        </w:rPr>
        <w:t xml:space="preserve">Wastewater </w:t>
      </w:r>
    </w:p>
    <w:p w14:paraId="44240FF3" w14:textId="623BC923" w:rsidR="00215B41" w:rsidRPr="004969F9" w:rsidRDefault="00AA76E0" w:rsidP="00B50909">
      <w:pPr>
        <w:ind w:left="567"/>
        <w:jc w:val="both"/>
        <w:rPr>
          <w:sz w:val="20"/>
          <w:szCs w:val="20"/>
          <w:highlight w:val="yellow"/>
          <w:lang w:val="en-US"/>
        </w:rPr>
      </w:pPr>
      <w:r w:rsidRPr="00530652">
        <w:rPr>
          <w:sz w:val="20"/>
          <w:szCs w:val="20"/>
          <w:lang w:val="en-US"/>
        </w:rPr>
        <w:t xml:space="preserve">Shrimp pond wastewater was collected from a sedimentation tank in Can </w:t>
      </w:r>
      <w:proofErr w:type="spellStart"/>
      <w:r w:rsidRPr="00530652">
        <w:rPr>
          <w:sz w:val="20"/>
          <w:szCs w:val="20"/>
          <w:lang w:val="en-US"/>
        </w:rPr>
        <w:t>Gio</w:t>
      </w:r>
      <w:proofErr w:type="spellEnd"/>
      <w:r w:rsidRPr="00530652">
        <w:rPr>
          <w:sz w:val="20"/>
          <w:szCs w:val="20"/>
          <w:lang w:val="en-US"/>
        </w:rPr>
        <w:t>, Ho Chi Minh City</w:t>
      </w:r>
      <w:r w:rsidR="00BE0F82" w:rsidRPr="00530652">
        <w:rPr>
          <w:sz w:val="20"/>
          <w:szCs w:val="20"/>
          <w:lang w:val="en-US"/>
        </w:rPr>
        <w:t>, Vietnam</w:t>
      </w:r>
      <w:r w:rsidRPr="00530652">
        <w:rPr>
          <w:sz w:val="20"/>
          <w:szCs w:val="20"/>
          <w:lang w:val="en-US"/>
        </w:rPr>
        <w:t xml:space="preserve"> (10°27'12.0"N, 106°47'00.6"E).</w:t>
      </w:r>
    </w:p>
    <w:p w14:paraId="3684B159" w14:textId="128E49E4" w:rsidR="00215B41" w:rsidRPr="002464DE" w:rsidRDefault="0019491C" w:rsidP="00CA3B20">
      <w:pPr>
        <w:ind w:left="567"/>
        <w:jc w:val="both"/>
        <w:rPr>
          <w:b/>
          <w:bCs/>
          <w:lang w:val="en-US"/>
        </w:rPr>
      </w:pPr>
      <w:r w:rsidRPr="002464DE">
        <w:rPr>
          <w:b/>
          <w:bCs/>
          <w:lang w:val="en-US"/>
        </w:rPr>
        <w:t xml:space="preserve">2.4 </w:t>
      </w:r>
      <w:r w:rsidR="00215B41" w:rsidRPr="002464DE">
        <w:rPr>
          <w:b/>
          <w:bCs/>
          <w:lang w:val="en-US"/>
        </w:rPr>
        <w:t xml:space="preserve">Determination of </w:t>
      </w:r>
      <w:r w:rsidR="00192293" w:rsidRPr="002464DE">
        <w:rPr>
          <w:b/>
          <w:bCs/>
        </w:rPr>
        <w:t>α</w:t>
      </w:r>
      <w:r w:rsidR="00192293" w:rsidRPr="002464DE">
        <w:rPr>
          <w:b/>
          <w:bCs/>
          <w:lang w:val="en-US"/>
        </w:rPr>
        <w:t>-a</w:t>
      </w:r>
      <w:r w:rsidR="00215B41" w:rsidRPr="002464DE">
        <w:rPr>
          <w:b/>
          <w:bCs/>
          <w:lang w:val="en-US"/>
        </w:rPr>
        <w:t xml:space="preserve">mylase </w:t>
      </w:r>
      <w:r w:rsidR="00192293" w:rsidRPr="002464DE">
        <w:rPr>
          <w:b/>
          <w:bCs/>
        </w:rPr>
        <w:t xml:space="preserve">and </w:t>
      </w:r>
      <w:r w:rsidR="00192293" w:rsidRPr="002464DE">
        <w:rPr>
          <w:b/>
          <w:bCs/>
          <w:lang w:val="en-US"/>
        </w:rPr>
        <w:t>p</w:t>
      </w:r>
      <w:r w:rsidR="00192293" w:rsidRPr="002464DE">
        <w:rPr>
          <w:b/>
          <w:bCs/>
        </w:rPr>
        <w:t>rotease</w:t>
      </w:r>
      <w:r w:rsidR="00192293" w:rsidRPr="002464DE">
        <w:rPr>
          <w:b/>
          <w:bCs/>
          <w:lang w:val="en-US"/>
        </w:rPr>
        <w:t xml:space="preserve"> a</w:t>
      </w:r>
      <w:r w:rsidR="00215B41" w:rsidRPr="002464DE">
        <w:rPr>
          <w:b/>
          <w:bCs/>
          <w:lang w:val="en-US"/>
        </w:rPr>
        <w:t>ctivity</w:t>
      </w:r>
      <w:r w:rsidR="00192293" w:rsidRPr="002464DE">
        <w:rPr>
          <w:b/>
          <w:bCs/>
          <w:lang w:val="en-US"/>
        </w:rPr>
        <w:t xml:space="preserve"> </w:t>
      </w:r>
    </w:p>
    <w:p w14:paraId="50AB0C92" w14:textId="2275302B" w:rsidR="00B44882" w:rsidRPr="007957BF" w:rsidRDefault="00B44882" w:rsidP="00E55D16">
      <w:pPr>
        <w:pStyle w:val="ListParagraph"/>
        <w:numPr>
          <w:ilvl w:val="0"/>
          <w:numId w:val="8"/>
        </w:numPr>
        <w:ind w:left="567" w:firstLine="0"/>
        <w:jc w:val="both"/>
        <w:rPr>
          <w:sz w:val="20"/>
          <w:szCs w:val="20"/>
          <w:lang w:val="en-US"/>
        </w:rPr>
      </w:pPr>
      <w:r w:rsidRPr="00B44882">
        <w:rPr>
          <w:sz w:val="20"/>
          <w:szCs w:val="20"/>
        </w:rPr>
        <w:t xml:space="preserve">α-amylase activity was determined by the starch-iodine test </w:t>
      </w:r>
      <w:r w:rsidR="002464DE">
        <w:rPr>
          <w:sz w:val="20"/>
          <w:szCs w:val="20"/>
          <w:lang w:val="en-US"/>
        </w:rPr>
        <w:t>a</w:t>
      </w:r>
      <w:r w:rsidR="002464DE" w:rsidRPr="002464DE">
        <w:rPr>
          <w:sz w:val="20"/>
          <w:szCs w:val="20"/>
        </w:rPr>
        <w:t>s described by Xiao et al. (2006)</w:t>
      </w:r>
      <w:r w:rsidRPr="00B44882">
        <w:rPr>
          <w:sz w:val="20"/>
          <w:szCs w:val="20"/>
        </w:rPr>
        <w:t xml:space="preserve">. The reaction is based on a reduction in the blue intensity of the starch-iodine complex when the starch is hydrolyzed into dextrin and maltose. Absorption is measured at a wavelength of 620 nm, and the absorption reduction is directly proportional to the activity of the enzyme. An active unit of the enzyme α-amylase (U/ml) is defined as the amount of the catalytic enzyme that decreases by 1 mg of the starch-iodine complex in </w:t>
      </w:r>
      <w:r>
        <w:rPr>
          <w:sz w:val="20"/>
          <w:szCs w:val="20"/>
          <w:lang w:val="en-US"/>
        </w:rPr>
        <w:t>1</w:t>
      </w:r>
      <w:r w:rsidRPr="00B44882">
        <w:rPr>
          <w:sz w:val="20"/>
          <w:szCs w:val="20"/>
        </w:rPr>
        <w:t xml:space="preserve"> minute</w:t>
      </w:r>
      <w:r w:rsidR="00783AE4">
        <w:rPr>
          <w:sz w:val="20"/>
          <w:szCs w:val="20"/>
          <w:lang w:val="en-US"/>
        </w:rPr>
        <w:t>.</w:t>
      </w:r>
    </w:p>
    <w:p w14:paraId="07773766" w14:textId="491E3BA3" w:rsidR="00B44882" w:rsidRPr="00212E51" w:rsidRDefault="00B44882" w:rsidP="006D1B04">
      <w:pPr>
        <w:pStyle w:val="ListParagraph"/>
        <w:numPr>
          <w:ilvl w:val="0"/>
          <w:numId w:val="8"/>
        </w:numPr>
        <w:ind w:left="567" w:firstLine="0"/>
        <w:jc w:val="both"/>
        <w:rPr>
          <w:sz w:val="20"/>
          <w:szCs w:val="20"/>
          <w:lang w:val="en-US"/>
        </w:rPr>
      </w:pPr>
      <w:r w:rsidRPr="00212E51">
        <w:rPr>
          <w:sz w:val="20"/>
          <w:szCs w:val="20"/>
        </w:rPr>
        <w:t xml:space="preserve">Protease activity was determined by hydrolysis of casein and Folin–Ciocalteu coloring based on the description by Hashmi et al. (2022). The reaction mixture consists of 5 mL of 0.65% casein solution in a 50 mM potassium phosphate buffer (pH 7.5), incubated at 37 °C for 5 </w:t>
      </w:r>
      <w:r w:rsidR="00F87090" w:rsidRPr="00212E51">
        <w:rPr>
          <w:sz w:val="20"/>
          <w:szCs w:val="20"/>
        </w:rPr>
        <w:t>minutes</w:t>
      </w:r>
      <w:r w:rsidR="00F87090" w:rsidRPr="00212E51">
        <w:rPr>
          <w:sz w:val="20"/>
          <w:szCs w:val="20"/>
          <w:lang w:val="en-US"/>
        </w:rPr>
        <w:t xml:space="preserve">, next </w:t>
      </w:r>
      <w:r w:rsidRPr="00212E51">
        <w:rPr>
          <w:sz w:val="20"/>
          <w:szCs w:val="20"/>
        </w:rPr>
        <w:t>adding 1 mL of coarse enzyme solution, and</w:t>
      </w:r>
      <w:r w:rsidR="00F87090" w:rsidRPr="00212E51">
        <w:rPr>
          <w:sz w:val="20"/>
          <w:szCs w:val="20"/>
          <w:lang w:val="en-US"/>
        </w:rPr>
        <w:t xml:space="preserve"> </w:t>
      </w:r>
      <w:r w:rsidR="00F87090" w:rsidRPr="00212E51">
        <w:rPr>
          <w:sz w:val="20"/>
          <w:szCs w:val="20"/>
        </w:rPr>
        <w:t xml:space="preserve"> incubated </w:t>
      </w:r>
      <w:r w:rsidR="00F87090" w:rsidRPr="00212E51">
        <w:rPr>
          <w:sz w:val="20"/>
          <w:szCs w:val="20"/>
          <w:lang w:val="en-US"/>
        </w:rPr>
        <w:t xml:space="preserve"> </w:t>
      </w:r>
      <w:r w:rsidR="00F87090" w:rsidRPr="00212E51">
        <w:rPr>
          <w:sz w:val="20"/>
          <w:szCs w:val="20"/>
        </w:rPr>
        <w:t>for another 10 minutes</w:t>
      </w:r>
      <w:r w:rsidRPr="00212E51">
        <w:rPr>
          <w:sz w:val="20"/>
          <w:szCs w:val="20"/>
        </w:rPr>
        <w:t>. The reaction was stopped by adding 5 mL of 110 mM TCA solution. After filtration, 2 mL of filtrate was mixed with 5 mL of Na</w:t>
      </w:r>
      <w:r w:rsidRPr="00212E51">
        <w:rPr>
          <w:rFonts w:ascii="Cambria Math" w:hAnsi="Cambria Math" w:cs="Cambria Math"/>
          <w:sz w:val="20"/>
          <w:szCs w:val="20"/>
        </w:rPr>
        <w:t>₂</w:t>
      </w:r>
      <w:r w:rsidRPr="00212E51">
        <w:rPr>
          <w:sz w:val="20"/>
          <w:szCs w:val="20"/>
        </w:rPr>
        <w:t>CO</w:t>
      </w:r>
      <w:r w:rsidRPr="00212E51">
        <w:rPr>
          <w:rFonts w:ascii="Cambria Math" w:hAnsi="Cambria Math" w:cs="Cambria Math"/>
          <w:sz w:val="20"/>
          <w:szCs w:val="20"/>
        </w:rPr>
        <w:t>₃</w:t>
      </w:r>
      <w:r w:rsidRPr="00212E51">
        <w:rPr>
          <w:sz w:val="20"/>
          <w:szCs w:val="20"/>
        </w:rPr>
        <w:t xml:space="preserve"> 500 mM and 1 mL of 0.5 mM Folin–Ciocalteu reagent, incubated at 37 °C for 30 minutes. Absorption is measured at a wavelength of 660 nm, and the amount of tyrosine released is determined from the reference line. An active unit of a protease enzyme (U/ml) is defined as the amount of the enzyme that catalyzes the conversion of casein to 1μmol of tyrosine in 1 minute</w:t>
      </w:r>
    </w:p>
    <w:p w14:paraId="58EF3E06" w14:textId="55F7B051" w:rsidR="00215B41" w:rsidRPr="004B53DE" w:rsidRDefault="0019491C" w:rsidP="00CA3B20">
      <w:pPr>
        <w:ind w:left="567"/>
        <w:jc w:val="both"/>
        <w:rPr>
          <w:b/>
          <w:bCs/>
          <w:lang w:val="en-US"/>
        </w:rPr>
      </w:pPr>
      <w:r w:rsidRPr="004B53DE">
        <w:rPr>
          <w:b/>
          <w:bCs/>
          <w:lang w:val="en-US"/>
        </w:rPr>
        <w:t>2.</w:t>
      </w:r>
      <w:r w:rsidR="00192293" w:rsidRPr="004B53DE">
        <w:rPr>
          <w:b/>
          <w:bCs/>
          <w:lang w:val="en-US"/>
        </w:rPr>
        <w:t>5</w:t>
      </w:r>
      <w:r w:rsidRPr="004B53DE">
        <w:rPr>
          <w:b/>
          <w:bCs/>
          <w:lang w:val="en-US"/>
        </w:rPr>
        <w:t xml:space="preserve"> </w:t>
      </w:r>
      <w:r w:rsidR="00215B41" w:rsidRPr="004B53DE">
        <w:rPr>
          <w:b/>
          <w:bCs/>
          <w:lang w:val="en-US"/>
        </w:rPr>
        <w:t xml:space="preserve">Wastewater </w:t>
      </w:r>
      <w:r w:rsidR="008E6B60" w:rsidRPr="004B53DE">
        <w:rPr>
          <w:b/>
          <w:bCs/>
          <w:lang w:val="en-US"/>
        </w:rPr>
        <w:t>b</w:t>
      </w:r>
      <w:r w:rsidR="00215B41" w:rsidRPr="004B53DE">
        <w:rPr>
          <w:b/>
          <w:bCs/>
          <w:lang w:val="en-US"/>
        </w:rPr>
        <w:t xml:space="preserve">ioremediation </w:t>
      </w:r>
      <w:r w:rsidR="008E6B60" w:rsidRPr="004B53DE">
        <w:rPr>
          <w:b/>
          <w:bCs/>
          <w:lang w:val="en-US"/>
        </w:rPr>
        <w:t>a</w:t>
      </w:r>
      <w:r w:rsidR="00215B41" w:rsidRPr="004B53DE">
        <w:rPr>
          <w:b/>
          <w:bCs/>
          <w:lang w:val="en-US"/>
        </w:rPr>
        <w:t>ssay</w:t>
      </w:r>
    </w:p>
    <w:p w14:paraId="3018C044" w14:textId="567F3303" w:rsidR="00215B41" w:rsidRPr="00221BE2" w:rsidRDefault="00AA76E0" w:rsidP="00CA3B20">
      <w:pPr>
        <w:ind w:left="567"/>
        <w:jc w:val="both"/>
        <w:rPr>
          <w:sz w:val="20"/>
          <w:szCs w:val="20"/>
          <w:lang w:val="en-US"/>
        </w:rPr>
      </w:pPr>
      <w:r w:rsidRPr="004B53DE">
        <w:rPr>
          <w:sz w:val="20"/>
          <w:szCs w:val="20"/>
          <w:lang w:val="en-US"/>
        </w:rPr>
        <w:t>To evaluate COD removal, 100 mL of wastewater (pH 7.8, COD 222 mgO</w:t>
      </w:r>
      <w:r w:rsidR="00AA1B45" w:rsidRPr="00D70ECE">
        <w:rPr>
          <w:sz w:val="20"/>
          <w:szCs w:val="20"/>
          <w:vertAlign w:val="subscript"/>
          <w:lang w:val="en-US"/>
        </w:rPr>
        <w:t>2</w:t>
      </w:r>
      <w:r w:rsidRPr="004B53DE">
        <w:rPr>
          <w:sz w:val="20"/>
          <w:szCs w:val="20"/>
          <w:lang w:val="en-US"/>
        </w:rPr>
        <w:t>/L, 2.2% NaCl) was inoculated with 10 mL of bacterial suspension (10⁸ CFU/mL). Controls received no bacteria.</w:t>
      </w:r>
      <w:r w:rsidRPr="00221BE2">
        <w:rPr>
          <w:sz w:val="20"/>
          <w:szCs w:val="20"/>
          <w:lang w:val="en-US"/>
        </w:rPr>
        <w:t xml:space="preserve"> Samples were incubated at </w:t>
      </w:r>
      <w:r w:rsidR="00AA1B45" w:rsidRPr="00221BE2">
        <w:rPr>
          <w:sz w:val="20"/>
          <w:szCs w:val="20"/>
          <w:lang w:val="en-US"/>
        </w:rPr>
        <w:t xml:space="preserve">room </w:t>
      </w:r>
      <w:r w:rsidR="00565F0C" w:rsidRPr="00221BE2">
        <w:rPr>
          <w:sz w:val="20"/>
          <w:szCs w:val="20"/>
          <w:lang w:val="en-US"/>
        </w:rPr>
        <w:t>temperature (</w:t>
      </w:r>
      <w:r w:rsidRPr="00221BE2">
        <w:rPr>
          <w:sz w:val="20"/>
          <w:szCs w:val="20"/>
          <w:lang w:val="en-US"/>
        </w:rPr>
        <w:t>30°C</w:t>
      </w:r>
      <w:r w:rsidR="00565F0C" w:rsidRPr="00221BE2">
        <w:rPr>
          <w:sz w:val="20"/>
          <w:szCs w:val="20"/>
          <w:lang w:val="en-US"/>
        </w:rPr>
        <w:t>)</w:t>
      </w:r>
      <w:r w:rsidRPr="00221BE2">
        <w:rPr>
          <w:sz w:val="20"/>
          <w:szCs w:val="20"/>
          <w:lang w:val="en-US"/>
        </w:rPr>
        <w:t>, 150 rpm, and analyzed at 0, 24, 48, and 72 hours.</w:t>
      </w:r>
      <w:r w:rsidR="00CA3B20">
        <w:rPr>
          <w:sz w:val="20"/>
          <w:szCs w:val="20"/>
          <w:lang w:val="en-US"/>
        </w:rPr>
        <w:t xml:space="preserve"> </w:t>
      </w:r>
      <w:r w:rsidR="00215B41" w:rsidRPr="00221BE2">
        <w:rPr>
          <w:sz w:val="20"/>
          <w:szCs w:val="20"/>
          <w:lang w:val="en-US"/>
        </w:rPr>
        <w:t>Samples were collected at 0, 24, 48, and 72 h for analysis of COD, pH, and bacterial count according to APHA (2005). Reductions in pollutant concentrations were calculated relative to the control.</w:t>
      </w:r>
    </w:p>
    <w:p w14:paraId="4094BC75" w14:textId="59580AE0" w:rsidR="00215B41" w:rsidRPr="00B029DB" w:rsidRDefault="0019491C" w:rsidP="00CA3B20">
      <w:pPr>
        <w:ind w:left="567"/>
        <w:jc w:val="both"/>
        <w:rPr>
          <w:b/>
          <w:bCs/>
          <w:lang w:val="en-US"/>
        </w:rPr>
      </w:pPr>
      <w:r>
        <w:rPr>
          <w:b/>
          <w:bCs/>
          <w:lang w:val="en-US"/>
        </w:rPr>
        <w:lastRenderedPageBreak/>
        <w:t>2.</w:t>
      </w:r>
      <w:r w:rsidR="00192293">
        <w:rPr>
          <w:b/>
          <w:bCs/>
          <w:lang w:val="en-US"/>
        </w:rPr>
        <w:t>6</w:t>
      </w:r>
      <w:r>
        <w:rPr>
          <w:b/>
          <w:bCs/>
          <w:lang w:val="en-US"/>
        </w:rPr>
        <w:t xml:space="preserve"> </w:t>
      </w:r>
      <w:r w:rsidR="00215B41" w:rsidRPr="00B029DB">
        <w:rPr>
          <w:b/>
          <w:bCs/>
          <w:lang w:val="en-US"/>
        </w:rPr>
        <w:t xml:space="preserve">Statistical </w:t>
      </w:r>
      <w:r w:rsidR="008E6B60">
        <w:rPr>
          <w:b/>
          <w:bCs/>
          <w:lang w:val="en-US"/>
        </w:rPr>
        <w:t>a</w:t>
      </w:r>
      <w:r w:rsidR="00215B41" w:rsidRPr="00B029DB">
        <w:rPr>
          <w:b/>
          <w:bCs/>
          <w:lang w:val="en-US"/>
        </w:rPr>
        <w:t>nalysis</w:t>
      </w:r>
    </w:p>
    <w:p w14:paraId="74AD265A" w14:textId="1AB77BE2" w:rsidR="00565F0C" w:rsidRPr="00221BE2" w:rsidRDefault="00565F0C" w:rsidP="00CA3B20">
      <w:pPr>
        <w:ind w:left="567"/>
        <w:jc w:val="both"/>
        <w:rPr>
          <w:sz w:val="20"/>
          <w:szCs w:val="20"/>
          <w:lang w:val="en-US"/>
        </w:rPr>
      </w:pPr>
      <w:r w:rsidRPr="00221BE2">
        <w:rPr>
          <w:sz w:val="20"/>
          <w:szCs w:val="20"/>
          <w:lang w:val="en-US"/>
        </w:rPr>
        <w:t>All experiments were conducted in triplicate. Data were analyzed using ANOVA, Tukey’s HSD test, and linear regression. Analyses were performed using Microsoft Office Excel 365 and Minitab 22</w:t>
      </w:r>
    </w:p>
    <w:p w14:paraId="3D2F6F91" w14:textId="2816C5B5" w:rsidR="00215B41" w:rsidRPr="00896137" w:rsidRDefault="00215B41" w:rsidP="004E4DBC">
      <w:pPr>
        <w:pStyle w:val="ListParagraph"/>
        <w:numPr>
          <w:ilvl w:val="0"/>
          <w:numId w:val="6"/>
        </w:numPr>
        <w:spacing w:before="120"/>
        <w:ind w:left="924" w:hanging="357"/>
        <w:jc w:val="both"/>
        <w:rPr>
          <w:b/>
          <w:bCs/>
          <w:sz w:val="24"/>
          <w:szCs w:val="24"/>
          <w:lang w:val="en-US"/>
        </w:rPr>
      </w:pPr>
      <w:r w:rsidRPr="00F35F98">
        <w:rPr>
          <w:b/>
          <w:bCs/>
          <w:lang w:val="en-US"/>
        </w:rPr>
        <w:t>RESULTS</w:t>
      </w:r>
      <w:r w:rsidRPr="00896137">
        <w:rPr>
          <w:b/>
          <w:bCs/>
          <w:sz w:val="24"/>
          <w:szCs w:val="24"/>
          <w:lang w:val="en-US"/>
        </w:rPr>
        <w:t xml:space="preserve"> </w:t>
      </w:r>
      <w:r w:rsidR="00F40A91">
        <w:rPr>
          <w:b/>
          <w:bCs/>
          <w:sz w:val="24"/>
          <w:szCs w:val="24"/>
          <w:lang w:val="en-US"/>
        </w:rPr>
        <w:t>AND DISCUSSION</w:t>
      </w:r>
    </w:p>
    <w:p w14:paraId="5FD7E231" w14:textId="3A991AF2" w:rsidR="00215B41" w:rsidRPr="00B535CD" w:rsidRDefault="0019491C" w:rsidP="00CA3B20">
      <w:pPr>
        <w:ind w:left="567"/>
        <w:jc w:val="both"/>
        <w:rPr>
          <w:b/>
          <w:bCs/>
          <w:lang w:val="en-US"/>
        </w:rPr>
      </w:pPr>
      <w:r>
        <w:rPr>
          <w:b/>
          <w:bCs/>
          <w:lang w:val="en-US"/>
        </w:rPr>
        <w:t xml:space="preserve">3.1 </w:t>
      </w:r>
      <w:r w:rsidR="00215B41" w:rsidRPr="00B535CD">
        <w:rPr>
          <w:b/>
          <w:bCs/>
          <w:lang w:val="en-US"/>
        </w:rPr>
        <w:t xml:space="preserve">Effect of salt concentration (NaCl) on the growth of </w:t>
      </w:r>
      <w:r w:rsidR="00215B41" w:rsidRPr="00CA3B20">
        <w:rPr>
          <w:b/>
          <w:bCs/>
          <w:i/>
          <w:iCs/>
          <w:lang w:val="en-US"/>
        </w:rPr>
        <w:t xml:space="preserve">Bacillus </w:t>
      </w:r>
      <w:proofErr w:type="spellStart"/>
      <w:r w:rsidR="00215B41" w:rsidRPr="00CA3B20">
        <w:rPr>
          <w:b/>
          <w:bCs/>
          <w:i/>
          <w:iCs/>
          <w:lang w:val="en-US"/>
        </w:rPr>
        <w:t>coagulans</w:t>
      </w:r>
      <w:proofErr w:type="spellEnd"/>
    </w:p>
    <w:p w14:paraId="7DD3280E" w14:textId="206D7FF7" w:rsidR="008F4BE4" w:rsidRPr="00B82DCB" w:rsidRDefault="008F4BE4" w:rsidP="00CA3B20">
      <w:pPr>
        <w:ind w:left="567"/>
        <w:jc w:val="both"/>
        <w:rPr>
          <w:sz w:val="20"/>
          <w:szCs w:val="20"/>
          <w:lang w:val="en-US"/>
        </w:rPr>
      </w:pPr>
      <w:r w:rsidRPr="00B82DCB">
        <w:rPr>
          <w:sz w:val="20"/>
          <w:szCs w:val="20"/>
          <w:lang w:val="en-US"/>
        </w:rPr>
        <w:t xml:space="preserve">Growth decreased progressively as NaCl increased from 0% to 5%. Viable counts declined from 10^7.73 CFU/mL under non-saline conditions to below 10^7 CFU/mL at ≥3% NaCl (Figure 1). </w:t>
      </w:r>
    </w:p>
    <w:p w14:paraId="363A6947" w14:textId="77777777" w:rsidR="00215B41" w:rsidRPr="00896137" w:rsidRDefault="00215B41" w:rsidP="00247AE0">
      <w:pPr>
        <w:spacing w:before="121"/>
        <w:ind w:left="567" w:right="291"/>
        <w:jc w:val="center"/>
        <w:rPr>
          <w:sz w:val="24"/>
          <w:szCs w:val="24"/>
          <w:lang w:val="en-US"/>
        </w:rPr>
      </w:pPr>
      <w:r w:rsidRPr="00896137">
        <w:rPr>
          <w:noProof/>
        </w:rPr>
        <w:drawing>
          <wp:inline distT="0" distB="0" distL="0" distR="0" wp14:anchorId="6F1D9B52" wp14:editId="619C8159">
            <wp:extent cx="5181600" cy="1991932"/>
            <wp:effectExtent l="0" t="0" r="0" b="8890"/>
            <wp:docPr id="1571945131" name="Chart 1">
              <a:extLst xmlns:a="http://schemas.openxmlformats.org/drawingml/2006/main">
                <a:ext uri="{FF2B5EF4-FFF2-40B4-BE49-F238E27FC236}">
                  <a16:creationId xmlns:a16="http://schemas.microsoft.com/office/drawing/2014/main" id="{6A2DED8B-A234-14E0-C9F2-81515CD0A7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9E5A2EE" w14:textId="77777777" w:rsidR="00215B41" w:rsidRPr="00D338C2" w:rsidRDefault="00215B41" w:rsidP="00CA3B20">
      <w:pPr>
        <w:ind w:left="567"/>
        <w:jc w:val="both"/>
        <w:rPr>
          <w:sz w:val="20"/>
          <w:szCs w:val="20"/>
          <w:lang w:val="en-US"/>
        </w:rPr>
      </w:pPr>
      <w:r w:rsidRPr="00CA3B20">
        <w:rPr>
          <w:b/>
          <w:bCs/>
          <w:sz w:val="20"/>
          <w:szCs w:val="20"/>
          <w:lang w:val="en-US"/>
        </w:rPr>
        <w:t>Figure 1.</w:t>
      </w:r>
      <w:r w:rsidRPr="00D338C2">
        <w:rPr>
          <w:sz w:val="20"/>
          <w:szCs w:val="20"/>
          <w:lang w:val="en-US"/>
        </w:rPr>
        <w:t xml:space="preserve"> Effect of salt concentration (NaCl) on the growth of </w:t>
      </w:r>
      <w:r w:rsidRPr="00D70ECE">
        <w:rPr>
          <w:i/>
          <w:iCs/>
          <w:sz w:val="20"/>
          <w:szCs w:val="20"/>
          <w:lang w:val="en-US"/>
        </w:rPr>
        <w:t xml:space="preserve">B. </w:t>
      </w:r>
      <w:proofErr w:type="spellStart"/>
      <w:r w:rsidRPr="00D70ECE">
        <w:rPr>
          <w:i/>
          <w:iCs/>
          <w:sz w:val="20"/>
          <w:szCs w:val="20"/>
          <w:lang w:val="en-US"/>
        </w:rPr>
        <w:t>coagulans</w:t>
      </w:r>
      <w:proofErr w:type="spellEnd"/>
      <w:r w:rsidRPr="00D338C2">
        <w:rPr>
          <w:sz w:val="20"/>
          <w:szCs w:val="20"/>
          <w:lang w:val="en-US"/>
        </w:rPr>
        <w:t xml:space="preserve"> after 24 hours of culture.</w:t>
      </w:r>
    </w:p>
    <w:p w14:paraId="55905415" w14:textId="06F17D94" w:rsidR="00215B41" w:rsidRPr="006D01FB" w:rsidRDefault="008F4BE4" w:rsidP="006D01FB">
      <w:pPr>
        <w:ind w:left="567"/>
        <w:jc w:val="both"/>
        <w:rPr>
          <w:sz w:val="20"/>
          <w:szCs w:val="20"/>
          <w:lang w:val="en-US"/>
        </w:rPr>
      </w:pPr>
      <w:r w:rsidRPr="00D338C2">
        <w:rPr>
          <w:sz w:val="20"/>
          <w:szCs w:val="20"/>
          <w:lang w:val="en-US"/>
        </w:rPr>
        <w:t>ANOVA revealed significant differences among salinity levels (</w:t>
      </w:r>
      <w:proofErr w:type="gramStart"/>
      <w:r w:rsidRPr="00D338C2">
        <w:rPr>
          <w:sz w:val="20"/>
          <w:szCs w:val="20"/>
          <w:lang w:val="en-US"/>
        </w:rPr>
        <w:t>F(</w:t>
      </w:r>
      <w:proofErr w:type="gramEnd"/>
      <w:r w:rsidRPr="00D338C2">
        <w:rPr>
          <w:sz w:val="20"/>
          <w:szCs w:val="20"/>
          <w:lang w:val="en-US"/>
        </w:rPr>
        <w:t xml:space="preserve">10,44) = 82.99, </w:t>
      </w:r>
      <w:r w:rsidR="002049D9" w:rsidRPr="002049D9">
        <w:rPr>
          <w:i/>
          <w:iCs/>
          <w:sz w:val="20"/>
          <w:szCs w:val="20"/>
          <w:lang w:val="en-US"/>
        </w:rPr>
        <w:t>P</w:t>
      </w:r>
      <w:r w:rsidRPr="00D338C2">
        <w:rPr>
          <w:sz w:val="20"/>
          <w:szCs w:val="20"/>
          <w:lang w:val="en-US"/>
        </w:rPr>
        <w:t xml:space="preserve"> &lt; 0.05). </w:t>
      </w:r>
      <w:r w:rsidR="006D01FB" w:rsidRPr="006D01FB">
        <w:rPr>
          <w:sz w:val="20"/>
          <w:szCs w:val="20"/>
        </w:rPr>
        <w:t xml:space="preserve">When analyzed by the linear regression model, the higher the salt concentration, the lower the bacterial density, with (R² = 0.9476). </w:t>
      </w:r>
    </w:p>
    <w:p w14:paraId="1357B9FA" w14:textId="48493FB1" w:rsidR="00DA2DA4" w:rsidRDefault="001C03E8" w:rsidP="007445DC">
      <w:pPr>
        <w:ind w:left="567"/>
        <w:jc w:val="both"/>
        <w:rPr>
          <w:sz w:val="20"/>
          <w:szCs w:val="20"/>
          <w:lang w:val="en-US"/>
        </w:rPr>
      </w:pPr>
      <w:r w:rsidRPr="003B2BE1">
        <w:rPr>
          <w:sz w:val="20"/>
          <w:szCs w:val="20"/>
          <w:lang w:val="en-US"/>
        </w:rPr>
        <w:t xml:space="preserve">The gradual reduction in viable counts with increasing NaCl concentrations confirms that </w:t>
      </w:r>
      <w:r w:rsidRPr="000C4A54">
        <w:rPr>
          <w:i/>
          <w:iCs/>
          <w:sz w:val="20"/>
          <w:szCs w:val="20"/>
          <w:lang w:val="en-US"/>
        </w:rPr>
        <w:t xml:space="preserve">B. </w:t>
      </w:r>
      <w:proofErr w:type="spellStart"/>
      <w:r w:rsidRPr="000C4A54">
        <w:rPr>
          <w:i/>
          <w:iCs/>
          <w:sz w:val="20"/>
          <w:szCs w:val="20"/>
          <w:lang w:val="en-US"/>
        </w:rPr>
        <w:t>coagulans</w:t>
      </w:r>
      <w:proofErr w:type="spellEnd"/>
      <w:r w:rsidRPr="003B2BE1">
        <w:rPr>
          <w:sz w:val="20"/>
          <w:szCs w:val="20"/>
          <w:lang w:val="en-US"/>
        </w:rPr>
        <w:t xml:space="preserve"> tolerates salt only to a moderate extent. The decline in cell density-approximately 0.18 log10 CFU/mL for each 1% increase in NaCl-aligns with observations from earlier reports showing that </w:t>
      </w:r>
      <w:r w:rsidRPr="000C4A54">
        <w:rPr>
          <w:i/>
          <w:iCs/>
          <w:sz w:val="20"/>
          <w:szCs w:val="20"/>
          <w:lang w:val="en-US"/>
        </w:rPr>
        <w:t xml:space="preserve">B. </w:t>
      </w:r>
      <w:proofErr w:type="spellStart"/>
      <w:r w:rsidRPr="000C4A54">
        <w:rPr>
          <w:i/>
          <w:iCs/>
          <w:sz w:val="20"/>
          <w:szCs w:val="20"/>
          <w:lang w:val="en-US"/>
        </w:rPr>
        <w:t>coagulans</w:t>
      </w:r>
      <w:proofErr w:type="spellEnd"/>
      <w:r w:rsidRPr="003B2BE1">
        <w:rPr>
          <w:sz w:val="20"/>
          <w:szCs w:val="20"/>
          <w:lang w:val="en-US"/>
        </w:rPr>
        <w:t xml:space="preserve"> (</w:t>
      </w:r>
      <w:proofErr w:type="spellStart"/>
      <w:r w:rsidRPr="000C4A54">
        <w:rPr>
          <w:i/>
          <w:iCs/>
          <w:sz w:val="20"/>
          <w:szCs w:val="20"/>
          <w:lang w:val="en-US"/>
        </w:rPr>
        <w:t>Weizmannia</w:t>
      </w:r>
      <w:proofErr w:type="spellEnd"/>
      <w:r w:rsidRPr="000C4A54">
        <w:rPr>
          <w:i/>
          <w:iCs/>
          <w:sz w:val="20"/>
          <w:szCs w:val="20"/>
          <w:lang w:val="en-US"/>
        </w:rPr>
        <w:t xml:space="preserve"> </w:t>
      </w:r>
      <w:proofErr w:type="spellStart"/>
      <w:r w:rsidRPr="000C4A54">
        <w:rPr>
          <w:i/>
          <w:iCs/>
          <w:sz w:val="20"/>
          <w:szCs w:val="20"/>
          <w:lang w:val="en-US"/>
        </w:rPr>
        <w:t>coagulans</w:t>
      </w:r>
      <w:proofErr w:type="spellEnd"/>
      <w:r w:rsidRPr="003B2BE1">
        <w:rPr>
          <w:sz w:val="20"/>
          <w:szCs w:val="20"/>
          <w:lang w:val="en-US"/>
        </w:rPr>
        <w:t xml:space="preserve">) becomes increasingly sensitive to osmotic stress above 3% NaCl, particularly in strains lacking efficient </w:t>
      </w:r>
      <w:proofErr w:type="spellStart"/>
      <w:r w:rsidRPr="003B2BE1">
        <w:rPr>
          <w:sz w:val="20"/>
          <w:szCs w:val="20"/>
          <w:lang w:val="en-US"/>
        </w:rPr>
        <w:t>Opu</w:t>
      </w:r>
      <w:proofErr w:type="spellEnd"/>
      <w:r w:rsidRPr="003B2BE1">
        <w:rPr>
          <w:sz w:val="20"/>
          <w:szCs w:val="20"/>
          <w:lang w:val="en-US"/>
        </w:rPr>
        <w:t xml:space="preserve"> </w:t>
      </w:r>
      <w:proofErr w:type="spellStart"/>
      <w:r w:rsidRPr="003B2BE1">
        <w:rPr>
          <w:sz w:val="20"/>
          <w:szCs w:val="20"/>
          <w:lang w:val="en-US"/>
        </w:rPr>
        <w:t>osmoprotectant</w:t>
      </w:r>
      <w:proofErr w:type="spellEnd"/>
      <w:r w:rsidRPr="003B2BE1">
        <w:rPr>
          <w:sz w:val="20"/>
          <w:szCs w:val="20"/>
          <w:lang w:val="en-US"/>
        </w:rPr>
        <w:t xml:space="preserve"> systems (Kim et al., 2024). </w:t>
      </w:r>
      <w:r w:rsidR="00DA2DA4">
        <w:rPr>
          <w:sz w:val="20"/>
          <w:szCs w:val="20"/>
          <w:lang w:val="en-US"/>
        </w:rPr>
        <w:t>Other</w:t>
      </w:r>
      <w:r w:rsidR="00DA2DA4" w:rsidRPr="00DA2DA4">
        <w:rPr>
          <w:sz w:val="20"/>
          <w:szCs w:val="20"/>
        </w:rPr>
        <w:t xml:space="preserve"> studies have shown that in many species of </w:t>
      </w:r>
      <w:r w:rsidR="00DA2DA4" w:rsidRPr="00D70ECE">
        <w:rPr>
          <w:i/>
          <w:iCs/>
          <w:sz w:val="20"/>
          <w:szCs w:val="20"/>
        </w:rPr>
        <w:t>Bacillus</w:t>
      </w:r>
      <w:r w:rsidR="00DA2DA4" w:rsidRPr="00DA2DA4">
        <w:rPr>
          <w:sz w:val="20"/>
          <w:szCs w:val="20"/>
        </w:rPr>
        <w:t xml:space="preserve"> that do not live in seawater environments, growth rates are often shown to slow down when osmotic pressure disrupts turgor pressure and protein synthesis (Singh et al., 2016; Patel et al., 2019; Csonka, 1989; Sleator &amp; Hill, 2002).</w:t>
      </w:r>
    </w:p>
    <w:p w14:paraId="1CF692E8" w14:textId="37EF2FC0" w:rsidR="00215B41" w:rsidRPr="00B535CD" w:rsidRDefault="0019491C" w:rsidP="00CA3B20">
      <w:pPr>
        <w:ind w:left="567"/>
        <w:jc w:val="both"/>
        <w:rPr>
          <w:b/>
          <w:bCs/>
          <w:lang w:val="en-US"/>
        </w:rPr>
      </w:pPr>
      <w:r>
        <w:rPr>
          <w:b/>
          <w:bCs/>
          <w:lang w:val="en-US"/>
        </w:rPr>
        <w:t xml:space="preserve">3.2 </w:t>
      </w:r>
      <w:r w:rsidR="00215B41" w:rsidRPr="00B535CD">
        <w:rPr>
          <w:b/>
          <w:bCs/>
          <w:lang w:val="en-US"/>
        </w:rPr>
        <w:t xml:space="preserve">Effect of </w:t>
      </w:r>
      <w:r w:rsidR="001C03E8">
        <w:rPr>
          <w:b/>
          <w:bCs/>
          <w:lang w:val="en-US"/>
        </w:rPr>
        <w:t>s</w:t>
      </w:r>
      <w:r w:rsidR="00215B41" w:rsidRPr="00B535CD">
        <w:rPr>
          <w:b/>
          <w:bCs/>
          <w:lang w:val="en-US"/>
        </w:rPr>
        <w:t xml:space="preserve">alt </w:t>
      </w:r>
      <w:r w:rsidR="001C03E8">
        <w:rPr>
          <w:b/>
          <w:bCs/>
          <w:lang w:val="en-US"/>
        </w:rPr>
        <w:t>c</w:t>
      </w:r>
      <w:r w:rsidR="00215B41" w:rsidRPr="00B535CD">
        <w:rPr>
          <w:b/>
          <w:bCs/>
          <w:lang w:val="en-US"/>
        </w:rPr>
        <w:t xml:space="preserve">oncentration on </w:t>
      </w:r>
      <w:r w:rsidR="007F5842" w:rsidRPr="00B535CD">
        <w:rPr>
          <w:b/>
          <w:bCs/>
          <w:lang w:val="en-US"/>
        </w:rPr>
        <w:t>α-</w:t>
      </w:r>
      <w:r w:rsidR="001C03E8">
        <w:rPr>
          <w:b/>
          <w:bCs/>
          <w:lang w:val="en-US"/>
        </w:rPr>
        <w:t>a</w:t>
      </w:r>
      <w:r w:rsidR="00215B41" w:rsidRPr="00B535CD">
        <w:rPr>
          <w:b/>
          <w:bCs/>
          <w:lang w:val="en-US"/>
        </w:rPr>
        <w:t xml:space="preserve">mylase </w:t>
      </w:r>
      <w:r w:rsidR="001C03E8">
        <w:rPr>
          <w:b/>
          <w:bCs/>
          <w:lang w:val="en-US"/>
        </w:rPr>
        <w:t>and protease p</w:t>
      </w:r>
      <w:r w:rsidR="00215B41" w:rsidRPr="00B535CD">
        <w:rPr>
          <w:b/>
          <w:bCs/>
          <w:lang w:val="en-US"/>
        </w:rPr>
        <w:t>roduction</w:t>
      </w:r>
    </w:p>
    <w:p w14:paraId="3A6E89A0" w14:textId="17E56E71" w:rsidR="00215B41" w:rsidRPr="003B2BE1" w:rsidRDefault="00D315DC" w:rsidP="00CA3B20">
      <w:pPr>
        <w:ind w:left="567"/>
        <w:jc w:val="both"/>
        <w:rPr>
          <w:sz w:val="20"/>
          <w:szCs w:val="20"/>
          <w:lang w:val="en-US"/>
        </w:rPr>
      </w:pPr>
      <w:r w:rsidRPr="003B2BE1">
        <w:rPr>
          <w:sz w:val="20"/>
          <w:szCs w:val="20"/>
          <w:lang w:val="en-US"/>
        </w:rPr>
        <w:t>α-a</w:t>
      </w:r>
      <w:r w:rsidR="007F5842" w:rsidRPr="003B2BE1">
        <w:rPr>
          <w:sz w:val="20"/>
          <w:szCs w:val="20"/>
          <w:lang w:val="en-US"/>
        </w:rPr>
        <w:t>mylase activity showed a clear dependence on NaCl concentration. The highest levels were recorded at 0</w:t>
      </w:r>
      <w:r w:rsidR="00FF1F12" w:rsidRPr="003B2BE1">
        <w:rPr>
          <w:sz w:val="20"/>
          <w:szCs w:val="20"/>
          <w:lang w:val="en-US"/>
        </w:rPr>
        <w:t xml:space="preserve"> - </w:t>
      </w:r>
      <w:r w:rsidR="007F5842" w:rsidRPr="003B2BE1">
        <w:rPr>
          <w:sz w:val="20"/>
          <w:szCs w:val="20"/>
          <w:lang w:val="en-US"/>
        </w:rPr>
        <w:t>0.5% NaCl (13.4</w:t>
      </w:r>
      <w:r w:rsidR="00FF1F12" w:rsidRPr="003B2BE1">
        <w:rPr>
          <w:sz w:val="20"/>
          <w:szCs w:val="20"/>
          <w:lang w:val="en-US"/>
        </w:rPr>
        <w:t xml:space="preserve"> - </w:t>
      </w:r>
      <w:r w:rsidR="007F5842" w:rsidRPr="003B2BE1">
        <w:rPr>
          <w:sz w:val="20"/>
          <w:szCs w:val="20"/>
          <w:lang w:val="en-US"/>
        </w:rPr>
        <w:t xml:space="preserve">13.6 U/mL). Enzyme activity declined gradually between 1.0% and 2.5% NaCl, and the reduction became much more pronounced at salt concentrations of 3% or higher. At 5% NaCl, </w:t>
      </w:r>
      <w:r w:rsidRPr="003B2BE1">
        <w:rPr>
          <w:sz w:val="20"/>
          <w:szCs w:val="20"/>
          <w:lang w:val="en-US"/>
        </w:rPr>
        <w:t>α-</w:t>
      </w:r>
      <w:r w:rsidR="007F5842" w:rsidRPr="003B2BE1">
        <w:rPr>
          <w:sz w:val="20"/>
          <w:szCs w:val="20"/>
          <w:lang w:val="en-US"/>
        </w:rPr>
        <w:t>amylase activity fell to only 1.37 U/mL</w:t>
      </w:r>
    </w:p>
    <w:p w14:paraId="3DA29392" w14:textId="77777777" w:rsidR="00215B41" w:rsidRPr="00896137" w:rsidRDefault="00215B41" w:rsidP="001F226A">
      <w:pPr>
        <w:pStyle w:val="ListParagraph"/>
        <w:spacing w:before="121"/>
        <w:ind w:left="567" w:right="291"/>
        <w:jc w:val="center"/>
        <w:rPr>
          <w:sz w:val="24"/>
          <w:szCs w:val="24"/>
          <w:lang w:val="en-US"/>
        </w:rPr>
      </w:pPr>
      <w:r w:rsidRPr="00896137">
        <w:rPr>
          <w:noProof/>
        </w:rPr>
        <w:lastRenderedPageBreak/>
        <w:drawing>
          <wp:inline distT="0" distB="0" distL="0" distR="0" wp14:anchorId="71A42881" wp14:editId="4C481277">
            <wp:extent cx="5215890" cy="1867436"/>
            <wp:effectExtent l="0" t="0" r="3810" b="0"/>
            <wp:docPr id="1577686877" name="Chart 1">
              <a:extLst xmlns:a="http://schemas.openxmlformats.org/drawingml/2006/main">
                <a:ext uri="{FF2B5EF4-FFF2-40B4-BE49-F238E27FC236}">
                  <a16:creationId xmlns:a16="http://schemas.microsoft.com/office/drawing/2014/main" id="{1722336B-1ED5-7EFF-39FD-AB75EEDE32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10416B7" w14:textId="502C77E5" w:rsidR="00215B41" w:rsidRPr="001F226A" w:rsidRDefault="00215B41" w:rsidP="00CA3B20">
      <w:pPr>
        <w:ind w:left="567"/>
        <w:jc w:val="both"/>
        <w:rPr>
          <w:sz w:val="20"/>
          <w:szCs w:val="20"/>
          <w:lang w:val="en-US"/>
        </w:rPr>
      </w:pPr>
      <w:r w:rsidRPr="001F226A">
        <w:rPr>
          <w:b/>
          <w:bCs/>
          <w:sz w:val="20"/>
          <w:szCs w:val="20"/>
        </w:rPr>
        <w:t xml:space="preserve">Figure </w:t>
      </w:r>
      <w:r w:rsidRPr="001F226A">
        <w:rPr>
          <w:b/>
          <w:bCs/>
          <w:sz w:val="20"/>
          <w:szCs w:val="20"/>
          <w:lang w:val="en-US"/>
        </w:rPr>
        <w:t>2</w:t>
      </w:r>
      <w:r w:rsidRPr="001F226A">
        <w:rPr>
          <w:b/>
          <w:bCs/>
          <w:sz w:val="20"/>
          <w:szCs w:val="20"/>
        </w:rPr>
        <w:t>.</w:t>
      </w:r>
      <w:r w:rsidRPr="001F226A">
        <w:rPr>
          <w:sz w:val="20"/>
          <w:szCs w:val="20"/>
        </w:rPr>
        <w:t xml:space="preserve"> Effect of </w:t>
      </w:r>
      <w:r w:rsidRPr="001F226A">
        <w:rPr>
          <w:sz w:val="20"/>
          <w:szCs w:val="20"/>
          <w:lang w:val="en-US"/>
        </w:rPr>
        <w:t>NaCl</w:t>
      </w:r>
      <w:r w:rsidRPr="001F226A">
        <w:rPr>
          <w:sz w:val="20"/>
          <w:szCs w:val="20"/>
        </w:rPr>
        <w:t xml:space="preserve"> concentration on </w:t>
      </w:r>
      <w:r w:rsidR="00D315DC" w:rsidRPr="001F226A">
        <w:rPr>
          <w:sz w:val="20"/>
          <w:szCs w:val="20"/>
        </w:rPr>
        <w:t>α</w:t>
      </w:r>
      <w:r w:rsidR="00D315DC" w:rsidRPr="001F226A">
        <w:rPr>
          <w:sz w:val="20"/>
          <w:szCs w:val="20"/>
          <w:lang w:val="en-US"/>
        </w:rPr>
        <w:t>-</w:t>
      </w:r>
      <w:r w:rsidRPr="001F226A">
        <w:rPr>
          <w:sz w:val="20"/>
          <w:szCs w:val="20"/>
        </w:rPr>
        <w:t xml:space="preserve">amylase activity of </w:t>
      </w:r>
      <w:r w:rsidRPr="001F226A">
        <w:rPr>
          <w:i/>
          <w:iCs/>
          <w:sz w:val="20"/>
          <w:szCs w:val="20"/>
        </w:rPr>
        <w:t>B</w:t>
      </w:r>
      <w:r w:rsidRPr="001F226A">
        <w:rPr>
          <w:i/>
          <w:iCs/>
          <w:sz w:val="20"/>
          <w:szCs w:val="20"/>
          <w:lang w:val="en-US"/>
        </w:rPr>
        <w:t>.</w:t>
      </w:r>
      <w:r w:rsidRPr="001F226A">
        <w:rPr>
          <w:i/>
          <w:iCs/>
          <w:sz w:val="20"/>
          <w:szCs w:val="20"/>
        </w:rPr>
        <w:t xml:space="preserve"> coagulans</w:t>
      </w:r>
      <w:r w:rsidRPr="001F226A">
        <w:rPr>
          <w:sz w:val="20"/>
          <w:szCs w:val="20"/>
        </w:rPr>
        <w:t xml:space="preserve"> after 24 h </w:t>
      </w:r>
      <w:r w:rsidRPr="001F226A">
        <w:rPr>
          <w:sz w:val="20"/>
          <w:szCs w:val="20"/>
          <w:lang w:val="en-US"/>
        </w:rPr>
        <w:t>incubation</w:t>
      </w:r>
      <w:r w:rsidRPr="001F226A">
        <w:rPr>
          <w:sz w:val="20"/>
          <w:szCs w:val="20"/>
        </w:rPr>
        <w:t>.</w:t>
      </w:r>
      <w:r w:rsidRPr="001F226A">
        <w:rPr>
          <w:sz w:val="20"/>
          <w:szCs w:val="20"/>
          <w:lang w:val="en-US"/>
        </w:rPr>
        <w:t xml:space="preserve"> Bars</w:t>
      </w:r>
      <w:r w:rsidRPr="001F226A">
        <w:rPr>
          <w:sz w:val="20"/>
          <w:szCs w:val="20"/>
        </w:rPr>
        <w:t xml:space="preserve"> represent mean ± SD (n = 3).</w:t>
      </w:r>
      <w:r w:rsidRPr="001F226A">
        <w:rPr>
          <w:sz w:val="20"/>
          <w:szCs w:val="20"/>
          <w:lang w:val="en-US"/>
        </w:rPr>
        <w:t xml:space="preserve"> </w:t>
      </w:r>
      <w:r w:rsidRPr="001F226A">
        <w:rPr>
          <w:sz w:val="20"/>
          <w:szCs w:val="20"/>
        </w:rPr>
        <w:t>Different letters above bars indicate statistically significant differences (p &lt; 0.05, Tukey HSD).</w:t>
      </w:r>
    </w:p>
    <w:p w14:paraId="206220E3" w14:textId="06ABB640" w:rsidR="007F5842" w:rsidRDefault="007F5842" w:rsidP="00CA3B20">
      <w:pPr>
        <w:ind w:left="567"/>
        <w:jc w:val="both"/>
        <w:rPr>
          <w:sz w:val="20"/>
          <w:szCs w:val="20"/>
          <w:lang w:val="en-US"/>
        </w:rPr>
      </w:pPr>
      <w:r w:rsidRPr="003B2BE1">
        <w:rPr>
          <w:sz w:val="20"/>
          <w:szCs w:val="20"/>
          <w:lang w:val="en-US"/>
        </w:rPr>
        <w:t xml:space="preserve">One-way ANOVA confirmed that salinity had a significant effect on </w:t>
      </w:r>
      <w:r w:rsidR="00D315DC" w:rsidRPr="003B2BE1">
        <w:rPr>
          <w:sz w:val="20"/>
          <w:szCs w:val="20"/>
          <w:lang w:val="en-US"/>
        </w:rPr>
        <w:t>α-</w:t>
      </w:r>
      <w:r w:rsidRPr="003B2BE1">
        <w:rPr>
          <w:sz w:val="20"/>
          <w:szCs w:val="20"/>
          <w:lang w:val="en-US"/>
        </w:rPr>
        <w:t xml:space="preserve">amylase production </w:t>
      </w:r>
      <w:r w:rsidRPr="00F55458">
        <w:rPr>
          <w:sz w:val="20"/>
          <w:szCs w:val="20"/>
          <w:lang w:val="en-US"/>
        </w:rPr>
        <w:t xml:space="preserve">(F10,22 = 1303.51, </w:t>
      </w:r>
      <w:r w:rsidR="002049D9" w:rsidRPr="00F55458">
        <w:rPr>
          <w:i/>
          <w:iCs/>
          <w:sz w:val="20"/>
          <w:szCs w:val="20"/>
          <w:lang w:val="en-US"/>
        </w:rPr>
        <w:t>P</w:t>
      </w:r>
      <w:r w:rsidRPr="00F55458">
        <w:rPr>
          <w:sz w:val="20"/>
          <w:szCs w:val="20"/>
          <w:lang w:val="en-US"/>
        </w:rPr>
        <w:t xml:space="preserve"> &lt; 0.001). Tukey’s HSD test indicating that enzyme production was strongly inhibited at higher salinity levels (Table 1).</w:t>
      </w:r>
    </w:p>
    <w:p w14:paraId="4BF9A1D3" w14:textId="00D085B6" w:rsidR="00215B41" w:rsidRPr="003B2BE1" w:rsidRDefault="00215B41" w:rsidP="00CA3B20">
      <w:pPr>
        <w:ind w:left="567"/>
        <w:jc w:val="both"/>
        <w:rPr>
          <w:sz w:val="20"/>
          <w:szCs w:val="20"/>
          <w:lang w:val="en-US"/>
        </w:rPr>
      </w:pPr>
      <w:r w:rsidRPr="00CA3B20">
        <w:rPr>
          <w:b/>
          <w:bCs/>
          <w:sz w:val="20"/>
          <w:szCs w:val="20"/>
          <w:lang w:val="en-US"/>
        </w:rPr>
        <w:t>Table 1.</w:t>
      </w:r>
      <w:r w:rsidRPr="003B2BE1">
        <w:rPr>
          <w:sz w:val="20"/>
          <w:szCs w:val="20"/>
          <w:lang w:val="en-US"/>
        </w:rPr>
        <w:t xml:space="preserve"> One-way ANOVA and Tukey HSD grouping showing the effect of NaCl concentration on </w:t>
      </w:r>
      <w:r w:rsidR="00D315DC" w:rsidRPr="003B2BE1">
        <w:rPr>
          <w:sz w:val="20"/>
          <w:szCs w:val="20"/>
          <w:lang w:val="en-US"/>
        </w:rPr>
        <w:t>α-</w:t>
      </w:r>
      <w:r w:rsidRPr="003B2BE1">
        <w:rPr>
          <w:sz w:val="20"/>
          <w:szCs w:val="20"/>
          <w:lang w:val="en-US"/>
        </w:rPr>
        <w:t xml:space="preserve">amylase activity of </w:t>
      </w:r>
      <w:r w:rsidRPr="00690EBB">
        <w:rPr>
          <w:i/>
          <w:iCs/>
          <w:sz w:val="20"/>
          <w:szCs w:val="20"/>
          <w:lang w:val="en-US"/>
        </w:rPr>
        <w:t>B</w:t>
      </w:r>
      <w:r w:rsidR="005818D5" w:rsidRPr="00690EBB">
        <w:rPr>
          <w:i/>
          <w:iCs/>
          <w:sz w:val="20"/>
          <w:szCs w:val="20"/>
          <w:lang w:val="en-US"/>
        </w:rPr>
        <w:t>.</w:t>
      </w:r>
      <w:r w:rsidRPr="00690EBB">
        <w:rPr>
          <w:i/>
          <w:iCs/>
          <w:sz w:val="20"/>
          <w:szCs w:val="20"/>
          <w:lang w:val="en-US"/>
        </w:rPr>
        <w:t xml:space="preserve"> </w:t>
      </w:r>
      <w:proofErr w:type="spellStart"/>
      <w:r w:rsidRPr="00690EBB">
        <w:rPr>
          <w:i/>
          <w:iCs/>
          <w:sz w:val="20"/>
          <w:szCs w:val="20"/>
          <w:lang w:val="en-US"/>
        </w:rPr>
        <w:t>coagulans</w:t>
      </w:r>
      <w:proofErr w:type="spellEnd"/>
      <w:r w:rsidRPr="003B2BE1">
        <w:rPr>
          <w:sz w:val="20"/>
          <w:szCs w:val="20"/>
          <w:lang w:val="en-US"/>
        </w:rPr>
        <w:t>.</w:t>
      </w:r>
      <w:r w:rsidR="005818D5" w:rsidRPr="003B2BE1">
        <w:rPr>
          <w:sz w:val="20"/>
          <w:szCs w:val="20"/>
          <w:lang w:val="en-US"/>
        </w:rPr>
        <w:t xml:space="preserve"> </w:t>
      </w:r>
      <w:r w:rsidRPr="003B2BE1">
        <w:rPr>
          <w:sz w:val="20"/>
          <w:szCs w:val="20"/>
          <w:lang w:val="en-US"/>
        </w:rPr>
        <w:t xml:space="preserve">Values are mean ± SD (n = 3). Means that do not share the same letter are significantly different at </w:t>
      </w:r>
      <w:r w:rsidR="006C3408" w:rsidRPr="006C3408">
        <w:rPr>
          <w:i/>
          <w:iCs/>
          <w:sz w:val="20"/>
          <w:szCs w:val="20"/>
          <w:lang w:val="en-US"/>
        </w:rPr>
        <w:t>P</w:t>
      </w:r>
      <w:r w:rsidRPr="003B2BE1">
        <w:rPr>
          <w:sz w:val="20"/>
          <w:szCs w:val="20"/>
          <w:lang w:val="en-US"/>
        </w:rPr>
        <w:t xml:space="preserve"> &lt; 0.05 (Tukey HSD).</w:t>
      </w:r>
    </w:p>
    <w:p w14:paraId="42C1FEC8" w14:textId="77777777" w:rsidR="00215B41" w:rsidRPr="003B2BE1" w:rsidRDefault="00215B41" w:rsidP="00CA3B20">
      <w:pPr>
        <w:ind w:left="567"/>
        <w:jc w:val="both"/>
        <w:rPr>
          <w:sz w:val="20"/>
          <w:szCs w:val="20"/>
          <w:lang w:val="en-US"/>
        </w:rPr>
      </w:pPr>
      <w:r w:rsidRPr="003B2BE1">
        <w:rPr>
          <w:sz w:val="20"/>
          <w:szCs w:val="20"/>
          <w:lang w:val="en-US"/>
        </w:rPr>
        <w:t>A. Analysis of Variance (ANOVA)</w:t>
      </w:r>
    </w:p>
    <w:tbl>
      <w:tblPr>
        <w:tblStyle w:val="TableGrid"/>
        <w:tblW w:w="7938"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134"/>
        <w:gridCol w:w="1133"/>
        <w:gridCol w:w="1255"/>
        <w:gridCol w:w="1289"/>
        <w:gridCol w:w="1284"/>
      </w:tblGrid>
      <w:tr w:rsidR="0049359E" w:rsidRPr="003B2BE1" w14:paraId="7732F534" w14:textId="77777777" w:rsidTr="0049359E">
        <w:tc>
          <w:tcPr>
            <w:tcW w:w="1843" w:type="dxa"/>
            <w:tcBorders>
              <w:top w:val="single" w:sz="4" w:space="0" w:color="auto"/>
              <w:bottom w:val="single" w:sz="4" w:space="0" w:color="auto"/>
            </w:tcBorders>
          </w:tcPr>
          <w:p w14:paraId="27582469" w14:textId="77777777" w:rsidR="00215B41" w:rsidRPr="003052C9" w:rsidRDefault="00215B41" w:rsidP="0049359E">
            <w:pPr>
              <w:ind w:left="33"/>
              <w:rPr>
                <w:b/>
                <w:bCs/>
                <w:sz w:val="20"/>
                <w:szCs w:val="20"/>
                <w:lang w:val="en-US"/>
              </w:rPr>
            </w:pPr>
            <w:r w:rsidRPr="003052C9">
              <w:rPr>
                <w:b/>
                <w:bCs/>
                <w:sz w:val="20"/>
                <w:szCs w:val="20"/>
                <w:lang w:val="en-US"/>
              </w:rPr>
              <w:t>Source of Variation</w:t>
            </w:r>
          </w:p>
        </w:tc>
        <w:tc>
          <w:tcPr>
            <w:tcW w:w="1134" w:type="dxa"/>
            <w:tcBorders>
              <w:top w:val="single" w:sz="4" w:space="0" w:color="auto"/>
              <w:bottom w:val="single" w:sz="4" w:space="0" w:color="auto"/>
            </w:tcBorders>
          </w:tcPr>
          <w:p w14:paraId="7B799D3E" w14:textId="77777777" w:rsidR="00215B41" w:rsidRPr="003052C9" w:rsidRDefault="00215B41" w:rsidP="0049359E">
            <w:pPr>
              <w:ind w:left="92"/>
              <w:rPr>
                <w:b/>
                <w:bCs/>
                <w:sz w:val="20"/>
                <w:szCs w:val="20"/>
                <w:lang w:val="en-US"/>
              </w:rPr>
            </w:pPr>
            <w:r w:rsidRPr="003052C9">
              <w:rPr>
                <w:b/>
                <w:bCs/>
                <w:sz w:val="20"/>
                <w:szCs w:val="20"/>
                <w:lang w:val="en-US"/>
              </w:rPr>
              <w:t>DF</w:t>
            </w:r>
          </w:p>
        </w:tc>
        <w:tc>
          <w:tcPr>
            <w:tcW w:w="1133" w:type="dxa"/>
            <w:tcBorders>
              <w:top w:val="single" w:sz="4" w:space="0" w:color="auto"/>
              <w:bottom w:val="single" w:sz="4" w:space="0" w:color="auto"/>
            </w:tcBorders>
          </w:tcPr>
          <w:p w14:paraId="03925035" w14:textId="77777777" w:rsidR="00215B41" w:rsidRPr="003052C9" w:rsidRDefault="00215B41" w:rsidP="0049359E">
            <w:pPr>
              <w:ind w:left="179"/>
              <w:rPr>
                <w:b/>
                <w:bCs/>
                <w:sz w:val="20"/>
                <w:szCs w:val="20"/>
                <w:lang w:val="en-US"/>
              </w:rPr>
            </w:pPr>
            <w:r w:rsidRPr="003052C9">
              <w:rPr>
                <w:b/>
                <w:bCs/>
                <w:sz w:val="20"/>
                <w:szCs w:val="20"/>
                <w:lang w:val="en-US"/>
              </w:rPr>
              <w:t>Adj SS</w:t>
            </w:r>
          </w:p>
        </w:tc>
        <w:tc>
          <w:tcPr>
            <w:tcW w:w="1255" w:type="dxa"/>
            <w:tcBorders>
              <w:top w:val="single" w:sz="4" w:space="0" w:color="auto"/>
              <w:bottom w:val="single" w:sz="4" w:space="0" w:color="auto"/>
            </w:tcBorders>
          </w:tcPr>
          <w:p w14:paraId="1F1BBE53" w14:textId="77777777" w:rsidR="00215B41" w:rsidRPr="003052C9" w:rsidRDefault="00215B41" w:rsidP="0049359E">
            <w:pPr>
              <w:ind w:left="89"/>
              <w:rPr>
                <w:b/>
                <w:bCs/>
                <w:sz w:val="20"/>
                <w:szCs w:val="20"/>
                <w:lang w:val="en-US"/>
              </w:rPr>
            </w:pPr>
            <w:r w:rsidRPr="003052C9">
              <w:rPr>
                <w:b/>
                <w:bCs/>
                <w:sz w:val="20"/>
                <w:szCs w:val="20"/>
                <w:lang w:val="en-US"/>
              </w:rPr>
              <w:t>Adj MS</w:t>
            </w:r>
          </w:p>
        </w:tc>
        <w:tc>
          <w:tcPr>
            <w:tcW w:w="1289" w:type="dxa"/>
            <w:tcBorders>
              <w:top w:val="single" w:sz="4" w:space="0" w:color="auto"/>
              <w:bottom w:val="single" w:sz="4" w:space="0" w:color="auto"/>
            </w:tcBorders>
          </w:tcPr>
          <w:p w14:paraId="06612B0E" w14:textId="77777777" w:rsidR="00215B41" w:rsidRPr="003052C9" w:rsidRDefault="00215B41" w:rsidP="0049359E">
            <w:pPr>
              <w:ind w:left="350"/>
              <w:rPr>
                <w:b/>
                <w:bCs/>
                <w:sz w:val="20"/>
                <w:szCs w:val="20"/>
                <w:lang w:val="en-US"/>
              </w:rPr>
            </w:pPr>
            <w:r w:rsidRPr="003052C9">
              <w:rPr>
                <w:b/>
                <w:bCs/>
                <w:sz w:val="20"/>
                <w:szCs w:val="20"/>
                <w:lang w:val="en-US"/>
              </w:rPr>
              <w:t>F-Value</w:t>
            </w:r>
          </w:p>
        </w:tc>
        <w:tc>
          <w:tcPr>
            <w:tcW w:w="1284" w:type="dxa"/>
            <w:tcBorders>
              <w:top w:val="single" w:sz="4" w:space="0" w:color="auto"/>
              <w:bottom w:val="single" w:sz="4" w:space="0" w:color="auto"/>
            </w:tcBorders>
          </w:tcPr>
          <w:p w14:paraId="58BD74B4" w14:textId="77777777" w:rsidR="00215B41" w:rsidRPr="003052C9" w:rsidRDefault="00215B41" w:rsidP="0049359E">
            <w:pPr>
              <w:ind w:left="37"/>
              <w:rPr>
                <w:b/>
                <w:bCs/>
                <w:sz w:val="20"/>
                <w:szCs w:val="20"/>
                <w:lang w:val="en-US"/>
              </w:rPr>
            </w:pPr>
            <w:r w:rsidRPr="002049D9">
              <w:rPr>
                <w:b/>
                <w:bCs/>
                <w:i/>
                <w:iCs/>
                <w:sz w:val="20"/>
                <w:szCs w:val="20"/>
                <w:lang w:val="en-US"/>
              </w:rPr>
              <w:t>P</w:t>
            </w:r>
            <w:r w:rsidRPr="003052C9">
              <w:rPr>
                <w:b/>
                <w:bCs/>
                <w:sz w:val="20"/>
                <w:szCs w:val="20"/>
                <w:lang w:val="en-US"/>
              </w:rPr>
              <w:t>-Value</w:t>
            </w:r>
          </w:p>
        </w:tc>
      </w:tr>
      <w:tr w:rsidR="00215B41" w:rsidRPr="003B2BE1" w14:paraId="50498799" w14:textId="77777777" w:rsidTr="0049359E">
        <w:tc>
          <w:tcPr>
            <w:tcW w:w="1843" w:type="dxa"/>
            <w:tcBorders>
              <w:top w:val="single" w:sz="4" w:space="0" w:color="auto"/>
            </w:tcBorders>
          </w:tcPr>
          <w:p w14:paraId="78F5C798" w14:textId="56097709" w:rsidR="00215B41" w:rsidRPr="003B2BE1" w:rsidRDefault="00215B41" w:rsidP="0049359E">
            <w:pPr>
              <w:ind w:left="33"/>
              <w:jc w:val="both"/>
              <w:rPr>
                <w:sz w:val="20"/>
                <w:szCs w:val="20"/>
                <w:lang w:val="en-US"/>
              </w:rPr>
            </w:pPr>
            <w:r w:rsidRPr="003B2BE1">
              <w:rPr>
                <w:sz w:val="20"/>
                <w:szCs w:val="20"/>
                <w:lang w:val="en-US"/>
              </w:rPr>
              <w:t>NaCl (%)</w:t>
            </w:r>
          </w:p>
        </w:tc>
        <w:tc>
          <w:tcPr>
            <w:tcW w:w="1134" w:type="dxa"/>
            <w:tcBorders>
              <w:top w:val="single" w:sz="4" w:space="0" w:color="auto"/>
            </w:tcBorders>
          </w:tcPr>
          <w:p w14:paraId="07F70E3B" w14:textId="77777777" w:rsidR="00215B41" w:rsidRPr="003B2BE1" w:rsidRDefault="00215B41" w:rsidP="0049359E">
            <w:pPr>
              <w:ind w:left="92"/>
              <w:jc w:val="both"/>
              <w:rPr>
                <w:sz w:val="20"/>
                <w:szCs w:val="20"/>
                <w:lang w:val="en-US"/>
              </w:rPr>
            </w:pPr>
            <w:r w:rsidRPr="003B2BE1">
              <w:rPr>
                <w:sz w:val="20"/>
                <w:szCs w:val="20"/>
                <w:lang w:val="en-US"/>
              </w:rPr>
              <w:t>10</w:t>
            </w:r>
          </w:p>
        </w:tc>
        <w:tc>
          <w:tcPr>
            <w:tcW w:w="1133" w:type="dxa"/>
            <w:tcBorders>
              <w:top w:val="single" w:sz="4" w:space="0" w:color="auto"/>
            </w:tcBorders>
          </w:tcPr>
          <w:p w14:paraId="2BE9923A" w14:textId="77777777" w:rsidR="00215B41" w:rsidRPr="003B2BE1" w:rsidRDefault="00215B41" w:rsidP="0049359E">
            <w:pPr>
              <w:ind w:left="179"/>
              <w:jc w:val="both"/>
              <w:rPr>
                <w:sz w:val="20"/>
                <w:szCs w:val="20"/>
                <w:lang w:val="en-US"/>
              </w:rPr>
            </w:pPr>
            <w:r w:rsidRPr="003B2BE1">
              <w:rPr>
                <w:sz w:val="20"/>
                <w:szCs w:val="20"/>
                <w:lang w:val="en-US"/>
              </w:rPr>
              <w:t>746.555</w:t>
            </w:r>
          </w:p>
        </w:tc>
        <w:tc>
          <w:tcPr>
            <w:tcW w:w="1255" w:type="dxa"/>
            <w:tcBorders>
              <w:top w:val="single" w:sz="4" w:space="0" w:color="auto"/>
            </w:tcBorders>
          </w:tcPr>
          <w:p w14:paraId="3A9B75AA" w14:textId="77777777" w:rsidR="00215B41" w:rsidRPr="003B2BE1" w:rsidRDefault="00215B41" w:rsidP="0049359E">
            <w:pPr>
              <w:ind w:left="89"/>
              <w:jc w:val="both"/>
              <w:rPr>
                <w:sz w:val="20"/>
                <w:szCs w:val="20"/>
                <w:lang w:val="en-US"/>
              </w:rPr>
            </w:pPr>
            <w:r w:rsidRPr="003B2BE1">
              <w:rPr>
                <w:sz w:val="20"/>
                <w:szCs w:val="20"/>
                <w:lang w:val="en-US"/>
              </w:rPr>
              <w:t>74.6555</w:t>
            </w:r>
          </w:p>
        </w:tc>
        <w:tc>
          <w:tcPr>
            <w:tcW w:w="1289" w:type="dxa"/>
            <w:tcBorders>
              <w:top w:val="single" w:sz="4" w:space="0" w:color="auto"/>
            </w:tcBorders>
          </w:tcPr>
          <w:p w14:paraId="78FDD63E" w14:textId="77777777" w:rsidR="00215B41" w:rsidRPr="003B2BE1" w:rsidRDefault="00215B41" w:rsidP="0049359E">
            <w:pPr>
              <w:ind w:left="350"/>
              <w:jc w:val="both"/>
              <w:rPr>
                <w:sz w:val="20"/>
                <w:szCs w:val="20"/>
                <w:lang w:val="en-US"/>
              </w:rPr>
            </w:pPr>
            <w:r w:rsidRPr="003B2BE1">
              <w:rPr>
                <w:sz w:val="20"/>
                <w:szCs w:val="20"/>
                <w:lang w:val="en-US"/>
              </w:rPr>
              <w:t>1303.51</w:t>
            </w:r>
          </w:p>
        </w:tc>
        <w:tc>
          <w:tcPr>
            <w:tcW w:w="1284" w:type="dxa"/>
            <w:tcBorders>
              <w:top w:val="single" w:sz="4" w:space="0" w:color="auto"/>
            </w:tcBorders>
          </w:tcPr>
          <w:p w14:paraId="3D110069" w14:textId="77777777" w:rsidR="00215B41" w:rsidRPr="003B2BE1" w:rsidRDefault="00215B41" w:rsidP="0049359E">
            <w:pPr>
              <w:ind w:left="37"/>
              <w:jc w:val="both"/>
              <w:rPr>
                <w:sz w:val="20"/>
                <w:szCs w:val="20"/>
                <w:lang w:val="en-US"/>
              </w:rPr>
            </w:pPr>
            <w:r w:rsidRPr="003B2BE1">
              <w:rPr>
                <w:sz w:val="20"/>
                <w:szCs w:val="20"/>
                <w:lang w:val="en-US"/>
              </w:rPr>
              <w:t>0.000</w:t>
            </w:r>
          </w:p>
        </w:tc>
      </w:tr>
      <w:tr w:rsidR="00215B41" w:rsidRPr="003B2BE1" w14:paraId="33808DD8" w14:textId="77777777" w:rsidTr="0049359E">
        <w:tc>
          <w:tcPr>
            <w:tcW w:w="1843" w:type="dxa"/>
          </w:tcPr>
          <w:p w14:paraId="2FE3CF0D" w14:textId="77777777" w:rsidR="00215B41" w:rsidRPr="003B2BE1" w:rsidRDefault="00215B41" w:rsidP="0049359E">
            <w:pPr>
              <w:ind w:left="33"/>
              <w:jc w:val="both"/>
              <w:rPr>
                <w:sz w:val="20"/>
                <w:szCs w:val="20"/>
                <w:lang w:val="en-US"/>
              </w:rPr>
            </w:pPr>
            <w:r w:rsidRPr="003B2BE1">
              <w:rPr>
                <w:sz w:val="20"/>
                <w:szCs w:val="20"/>
                <w:lang w:val="en-US"/>
              </w:rPr>
              <w:t>Error</w:t>
            </w:r>
          </w:p>
        </w:tc>
        <w:tc>
          <w:tcPr>
            <w:tcW w:w="1134" w:type="dxa"/>
          </w:tcPr>
          <w:p w14:paraId="518AF0BA" w14:textId="77777777" w:rsidR="00215B41" w:rsidRPr="003B2BE1" w:rsidRDefault="00215B41" w:rsidP="0049359E">
            <w:pPr>
              <w:ind w:left="92"/>
              <w:jc w:val="both"/>
              <w:rPr>
                <w:sz w:val="20"/>
                <w:szCs w:val="20"/>
                <w:lang w:val="en-US"/>
              </w:rPr>
            </w:pPr>
            <w:r w:rsidRPr="003B2BE1">
              <w:rPr>
                <w:sz w:val="20"/>
                <w:szCs w:val="20"/>
                <w:lang w:val="en-US"/>
              </w:rPr>
              <w:t>22</w:t>
            </w:r>
          </w:p>
        </w:tc>
        <w:tc>
          <w:tcPr>
            <w:tcW w:w="1133" w:type="dxa"/>
          </w:tcPr>
          <w:p w14:paraId="5A41E297" w14:textId="77777777" w:rsidR="00215B41" w:rsidRPr="003B2BE1" w:rsidRDefault="00215B41" w:rsidP="0049359E">
            <w:pPr>
              <w:ind w:left="179"/>
              <w:jc w:val="both"/>
              <w:rPr>
                <w:sz w:val="20"/>
                <w:szCs w:val="20"/>
                <w:lang w:val="en-US"/>
              </w:rPr>
            </w:pPr>
            <w:r w:rsidRPr="003B2BE1">
              <w:rPr>
                <w:sz w:val="20"/>
                <w:szCs w:val="20"/>
                <w:lang w:val="en-US"/>
              </w:rPr>
              <w:t>1.260</w:t>
            </w:r>
          </w:p>
        </w:tc>
        <w:tc>
          <w:tcPr>
            <w:tcW w:w="1255" w:type="dxa"/>
          </w:tcPr>
          <w:p w14:paraId="2C9E9E96" w14:textId="77777777" w:rsidR="00215B41" w:rsidRPr="003B2BE1" w:rsidRDefault="00215B41" w:rsidP="0049359E">
            <w:pPr>
              <w:ind w:left="89"/>
              <w:jc w:val="both"/>
              <w:rPr>
                <w:sz w:val="20"/>
                <w:szCs w:val="20"/>
                <w:lang w:val="en-US"/>
              </w:rPr>
            </w:pPr>
            <w:r w:rsidRPr="003B2BE1">
              <w:rPr>
                <w:sz w:val="20"/>
                <w:szCs w:val="20"/>
                <w:lang w:val="en-US"/>
              </w:rPr>
              <w:t>0.0573</w:t>
            </w:r>
          </w:p>
        </w:tc>
        <w:tc>
          <w:tcPr>
            <w:tcW w:w="1289" w:type="dxa"/>
          </w:tcPr>
          <w:p w14:paraId="5C36B143" w14:textId="77777777" w:rsidR="00215B41" w:rsidRPr="003B2BE1" w:rsidRDefault="00215B41" w:rsidP="0049359E">
            <w:pPr>
              <w:ind w:left="350"/>
              <w:jc w:val="both"/>
              <w:rPr>
                <w:sz w:val="20"/>
                <w:szCs w:val="20"/>
                <w:lang w:val="en-US"/>
              </w:rPr>
            </w:pPr>
          </w:p>
        </w:tc>
        <w:tc>
          <w:tcPr>
            <w:tcW w:w="1284" w:type="dxa"/>
          </w:tcPr>
          <w:p w14:paraId="393B5033" w14:textId="77777777" w:rsidR="00215B41" w:rsidRPr="003B2BE1" w:rsidRDefault="00215B41" w:rsidP="0049359E">
            <w:pPr>
              <w:ind w:left="37"/>
              <w:jc w:val="both"/>
              <w:rPr>
                <w:sz w:val="20"/>
                <w:szCs w:val="20"/>
                <w:lang w:val="en-US"/>
              </w:rPr>
            </w:pPr>
          </w:p>
        </w:tc>
      </w:tr>
      <w:tr w:rsidR="00215B41" w:rsidRPr="003B2BE1" w14:paraId="6EFD39A8" w14:textId="77777777" w:rsidTr="0049359E">
        <w:tc>
          <w:tcPr>
            <w:tcW w:w="1843" w:type="dxa"/>
          </w:tcPr>
          <w:p w14:paraId="65CE5EB9" w14:textId="77777777" w:rsidR="00215B41" w:rsidRPr="003B2BE1" w:rsidRDefault="00215B41" w:rsidP="0049359E">
            <w:pPr>
              <w:ind w:left="33"/>
              <w:jc w:val="both"/>
              <w:rPr>
                <w:sz w:val="20"/>
                <w:szCs w:val="20"/>
                <w:lang w:val="en-US"/>
              </w:rPr>
            </w:pPr>
            <w:r w:rsidRPr="003B2BE1">
              <w:rPr>
                <w:sz w:val="20"/>
                <w:szCs w:val="20"/>
                <w:lang w:val="en-US"/>
              </w:rPr>
              <w:t>Total</w:t>
            </w:r>
          </w:p>
        </w:tc>
        <w:tc>
          <w:tcPr>
            <w:tcW w:w="1134" w:type="dxa"/>
          </w:tcPr>
          <w:p w14:paraId="3914D572" w14:textId="77777777" w:rsidR="00215B41" w:rsidRPr="003B2BE1" w:rsidRDefault="00215B41" w:rsidP="0049359E">
            <w:pPr>
              <w:ind w:left="92"/>
              <w:jc w:val="both"/>
              <w:rPr>
                <w:sz w:val="20"/>
                <w:szCs w:val="20"/>
                <w:lang w:val="en-US"/>
              </w:rPr>
            </w:pPr>
            <w:r w:rsidRPr="003B2BE1">
              <w:rPr>
                <w:sz w:val="20"/>
                <w:szCs w:val="20"/>
                <w:lang w:val="en-US"/>
              </w:rPr>
              <w:t>32</w:t>
            </w:r>
          </w:p>
        </w:tc>
        <w:tc>
          <w:tcPr>
            <w:tcW w:w="1133" w:type="dxa"/>
          </w:tcPr>
          <w:p w14:paraId="6F4D4204" w14:textId="77777777" w:rsidR="00215B41" w:rsidRPr="003B2BE1" w:rsidRDefault="00215B41" w:rsidP="0049359E">
            <w:pPr>
              <w:ind w:left="179"/>
              <w:jc w:val="both"/>
              <w:rPr>
                <w:sz w:val="20"/>
                <w:szCs w:val="20"/>
                <w:lang w:val="en-US"/>
              </w:rPr>
            </w:pPr>
            <w:r w:rsidRPr="003B2BE1">
              <w:rPr>
                <w:sz w:val="20"/>
                <w:szCs w:val="20"/>
                <w:lang w:val="en-US"/>
              </w:rPr>
              <w:t>747.815</w:t>
            </w:r>
          </w:p>
        </w:tc>
        <w:tc>
          <w:tcPr>
            <w:tcW w:w="1255" w:type="dxa"/>
          </w:tcPr>
          <w:p w14:paraId="01EA77DC" w14:textId="77777777" w:rsidR="00215B41" w:rsidRPr="003B2BE1" w:rsidRDefault="00215B41" w:rsidP="0049359E">
            <w:pPr>
              <w:ind w:left="89"/>
              <w:jc w:val="both"/>
              <w:rPr>
                <w:sz w:val="20"/>
                <w:szCs w:val="20"/>
                <w:lang w:val="en-US"/>
              </w:rPr>
            </w:pPr>
          </w:p>
        </w:tc>
        <w:tc>
          <w:tcPr>
            <w:tcW w:w="1289" w:type="dxa"/>
          </w:tcPr>
          <w:p w14:paraId="1B04F5B0" w14:textId="77777777" w:rsidR="00215B41" w:rsidRPr="003B2BE1" w:rsidRDefault="00215B41" w:rsidP="0049359E">
            <w:pPr>
              <w:ind w:left="350"/>
              <w:jc w:val="both"/>
              <w:rPr>
                <w:sz w:val="20"/>
                <w:szCs w:val="20"/>
                <w:lang w:val="en-US"/>
              </w:rPr>
            </w:pPr>
          </w:p>
        </w:tc>
        <w:tc>
          <w:tcPr>
            <w:tcW w:w="1284" w:type="dxa"/>
          </w:tcPr>
          <w:p w14:paraId="28520E59" w14:textId="77777777" w:rsidR="00215B41" w:rsidRPr="003B2BE1" w:rsidRDefault="00215B41" w:rsidP="0049359E">
            <w:pPr>
              <w:ind w:left="37"/>
              <w:jc w:val="both"/>
              <w:rPr>
                <w:sz w:val="20"/>
                <w:szCs w:val="20"/>
                <w:lang w:val="en-US"/>
              </w:rPr>
            </w:pPr>
          </w:p>
        </w:tc>
      </w:tr>
    </w:tbl>
    <w:p w14:paraId="0399CD42" w14:textId="77777777" w:rsidR="00215B41" w:rsidRPr="003B2BE1" w:rsidRDefault="00215B41" w:rsidP="00CA3B20">
      <w:pPr>
        <w:ind w:left="567"/>
        <w:jc w:val="both"/>
        <w:rPr>
          <w:sz w:val="20"/>
          <w:szCs w:val="20"/>
          <w:lang w:val="en-US"/>
        </w:rPr>
      </w:pPr>
      <w:r w:rsidRPr="003B2BE1">
        <w:rPr>
          <w:sz w:val="20"/>
          <w:szCs w:val="20"/>
          <w:lang w:val="en-US"/>
        </w:rPr>
        <w:t>B. Means and Tukey Grouping (95% Confidence)</w:t>
      </w:r>
    </w:p>
    <w:tbl>
      <w:tblPr>
        <w:tblStyle w:val="TableGrid"/>
        <w:tblW w:w="0" w:type="auto"/>
        <w:tblInd w:w="7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2410"/>
        <w:gridCol w:w="2268"/>
        <w:gridCol w:w="1701"/>
      </w:tblGrid>
      <w:tr w:rsidR="00215B41" w:rsidRPr="003052C9" w14:paraId="0C86201F" w14:textId="77777777" w:rsidTr="0049359E">
        <w:tc>
          <w:tcPr>
            <w:tcW w:w="1559" w:type="dxa"/>
          </w:tcPr>
          <w:p w14:paraId="3E640DC1" w14:textId="77777777" w:rsidR="00215B41" w:rsidRPr="003052C9" w:rsidRDefault="00215B41" w:rsidP="0049359E">
            <w:pPr>
              <w:ind w:left="458"/>
              <w:jc w:val="both"/>
              <w:rPr>
                <w:b/>
                <w:bCs/>
                <w:sz w:val="20"/>
                <w:szCs w:val="20"/>
                <w:lang w:val="en-US"/>
              </w:rPr>
            </w:pPr>
            <w:r w:rsidRPr="003052C9">
              <w:rPr>
                <w:b/>
                <w:bCs/>
                <w:sz w:val="20"/>
                <w:szCs w:val="20"/>
                <w:lang w:val="en-US"/>
              </w:rPr>
              <w:t>NaCl (%)</w:t>
            </w:r>
          </w:p>
        </w:tc>
        <w:tc>
          <w:tcPr>
            <w:tcW w:w="2410" w:type="dxa"/>
          </w:tcPr>
          <w:p w14:paraId="1F708878" w14:textId="77777777" w:rsidR="00215B41" w:rsidRPr="003052C9" w:rsidRDefault="00215B41" w:rsidP="0049359E">
            <w:pPr>
              <w:ind w:left="463"/>
              <w:jc w:val="both"/>
              <w:rPr>
                <w:b/>
                <w:bCs/>
                <w:sz w:val="20"/>
                <w:szCs w:val="20"/>
                <w:lang w:val="en-US"/>
              </w:rPr>
            </w:pPr>
            <w:r w:rsidRPr="003052C9">
              <w:rPr>
                <w:b/>
                <w:bCs/>
                <w:sz w:val="20"/>
                <w:szCs w:val="20"/>
                <w:lang w:val="en-US"/>
              </w:rPr>
              <w:t>Mean (U/mL)</w:t>
            </w:r>
          </w:p>
        </w:tc>
        <w:tc>
          <w:tcPr>
            <w:tcW w:w="2268" w:type="dxa"/>
          </w:tcPr>
          <w:p w14:paraId="3B3037E4" w14:textId="77777777" w:rsidR="00215B41" w:rsidRPr="003052C9" w:rsidRDefault="00215B41" w:rsidP="0049359E">
            <w:pPr>
              <w:ind w:left="317"/>
              <w:jc w:val="both"/>
              <w:rPr>
                <w:b/>
                <w:bCs/>
                <w:sz w:val="20"/>
                <w:szCs w:val="20"/>
                <w:lang w:val="en-US"/>
              </w:rPr>
            </w:pPr>
            <w:proofErr w:type="spellStart"/>
            <w:r w:rsidRPr="003052C9">
              <w:rPr>
                <w:b/>
                <w:bCs/>
                <w:sz w:val="20"/>
                <w:szCs w:val="20"/>
                <w:lang w:val="en-US"/>
              </w:rPr>
              <w:t>StDev</w:t>
            </w:r>
            <w:proofErr w:type="spellEnd"/>
          </w:p>
        </w:tc>
        <w:tc>
          <w:tcPr>
            <w:tcW w:w="1701" w:type="dxa"/>
          </w:tcPr>
          <w:p w14:paraId="43DCE691" w14:textId="77777777" w:rsidR="00215B41" w:rsidRPr="003052C9" w:rsidRDefault="00215B41" w:rsidP="0049359E">
            <w:pPr>
              <w:ind w:left="179"/>
              <w:jc w:val="both"/>
              <w:rPr>
                <w:b/>
                <w:bCs/>
                <w:sz w:val="20"/>
                <w:szCs w:val="20"/>
                <w:lang w:val="en-US"/>
              </w:rPr>
            </w:pPr>
            <w:r w:rsidRPr="003052C9">
              <w:rPr>
                <w:b/>
                <w:bCs/>
                <w:sz w:val="20"/>
                <w:szCs w:val="20"/>
                <w:lang w:val="en-US"/>
              </w:rPr>
              <w:t>Tukey Group</w:t>
            </w:r>
          </w:p>
        </w:tc>
      </w:tr>
      <w:tr w:rsidR="00215B41" w:rsidRPr="003B2BE1" w14:paraId="63D27C33" w14:textId="77777777" w:rsidTr="0049359E">
        <w:tc>
          <w:tcPr>
            <w:tcW w:w="1559" w:type="dxa"/>
          </w:tcPr>
          <w:p w14:paraId="108AF7C4" w14:textId="77777777" w:rsidR="00215B41" w:rsidRPr="003B2BE1" w:rsidRDefault="00215B41" w:rsidP="0049359E">
            <w:pPr>
              <w:ind w:left="458"/>
              <w:jc w:val="both"/>
              <w:rPr>
                <w:sz w:val="20"/>
                <w:szCs w:val="20"/>
                <w:lang w:val="en-US"/>
              </w:rPr>
            </w:pPr>
            <w:r w:rsidRPr="003B2BE1">
              <w:rPr>
                <w:sz w:val="20"/>
                <w:szCs w:val="20"/>
                <w:lang w:val="en-US"/>
              </w:rPr>
              <w:t>0.0</w:t>
            </w:r>
          </w:p>
        </w:tc>
        <w:tc>
          <w:tcPr>
            <w:tcW w:w="2410" w:type="dxa"/>
          </w:tcPr>
          <w:p w14:paraId="3E4FDE03" w14:textId="77777777" w:rsidR="00215B41" w:rsidRPr="003B2BE1" w:rsidRDefault="00215B41" w:rsidP="0049359E">
            <w:pPr>
              <w:ind w:left="463"/>
              <w:jc w:val="both"/>
              <w:rPr>
                <w:sz w:val="20"/>
                <w:szCs w:val="20"/>
                <w:lang w:val="en-US"/>
              </w:rPr>
            </w:pPr>
            <w:r w:rsidRPr="003B2BE1">
              <w:rPr>
                <w:sz w:val="20"/>
                <w:szCs w:val="20"/>
                <w:lang w:val="en-US"/>
              </w:rPr>
              <w:t>13.600</w:t>
            </w:r>
          </w:p>
        </w:tc>
        <w:tc>
          <w:tcPr>
            <w:tcW w:w="2268" w:type="dxa"/>
          </w:tcPr>
          <w:p w14:paraId="190501B1" w14:textId="77777777" w:rsidR="00215B41" w:rsidRPr="003B2BE1" w:rsidRDefault="00215B41" w:rsidP="0049359E">
            <w:pPr>
              <w:ind w:left="317"/>
              <w:jc w:val="both"/>
              <w:rPr>
                <w:sz w:val="20"/>
                <w:szCs w:val="20"/>
                <w:lang w:val="en-US"/>
              </w:rPr>
            </w:pPr>
            <w:r w:rsidRPr="003B2BE1">
              <w:rPr>
                <w:sz w:val="20"/>
                <w:szCs w:val="20"/>
                <w:lang w:val="en-US"/>
              </w:rPr>
              <w:t>0.346</w:t>
            </w:r>
          </w:p>
        </w:tc>
        <w:tc>
          <w:tcPr>
            <w:tcW w:w="1701" w:type="dxa"/>
          </w:tcPr>
          <w:p w14:paraId="701EACA7" w14:textId="77777777" w:rsidR="00215B41" w:rsidRPr="003B2BE1" w:rsidRDefault="00215B41" w:rsidP="0049359E">
            <w:pPr>
              <w:ind w:left="179"/>
              <w:jc w:val="both"/>
              <w:rPr>
                <w:sz w:val="20"/>
                <w:szCs w:val="20"/>
                <w:lang w:val="en-US"/>
              </w:rPr>
            </w:pPr>
            <w:r w:rsidRPr="003B2BE1">
              <w:rPr>
                <w:sz w:val="20"/>
                <w:szCs w:val="20"/>
                <w:lang w:val="en-US"/>
              </w:rPr>
              <w:t>A</w:t>
            </w:r>
          </w:p>
        </w:tc>
      </w:tr>
      <w:tr w:rsidR="00215B41" w:rsidRPr="003B2BE1" w14:paraId="53A14D85" w14:textId="77777777" w:rsidTr="0049359E">
        <w:tc>
          <w:tcPr>
            <w:tcW w:w="1559" w:type="dxa"/>
          </w:tcPr>
          <w:p w14:paraId="1CF3A259" w14:textId="77777777" w:rsidR="00215B41" w:rsidRPr="003B2BE1" w:rsidRDefault="00215B41" w:rsidP="0049359E">
            <w:pPr>
              <w:ind w:left="458"/>
              <w:jc w:val="both"/>
              <w:rPr>
                <w:sz w:val="20"/>
                <w:szCs w:val="20"/>
                <w:lang w:val="en-US"/>
              </w:rPr>
            </w:pPr>
            <w:r w:rsidRPr="003B2BE1">
              <w:rPr>
                <w:sz w:val="20"/>
                <w:szCs w:val="20"/>
                <w:lang w:val="en-US"/>
              </w:rPr>
              <w:t>0.5</w:t>
            </w:r>
          </w:p>
        </w:tc>
        <w:tc>
          <w:tcPr>
            <w:tcW w:w="2410" w:type="dxa"/>
          </w:tcPr>
          <w:p w14:paraId="49A7E070" w14:textId="77777777" w:rsidR="00215B41" w:rsidRPr="003B2BE1" w:rsidRDefault="00215B41" w:rsidP="0049359E">
            <w:pPr>
              <w:ind w:left="463"/>
              <w:jc w:val="both"/>
              <w:rPr>
                <w:sz w:val="20"/>
                <w:szCs w:val="20"/>
                <w:lang w:val="en-US"/>
              </w:rPr>
            </w:pPr>
            <w:r w:rsidRPr="003B2BE1">
              <w:rPr>
                <w:sz w:val="20"/>
                <w:szCs w:val="20"/>
                <w:lang w:val="en-US"/>
              </w:rPr>
              <w:t>13.400</w:t>
            </w:r>
          </w:p>
        </w:tc>
        <w:tc>
          <w:tcPr>
            <w:tcW w:w="2268" w:type="dxa"/>
          </w:tcPr>
          <w:p w14:paraId="4859F3B1" w14:textId="77777777" w:rsidR="00215B41" w:rsidRPr="003B2BE1" w:rsidRDefault="00215B41" w:rsidP="0049359E">
            <w:pPr>
              <w:ind w:left="317"/>
              <w:jc w:val="both"/>
              <w:rPr>
                <w:sz w:val="20"/>
                <w:szCs w:val="20"/>
                <w:lang w:val="en-US"/>
              </w:rPr>
            </w:pPr>
            <w:r w:rsidRPr="003B2BE1">
              <w:rPr>
                <w:sz w:val="20"/>
                <w:szCs w:val="20"/>
                <w:lang w:val="en-US"/>
              </w:rPr>
              <w:t>0.200</w:t>
            </w:r>
          </w:p>
        </w:tc>
        <w:tc>
          <w:tcPr>
            <w:tcW w:w="1701" w:type="dxa"/>
          </w:tcPr>
          <w:p w14:paraId="3DE6A052" w14:textId="77777777" w:rsidR="00215B41" w:rsidRPr="003B2BE1" w:rsidRDefault="00215B41" w:rsidP="0049359E">
            <w:pPr>
              <w:ind w:left="179"/>
              <w:jc w:val="both"/>
              <w:rPr>
                <w:sz w:val="20"/>
                <w:szCs w:val="20"/>
                <w:lang w:val="en-US"/>
              </w:rPr>
            </w:pPr>
            <w:r w:rsidRPr="003B2BE1">
              <w:rPr>
                <w:sz w:val="20"/>
                <w:szCs w:val="20"/>
                <w:lang w:val="en-US"/>
              </w:rPr>
              <w:t>A</w:t>
            </w:r>
          </w:p>
        </w:tc>
      </w:tr>
      <w:tr w:rsidR="00215B41" w:rsidRPr="003B2BE1" w14:paraId="52C0B698" w14:textId="77777777" w:rsidTr="0049359E">
        <w:tc>
          <w:tcPr>
            <w:tcW w:w="1559" w:type="dxa"/>
          </w:tcPr>
          <w:p w14:paraId="6E27B816" w14:textId="77777777" w:rsidR="00215B41" w:rsidRPr="003B2BE1" w:rsidRDefault="00215B41" w:rsidP="0049359E">
            <w:pPr>
              <w:ind w:left="458"/>
              <w:jc w:val="both"/>
              <w:rPr>
                <w:sz w:val="20"/>
                <w:szCs w:val="20"/>
                <w:lang w:val="en-US"/>
              </w:rPr>
            </w:pPr>
            <w:r w:rsidRPr="003B2BE1">
              <w:rPr>
                <w:sz w:val="20"/>
                <w:szCs w:val="20"/>
                <w:lang w:val="en-US"/>
              </w:rPr>
              <w:t>1.0</w:t>
            </w:r>
          </w:p>
        </w:tc>
        <w:tc>
          <w:tcPr>
            <w:tcW w:w="2410" w:type="dxa"/>
          </w:tcPr>
          <w:p w14:paraId="04CE1CDB" w14:textId="77777777" w:rsidR="00215B41" w:rsidRPr="003B2BE1" w:rsidRDefault="00215B41" w:rsidP="0049359E">
            <w:pPr>
              <w:ind w:left="463"/>
              <w:jc w:val="both"/>
              <w:rPr>
                <w:sz w:val="20"/>
                <w:szCs w:val="20"/>
                <w:lang w:val="en-US"/>
              </w:rPr>
            </w:pPr>
            <w:r w:rsidRPr="003B2BE1">
              <w:rPr>
                <w:sz w:val="20"/>
                <w:szCs w:val="20"/>
                <w:lang w:val="en-US"/>
              </w:rPr>
              <w:t>13.067</w:t>
            </w:r>
          </w:p>
        </w:tc>
        <w:tc>
          <w:tcPr>
            <w:tcW w:w="2268" w:type="dxa"/>
          </w:tcPr>
          <w:p w14:paraId="7235B095" w14:textId="77777777" w:rsidR="00215B41" w:rsidRPr="003B2BE1" w:rsidRDefault="00215B41" w:rsidP="0049359E">
            <w:pPr>
              <w:ind w:left="317"/>
              <w:jc w:val="both"/>
              <w:rPr>
                <w:sz w:val="20"/>
                <w:szCs w:val="20"/>
                <w:lang w:val="en-US"/>
              </w:rPr>
            </w:pPr>
            <w:r w:rsidRPr="003B2BE1">
              <w:rPr>
                <w:sz w:val="20"/>
                <w:szCs w:val="20"/>
                <w:lang w:val="en-US"/>
              </w:rPr>
              <w:t>0.152</w:t>
            </w:r>
          </w:p>
        </w:tc>
        <w:tc>
          <w:tcPr>
            <w:tcW w:w="1701" w:type="dxa"/>
          </w:tcPr>
          <w:p w14:paraId="10C438B8" w14:textId="77777777" w:rsidR="00215B41" w:rsidRPr="003B2BE1" w:rsidRDefault="00215B41" w:rsidP="0049359E">
            <w:pPr>
              <w:ind w:left="179"/>
              <w:jc w:val="both"/>
              <w:rPr>
                <w:sz w:val="20"/>
                <w:szCs w:val="20"/>
                <w:lang w:val="en-US"/>
              </w:rPr>
            </w:pPr>
            <w:r w:rsidRPr="003B2BE1">
              <w:rPr>
                <w:sz w:val="20"/>
                <w:szCs w:val="20"/>
                <w:lang w:val="en-US"/>
              </w:rPr>
              <w:t>A</w:t>
            </w:r>
          </w:p>
        </w:tc>
      </w:tr>
      <w:tr w:rsidR="00215B41" w:rsidRPr="003B2BE1" w14:paraId="7D1B6CAD" w14:textId="77777777" w:rsidTr="0049359E">
        <w:tc>
          <w:tcPr>
            <w:tcW w:w="1559" w:type="dxa"/>
          </w:tcPr>
          <w:p w14:paraId="4629D78F" w14:textId="77777777" w:rsidR="00215B41" w:rsidRPr="003B2BE1" w:rsidRDefault="00215B41" w:rsidP="0049359E">
            <w:pPr>
              <w:ind w:left="458"/>
              <w:jc w:val="both"/>
              <w:rPr>
                <w:sz w:val="20"/>
                <w:szCs w:val="20"/>
                <w:lang w:val="en-US"/>
              </w:rPr>
            </w:pPr>
            <w:r w:rsidRPr="003B2BE1">
              <w:rPr>
                <w:sz w:val="20"/>
                <w:szCs w:val="20"/>
                <w:lang w:val="en-US"/>
              </w:rPr>
              <w:t>1.5</w:t>
            </w:r>
          </w:p>
        </w:tc>
        <w:tc>
          <w:tcPr>
            <w:tcW w:w="2410" w:type="dxa"/>
          </w:tcPr>
          <w:p w14:paraId="4E3F69D5" w14:textId="77777777" w:rsidR="00215B41" w:rsidRPr="003B2BE1" w:rsidRDefault="00215B41" w:rsidP="0049359E">
            <w:pPr>
              <w:ind w:left="463"/>
              <w:jc w:val="both"/>
              <w:rPr>
                <w:sz w:val="20"/>
                <w:szCs w:val="20"/>
                <w:lang w:val="en-US"/>
              </w:rPr>
            </w:pPr>
            <w:r w:rsidRPr="003B2BE1">
              <w:rPr>
                <w:sz w:val="20"/>
                <w:szCs w:val="20"/>
                <w:lang w:val="en-US"/>
              </w:rPr>
              <w:t>9.667</w:t>
            </w:r>
          </w:p>
        </w:tc>
        <w:tc>
          <w:tcPr>
            <w:tcW w:w="2268" w:type="dxa"/>
          </w:tcPr>
          <w:p w14:paraId="71CBE4E5" w14:textId="77777777" w:rsidR="00215B41" w:rsidRPr="003B2BE1" w:rsidRDefault="00215B41" w:rsidP="0049359E">
            <w:pPr>
              <w:ind w:left="317"/>
              <w:jc w:val="both"/>
              <w:rPr>
                <w:sz w:val="20"/>
                <w:szCs w:val="20"/>
                <w:lang w:val="en-US"/>
              </w:rPr>
            </w:pPr>
            <w:r w:rsidRPr="003B2BE1">
              <w:rPr>
                <w:sz w:val="20"/>
                <w:szCs w:val="20"/>
                <w:lang w:val="en-US"/>
              </w:rPr>
              <w:t>0.351</w:t>
            </w:r>
          </w:p>
        </w:tc>
        <w:tc>
          <w:tcPr>
            <w:tcW w:w="1701" w:type="dxa"/>
          </w:tcPr>
          <w:p w14:paraId="36192133" w14:textId="77777777" w:rsidR="00215B41" w:rsidRPr="003B2BE1" w:rsidRDefault="00215B41" w:rsidP="0049359E">
            <w:pPr>
              <w:ind w:left="179"/>
              <w:jc w:val="both"/>
              <w:rPr>
                <w:sz w:val="20"/>
                <w:szCs w:val="20"/>
                <w:lang w:val="en-US"/>
              </w:rPr>
            </w:pPr>
            <w:r w:rsidRPr="003B2BE1">
              <w:rPr>
                <w:sz w:val="20"/>
                <w:szCs w:val="20"/>
                <w:lang w:val="en-US"/>
              </w:rPr>
              <w:t>B</w:t>
            </w:r>
          </w:p>
        </w:tc>
      </w:tr>
      <w:tr w:rsidR="00215B41" w:rsidRPr="003B2BE1" w14:paraId="2E9799C6" w14:textId="77777777" w:rsidTr="0049359E">
        <w:tc>
          <w:tcPr>
            <w:tcW w:w="1559" w:type="dxa"/>
          </w:tcPr>
          <w:p w14:paraId="2025302C" w14:textId="77777777" w:rsidR="00215B41" w:rsidRPr="003B2BE1" w:rsidRDefault="00215B41" w:rsidP="0049359E">
            <w:pPr>
              <w:ind w:left="458"/>
              <w:jc w:val="both"/>
              <w:rPr>
                <w:sz w:val="20"/>
                <w:szCs w:val="20"/>
                <w:lang w:val="en-US"/>
              </w:rPr>
            </w:pPr>
            <w:r w:rsidRPr="003B2BE1">
              <w:rPr>
                <w:sz w:val="20"/>
                <w:szCs w:val="20"/>
                <w:lang w:val="en-US"/>
              </w:rPr>
              <w:t>2.0</w:t>
            </w:r>
          </w:p>
        </w:tc>
        <w:tc>
          <w:tcPr>
            <w:tcW w:w="2410" w:type="dxa"/>
          </w:tcPr>
          <w:p w14:paraId="4DB5BD42" w14:textId="77777777" w:rsidR="00215B41" w:rsidRPr="003B2BE1" w:rsidRDefault="00215B41" w:rsidP="0049359E">
            <w:pPr>
              <w:ind w:left="463"/>
              <w:jc w:val="both"/>
              <w:rPr>
                <w:sz w:val="20"/>
                <w:szCs w:val="20"/>
                <w:lang w:val="en-US"/>
              </w:rPr>
            </w:pPr>
            <w:r w:rsidRPr="003B2BE1">
              <w:rPr>
                <w:sz w:val="20"/>
                <w:szCs w:val="20"/>
                <w:lang w:val="en-US"/>
              </w:rPr>
              <w:t>9.267</w:t>
            </w:r>
          </w:p>
        </w:tc>
        <w:tc>
          <w:tcPr>
            <w:tcW w:w="2268" w:type="dxa"/>
          </w:tcPr>
          <w:p w14:paraId="502A6C6F" w14:textId="77777777" w:rsidR="00215B41" w:rsidRPr="003B2BE1" w:rsidRDefault="00215B41" w:rsidP="0049359E">
            <w:pPr>
              <w:ind w:left="317"/>
              <w:jc w:val="both"/>
              <w:rPr>
                <w:sz w:val="20"/>
                <w:szCs w:val="20"/>
                <w:lang w:val="en-US"/>
              </w:rPr>
            </w:pPr>
            <w:r w:rsidRPr="003B2BE1">
              <w:rPr>
                <w:sz w:val="20"/>
                <w:szCs w:val="20"/>
                <w:lang w:val="en-US"/>
              </w:rPr>
              <w:t>0.306</w:t>
            </w:r>
          </w:p>
        </w:tc>
        <w:tc>
          <w:tcPr>
            <w:tcW w:w="1701" w:type="dxa"/>
          </w:tcPr>
          <w:p w14:paraId="068EC7E7" w14:textId="77777777" w:rsidR="00215B41" w:rsidRPr="003B2BE1" w:rsidRDefault="00215B41" w:rsidP="0049359E">
            <w:pPr>
              <w:ind w:left="179"/>
              <w:jc w:val="both"/>
              <w:rPr>
                <w:sz w:val="20"/>
                <w:szCs w:val="20"/>
                <w:lang w:val="en-US"/>
              </w:rPr>
            </w:pPr>
            <w:r w:rsidRPr="003B2BE1">
              <w:rPr>
                <w:sz w:val="20"/>
                <w:szCs w:val="20"/>
                <w:lang w:val="en-US"/>
              </w:rPr>
              <w:t>B, C</w:t>
            </w:r>
          </w:p>
        </w:tc>
      </w:tr>
      <w:tr w:rsidR="00215B41" w:rsidRPr="003B2BE1" w14:paraId="623FA4A7" w14:textId="77777777" w:rsidTr="0049359E">
        <w:tc>
          <w:tcPr>
            <w:tcW w:w="1559" w:type="dxa"/>
          </w:tcPr>
          <w:p w14:paraId="08F304E5" w14:textId="77777777" w:rsidR="00215B41" w:rsidRPr="003B2BE1" w:rsidRDefault="00215B41" w:rsidP="0049359E">
            <w:pPr>
              <w:ind w:left="458"/>
              <w:jc w:val="both"/>
              <w:rPr>
                <w:sz w:val="20"/>
                <w:szCs w:val="20"/>
                <w:lang w:val="en-US"/>
              </w:rPr>
            </w:pPr>
            <w:r w:rsidRPr="003B2BE1">
              <w:rPr>
                <w:sz w:val="20"/>
                <w:szCs w:val="20"/>
                <w:lang w:val="en-US"/>
              </w:rPr>
              <w:t>2.5</w:t>
            </w:r>
          </w:p>
        </w:tc>
        <w:tc>
          <w:tcPr>
            <w:tcW w:w="2410" w:type="dxa"/>
          </w:tcPr>
          <w:p w14:paraId="6E0F6F00" w14:textId="77777777" w:rsidR="00215B41" w:rsidRPr="003B2BE1" w:rsidRDefault="00215B41" w:rsidP="0049359E">
            <w:pPr>
              <w:ind w:left="463"/>
              <w:jc w:val="both"/>
              <w:rPr>
                <w:sz w:val="20"/>
                <w:szCs w:val="20"/>
                <w:lang w:val="en-US"/>
              </w:rPr>
            </w:pPr>
            <w:r w:rsidRPr="003B2BE1">
              <w:rPr>
                <w:sz w:val="20"/>
                <w:szCs w:val="20"/>
                <w:lang w:val="en-US"/>
              </w:rPr>
              <w:t>8.800</w:t>
            </w:r>
          </w:p>
        </w:tc>
        <w:tc>
          <w:tcPr>
            <w:tcW w:w="2268" w:type="dxa"/>
          </w:tcPr>
          <w:p w14:paraId="61223A79" w14:textId="77777777" w:rsidR="00215B41" w:rsidRPr="003B2BE1" w:rsidRDefault="00215B41" w:rsidP="0049359E">
            <w:pPr>
              <w:ind w:left="317"/>
              <w:jc w:val="both"/>
              <w:rPr>
                <w:sz w:val="20"/>
                <w:szCs w:val="20"/>
                <w:lang w:val="en-US"/>
              </w:rPr>
            </w:pPr>
            <w:r w:rsidRPr="003B2BE1">
              <w:rPr>
                <w:sz w:val="20"/>
                <w:szCs w:val="20"/>
                <w:lang w:val="en-US"/>
              </w:rPr>
              <w:t>0.173</w:t>
            </w:r>
          </w:p>
        </w:tc>
        <w:tc>
          <w:tcPr>
            <w:tcW w:w="1701" w:type="dxa"/>
          </w:tcPr>
          <w:p w14:paraId="792A2E50" w14:textId="77777777" w:rsidR="00215B41" w:rsidRPr="003B2BE1" w:rsidRDefault="00215B41" w:rsidP="0049359E">
            <w:pPr>
              <w:ind w:left="179"/>
              <w:jc w:val="both"/>
              <w:rPr>
                <w:sz w:val="20"/>
                <w:szCs w:val="20"/>
                <w:lang w:val="en-US"/>
              </w:rPr>
            </w:pPr>
            <w:r w:rsidRPr="003B2BE1">
              <w:rPr>
                <w:sz w:val="20"/>
                <w:szCs w:val="20"/>
                <w:lang w:val="en-US"/>
              </w:rPr>
              <w:t>C</w:t>
            </w:r>
          </w:p>
        </w:tc>
      </w:tr>
      <w:tr w:rsidR="00215B41" w:rsidRPr="003B2BE1" w14:paraId="104DE434" w14:textId="77777777" w:rsidTr="0049359E">
        <w:tc>
          <w:tcPr>
            <w:tcW w:w="1559" w:type="dxa"/>
          </w:tcPr>
          <w:p w14:paraId="3E9C8298" w14:textId="77777777" w:rsidR="00215B41" w:rsidRPr="003B2BE1" w:rsidRDefault="00215B41" w:rsidP="0049359E">
            <w:pPr>
              <w:ind w:left="458"/>
              <w:jc w:val="both"/>
              <w:rPr>
                <w:sz w:val="20"/>
                <w:szCs w:val="20"/>
                <w:lang w:val="en-US"/>
              </w:rPr>
            </w:pPr>
            <w:r w:rsidRPr="003B2BE1">
              <w:rPr>
                <w:sz w:val="20"/>
                <w:szCs w:val="20"/>
                <w:lang w:val="en-US"/>
              </w:rPr>
              <w:t>3.0</w:t>
            </w:r>
          </w:p>
        </w:tc>
        <w:tc>
          <w:tcPr>
            <w:tcW w:w="2410" w:type="dxa"/>
          </w:tcPr>
          <w:p w14:paraId="154AD897" w14:textId="77777777" w:rsidR="00215B41" w:rsidRPr="003B2BE1" w:rsidRDefault="00215B41" w:rsidP="0049359E">
            <w:pPr>
              <w:ind w:left="463"/>
              <w:jc w:val="both"/>
              <w:rPr>
                <w:sz w:val="20"/>
                <w:szCs w:val="20"/>
                <w:lang w:val="en-US"/>
              </w:rPr>
            </w:pPr>
            <w:r w:rsidRPr="003B2BE1">
              <w:rPr>
                <w:sz w:val="20"/>
                <w:szCs w:val="20"/>
                <w:lang w:val="en-US"/>
              </w:rPr>
              <w:t>5.333</w:t>
            </w:r>
          </w:p>
        </w:tc>
        <w:tc>
          <w:tcPr>
            <w:tcW w:w="2268" w:type="dxa"/>
          </w:tcPr>
          <w:p w14:paraId="7363C463" w14:textId="77777777" w:rsidR="00215B41" w:rsidRPr="003B2BE1" w:rsidRDefault="00215B41" w:rsidP="0049359E">
            <w:pPr>
              <w:ind w:left="317"/>
              <w:jc w:val="both"/>
              <w:rPr>
                <w:sz w:val="20"/>
                <w:szCs w:val="20"/>
                <w:lang w:val="en-US"/>
              </w:rPr>
            </w:pPr>
            <w:r w:rsidRPr="003B2BE1">
              <w:rPr>
                <w:sz w:val="20"/>
                <w:szCs w:val="20"/>
                <w:lang w:val="en-US"/>
              </w:rPr>
              <w:t>0.416</w:t>
            </w:r>
          </w:p>
        </w:tc>
        <w:tc>
          <w:tcPr>
            <w:tcW w:w="1701" w:type="dxa"/>
          </w:tcPr>
          <w:p w14:paraId="5571F842" w14:textId="77777777" w:rsidR="00215B41" w:rsidRPr="003B2BE1" w:rsidRDefault="00215B41" w:rsidP="0049359E">
            <w:pPr>
              <w:ind w:left="179"/>
              <w:jc w:val="both"/>
              <w:rPr>
                <w:sz w:val="20"/>
                <w:szCs w:val="20"/>
                <w:lang w:val="en-US"/>
              </w:rPr>
            </w:pPr>
            <w:r w:rsidRPr="003B2BE1">
              <w:rPr>
                <w:sz w:val="20"/>
                <w:szCs w:val="20"/>
                <w:lang w:val="en-US"/>
              </w:rPr>
              <w:t>D</w:t>
            </w:r>
          </w:p>
        </w:tc>
      </w:tr>
      <w:tr w:rsidR="00215B41" w:rsidRPr="003B2BE1" w14:paraId="5030919B" w14:textId="77777777" w:rsidTr="0049359E">
        <w:tc>
          <w:tcPr>
            <w:tcW w:w="1559" w:type="dxa"/>
          </w:tcPr>
          <w:p w14:paraId="17386BC5" w14:textId="77777777" w:rsidR="00215B41" w:rsidRPr="003B2BE1" w:rsidRDefault="00215B41" w:rsidP="0049359E">
            <w:pPr>
              <w:ind w:left="458"/>
              <w:jc w:val="both"/>
              <w:rPr>
                <w:sz w:val="20"/>
                <w:szCs w:val="20"/>
                <w:lang w:val="en-US"/>
              </w:rPr>
            </w:pPr>
            <w:r w:rsidRPr="003B2BE1">
              <w:rPr>
                <w:sz w:val="20"/>
                <w:szCs w:val="20"/>
                <w:lang w:val="en-US"/>
              </w:rPr>
              <w:t>3.5</w:t>
            </w:r>
          </w:p>
        </w:tc>
        <w:tc>
          <w:tcPr>
            <w:tcW w:w="2410" w:type="dxa"/>
          </w:tcPr>
          <w:p w14:paraId="6A8B25FA" w14:textId="77777777" w:rsidR="00215B41" w:rsidRPr="003B2BE1" w:rsidRDefault="00215B41" w:rsidP="0049359E">
            <w:pPr>
              <w:ind w:left="463"/>
              <w:jc w:val="both"/>
              <w:rPr>
                <w:sz w:val="20"/>
                <w:szCs w:val="20"/>
                <w:lang w:val="en-US"/>
              </w:rPr>
            </w:pPr>
            <w:r w:rsidRPr="003B2BE1">
              <w:rPr>
                <w:sz w:val="20"/>
                <w:szCs w:val="20"/>
                <w:lang w:val="en-US"/>
              </w:rPr>
              <w:t>2.100</w:t>
            </w:r>
          </w:p>
        </w:tc>
        <w:tc>
          <w:tcPr>
            <w:tcW w:w="2268" w:type="dxa"/>
          </w:tcPr>
          <w:p w14:paraId="773CD79C" w14:textId="77777777" w:rsidR="00215B41" w:rsidRPr="003B2BE1" w:rsidRDefault="00215B41" w:rsidP="0049359E">
            <w:pPr>
              <w:ind w:left="317"/>
              <w:jc w:val="both"/>
              <w:rPr>
                <w:sz w:val="20"/>
                <w:szCs w:val="20"/>
                <w:lang w:val="en-US"/>
              </w:rPr>
            </w:pPr>
            <w:r w:rsidRPr="003B2BE1">
              <w:rPr>
                <w:sz w:val="20"/>
                <w:szCs w:val="20"/>
                <w:lang w:val="en-US"/>
              </w:rPr>
              <w:t>0.100</w:t>
            </w:r>
          </w:p>
        </w:tc>
        <w:tc>
          <w:tcPr>
            <w:tcW w:w="1701" w:type="dxa"/>
          </w:tcPr>
          <w:p w14:paraId="74287C2C" w14:textId="77777777" w:rsidR="00215B41" w:rsidRPr="003B2BE1" w:rsidRDefault="00215B41" w:rsidP="0049359E">
            <w:pPr>
              <w:ind w:left="179"/>
              <w:jc w:val="both"/>
              <w:rPr>
                <w:sz w:val="20"/>
                <w:szCs w:val="20"/>
                <w:lang w:val="en-US"/>
              </w:rPr>
            </w:pPr>
            <w:r w:rsidRPr="003B2BE1">
              <w:rPr>
                <w:sz w:val="20"/>
                <w:szCs w:val="20"/>
                <w:lang w:val="en-US"/>
              </w:rPr>
              <w:t>E</w:t>
            </w:r>
          </w:p>
        </w:tc>
      </w:tr>
      <w:tr w:rsidR="00215B41" w:rsidRPr="003B2BE1" w14:paraId="5BB40FCB" w14:textId="77777777" w:rsidTr="0049359E">
        <w:tc>
          <w:tcPr>
            <w:tcW w:w="1559" w:type="dxa"/>
          </w:tcPr>
          <w:p w14:paraId="724EB741" w14:textId="77777777" w:rsidR="00215B41" w:rsidRPr="003B2BE1" w:rsidRDefault="00215B41" w:rsidP="0049359E">
            <w:pPr>
              <w:ind w:left="458"/>
              <w:jc w:val="both"/>
              <w:rPr>
                <w:sz w:val="20"/>
                <w:szCs w:val="20"/>
                <w:lang w:val="en-US"/>
              </w:rPr>
            </w:pPr>
            <w:r w:rsidRPr="003B2BE1">
              <w:rPr>
                <w:sz w:val="20"/>
                <w:szCs w:val="20"/>
                <w:lang w:val="en-US"/>
              </w:rPr>
              <w:t>4.0</w:t>
            </w:r>
          </w:p>
        </w:tc>
        <w:tc>
          <w:tcPr>
            <w:tcW w:w="2410" w:type="dxa"/>
          </w:tcPr>
          <w:p w14:paraId="50D9318C" w14:textId="77777777" w:rsidR="00215B41" w:rsidRPr="003B2BE1" w:rsidRDefault="00215B41" w:rsidP="0049359E">
            <w:pPr>
              <w:ind w:left="463"/>
              <w:jc w:val="both"/>
              <w:rPr>
                <w:sz w:val="20"/>
                <w:szCs w:val="20"/>
                <w:lang w:val="en-US"/>
              </w:rPr>
            </w:pPr>
            <w:r w:rsidRPr="003B2BE1">
              <w:rPr>
                <w:sz w:val="20"/>
                <w:szCs w:val="20"/>
                <w:lang w:val="en-US"/>
              </w:rPr>
              <w:t>1.767</w:t>
            </w:r>
          </w:p>
        </w:tc>
        <w:tc>
          <w:tcPr>
            <w:tcW w:w="2268" w:type="dxa"/>
          </w:tcPr>
          <w:p w14:paraId="374EA84B" w14:textId="77777777" w:rsidR="00215B41" w:rsidRPr="003B2BE1" w:rsidRDefault="00215B41" w:rsidP="0049359E">
            <w:pPr>
              <w:ind w:left="317"/>
              <w:jc w:val="both"/>
              <w:rPr>
                <w:sz w:val="20"/>
                <w:szCs w:val="20"/>
                <w:lang w:val="en-US"/>
              </w:rPr>
            </w:pPr>
            <w:r w:rsidRPr="003B2BE1">
              <w:rPr>
                <w:sz w:val="20"/>
                <w:szCs w:val="20"/>
                <w:lang w:val="en-US"/>
              </w:rPr>
              <w:t>0.058</w:t>
            </w:r>
          </w:p>
        </w:tc>
        <w:tc>
          <w:tcPr>
            <w:tcW w:w="1701" w:type="dxa"/>
          </w:tcPr>
          <w:p w14:paraId="5F9B1651" w14:textId="77777777" w:rsidR="00215B41" w:rsidRPr="003B2BE1" w:rsidRDefault="00215B41" w:rsidP="0049359E">
            <w:pPr>
              <w:ind w:left="179"/>
              <w:jc w:val="both"/>
              <w:rPr>
                <w:sz w:val="20"/>
                <w:szCs w:val="20"/>
                <w:lang w:val="en-US"/>
              </w:rPr>
            </w:pPr>
            <w:r w:rsidRPr="003B2BE1">
              <w:rPr>
                <w:sz w:val="20"/>
                <w:szCs w:val="20"/>
                <w:lang w:val="en-US"/>
              </w:rPr>
              <w:t>E, F</w:t>
            </w:r>
          </w:p>
        </w:tc>
      </w:tr>
      <w:tr w:rsidR="00215B41" w:rsidRPr="003B2BE1" w14:paraId="792D1F52" w14:textId="77777777" w:rsidTr="0049359E">
        <w:tc>
          <w:tcPr>
            <w:tcW w:w="1559" w:type="dxa"/>
          </w:tcPr>
          <w:p w14:paraId="25CECDF1" w14:textId="77777777" w:rsidR="00215B41" w:rsidRPr="003B2BE1" w:rsidRDefault="00215B41" w:rsidP="0049359E">
            <w:pPr>
              <w:ind w:left="458"/>
              <w:jc w:val="both"/>
              <w:rPr>
                <w:sz w:val="20"/>
                <w:szCs w:val="20"/>
                <w:lang w:val="en-US"/>
              </w:rPr>
            </w:pPr>
            <w:r w:rsidRPr="003B2BE1">
              <w:rPr>
                <w:sz w:val="20"/>
                <w:szCs w:val="20"/>
                <w:lang w:val="en-US"/>
              </w:rPr>
              <w:t>4.5</w:t>
            </w:r>
          </w:p>
        </w:tc>
        <w:tc>
          <w:tcPr>
            <w:tcW w:w="2410" w:type="dxa"/>
          </w:tcPr>
          <w:p w14:paraId="09BF5F4F" w14:textId="77777777" w:rsidR="00215B41" w:rsidRPr="003B2BE1" w:rsidRDefault="00215B41" w:rsidP="0049359E">
            <w:pPr>
              <w:ind w:left="463"/>
              <w:jc w:val="both"/>
              <w:rPr>
                <w:sz w:val="20"/>
                <w:szCs w:val="20"/>
                <w:lang w:val="en-US"/>
              </w:rPr>
            </w:pPr>
            <w:r w:rsidRPr="003B2BE1">
              <w:rPr>
                <w:sz w:val="20"/>
                <w:szCs w:val="20"/>
                <w:lang w:val="en-US"/>
              </w:rPr>
              <w:t>1.800</w:t>
            </w:r>
          </w:p>
        </w:tc>
        <w:tc>
          <w:tcPr>
            <w:tcW w:w="2268" w:type="dxa"/>
          </w:tcPr>
          <w:p w14:paraId="0DB81B7D" w14:textId="77777777" w:rsidR="00215B41" w:rsidRPr="003B2BE1" w:rsidRDefault="00215B41" w:rsidP="0049359E">
            <w:pPr>
              <w:ind w:left="317"/>
              <w:jc w:val="both"/>
              <w:rPr>
                <w:sz w:val="20"/>
                <w:szCs w:val="20"/>
                <w:lang w:val="en-US"/>
              </w:rPr>
            </w:pPr>
            <w:r w:rsidRPr="003B2BE1">
              <w:rPr>
                <w:sz w:val="20"/>
                <w:szCs w:val="20"/>
                <w:lang w:val="en-US"/>
              </w:rPr>
              <w:t>0.100</w:t>
            </w:r>
          </w:p>
        </w:tc>
        <w:tc>
          <w:tcPr>
            <w:tcW w:w="1701" w:type="dxa"/>
          </w:tcPr>
          <w:p w14:paraId="6B035051" w14:textId="77777777" w:rsidR="00215B41" w:rsidRPr="003B2BE1" w:rsidRDefault="00215B41" w:rsidP="0049359E">
            <w:pPr>
              <w:ind w:left="179"/>
              <w:jc w:val="both"/>
              <w:rPr>
                <w:sz w:val="20"/>
                <w:szCs w:val="20"/>
                <w:lang w:val="en-US"/>
              </w:rPr>
            </w:pPr>
            <w:r w:rsidRPr="003B2BE1">
              <w:rPr>
                <w:sz w:val="20"/>
                <w:szCs w:val="20"/>
                <w:lang w:val="en-US"/>
              </w:rPr>
              <w:t>E, F</w:t>
            </w:r>
          </w:p>
        </w:tc>
      </w:tr>
      <w:tr w:rsidR="00215B41" w:rsidRPr="003B2BE1" w14:paraId="1598799E" w14:textId="77777777" w:rsidTr="0049359E">
        <w:tc>
          <w:tcPr>
            <w:tcW w:w="1559" w:type="dxa"/>
          </w:tcPr>
          <w:p w14:paraId="53177C35" w14:textId="77777777" w:rsidR="00215B41" w:rsidRPr="003B2BE1" w:rsidRDefault="00215B41" w:rsidP="0049359E">
            <w:pPr>
              <w:ind w:left="458"/>
              <w:jc w:val="both"/>
              <w:rPr>
                <w:sz w:val="20"/>
                <w:szCs w:val="20"/>
                <w:lang w:val="en-US"/>
              </w:rPr>
            </w:pPr>
            <w:r w:rsidRPr="003B2BE1">
              <w:rPr>
                <w:sz w:val="20"/>
                <w:szCs w:val="20"/>
                <w:lang w:val="en-US"/>
              </w:rPr>
              <w:t>5.0</w:t>
            </w:r>
          </w:p>
        </w:tc>
        <w:tc>
          <w:tcPr>
            <w:tcW w:w="2410" w:type="dxa"/>
          </w:tcPr>
          <w:p w14:paraId="4704DAFD" w14:textId="77777777" w:rsidR="00215B41" w:rsidRPr="003B2BE1" w:rsidRDefault="00215B41" w:rsidP="0049359E">
            <w:pPr>
              <w:ind w:left="463"/>
              <w:jc w:val="both"/>
              <w:rPr>
                <w:sz w:val="20"/>
                <w:szCs w:val="20"/>
                <w:lang w:val="en-US"/>
              </w:rPr>
            </w:pPr>
            <w:r w:rsidRPr="003B2BE1">
              <w:rPr>
                <w:sz w:val="20"/>
                <w:szCs w:val="20"/>
                <w:lang w:val="en-US"/>
              </w:rPr>
              <w:t>1.367</w:t>
            </w:r>
          </w:p>
        </w:tc>
        <w:tc>
          <w:tcPr>
            <w:tcW w:w="2268" w:type="dxa"/>
          </w:tcPr>
          <w:p w14:paraId="2051FEAB" w14:textId="77777777" w:rsidR="00215B41" w:rsidRPr="003B2BE1" w:rsidRDefault="00215B41" w:rsidP="0049359E">
            <w:pPr>
              <w:ind w:left="317"/>
              <w:jc w:val="both"/>
              <w:rPr>
                <w:sz w:val="20"/>
                <w:szCs w:val="20"/>
                <w:lang w:val="en-US"/>
              </w:rPr>
            </w:pPr>
            <w:r w:rsidRPr="003B2BE1">
              <w:rPr>
                <w:sz w:val="20"/>
                <w:szCs w:val="20"/>
                <w:lang w:val="en-US"/>
              </w:rPr>
              <w:t>0.058</w:t>
            </w:r>
          </w:p>
        </w:tc>
        <w:tc>
          <w:tcPr>
            <w:tcW w:w="1701" w:type="dxa"/>
          </w:tcPr>
          <w:p w14:paraId="04A3A909" w14:textId="77777777" w:rsidR="00215B41" w:rsidRPr="003B2BE1" w:rsidRDefault="00215B41" w:rsidP="0049359E">
            <w:pPr>
              <w:ind w:left="179"/>
              <w:jc w:val="both"/>
              <w:rPr>
                <w:sz w:val="20"/>
                <w:szCs w:val="20"/>
                <w:lang w:val="en-US"/>
              </w:rPr>
            </w:pPr>
            <w:r w:rsidRPr="003B2BE1">
              <w:rPr>
                <w:sz w:val="20"/>
                <w:szCs w:val="20"/>
                <w:lang w:val="en-US"/>
              </w:rPr>
              <w:t>F</w:t>
            </w:r>
          </w:p>
        </w:tc>
      </w:tr>
    </w:tbl>
    <w:p w14:paraId="157E507B" w14:textId="3577850C" w:rsidR="00215B41" w:rsidRPr="00CA3B20" w:rsidRDefault="00215B41" w:rsidP="00CA3B20">
      <w:pPr>
        <w:ind w:left="567"/>
        <w:jc w:val="both"/>
        <w:rPr>
          <w:i/>
          <w:iCs/>
          <w:sz w:val="18"/>
          <w:szCs w:val="18"/>
          <w:lang w:val="en-US"/>
        </w:rPr>
      </w:pPr>
      <w:r w:rsidRPr="00CA3B20">
        <w:rPr>
          <w:i/>
          <w:iCs/>
          <w:sz w:val="18"/>
          <w:szCs w:val="18"/>
          <w:lang w:val="en-US"/>
        </w:rPr>
        <w:t xml:space="preserve">Note: One-way ANOVA followed by Tukey’s HSD test. Values are mean ± SD (n </w:t>
      </w:r>
      <w:r w:rsidR="005818D5" w:rsidRPr="00CA3B20">
        <w:rPr>
          <w:i/>
          <w:iCs/>
          <w:sz w:val="18"/>
          <w:szCs w:val="18"/>
          <w:lang w:val="en-US"/>
        </w:rPr>
        <w:t>=</w:t>
      </w:r>
      <w:r w:rsidRPr="00CA3B20">
        <w:rPr>
          <w:i/>
          <w:iCs/>
          <w:sz w:val="18"/>
          <w:szCs w:val="18"/>
          <w:lang w:val="en-US"/>
        </w:rPr>
        <w:t xml:space="preserve"> 3). Means that do not share the same letter are significantly different (</w:t>
      </w:r>
      <w:r w:rsidR="002049D9" w:rsidRPr="00CA3B20">
        <w:rPr>
          <w:i/>
          <w:iCs/>
          <w:sz w:val="18"/>
          <w:szCs w:val="18"/>
          <w:lang w:val="en-US"/>
        </w:rPr>
        <w:t>P</w:t>
      </w:r>
      <w:r w:rsidRPr="00CA3B20">
        <w:rPr>
          <w:i/>
          <w:iCs/>
          <w:sz w:val="18"/>
          <w:szCs w:val="18"/>
          <w:lang w:val="en-US"/>
        </w:rPr>
        <w:t xml:space="preserve"> &lt; 0.05).</w:t>
      </w:r>
    </w:p>
    <w:p w14:paraId="22F06333" w14:textId="22A4D3F2" w:rsidR="005E58B8" w:rsidRPr="005E58B8" w:rsidRDefault="005E58B8" w:rsidP="00CA3B20">
      <w:pPr>
        <w:ind w:left="567"/>
        <w:jc w:val="both"/>
        <w:rPr>
          <w:sz w:val="20"/>
          <w:szCs w:val="20"/>
          <w:lang w:val="en-US"/>
        </w:rPr>
      </w:pPr>
      <w:r w:rsidRPr="005E58B8">
        <w:rPr>
          <w:sz w:val="20"/>
          <w:szCs w:val="20"/>
        </w:rPr>
        <w:t>The protease</w:t>
      </w:r>
      <w:r>
        <w:rPr>
          <w:sz w:val="20"/>
          <w:szCs w:val="20"/>
          <w:lang w:val="en-US"/>
        </w:rPr>
        <w:t xml:space="preserve"> </w:t>
      </w:r>
      <w:r w:rsidRPr="005E58B8">
        <w:rPr>
          <w:sz w:val="20"/>
          <w:szCs w:val="20"/>
        </w:rPr>
        <w:t xml:space="preserve">activity is similar to </w:t>
      </w:r>
      <w:r>
        <w:rPr>
          <w:sz w:val="20"/>
          <w:szCs w:val="20"/>
          <w:lang w:val="en-US"/>
        </w:rPr>
        <w:t>activity</w:t>
      </w:r>
      <w:r w:rsidRPr="005E58B8">
        <w:rPr>
          <w:sz w:val="20"/>
          <w:szCs w:val="20"/>
        </w:rPr>
        <w:t xml:space="preserve"> of amylase but has a higher value (Figure 3). Protease activity is highest at salt concentrations of 0 - 0.5% NaCl (31.9 - 32.2 U/mL). This activity decreases as salinity increases, with a sharp drop observed in salt concentrations of ≥3% NaCl. At 5% NaCl, the activity of the protease decreases to 5.73 U/mL, which corresponds to approximately 82% inhibition.</w:t>
      </w:r>
    </w:p>
    <w:p w14:paraId="4EE55A60" w14:textId="77777777" w:rsidR="00215B41" w:rsidRPr="003B2BE1" w:rsidRDefault="00215B41" w:rsidP="00D81247">
      <w:pPr>
        <w:spacing w:before="121"/>
        <w:ind w:left="567"/>
        <w:jc w:val="center"/>
        <w:rPr>
          <w:sz w:val="20"/>
          <w:szCs w:val="20"/>
          <w:lang w:val="en-US"/>
        </w:rPr>
      </w:pPr>
      <w:r w:rsidRPr="003B2BE1">
        <w:rPr>
          <w:noProof/>
          <w:sz w:val="20"/>
          <w:szCs w:val="20"/>
          <w:lang w:val="en-US"/>
        </w:rPr>
        <w:lastRenderedPageBreak/>
        <w:drawing>
          <wp:inline distT="0" distB="0" distL="0" distR="0" wp14:anchorId="013FFBE5" wp14:editId="2BFCB134">
            <wp:extent cx="5129530" cy="1876022"/>
            <wp:effectExtent l="0" t="0" r="13970" b="10160"/>
            <wp:docPr id="76043775" name="Chart 1">
              <a:extLst xmlns:a="http://schemas.openxmlformats.org/drawingml/2006/main">
                <a:ext uri="{FF2B5EF4-FFF2-40B4-BE49-F238E27FC236}">
                  <a16:creationId xmlns:a16="http://schemas.microsoft.com/office/drawing/2014/main" id="{F1FCEDCC-34B4-F361-ECE7-CD8A2AC5FE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FC8F801" w14:textId="4408B04A" w:rsidR="00215B41" w:rsidRPr="003B2BE1" w:rsidRDefault="00215B41" w:rsidP="00CA3B20">
      <w:pPr>
        <w:ind w:left="567"/>
        <w:jc w:val="both"/>
        <w:rPr>
          <w:sz w:val="20"/>
          <w:szCs w:val="20"/>
          <w:lang w:val="en-US"/>
        </w:rPr>
      </w:pPr>
      <w:r w:rsidRPr="00CA3B20">
        <w:rPr>
          <w:b/>
          <w:bCs/>
          <w:sz w:val="20"/>
          <w:szCs w:val="20"/>
          <w:lang w:val="en-US"/>
        </w:rPr>
        <w:t>Figure 3.</w:t>
      </w:r>
      <w:r w:rsidRPr="003B2BE1">
        <w:rPr>
          <w:sz w:val="20"/>
          <w:szCs w:val="20"/>
          <w:lang w:val="en-US"/>
        </w:rPr>
        <w:t xml:space="preserve"> Effect of NaCl concentration on protease activity of </w:t>
      </w:r>
      <w:r w:rsidRPr="00444164">
        <w:rPr>
          <w:i/>
          <w:iCs/>
          <w:sz w:val="20"/>
          <w:szCs w:val="20"/>
          <w:lang w:val="en-US"/>
        </w:rPr>
        <w:t xml:space="preserve">B. </w:t>
      </w:r>
      <w:proofErr w:type="spellStart"/>
      <w:r w:rsidRPr="00444164">
        <w:rPr>
          <w:i/>
          <w:iCs/>
          <w:sz w:val="20"/>
          <w:szCs w:val="20"/>
          <w:lang w:val="en-US"/>
        </w:rPr>
        <w:t>coagulans</w:t>
      </w:r>
      <w:proofErr w:type="spellEnd"/>
      <w:r w:rsidRPr="003B2BE1">
        <w:rPr>
          <w:sz w:val="20"/>
          <w:szCs w:val="20"/>
          <w:lang w:val="en-US"/>
        </w:rPr>
        <w:t xml:space="preserve"> after 24 h incubation. Different letters above bars indicate statistically significant differences (</w:t>
      </w:r>
      <w:r w:rsidR="002049D9">
        <w:rPr>
          <w:i/>
          <w:iCs/>
          <w:sz w:val="20"/>
          <w:szCs w:val="20"/>
          <w:lang w:val="en-US"/>
        </w:rPr>
        <w:t>P</w:t>
      </w:r>
      <w:r w:rsidRPr="003B2BE1">
        <w:rPr>
          <w:sz w:val="20"/>
          <w:szCs w:val="20"/>
          <w:lang w:val="en-US"/>
        </w:rPr>
        <w:t xml:space="preserve"> &lt; 0.05, Tukey HSD).</w:t>
      </w:r>
    </w:p>
    <w:p w14:paraId="4E8ED37A" w14:textId="0C594A96" w:rsidR="007F5842" w:rsidRPr="003B2BE1" w:rsidRDefault="007F5842" w:rsidP="00CA3B20">
      <w:pPr>
        <w:ind w:left="567"/>
        <w:jc w:val="both"/>
        <w:rPr>
          <w:sz w:val="20"/>
          <w:szCs w:val="20"/>
          <w:lang w:val="en-US"/>
        </w:rPr>
      </w:pPr>
      <w:r w:rsidRPr="003B2BE1">
        <w:rPr>
          <w:sz w:val="20"/>
          <w:szCs w:val="20"/>
          <w:lang w:val="en-US"/>
        </w:rPr>
        <w:t>ANOVA results showed that NaCl concentration significantly influenced protease production (F10,22 = 2802.73, p &lt; 0.001). Tukey’s HSD test identified eight statistically distinct groups, reflecting the strong sensitivity of protease biosynthesis to salt stress (Table 2).</w:t>
      </w:r>
    </w:p>
    <w:p w14:paraId="6A795FFF" w14:textId="64C6BB7D" w:rsidR="00215B41" w:rsidRPr="003B2BE1" w:rsidRDefault="00215B41" w:rsidP="00CA3B20">
      <w:pPr>
        <w:ind w:left="567"/>
        <w:jc w:val="both"/>
        <w:rPr>
          <w:sz w:val="20"/>
          <w:szCs w:val="20"/>
          <w:lang w:val="en-US"/>
        </w:rPr>
      </w:pPr>
      <w:r w:rsidRPr="00CA3B20">
        <w:rPr>
          <w:b/>
          <w:bCs/>
          <w:sz w:val="20"/>
          <w:szCs w:val="20"/>
          <w:lang w:val="en-US"/>
        </w:rPr>
        <w:t>Table 2.</w:t>
      </w:r>
      <w:r w:rsidRPr="003B2BE1">
        <w:rPr>
          <w:sz w:val="20"/>
          <w:szCs w:val="20"/>
          <w:lang w:val="en-US"/>
        </w:rPr>
        <w:t xml:space="preserve"> One-way ANOVA and Tukey HSD grouping showing the effect of NaCl concentration on protease activity of </w:t>
      </w:r>
      <w:r w:rsidRPr="00690EBB">
        <w:rPr>
          <w:i/>
          <w:iCs/>
          <w:sz w:val="20"/>
          <w:szCs w:val="20"/>
          <w:lang w:val="en-US"/>
        </w:rPr>
        <w:t xml:space="preserve">B. </w:t>
      </w:r>
      <w:proofErr w:type="spellStart"/>
      <w:r w:rsidRPr="00690EBB">
        <w:rPr>
          <w:i/>
          <w:iCs/>
          <w:sz w:val="20"/>
          <w:szCs w:val="20"/>
          <w:lang w:val="en-US"/>
        </w:rPr>
        <w:t>coagulans</w:t>
      </w:r>
      <w:proofErr w:type="spellEnd"/>
      <w:r w:rsidRPr="003B2BE1">
        <w:rPr>
          <w:sz w:val="20"/>
          <w:szCs w:val="20"/>
          <w:lang w:val="en-US"/>
        </w:rPr>
        <w:t>.</w:t>
      </w:r>
      <w:r w:rsidR="005818D5" w:rsidRPr="003B2BE1">
        <w:rPr>
          <w:sz w:val="20"/>
          <w:szCs w:val="20"/>
          <w:lang w:val="en-US"/>
        </w:rPr>
        <w:t xml:space="preserve"> </w:t>
      </w:r>
      <w:r w:rsidRPr="003B2BE1">
        <w:rPr>
          <w:sz w:val="20"/>
          <w:szCs w:val="20"/>
          <w:lang w:val="en-US"/>
        </w:rPr>
        <w:t xml:space="preserve">Values are mean ± SD (n = 3). Means that do not share the same letter are significantly different at </w:t>
      </w:r>
      <w:r w:rsidR="002049D9" w:rsidRPr="002049D9">
        <w:rPr>
          <w:i/>
          <w:iCs/>
          <w:sz w:val="20"/>
          <w:szCs w:val="20"/>
          <w:lang w:val="en-US"/>
        </w:rPr>
        <w:t>P</w:t>
      </w:r>
      <w:r w:rsidRPr="003B2BE1">
        <w:rPr>
          <w:sz w:val="20"/>
          <w:szCs w:val="20"/>
          <w:lang w:val="en-US"/>
        </w:rPr>
        <w:t xml:space="preserve"> &lt; 0.05 (Tukey HSD).</w:t>
      </w:r>
    </w:p>
    <w:p w14:paraId="4D64B664" w14:textId="77777777" w:rsidR="00215B41" w:rsidRPr="003B2BE1" w:rsidRDefault="00215B41" w:rsidP="00CA3B20">
      <w:pPr>
        <w:ind w:left="567"/>
        <w:jc w:val="both"/>
        <w:rPr>
          <w:sz w:val="20"/>
          <w:szCs w:val="20"/>
          <w:lang w:val="en-US"/>
        </w:rPr>
      </w:pPr>
      <w:r w:rsidRPr="003B2BE1">
        <w:rPr>
          <w:sz w:val="20"/>
          <w:szCs w:val="20"/>
          <w:lang w:val="en-US"/>
        </w:rPr>
        <w:t>A. Analysis of Variance (ANOVA)</w:t>
      </w:r>
    </w:p>
    <w:tbl>
      <w:tblPr>
        <w:tblW w:w="8258" w:type="dxa"/>
        <w:tblInd w:w="562" w:type="dxa"/>
        <w:tblLook w:val="04A0" w:firstRow="1" w:lastRow="0" w:firstColumn="1" w:lastColumn="0" w:noHBand="0" w:noVBand="1"/>
      </w:tblPr>
      <w:tblGrid>
        <w:gridCol w:w="1843"/>
        <w:gridCol w:w="1170"/>
        <w:gridCol w:w="1276"/>
        <w:gridCol w:w="1276"/>
        <w:gridCol w:w="1276"/>
        <w:gridCol w:w="1417"/>
      </w:tblGrid>
      <w:tr w:rsidR="00215B41" w:rsidRPr="00F91E5F" w14:paraId="4575A0BB" w14:textId="77777777" w:rsidTr="0049359E">
        <w:tc>
          <w:tcPr>
            <w:tcW w:w="1843" w:type="dxa"/>
            <w:tcBorders>
              <w:top w:val="single" w:sz="4" w:space="0" w:color="auto"/>
              <w:bottom w:val="single" w:sz="4" w:space="0" w:color="auto"/>
            </w:tcBorders>
          </w:tcPr>
          <w:p w14:paraId="2BB604BA" w14:textId="77777777" w:rsidR="00215B41" w:rsidRPr="00F91E5F" w:rsidRDefault="00215B41" w:rsidP="0049359E">
            <w:pPr>
              <w:jc w:val="both"/>
              <w:rPr>
                <w:b/>
                <w:bCs/>
                <w:sz w:val="20"/>
                <w:szCs w:val="20"/>
                <w:lang w:val="en-US"/>
              </w:rPr>
            </w:pPr>
            <w:r w:rsidRPr="00F91E5F">
              <w:rPr>
                <w:b/>
                <w:bCs/>
                <w:sz w:val="20"/>
                <w:szCs w:val="20"/>
                <w:lang w:val="en-US"/>
              </w:rPr>
              <w:t>Source of Variation</w:t>
            </w:r>
          </w:p>
        </w:tc>
        <w:tc>
          <w:tcPr>
            <w:tcW w:w="1170" w:type="dxa"/>
            <w:tcBorders>
              <w:top w:val="single" w:sz="4" w:space="0" w:color="auto"/>
              <w:bottom w:val="single" w:sz="4" w:space="0" w:color="auto"/>
            </w:tcBorders>
          </w:tcPr>
          <w:p w14:paraId="00E02AB7" w14:textId="77777777" w:rsidR="00215B41" w:rsidRPr="00F91E5F" w:rsidRDefault="00215B41" w:rsidP="0049359E">
            <w:pPr>
              <w:jc w:val="both"/>
              <w:rPr>
                <w:b/>
                <w:bCs/>
                <w:sz w:val="20"/>
                <w:szCs w:val="20"/>
                <w:lang w:val="en-US"/>
              </w:rPr>
            </w:pPr>
            <w:r w:rsidRPr="00F91E5F">
              <w:rPr>
                <w:b/>
                <w:bCs/>
                <w:sz w:val="20"/>
                <w:szCs w:val="20"/>
                <w:lang w:val="en-US"/>
              </w:rPr>
              <w:t>DF</w:t>
            </w:r>
          </w:p>
        </w:tc>
        <w:tc>
          <w:tcPr>
            <w:tcW w:w="1276" w:type="dxa"/>
            <w:tcBorders>
              <w:top w:val="single" w:sz="4" w:space="0" w:color="auto"/>
              <w:bottom w:val="single" w:sz="4" w:space="0" w:color="auto"/>
            </w:tcBorders>
          </w:tcPr>
          <w:p w14:paraId="32D36B79" w14:textId="77777777" w:rsidR="00215B41" w:rsidRPr="00F91E5F" w:rsidRDefault="00215B41" w:rsidP="0049359E">
            <w:pPr>
              <w:ind w:left="71"/>
              <w:jc w:val="both"/>
              <w:rPr>
                <w:b/>
                <w:bCs/>
                <w:sz w:val="20"/>
                <w:szCs w:val="20"/>
                <w:lang w:val="en-US"/>
              </w:rPr>
            </w:pPr>
            <w:r w:rsidRPr="00F91E5F">
              <w:rPr>
                <w:b/>
                <w:bCs/>
                <w:sz w:val="20"/>
                <w:szCs w:val="20"/>
                <w:lang w:val="en-US"/>
              </w:rPr>
              <w:t>Adj SS</w:t>
            </w:r>
          </w:p>
        </w:tc>
        <w:tc>
          <w:tcPr>
            <w:tcW w:w="1276" w:type="dxa"/>
            <w:tcBorders>
              <w:top w:val="single" w:sz="4" w:space="0" w:color="auto"/>
              <w:bottom w:val="single" w:sz="4" w:space="0" w:color="auto"/>
            </w:tcBorders>
          </w:tcPr>
          <w:p w14:paraId="73CED540" w14:textId="77777777" w:rsidR="00215B41" w:rsidRPr="00F91E5F" w:rsidRDefault="00215B41" w:rsidP="0049359E">
            <w:pPr>
              <w:ind w:left="41"/>
              <w:jc w:val="both"/>
              <w:rPr>
                <w:b/>
                <w:bCs/>
                <w:sz w:val="20"/>
                <w:szCs w:val="20"/>
                <w:lang w:val="en-US"/>
              </w:rPr>
            </w:pPr>
            <w:r w:rsidRPr="00F91E5F">
              <w:rPr>
                <w:b/>
                <w:bCs/>
                <w:sz w:val="20"/>
                <w:szCs w:val="20"/>
                <w:lang w:val="en-US"/>
              </w:rPr>
              <w:t>Adj MS</w:t>
            </w:r>
          </w:p>
        </w:tc>
        <w:tc>
          <w:tcPr>
            <w:tcW w:w="1276" w:type="dxa"/>
            <w:tcBorders>
              <w:top w:val="single" w:sz="4" w:space="0" w:color="auto"/>
              <w:bottom w:val="single" w:sz="4" w:space="0" w:color="auto"/>
            </w:tcBorders>
          </w:tcPr>
          <w:p w14:paraId="60D7EADA" w14:textId="77777777" w:rsidR="00215B41" w:rsidRPr="00F91E5F" w:rsidRDefault="00215B41" w:rsidP="0049359E">
            <w:pPr>
              <w:ind w:left="153"/>
              <w:jc w:val="both"/>
              <w:rPr>
                <w:b/>
                <w:bCs/>
                <w:sz w:val="20"/>
                <w:szCs w:val="20"/>
                <w:lang w:val="en-US"/>
              </w:rPr>
            </w:pPr>
            <w:r w:rsidRPr="00F91E5F">
              <w:rPr>
                <w:b/>
                <w:bCs/>
                <w:sz w:val="20"/>
                <w:szCs w:val="20"/>
                <w:lang w:val="en-US"/>
              </w:rPr>
              <w:t>F-value</w:t>
            </w:r>
          </w:p>
        </w:tc>
        <w:tc>
          <w:tcPr>
            <w:tcW w:w="1417" w:type="dxa"/>
            <w:tcBorders>
              <w:top w:val="single" w:sz="4" w:space="0" w:color="auto"/>
              <w:bottom w:val="single" w:sz="4" w:space="0" w:color="auto"/>
            </w:tcBorders>
          </w:tcPr>
          <w:p w14:paraId="56599352" w14:textId="77777777" w:rsidR="00215B41" w:rsidRPr="00F91E5F" w:rsidRDefault="00215B41" w:rsidP="0049359E">
            <w:pPr>
              <w:ind w:left="118"/>
              <w:jc w:val="both"/>
              <w:rPr>
                <w:b/>
                <w:bCs/>
                <w:sz w:val="20"/>
                <w:szCs w:val="20"/>
                <w:lang w:val="en-US"/>
              </w:rPr>
            </w:pPr>
            <w:r w:rsidRPr="002049D9">
              <w:rPr>
                <w:b/>
                <w:bCs/>
                <w:i/>
                <w:iCs/>
                <w:sz w:val="20"/>
                <w:szCs w:val="20"/>
                <w:lang w:val="en-US"/>
              </w:rPr>
              <w:t>P</w:t>
            </w:r>
            <w:r w:rsidRPr="00F91E5F">
              <w:rPr>
                <w:b/>
                <w:bCs/>
                <w:sz w:val="20"/>
                <w:szCs w:val="20"/>
                <w:lang w:val="en-US"/>
              </w:rPr>
              <w:t>-value</w:t>
            </w:r>
          </w:p>
        </w:tc>
      </w:tr>
      <w:tr w:rsidR="00215B41" w:rsidRPr="003B2BE1" w14:paraId="6AEC8D95" w14:textId="77777777" w:rsidTr="0049359E">
        <w:tc>
          <w:tcPr>
            <w:tcW w:w="1843" w:type="dxa"/>
            <w:tcBorders>
              <w:top w:val="single" w:sz="4" w:space="0" w:color="auto"/>
            </w:tcBorders>
          </w:tcPr>
          <w:p w14:paraId="4CA40E02" w14:textId="1646B255" w:rsidR="00215B41" w:rsidRPr="003B2BE1" w:rsidRDefault="00215B41" w:rsidP="0049359E">
            <w:pPr>
              <w:jc w:val="both"/>
              <w:rPr>
                <w:sz w:val="20"/>
                <w:szCs w:val="20"/>
                <w:lang w:val="en-US"/>
              </w:rPr>
            </w:pPr>
            <w:r w:rsidRPr="003B2BE1">
              <w:rPr>
                <w:sz w:val="20"/>
                <w:szCs w:val="20"/>
                <w:lang w:val="en-US"/>
              </w:rPr>
              <w:t>NaCl (%)</w:t>
            </w:r>
          </w:p>
        </w:tc>
        <w:tc>
          <w:tcPr>
            <w:tcW w:w="1170" w:type="dxa"/>
            <w:tcBorders>
              <w:top w:val="single" w:sz="4" w:space="0" w:color="auto"/>
            </w:tcBorders>
          </w:tcPr>
          <w:p w14:paraId="4CBA4807" w14:textId="77777777" w:rsidR="00215B41" w:rsidRPr="00F91E5F" w:rsidRDefault="00215B41" w:rsidP="0049359E">
            <w:pPr>
              <w:jc w:val="both"/>
              <w:rPr>
                <w:sz w:val="20"/>
                <w:szCs w:val="20"/>
                <w:lang w:val="en-US"/>
              </w:rPr>
            </w:pPr>
            <w:r w:rsidRPr="00F91E5F">
              <w:rPr>
                <w:sz w:val="20"/>
                <w:szCs w:val="20"/>
                <w:lang w:val="en-US"/>
              </w:rPr>
              <w:t>10</w:t>
            </w:r>
          </w:p>
        </w:tc>
        <w:tc>
          <w:tcPr>
            <w:tcW w:w="1276" w:type="dxa"/>
            <w:tcBorders>
              <w:top w:val="single" w:sz="4" w:space="0" w:color="auto"/>
            </w:tcBorders>
          </w:tcPr>
          <w:p w14:paraId="216A2490" w14:textId="77777777" w:rsidR="00215B41" w:rsidRPr="00F91E5F" w:rsidRDefault="00215B41" w:rsidP="0049359E">
            <w:pPr>
              <w:ind w:left="71"/>
              <w:jc w:val="both"/>
              <w:rPr>
                <w:sz w:val="20"/>
                <w:szCs w:val="20"/>
                <w:lang w:val="en-US"/>
              </w:rPr>
            </w:pPr>
            <w:r w:rsidRPr="00F91E5F">
              <w:rPr>
                <w:sz w:val="20"/>
                <w:szCs w:val="20"/>
                <w:lang w:val="en-US"/>
              </w:rPr>
              <w:t>3252.87</w:t>
            </w:r>
          </w:p>
        </w:tc>
        <w:tc>
          <w:tcPr>
            <w:tcW w:w="1276" w:type="dxa"/>
            <w:tcBorders>
              <w:top w:val="single" w:sz="4" w:space="0" w:color="auto"/>
            </w:tcBorders>
          </w:tcPr>
          <w:p w14:paraId="000970FF" w14:textId="77777777" w:rsidR="00215B41" w:rsidRPr="00F91E5F" w:rsidRDefault="00215B41" w:rsidP="0049359E">
            <w:pPr>
              <w:ind w:left="41"/>
              <w:jc w:val="both"/>
              <w:rPr>
                <w:sz w:val="20"/>
                <w:szCs w:val="20"/>
                <w:lang w:val="en-US"/>
              </w:rPr>
            </w:pPr>
            <w:r w:rsidRPr="00F91E5F">
              <w:rPr>
                <w:sz w:val="20"/>
                <w:szCs w:val="20"/>
                <w:lang w:val="en-US"/>
              </w:rPr>
              <w:t>325.287</w:t>
            </w:r>
          </w:p>
        </w:tc>
        <w:tc>
          <w:tcPr>
            <w:tcW w:w="1276" w:type="dxa"/>
            <w:tcBorders>
              <w:top w:val="single" w:sz="4" w:space="0" w:color="auto"/>
            </w:tcBorders>
          </w:tcPr>
          <w:p w14:paraId="0540A176" w14:textId="77777777" w:rsidR="00215B41" w:rsidRPr="00F91E5F" w:rsidRDefault="00215B41" w:rsidP="0049359E">
            <w:pPr>
              <w:ind w:left="153"/>
              <w:jc w:val="both"/>
              <w:rPr>
                <w:sz w:val="20"/>
                <w:szCs w:val="20"/>
                <w:lang w:val="en-US"/>
              </w:rPr>
            </w:pPr>
            <w:r w:rsidRPr="00F91E5F">
              <w:rPr>
                <w:sz w:val="20"/>
                <w:szCs w:val="20"/>
                <w:lang w:val="en-US"/>
              </w:rPr>
              <w:t>2802.73</w:t>
            </w:r>
          </w:p>
        </w:tc>
        <w:tc>
          <w:tcPr>
            <w:tcW w:w="1417" w:type="dxa"/>
            <w:tcBorders>
              <w:top w:val="single" w:sz="4" w:space="0" w:color="auto"/>
            </w:tcBorders>
          </w:tcPr>
          <w:p w14:paraId="1B7ECF89" w14:textId="77777777" w:rsidR="00215B41" w:rsidRPr="00F91E5F" w:rsidRDefault="00215B41" w:rsidP="0049359E">
            <w:pPr>
              <w:ind w:left="118"/>
              <w:jc w:val="both"/>
              <w:rPr>
                <w:sz w:val="20"/>
                <w:szCs w:val="20"/>
                <w:lang w:val="en-US"/>
              </w:rPr>
            </w:pPr>
            <w:r w:rsidRPr="00F91E5F">
              <w:rPr>
                <w:sz w:val="20"/>
                <w:szCs w:val="20"/>
                <w:lang w:val="en-US"/>
              </w:rPr>
              <w:t>&lt;0.001</w:t>
            </w:r>
          </w:p>
        </w:tc>
      </w:tr>
      <w:tr w:rsidR="00215B41" w:rsidRPr="003B2BE1" w14:paraId="7E70A1EF" w14:textId="77777777" w:rsidTr="0049359E">
        <w:tc>
          <w:tcPr>
            <w:tcW w:w="1843" w:type="dxa"/>
          </w:tcPr>
          <w:p w14:paraId="10007A74" w14:textId="77777777" w:rsidR="00215B41" w:rsidRPr="003B2BE1" w:rsidRDefault="00215B41" w:rsidP="0049359E">
            <w:pPr>
              <w:jc w:val="both"/>
              <w:rPr>
                <w:sz w:val="20"/>
                <w:szCs w:val="20"/>
                <w:lang w:val="en-US"/>
              </w:rPr>
            </w:pPr>
            <w:r w:rsidRPr="003B2BE1">
              <w:rPr>
                <w:sz w:val="20"/>
                <w:szCs w:val="20"/>
                <w:lang w:val="en-US"/>
              </w:rPr>
              <w:t>Error</w:t>
            </w:r>
          </w:p>
        </w:tc>
        <w:tc>
          <w:tcPr>
            <w:tcW w:w="1170" w:type="dxa"/>
          </w:tcPr>
          <w:p w14:paraId="7D666836" w14:textId="77777777" w:rsidR="00215B41" w:rsidRPr="00F91E5F" w:rsidRDefault="00215B41" w:rsidP="0049359E">
            <w:pPr>
              <w:jc w:val="both"/>
              <w:rPr>
                <w:sz w:val="20"/>
                <w:szCs w:val="20"/>
                <w:lang w:val="en-US"/>
              </w:rPr>
            </w:pPr>
            <w:r w:rsidRPr="00F91E5F">
              <w:rPr>
                <w:sz w:val="20"/>
                <w:szCs w:val="20"/>
                <w:lang w:val="en-US"/>
              </w:rPr>
              <w:t>22</w:t>
            </w:r>
          </w:p>
        </w:tc>
        <w:tc>
          <w:tcPr>
            <w:tcW w:w="1276" w:type="dxa"/>
          </w:tcPr>
          <w:p w14:paraId="5CB8E909" w14:textId="77777777" w:rsidR="00215B41" w:rsidRPr="00F91E5F" w:rsidRDefault="00215B41" w:rsidP="0049359E">
            <w:pPr>
              <w:ind w:left="71"/>
              <w:jc w:val="both"/>
              <w:rPr>
                <w:sz w:val="20"/>
                <w:szCs w:val="20"/>
                <w:lang w:val="en-US"/>
              </w:rPr>
            </w:pPr>
            <w:r w:rsidRPr="00F91E5F">
              <w:rPr>
                <w:sz w:val="20"/>
                <w:szCs w:val="20"/>
                <w:lang w:val="en-US"/>
              </w:rPr>
              <w:t>2.55</w:t>
            </w:r>
          </w:p>
        </w:tc>
        <w:tc>
          <w:tcPr>
            <w:tcW w:w="1276" w:type="dxa"/>
          </w:tcPr>
          <w:p w14:paraId="3CD0DD34" w14:textId="77777777" w:rsidR="00215B41" w:rsidRPr="00F91E5F" w:rsidRDefault="00215B41" w:rsidP="0049359E">
            <w:pPr>
              <w:ind w:left="41"/>
              <w:jc w:val="both"/>
              <w:rPr>
                <w:sz w:val="20"/>
                <w:szCs w:val="20"/>
                <w:lang w:val="en-US"/>
              </w:rPr>
            </w:pPr>
            <w:r w:rsidRPr="00F91E5F">
              <w:rPr>
                <w:sz w:val="20"/>
                <w:szCs w:val="20"/>
                <w:lang w:val="en-US"/>
              </w:rPr>
              <w:t>0.116</w:t>
            </w:r>
          </w:p>
        </w:tc>
        <w:tc>
          <w:tcPr>
            <w:tcW w:w="1276" w:type="dxa"/>
          </w:tcPr>
          <w:p w14:paraId="33C2F30D" w14:textId="77777777" w:rsidR="00215B41" w:rsidRPr="00F91E5F" w:rsidRDefault="00215B41" w:rsidP="0049359E">
            <w:pPr>
              <w:ind w:left="153"/>
              <w:jc w:val="both"/>
              <w:rPr>
                <w:sz w:val="20"/>
                <w:szCs w:val="20"/>
                <w:lang w:val="en-US"/>
              </w:rPr>
            </w:pPr>
          </w:p>
        </w:tc>
        <w:tc>
          <w:tcPr>
            <w:tcW w:w="1417" w:type="dxa"/>
          </w:tcPr>
          <w:p w14:paraId="58F3076C" w14:textId="77777777" w:rsidR="00215B41" w:rsidRPr="00F91E5F" w:rsidRDefault="00215B41" w:rsidP="0049359E">
            <w:pPr>
              <w:ind w:left="118"/>
              <w:jc w:val="both"/>
              <w:rPr>
                <w:sz w:val="20"/>
                <w:szCs w:val="20"/>
                <w:lang w:val="en-US"/>
              </w:rPr>
            </w:pPr>
          </w:p>
        </w:tc>
      </w:tr>
      <w:tr w:rsidR="00215B41" w:rsidRPr="003B2BE1" w14:paraId="121869A6" w14:textId="77777777" w:rsidTr="0049359E">
        <w:tc>
          <w:tcPr>
            <w:tcW w:w="1843" w:type="dxa"/>
          </w:tcPr>
          <w:p w14:paraId="420136A6" w14:textId="77777777" w:rsidR="00215B41" w:rsidRPr="003B2BE1" w:rsidRDefault="00215B41" w:rsidP="0049359E">
            <w:pPr>
              <w:jc w:val="both"/>
              <w:rPr>
                <w:sz w:val="20"/>
                <w:szCs w:val="20"/>
                <w:lang w:val="en-US"/>
              </w:rPr>
            </w:pPr>
            <w:r w:rsidRPr="003B2BE1">
              <w:rPr>
                <w:sz w:val="20"/>
                <w:szCs w:val="20"/>
                <w:lang w:val="en-US"/>
              </w:rPr>
              <w:t>Total</w:t>
            </w:r>
          </w:p>
        </w:tc>
        <w:tc>
          <w:tcPr>
            <w:tcW w:w="1170" w:type="dxa"/>
          </w:tcPr>
          <w:p w14:paraId="439A5CA4" w14:textId="77777777" w:rsidR="00215B41" w:rsidRPr="00F91E5F" w:rsidRDefault="00215B41" w:rsidP="0049359E">
            <w:pPr>
              <w:jc w:val="both"/>
              <w:rPr>
                <w:sz w:val="20"/>
                <w:szCs w:val="20"/>
                <w:lang w:val="en-US"/>
              </w:rPr>
            </w:pPr>
            <w:r w:rsidRPr="00F91E5F">
              <w:rPr>
                <w:sz w:val="20"/>
                <w:szCs w:val="20"/>
                <w:lang w:val="en-US"/>
              </w:rPr>
              <w:t>32</w:t>
            </w:r>
          </w:p>
        </w:tc>
        <w:tc>
          <w:tcPr>
            <w:tcW w:w="1276" w:type="dxa"/>
          </w:tcPr>
          <w:p w14:paraId="13E0CD5B" w14:textId="77777777" w:rsidR="00215B41" w:rsidRPr="00F91E5F" w:rsidRDefault="00215B41" w:rsidP="0049359E">
            <w:pPr>
              <w:ind w:left="71"/>
              <w:jc w:val="both"/>
              <w:rPr>
                <w:sz w:val="20"/>
                <w:szCs w:val="20"/>
                <w:lang w:val="en-US"/>
              </w:rPr>
            </w:pPr>
            <w:r w:rsidRPr="00F91E5F">
              <w:rPr>
                <w:sz w:val="20"/>
                <w:szCs w:val="20"/>
                <w:lang w:val="en-US"/>
              </w:rPr>
              <w:t>3255.42</w:t>
            </w:r>
          </w:p>
        </w:tc>
        <w:tc>
          <w:tcPr>
            <w:tcW w:w="1276" w:type="dxa"/>
          </w:tcPr>
          <w:p w14:paraId="3232E45E" w14:textId="77777777" w:rsidR="00215B41" w:rsidRPr="00F91E5F" w:rsidRDefault="00215B41" w:rsidP="0049359E">
            <w:pPr>
              <w:ind w:left="41"/>
              <w:jc w:val="both"/>
              <w:rPr>
                <w:sz w:val="20"/>
                <w:szCs w:val="20"/>
                <w:lang w:val="en-US"/>
              </w:rPr>
            </w:pPr>
          </w:p>
        </w:tc>
        <w:tc>
          <w:tcPr>
            <w:tcW w:w="1276" w:type="dxa"/>
          </w:tcPr>
          <w:p w14:paraId="656FA87D" w14:textId="77777777" w:rsidR="00215B41" w:rsidRPr="00F91E5F" w:rsidRDefault="00215B41" w:rsidP="0049359E">
            <w:pPr>
              <w:ind w:left="153"/>
              <w:jc w:val="both"/>
              <w:rPr>
                <w:sz w:val="20"/>
                <w:szCs w:val="20"/>
                <w:lang w:val="en-US"/>
              </w:rPr>
            </w:pPr>
          </w:p>
        </w:tc>
        <w:tc>
          <w:tcPr>
            <w:tcW w:w="1417" w:type="dxa"/>
          </w:tcPr>
          <w:p w14:paraId="079FA20C" w14:textId="77777777" w:rsidR="00215B41" w:rsidRPr="00F91E5F" w:rsidRDefault="00215B41" w:rsidP="0049359E">
            <w:pPr>
              <w:ind w:left="118"/>
              <w:jc w:val="both"/>
              <w:rPr>
                <w:sz w:val="20"/>
                <w:szCs w:val="20"/>
                <w:lang w:val="en-US"/>
              </w:rPr>
            </w:pPr>
          </w:p>
        </w:tc>
      </w:tr>
    </w:tbl>
    <w:p w14:paraId="4D99BD20" w14:textId="77777777" w:rsidR="00215B41" w:rsidRPr="003B2BE1" w:rsidRDefault="00215B41" w:rsidP="00CA3B20">
      <w:pPr>
        <w:ind w:left="567"/>
        <w:jc w:val="both"/>
        <w:rPr>
          <w:sz w:val="20"/>
          <w:szCs w:val="20"/>
          <w:lang w:val="en-US"/>
        </w:rPr>
      </w:pPr>
      <w:r w:rsidRPr="003B2BE1">
        <w:rPr>
          <w:sz w:val="20"/>
          <w:szCs w:val="20"/>
          <w:lang w:val="en-US"/>
        </w:rPr>
        <w:t>B. Tukey HSD Multiple Comparison (95% Confidence Level)</w:t>
      </w:r>
    </w:p>
    <w:tbl>
      <w:tblPr>
        <w:tblW w:w="8222" w:type="dxa"/>
        <w:tblInd w:w="562" w:type="dxa"/>
        <w:tblBorders>
          <w:bottom w:val="single" w:sz="4" w:space="0" w:color="auto"/>
        </w:tblBorders>
        <w:tblLook w:val="04A0" w:firstRow="1" w:lastRow="0" w:firstColumn="1" w:lastColumn="0" w:noHBand="0" w:noVBand="1"/>
      </w:tblPr>
      <w:tblGrid>
        <w:gridCol w:w="2410"/>
        <w:gridCol w:w="2126"/>
        <w:gridCol w:w="1951"/>
        <w:gridCol w:w="1735"/>
      </w:tblGrid>
      <w:tr w:rsidR="00215B41" w:rsidRPr="00F91E5F" w14:paraId="5F7A25BC" w14:textId="77777777" w:rsidTr="0049359E">
        <w:tc>
          <w:tcPr>
            <w:tcW w:w="2410" w:type="dxa"/>
            <w:tcBorders>
              <w:top w:val="single" w:sz="4" w:space="0" w:color="auto"/>
              <w:bottom w:val="single" w:sz="4" w:space="0" w:color="auto"/>
            </w:tcBorders>
          </w:tcPr>
          <w:p w14:paraId="1DF95AD4" w14:textId="23F056EE" w:rsidR="00215B41" w:rsidRPr="00F91E5F" w:rsidRDefault="00215B41" w:rsidP="0049359E">
            <w:pPr>
              <w:ind w:left="33" w:right="-111"/>
              <w:jc w:val="both"/>
              <w:rPr>
                <w:b/>
                <w:bCs/>
                <w:sz w:val="20"/>
                <w:szCs w:val="20"/>
                <w:lang w:val="en-US"/>
              </w:rPr>
            </w:pPr>
            <w:r w:rsidRPr="00F91E5F">
              <w:rPr>
                <w:b/>
                <w:bCs/>
                <w:sz w:val="20"/>
                <w:szCs w:val="20"/>
                <w:lang w:val="en-US"/>
              </w:rPr>
              <w:t>NaCl (%)</w:t>
            </w:r>
          </w:p>
        </w:tc>
        <w:tc>
          <w:tcPr>
            <w:tcW w:w="2126" w:type="dxa"/>
            <w:tcBorders>
              <w:top w:val="single" w:sz="4" w:space="0" w:color="auto"/>
              <w:bottom w:val="single" w:sz="4" w:space="0" w:color="auto"/>
            </w:tcBorders>
          </w:tcPr>
          <w:p w14:paraId="021E4791" w14:textId="77777777" w:rsidR="00215B41" w:rsidRPr="00F91E5F" w:rsidRDefault="00215B41" w:rsidP="0049359E">
            <w:pPr>
              <w:ind w:left="38"/>
              <w:jc w:val="both"/>
              <w:rPr>
                <w:b/>
                <w:bCs/>
                <w:sz w:val="20"/>
                <w:szCs w:val="20"/>
                <w:lang w:val="en-US"/>
              </w:rPr>
            </w:pPr>
            <w:r w:rsidRPr="00F91E5F">
              <w:rPr>
                <w:b/>
                <w:bCs/>
                <w:sz w:val="20"/>
                <w:szCs w:val="20"/>
                <w:lang w:val="en-US"/>
              </w:rPr>
              <w:t>Mean (U/mL)</w:t>
            </w:r>
          </w:p>
        </w:tc>
        <w:tc>
          <w:tcPr>
            <w:tcW w:w="1951" w:type="dxa"/>
            <w:tcBorders>
              <w:top w:val="single" w:sz="4" w:space="0" w:color="auto"/>
              <w:bottom w:val="single" w:sz="4" w:space="0" w:color="auto"/>
            </w:tcBorders>
          </w:tcPr>
          <w:p w14:paraId="5EAC4344" w14:textId="77777777" w:rsidR="00215B41" w:rsidRPr="00F91E5F" w:rsidRDefault="00215B41" w:rsidP="0049359E">
            <w:pPr>
              <w:ind w:left="1"/>
              <w:jc w:val="both"/>
              <w:rPr>
                <w:b/>
                <w:bCs/>
                <w:sz w:val="20"/>
                <w:szCs w:val="20"/>
                <w:lang w:val="en-US"/>
              </w:rPr>
            </w:pPr>
            <w:r w:rsidRPr="00F91E5F">
              <w:rPr>
                <w:b/>
                <w:bCs/>
                <w:sz w:val="20"/>
                <w:szCs w:val="20"/>
                <w:lang w:val="en-US"/>
              </w:rPr>
              <w:t>Std. Dev</w:t>
            </w:r>
          </w:p>
        </w:tc>
        <w:tc>
          <w:tcPr>
            <w:tcW w:w="1735" w:type="dxa"/>
            <w:tcBorders>
              <w:top w:val="single" w:sz="4" w:space="0" w:color="auto"/>
              <w:bottom w:val="single" w:sz="4" w:space="0" w:color="auto"/>
            </w:tcBorders>
          </w:tcPr>
          <w:p w14:paraId="119D6D63" w14:textId="77777777" w:rsidR="00215B41" w:rsidRPr="00F91E5F" w:rsidRDefault="00215B41" w:rsidP="0049359E">
            <w:pPr>
              <w:ind w:left="38"/>
              <w:jc w:val="both"/>
              <w:rPr>
                <w:b/>
                <w:bCs/>
                <w:sz w:val="20"/>
                <w:szCs w:val="20"/>
                <w:lang w:val="en-US"/>
              </w:rPr>
            </w:pPr>
            <w:r w:rsidRPr="00F91E5F">
              <w:rPr>
                <w:b/>
                <w:bCs/>
                <w:sz w:val="20"/>
                <w:szCs w:val="20"/>
                <w:lang w:val="en-US"/>
              </w:rPr>
              <w:t>Grouping</w:t>
            </w:r>
          </w:p>
        </w:tc>
      </w:tr>
      <w:tr w:rsidR="00215B41" w:rsidRPr="003B2BE1" w14:paraId="6C60BD64" w14:textId="77777777" w:rsidTr="0049359E">
        <w:tc>
          <w:tcPr>
            <w:tcW w:w="2410" w:type="dxa"/>
            <w:tcBorders>
              <w:top w:val="single" w:sz="4" w:space="0" w:color="auto"/>
            </w:tcBorders>
          </w:tcPr>
          <w:p w14:paraId="6C069508" w14:textId="77777777" w:rsidR="00215B41" w:rsidRPr="003B2BE1" w:rsidRDefault="00215B41" w:rsidP="0049359E">
            <w:pPr>
              <w:ind w:left="33" w:right="-111"/>
              <w:jc w:val="both"/>
              <w:rPr>
                <w:sz w:val="20"/>
                <w:szCs w:val="20"/>
                <w:lang w:val="en-US"/>
              </w:rPr>
            </w:pPr>
            <w:r w:rsidRPr="003B2BE1">
              <w:rPr>
                <w:sz w:val="20"/>
                <w:szCs w:val="20"/>
                <w:lang w:val="en-US"/>
              </w:rPr>
              <w:t>0.0</w:t>
            </w:r>
          </w:p>
        </w:tc>
        <w:tc>
          <w:tcPr>
            <w:tcW w:w="2126" w:type="dxa"/>
            <w:tcBorders>
              <w:top w:val="single" w:sz="4" w:space="0" w:color="auto"/>
            </w:tcBorders>
          </w:tcPr>
          <w:p w14:paraId="539037C9" w14:textId="77777777" w:rsidR="00215B41" w:rsidRPr="003B2BE1" w:rsidRDefault="00215B41" w:rsidP="0049359E">
            <w:pPr>
              <w:ind w:left="38"/>
              <w:jc w:val="both"/>
              <w:rPr>
                <w:sz w:val="20"/>
                <w:szCs w:val="20"/>
                <w:lang w:val="en-US"/>
              </w:rPr>
            </w:pPr>
            <w:r w:rsidRPr="003B2BE1">
              <w:rPr>
                <w:sz w:val="20"/>
                <w:szCs w:val="20"/>
                <w:lang w:val="en-US"/>
              </w:rPr>
              <w:t>32.20</w:t>
            </w:r>
          </w:p>
        </w:tc>
        <w:tc>
          <w:tcPr>
            <w:tcW w:w="1951" w:type="dxa"/>
            <w:tcBorders>
              <w:top w:val="single" w:sz="4" w:space="0" w:color="auto"/>
            </w:tcBorders>
          </w:tcPr>
          <w:p w14:paraId="5EB8F8CD" w14:textId="77777777" w:rsidR="00215B41" w:rsidRPr="003B2BE1" w:rsidRDefault="00215B41" w:rsidP="0049359E">
            <w:pPr>
              <w:ind w:left="1"/>
              <w:jc w:val="both"/>
              <w:rPr>
                <w:sz w:val="20"/>
                <w:szCs w:val="20"/>
                <w:lang w:val="en-US"/>
              </w:rPr>
            </w:pPr>
            <w:r w:rsidRPr="003B2BE1">
              <w:rPr>
                <w:sz w:val="20"/>
                <w:szCs w:val="20"/>
                <w:lang w:val="en-US"/>
              </w:rPr>
              <w:t>0.872</w:t>
            </w:r>
          </w:p>
        </w:tc>
        <w:tc>
          <w:tcPr>
            <w:tcW w:w="1735" w:type="dxa"/>
            <w:tcBorders>
              <w:top w:val="single" w:sz="4" w:space="0" w:color="auto"/>
            </w:tcBorders>
          </w:tcPr>
          <w:p w14:paraId="792DC80E" w14:textId="77777777" w:rsidR="00215B41" w:rsidRPr="003B2BE1" w:rsidRDefault="00215B41" w:rsidP="0049359E">
            <w:pPr>
              <w:ind w:left="38"/>
              <w:jc w:val="both"/>
              <w:rPr>
                <w:sz w:val="20"/>
                <w:szCs w:val="20"/>
                <w:lang w:val="en-US"/>
              </w:rPr>
            </w:pPr>
            <w:r w:rsidRPr="003B2BE1">
              <w:rPr>
                <w:sz w:val="20"/>
                <w:szCs w:val="20"/>
                <w:lang w:val="en-US"/>
              </w:rPr>
              <w:t>A</w:t>
            </w:r>
          </w:p>
        </w:tc>
      </w:tr>
      <w:tr w:rsidR="00215B41" w:rsidRPr="003B2BE1" w14:paraId="4054CEF3" w14:textId="77777777" w:rsidTr="0049359E">
        <w:tc>
          <w:tcPr>
            <w:tcW w:w="2410" w:type="dxa"/>
          </w:tcPr>
          <w:p w14:paraId="564E8C5A" w14:textId="77777777" w:rsidR="00215B41" w:rsidRPr="003B2BE1" w:rsidRDefault="00215B41" w:rsidP="0049359E">
            <w:pPr>
              <w:ind w:left="33" w:right="-111"/>
              <w:jc w:val="both"/>
              <w:rPr>
                <w:sz w:val="20"/>
                <w:szCs w:val="20"/>
                <w:lang w:val="en-US"/>
              </w:rPr>
            </w:pPr>
            <w:r w:rsidRPr="003B2BE1">
              <w:rPr>
                <w:sz w:val="20"/>
                <w:szCs w:val="20"/>
                <w:lang w:val="en-US"/>
              </w:rPr>
              <w:t>0.5</w:t>
            </w:r>
          </w:p>
        </w:tc>
        <w:tc>
          <w:tcPr>
            <w:tcW w:w="2126" w:type="dxa"/>
          </w:tcPr>
          <w:p w14:paraId="1E6B4F9C" w14:textId="77777777" w:rsidR="00215B41" w:rsidRPr="003B2BE1" w:rsidRDefault="00215B41" w:rsidP="0049359E">
            <w:pPr>
              <w:ind w:left="38"/>
              <w:jc w:val="both"/>
              <w:rPr>
                <w:sz w:val="20"/>
                <w:szCs w:val="20"/>
                <w:lang w:val="en-US"/>
              </w:rPr>
            </w:pPr>
            <w:r w:rsidRPr="003B2BE1">
              <w:rPr>
                <w:sz w:val="20"/>
                <w:szCs w:val="20"/>
                <w:lang w:val="en-US"/>
              </w:rPr>
              <w:t>31.90</w:t>
            </w:r>
          </w:p>
        </w:tc>
        <w:tc>
          <w:tcPr>
            <w:tcW w:w="1951" w:type="dxa"/>
          </w:tcPr>
          <w:p w14:paraId="15D9D144" w14:textId="77777777" w:rsidR="00215B41" w:rsidRPr="003B2BE1" w:rsidRDefault="00215B41" w:rsidP="0049359E">
            <w:pPr>
              <w:ind w:left="1"/>
              <w:jc w:val="both"/>
              <w:rPr>
                <w:sz w:val="20"/>
                <w:szCs w:val="20"/>
                <w:lang w:val="en-US"/>
              </w:rPr>
            </w:pPr>
            <w:r w:rsidRPr="003B2BE1">
              <w:rPr>
                <w:sz w:val="20"/>
                <w:szCs w:val="20"/>
                <w:lang w:val="en-US"/>
              </w:rPr>
              <w:t>0.265</w:t>
            </w:r>
          </w:p>
        </w:tc>
        <w:tc>
          <w:tcPr>
            <w:tcW w:w="1735" w:type="dxa"/>
          </w:tcPr>
          <w:p w14:paraId="603DDD04" w14:textId="77777777" w:rsidR="00215B41" w:rsidRPr="003B2BE1" w:rsidRDefault="00215B41" w:rsidP="0049359E">
            <w:pPr>
              <w:ind w:left="38"/>
              <w:jc w:val="both"/>
              <w:rPr>
                <w:sz w:val="20"/>
                <w:szCs w:val="20"/>
                <w:lang w:val="en-US"/>
              </w:rPr>
            </w:pPr>
            <w:r w:rsidRPr="003B2BE1">
              <w:rPr>
                <w:sz w:val="20"/>
                <w:szCs w:val="20"/>
                <w:lang w:val="en-US"/>
              </w:rPr>
              <w:t>A</w:t>
            </w:r>
          </w:p>
        </w:tc>
      </w:tr>
      <w:tr w:rsidR="00215B41" w:rsidRPr="003B2BE1" w14:paraId="17866E25" w14:textId="77777777" w:rsidTr="0049359E">
        <w:tc>
          <w:tcPr>
            <w:tcW w:w="2410" w:type="dxa"/>
          </w:tcPr>
          <w:p w14:paraId="10941AB8" w14:textId="77777777" w:rsidR="00215B41" w:rsidRPr="003B2BE1" w:rsidRDefault="00215B41" w:rsidP="0049359E">
            <w:pPr>
              <w:ind w:left="33" w:right="-111"/>
              <w:jc w:val="both"/>
              <w:rPr>
                <w:sz w:val="20"/>
                <w:szCs w:val="20"/>
                <w:lang w:val="en-US"/>
              </w:rPr>
            </w:pPr>
            <w:r w:rsidRPr="003B2BE1">
              <w:rPr>
                <w:sz w:val="20"/>
                <w:szCs w:val="20"/>
                <w:lang w:val="en-US"/>
              </w:rPr>
              <w:t>1.0</w:t>
            </w:r>
          </w:p>
        </w:tc>
        <w:tc>
          <w:tcPr>
            <w:tcW w:w="2126" w:type="dxa"/>
          </w:tcPr>
          <w:p w14:paraId="1CD1C18A" w14:textId="77777777" w:rsidR="00215B41" w:rsidRPr="003B2BE1" w:rsidRDefault="00215B41" w:rsidP="0049359E">
            <w:pPr>
              <w:ind w:left="38"/>
              <w:jc w:val="both"/>
              <w:rPr>
                <w:sz w:val="20"/>
                <w:szCs w:val="20"/>
                <w:lang w:val="en-US"/>
              </w:rPr>
            </w:pPr>
            <w:r w:rsidRPr="003B2BE1">
              <w:rPr>
                <w:sz w:val="20"/>
                <w:szCs w:val="20"/>
                <w:lang w:val="en-US"/>
              </w:rPr>
              <w:t>29.90</w:t>
            </w:r>
          </w:p>
        </w:tc>
        <w:tc>
          <w:tcPr>
            <w:tcW w:w="1951" w:type="dxa"/>
          </w:tcPr>
          <w:p w14:paraId="35FA838E" w14:textId="77777777" w:rsidR="00215B41" w:rsidRPr="003B2BE1" w:rsidRDefault="00215B41" w:rsidP="0049359E">
            <w:pPr>
              <w:ind w:left="1"/>
              <w:jc w:val="both"/>
              <w:rPr>
                <w:sz w:val="20"/>
                <w:szCs w:val="20"/>
                <w:lang w:val="en-US"/>
              </w:rPr>
            </w:pPr>
            <w:r w:rsidRPr="003B2BE1">
              <w:rPr>
                <w:sz w:val="20"/>
                <w:szCs w:val="20"/>
                <w:lang w:val="en-US"/>
              </w:rPr>
              <w:t>0.173</w:t>
            </w:r>
          </w:p>
        </w:tc>
        <w:tc>
          <w:tcPr>
            <w:tcW w:w="1735" w:type="dxa"/>
          </w:tcPr>
          <w:p w14:paraId="6695AFCE" w14:textId="77777777" w:rsidR="00215B41" w:rsidRPr="003B2BE1" w:rsidRDefault="00215B41" w:rsidP="0049359E">
            <w:pPr>
              <w:ind w:left="38"/>
              <w:jc w:val="both"/>
              <w:rPr>
                <w:sz w:val="20"/>
                <w:szCs w:val="20"/>
                <w:lang w:val="en-US"/>
              </w:rPr>
            </w:pPr>
            <w:r w:rsidRPr="003B2BE1">
              <w:rPr>
                <w:sz w:val="20"/>
                <w:szCs w:val="20"/>
                <w:lang w:val="en-US"/>
              </w:rPr>
              <w:t>B</w:t>
            </w:r>
          </w:p>
        </w:tc>
      </w:tr>
      <w:tr w:rsidR="00215B41" w:rsidRPr="003B2BE1" w14:paraId="38994921" w14:textId="77777777" w:rsidTr="0049359E">
        <w:tc>
          <w:tcPr>
            <w:tcW w:w="2410" w:type="dxa"/>
          </w:tcPr>
          <w:p w14:paraId="1B3C4208" w14:textId="77777777" w:rsidR="00215B41" w:rsidRPr="003B2BE1" w:rsidRDefault="00215B41" w:rsidP="0049359E">
            <w:pPr>
              <w:ind w:left="33" w:right="-111"/>
              <w:jc w:val="both"/>
              <w:rPr>
                <w:sz w:val="20"/>
                <w:szCs w:val="20"/>
                <w:lang w:val="en-US"/>
              </w:rPr>
            </w:pPr>
            <w:r w:rsidRPr="003B2BE1">
              <w:rPr>
                <w:sz w:val="20"/>
                <w:szCs w:val="20"/>
                <w:lang w:val="en-US"/>
              </w:rPr>
              <w:t>1.5</w:t>
            </w:r>
          </w:p>
        </w:tc>
        <w:tc>
          <w:tcPr>
            <w:tcW w:w="2126" w:type="dxa"/>
          </w:tcPr>
          <w:p w14:paraId="71BDF668" w14:textId="77777777" w:rsidR="00215B41" w:rsidRPr="003B2BE1" w:rsidRDefault="00215B41" w:rsidP="0049359E">
            <w:pPr>
              <w:ind w:left="38"/>
              <w:jc w:val="both"/>
              <w:rPr>
                <w:sz w:val="20"/>
                <w:szCs w:val="20"/>
                <w:lang w:val="en-US"/>
              </w:rPr>
            </w:pPr>
            <w:r w:rsidRPr="003B2BE1">
              <w:rPr>
                <w:sz w:val="20"/>
                <w:szCs w:val="20"/>
                <w:lang w:val="en-US"/>
              </w:rPr>
              <w:t>25.93</w:t>
            </w:r>
          </w:p>
        </w:tc>
        <w:tc>
          <w:tcPr>
            <w:tcW w:w="1951" w:type="dxa"/>
          </w:tcPr>
          <w:p w14:paraId="1FA2FB41" w14:textId="77777777" w:rsidR="00215B41" w:rsidRPr="003B2BE1" w:rsidRDefault="00215B41" w:rsidP="0049359E">
            <w:pPr>
              <w:ind w:left="1"/>
              <w:jc w:val="both"/>
              <w:rPr>
                <w:sz w:val="20"/>
                <w:szCs w:val="20"/>
                <w:lang w:val="en-US"/>
              </w:rPr>
            </w:pPr>
            <w:r w:rsidRPr="003B2BE1">
              <w:rPr>
                <w:sz w:val="20"/>
                <w:szCs w:val="20"/>
                <w:lang w:val="en-US"/>
              </w:rPr>
              <w:t>0.231</w:t>
            </w:r>
          </w:p>
        </w:tc>
        <w:tc>
          <w:tcPr>
            <w:tcW w:w="1735" w:type="dxa"/>
          </w:tcPr>
          <w:p w14:paraId="4A8DAFAC" w14:textId="77777777" w:rsidR="00215B41" w:rsidRPr="003B2BE1" w:rsidRDefault="00215B41" w:rsidP="0049359E">
            <w:pPr>
              <w:ind w:left="38"/>
              <w:jc w:val="both"/>
              <w:rPr>
                <w:sz w:val="20"/>
                <w:szCs w:val="20"/>
                <w:lang w:val="en-US"/>
              </w:rPr>
            </w:pPr>
            <w:r w:rsidRPr="003B2BE1">
              <w:rPr>
                <w:sz w:val="20"/>
                <w:szCs w:val="20"/>
                <w:lang w:val="en-US"/>
              </w:rPr>
              <w:t>C</w:t>
            </w:r>
          </w:p>
        </w:tc>
      </w:tr>
      <w:tr w:rsidR="00215B41" w:rsidRPr="003B2BE1" w14:paraId="06897A9F" w14:textId="77777777" w:rsidTr="0049359E">
        <w:tc>
          <w:tcPr>
            <w:tcW w:w="2410" w:type="dxa"/>
          </w:tcPr>
          <w:p w14:paraId="6B974330" w14:textId="77777777" w:rsidR="00215B41" w:rsidRPr="003B2BE1" w:rsidRDefault="00215B41" w:rsidP="0049359E">
            <w:pPr>
              <w:ind w:left="33" w:right="-111"/>
              <w:jc w:val="both"/>
              <w:rPr>
                <w:sz w:val="20"/>
                <w:szCs w:val="20"/>
                <w:lang w:val="en-US"/>
              </w:rPr>
            </w:pPr>
            <w:r w:rsidRPr="003B2BE1">
              <w:rPr>
                <w:sz w:val="20"/>
                <w:szCs w:val="20"/>
                <w:lang w:val="en-US"/>
              </w:rPr>
              <w:t>2.0</w:t>
            </w:r>
          </w:p>
        </w:tc>
        <w:tc>
          <w:tcPr>
            <w:tcW w:w="2126" w:type="dxa"/>
          </w:tcPr>
          <w:p w14:paraId="24F97E3A" w14:textId="77777777" w:rsidR="00215B41" w:rsidRPr="003B2BE1" w:rsidRDefault="00215B41" w:rsidP="0049359E">
            <w:pPr>
              <w:ind w:left="38"/>
              <w:jc w:val="both"/>
              <w:rPr>
                <w:sz w:val="20"/>
                <w:szCs w:val="20"/>
                <w:lang w:val="en-US"/>
              </w:rPr>
            </w:pPr>
            <w:r w:rsidRPr="003B2BE1">
              <w:rPr>
                <w:sz w:val="20"/>
                <w:szCs w:val="20"/>
                <w:lang w:val="en-US"/>
              </w:rPr>
              <w:t>24.40</w:t>
            </w:r>
          </w:p>
        </w:tc>
        <w:tc>
          <w:tcPr>
            <w:tcW w:w="1951" w:type="dxa"/>
          </w:tcPr>
          <w:p w14:paraId="126C3F3B" w14:textId="77777777" w:rsidR="00215B41" w:rsidRPr="003B2BE1" w:rsidRDefault="00215B41" w:rsidP="0049359E">
            <w:pPr>
              <w:ind w:left="1"/>
              <w:jc w:val="both"/>
              <w:rPr>
                <w:sz w:val="20"/>
                <w:szCs w:val="20"/>
                <w:lang w:val="en-US"/>
              </w:rPr>
            </w:pPr>
            <w:r w:rsidRPr="003B2BE1">
              <w:rPr>
                <w:sz w:val="20"/>
                <w:szCs w:val="20"/>
                <w:lang w:val="en-US"/>
              </w:rPr>
              <w:t>0.265</w:t>
            </w:r>
          </w:p>
        </w:tc>
        <w:tc>
          <w:tcPr>
            <w:tcW w:w="1735" w:type="dxa"/>
          </w:tcPr>
          <w:p w14:paraId="5DC26AD6" w14:textId="77777777" w:rsidR="00215B41" w:rsidRPr="003B2BE1" w:rsidRDefault="00215B41" w:rsidP="0049359E">
            <w:pPr>
              <w:ind w:left="38"/>
              <w:jc w:val="both"/>
              <w:rPr>
                <w:sz w:val="20"/>
                <w:szCs w:val="20"/>
                <w:lang w:val="en-US"/>
              </w:rPr>
            </w:pPr>
            <w:r w:rsidRPr="003B2BE1">
              <w:rPr>
                <w:sz w:val="20"/>
                <w:szCs w:val="20"/>
                <w:lang w:val="en-US"/>
              </w:rPr>
              <w:t>D</w:t>
            </w:r>
          </w:p>
        </w:tc>
      </w:tr>
      <w:tr w:rsidR="00215B41" w:rsidRPr="003B2BE1" w14:paraId="5CD74DAA" w14:textId="77777777" w:rsidTr="0049359E">
        <w:tc>
          <w:tcPr>
            <w:tcW w:w="2410" w:type="dxa"/>
          </w:tcPr>
          <w:p w14:paraId="6331E84C" w14:textId="77777777" w:rsidR="00215B41" w:rsidRPr="003B2BE1" w:rsidRDefault="00215B41" w:rsidP="0049359E">
            <w:pPr>
              <w:ind w:left="33" w:right="-111"/>
              <w:jc w:val="both"/>
              <w:rPr>
                <w:sz w:val="20"/>
                <w:szCs w:val="20"/>
                <w:lang w:val="en-US"/>
              </w:rPr>
            </w:pPr>
            <w:r w:rsidRPr="003B2BE1">
              <w:rPr>
                <w:sz w:val="20"/>
                <w:szCs w:val="20"/>
                <w:lang w:val="en-US"/>
              </w:rPr>
              <w:t>2.5</w:t>
            </w:r>
          </w:p>
        </w:tc>
        <w:tc>
          <w:tcPr>
            <w:tcW w:w="2126" w:type="dxa"/>
          </w:tcPr>
          <w:p w14:paraId="0CA990D7" w14:textId="77777777" w:rsidR="00215B41" w:rsidRPr="003B2BE1" w:rsidRDefault="00215B41" w:rsidP="0049359E">
            <w:pPr>
              <w:ind w:left="38"/>
              <w:jc w:val="both"/>
              <w:rPr>
                <w:sz w:val="20"/>
                <w:szCs w:val="20"/>
                <w:lang w:val="en-US"/>
              </w:rPr>
            </w:pPr>
            <w:r w:rsidRPr="003B2BE1">
              <w:rPr>
                <w:sz w:val="20"/>
                <w:szCs w:val="20"/>
                <w:lang w:val="en-US"/>
              </w:rPr>
              <w:t>23.67</w:t>
            </w:r>
          </w:p>
        </w:tc>
        <w:tc>
          <w:tcPr>
            <w:tcW w:w="1951" w:type="dxa"/>
          </w:tcPr>
          <w:p w14:paraId="60264ACA" w14:textId="77777777" w:rsidR="00215B41" w:rsidRPr="003B2BE1" w:rsidRDefault="00215B41" w:rsidP="0049359E">
            <w:pPr>
              <w:ind w:left="1"/>
              <w:jc w:val="both"/>
              <w:rPr>
                <w:sz w:val="20"/>
                <w:szCs w:val="20"/>
                <w:lang w:val="en-US"/>
              </w:rPr>
            </w:pPr>
            <w:r w:rsidRPr="003B2BE1">
              <w:rPr>
                <w:sz w:val="20"/>
                <w:szCs w:val="20"/>
                <w:lang w:val="en-US"/>
              </w:rPr>
              <w:t>0.208</w:t>
            </w:r>
          </w:p>
        </w:tc>
        <w:tc>
          <w:tcPr>
            <w:tcW w:w="1735" w:type="dxa"/>
          </w:tcPr>
          <w:p w14:paraId="38101A8C" w14:textId="77777777" w:rsidR="00215B41" w:rsidRPr="003B2BE1" w:rsidRDefault="00215B41" w:rsidP="0049359E">
            <w:pPr>
              <w:ind w:left="38"/>
              <w:jc w:val="both"/>
              <w:rPr>
                <w:sz w:val="20"/>
                <w:szCs w:val="20"/>
                <w:lang w:val="en-US"/>
              </w:rPr>
            </w:pPr>
            <w:r w:rsidRPr="003B2BE1">
              <w:rPr>
                <w:sz w:val="20"/>
                <w:szCs w:val="20"/>
                <w:lang w:val="en-US"/>
              </w:rPr>
              <w:t>D</w:t>
            </w:r>
          </w:p>
        </w:tc>
      </w:tr>
      <w:tr w:rsidR="00215B41" w:rsidRPr="003B2BE1" w14:paraId="36670AE4" w14:textId="77777777" w:rsidTr="0049359E">
        <w:tc>
          <w:tcPr>
            <w:tcW w:w="2410" w:type="dxa"/>
          </w:tcPr>
          <w:p w14:paraId="4ACB66AC" w14:textId="77777777" w:rsidR="00215B41" w:rsidRPr="003B2BE1" w:rsidRDefault="00215B41" w:rsidP="0049359E">
            <w:pPr>
              <w:ind w:left="33" w:right="-111"/>
              <w:jc w:val="both"/>
              <w:rPr>
                <w:sz w:val="20"/>
                <w:szCs w:val="20"/>
                <w:lang w:val="en-US"/>
              </w:rPr>
            </w:pPr>
            <w:r w:rsidRPr="003B2BE1">
              <w:rPr>
                <w:sz w:val="20"/>
                <w:szCs w:val="20"/>
                <w:lang w:val="en-US"/>
              </w:rPr>
              <w:t>3.0</w:t>
            </w:r>
          </w:p>
        </w:tc>
        <w:tc>
          <w:tcPr>
            <w:tcW w:w="2126" w:type="dxa"/>
          </w:tcPr>
          <w:p w14:paraId="782EAE3F" w14:textId="77777777" w:rsidR="00215B41" w:rsidRPr="003B2BE1" w:rsidRDefault="00215B41" w:rsidP="0049359E">
            <w:pPr>
              <w:ind w:left="38"/>
              <w:jc w:val="both"/>
              <w:rPr>
                <w:sz w:val="20"/>
                <w:szCs w:val="20"/>
                <w:lang w:val="en-US"/>
              </w:rPr>
            </w:pPr>
            <w:r w:rsidRPr="003B2BE1">
              <w:rPr>
                <w:sz w:val="20"/>
                <w:szCs w:val="20"/>
                <w:lang w:val="en-US"/>
              </w:rPr>
              <w:t>18.10</w:t>
            </w:r>
          </w:p>
        </w:tc>
        <w:tc>
          <w:tcPr>
            <w:tcW w:w="1951" w:type="dxa"/>
          </w:tcPr>
          <w:p w14:paraId="31DF97F4" w14:textId="77777777" w:rsidR="00215B41" w:rsidRPr="003B2BE1" w:rsidRDefault="00215B41" w:rsidP="0049359E">
            <w:pPr>
              <w:ind w:left="1"/>
              <w:jc w:val="both"/>
              <w:rPr>
                <w:sz w:val="20"/>
                <w:szCs w:val="20"/>
                <w:lang w:val="en-US"/>
              </w:rPr>
            </w:pPr>
            <w:r w:rsidRPr="003B2BE1">
              <w:rPr>
                <w:sz w:val="20"/>
                <w:szCs w:val="20"/>
                <w:lang w:val="en-US"/>
              </w:rPr>
              <w:t>0.173</w:t>
            </w:r>
          </w:p>
        </w:tc>
        <w:tc>
          <w:tcPr>
            <w:tcW w:w="1735" w:type="dxa"/>
          </w:tcPr>
          <w:p w14:paraId="69D54939" w14:textId="77777777" w:rsidR="00215B41" w:rsidRPr="003B2BE1" w:rsidRDefault="00215B41" w:rsidP="0049359E">
            <w:pPr>
              <w:ind w:left="38"/>
              <w:jc w:val="both"/>
              <w:rPr>
                <w:sz w:val="20"/>
                <w:szCs w:val="20"/>
                <w:lang w:val="en-US"/>
              </w:rPr>
            </w:pPr>
            <w:r w:rsidRPr="003B2BE1">
              <w:rPr>
                <w:sz w:val="20"/>
                <w:szCs w:val="20"/>
                <w:lang w:val="en-US"/>
              </w:rPr>
              <w:t>E</w:t>
            </w:r>
          </w:p>
        </w:tc>
      </w:tr>
      <w:tr w:rsidR="00215B41" w:rsidRPr="003B2BE1" w14:paraId="710F48FA" w14:textId="77777777" w:rsidTr="0049359E">
        <w:tc>
          <w:tcPr>
            <w:tcW w:w="2410" w:type="dxa"/>
          </w:tcPr>
          <w:p w14:paraId="2A1997FC" w14:textId="77777777" w:rsidR="00215B41" w:rsidRPr="003B2BE1" w:rsidRDefault="00215B41" w:rsidP="0049359E">
            <w:pPr>
              <w:ind w:left="33" w:right="-111"/>
              <w:jc w:val="both"/>
              <w:rPr>
                <w:sz w:val="20"/>
                <w:szCs w:val="20"/>
                <w:lang w:val="en-US"/>
              </w:rPr>
            </w:pPr>
            <w:r w:rsidRPr="003B2BE1">
              <w:rPr>
                <w:sz w:val="20"/>
                <w:szCs w:val="20"/>
                <w:lang w:val="en-US"/>
              </w:rPr>
              <w:t>3.5</w:t>
            </w:r>
          </w:p>
        </w:tc>
        <w:tc>
          <w:tcPr>
            <w:tcW w:w="2126" w:type="dxa"/>
          </w:tcPr>
          <w:p w14:paraId="32E85924" w14:textId="77777777" w:rsidR="00215B41" w:rsidRPr="003B2BE1" w:rsidRDefault="00215B41" w:rsidP="0049359E">
            <w:pPr>
              <w:ind w:left="38"/>
              <w:jc w:val="both"/>
              <w:rPr>
                <w:sz w:val="20"/>
                <w:szCs w:val="20"/>
                <w:lang w:val="en-US"/>
              </w:rPr>
            </w:pPr>
            <w:r w:rsidRPr="003B2BE1">
              <w:rPr>
                <w:sz w:val="20"/>
                <w:szCs w:val="20"/>
                <w:lang w:val="en-US"/>
              </w:rPr>
              <w:t>10.10</w:t>
            </w:r>
          </w:p>
        </w:tc>
        <w:tc>
          <w:tcPr>
            <w:tcW w:w="1951" w:type="dxa"/>
          </w:tcPr>
          <w:p w14:paraId="16B09592" w14:textId="77777777" w:rsidR="00215B41" w:rsidRPr="003B2BE1" w:rsidRDefault="00215B41" w:rsidP="0049359E">
            <w:pPr>
              <w:ind w:left="1"/>
              <w:jc w:val="both"/>
              <w:rPr>
                <w:sz w:val="20"/>
                <w:szCs w:val="20"/>
                <w:lang w:val="en-US"/>
              </w:rPr>
            </w:pPr>
            <w:r w:rsidRPr="003B2BE1">
              <w:rPr>
                <w:sz w:val="20"/>
                <w:szCs w:val="20"/>
                <w:lang w:val="en-US"/>
              </w:rPr>
              <w:t>0.173</w:t>
            </w:r>
          </w:p>
        </w:tc>
        <w:tc>
          <w:tcPr>
            <w:tcW w:w="1735" w:type="dxa"/>
          </w:tcPr>
          <w:p w14:paraId="0F66AD33" w14:textId="77777777" w:rsidR="00215B41" w:rsidRPr="003B2BE1" w:rsidRDefault="00215B41" w:rsidP="0049359E">
            <w:pPr>
              <w:ind w:left="38"/>
              <w:jc w:val="both"/>
              <w:rPr>
                <w:sz w:val="20"/>
                <w:szCs w:val="20"/>
                <w:lang w:val="en-US"/>
              </w:rPr>
            </w:pPr>
            <w:r w:rsidRPr="003B2BE1">
              <w:rPr>
                <w:sz w:val="20"/>
                <w:szCs w:val="20"/>
                <w:lang w:val="en-US"/>
              </w:rPr>
              <w:t>F</w:t>
            </w:r>
          </w:p>
        </w:tc>
      </w:tr>
      <w:tr w:rsidR="00215B41" w:rsidRPr="003B2BE1" w14:paraId="34C9BB70" w14:textId="77777777" w:rsidTr="0049359E">
        <w:tc>
          <w:tcPr>
            <w:tcW w:w="2410" w:type="dxa"/>
          </w:tcPr>
          <w:p w14:paraId="726F9BA6" w14:textId="77777777" w:rsidR="00215B41" w:rsidRPr="003B2BE1" w:rsidRDefault="00215B41" w:rsidP="0049359E">
            <w:pPr>
              <w:ind w:left="33" w:right="-111"/>
              <w:jc w:val="both"/>
              <w:rPr>
                <w:sz w:val="20"/>
                <w:szCs w:val="20"/>
                <w:lang w:val="en-US"/>
              </w:rPr>
            </w:pPr>
            <w:r w:rsidRPr="003B2BE1">
              <w:rPr>
                <w:sz w:val="20"/>
                <w:szCs w:val="20"/>
                <w:lang w:val="en-US"/>
              </w:rPr>
              <w:t>4.0</w:t>
            </w:r>
          </w:p>
        </w:tc>
        <w:tc>
          <w:tcPr>
            <w:tcW w:w="2126" w:type="dxa"/>
          </w:tcPr>
          <w:p w14:paraId="3EB320D2" w14:textId="77777777" w:rsidR="00215B41" w:rsidRPr="003B2BE1" w:rsidRDefault="00215B41" w:rsidP="0049359E">
            <w:pPr>
              <w:ind w:left="38"/>
              <w:jc w:val="both"/>
              <w:rPr>
                <w:sz w:val="20"/>
                <w:szCs w:val="20"/>
                <w:lang w:val="en-US"/>
              </w:rPr>
            </w:pPr>
            <w:r w:rsidRPr="003B2BE1">
              <w:rPr>
                <w:sz w:val="20"/>
                <w:szCs w:val="20"/>
                <w:lang w:val="en-US"/>
              </w:rPr>
              <w:t>8.07</w:t>
            </w:r>
          </w:p>
        </w:tc>
        <w:tc>
          <w:tcPr>
            <w:tcW w:w="1951" w:type="dxa"/>
          </w:tcPr>
          <w:p w14:paraId="78FEF951" w14:textId="77777777" w:rsidR="00215B41" w:rsidRPr="003B2BE1" w:rsidRDefault="00215B41" w:rsidP="0049359E">
            <w:pPr>
              <w:ind w:left="1"/>
              <w:jc w:val="both"/>
              <w:rPr>
                <w:sz w:val="20"/>
                <w:szCs w:val="20"/>
                <w:lang w:val="en-US"/>
              </w:rPr>
            </w:pPr>
            <w:r w:rsidRPr="003B2BE1">
              <w:rPr>
                <w:sz w:val="20"/>
                <w:szCs w:val="20"/>
                <w:lang w:val="en-US"/>
              </w:rPr>
              <w:t>0.252</w:t>
            </w:r>
          </w:p>
        </w:tc>
        <w:tc>
          <w:tcPr>
            <w:tcW w:w="1735" w:type="dxa"/>
          </w:tcPr>
          <w:p w14:paraId="68AFA13E" w14:textId="77777777" w:rsidR="00215B41" w:rsidRPr="003B2BE1" w:rsidRDefault="00215B41" w:rsidP="0049359E">
            <w:pPr>
              <w:ind w:left="38"/>
              <w:jc w:val="both"/>
              <w:rPr>
                <w:sz w:val="20"/>
                <w:szCs w:val="20"/>
                <w:lang w:val="en-US"/>
              </w:rPr>
            </w:pPr>
            <w:r w:rsidRPr="003B2BE1">
              <w:rPr>
                <w:sz w:val="20"/>
                <w:szCs w:val="20"/>
                <w:lang w:val="en-US"/>
              </w:rPr>
              <w:t>G</w:t>
            </w:r>
          </w:p>
        </w:tc>
      </w:tr>
      <w:tr w:rsidR="00215B41" w:rsidRPr="003B2BE1" w14:paraId="03BF978C" w14:textId="77777777" w:rsidTr="0049359E">
        <w:tc>
          <w:tcPr>
            <w:tcW w:w="2410" w:type="dxa"/>
          </w:tcPr>
          <w:p w14:paraId="3A289174" w14:textId="77777777" w:rsidR="00215B41" w:rsidRPr="003B2BE1" w:rsidRDefault="00215B41" w:rsidP="0049359E">
            <w:pPr>
              <w:ind w:left="33" w:right="-111"/>
              <w:jc w:val="both"/>
              <w:rPr>
                <w:sz w:val="20"/>
                <w:szCs w:val="20"/>
                <w:lang w:val="en-US"/>
              </w:rPr>
            </w:pPr>
            <w:r w:rsidRPr="003B2BE1">
              <w:rPr>
                <w:sz w:val="20"/>
                <w:szCs w:val="20"/>
                <w:lang w:val="en-US"/>
              </w:rPr>
              <w:t>4.5</w:t>
            </w:r>
          </w:p>
        </w:tc>
        <w:tc>
          <w:tcPr>
            <w:tcW w:w="2126" w:type="dxa"/>
          </w:tcPr>
          <w:p w14:paraId="4160D9D8" w14:textId="77777777" w:rsidR="00215B41" w:rsidRPr="003B2BE1" w:rsidRDefault="00215B41" w:rsidP="0049359E">
            <w:pPr>
              <w:ind w:left="38"/>
              <w:jc w:val="both"/>
              <w:rPr>
                <w:sz w:val="20"/>
                <w:szCs w:val="20"/>
                <w:lang w:val="en-US"/>
              </w:rPr>
            </w:pPr>
            <w:r w:rsidRPr="003B2BE1">
              <w:rPr>
                <w:sz w:val="20"/>
                <w:szCs w:val="20"/>
                <w:lang w:val="en-US"/>
              </w:rPr>
              <w:t>6.53</w:t>
            </w:r>
          </w:p>
        </w:tc>
        <w:tc>
          <w:tcPr>
            <w:tcW w:w="1951" w:type="dxa"/>
          </w:tcPr>
          <w:p w14:paraId="3B9210FB" w14:textId="77777777" w:rsidR="00215B41" w:rsidRPr="003B2BE1" w:rsidRDefault="00215B41" w:rsidP="0049359E">
            <w:pPr>
              <w:ind w:left="1"/>
              <w:jc w:val="both"/>
              <w:rPr>
                <w:sz w:val="20"/>
                <w:szCs w:val="20"/>
                <w:lang w:val="en-US"/>
              </w:rPr>
            </w:pPr>
            <w:r w:rsidRPr="003B2BE1">
              <w:rPr>
                <w:sz w:val="20"/>
                <w:szCs w:val="20"/>
                <w:lang w:val="en-US"/>
              </w:rPr>
              <w:t>0.208</w:t>
            </w:r>
          </w:p>
        </w:tc>
        <w:tc>
          <w:tcPr>
            <w:tcW w:w="1735" w:type="dxa"/>
          </w:tcPr>
          <w:p w14:paraId="6DA23B08" w14:textId="77777777" w:rsidR="00215B41" w:rsidRPr="003B2BE1" w:rsidRDefault="00215B41" w:rsidP="0049359E">
            <w:pPr>
              <w:ind w:left="38"/>
              <w:jc w:val="both"/>
              <w:rPr>
                <w:sz w:val="20"/>
                <w:szCs w:val="20"/>
                <w:lang w:val="en-US"/>
              </w:rPr>
            </w:pPr>
            <w:r w:rsidRPr="003B2BE1">
              <w:rPr>
                <w:sz w:val="20"/>
                <w:szCs w:val="20"/>
                <w:lang w:val="en-US"/>
              </w:rPr>
              <w:t>H</w:t>
            </w:r>
          </w:p>
        </w:tc>
      </w:tr>
      <w:tr w:rsidR="00215B41" w:rsidRPr="003B2BE1" w14:paraId="08C86DDC" w14:textId="77777777" w:rsidTr="0049359E">
        <w:tc>
          <w:tcPr>
            <w:tcW w:w="2410" w:type="dxa"/>
          </w:tcPr>
          <w:p w14:paraId="6825903A" w14:textId="77777777" w:rsidR="00215B41" w:rsidRPr="003B2BE1" w:rsidRDefault="00215B41" w:rsidP="0049359E">
            <w:pPr>
              <w:ind w:left="33" w:right="-111"/>
              <w:jc w:val="both"/>
              <w:rPr>
                <w:sz w:val="20"/>
                <w:szCs w:val="20"/>
                <w:lang w:val="en-US"/>
              </w:rPr>
            </w:pPr>
            <w:r w:rsidRPr="003B2BE1">
              <w:rPr>
                <w:sz w:val="20"/>
                <w:szCs w:val="20"/>
                <w:lang w:val="en-US"/>
              </w:rPr>
              <w:t>5.0</w:t>
            </w:r>
          </w:p>
        </w:tc>
        <w:tc>
          <w:tcPr>
            <w:tcW w:w="2126" w:type="dxa"/>
          </w:tcPr>
          <w:p w14:paraId="041AEE05" w14:textId="77777777" w:rsidR="00215B41" w:rsidRPr="003B2BE1" w:rsidRDefault="00215B41" w:rsidP="0049359E">
            <w:pPr>
              <w:ind w:left="38"/>
              <w:jc w:val="both"/>
              <w:rPr>
                <w:sz w:val="20"/>
                <w:szCs w:val="20"/>
                <w:lang w:val="en-US"/>
              </w:rPr>
            </w:pPr>
            <w:r w:rsidRPr="003B2BE1">
              <w:rPr>
                <w:sz w:val="20"/>
                <w:szCs w:val="20"/>
                <w:lang w:val="en-US"/>
              </w:rPr>
              <w:t>5.73</w:t>
            </w:r>
          </w:p>
        </w:tc>
        <w:tc>
          <w:tcPr>
            <w:tcW w:w="1951" w:type="dxa"/>
          </w:tcPr>
          <w:p w14:paraId="1829ED57" w14:textId="77777777" w:rsidR="00215B41" w:rsidRPr="003B2BE1" w:rsidRDefault="00215B41" w:rsidP="0049359E">
            <w:pPr>
              <w:ind w:left="1"/>
              <w:jc w:val="both"/>
              <w:rPr>
                <w:sz w:val="20"/>
                <w:szCs w:val="20"/>
                <w:lang w:val="en-US"/>
              </w:rPr>
            </w:pPr>
            <w:r w:rsidRPr="003B2BE1">
              <w:rPr>
                <w:sz w:val="20"/>
                <w:szCs w:val="20"/>
                <w:lang w:val="en-US"/>
              </w:rPr>
              <w:t>0.289</w:t>
            </w:r>
          </w:p>
        </w:tc>
        <w:tc>
          <w:tcPr>
            <w:tcW w:w="1735" w:type="dxa"/>
          </w:tcPr>
          <w:p w14:paraId="1B82ECF0" w14:textId="77777777" w:rsidR="00215B41" w:rsidRPr="003B2BE1" w:rsidRDefault="00215B41" w:rsidP="0049359E">
            <w:pPr>
              <w:ind w:left="38"/>
              <w:jc w:val="both"/>
              <w:rPr>
                <w:sz w:val="20"/>
                <w:szCs w:val="20"/>
                <w:lang w:val="en-US"/>
              </w:rPr>
            </w:pPr>
            <w:r w:rsidRPr="003B2BE1">
              <w:rPr>
                <w:sz w:val="20"/>
                <w:szCs w:val="20"/>
                <w:lang w:val="en-US"/>
              </w:rPr>
              <w:t>H</w:t>
            </w:r>
          </w:p>
        </w:tc>
      </w:tr>
    </w:tbl>
    <w:p w14:paraId="0C2B4D05" w14:textId="073A8995" w:rsidR="00215B41" w:rsidRPr="00CA3B20" w:rsidRDefault="00215B41" w:rsidP="00CA3B20">
      <w:pPr>
        <w:ind w:left="567"/>
        <w:jc w:val="both"/>
        <w:rPr>
          <w:i/>
          <w:iCs/>
          <w:sz w:val="18"/>
          <w:szCs w:val="18"/>
          <w:lang w:val="en-US"/>
        </w:rPr>
      </w:pPr>
      <w:r w:rsidRPr="00CA3B20">
        <w:rPr>
          <w:i/>
          <w:iCs/>
          <w:sz w:val="18"/>
          <w:szCs w:val="18"/>
          <w:lang w:val="en-US"/>
        </w:rPr>
        <w:t xml:space="preserve">Note: One-way ANOVA followed by Tukey’s HSD test. Values are means ± SD (n = 3). </w:t>
      </w:r>
      <w:r w:rsidRPr="000752DA">
        <w:rPr>
          <w:i/>
          <w:iCs/>
          <w:sz w:val="18"/>
          <w:szCs w:val="18"/>
          <w:lang w:val="en-US"/>
        </w:rPr>
        <w:t xml:space="preserve">Means that do not share the same letter are significantly different at </w:t>
      </w:r>
      <w:r w:rsidR="002049D9" w:rsidRPr="000752DA">
        <w:rPr>
          <w:i/>
          <w:iCs/>
          <w:sz w:val="18"/>
          <w:szCs w:val="18"/>
          <w:lang w:val="en-US"/>
        </w:rPr>
        <w:t>P</w:t>
      </w:r>
      <w:r w:rsidRPr="000752DA">
        <w:rPr>
          <w:i/>
          <w:iCs/>
          <w:sz w:val="18"/>
          <w:szCs w:val="18"/>
          <w:lang w:val="en-US"/>
        </w:rPr>
        <w:t xml:space="preserve"> &lt; 0.05 (Tukey HSD)</w:t>
      </w:r>
      <w:r w:rsidRPr="00A3212F">
        <w:rPr>
          <w:i/>
          <w:iCs/>
          <w:sz w:val="18"/>
          <w:szCs w:val="18"/>
          <w:lang w:val="en-US"/>
        </w:rPr>
        <w:t>.</w:t>
      </w:r>
    </w:p>
    <w:p w14:paraId="6857FF98" w14:textId="245CA2D2" w:rsidR="003F7BBA" w:rsidRPr="009D7812" w:rsidRDefault="00CF0F7C" w:rsidP="009D7812">
      <w:pPr>
        <w:ind w:left="567"/>
        <w:jc w:val="both"/>
        <w:rPr>
          <w:sz w:val="20"/>
          <w:szCs w:val="20"/>
          <w:highlight w:val="yellow"/>
          <w:lang w:val="en-US"/>
        </w:rPr>
      </w:pPr>
      <w:r w:rsidRPr="004B1D9C">
        <w:rPr>
          <w:sz w:val="20"/>
          <w:szCs w:val="20"/>
        </w:rPr>
        <w:t xml:space="preserve">Both α-amylase and protease </w:t>
      </w:r>
      <w:r w:rsidRPr="004B1D9C">
        <w:rPr>
          <w:sz w:val="20"/>
          <w:szCs w:val="20"/>
          <w:lang w:val="en-US"/>
        </w:rPr>
        <w:t xml:space="preserve">activity </w:t>
      </w:r>
      <w:r w:rsidRPr="004B1D9C">
        <w:rPr>
          <w:sz w:val="20"/>
          <w:szCs w:val="20"/>
        </w:rPr>
        <w:t xml:space="preserve">are maximally active at low salinity concentrations (0–0.5% NaCl), which is directly proportional to cell growth. The simultaneous decrease in the activity of both enzymes suggests that the limiting factor at high salt concentrations does not stem from enzyme-specific regulatory mechanisms, but is associated with a decline in the physiological function of the cell, e.g. a decrease in energy sources or disruption of protein secretion. This interpretation is consistent with the findings of Gupta et al. (2002) and Sattar et al. (2011), in which the production of alkaline proteases or amylase in </w:t>
      </w:r>
      <w:r w:rsidRPr="00690EBB">
        <w:rPr>
          <w:i/>
          <w:iCs/>
          <w:sz w:val="20"/>
          <w:szCs w:val="20"/>
        </w:rPr>
        <w:t>Bacillus</w:t>
      </w:r>
      <w:r w:rsidRPr="004B1D9C">
        <w:rPr>
          <w:sz w:val="20"/>
          <w:szCs w:val="20"/>
        </w:rPr>
        <w:t xml:space="preserve"> strains is significantly inhibited when salinity </w:t>
      </w:r>
      <w:r w:rsidRPr="004B1D9C">
        <w:rPr>
          <w:sz w:val="20"/>
          <w:szCs w:val="20"/>
          <w:lang w:val="en-US"/>
        </w:rPr>
        <w:t xml:space="preserve">levels </w:t>
      </w:r>
      <w:r w:rsidRPr="004B1D9C">
        <w:rPr>
          <w:sz w:val="20"/>
          <w:szCs w:val="20"/>
        </w:rPr>
        <w:t>exceeds 2–3%.</w:t>
      </w:r>
      <w:r w:rsidR="003F7BBA" w:rsidRPr="004B1D9C">
        <w:rPr>
          <w:sz w:val="20"/>
          <w:szCs w:val="20"/>
          <w:lang w:val="en-US"/>
        </w:rPr>
        <w:t xml:space="preserve"> On the other hand, species that are</w:t>
      </w:r>
      <w:r w:rsidR="003F7BBA" w:rsidRPr="003F7BBA">
        <w:rPr>
          <w:sz w:val="20"/>
          <w:szCs w:val="20"/>
          <w:lang w:val="en-US"/>
        </w:rPr>
        <w:t xml:space="preserve"> better at tolerating salt, like </w:t>
      </w:r>
      <w:r w:rsidR="003F7BBA" w:rsidRPr="00690EBB">
        <w:rPr>
          <w:i/>
          <w:iCs/>
          <w:sz w:val="20"/>
          <w:szCs w:val="20"/>
          <w:lang w:val="en-US"/>
        </w:rPr>
        <w:t xml:space="preserve">B. </w:t>
      </w:r>
      <w:proofErr w:type="spellStart"/>
      <w:r w:rsidR="003F7BBA" w:rsidRPr="00690EBB">
        <w:rPr>
          <w:i/>
          <w:iCs/>
          <w:sz w:val="20"/>
          <w:szCs w:val="20"/>
          <w:lang w:val="en-US"/>
        </w:rPr>
        <w:t>mojavensis</w:t>
      </w:r>
      <w:proofErr w:type="spellEnd"/>
      <w:r w:rsidR="003F7BBA" w:rsidRPr="003F7BBA">
        <w:rPr>
          <w:sz w:val="20"/>
          <w:szCs w:val="20"/>
          <w:lang w:val="en-US"/>
        </w:rPr>
        <w:t>, kept their enzymatic activity high even at 4–5% NaCl (Beg &amp; Gupta, 2003; Kiran &amp; Chandra, 2008).</w:t>
      </w:r>
    </w:p>
    <w:p w14:paraId="3CF9D9E0" w14:textId="09C130AC" w:rsidR="00136705" w:rsidRDefault="00136705" w:rsidP="008D0837">
      <w:pPr>
        <w:ind w:left="567"/>
        <w:jc w:val="both"/>
        <w:rPr>
          <w:b/>
          <w:bCs/>
          <w:sz w:val="20"/>
          <w:szCs w:val="20"/>
          <w:lang w:val="en-US"/>
        </w:rPr>
      </w:pPr>
      <w:r w:rsidRPr="00C90BDC">
        <w:rPr>
          <w:b/>
          <w:bCs/>
          <w:sz w:val="20"/>
          <w:szCs w:val="20"/>
          <w:lang w:val="en-US"/>
        </w:rPr>
        <w:lastRenderedPageBreak/>
        <w:t xml:space="preserve">3.3. </w:t>
      </w:r>
      <w:r w:rsidRPr="00C90BDC">
        <w:rPr>
          <w:b/>
          <w:bCs/>
          <w:sz w:val="20"/>
          <w:szCs w:val="20"/>
        </w:rPr>
        <w:t xml:space="preserve">COD treatment </w:t>
      </w:r>
      <w:r w:rsidR="008D0837" w:rsidRPr="00C90BDC">
        <w:rPr>
          <w:b/>
          <w:bCs/>
          <w:lang w:val="en"/>
        </w:rPr>
        <w:t>efficiency</w:t>
      </w:r>
      <w:r w:rsidRPr="00C90BDC">
        <w:rPr>
          <w:b/>
          <w:bCs/>
          <w:sz w:val="20"/>
          <w:szCs w:val="20"/>
        </w:rPr>
        <w:t xml:space="preserve"> of </w:t>
      </w:r>
      <w:r w:rsidRPr="00C64D2B">
        <w:rPr>
          <w:b/>
          <w:bCs/>
          <w:i/>
          <w:iCs/>
          <w:sz w:val="20"/>
          <w:szCs w:val="20"/>
        </w:rPr>
        <w:t>B. coagulans</w:t>
      </w:r>
      <w:r w:rsidRPr="00C90BDC">
        <w:rPr>
          <w:b/>
          <w:bCs/>
          <w:sz w:val="20"/>
          <w:szCs w:val="20"/>
        </w:rPr>
        <w:t xml:space="preserve"> </w:t>
      </w:r>
      <w:r w:rsidR="00C64D2B" w:rsidRPr="00C64D2B">
        <w:rPr>
          <w:b/>
          <w:bCs/>
          <w:sz w:val="20"/>
          <w:szCs w:val="20"/>
        </w:rPr>
        <w:t>for shrimp pond wastewater</w:t>
      </w:r>
    </w:p>
    <w:p w14:paraId="4E8B4B59" w14:textId="5E715232" w:rsidR="00670777" w:rsidRDefault="00670777" w:rsidP="00BD65D9">
      <w:pPr>
        <w:ind w:left="567"/>
        <w:jc w:val="both"/>
        <w:rPr>
          <w:sz w:val="20"/>
          <w:szCs w:val="20"/>
          <w:lang w:val="en-US"/>
        </w:rPr>
      </w:pPr>
      <w:r w:rsidRPr="00747D79">
        <w:rPr>
          <w:sz w:val="20"/>
          <w:szCs w:val="20"/>
        </w:rPr>
        <w:t xml:space="preserve">The results </w:t>
      </w:r>
      <w:r w:rsidR="00E231BE" w:rsidRPr="00747D79">
        <w:rPr>
          <w:sz w:val="20"/>
          <w:szCs w:val="20"/>
          <w:lang w:val="en-US"/>
        </w:rPr>
        <w:t xml:space="preserve">of the experiment </w:t>
      </w:r>
      <w:r w:rsidRPr="00747D79">
        <w:rPr>
          <w:sz w:val="20"/>
          <w:szCs w:val="20"/>
        </w:rPr>
        <w:t xml:space="preserve">showed that in the first 24 hours, the experiment with the addition of </w:t>
      </w:r>
      <w:r w:rsidRPr="00747D79">
        <w:rPr>
          <w:i/>
          <w:iCs/>
          <w:sz w:val="20"/>
          <w:szCs w:val="20"/>
        </w:rPr>
        <w:t>B</w:t>
      </w:r>
      <w:r w:rsidR="0002030C" w:rsidRPr="00747D79">
        <w:rPr>
          <w:i/>
          <w:iCs/>
          <w:sz w:val="20"/>
          <w:szCs w:val="20"/>
          <w:lang w:val="en-US"/>
        </w:rPr>
        <w:t>.</w:t>
      </w:r>
      <w:r w:rsidRPr="00747D79">
        <w:rPr>
          <w:i/>
          <w:iCs/>
          <w:sz w:val="20"/>
          <w:szCs w:val="20"/>
        </w:rPr>
        <w:t xml:space="preserve"> coagulans</w:t>
      </w:r>
      <w:r w:rsidRPr="00747D79">
        <w:rPr>
          <w:sz w:val="20"/>
          <w:szCs w:val="20"/>
        </w:rPr>
        <w:t xml:space="preserve"> significantly improved the ability to eliminate COD in shrimp pond wastewater. </w:t>
      </w:r>
      <w:r w:rsidR="00860C46" w:rsidRPr="00860C46">
        <w:rPr>
          <w:sz w:val="20"/>
          <w:szCs w:val="20"/>
        </w:rPr>
        <w:t>The results of the two-</w:t>
      </w:r>
      <w:r w:rsidR="00860C46">
        <w:rPr>
          <w:sz w:val="20"/>
          <w:szCs w:val="20"/>
          <w:lang w:val="en-US"/>
        </w:rPr>
        <w:t xml:space="preserve">way </w:t>
      </w:r>
      <w:r w:rsidR="00860C46" w:rsidRPr="00860C46">
        <w:rPr>
          <w:sz w:val="20"/>
          <w:szCs w:val="20"/>
        </w:rPr>
        <w:t xml:space="preserve">ANOVA analysis showed that both the treatment time and the addition of </w:t>
      </w:r>
      <w:r w:rsidR="00860C46" w:rsidRPr="00860C46">
        <w:rPr>
          <w:i/>
          <w:iCs/>
          <w:sz w:val="20"/>
          <w:szCs w:val="20"/>
        </w:rPr>
        <w:t>B. coagulans</w:t>
      </w:r>
      <w:r w:rsidR="00860C46" w:rsidRPr="00860C46">
        <w:rPr>
          <w:sz w:val="20"/>
          <w:szCs w:val="20"/>
        </w:rPr>
        <w:t xml:space="preserve"> bacteria had a significant impact on COD </w:t>
      </w:r>
      <w:r w:rsidR="00860C46">
        <w:rPr>
          <w:sz w:val="20"/>
          <w:szCs w:val="20"/>
          <w:lang w:val="en-US"/>
        </w:rPr>
        <w:t>treatment efficiency</w:t>
      </w:r>
      <w:r w:rsidR="00860C46" w:rsidRPr="00860C46">
        <w:rPr>
          <w:sz w:val="20"/>
          <w:szCs w:val="20"/>
        </w:rPr>
        <w:t>. Specifically, the time factor recorded a statistically significant effect (F = 10.11; df = 2; P = 0.002), the treated sample with the addition of bacteria produced an even stronger effect (F = 46.84; df = 1; P &lt; 0.001).</w:t>
      </w:r>
      <w:r w:rsidR="00860C46">
        <w:rPr>
          <w:sz w:val="20"/>
          <w:szCs w:val="20"/>
          <w:lang w:val="en-US"/>
        </w:rPr>
        <w:t xml:space="preserve"> </w:t>
      </w:r>
      <w:r w:rsidRPr="00670777">
        <w:rPr>
          <w:sz w:val="20"/>
          <w:szCs w:val="20"/>
        </w:rPr>
        <w:t xml:space="preserve">These values demonstrate that COD decreases over time and that the sample with </w:t>
      </w:r>
      <w:r w:rsidRPr="0002030C">
        <w:rPr>
          <w:i/>
          <w:iCs/>
          <w:sz w:val="20"/>
          <w:szCs w:val="20"/>
        </w:rPr>
        <w:t>B. coagulans</w:t>
      </w:r>
      <w:r w:rsidRPr="00670777">
        <w:rPr>
          <w:sz w:val="20"/>
          <w:szCs w:val="20"/>
        </w:rPr>
        <w:t xml:space="preserve"> supplementation is superior to the control (Table 3).</w:t>
      </w:r>
    </w:p>
    <w:p w14:paraId="106B2E25" w14:textId="77777777" w:rsidR="0022053D" w:rsidRPr="003B2BE1" w:rsidRDefault="0022053D" w:rsidP="0022053D">
      <w:pPr>
        <w:ind w:left="567"/>
        <w:jc w:val="both"/>
        <w:rPr>
          <w:sz w:val="20"/>
          <w:szCs w:val="20"/>
          <w:lang w:val="en-US"/>
        </w:rPr>
      </w:pPr>
      <w:r w:rsidRPr="00CA3B20">
        <w:rPr>
          <w:b/>
          <w:bCs/>
          <w:sz w:val="20"/>
          <w:szCs w:val="20"/>
          <w:lang w:val="en-US"/>
        </w:rPr>
        <w:t>Table 3.</w:t>
      </w:r>
      <w:r w:rsidRPr="003B2BE1">
        <w:rPr>
          <w:sz w:val="20"/>
          <w:szCs w:val="20"/>
          <w:lang w:val="en-US"/>
        </w:rPr>
        <w:t xml:space="preserve"> Two-way ANOVA for COD removal efficiency at different incubation times</w:t>
      </w:r>
    </w:p>
    <w:tbl>
      <w:tblPr>
        <w:tblW w:w="8201" w:type="dxa"/>
        <w:tblInd w:w="562" w:type="dxa"/>
        <w:tblLook w:val="04A0" w:firstRow="1" w:lastRow="0" w:firstColumn="1" w:lastColumn="0" w:noHBand="0" w:noVBand="1"/>
      </w:tblPr>
      <w:tblGrid>
        <w:gridCol w:w="1554"/>
        <w:gridCol w:w="1281"/>
        <w:gridCol w:w="1361"/>
        <w:gridCol w:w="1361"/>
        <w:gridCol w:w="1361"/>
        <w:gridCol w:w="1283"/>
      </w:tblGrid>
      <w:tr w:rsidR="0022053D" w:rsidRPr="001C03E8" w14:paraId="329FFD52" w14:textId="77777777" w:rsidTr="00F14482">
        <w:trPr>
          <w:trHeight w:val="290"/>
        </w:trPr>
        <w:tc>
          <w:tcPr>
            <w:tcW w:w="1554" w:type="dxa"/>
            <w:tcBorders>
              <w:top w:val="single" w:sz="4" w:space="0" w:color="auto"/>
              <w:bottom w:val="single" w:sz="4" w:space="0" w:color="auto"/>
            </w:tcBorders>
            <w:noWrap/>
            <w:vAlign w:val="bottom"/>
            <w:hideMark/>
          </w:tcPr>
          <w:p w14:paraId="7AD6021A" w14:textId="77777777" w:rsidR="0022053D" w:rsidRPr="001C03E8" w:rsidRDefault="0022053D" w:rsidP="00F14482">
            <w:pPr>
              <w:ind w:left="33"/>
              <w:jc w:val="both"/>
              <w:rPr>
                <w:b/>
                <w:bCs/>
                <w:sz w:val="20"/>
                <w:szCs w:val="20"/>
                <w:lang w:val="en-US"/>
              </w:rPr>
            </w:pPr>
            <w:r w:rsidRPr="001C03E8">
              <w:rPr>
                <w:b/>
                <w:bCs/>
                <w:sz w:val="20"/>
                <w:szCs w:val="20"/>
                <w:lang w:val="en-US"/>
              </w:rPr>
              <w:t>Source</w:t>
            </w:r>
          </w:p>
        </w:tc>
        <w:tc>
          <w:tcPr>
            <w:tcW w:w="1281" w:type="dxa"/>
            <w:tcBorders>
              <w:top w:val="single" w:sz="4" w:space="0" w:color="auto"/>
              <w:bottom w:val="single" w:sz="4" w:space="0" w:color="auto"/>
            </w:tcBorders>
            <w:noWrap/>
            <w:vAlign w:val="bottom"/>
            <w:hideMark/>
          </w:tcPr>
          <w:p w14:paraId="7F1B9647" w14:textId="77777777" w:rsidR="0022053D" w:rsidRPr="001C03E8" w:rsidRDefault="0022053D" w:rsidP="00F14482">
            <w:pPr>
              <w:ind w:left="151"/>
              <w:jc w:val="both"/>
              <w:rPr>
                <w:b/>
                <w:bCs/>
                <w:sz w:val="20"/>
                <w:szCs w:val="20"/>
                <w:lang w:val="en-US"/>
              </w:rPr>
            </w:pPr>
            <w:r w:rsidRPr="001C03E8">
              <w:rPr>
                <w:b/>
                <w:bCs/>
                <w:sz w:val="20"/>
                <w:szCs w:val="20"/>
                <w:lang w:val="en-US"/>
              </w:rPr>
              <w:t>DF</w:t>
            </w:r>
          </w:p>
        </w:tc>
        <w:tc>
          <w:tcPr>
            <w:tcW w:w="1361" w:type="dxa"/>
            <w:tcBorders>
              <w:top w:val="single" w:sz="4" w:space="0" w:color="auto"/>
              <w:bottom w:val="single" w:sz="4" w:space="0" w:color="auto"/>
            </w:tcBorders>
            <w:noWrap/>
            <w:vAlign w:val="bottom"/>
            <w:hideMark/>
          </w:tcPr>
          <w:p w14:paraId="6061254A" w14:textId="77777777" w:rsidR="0022053D" w:rsidRPr="001C03E8" w:rsidRDefault="0022053D" w:rsidP="00F14482">
            <w:pPr>
              <w:ind w:left="151"/>
              <w:jc w:val="both"/>
              <w:rPr>
                <w:b/>
                <w:bCs/>
                <w:sz w:val="20"/>
                <w:szCs w:val="20"/>
                <w:lang w:val="en-US"/>
              </w:rPr>
            </w:pPr>
            <w:r w:rsidRPr="001C03E8">
              <w:rPr>
                <w:b/>
                <w:bCs/>
                <w:sz w:val="20"/>
                <w:szCs w:val="20"/>
                <w:lang w:val="en-US"/>
              </w:rPr>
              <w:t>Adj SS</w:t>
            </w:r>
          </w:p>
        </w:tc>
        <w:tc>
          <w:tcPr>
            <w:tcW w:w="1361" w:type="dxa"/>
            <w:tcBorders>
              <w:top w:val="single" w:sz="4" w:space="0" w:color="auto"/>
              <w:bottom w:val="single" w:sz="4" w:space="0" w:color="auto"/>
            </w:tcBorders>
            <w:noWrap/>
            <w:vAlign w:val="bottom"/>
            <w:hideMark/>
          </w:tcPr>
          <w:p w14:paraId="09E07FB2" w14:textId="77777777" w:rsidR="0022053D" w:rsidRPr="001C03E8" w:rsidRDefault="0022053D" w:rsidP="00F14482">
            <w:pPr>
              <w:ind w:left="151"/>
              <w:jc w:val="both"/>
              <w:rPr>
                <w:b/>
                <w:bCs/>
                <w:sz w:val="20"/>
                <w:szCs w:val="20"/>
                <w:lang w:val="en-US"/>
              </w:rPr>
            </w:pPr>
            <w:r w:rsidRPr="001C03E8">
              <w:rPr>
                <w:b/>
                <w:bCs/>
                <w:sz w:val="20"/>
                <w:szCs w:val="20"/>
                <w:lang w:val="en-US"/>
              </w:rPr>
              <w:t>Adj MS</w:t>
            </w:r>
          </w:p>
        </w:tc>
        <w:tc>
          <w:tcPr>
            <w:tcW w:w="1361" w:type="dxa"/>
            <w:tcBorders>
              <w:top w:val="single" w:sz="4" w:space="0" w:color="auto"/>
              <w:bottom w:val="single" w:sz="4" w:space="0" w:color="auto"/>
            </w:tcBorders>
            <w:noWrap/>
            <w:vAlign w:val="bottom"/>
            <w:hideMark/>
          </w:tcPr>
          <w:p w14:paraId="048F9427" w14:textId="77777777" w:rsidR="0022053D" w:rsidRPr="001C03E8" w:rsidRDefault="0022053D" w:rsidP="00F14482">
            <w:pPr>
              <w:ind w:left="151"/>
              <w:jc w:val="both"/>
              <w:rPr>
                <w:b/>
                <w:bCs/>
                <w:sz w:val="20"/>
                <w:szCs w:val="20"/>
                <w:lang w:val="en-US"/>
              </w:rPr>
            </w:pPr>
            <w:r w:rsidRPr="001C03E8">
              <w:rPr>
                <w:b/>
                <w:bCs/>
                <w:sz w:val="20"/>
                <w:szCs w:val="20"/>
                <w:lang w:val="en-US"/>
              </w:rPr>
              <w:t>F-value</w:t>
            </w:r>
          </w:p>
        </w:tc>
        <w:tc>
          <w:tcPr>
            <w:tcW w:w="1283" w:type="dxa"/>
            <w:tcBorders>
              <w:top w:val="single" w:sz="4" w:space="0" w:color="auto"/>
              <w:bottom w:val="single" w:sz="4" w:space="0" w:color="auto"/>
            </w:tcBorders>
            <w:noWrap/>
            <w:vAlign w:val="bottom"/>
            <w:hideMark/>
          </w:tcPr>
          <w:p w14:paraId="13335065" w14:textId="77777777" w:rsidR="0022053D" w:rsidRPr="001C03E8" w:rsidRDefault="0022053D" w:rsidP="00F14482">
            <w:pPr>
              <w:ind w:left="151"/>
              <w:jc w:val="both"/>
              <w:rPr>
                <w:b/>
                <w:bCs/>
                <w:sz w:val="20"/>
                <w:szCs w:val="20"/>
                <w:lang w:val="en-US"/>
              </w:rPr>
            </w:pPr>
            <w:r>
              <w:rPr>
                <w:b/>
                <w:bCs/>
                <w:i/>
                <w:iCs/>
                <w:sz w:val="20"/>
                <w:szCs w:val="20"/>
                <w:lang w:val="en-US"/>
              </w:rPr>
              <w:t>P</w:t>
            </w:r>
            <w:r w:rsidRPr="001C03E8">
              <w:rPr>
                <w:b/>
                <w:bCs/>
                <w:sz w:val="20"/>
                <w:szCs w:val="20"/>
                <w:lang w:val="en-US"/>
              </w:rPr>
              <w:t>-value</w:t>
            </w:r>
          </w:p>
        </w:tc>
      </w:tr>
      <w:tr w:rsidR="0022053D" w:rsidRPr="003B2BE1" w14:paraId="6B810D2B" w14:textId="77777777" w:rsidTr="00F14482">
        <w:trPr>
          <w:trHeight w:val="290"/>
        </w:trPr>
        <w:tc>
          <w:tcPr>
            <w:tcW w:w="1554" w:type="dxa"/>
            <w:tcBorders>
              <w:top w:val="single" w:sz="4" w:space="0" w:color="auto"/>
            </w:tcBorders>
            <w:noWrap/>
            <w:vAlign w:val="bottom"/>
            <w:hideMark/>
          </w:tcPr>
          <w:p w14:paraId="3EC60955" w14:textId="77777777" w:rsidR="0022053D" w:rsidRPr="003B2BE1" w:rsidRDefault="0022053D" w:rsidP="00F14482">
            <w:pPr>
              <w:ind w:left="33"/>
              <w:jc w:val="both"/>
              <w:rPr>
                <w:sz w:val="20"/>
                <w:szCs w:val="20"/>
                <w:lang w:val="en-US"/>
              </w:rPr>
            </w:pPr>
            <w:r w:rsidRPr="003B2BE1">
              <w:rPr>
                <w:sz w:val="20"/>
                <w:szCs w:val="20"/>
                <w:lang w:val="en-US"/>
              </w:rPr>
              <w:t>Time</w:t>
            </w:r>
          </w:p>
        </w:tc>
        <w:tc>
          <w:tcPr>
            <w:tcW w:w="1281" w:type="dxa"/>
            <w:tcBorders>
              <w:top w:val="single" w:sz="4" w:space="0" w:color="auto"/>
            </w:tcBorders>
            <w:noWrap/>
            <w:vAlign w:val="bottom"/>
            <w:hideMark/>
          </w:tcPr>
          <w:p w14:paraId="4E60D3DA" w14:textId="77777777" w:rsidR="0022053D" w:rsidRPr="003B2BE1" w:rsidRDefault="0022053D" w:rsidP="00F14482">
            <w:pPr>
              <w:ind w:left="151"/>
              <w:jc w:val="both"/>
              <w:rPr>
                <w:sz w:val="20"/>
                <w:szCs w:val="20"/>
                <w:lang w:val="en-US"/>
              </w:rPr>
            </w:pPr>
            <w:r w:rsidRPr="003B2BE1">
              <w:rPr>
                <w:sz w:val="20"/>
                <w:szCs w:val="20"/>
                <w:lang w:val="en-US"/>
              </w:rPr>
              <w:t>2</w:t>
            </w:r>
          </w:p>
        </w:tc>
        <w:tc>
          <w:tcPr>
            <w:tcW w:w="1361" w:type="dxa"/>
            <w:tcBorders>
              <w:top w:val="single" w:sz="4" w:space="0" w:color="auto"/>
            </w:tcBorders>
            <w:noWrap/>
            <w:vAlign w:val="bottom"/>
            <w:hideMark/>
          </w:tcPr>
          <w:p w14:paraId="73AC2118" w14:textId="77777777" w:rsidR="0022053D" w:rsidRPr="003B2BE1" w:rsidRDefault="0022053D" w:rsidP="00F14482">
            <w:pPr>
              <w:ind w:left="151"/>
              <w:jc w:val="both"/>
              <w:rPr>
                <w:sz w:val="20"/>
                <w:szCs w:val="20"/>
                <w:lang w:val="en-US"/>
              </w:rPr>
            </w:pPr>
            <w:r w:rsidRPr="003B2BE1">
              <w:rPr>
                <w:sz w:val="20"/>
                <w:szCs w:val="20"/>
                <w:lang w:val="en-US"/>
              </w:rPr>
              <w:t>188.248</w:t>
            </w:r>
          </w:p>
        </w:tc>
        <w:tc>
          <w:tcPr>
            <w:tcW w:w="1361" w:type="dxa"/>
            <w:tcBorders>
              <w:top w:val="single" w:sz="4" w:space="0" w:color="auto"/>
            </w:tcBorders>
            <w:noWrap/>
            <w:vAlign w:val="bottom"/>
            <w:hideMark/>
          </w:tcPr>
          <w:p w14:paraId="2D7E79D3" w14:textId="77777777" w:rsidR="0022053D" w:rsidRPr="003B2BE1" w:rsidRDefault="0022053D" w:rsidP="00F14482">
            <w:pPr>
              <w:ind w:left="151"/>
              <w:jc w:val="both"/>
              <w:rPr>
                <w:sz w:val="20"/>
                <w:szCs w:val="20"/>
                <w:lang w:val="en-US"/>
              </w:rPr>
            </w:pPr>
            <w:r w:rsidRPr="003B2BE1">
              <w:rPr>
                <w:sz w:val="20"/>
                <w:szCs w:val="20"/>
                <w:lang w:val="en-US"/>
              </w:rPr>
              <w:t>94.124</w:t>
            </w:r>
          </w:p>
        </w:tc>
        <w:tc>
          <w:tcPr>
            <w:tcW w:w="1361" w:type="dxa"/>
            <w:tcBorders>
              <w:top w:val="single" w:sz="4" w:space="0" w:color="auto"/>
            </w:tcBorders>
            <w:noWrap/>
            <w:vAlign w:val="bottom"/>
            <w:hideMark/>
          </w:tcPr>
          <w:p w14:paraId="681460E7" w14:textId="77777777" w:rsidR="0022053D" w:rsidRPr="003B2BE1" w:rsidRDefault="0022053D" w:rsidP="00F14482">
            <w:pPr>
              <w:ind w:left="151"/>
              <w:jc w:val="both"/>
              <w:rPr>
                <w:sz w:val="20"/>
                <w:szCs w:val="20"/>
                <w:lang w:val="en-US"/>
              </w:rPr>
            </w:pPr>
            <w:r w:rsidRPr="003B2BE1">
              <w:rPr>
                <w:sz w:val="20"/>
                <w:szCs w:val="20"/>
                <w:lang w:val="en-US"/>
              </w:rPr>
              <w:t>10.11</w:t>
            </w:r>
          </w:p>
        </w:tc>
        <w:tc>
          <w:tcPr>
            <w:tcW w:w="1283" w:type="dxa"/>
            <w:tcBorders>
              <w:top w:val="single" w:sz="4" w:space="0" w:color="auto"/>
            </w:tcBorders>
            <w:noWrap/>
            <w:vAlign w:val="bottom"/>
            <w:hideMark/>
          </w:tcPr>
          <w:p w14:paraId="70D6622B" w14:textId="77777777" w:rsidR="0022053D" w:rsidRPr="003B2BE1" w:rsidRDefault="0022053D" w:rsidP="00F14482">
            <w:pPr>
              <w:ind w:left="151"/>
              <w:jc w:val="both"/>
              <w:rPr>
                <w:sz w:val="20"/>
                <w:szCs w:val="20"/>
                <w:lang w:val="en-US"/>
              </w:rPr>
            </w:pPr>
            <w:r w:rsidRPr="003B2BE1">
              <w:rPr>
                <w:sz w:val="20"/>
                <w:szCs w:val="20"/>
                <w:lang w:val="en-US"/>
              </w:rPr>
              <w:t>0.002</w:t>
            </w:r>
          </w:p>
        </w:tc>
      </w:tr>
      <w:tr w:rsidR="0022053D" w:rsidRPr="003B2BE1" w14:paraId="3D416E64" w14:textId="77777777" w:rsidTr="00F14482">
        <w:trPr>
          <w:trHeight w:val="290"/>
        </w:trPr>
        <w:tc>
          <w:tcPr>
            <w:tcW w:w="1554" w:type="dxa"/>
            <w:noWrap/>
            <w:vAlign w:val="bottom"/>
            <w:hideMark/>
          </w:tcPr>
          <w:p w14:paraId="50E32D12" w14:textId="77777777" w:rsidR="0022053D" w:rsidRPr="003B2BE1" w:rsidRDefault="0022053D" w:rsidP="00F14482">
            <w:pPr>
              <w:ind w:left="33"/>
              <w:jc w:val="both"/>
              <w:rPr>
                <w:sz w:val="20"/>
                <w:szCs w:val="20"/>
                <w:lang w:val="en-US"/>
              </w:rPr>
            </w:pPr>
            <w:r w:rsidRPr="003B2BE1">
              <w:rPr>
                <w:sz w:val="20"/>
                <w:szCs w:val="20"/>
                <w:lang w:val="en-US"/>
              </w:rPr>
              <w:t>Treatment</w:t>
            </w:r>
          </w:p>
        </w:tc>
        <w:tc>
          <w:tcPr>
            <w:tcW w:w="1281" w:type="dxa"/>
            <w:noWrap/>
            <w:vAlign w:val="bottom"/>
            <w:hideMark/>
          </w:tcPr>
          <w:p w14:paraId="3644EE85" w14:textId="77777777" w:rsidR="0022053D" w:rsidRPr="003B2BE1" w:rsidRDefault="0022053D" w:rsidP="00F14482">
            <w:pPr>
              <w:ind w:left="151"/>
              <w:jc w:val="both"/>
              <w:rPr>
                <w:sz w:val="20"/>
                <w:szCs w:val="20"/>
                <w:lang w:val="en-US"/>
              </w:rPr>
            </w:pPr>
            <w:r w:rsidRPr="003B2BE1">
              <w:rPr>
                <w:sz w:val="20"/>
                <w:szCs w:val="20"/>
                <w:lang w:val="en-US"/>
              </w:rPr>
              <w:t>1</w:t>
            </w:r>
          </w:p>
        </w:tc>
        <w:tc>
          <w:tcPr>
            <w:tcW w:w="1361" w:type="dxa"/>
            <w:noWrap/>
            <w:vAlign w:val="bottom"/>
            <w:hideMark/>
          </w:tcPr>
          <w:p w14:paraId="0D7F3C23" w14:textId="77777777" w:rsidR="0022053D" w:rsidRPr="003B2BE1" w:rsidRDefault="0022053D" w:rsidP="00F14482">
            <w:pPr>
              <w:ind w:left="151"/>
              <w:jc w:val="both"/>
              <w:rPr>
                <w:sz w:val="20"/>
                <w:szCs w:val="20"/>
                <w:lang w:val="en-US"/>
              </w:rPr>
            </w:pPr>
            <w:r w:rsidRPr="003B2BE1">
              <w:rPr>
                <w:sz w:val="20"/>
                <w:szCs w:val="20"/>
                <w:lang w:val="en-US"/>
              </w:rPr>
              <w:t>436.109</w:t>
            </w:r>
          </w:p>
        </w:tc>
        <w:tc>
          <w:tcPr>
            <w:tcW w:w="1361" w:type="dxa"/>
            <w:noWrap/>
            <w:vAlign w:val="bottom"/>
            <w:hideMark/>
          </w:tcPr>
          <w:p w14:paraId="6532B9B1" w14:textId="77777777" w:rsidR="0022053D" w:rsidRPr="003B2BE1" w:rsidRDefault="0022053D" w:rsidP="00F14482">
            <w:pPr>
              <w:ind w:left="151"/>
              <w:jc w:val="both"/>
              <w:rPr>
                <w:sz w:val="20"/>
                <w:szCs w:val="20"/>
                <w:lang w:val="en-US"/>
              </w:rPr>
            </w:pPr>
            <w:r w:rsidRPr="003B2BE1">
              <w:rPr>
                <w:sz w:val="20"/>
                <w:szCs w:val="20"/>
                <w:lang w:val="en-US"/>
              </w:rPr>
              <w:t>436.109</w:t>
            </w:r>
          </w:p>
        </w:tc>
        <w:tc>
          <w:tcPr>
            <w:tcW w:w="1361" w:type="dxa"/>
            <w:noWrap/>
            <w:vAlign w:val="bottom"/>
            <w:hideMark/>
          </w:tcPr>
          <w:p w14:paraId="660AB73B" w14:textId="77777777" w:rsidR="0022053D" w:rsidRPr="003B2BE1" w:rsidRDefault="0022053D" w:rsidP="00F14482">
            <w:pPr>
              <w:ind w:left="151"/>
              <w:jc w:val="both"/>
              <w:rPr>
                <w:sz w:val="20"/>
                <w:szCs w:val="20"/>
                <w:lang w:val="en-US"/>
              </w:rPr>
            </w:pPr>
            <w:r w:rsidRPr="003B2BE1">
              <w:rPr>
                <w:sz w:val="20"/>
                <w:szCs w:val="20"/>
                <w:lang w:val="en-US"/>
              </w:rPr>
              <w:t>46.84</w:t>
            </w:r>
          </w:p>
        </w:tc>
        <w:tc>
          <w:tcPr>
            <w:tcW w:w="1283" w:type="dxa"/>
            <w:noWrap/>
            <w:vAlign w:val="bottom"/>
            <w:hideMark/>
          </w:tcPr>
          <w:p w14:paraId="44243CE8" w14:textId="77777777" w:rsidR="0022053D" w:rsidRPr="003B2BE1" w:rsidRDefault="0022053D" w:rsidP="00F14482">
            <w:pPr>
              <w:ind w:left="151"/>
              <w:jc w:val="both"/>
              <w:rPr>
                <w:sz w:val="20"/>
                <w:szCs w:val="20"/>
                <w:lang w:val="en-US"/>
              </w:rPr>
            </w:pPr>
            <w:r w:rsidRPr="003B2BE1">
              <w:rPr>
                <w:sz w:val="20"/>
                <w:szCs w:val="20"/>
                <w:lang w:val="en-US"/>
              </w:rPr>
              <w:t>&lt;0.001</w:t>
            </w:r>
          </w:p>
        </w:tc>
      </w:tr>
      <w:tr w:rsidR="0022053D" w:rsidRPr="003B2BE1" w14:paraId="4D0AF391" w14:textId="77777777" w:rsidTr="00F14482">
        <w:trPr>
          <w:trHeight w:val="290"/>
        </w:trPr>
        <w:tc>
          <w:tcPr>
            <w:tcW w:w="1554" w:type="dxa"/>
            <w:noWrap/>
            <w:vAlign w:val="center"/>
            <w:hideMark/>
          </w:tcPr>
          <w:p w14:paraId="1234D191" w14:textId="77777777" w:rsidR="0022053D" w:rsidRPr="003B2BE1" w:rsidRDefault="0022053D" w:rsidP="00F14482">
            <w:pPr>
              <w:ind w:left="33"/>
              <w:jc w:val="both"/>
              <w:rPr>
                <w:sz w:val="20"/>
                <w:szCs w:val="20"/>
                <w:lang w:val="en-US"/>
              </w:rPr>
            </w:pPr>
            <w:r w:rsidRPr="003B2BE1">
              <w:rPr>
                <w:sz w:val="20"/>
                <w:szCs w:val="20"/>
                <w:lang w:val="en-US"/>
              </w:rPr>
              <w:t xml:space="preserve">Lack-of-fit </w:t>
            </w:r>
          </w:p>
        </w:tc>
        <w:tc>
          <w:tcPr>
            <w:tcW w:w="1281" w:type="dxa"/>
            <w:noWrap/>
            <w:vAlign w:val="center"/>
            <w:hideMark/>
          </w:tcPr>
          <w:p w14:paraId="0F5855FC" w14:textId="77777777" w:rsidR="0022053D" w:rsidRPr="003B2BE1" w:rsidRDefault="0022053D" w:rsidP="00F14482">
            <w:pPr>
              <w:ind w:left="151"/>
              <w:jc w:val="both"/>
              <w:rPr>
                <w:sz w:val="20"/>
                <w:szCs w:val="20"/>
                <w:lang w:val="en-US"/>
              </w:rPr>
            </w:pPr>
            <w:r w:rsidRPr="003B2BE1">
              <w:rPr>
                <w:sz w:val="20"/>
                <w:szCs w:val="20"/>
                <w:lang w:val="en-US"/>
              </w:rPr>
              <w:t>2</w:t>
            </w:r>
          </w:p>
        </w:tc>
        <w:tc>
          <w:tcPr>
            <w:tcW w:w="1361" w:type="dxa"/>
            <w:noWrap/>
            <w:vAlign w:val="center"/>
            <w:hideMark/>
          </w:tcPr>
          <w:p w14:paraId="4AE761C3" w14:textId="77777777" w:rsidR="0022053D" w:rsidRPr="003B2BE1" w:rsidRDefault="0022053D" w:rsidP="00F14482">
            <w:pPr>
              <w:ind w:left="151"/>
              <w:jc w:val="both"/>
              <w:rPr>
                <w:sz w:val="20"/>
                <w:szCs w:val="20"/>
                <w:lang w:val="en-US"/>
              </w:rPr>
            </w:pPr>
            <w:r w:rsidRPr="003B2BE1">
              <w:rPr>
                <w:sz w:val="20"/>
                <w:szCs w:val="20"/>
                <w:lang w:val="en-US"/>
              </w:rPr>
              <w:t>129.768</w:t>
            </w:r>
          </w:p>
        </w:tc>
        <w:tc>
          <w:tcPr>
            <w:tcW w:w="1361" w:type="dxa"/>
            <w:noWrap/>
            <w:vAlign w:val="center"/>
            <w:hideMark/>
          </w:tcPr>
          <w:p w14:paraId="299E5F0A" w14:textId="77777777" w:rsidR="0022053D" w:rsidRPr="003B2BE1" w:rsidRDefault="0022053D" w:rsidP="00F14482">
            <w:pPr>
              <w:ind w:left="151"/>
              <w:jc w:val="both"/>
              <w:rPr>
                <w:sz w:val="20"/>
                <w:szCs w:val="20"/>
                <w:lang w:val="en-US"/>
              </w:rPr>
            </w:pPr>
            <w:r w:rsidRPr="003B2BE1">
              <w:rPr>
                <w:sz w:val="20"/>
                <w:szCs w:val="20"/>
                <w:lang w:val="en-US"/>
              </w:rPr>
              <w:t>64.884</w:t>
            </w:r>
          </w:p>
        </w:tc>
        <w:tc>
          <w:tcPr>
            <w:tcW w:w="1361" w:type="dxa"/>
            <w:noWrap/>
            <w:vAlign w:val="center"/>
            <w:hideMark/>
          </w:tcPr>
          <w:p w14:paraId="3BB0DD5F" w14:textId="77777777" w:rsidR="0022053D" w:rsidRPr="003B2BE1" w:rsidRDefault="0022053D" w:rsidP="00F14482">
            <w:pPr>
              <w:ind w:left="151"/>
              <w:jc w:val="both"/>
              <w:rPr>
                <w:sz w:val="20"/>
                <w:szCs w:val="20"/>
                <w:lang w:val="en-US"/>
              </w:rPr>
            </w:pPr>
            <w:r w:rsidRPr="003B2BE1">
              <w:rPr>
                <w:sz w:val="20"/>
                <w:szCs w:val="20"/>
                <w:lang w:val="en-US"/>
              </w:rPr>
              <w:t>1358.03</w:t>
            </w:r>
          </w:p>
        </w:tc>
        <w:tc>
          <w:tcPr>
            <w:tcW w:w="1283" w:type="dxa"/>
            <w:noWrap/>
            <w:vAlign w:val="center"/>
            <w:hideMark/>
          </w:tcPr>
          <w:p w14:paraId="0B295E15" w14:textId="77777777" w:rsidR="0022053D" w:rsidRPr="003B2BE1" w:rsidRDefault="0022053D" w:rsidP="00F14482">
            <w:pPr>
              <w:ind w:left="151"/>
              <w:jc w:val="both"/>
              <w:rPr>
                <w:sz w:val="20"/>
                <w:szCs w:val="20"/>
                <w:lang w:val="en-US"/>
              </w:rPr>
            </w:pPr>
            <w:r w:rsidRPr="003B2BE1">
              <w:rPr>
                <w:sz w:val="20"/>
                <w:szCs w:val="20"/>
                <w:lang w:val="en-US"/>
              </w:rPr>
              <w:t>&lt;0.001</w:t>
            </w:r>
          </w:p>
        </w:tc>
      </w:tr>
      <w:tr w:rsidR="0022053D" w:rsidRPr="003B2BE1" w14:paraId="3E8453B4" w14:textId="77777777" w:rsidTr="00F14482">
        <w:trPr>
          <w:trHeight w:val="290"/>
        </w:trPr>
        <w:tc>
          <w:tcPr>
            <w:tcW w:w="1554" w:type="dxa"/>
            <w:noWrap/>
            <w:vAlign w:val="bottom"/>
            <w:hideMark/>
          </w:tcPr>
          <w:p w14:paraId="382ED466" w14:textId="77777777" w:rsidR="0022053D" w:rsidRPr="003B2BE1" w:rsidRDefault="0022053D" w:rsidP="00F14482">
            <w:pPr>
              <w:ind w:left="33"/>
              <w:jc w:val="both"/>
              <w:rPr>
                <w:sz w:val="20"/>
                <w:szCs w:val="20"/>
                <w:lang w:val="en-US"/>
              </w:rPr>
            </w:pPr>
            <w:r w:rsidRPr="003B2BE1">
              <w:rPr>
                <w:sz w:val="20"/>
                <w:szCs w:val="20"/>
                <w:lang w:val="en-US"/>
              </w:rPr>
              <w:t>Pure Error</w:t>
            </w:r>
          </w:p>
        </w:tc>
        <w:tc>
          <w:tcPr>
            <w:tcW w:w="1281" w:type="dxa"/>
            <w:noWrap/>
            <w:vAlign w:val="bottom"/>
            <w:hideMark/>
          </w:tcPr>
          <w:p w14:paraId="779714E8" w14:textId="77777777" w:rsidR="0022053D" w:rsidRPr="003B2BE1" w:rsidRDefault="0022053D" w:rsidP="00F14482">
            <w:pPr>
              <w:ind w:left="151"/>
              <w:jc w:val="both"/>
              <w:rPr>
                <w:sz w:val="20"/>
                <w:szCs w:val="20"/>
                <w:lang w:val="en-US"/>
              </w:rPr>
            </w:pPr>
            <w:r w:rsidRPr="003B2BE1">
              <w:rPr>
                <w:sz w:val="20"/>
                <w:szCs w:val="20"/>
                <w:lang w:val="en-US"/>
              </w:rPr>
              <w:t>12</w:t>
            </w:r>
          </w:p>
        </w:tc>
        <w:tc>
          <w:tcPr>
            <w:tcW w:w="1361" w:type="dxa"/>
            <w:noWrap/>
            <w:vAlign w:val="bottom"/>
            <w:hideMark/>
          </w:tcPr>
          <w:p w14:paraId="7A0A0FE6" w14:textId="77777777" w:rsidR="0022053D" w:rsidRPr="003B2BE1" w:rsidRDefault="0022053D" w:rsidP="00F14482">
            <w:pPr>
              <w:ind w:left="151"/>
              <w:jc w:val="both"/>
              <w:rPr>
                <w:sz w:val="20"/>
                <w:szCs w:val="20"/>
                <w:lang w:val="en-US"/>
              </w:rPr>
            </w:pPr>
            <w:r w:rsidRPr="003B2BE1">
              <w:rPr>
                <w:sz w:val="20"/>
                <w:szCs w:val="20"/>
                <w:lang w:val="en-US"/>
              </w:rPr>
              <w:t>0.573</w:t>
            </w:r>
          </w:p>
        </w:tc>
        <w:tc>
          <w:tcPr>
            <w:tcW w:w="1361" w:type="dxa"/>
            <w:noWrap/>
            <w:vAlign w:val="bottom"/>
            <w:hideMark/>
          </w:tcPr>
          <w:p w14:paraId="6F10E210" w14:textId="77777777" w:rsidR="0022053D" w:rsidRPr="003B2BE1" w:rsidRDefault="0022053D" w:rsidP="00F14482">
            <w:pPr>
              <w:ind w:left="151"/>
              <w:jc w:val="both"/>
              <w:rPr>
                <w:sz w:val="20"/>
                <w:szCs w:val="20"/>
                <w:lang w:val="en-US"/>
              </w:rPr>
            </w:pPr>
            <w:r w:rsidRPr="003B2BE1">
              <w:rPr>
                <w:sz w:val="20"/>
                <w:szCs w:val="20"/>
                <w:lang w:val="en-US"/>
              </w:rPr>
              <w:t>0.048</w:t>
            </w:r>
          </w:p>
        </w:tc>
        <w:tc>
          <w:tcPr>
            <w:tcW w:w="1361" w:type="dxa"/>
            <w:noWrap/>
            <w:vAlign w:val="bottom"/>
            <w:hideMark/>
          </w:tcPr>
          <w:p w14:paraId="75BD7539" w14:textId="77777777" w:rsidR="0022053D" w:rsidRPr="003B2BE1" w:rsidRDefault="0022053D" w:rsidP="00F14482">
            <w:pPr>
              <w:ind w:left="151"/>
              <w:jc w:val="both"/>
              <w:rPr>
                <w:sz w:val="20"/>
                <w:szCs w:val="20"/>
                <w:lang w:val="en-US"/>
              </w:rPr>
            </w:pPr>
            <w:r w:rsidRPr="003B2BE1">
              <w:rPr>
                <w:sz w:val="20"/>
                <w:szCs w:val="20"/>
                <w:lang w:val="en-US"/>
              </w:rPr>
              <w:t>–</w:t>
            </w:r>
          </w:p>
        </w:tc>
        <w:tc>
          <w:tcPr>
            <w:tcW w:w="1283" w:type="dxa"/>
            <w:noWrap/>
            <w:vAlign w:val="bottom"/>
            <w:hideMark/>
          </w:tcPr>
          <w:p w14:paraId="0046FDD4" w14:textId="77777777" w:rsidR="0022053D" w:rsidRPr="003B2BE1" w:rsidRDefault="0022053D" w:rsidP="00F14482">
            <w:pPr>
              <w:ind w:left="151"/>
              <w:jc w:val="both"/>
              <w:rPr>
                <w:sz w:val="20"/>
                <w:szCs w:val="20"/>
                <w:lang w:val="en-US"/>
              </w:rPr>
            </w:pPr>
            <w:r w:rsidRPr="003B2BE1">
              <w:rPr>
                <w:sz w:val="20"/>
                <w:szCs w:val="20"/>
                <w:lang w:val="en-US"/>
              </w:rPr>
              <w:t>–</w:t>
            </w:r>
          </w:p>
        </w:tc>
      </w:tr>
      <w:tr w:rsidR="0022053D" w:rsidRPr="003B2BE1" w14:paraId="21F0CA4C" w14:textId="77777777" w:rsidTr="00F14482">
        <w:trPr>
          <w:trHeight w:val="290"/>
        </w:trPr>
        <w:tc>
          <w:tcPr>
            <w:tcW w:w="1554" w:type="dxa"/>
            <w:noWrap/>
            <w:vAlign w:val="bottom"/>
            <w:hideMark/>
          </w:tcPr>
          <w:p w14:paraId="758C083D" w14:textId="77777777" w:rsidR="0022053D" w:rsidRPr="003B2BE1" w:rsidRDefault="0022053D" w:rsidP="00F14482">
            <w:pPr>
              <w:ind w:left="33"/>
              <w:jc w:val="both"/>
              <w:rPr>
                <w:sz w:val="20"/>
                <w:szCs w:val="20"/>
                <w:lang w:val="en-US"/>
              </w:rPr>
            </w:pPr>
            <w:r w:rsidRPr="003B2BE1">
              <w:rPr>
                <w:sz w:val="20"/>
                <w:szCs w:val="20"/>
                <w:lang w:val="en-US"/>
              </w:rPr>
              <w:t>Total</w:t>
            </w:r>
          </w:p>
        </w:tc>
        <w:tc>
          <w:tcPr>
            <w:tcW w:w="1281" w:type="dxa"/>
            <w:noWrap/>
            <w:vAlign w:val="bottom"/>
            <w:hideMark/>
          </w:tcPr>
          <w:p w14:paraId="1825114F" w14:textId="77777777" w:rsidR="0022053D" w:rsidRPr="003B2BE1" w:rsidRDefault="0022053D" w:rsidP="00F14482">
            <w:pPr>
              <w:ind w:left="151"/>
              <w:jc w:val="both"/>
              <w:rPr>
                <w:sz w:val="20"/>
                <w:szCs w:val="20"/>
                <w:lang w:val="en-US"/>
              </w:rPr>
            </w:pPr>
            <w:r w:rsidRPr="003B2BE1">
              <w:rPr>
                <w:sz w:val="20"/>
                <w:szCs w:val="20"/>
                <w:lang w:val="en-US"/>
              </w:rPr>
              <w:t>17</w:t>
            </w:r>
          </w:p>
        </w:tc>
        <w:tc>
          <w:tcPr>
            <w:tcW w:w="1361" w:type="dxa"/>
            <w:noWrap/>
            <w:vAlign w:val="bottom"/>
            <w:hideMark/>
          </w:tcPr>
          <w:p w14:paraId="6115D4FF" w14:textId="77777777" w:rsidR="0022053D" w:rsidRPr="003B2BE1" w:rsidRDefault="0022053D" w:rsidP="00F14482">
            <w:pPr>
              <w:ind w:left="151"/>
              <w:jc w:val="both"/>
              <w:rPr>
                <w:sz w:val="20"/>
                <w:szCs w:val="20"/>
                <w:lang w:val="en-US"/>
              </w:rPr>
            </w:pPr>
            <w:r w:rsidRPr="003B2BE1">
              <w:rPr>
                <w:sz w:val="20"/>
                <w:szCs w:val="20"/>
                <w:lang w:val="en-US"/>
              </w:rPr>
              <w:t>754.698</w:t>
            </w:r>
          </w:p>
        </w:tc>
        <w:tc>
          <w:tcPr>
            <w:tcW w:w="1361" w:type="dxa"/>
            <w:noWrap/>
            <w:vAlign w:val="bottom"/>
            <w:hideMark/>
          </w:tcPr>
          <w:p w14:paraId="1D99178D" w14:textId="77777777" w:rsidR="0022053D" w:rsidRPr="003B2BE1" w:rsidRDefault="0022053D" w:rsidP="00F14482">
            <w:pPr>
              <w:ind w:left="151"/>
              <w:jc w:val="both"/>
              <w:rPr>
                <w:sz w:val="20"/>
                <w:szCs w:val="20"/>
                <w:lang w:val="en-US"/>
              </w:rPr>
            </w:pPr>
            <w:r w:rsidRPr="003B2BE1">
              <w:rPr>
                <w:sz w:val="20"/>
                <w:szCs w:val="20"/>
                <w:lang w:val="en-US"/>
              </w:rPr>
              <w:t>–</w:t>
            </w:r>
          </w:p>
        </w:tc>
        <w:tc>
          <w:tcPr>
            <w:tcW w:w="1361" w:type="dxa"/>
            <w:noWrap/>
            <w:vAlign w:val="bottom"/>
            <w:hideMark/>
          </w:tcPr>
          <w:p w14:paraId="152938B1" w14:textId="77777777" w:rsidR="0022053D" w:rsidRPr="003B2BE1" w:rsidRDefault="0022053D" w:rsidP="00F14482">
            <w:pPr>
              <w:ind w:left="151"/>
              <w:jc w:val="both"/>
              <w:rPr>
                <w:sz w:val="20"/>
                <w:szCs w:val="20"/>
                <w:lang w:val="en-US"/>
              </w:rPr>
            </w:pPr>
            <w:r w:rsidRPr="003B2BE1">
              <w:rPr>
                <w:sz w:val="20"/>
                <w:szCs w:val="20"/>
                <w:lang w:val="en-US"/>
              </w:rPr>
              <w:t>–</w:t>
            </w:r>
          </w:p>
        </w:tc>
        <w:tc>
          <w:tcPr>
            <w:tcW w:w="1283" w:type="dxa"/>
            <w:noWrap/>
            <w:vAlign w:val="bottom"/>
            <w:hideMark/>
          </w:tcPr>
          <w:p w14:paraId="6970A82E" w14:textId="77777777" w:rsidR="0022053D" w:rsidRPr="003B2BE1" w:rsidRDefault="0022053D" w:rsidP="00F14482">
            <w:pPr>
              <w:ind w:left="151"/>
              <w:jc w:val="both"/>
              <w:rPr>
                <w:sz w:val="20"/>
                <w:szCs w:val="20"/>
                <w:lang w:val="en-US"/>
              </w:rPr>
            </w:pPr>
            <w:r w:rsidRPr="003B2BE1">
              <w:rPr>
                <w:sz w:val="20"/>
                <w:szCs w:val="20"/>
                <w:lang w:val="en-US"/>
              </w:rPr>
              <w:t>–</w:t>
            </w:r>
          </w:p>
        </w:tc>
      </w:tr>
    </w:tbl>
    <w:p w14:paraId="3F652EC2" w14:textId="77777777" w:rsidR="004725E3" w:rsidRDefault="004725E3" w:rsidP="00BD65D9">
      <w:pPr>
        <w:ind w:left="567"/>
        <w:jc w:val="both"/>
        <w:rPr>
          <w:sz w:val="20"/>
          <w:szCs w:val="20"/>
          <w:lang w:val="en-US"/>
        </w:rPr>
      </w:pPr>
    </w:p>
    <w:p w14:paraId="5B82DCD7" w14:textId="6113CC5B" w:rsidR="00400D5A" w:rsidRDefault="00670777" w:rsidP="00BD65D9">
      <w:pPr>
        <w:ind w:left="567"/>
        <w:jc w:val="both"/>
        <w:rPr>
          <w:sz w:val="20"/>
          <w:szCs w:val="20"/>
          <w:lang w:val="en-US"/>
        </w:rPr>
      </w:pPr>
      <w:r w:rsidRPr="00670777">
        <w:rPr>
          <w:sz w:val="20"/>
          <w:szCs w:val="20"/>
        </w:rPr>
        <w:t>Based on experimental data, COD elimination efficiency peaked at 24 hours (20.7%), then decreased markedly at 48</w:t>
      </w:r>
      <w:r w:rsidR="00690EBB">
        <w:rPr>
          <w:sz w:val="20"/>
          <w:szCs w:val="20"/>
          <w:lang w:val="en-US"/>
        </w:rPr>
        <w:t>-</w:t>
      </w:r>
      <w:r w:rsidRPr="00670777">
        <w:rPr>
          <w:sz w:val="20"/>
          <w:szCs w:val="20"/>
        </w:rPr>
        <w:t xml:space="preserve">72 hours. This is consistent with the typical bioprocessing model, in which biodegradable organic compounds are rapidly consumed by microorganisms in the initial stage, followed by a slower phase as the substrate becomes more difficult to decompose (Boyd &amp; Tucker, 2012). </w:t>
      </w:r>
      <w:r w:rsidR="00400D5A" w:rsidRPr="00400D5A">
        <w:rPr>
          <w:sz w:val="20"/>
          <w:szCs w:val="20"/>
        </w:rPr>
        <w:t>The COD processing performance between the experimental sample and the control sample was statistically significant (F</w:t>
      </w:r>
      <w:r w:rsidR="00400D5A" w:rsidRPr="00400D5A">
        <w:rPr>
          <w:rFonts w:ascii="Cambria Math" w:hAnsi="Cambria Math" w:cs="Cambria Math"/>
          <w:sz w:val="20"/>
          <w:szCs w:val="20"/>
        </w:rPr>
        <w:t>₂</w:t>
      </w:r>
      <w:r w:rsidR="00400D5A" w:rsidRPr="00400D5A">
        <w:rPr>
          <w:sz w:val="20"/>
          <w:szCs w:val="20"/>
        </w:rPr>
        <w:t>,</w:t>
      </w:r>
      <w:r w:rsidR="00400D5A" w:rsidRPr="00400D5A">
        <w:rPr>
          <w:rFonts w:ascii="Cambria Math" w:hAnsi="Cambria Math" w:cs="Cambria Math"/>
          <w:sz w:val="20"/>
          <w:szCs w:val="20"/>
        </w:rPr>
        <w:t>₁₂</w:t>
      </w:r>
      <w:r w:rsidR="00400D5A" w:rsidRPr="00400D5A">
        <w:rPr>
          <w:sz w:val="20"/>
          <w:szCs w:val="20"/>
        </w:rPr>
        <w:t xml:space="preserve"> = 1358.03, P &lt; 0.001). The COD elimination performance between </w:t>
      </w:r>
      <w:r w:rsidR="00400D5A" w:rsidRPr="00F11B62">
        <w:rPr>
          <w:i/>
          <w:iCs/>
          <w:sz w:val="20"/>
          <w:szCs w:val="20"/>
        </w:rPr>
        <w:t>B. coagulans</w:t>
      </w:r>
      <w:r w:rsidR="00400D5A" w:rsidRPr="00400D5A">
        <w:rPr>
          <w:sz w:val="20"/>
          <w:szCs w:val="20"/>
        </w:rPr>
        <w:t xml:space="preserve"> supplementation and control is not fixed but varies over time. This implies that the processing efficiency of the bacterial strain depends simultaneously on two factors: (i) the availability of the substrate during the operating phase and (ii) the physiological state of the bacteria under specific environmental conditions, especially when subjected to osmotic pressure.</w:t>
      </w:r>
    </w:p>
    <w:p w14:paraId="6163E2CA" w14:textId="70DB4D7E" w:rsidR="00BD65D9" w:rsidRPr="00BD65D9" w:rsidRDefault="00670777" w:rsidP="00BD65D9">
      <w:pPr>
        <w:ind w:left="567"/>
        <w:jc w:val="both"/>
        <w:rPr>
          <w:sz w:val="20"/>
          <w:szCs w:val="20"/>
          <w:lang w:val="en-US"/>
        </w:rPr>
      </w:pPr>
      <w:r w:rsidRPr="00C217EC">
        <w:rPr>
          <w:sz w:val="20"/>
          <w:szCs w:val="20"/>
        </w:rPr>
        <w:t xml:space="preserve">The stable activity of </w:t>
      </w:r>
      <w:r w:rsidRPr="00690EBB">
        <w:rPr>
          <w:i/>
          <w:iCs/>
          <w:sz w:val="20"/>
          <w:szCs w:val="20"/>
        </w:rPr>
        <w:t>B. coagulans</w:t>
      </w:r>
      <w:r w:rsidRPr="00C217EC">
        <w:rPr>
          <w:sz w:val="20"/>
          <w:szCs w:val="20"/>
        </w:rPr>
        <w:t xml:space="preserve"> at a salinity of about 2.2% indicates that the strain maintains its metabolism under brackish water conditions. However, many previous studies have documented that the enzyme production of </w:t>
      </w:r>
      <w:r w:rsidRPr="00690EBB">
        <w:rPr>
          <w:i/>
          <w:iCs/>
          <w:sz w:val="20"/>
          <w:szCs w:val="20"/>
        </w:rPr>
        <w:t>Bacillus</w:t>
      </w:r>
      <w:r w:rsidRPr="00C217EC">
        <w:rPr>
          <w:sz w:val="20"/>
          <w:szCs w:val="20"/>
        </w:rPr>
        <w:t xml:space="preserve"> (such as α-amylase and protease) declines sharply when salinity exceeds 2</w:t>
      </w:r>
      <w:r w:rsidR="00690EBB">
        <w:rPr>
          <w:sz w:val="20"/>
          <w:szCs w:val="20"/>
          <w:lang w:val="en-US"/>
        </w:rPr>
        <w:t>-</w:t>
      </w:r>
      <w:r w:rsidRPr="00C217EC">
        <w:rPr>
          <w:sz w:val="20"/>
          <w:szCs w:val="20"/>
        </w:rPr>
        <w:t xml:space="preserve">3% (Gupta et al., 2002; Sattar et al., 2011), and the osmotic adaptability of </w:t>
      </w:r>
      <w:r w:rsidRPr="00690EBB">
        <w:rPr>
          <w:i/>
          <w:iCs/>
          <w:sz w:val="20"/>
          <w:szCs w:val="20"/>
        </w:rPr>
        <w:t>B. coagulans</w:t>
      </w:r>
      <w:r w:rsidRPr="00C217EC">
        <w:rPr>
          <w:sz w:val="20"/>
          <w:szCs w:val="20"/>
        </w:rPr>
        <w:t xml:space="preserve"> strains is generally weaker than that of well-tolerated species such as </w:t>
      </w:r>
      <w:r w:rsidRPr="00B169E7">
        <w:rPr>
          <w:i/>
          <w:iCs/>
          <w:sz w:val="20"/>
          <w:szCs w:val="20"/>
        </w:rPr>
        <w:t>B. mojavensis</w:t>
      </w:r>
      <w:r w:rsidRPr="00C217EC">
        <w:rPr>
          <w:sz w:val="20"/>
          <w:szCs w:val="20"/>
        </w:rPr>
        <w:t xml:space="preserve"> (Kiran &amp; Chandra, 2008</w:t>
      </w:r>
      <w:r w:rsidRPr="00B169E7">
        <w:rPr>
          <w:sz w:val="20"/>
          <w:szCs w:val="20"/>
        </w:rPr>
        <w:t xml:space="preserve">). </w:t>
      </w:r>
      <w:r w:rsidR="00B169E7" w:rsidRPr="00B169E7">
        <w:rPr>
          <w:sz w:val="20"/>
          <w:szCs w:val="20"/>
        </w:rPr>
        <w:t xml:space="preserve">Therefore, when using </w:t>
      </w:r>
      <w:r w:rsidR="00B169E7" w:rsidRPr="00B169E7">
        <w:rPr>
          <w:i/>
          <w:iCs/>
          <w:sz w:val="20"/>
          <w:szCs w:val="20"/>
        </w:rPr>
        <w:t>B. coagulans</w:t>
      </w:r>
      <w:r w:rsidR="00B169E7" w:rsidRPr="00B169E7">
        <w:rPr>
          <w:sz w:val="20"/>
          <w:szCs w:val="20"/>
        </w:rPr>
        <w:t xml:space="preserve"> to treat shrimp pond wastewater with a high salinity of &gt;3% NaCl, it should be combined with other salin-tolerant bacterial strains to increase treatment efficiency.</w:t>
      </w:r>
    </w:p>
    <w:p w14:paraId="5CF76F9B" w14:textId="77777777" w:rsidR="00215B41" w:rsidRPr="00F35F98" w:rsidRDefault="00215B41" w:rsidP="004E4DBC">
      <w:pPr>
        <w:pStyle w:val="ListParagraph"/>
        <w:numPr>
          <w:ilvl w:val="0"/>
          <w:numId w:val="6"/>
        </w:numPr>
        <w:spacing w:before="120"/>
        <w:ind w:left="924" w:hanging="357"/>
        <w:jc w:val="both"/>
        <w:rPr>
          <w:b/>
          <w:bCs/>
          <w:lang w:val="en-US"/>
        </w:rPr>
      </w:pPr>
      <w:r w:rsidRPr="00F35F98">
        <w:rPr>
          <w:b/>
          <w:bCs/>
          <w:lang w:val="en-US"/>
        </w:rPr>
        <w:t>CONCLUSION</w:t>
      </w:r>
    </w:p>
    <w:p w14:paraId="61B4EEA6" w14:textId="41EB825F" w:rsidR="007B03B6" w:rsidRDefault="007B03B6" w:rsidP="007B03B6">
      <w:pPr>
        <w:ind w:left="567"/>
        <w:jc w:val="both"/>
        <w:rPr>
          <w:sz w:val="20"/>
          <w:szCs w:val="20"/>
          <w:lang w:val="en-US"/>
        </w:rPr>
      </w:pPr>
      <w:r w:rsidRPr="003B2BE1">
        <w:rPr>
          <w:sz w:val="20"/>
          <w:szCs w:val="20"/>
          <w:lang w:val="en-US"/>
        </w:rPr>
        <w:t xml:space="preserve">This study demonstrates that salt concentration has a strong influence on the growth and extracellular enzyme production of </w:t>
      </w:r>
      <w:r w:rsidRPr="009767BA">
        <w:rPr>
          <w:i/>
          <w:iCs/>
          <w:sz w:val="20"/>
          <w:szCs w:val="20"/>
          <w:lang w:val="en-US"/>
        </w:rPr>
        <w:t xml:space="preserve">B. </w:t>
      </w:r>
      <w:proofErr w:type="spellStart"/>
      <w:r w:rsidRPr="009767BA">
        <w:rPr>
          <w:i/>
          <w:iCs/>
          <w:sz w:val="20"/>
          <w:szCs w:val="20"/>
          <w:lang w:val="en-US"/>
        </w:rPr>
        <w:t>coagulans</w:t>
      </w:r>
      <w:proofErr w:type="spellEnd"/>
      <w:r w:rsidRPr="003B2BE1">
        <w:rPr>
          <w:sz w:val="20"/>
          <w:szCs w:val="20"/>
          <w:lang w:val="en-US"/>
        </w:rPr>
        <w:t xml:space="preserve">. Both α-amylase and protease were produced most effectively at low salinity (≤1% NaCl), and their activities decreased sharply when NaCl levels exceeded 3%. </w:t>
      </w:r>
      <w:r w:rsidR="00F778FE" w:rsidRPr="00F778FE">
        <w:rPr>
          <w:sz w:val="20"/>
          <w:szCs w:val="20"/>
        </w:rPr>
        <w:t xml:space="preserve">In shrimp pond wastewater with a salinity of 2.2% NaCl, the COD treatment efficiency of samples with the addition of </w:t>
      </w:r>
      <w:r w:rsidR="00F778FE" w:rsidRPr="00690EBB">
        <w:rPr>
          <w:i/>
          <w:iCs/>
          <w:sz w:val="20"/>
          <w:szCs w:val="20"/>
        </w:rPr>
        <w:t>B. coagulans</w:t>
      </w:r>
      <w:r w:rsidR="00F778FE" w:rsidRPr="00F778FE">
        <w:rPr>
          <w:sz w:val="20"/>
          <w:szCs w:val="20"/>
        </w:rPr>
        <w:t xml:space="preserve"> reached an average of 20.7% after 24 hours. This research opens up opportunities for the application of </w:t>
      </w:r>
      <w:r w:rsidR="00F778FE" w:rsidRPr="00690EBB">
        <w:rPr>
          <w:i/>
          <w:iCs/>
          <w:sz w:val="20"/>
          <w:szCs w:val="20"/>
        </w:rPr>
        <w:t>B. coagulans</w:t>
      </w:r>
      <w:r w:rsidR="00F778FE" w:rsidRPr="00F778FE">
        <w:rPr>
          <w:sz w:val="20"/>
          <w:szCs w:val="20"/>
        </w:rPr>
        <w:t xml:space="preserve"> not only as an addition to feed as intestinal probiotics but also in the treatment of shrimp pond water environment.</w:t>
      </w:r>
    </w:p>
    <w:p w14:paraId="542A1E13" w14:textId="77777777" w:rsidR="00122C54" w:rsidRPr="004E4DBC" w:rsidRDefault="00122C54" w:rsidP="004E4DBC">
      <w:pPr>
        <w:spacing w:before="120"/>
        <w:ind w:left="567"/>
        <w:jc w:val="both"/>
        <w:rPr>
          <w:b/>
          <w:bCs/>
          <w:sz w:val="20"/>
          <w:szCs w:val="20"/>
          <w:lang w:val="en-US"/>
        </w:rPr>
      </w:pPr>
      <w:r w:rsidRPr="004E4DBC">
        <w:rPr>
          <w:b/>
          <w:bCs/>
          <w:sz w:val="20"/>
          <w:szCs w:val="20"/>
        </w:rPr>
        <w:t>DISCLAIMER (ARTIFICIAL INTELLIGENCE)</w:t>
      </w:r>
    </w:p>
    <w:p w14:paraId="36AA0137" w14:textId="0D5A16D2" w:rsidR="00122C54" w:rsidRPr="004E4DBC" w:rsidRDefault="00122C54" w:rsidP="005A314D">
      <w:pPr>
        <w:ind w:left="567"/>
        <w:jc w:val="both"/>
        <w:rPr>
          <w:sz w:val="20"/>
          <w:szCs w:val="20"/>
          <w:lang w:val="en-US"/>
        </w:rPr>
      </w:pPr>
      <w:r w:rsidRPr="004E4DBC">
        <w:rPr>
          <w:sz w:val="20"/>
          <w:szCs w:val="20"/>
          <w:lang w:val="en-US"/>
        </w:rPr>
        <w:t>Author</w:t>
      </w:r>
      <w:r w:rsidRPr="004E4DBC">
        <w:rPr>
          <w:sz w:val="20"/>
          <w:szCs w:val="20"/>
        </w:rPr>
        <w:t>(</w:t>
      </w:r>
      <w:proofErr w:type="gramStart"/>
      <w:r w:rsidRPr="004E4DBC">
        <w:rPr>
          <w:sz w:val="20"/>
          <w:szCs w:val="20"/>
        </w:rPr>
        <w:t>s)  hereby</w:t>
      </w:r>
      <w:proofErr w:type="gramEnd"/>
      <w:r w:rsidRPr="004E4DBC">
        <w:rPr>
          <w:sz w:val="20"/>
          <w:szCs w:val="20"/>
        </w:rPr>
        <w:t xml:space="preserve">  declare  that  NO generative  AI technologies  such  as  Large  Language  Models (ChatGPT,   COPILOT,   etc)   and   text-to-image generators  have  been  used  during  writing  or editing of this manuscript.</w:t>
      </w:r>
    </w:p>
    <w:p w14:paraId="70C50FF8" w14:textId="77777777" w:rsidR="003A50D5" w:rsidRDefault="003A50D5" w:rsidP="004E4DBC">
      <w:pPr>
        <w:spacing w:before="120"/>
        <w:ind w:left="567"/>
        <w:jc w:val="both"/>
        <w:rPr>
          <w:b/>
          <w:bCs/>
          <w:sz w:val="20"/>
          <w:szCs w:val="20"/>
        </w:rPr>
      </w:pPr>
    </w:p>
    <w:p w14:paraId="68E36192" w14:textId="67D4FB99" w:rsidR="00215B41" w:rsidRPr="00B535CD" w:rsidRDefault="00215B41" w:rsidP="004E4DBC">
      <w:pPr>
        <w:spacing w:before="120"/>
        <w:ind w:left="567"/>
        <w:jc w:val="both"/>
        <w:rPr>
          <w:b/>
          <w:bCs/>
          <w:sz w:val="20"/>
          <w:szCs w:val="20"/>
          <w:lang w:val="en-US"/>
        </w:rPr>
      </w:pPr>
      <w:bookmarkStart w:id="1" w:name="_GoBack"/>
      <w:bookmarkEnd w:id="1"/>
      <w:r w:rsidRPr="004E4DBC">
        <w:rPr>
          <w:b/>
          <w:bCs/>
          <w:sz w:val="20"/>
          <w:szCs w:val="20"/>
        </w:rPr>
        <w:lastRenderedPageBreak/>
        <w:t>REFERENCES</w:t>
      </w:r>
    </w:p>
    <w:p w14:paraId="4BE27EBA" w14:textId="0340C6B3" w:rsidR="00E9329A" w:rsidRPr="00916068" w:rsidRDefault="00E9329A" w:rsidP="00CA3B20">
      <w:pPr>
        <w:ind w:left="1418" w:hanging="896"/>
        <w:jc w:val="both"/>
        <w:rPr>
          <w:sz w:val="20"/>
          <w:szCs w:val="20"/>
          <w:lang w:val="en-US"/>
        </w:rPr>
      </w:pPr>
      <w:r w:rsidRPr="003B2BE1">
        <w:rPr>
          <w:sz w:val="20"/>
          <w:szCs w:val="20"/>
          <w:lang w:val="en-US"/>
        </w:rPr>
        <w:t xml:space="preserve">Akhter, N., Wu, B., </w:t>
      </w:r>
      <w:proofErr w:type="spellStart"/>
      <w:r w:rsidRPr="003B2BE1">
        <w:rPr>
          <w:sz w:val="20"/>
          <w:szCs w:val="20"/>
          <w:lang w:val="en-US"/>
        </w:rPr>
        <w:t>Memon</w:t>
      </w:r>
      <w:proofErr w:type="spellEnd"/>
      <w:r w:rsidRPr="003B2BE1">
        <w:rPr>
          <w:sz w:val="20"/>
          <w:szCs w:val="20"/>
          <w:lang w:val="en-US"/>
        </w:rPr>
        <w:t xml:space="preserve">, A. M., &amp; Mohsin, M. (2015). Probiotics and prebiotics associated with aquaculture: A review. </w:t>
      </w:r>
      <w:r w:rsidRPr="004D4082">
        <w:rPr>
          <w:i/>
          <w:iCs/>
          <w:sz w:val="20"/>
          <w:szCs w:val="20"/>
          <w:lang w:val="en-US"/>
        </w:rPr>
        <w:t>Fish &amp; Shellfish Immunology</w:t>
      </w:r>
      <w:r w:rsidRPr="003B2BE1">
        <w:rPr>
          <w:sz w:val="20"/>
          <w:szCs w:val="20"/>
          <w:lang w:val="en-US"/>
        </w:rPr>
        <w:t>, 45(2)</w:t>
      </w:r>
      <w:r w:rsidR="001318C3" w:rsidRPr="003B2BE1">
        <w:rPr>
          <w:sz w:val="20"/>
          <w:szCs w:val="20"/>
          <w:lang w:val="en-US"/>
        </w:rPr>
        <w:t>:</w:t>
      </w:r>
      <w:r w:rsidRPr="003B2BE1">
        <w:rPr>
          <w:sz w:val="20"/>
          <w:szCs w:val="20"/>
          <w:lang w:val="en-US"/>
        </w:rPr>
        <w:t xml:space="preserve"> 733-741. </w:t>
      </w:r>
      <w:hyperlink r:id="rId10" w:history="1">
        <w:r w:rsidR="00916068" w:rsidRPr="00E00DCB">
          <w:rPr>
            <w:rStyle w:val="Hyperlink"/>
          </w:rPr>
          <w:t>https://doi.org/10.1016/j.fsi.2015.05.038</w:t>
        </w:r>
      </w:hyperlink>
      <w:r w:rsidR="00916068">
        <w:rPr>
          <w:lang w:val="en-US"/>
        </w:rPr>
        <w:t xml:space="preserve"> </w:t>
      </w:r>
    </w:p>
    <w:p w14:paraId="52E5290E" w14:textId="51BBDBF4" w:rsidR="00E9329A" w:rsidRPr="003B2BE1" w:rsidRDefault="00E9329A" w:rsidP="00CA3B20">
      <w:pPr>
        <w:ind w:left="1418" w:hanging="896"/>
        <w:jc w:val="both"/>
        <w:rPr>
          <w:sz w:val="20"/>
          <w:szCs w:val="20"/>
          <w:lang w:val="en-US"/>
        </w:rPr>
      </w:pPr>
      <w:r w:rsidRPr="003B2BE1">
        <w:rPr>
          <w:sz w:val="20"/>
          <w:szCs w:val="20"/>
          <w:lang w:val="en-US"/>
        </w:rPr>
        <w:t xml:space="preserve">APHA (2005). </w:t>
      </w:r>
      <w:r w:rsidRPr="000F154D">
        <w:rPr>
          <w:i/>
          <w:iCs/>
          <w:sz w:val="20"/>
          <w:szCs w:val="20"/>
          <w:lang w:val="en-US"/>
        </w:rPr>
        <w:t>Standard methods for the examination of water and wastewater</w:t>
      </w:r>
      <w:r w:rsidRPr="003B2BE1">
        <w:rPr>
          <w:sz w:val="20"/>
          <w:szCs w:val="20"/>
          <w:lang w:val="en-US"/>
        </w:rPr>
        <w:t xml:space="preserve"> (21st ed.). American Public Health Association.</w:t>
      </w:r>
      <w:r w:rsidR="0080442F" w:rsidRPr="0080442F">
        <w:t xml:space="preserve"> </w:t>
      </w:r>
      <w:hyperlink r:id="rId11" w:history="1">
        <w:r w:rsidR="0080442F" w:rsidRPr="00E00DCB">
          <w:rPr>
            <w:rStyle w:val="Hyperlink"/>
            <w:sz w:val="20"/>
            <w:szCs w:val="20"/>
            <w:lang w:val="en-US"/>
          </w:rPr>
          <w:t>https://www.standardmethods.org/</w:t>
        </w:r>
      </w:hyperlink>
      <w:r w:rsidR="0080442F">
        <w:rPr>
          <w:sz w:val="20"/>
          <w:szCs w:val="20"/>
          <w:lang w:val="en-US"/>
        </w:rPr>
        <w:t xml:space="preserve"> </w:t>
      </w:r>
    </w:p>
    <w:p w14:paraId="3C64ECC1" w14:textId="6448A7AE" w:rsidR="00E9329A" w:rsidRPr="00FC564F" w:rsidRDefault="00E9329A" w:rsidP="00CA3B20">
      <w:pPr>
        <w:ind w:left="1418" w:hanging="896"/>
        <w:jc w:val="both"/>
        <w:rPr>
          <w:sz w:val="20"/>
          <w:szCs w:val="20"/>
          <w:lang w:val="en-US"/>
        </w:rPr>
      </w:pPr>
      <w:r w:rsidRPr="003B2BE1">
        <w:rPr>
          <w:sz w:val="20"/>
          <w:szCs w:val="20"/>
          <w:lang w:val="en-US"/>
        </w:rPr>
        <w:t xml:space="preserve">Beg, Q. K., &amp; Gupta, R. (2003). Purification and characterization of an oxidation-stable, thiol-dependent serine alkaline protease from </w:t>
      </w:r>
      <w:r w:rsidRPr="000F154D">
        <w:rPr>
          <w:i/>
          <w:iCs/>
          <w:sz w:val="20"/>
          <w:szCs w:val="20"/>
          <w:lang w:val="en-US"/>
        </w:rPr>
        <w:t xml:space="preserve">Bacillus </w:t>
      </w:r>
      <w:proofErr w:type="spellStart"/>
      <w:r w:rsidRPr="000F154D">
        <w:rPr>
          <w:i/>
          <w:iCs/>
          <w:sz w:val="20"/>
          <w:szCs w:val="20"/>
          <w:lang w:val="en-US"/>
        </w:rPr>
        <w:t>mojavensis</w:t>
      </w:r>
      <w:proofErr w:type="spellEnd"/>
      <w:r w:rsidRPr="003B2BE1">
        <w:rPr>
          <w:sz w:val="20"/>
          <w:szCs w:val="20"/>
          <w:lang w:val="en-US"/>
        </w:rPr>
        <w:t xml:space="preserve">. </w:t>
      </w:r>
      <w:r w:rsidRPr="000F154D">
        <w:rPr>
          <w:i/>
          <w:iCs/>
          <w:sz w:val="20"/>
          <w:szCs w:val="20"/>
          <w:lang w:val="en-US"/>
        </w:rPr>
        <w:t>Enzyme and Microbial Technology</w:t>
      </w:r>
      <w:r w:rsidRPr="003B2BE1">
        <w:rPr>
          <w:sz w:val="20"/>
          <w:szCs w:val="20"/>
          <w:lang w:val="en-US"/>
        </w:rPr>
        <w:t>, 32(2)</w:t>
      </w:r>
      <w:r w:rsidR="001318C3" w:rsidRPr="003B2BE1">
        <w:rPr>
          <w:sz w:val="20"/>
          <w:szCs w:val="20"/>
          <w:lang w:val="en-US"/>
        </w:rPr>
        <w:t>:</w:t>
      </w:r>
      <w:r w:rsidRPr="003B2BE1">
        <w:rPr>
          <w:sz w:val="20"/>
          <w:szCs w:val="20"/>
          <w:lang w:val="en-US"/>
        </w:rPr>
        <w:t xml:space="preserve"> 294-304.</w:t>
      </w:r>
      <w:r w:rsidR="00FC564F">
        <w:rPr>
          <w:sz w:val="20"/>
          <w:szCs w:val="20"/>
          <w:lang w:val="en-US"/>
        </w:rPr>
        <w:t xml:space="preserve"> </w:t>
      </w:r>
      <w:r w:rsidRPr="003B2BE1">
        <w:rPr>
          <w:sz w:val="20"/>
          <w:szCs w:val="20"/>
          <w:lang w:val="en-US"/>
        </w:rPr>
        <w:t xml:space="preserve"> </w:t>
      </w:r>
      <w:hyperlink r:id="rId12" w:history="1">
        <w:r w:rsidR="00FC564F" w:rsidRPr="00E00DCB">
          <w:rPr>
            <w:rStyle w:val="Hyperlink"/>
          </w:rPr>
          <w:t>https://doi.org/10.1016/S0141-0229(02)00293-4</w:t>
        </w:r>
      </w:hyperlink>
      <w:r w:rsidR="00FC564F">
        <w:rPr>
          <w:lang w:val="en-US"/>
        </w:rPr>
        <w:t xml:space="preserve"> </w:t>
      </w:r>
    </w:p>
    <w:p w14:paraId="06DB8CD2" w14:textId="1BFDF5E3" w:rsidR="00E9329A" w:rsidRPr="003B2BE1" w:rsidRDefault="00E9329A" w:rsidP="00CA3B20">
      <w:pPr>
        <w:ind w:left="1418" w:hanging="896"/>
        <w:jc w:val="both"/>
        <w:rPr>
          <w:sz w:val="20"/>
          <w:szCs w:val="20"/>
          <w:lang w:val="en-US"/>
        </w:rPr>
      </w:pPr>
      <w:r w:rsidRPr="003B2BE1">
        <w:rPr>
          <w:sz w:val="20"/>
          <w:szCs w:val="20"/>
          <w:lang w:val="en-US"/>
        </w:rPr>
        <w:t>Boyd, C. E., &amp; Tucker, C. S. (2012). Pond aquaculture water quality management. Springer</w:t>
      </w:r>
    </w:p>
    <w:p w14:paraId="2FB60C90" w14:textId="694881F6" w:rsidR="00E9329A" w:rsidRPr="00C65BBE" w:rsidRDefault="00E9329A" w:rsidP="00CA3B20">
      <w:pPr>
        <w:ind w:left="1418" w:hanging="896"/>
        <w:jc w:val="both"/>
        <w:rPr>
          <w:sz w:val="20"/>
          <w:szCs w:val="20"/>
          <w:lang w:val="en-US"/>
        </w:rPr>
      </w:pPr>
      <w:proofErr w:type="spellStart"/>
      <w:r w:rsidRPr="00C65BBE">
        <w:rPr>
          <w:sz w:val="20"/>
          <w:szCs w:val="20"/>
          <w:lang w:val="en-US"/>
        </w:rPr>
        <w:t>Csonka</w:t>
      </w:r>
      <w:proofErr w:type="spellEnd"/>
      <w:r w:rsidRPr="00C65BBE">
        <w:rPr>
          <w:sz w:val="20"/>
          <w:szCs w:val="20"/>
          <w:lang w:val="en-US"/>
        </w:rPr>
        <w:t xml:space="preserve">, L. N. (1989). Physiological and genetic responses of bacteria to osmotic stress. </w:t>
      </w:r>
      <w:r w:rsidRPr="00C65BBE">
        <w:rPr>
          <w:i/>
          <w:iCs/>
          <w:sz w:val="20"/>
          <w:szCs w:val="20"/>
          <w:lang w:val="en-US"/>
        </w:rPr>
        <w:t>Microbiological Reviews</w:t>
      </w:r>
      <w:r w:rsidRPr="00C65BBE">
        <w:rPr>
          <w:sz w:val="20"/>
          <w:szCs w:val="20"/>
          <w:lang w:val="en-US"/>
        </w:rPr>
        <w:t>, 53(1)</w:t>
      </w:r>
      <w:r w:rsidR="001318C3" w:rsidRPr="00C65BBE">
        <w:rPr>
          <w:sz w:val="20"/>
          <w:szCs w:val="20"/>
          <w:lang w:val="en-US"/>
        </w:rPr>
        <w:t>:</w:t>
      </w:r>
      <w:r w:rsidRPr="00C65BBE">
        <w:rPr>
          <w:sz w:val="20"/>
          <w:szCs w:val="20"/>
          <w:lang w:val="en-US"/>
        </w:rPr>
        <w:t xml:space="preserve"> 121-147. </w:t>
      </w:r>
      <w:hyperlink r:id="rId13" w:history="1">
        <w:r w:rsidR="006F7206" w:rsidRPr="00E00DCB">
          <w:rPr>
            <w:rStyle w:val="Hyperlink"/>
            <w:sz w:val="20"/>
            <w:szCs w:val="20"/>
            <w:lang w:val="en-US"/>
          </w:rPr>
          <w:t>https://doi.org/10.1128/mr.53.1.121-147.1989</w:t>
        </w:r>
      </w:hyperlink>
      <w:r w:rsidR="00D6588F">
        <w:rPr>
          <w:sz w:val="20"/>
          <w:szCs w:val="20"/>
          <w:lang w:val="en-US"/>
        </w:rPr>
        <w:t xml:space="preserve"> </w:t>
      </w:r>
    </w:p>
    <w:p w14:paraId="760CB398" w14:textId="75EDB986" w:rsidR="00E9329A" w:rsidRPr="006F7206" w:rsidRDefault="00E9329A" w:rsidP="00CA3B20">
      <w:pPr>
        <w:ind w:left="1418" w:hanging="896"/>
        <w:jc w:val="both"/>
        <w:rPr>
          <w:sz w:val="20"/>
          <w:szCs w:val="20"/>
          <w:lang w:val="en-US"/>
        </w:rPr>
      </w:pPr>
      <w:proofErr w:type="spellStart"/>
      <w:r w:rsidRPr="00C65BBE">
        <w:rPr>
          <w:sz w:val="20"/>
          <w:szCs w:val="20"/>
          <w:lang w:val="en-US"/>
        </w:rPr>
        <w:t>Edbeib</w:t>
      </w:r>
      <w:proofErr w:type="spellEnd"/>
      <w:r w:rsidRPr="00C65BBE">
        <w:rPr>
          <w:sz w:val="20"/>
          <w:szCs w:val="20"/>
          <w:lang w:val="en-US"/>
        </w:rPr>
        <w:t xml:space="preserve">, M. F., Wahab, R. A., &amp; </w:t>
      </w:r>
      <w:proofErr w:type="spellStart"/>
      <w:r w:rsidRPr="00C65BBE">
        <w:rPr>
          <w:sz w:val="20"/>
          <w:szCs w:val="20"/>
          <w:lang w:val="en-US"/>
        </w:rPr>
        <w:t>Huyop</w:t>
      </w:r>
      <w:proofErr w:type="spellEnd"/>
      <w:r w:rsidRPr="00C65BBE">
        <w:rPr>
          <w:sz w:val="20"/>
          <w:szCs w:val="20"/>
          <w:lang w:val="en-US"/>
        </w:rPr>
        <w:t xml:space="preserve">, F. (2016). Halophiles: Biology, adaptation, and their role in decontamination of hypersaline environments. </w:t>
      </w:r>
      <w:r w:rsidRPr="00C65BBE">
        <w:rPr>
          <w:i/>
          <w:iCs/>
          <w:sz w:val="20"/>
          <w:szCs w:val="20"/>
          <w:lang w:val="en-US"/>
        </w:rPr>
        <w:t>World Journal of Microbiology</w:t>
      </w:r>
      <w:r w:rsidRPr="000F154D">
        <w:rPr>
          <w:i/>
          <w:iCs/>
          <w:sz w:val="20"/>
          <w:szCs w:val="20"/>
          <w:lang w:val="en-US"/>
        </w:rPr>
        <w:t xml:space="preserve"> and Biotechnology</w:t>
      </w:r>
      <w:r w:rsidRPr="003B2BE1">
        <w:rPr>
          <w:sz w:val="20"/>
          <w:szCs w:val="20"/>
          <w:lang w:val="en-US"/>
        </w:rPr>
        <w:t>, 32</w:t>
      </w:r>
      <w:r w:rsidR="001318C3" w:rsidRPr="003B2BE1">
        <w:rPr>
          <w:sz w:val="20"/>
          <w:szCs w:val="20"/>
          <w:lang w:val="en-US"/>
        </w:rPr>
        <w:t>:</w:t>
      </w:r>
      <w:r w:rsidRPr="003B2BE1">
        <w:rPr>
          <w:sz w:val="20"/>
          <w:szCs w:val="20"/>
          <w:lang w:val="en-US"/>
        </w:rPr>
        <w:t xml:space="preserve"> 135. </w:t>
      </w:r>
      <w:hyperlink r:id="rId14" w:history="1">
        <w:r w:rsidR="006F7206" w:rsidRPr="00E00DCB">
          <w:rPr>
            <w:rStyle w:val="Hyperlink"/>
          </w:rPr>
          <w:t>https://doi.org/10.1007/s11274-016-2081-9</w:t>
        </w:r>
      </w:hyperlink>
      <w:r w:rsidR="006F7206">
        <w:rPr>
          <w:lang w:val="en-US"/>
        </w:rPr>
        <w:t xml:space="preserve"> </w:t>
      </w:r>
    </w:p>
    <w:p w14:paraId="646C8F7A" w14:textId="389FD89E" w:rsidR="00E9329A" w:rsidRPr="00412819" w:rsidRDefault="00E9329A" w:rsidP="00CA3B20">
      <w:pPr>
        <w:ind w:left="1418" w:hanging="896"/>
        <w:jc w:val="both"/>
        <w:rPr>
          <w:sz w:val="20"/>
          <w:szCs w:val="20"/>
          <w:lang w:val="en-US"/>
        </w:rPr>
      </w:pPr>
      <w:proofErr w:type="spellStart"/>
      <w:r w:rsidRPr="003B2BE1">
        <w:rPr>
          <w:sz w:val="20"/>
          <w:szCs w:val="20"/>
          <w:lang w:val="en-US"/>
        </w:rPr>
        <w:t>Farzanfar</w:t>
      </w:r>
      <w:proofErr w:type="spellEnd"/>
      <w:r w:rsidRPr="003B2BE1">
        <w:rPr>
          <w:sz w:val="20"/>
          <w:szCs w:val="20"/>
          <w:lang w:val="en-US"/>
        </w:rPr>
        <w:t xml:space="preserve">, A. (2006). The use of probiotics in shrimp aquaculture. </w:t>
      </w:r>
      <w:r w:rsidRPr="000F154D">
        <w:rPr>
          <w:i/>
          <w:iCs/>
          <w:sz w:val="20"/>
          <w:szCs w:val="20"/>
          <w:lang w:val="en-US"/>
        </w:rPr>
        <w:t>FEMS Immunology &amp; Medical Microbiology</w:t>
      </w:r>
      <w:r w:rsidR="00B02AD3" w:rsidRPr="003B2BE1">
        <w:rPr>
          <w:sz w:val="20"/>
          <w:szCs w:val="20"/>
          <w:lang w:val="en-US"/>
        </w:rPr>
        <w:t>,</w:t>
      </w:r>
      <w:r w:rsidRPr="003B2BE1">
        <w:rPr>
          <w:sz w:val="20"/>
          <w:szCs w:val="20"/>
          <w:lang w:val="en-US"/>
        </w:rPr>
        <w:t xml:space="preserve"> 48(2)</w:t>
      </w:r>
      <w:r w:rsidR="001318C3" w:rsidRPr="003B2BE1">
        <w:rPr>
          <w:sz w:val="20"/>
          <w:szCs w:val="20"/>
          <w:lang w:val="en-US"/>
        </w:rPr>
        <w:t>:</w:t>
      </w:r>
      <w:r w:rsidRPr="003B2BE1">
        <w:rPr>
          <w:sz w:val="20"/>
          <w:szCs w:val="20"/>
          <w:lang w:val="en-US"/>
        </w:rPr>
        <w:t xml:space="preserve"> 149-158. </w:t>
      </w:r>
      <w:hyperlink r:id="rId15" w:history="1">
        <w:r w:rsidR="00412819" w:rsidRPr="00E00DCB">
          <w:rPr>
            <w:rStyle w:val="Hyperlink"/>
          </w:rPr>
          <w:t>https://doi.org/10.1111/j.1574-695X.2006.00116.x</w:t>
        </w:r>
      </w:hyperlink>
      <w:r w:rsidR="00412819">
        <w:rPr>
          <w:lang w:val="en-US"/>
        </w:rPr>
        <w:t xml:space="preserve"> </w:t>
      </w:r>
    </w:p>
    <w:p w14:paraId="33C93933" w14:textId="652FE914" w:rsidR="00E9329A" w:rsidRPr="003B2BE1" w:rsidRDefault="00E9329A" w:rsidP="00CA3B20">
      <w:pPr>
        <w:ind w:left="1418" w:hanging="896"/>
        <w:jc w:val="both"/>
        <w:rPr>
          <w:sz w:val="20"/>
          <w:szCs w:val="20"/>
          <w:lang w:val="en-US"/>
        </w:rPr>
      </w:pPr>
      <w:r w:rsidRPr="003B2BE1">
        <w:rPr>
          <w:sz w:val="20"/>
          <w:szCs w:val="20"/>
          <w:lang w:val="en-US"/>
        </w:rPr>
        <w:t xml:space="preserve">Gopinath, S. C. B., </w:t>
      </w:r>
      <w:proofErr w:type="spellStart"/>
      <w:r w:rsidRPr="003B2BE1">
        <w:rPr>
          <w:sz w:val="20"/>
          <w:szCs w:val="20"/>
          <w:lang w:val="en-US"/>
        </w:rPr>
        <w:t>Anbu</w:t>
      </w:r>
      <w:proofErr w:type="spellEnd"/>
      <w:r w:rsidRPr="003B2BE1">
        <w:rPr>
          <w:sz w:val="20"/>
          <w:szCs w:val="20"/>
          <w:lang w:val="en-US"/>
        </w:rPr>
        <w:t xml:space="preserve">, P., Arshad, M. K. M., </w:t>
      </w:r>
      <w:proofErr w:type="spellStart"/>
      <w:r w:rsidRPr="003B2BE1">
        <w:rPr>
          <w:sz w:val="20"/>
          <w:szCs w:val="20"/>
          <w:lang w:val="en-US"/>
        </w:rPr>
        <w:t>Lakshmipriya</w:t>
      </w:r>
      <w:proofErr w:type="spellEnd"/>
      <w:r w:rsidRPr="003B2BE1">
        <w:rPr>
          <w:sz w:val="20"/>
          <w:szCs w:val="20"/>
          <w:lang w:val="en-US"/>
        </w:rPr>
        <w:t xml:space="preserve">, T., </w:t>
      </w:r>
      <w:proofErr w:type="spellStart"/>
      <w:r w:rsidRPr="003B2BE1">
        <w:rPr>
          <w:sz w:val="20"/>
          <w:szCs w:val="20"/>
          <w:lang w:val="en-US"/>
        </w:rPr>
        <w:t>Voon</w:t>
      </w:r>
      <w:proofErr w:type="spellEnd"/>
      <w:r w:rsidRPr="003B2BE1">
        <w:rPr>
          <w:sz w:val="20"/>
          <w:szCs w:val="20"/>
          <w:lang w:val="en-US"/>
        </w:rPr>
        <w:t xml:space="preserve">, C. H., Hashim, U., &amp; Chinni, S. V. (2017). Biotechnological processes in microbial amylase production. </w:t>
      </w:r>
      <w:r w:rsidRPr="000F154D">
        <w:rPr>
          <w:i/>
          <w:iCs/>
          <w:sz w:val="20"/>
          <w:szCs w:val="20"/>
          <w:lang w:val="en-US"/>
        </w:rPr>
        <w:t>BioMed Research International</w:t>
      </w:r>
      <w:r w:rsidR="00B02AD3" w:rsidRPr="003B2BE1">
        <w:rPr>
          <w:sz w:val="20"/>
          <w:szCs w:val="20"/>
          <w:lang w:val="en-US"/>
        </w:rPr>
        <w:t>,</w:t>
      </w:r>
      <w:r w:rsidRPr="003B2BE1">
        <w:rPr>
          <w:sz w:val="20"/>
          <w:szCs w:val="20"/>
          <w:lang w:val="en-US"/>
        </w:rPr>
        <w:t xml:space="preserve"> 2017</w:t>
      </w:r>
      <w:r w:rsidR="001318C3" w:rsidRPr="003B2BE1">
        <w:rPr>
          <w:sz w:val="20"/>
          <w:szCs w:val="20"/>
          <w:lang w:val="en-US"/>
        </w:rPr>
        <w:t>:</w:t>
      </w:r>
      <w:r w:rsidRPr="003B2BE1">
        <w:rPr>
          <w:sz w:val="20"/>
          <w:szCs w:val="20"/>
          <w:lang w:val="en-US"/>
        </w:rPr>
        <w:t xml:space="preserve"> 1272193. </w:t>
      </w:r>
      <w:hyperlink r:id="rId16" w:history="1">
        <w:r w:rsidR="00C54958" w:rsidRPr="00E00DCB">
          <w:rPr>
            <w:rStyle w:val="Hyperlink"/>
          </w:rPr>
          <w:t>https://doi.org/10.1155/2017/1272193</w:t>
        </w:r>
      </w:hyperlink>
      <w:r w:rsidR="00C54958">
        <w:rPr>
          <w:lang w:val="en-US"/>
        </w:rPr>
        <w:t xml:space="preserve"> </w:t>
      </w:r>
      <w:r w:rsidR="00C54958">
        <w:rPr>
          <w:sz w:val="20"/>
          <w:szCs w:val="20"/>
          <w:lang w:val="en-US"/>
        </w:rPr>
        <w:t xml:space="preserve"> </w:t>
      </w:r>
      <w:r w:rsidRPr="003B2BE1">
        <w:rPr>
          <w:sz w:val="20"/>
          <w:szCs w:val="20"/>
          <w:lang w:val="en-US"/>
        </w:rPr>
        <w:t xml:space="preserve"> </w:t>
      </w:r>
    </w:p>
    <w:p w14:paraId="49A4395C" w14:textId="1BDAC7B5" w:rsidR="00E9329A" w:rsidRPr="00523309" w:rsidRDefault="00E9329A" w:rsidP="00CA3B20">
      <w:pPr>
        <w:ind w:left="1418" w:hanging="896"/>
        <w:jc w:val="both"/>
        <w:rPr>
          <w:sz w:val="20"/>
          <w:szCs w:val="20"/>
          <w:lang w:val="en-US"/>
        </w:rPr>
      </w:pPr>
      <w:r w:rsidRPr="003B2BE1">
        <w:rPr>
          <w:sz w:val="20"/>
          <w:szCs w:val="20"/>
          <w:lang w:val="en-US"/>
        </w:rPr>
        <w:t xml:space="preserve">Gupta, R., Beg, Q., Khan, S. &amp; Chauhan, B. (2002). An overview on fermentation, downstream processing and properties of microbial alkaline proteases. </w:t>
      </w:r>
      <w:r w:rsidRPr="000F154D">
        <w:rPr>
          <w:i/>
          <w:iCs/>
          <w:sz w:val="20"/>
          <w:szCs w:val="20"/>
          <w:lang w:val="en-US"/>
        </w:rPr>
        <w:t>Applied Microbiology and Biotechnology</w:t>
      </w:r>
      <w:r w:rsidR="00B02AD3" w:rsidRPr="003B2BE1">
        <w:rPr>
          <w:sz w:val="20"/>
          <w:szCs w:val="20"/>
          <w:lang w:val="en-US"/>
        </w:rPr>
        <w:t>,</w:t>
      </w:r>
      <w:r w:rsidRPr="003B2BE1">
        <w:rPr>
          <w:sz w:val="20"/>
          <w:szCs w:val="20"/>
          <w:lang w:val="en-US"/>
        </w:rPr>
        <w:t xml:space="preserve"> 60</w:t>
      </w:r>
      <w:r w:rsidR="001318C3" w:rsidRPr="003B2BE1">
        <w:rPr>
          <w:sz w:val="20"/>
          <w:szCs w:val="20"/>
          <w:lang w:val="en-US"/>
        </w:rPr>
        <w:t>:</w:t>
      </w:r>
      <w:r w:rsidRPr="003B2BE1">
        <w:rPr>
          <w:sz w:val="20"/>
          <w:szCs w:val="20"/>
          <w:lang w:val="en-US"/>
        </w:rPr>
        <w:t xml:space="preserve"> 381 - 395. </w:t>
      </w:r>
      <w:hyperlink r:id="rId17" w:history="1">
        <w:r w:rsidR="00523309" w:rsidRPr="00E00DCB">
          <w:rPr>
            <w:rStyle w:val="Hyperlink"/>
          </w:rPr>
          <w:t>https://doi.org/10.1007/s00253-002-1142-1</w:t>
        </w:r>
      </w:hyperlink>
      <w:r w:rsidR="00523309">
        <w:rPr>
          <w:lang w:val="en-US"/>
        </w:rPr>
        <w:t xml:space="preserve"> </w:t>
      </w:r>
    </w:p>
    <w:p w14:paraId="3C39647A" w14:textId="038FF51B" w:rsidR="00E9329A" w:rsidRPr="003B2BE1" w:rsidRDefault="00E9329A" w:rsidP="000F154D">
      <w:pPr>
        <w:ind w:left="1418" w:hanging="896"/>
        <w:jc w:val="both"/>
        <w:rPr>
          <w:sz w:val="20"/>
          <w:szCs w:val="20"/>
          <w:lang w:val="en-US"/>
        </w:rPr>
      </w:pPr>
      <w:proofErr w:type="spellStart"/>
      <w:r w:rsidRPr="00D70ECE">
        <w:rPr>
          <w:sz w:val="20"/>
          <w:szCs w:val="20"/>
          <w:lang w:val="en-US"/>
        </w:rPr>
        <w:t>Hlordzi</w:t>
      </w:r>
      <w:proofErr w:type="spellEnd"/>
      <w:r w:rsidRPr="00D70ECE">
        <w:rPr>
          <w:sz w:val="20"/>
          <w:szCs w:val="20"/>
          <w:lang w:val="en-US"/>
        </w:rPr>
        <w:t xml:space="preserve">, V., </w:t>
      </w:r>
      <w:proofErr w:type="spellStart"/>
      <w:r w:rsidRPr="00D70ECE">
        <w:rPr>
          <w:sz w:val="20"/>
          <w:szCs w:val="20"/>
          <w:lang w:val="en-US"/>
        </w:rPr>
        <w:t>Kuebutornye</w:t>
      </w:r>
      <w:proofErr w:type="spellEnd"/>
      <w:r w:rsidRPr="00D70ECE">
        <w:rPr>
          <w:sz w:val="20"/>
          <w:szCs w:val="20"/>
          <w:lang w:val="en-US"/>
        </w:rPr>
        <w:t xml:space="preserve">, F. K. A., Afriyie, G., </w:t>
      </w:r>
      <w:proofErr w:type="spellStart"/>
      <w:r w:rsidRPr="00D70ECE">
        <w:rPr>
          <w:sz w:val="20"/>
          <w:szCs w:val="20"/>
          <w:lang w:val="en-US"/>
        </w:rPr>
        <w:t>Abarike</w:t>
      </w:r>
      <w:proofErr w:type="spellEnd"/>
      <w:r w:rsidRPr="00D70ECE">
        <w:rPr>
          <w:sz w:val="20"/>
          <w:szCs w:val="20"/>
          <w:lang w:val="en-US"/>
        </w:rPr>
        <w:t xml:space="preserve">, E. D., Lu, Y., Chi, S., &amp; </w:t>
      </w:r>
      <w:proofErr w:type="spellStart"/>
      <w:r w:rsidRPr="00D70ECE">
        <w:rPr>
          <w:sz w:val="20"/>
          <w:szCs w:val="20"/>
          <w:lang w:val="en-US"/>
        </w:rPr>
        <w:t>Anokyewaa</w:t>
      </w:r>
      <w:proofErr w:type="spellEnd"/>
      <w:r w:rsidRPr="00D70ECE">
        <w:rPr>
          <w:sz w:val="20"/>
          <w:szCs w:val="20"/>
          <w:lang w:val="en-US"/>
        </w:rPr>
        <w:t xml:space="preserve">, M. </w:t>
      </w:r>
      <w:r w:rsidRPr="003B2BE1">
        <w:rPr>
          <w:sz w:val="20"/>
          <w:szCs w:val="20"/>
          <w:lang w:val="en-US"/>
        </w:rPr>
        <w:t xml:space="preserve">A. (2020). The use of Bacillus species in maintenance of water quality in aquaculture: A review. </w:t>
      </w:r>
      <w:r w:rsidRPr="000F154D">
        <w:rPr>
          <w:i/>
          <w:iCs/>
          <w:sz w:val="20"/>
          <w:szCs w:val="20"/>
          <w:lang w:val="en-US"/>
        </w:rPr>
        <w:t>Aquaculture Reports</w:t>
      </w:r>
      <w:r w:rsidR="00B02AD3" w:rsidRPr="003B2BE1">
        <w:rPr>
          <w:sz w:val="20"/>
          <w:szCs w:val="20"/>
          <w:lang w:val="en-US"/>
        </w:rPr>
        <w:t>,</w:t>
      </w:r>
      <w:r w:rsidRPr="003B2BE1">
        <w:rPr>
          <w:sz w:val="20"/>
          <w:szCs w:val="20"/>
          <w:lang w:val="en-US"/>
        </w:rPr>
        <w:t xml:space="preserve"> 18</w:t>
      </w:r>
      <w:r w:rsidR="001318C3" w:rsidRPr="003B2BE1">
        <w:rPr>
          <w:sz w:val="20"/>
          <w:szCs w:val="20"/>
          <w:lang w:val="en-US"/>
        </w:rPr>
        <w:t>:</w:t>
      </w:r>
      <w:r w:rsidRPr="003B2BE1">
        <w:rPr>
          <w:sz w:val="20"/>
          <w:szCs w:val="20"/>
          <w:lang w:val="en-US"/>
        </w:rPr>
        <w:t xml:space="preserve"> 100503. </w:t>
      </w:r>
      <w:hyperlink r:id="rId18" w:history="1">
        <w:r w:rsidR="000C797C" w:rsidRPr="00E00DCB">
          <w:rPr>
            <w:rStyle w:val="Hyperlink"/>
          </w:rPr>
          <w:t>https://doi.org/10.1016/j.aqrep.2020.100503</w:t>
        </w:r>
      </w:hyperlink>
      <w:r w:rsidR="000C797C">
        <w:rPr>
          <w:lang w:val="en-US"/>
        </w:rPr>
        <w:t xml:space="preserve"> </w:t>
      </w:r>
      <w:r w:rsidRPr="003B2BE1">
        <w:rPr>
          <w:sz w:val="20"/>
          <w:szCs w:val="20"/>
          <w:lang w:val="en-US"/>
        </w:rPr>
        <w:t>.</w:t>
      </w:r>
      <w:hyperlink r:id="rId19" w:tgtFrame="_blank" w:history="1"/>
    </w:p>
    <w:p w14:paraId="00D05EF0" w14:textId="59D2E0E3" w:rsidR="00E9329A" w:rsidRPr="005B3ED4" w:rsidRDefault="00E9329A" w:rsidP="00CA3B20">
      <w:pPr>
        <w:ind w:left="1418" w:hanging="896"/>
        <w:jc w:val="both"/>
        <w:rPr>
          <w:sz w:val="20"/>
          <w:szCs w:val="20"/>
          <w:lang w:val="en-US"/>
        </w:rPr>
      </w:pPr>
      <w:proofErr w:type="spellStart"/>
      <w:r w:rsidRPr="003B2BE1">
        <w:rPr>
          <w:sz w:val="20"/>
          <w:szCs w:val="20"/>
          <w:lang w:val="en-US"/>
        </w:rPr>
        <w:t>Hmidet</w:t>
      </w:r>
      <w:proofErr w:type="spellEnd"/>
      <w:r w:rsidRPr="003B2BE1">
        <w:rPr>
          <w:sz w:val="20"/>
          <w:szCs w:val="20"/>
          <w:lang w:val="en-US"/>
        </w:rPr>
        <w:t xml:space="preserve">, N., Ali, N.E-H., </w:t>
      </w:r>
      <w:proofErr w:type="spellStart"/>
      <w:r w:rsidRPr="003B2BE1">
        <w:rPr>
          <w:sz w:val="20"/>
          <w:szCs w:val="20"/>
          <w:lang w:val="en-US"/>
        </w:rPr>
        <w:t>Haddar</w:t>
      </w:r>
      <w:proofErr w:type="spellEnd"/>
      <w:r w:rsidRPr="003B2BE1">
        <w:rPr>
          <w:sz w:val="20"/>
          <w:szCs w:val="20"/>
          <w:lang w:val="en-US"/>
        </w:rPr>
        <w:t xml:space="preserve">, A., </w:t>
      </w:r>
      <w:proofErr w:type="spellStart"/>
      <w:r w:rsidRPr="003B2BE1">
        <w:rPr>
          <w:sz w:val="20"/>
          <w:szCs w:val="20"/>
          <w:lang w:val="en-US"/>
        </w:rPr>
        <w:t>Kanoun</w:t>
      </w:r>
      <w:proofErr w:type="spellEnd"/>
      <w:r w:rsidRPr="003B2BE1">
        <w:rPr>
          <w:sz w:val="20"/>
          <w:szCs w:val="20"/>
          <w:lang w:val="en-US"/>
        </w:rPr>
        <w:t xml:space="preserve">, S., </w:t>
      </w:r>
      <w:proofErr w:type="spellStart"/>
      <w:r w:rsidRPr="003B2BE1">
        <w:rPr>
          <w:sz w:val="20"/>
          <w:szCs w:val="20"/>
          <w:lang w:val="en-US"/>
        </w:rPr>
        <w:t>Alya</w:t>
      </w:r>
      <w:proofErr w:type="spellEnd"/>
      <w:r w:rsidRPr="003B2BE1">
        <w:rPr>
          <w:sz w:val="20"/>
          <w:szCs w:val="20"/>
          <w:lang w:val="en-US"/>
        </w:rPr>
        <w:t xml:space="preserve">, S. K., &amp; </w:t>
      </w:r>
      <w:proofErr w:type="spellStart"/>
      <w:r w:rsidRPr="003B2BE1">
        <w:rPr>
          <w:sz w:val="20"/>
          <w:szCs w:val="20"/>
          <w:lang w:val="en-US"/>
        </w:rPr>
        <w:t>Nasri</w:t>
      </w:r>
      <w:proofErr w:type="spellEnd"/>
      <w:r w:rsidRPr="003B2BE1">
        <w:rPr>
          <w:sz w:val="20"/>
          <w:szCs w:val="20"/>
          <w:lang w:val="en-US"/>
        </w:rPr>
        <w:t xml:space="preserve">, M. (2009). Alkaline proteases and thermostable α-amylase co-produced by </w:t>
      </w:r>
      <w:r w:rsidRPr="000F154D">
        <w:rPr>
          <w:i/>
          <w:iCs/>
          <w:sz w:val="20"/>
          <w:szCs w:val="20"/>
          <w:lang w:val="en-US"/>
        </w:rPr>
        <w:t>Bacillus licheniformis</w:t>
      </w:r>
      <w:r w:rsidRPr="003B2BE1">
        <w:rPr>
          <w:sz w:val="20"/>
          <w:szCs w:val="20"/>
          <w:lang w:val="en-US"/>
        </w:rPr>
        <w:t xml:space="preserve"> NH1: Characterization and potential application as detergent additive. </w:t>
      </w:r>
      <w:r w:rsidRPr="000F154D">
        <w:rPr>
          <w:i/>
          <w:iCs/>
          <w:sz w:val="20"/>
          <w:szCs w:val="20"/>
          <w:lang w:val="en-US"/>
        </w:rPr>
        <w:t>Biochemical Engineering Journal</w:t>
      </w:r>
      <w:r w:rsidR="00B02AD3" w:rsidRPr="003B2BE1">
        <w:rPr>
          <w:sz w:val="20"/>
          <w:szCs w:val="20"/>
          <w:lang w:val="en-US"/>
        </w:rPr>
        <w:t>,</w:t>
      </w:r>
      <w:r w:rsidRPr="003B2BE1">
        <w:rPr>
          <w:sz w:val="20"/>
          <w:szCs w:val="20"/>
          <w:lang w:val="en-US"/>
        </w:rPr>
        <w:t xml:space="preserve"> 47(1)</w:t>
      </w:r>
      <w:r w:rsidR="001318C3" w:rsidRPr="003B2BE1">
        <w:rPr>
          <w:sz w:val="20"/>
          <w:szCs w:val="20"/>
          <w:lang w:val="en-US"/>
        </w:rPr>
        <w:t>:</w:t>
      </w:r>
      <w:r w:rsidRPr="003B2BE1">
        <w:rPr>
          <w:sz w:val="20"/>
          <w:szCs w:val="20"/>
          <w:lang w:val="en-US"/>
        </w:rPr>
        <w:t xml:space="preserve"> 71-79. </w:t>
      </w:r>
      <w:hyperlink r:id="rId20" w:history="1">
        <w:r w:rsidR="005B3ED4" w:rsidRPr="00E00DCB">
          <w:rPr>
            <w:rStyle w:val="Hyperlink"/>
          </w:rPr>
          <w:t>https://doi.org/10.1016/j.bej.2009.07.005</w:t>
        </w:r>
      </w:hyperlink>
      <w:r w:rsidR="005B3ED4">
        <w:rPr>
          <w:lang w:val="en-US"/>
        </w:rPr>
        <w:t xml:space="preserve"> </w:t>
      </w:r>
    </w:p>
    <w:p w14:paraId="54D6BCA8" w14:textId="1AA9357D" w:rsidR="00E9329A" w:rsidRPr="008C562C" w:rsidRDefault="00E9329A" w:rsidP="00CA3B20">
      <w:pPr>
        <w:ind w:left="1418" w:hanging="896"/>
        <w:jc w:val="both"/>
        <w:rPr>
          <w:sz w:val="20"/>
          <w:szCs w:val="20"/>
          <w:lang w:val="en-US"/>
        </w:rPr>
      </w:pPr>
      <w:proofErr w:type="spellStart"/>
      <w:r w:rsidRPr="003B2BE1">
        <w:rPr>
          <w:sz w:val="20"/>
          <w:szCs w:val="20"/>
          <w:lang w:val="en-US"/>
        </w:rPr>
        <w:t>Khire</w:t>
      </w:r>
      <w:proofErr w:type="spellEnd"/>
      <w:r w:rsidRPr="003B2BE1">
        <w:rPr>
          <w:sz w:val="20"/>
          <w:szCs w:val="20"/>
          <w:lang w:val="en-US"/>
        </w:rPr>
        <w:t xml:space="preserve">, J. M., &amp; Pant, A. (1992). Thermostable, salt-tolerant amylase from </w:t>
      </w:r>
      <w:r w:rsidRPr="000F154D">
        <w:rPr>
          <w:i/>
          <w:iCs/>
          <w:sz w:val="20"/>
          <w:szCs w:val="20"/>
          <w:lang w:val="en-US"/>
        </w:rPr>
        <w:t>Bacillus</w:t>
      </w:r>
      <w:r w:rsidRPr="003B2BE1">
        <w:rPr>
          <w:sz w:val="20"/>
          <w:szCs w:val="20"/>
          <w:lang w:val="en-US"/>
        </w:rPr>
        <w:t xml:space="preserve"> sp. 64. </w:t>
      </w:r>
      <w:r w:rsidRPr="000F154D">
        <w:rPr>
          <w:i/>
          <w:iCs/>
          <w:sz w:val="20"/>
          <w:szCs w:val="20"/>
          <w:lang w:val="en-US"/>
        </w:rPr>
        <w:t>World Journal of Microbiology and Biotechnology</w:t>
      </w:r>
      <w:r w:rsidR="00B02AD3" w:rsidRPr="003B2BE1">
        <w:rPr>
          <w:sz w:val="20"/>
          <w:szCs w:val="20"/>
          <w:lang w:val="en-US"/>
        </w:rPr>
        <w:t>,</w:t>
      </w:r>
      <w:r w:rsidRPr="003B2BE1">
        <w:rPr>
          <w:sz w:val="20"/>
          <w:szCs w:val="20"/>
          <w:lang w:val="en-US"/>
        </w:rPr>
        <w:t xml:space="preserve"> 8</w:t>
      </w:r>
      <w:r w:rsidR="001318C3" w:rsidRPr="003B2BE1">
        <w:rPr>
          <w:sz w:val="20"/>
          <w:szCs w:val="20"/>
          <w:lang w:val="en-US"/>
        </w:rPr>
        <w:t>:</w:t>
      </w:r>
      <w:r w:rsidRPr="003B2BE1">
        <w:rPr>
          <w:sz w:val="20"/>
          <w:szCs w:val="20"/>
          <w:lang w:val="en-US"/>
        </w:rPr>
        <w:t xml:space="preserve"> 167-170. </w:t>
      </w:r>
      <w:hyperlink r:id="rId21" w:history="1">
        <w:r w:rsidR="008C562C" w:rsidRPr="00E00DCB">
          <w:rPr>
            <w:rStyle w:val="Hyperlink"/>
          </w:rPr>
          <w:t>https://doi.org/10.1007/BF01195840</w:t>
        </w:r>
      </w:hyperlink>
      <w:r w:rsidR="008C562C">
        <w:rPr>
          <w:lang w:val="en-US"/>
        </w:rPr>
        <w:t xml:space="preserve"> </w:t>
      </w:r>
    </w:p>
    <w:p w14:paraId="4D105DF6" w14:textId="1E3D8589" w:rsidR="00E9329A" w:rsidRPr="003B2BE1" w:rsidRDefault="00E9329A" w:rsidP="00CA3B20">
      <w:pPr>
        <w:ind w:left="1418" w:hanging="896"/>
        <w:jc w:val="both"/>
        <w:rPr>
          <w:sz w:val="20"/>
          <w:szCs w:val="20"/>
          <w:lang w:val="en-US"/>
        </w:rPr>
      </w:pPr>
      <w:r w:rsidRPr="003B2BE1">
        <w:rPr>
          <w:sz w:val="20"/>
          <w:szCs w:val="20"/>
          <w:lang w:val="en-US"/>
        </w:rPr>
        <w:t xml:space="preserve">Kim, T., </w:t>
      </w:r>
      <w:proofErr w:type="spellStart"/>
      <w:r w:rsidRPr="003B2BE1">
        <w:rPr>
          <w:sz w:val="20"/>
          <w:szCs w:val="20"/>
          <w:lang w:val="en-US"/>
        </w:rPr>
        <w:t>Heo</w:t>
      </w:r>
      <w:proofErr w:type="spellEnd"/>
      <w:r w:rsidRPr="003B2BE1">
        <w:rPr>
          <w:sz w:val="20"/>
          <w:szCs w:val="20"/>
          <w:lang w:val="en-US"/>
        </w:rPr>
        <w:t xml:space="preserve">, S., Lee, J-H., and </w:t>
      </w:r>
      <w:proofErr w:type="spellStart"/>
      <w:r w:rsidRPr="003B2BE1">
        <w:rPr>
          <w:sz w:val="20"/>
          <w:szCs w:val="20"/>
          <w:lang w:val="en-US"/>
        </w:rPr>
        <w:t>Jeong</w:t>
      </w:r>
      <w:proofErr w:type="spellEnd"/>
      <w:r w:rsidRPr="003B2BE1">
        <w:rPr>
          <w:sz w:val="20"/>
          <w:szCs w:val="20"/>
          <w:lang w:val="en-US"/>
        </w:rPr>
        <w:t xml:space="preserve">. D-W. (2024). Deficiency in </w:t>
      </w:r>
      <w:proofErr w:type="spellStart"/>
      <w:r w:rsidRPr="003B2BE1">
        <w:rPr>
          <w:sz w:val="20"/>
          <w:szCs w:val="20"/>
          <w:lang w:val="en-US"/>
        </w:rPr>
        <w:t>Opu</w:t>
      </w:r>
      <w:proofErr w:type="spellEnd"/>
      <w:r w:rsidRPr="003B2BE1">
        <w:rPr>
          <w:sz w:val="20"/>
          <w:szCs w:val="20"/>
          <w:lang w:val="en-US"/>
        </w:rPr>
        <w:t xml:space="preserve"> systems imparts salt - sensitivity to </w:t>
      </w:r>
      <w:proofErr w:type="spellStart"/>
      <w:r w:rsidRPr="000F154D">
        <w:rPr>
          <w:i/>
          <w:iCs/>
          <w:sz w:val="20"/>
          <w:szCs w:val="20"/>
          <w:lang w:val="en-US"/>
        </w:rPr>
        <w:t>Weizmannia</w:t>
      </w:r>
      <w:proofErr w:type="spellEnd"/>
      <w:r w:rsidRPr="000F154D">
        <w:rPr>
          <w:i/>
          <w:iCs/>
          <w:sz w:val="20"/>
          <w:szCs w:val="20"/>
          <w:lang w:val="en-US"/>
        </w:rPr>
        <w:t xml:space="preserve"> </w:t>
      </w:r>
      <w:proofErr w:type="spellStart"/>
      <w:r w:rsidRPr="000F154D">
        <w:rPr>
          <w:i/>
          <w:iCs/>
          <w:sz w:val="20"/>
          <w:szCs w:val="20"/>
          <w:lang w:val="en-US"/>
        </w:rPr>
        <w:t>coagulans</w:t>
      </w:r>
      <w:proofErr w:type="spellEnd"/>
      <w:r w:rsidRPr="003B2BE1">
        <w:rPr>
          <w:sz w:val="20"/>
          <w:szCs w:val="20"/>
          <w:lang w:val="en-US"/>
        </w:rPr>
        <w:t xml:space="preserve">. </w:t>
      </w:r>
      <w:r w:rsidRPr="000F154D">
        <w:rPr>
          <w:i/>
          <w:iCs/>
          <w:sz w:val="20"/>
          <w:szCs w:val="20"/>
          <w:lang w:val="en-US"/>
        </w:rPr>
        <w:t>Journal of Microbiology and Biotechnology</w:t>
      </w:r>
      <w:r w:rsidR="00B02AD3" w:rsidRPr="003B2BE1">
        <w:rPr>
          <w:sz w:val="20"/>
          <w:szCs w:val="20"/>
          <w:lang w:val="en-US"/>
        </w:rPr>
        <w:t>,</w:t>
      </w:r>
      <w:r w:rsidRPr="003B2BE1">
        <w:rPr>
          <w:sz w:val="20"/>
          <w:szCs w:val="20"/>
          <w:lang w:val="en-US"/>
        </w:rPr>
        <w:t xml:space="preserve"> 34(7)</w:t>
      </w:r>
      <w:r w:rsidR="001318C3" w:rsidRPr="003B2BE1">
        <w:rPr>
          <w:sz w:val="20"/>
          <w:szCs w:val="20"/>
          <w:lang w:val="en-US"/>
        </w:rPr>
        <w:t>:</w:t>
      </w:r>
      <w:r w:rsidRPr="003B2BE1">
        <w:rPr>
          <w:sz w:val="20"/>
          <w:szCs w:val="20"/>
          <w:lang w:val="en-US"/>
        </w:rPr>
        <w:t xml:space="preserve"> 1443-1451. </w:t>
      </w:r>
      <w:hyperlink r:id="rId22" w:history="1">
        <w:r w:rsidR="00812791" w:rsidRPr="00E00DCB">
          <w:rPr>
            <w:rStyle w:val="Hyperlink"/>
          </w:rPr>
          <w:t>https://doi.org/10.4014/jmb.2404.04016</w:t>
        </w:r>
      </w:hyperlink>
      <w:r w:rsidR="00812791">
        <w:rPr>
          <w:lang w:val="en-US"/>
        </w:rPr>
        <w:t xml:space="preserve"> </w:t>
      </w:r>
      <w:r w:rsidRPr="003B2BE1">
        <w:rPr>
          <w:sz w:val="20"/>
          <w:szCs w:val="20"/>
          <w:lang w:val="en-US"/>
        </w:rPr>
        <w:t xml:space="preserve">. </w:t>
      </w:r>
    </w:p>
    <w:p w14:paraId="07F17F03" w14:textId="22BC4CA7" w:rsidR="00E9329A" w:rsidRPr="00544EFA" w:rsidRDefault="00E9329A" w:rsidP="00CA3B20">
      <w:pPr>
        <w:ind w:left="1418" w:hanging="896"/>
        <w:jc w:val="both"/>
        <w:rPr>
          <w:sz w:val="20"/>
          <w:szCs w:val="20"/>
          <w:lang w:val="en-US"/>
        </w:rPr>
      </w:pPr>
      <w:r w:rsidRPr="003B2BE1">
        <w:rPr>
          <w:sz w:val="20"/>
          <w:szCs w:val="20"/>
          <w:lang w:val="en-US"/>
        </w:rPr>
        <w:t xml:space="preserve">Kiran, K. K., &amp; Chandra, T. S. (2008). Production of surfactant- and detergent-stable, halophilic, and </w:t>
      </w:r>
      <w:proofErr w:type="spellStart"/>
      <w:r w:rsidRPr="003B2BE1">
        <w:rPr>
          <w:sz w:val="20"/>
          <w:szCs w:val="20"/>
          <w:lang w:val="en-US"/>
        </w:rPr>
        <w:t>alkalitolerant</w:t>
      </w:r>
      <w:proofErr w:type="spellEnd"/>
      <w:r w:rsidRPr="003B2BE1">
        <w:rPr>
          <w:sz w:val="20"/>
          <w:szCs w:val="20"/>
          <w:lang w:val="en-US"/>
        </w:rPr>
        <w:t xml:space="preserve"> α-amylase by a moderately halophilic </w:t>
      </w:r>
      <w:r w:rsidRPr="000F154D">
        <w:rPr>
          <w:i/>
          <w:iCs/>
          <w:sz w:val="20"/>
          <w:szCs w:val="20"/>
          <w:lang w:val="en-US"/>
        </w:rPr>
        <w:t>Bacillus</w:t>
      </w:r>
      <w:r w:rsidRPr="003B2BE1">
        <w:rPr>
          <w:sz w:val="20"/>
          <w:szCs w:val="20"/>
          <w:lang w:val="en-US"/>
        </w:rPr>
        <w:t xml:space="preserve"> sp. strain TSCVKK. </w:t>
      </w:r>
      <w:r w:rsidRPr="000F154D">
        <w:rPr>
          <w:i/>
          <w:iCs/>
          <w:sz w:val="20"/>
          <w:szCs w:val="20"/>
          <w:lang w:val="en-US"/>
        </w:rPr>
        <w:t>Applied Microbiology and Biotechnology</w:t>
      </w:r>
      <w:r w:rsidR="00B02AD3" w:rsidRPr="003B2BE1">
        <w:rPr>
          <w:sz w:val="20"/>
          <w:szCs w:val="20"/>
          <w:lang w:val="en-US"/>
        </w:rPr>
        <w:t>,</w:t>
      </w:r>
      <w:r w:rsidRPr="003B2BE1">
        <w:rPr>
          <w:sz w:val="20"/>
          <w:szCs w:val="20"/>
          <w:lang w:val="en-US"/>
        </w:rPr>
        <w:t xml:space="preserve"> 77</w:t>
      </w:r>
      <w:r w:rsidR="001318C3" w:rsidRPr="003B2BE1">
        <w:rPr>
          <w:sz w:val="20"/>
          <w:szCs w:val="20"/>
          <w:lang w:val="en-US"/>
        </w:rPr>
        <w:t>:</w:t>
      </w:r>
      <w:r w:rsidRPr="003B2BE1">
        <w:rPr>
          <w:sz w:val="20"/>
          <w:szCs w:val="20"/>
          <w:lang w:val="en-US"/>
        </w:rPr>
        <w:t xml:space="preserve"> 1023-1031. </w:t>
      </w:r>
      <w:hyperlink r:id="rId23" w:history="1">
        <w:r w:rsidR="00544EFA" w:rsidRPr="00E00DCB">
          <w:rPr>
            <w:rStyle w:val="Hyperlink"/>
          </w:rPr>
          <w:t>https://doi.org/10.1007/s00253-007-1250-z</w:t>
        </w:r>
      </w:hyperlink>
      <w:r w:rsidR="00544EFA">
        <w:rPr>
          <w:lang w:val="en-US"/>
        </w:rPr>
        <w:t xml:space="preserve"> </w:t>
      </w:r>
    </w:p>
    <w:p w14:paraId="56A244FE" w14:textId="381790B0" w:rsidR="00E9329A" w:rsidRPr="00E82793" w:rsidRDefault="00E9329A" w:rsidP="00CA3B20">
      <w:pPr>
        <w:ind w:left="1418" w:hanging="896"/>
        <w:jc w:val="both"/>
        <w:rPr>
          <w:sz w:val="20"/>
          <w:szCs w:val="20"/>
          <w:lang w:val="en-US"/>
        </w:rPr>
      </w:pPr>
      <w:r w:rsidRPr="00D70ECE">
        <w:rPr>
          <w:sz w:val="20"/>
          <w:szCs w:val="20"/>
          <w:lang w:val="en-US"/>
        </w:rPr>
        <w:t xml:space="preserve">Li, X., Wang, T., Fu, B., &amp; Mu, X. (2022). Improvement of aquaculture water quality by mixed </w:t>
      </w:r>
      <w:r w:rsidRPr="000F154D">
        <w:rPr>
          <w:i/>
          <w:iCs/>
          <w:sz w:val="20"/>
          <w:szCs w:val="20"/>
          <w:lang w:val="en-US"/>
        </w:rPr>
        <w:t>Bacillus</w:t>
      </w:r>
      <w:r w:rsidRPr="009F2D7A">
        <w:rPr>
          <w:sz w:val="20"/>
          <w:szCs w:val="20"/>
          <w:lang w:val="en-US"/>
        </w:rPr>
        <w:t xml:space="preserve"> </w:t>
      </w:r>
      <w:r w:rsidRPr="003B2BE1">
        <w:rPr>
          <w:sz w:val="20"/>
          <w:szCs w:val="20"/>
          <w:lang w:val="en-US"/>
        </w:rPr>
        <w:t xml:space="preserve">and its effects on microbial community structure. </w:t>
      </w:r>
      <w:r w:rsidRPr="000F154D">
        <w:rPr>
          <w:i/>
          <w:iCs/>
          <w:sz w:val="20"/>
          <w:szCs w:val="20"/>
          <w:lang w:val="en-US"/>
        </w:rPr>
        <w:t>Environmental Science and Pollution Research</w:t>
      </w:r>
      <w:r w:rsidR="00B02AD3" w:rsidRPr="003B2BE1">
        <w:rPr>
          <w:sz w:val="20"/>
          <w:szCs w:val="20"/>
          <w:lang w:val="en-US"/>
        </w:rPr>
        <w:t>,</w:t>
      </w:r>
      <w:r w:rsidRPr="003B2BE1">
        <w:rPr>
          <w:sz w:val="20"/>
          <w:szCs w:val="20"/>
          <w:lang w:val="en-US"/>
        </w:rPr>
        <w:t xml:space="preserve"> 29</w:t>
      </w:r>
      <w:r w:rsidR="001318C3" w:rsidRPr="003B2BE1">
        <w:rPr>
          <w:sz w:val="20"/>
          <w:szCs w:val="20"/>
          <w:lang w:val="en-US"/>
        </w:rPr>
        <w:t>:</w:t>
      </w:r>
      <w:r w:rsidRPr="003B2BE1">
        <w:rPr>
          <w:sz w:val="20"/>
          <w:szCs w:val="20"/>
          <w:lang w:val="en-US"/>
        </w:rPr>
        <w:t xml:space="preserve"> 69731-69742. </w:t>
      </w:r>
      <w:hyperlink r:id="rId24" w:history="1">
        <w:r w:rsidR="00E82793" w:rsidRPr="00E00DCB">
          <w:rPr>
            <w:rStyle w:val="Hyperlink"/>
          </w:rPr>
          <w:t>https://doi.org/10.1007/s11356-022-20608-0</w:t>
        </w:r>
      </w:hyperlink>
      <w:r w:rsidR="00E82793">
        <w:rPr>
          <w:lang w:val="en-US"/>
        </w:rPr>
        <w:t xml:space="preserve"> </w:t>
      </w:r>
    </w:p>
    <w:p w14:paraId="2A3DB93D" w14:textId="5602D63A" w:rsidR="00E9329A" w:rsidRPr="0086713A" w:rsidRDefault="00E9329A" w:rsidP="00CA3B20">
      <w:pPr>
        <w:ind w:left="1418" w:hanging="896"/>
        <w:jc w:val="both"/>
        <w:rPr>
          <w:sz w:val="20"/>
          <w:szCs w:val="20"/>
          <w:lang w:val="en-US"/>
        </w:rPr>
      </w:pPr>
      <w:proofErr w:type="spellStart"/>
      <w:r w:rsidRPr="003B2BE1">
        <w:rPr>
          <w:sz w:val="20"/>
          <w:szCs w:val="20"/>
          <w:lang w:val="en-US"/>
        </w:rPr>
        <w:t>Medda</w:t>
      </w:r>
      <w:proofErr w:type="spellEnd"/>
      <w:r w:rsidRPr="003B2BE1">
        <w:rPr>
          <w:sz w:val="20"/>
          <w:szCs w:val="20"/>
          <w:lang w:val="en-US"/>
        </w:rPr>
        <w:t xml:space="preserve">, S., &amp; Chandra, A. K. (1980). New strains of </w:t>
      </w:r>
      <w:r w:rsidRPr="000F154D">
        <w:rPr>
          <w:i/>
          <w:iCs/>
          <w:sz w:val="20"/>
          <w:szCs w:val="20"/>
          <w:lang w:val="en-US"/>
        </w:rPr>
        <w:t>Bacillus licheniformis</w:t>
      </w:r>
      <w:r w:rsidRPr="003B2BE1">
        <w:rPr>
          <w:sz w:val="20"/>
          <w:szCs w:val="20"/>
          <w:lang w:val="en-US"/>
        </w:rPr>
        <w:t xml:space="preserve"> and </w:t>
      </w:r>
      <w:r w:rsidRPr="000F154D">
        <w:rPr>
          <w:i/>
          <w:iCs/>
          <w:sz w:val="20"/>
          <w:szCs w:val="20"/>
          <w:lang w:val="en-US"/>
        </w:rPr>
        <w:t xml:space="preserve">Bacillus </w:t>
      </w:r>
      <w:proofErr w:type="spellStart"/>
      <w:r w:rsidRPr="000F154D">
        <w:rPr>
          <w:i/>
          <w:iCs/>
          <w:sz w:val="20"/>
          <w:szCs w:val="20"/>
          <w:lang w:val="en-US"/>
        </w:rPr>
        <w:t>coagulans</w:t>
      </w:r>
      <w:proofErr w:type="spellEnd"/>
      <w:r w:rsidRPr="003B2BE1">
        <w:rPr>
          <w:sz w:val="20"/>
          <w:szCs w:val="20"/>
          <w:lang w:val="en-US"/>
        </w:rPr>
        <w:t xml:space="preserve"> producing thermostable α-amylase active at alkaline </w:t>
      </w:r>
      <w:proofErr w:type="spellStart"/>
      <w:r w:rsidRPr="003B2BE1">
        <w:rPr>
          <w:sz w:val="20"/>
          <w:szCs w:val="20"/>
          <w:lang w:val="en-US"/>
        </w:rPr>
        <w:t>pH.</w:t>
      </w:r>
      <w:proofErr w:type="spellEnd"/>
      <w:r w:rsidRPr="003B2BE1">
        <w:rPr>
          <w:sz w:val="20"/>
          <w:szCs w:val="20"/>
          <w:lang w:val="en-US"/>
        </w:rPr>
        <w:t xml:space="preserve"> </w:t>
      </w:r>
      <w:r w:rsidRPr="000F154D">
        <w:rPr>
          <w:i/>
          <w:iCs/>
          <w:sz w:val="20"/>
          <w:szCs w:val="20"/>
          <w:lang w:val="en-US"/>
        </w:rPr>
        <w:t>Journal of Applied Bacteriology</w:t>
      </w:r>
      <w:r w:rsidR="00B02AD3" w:rsidRPr="003B2BE1">
        <w:rPr>
          <w:sz w:val="20"/>
          <w:szCs w:val="20"/>
          <w:lang w:val="en-US"/>
        </w:rPr>
        <w:t>,</w:t>
      </w:r>
      <w:r w:rsidRPr="003B2BE1">
        <w:rPr>
          <w:sz w:val="20"/>
          <w:szCs w:val="20"/>
          <w:lang w:val="en-US"/>
        </w:rPr>
        <w:t xml:space="preserve"> 48(1)</w:t>
      </w:r>
      <w:r w:rsidR="001318C3" w:rsidRPr="003B2BE1">
        <w:rPr>
          <w:sz w:val="20"/>
          <w:szCs w:val="20"/>
          <w:lang w:val="en-US"/>
        </w:rPr>
        <w:t>:</w:t>
      </w:r>
      <w:r w:rsidRPr="003B2BE1">
        <w:rPr>
          <w:sz w:val="20"/>
          <w:szCs w:val="20"/>
          <w:lang w:val="en-US"/>
        </w:rPr>
        <w:t xml:space="preserve"> 47-58. </w:t>
      </w:r>
      <w:hyperlink r:id="rId25" w:history="1">
        <w:r w:rsidR="0086713A" w:rsidRPr="00E00DCB">
          <w:rPr>
            <w:rStyle w:val="Hyperlink"/>
          </w:rPr>
          <w:t>https://doi.org/10.1111/j.1365-2672.1980.tb05205.x</w:t>
        </w:r>
      </w:hyperlink>
      <w:r w:rsidR="0086713A">
        <w:rPr>
          <w:lang w:val="en-US"/>
        </w:rPr>
        <w:t xml:space="preserve"> </w:t>
      </w:r>
    </w:p>
    <w:p w14:paraId="1CF82165" w14:textId="6A3345A8" w:rsidR="00E9329A" w:rsidRPr="003B2BE1" w:rsidRDefault="00E9329A" w:rsidP="000F154D">
      <w:pPr>
        <w:ind w:left="1418" w:hanging="896"/>
        <w:jc w:val="both"/>
        <w:rPr>
          <w:sz w:val="20"/>
          <w:szCs w:val="20"/>
          <w:lang w:val="en-US"/>
        </w:rPr>
      </w:pPr>
      <w:r w:rsidRPr="003B2BE1">
        <w:rPr>
          <w:sz w:val="20"/>
          <w:szCs w:val="20"/>
          <w:lang w:val="en-US"/>
        </w:rPr>
        <w:lastRenderedPageBreak/>
        <w:t>Patel, A. K., Singhania, R. R., &amp; Pandey, A. (2019). Survival mechanisms of lactic acid bacteria under stress conditions.</w:t>
      </w:r>
      <w:r w:rsidR="000F154D">
        <w:rPr>
          <w:sz w:val="20"/>
          <w:szCs w:val="20"/>
          <w:lang w:val="en-US"/>
        </w:rPr>
        <w:t xml:space="preserve"> </w:t>
      </w:r>
      <w:r w:rsidRPr="000F154D">
        <w:rPr>
          <w:i/>
          <w:iCs/>
          <w:sz w:val="20"/>
          <w:szCs w:val="20"/>
          <w:lang w:val="en-US"/>
        </w:rPr>
        <w:t>Microbial Cell Factories</w:t>
      </w:r>
      <w:r w:rsidR="00B02AD3" w:rsidRPr="003B2BE1">
        <w:rPr>
          <w:sz w:val="20"/>
          <w:szCs w:val="20"/>
          <w:lang w:val="en-US"/>
        </w:rPr>
        <w:t>,</w:t>
      </w:r>
      <w:r w:rsidRPr="003B2BE1">
        <w:rPr>
          <w:sz w:val="20"/>
          <w:szCs w:val="20"/>
          <w:lang w:val="en-US"/>
        </w:rPr>
        <w:t xml:space="preserve"> 18(1)</w:t>
      </w:r>
      <w:r w:rsidR="001318C3" w:rsidRPr="003B2BE1">
        <w:rPr>
          <w:sz w:val="20"/>
          <w:szCs w:val="20"/>
          <w:lang w:val="en-US"/>
        </w:rPr>
        <w:t>:</w:t>
      </w:r>
      <w:r w:rsidRPr="003B2BE1">
        <w:rPr>
          <w:sz w:val="20"/>
          <w:szCs w:val="20"/>
          <w:lang w:val="en-US"/>
        </w:rPr>
        <w:t xml:space="preserve"> 1-16.</w:t>
      </w:r>
      <w:r w:rsidR="00CA3B20">
        <w:rPr>
          <w:sz w:val="20"/>
          <w:szCs w:val="20"/>
          <w:lang w:val="en-US"/>
        </w:rPr>
        <w:t xml:space="preserve"> </w:t>
      </w:r>
    </w:p>
    <w:p w14:paraId="7625D70F" w14:textId="6763A6F6" w:rsidR="00E9329A" w:rsidRPr="003B2BE1" w:rsidRDefault="00E9329A" w:rsidP="000F154D">
      <w:pPr>
        <w:ind w:left="1418" w:hanging="896"/>
        <w:jc w:val="both"/>
        <w:rPr>
          <w:sz w:val="20"/>
          <w:szCs w:val="20"/>
          <w:lang w:val="en-US"/>
        </w:rPr>
      </w:pPr>
      <w:r w:rsidRPr="003B2BE1">
        <w:rPr>
          <w:sz w:val="20"/>
          <w:szCs w:val="20"/>
          <w:lang w:val="en-US"/>
        </w:rPr>
        <w:t xml:space="preserve">Sattar, A., Naveed, M., &amp; Mumtaz, A. (2011). Extracellular protease production by </w:t>
      </w:r>
      <w:r w:rsidRPr="00CA3B20">
        <w:rPr>
          <w:i/>
          <w:iCs/>
          <w:sz w:val="20"/>
          <w:szCs w:val="20"/>
          <w:lang w:val="en-US"/>
        </w:rPr>
        <w:t>Bacillus subtilis</w:t>
      </w:r>
      <w:r w:rsidRPr="003B2BE1">
        <w:rPr>
          <w:sz w:val="20"/>
          <w:szCs w:val="20"/>
          <w:lang w:val="en-US"/>
        </w:rPr>
        <w:t xml:space="preserve"> using agricultural wastes.</w:t>
      </w:r>
      <w:r w:rsidR="000F154D">
        <w:rPr>
          <w:sz w:val="20"/>
          <w:szCs w:val="20"/>
          <w:lang w:val="en-US"/>
        </w:rPr>
        <w:t xml:space="preserve"> </w:t>
      </w:r>
      <w:r w:rsidRPr="00CA3B20">
        <w:rPr>
          <w:i/>
          <w:iCs/>
          <w:sz w:val="20"/>
          <w:szCs w:val="20"/>
          <w:lang w:val="en-US"/>
        </w:rPr>
        <w:t>African Journal of Biotechnology</w:t>
      </w:r>
      <w:r w:rsidR="00B02AD3" w:rsidRPr="003B2BE1">
        <w:rPr>
          <w:sz w:val="20"/>
          <w:szCs w:val="20"/>
          <w:lang w:val="en-US"/>
        </w:rPr>
        <w:t>,</w:t>
      </w:r>
      <w:r w:rsidRPr="003B2BE1">
        <w:rPr>
          <w:sz w:val="20"/>
          <w:szCs w:val="20"/>
          <w:lang w:val="en-US"/>
        </w:rPr>
        <w:t xml:space="preserve"> 10(62)</w:t>
      </w:r>
      <w:r w:rsidR="001318C3" w:rsidRPr="003B2BE1">
        <w:rPr>
          <w:sz w:val="20"/>
          <w:szCs w:val="20"/>
          <w:lang w:val="en-US"/>
        </w:rPr>
        <w:t>:</w:t>
      </w:r>
      <w:r w:rsidRPr="003B2BE1">
        <w:rPr>
          <w:sz w:val="20"/>
          <w:szCs w:val="20"/>
          <w:lang w:val="en-US"/>
        </w:rPr>
        <w:t xml:space="preserve"> 13680-13685.  </w:t>
      </w:r>
    </w:p>
    <w:p w14:paraId="24B86392" w14:textId="7BAFC8DB" w:rsidR="00E9329A" w:rsidRPr="003B2BE1" w:rsidRDefault="00E9329A" w:rsidP="000F154D">
      <w:pPr>
        <w:ind w:left="1418" w:hanging="896"/>
        <w:jc w:val="both"/>
        <w:rPr>
          <w:sz w:val="20"/>
          <w:szCs w:val="20"/>
          <w:lang w:val="en-US"/>
        </w:rPr>
      </w:pPr>
      <w:r w:rsidRPr="003B2BE1">
        <w:rPr>
          <w:sz w:val="20"/>
          <w:szCs w:val="20"/>
          <w:lang w:val="en-US"/>
        </w:rPr>
        <w:t xml:space="preserve">Singh, S., </w:t>
      </w:r>
      <w:proofErr w:type="spellStart"/>
      <w:r w:rsidRPr="003B2BE1">
        <w:rPr>
          <w:sz w:val="20"/>
          <w:szCs w:val="20"/>
          <w:lang w:val="en-US"/>
        </w:rPr>
        <w:t>Chander</w:t>
      </w:r>
      <w:proofErr w:type="spellEnd"/>
      <w:r w:rsidRPr="003B2BE1">
        <w:rPr>
          <w:sz w:val="20"/>
          <w:szCs w:val="20"/>
          <w:lang w:val="en-US"/>
        </w:rPr>
        <w:t xml:space="preserve">, R., &amp; Pandey, A. (2016). Influence of salt stress on growth and metabolic activity of </w:t>
      </w:r>
      <w:r w:rsidRPr="00CA3B20">
        <w:rPr>
          <w:i/>
          <w:iCs/>
          <w:sz w:val="20"/>
          <w:szCs w:val="20"/>
          <w:lang w:val="en-US"/>
        </w:rPr>
        <w:t xml:space="preserve">Bacillus </w:t>
      </w:r>
      <w:proofErr w:type="spellStart"/>
      <w:r w:rsidRPr="00CA3B20">
        <w:rPr>
          <w:i/>
          <w:iCs/>
          <w:sz w:val="20"/>
          <w:szCs w:val="20"/>
          <w:lang w:val="en-US"/>
        </w:rPr>
        <w:t>coagulans</w:t>
      </w:r>
      <w:proofErr w:type="spellEnd"/>
      <w:r w:rsidRPr="003B2BE1">
        <w:rPr>
          <w:sz w:val="20"/>
          <w:szCs w:val="20"/>
          <w:lang w:val="en-US"/>
        </w:rPr>
        <w:t>.</w:t>
      </w:r>
      <w:r w:rsidR="000F154D">
        <w:rPr>
          <w:sz w:val="20"/>
          <w:szCs w:val="20"/>
          <w:lang w:val="en-US"/>
        </w:rPr>
        <w:t xml:space="preserve"> </w:t>
      </w:r>
      <w:r w:rsidRPr="00CA3B20">
        <w:rPr>
          <w:i/>
          <w:iCs/>
          <w:sz w:val="20"/>
          <w:szCs w:val="20"/>
          <w:lang w:val="en-US"/>
        </w:rPr>
        <w:t>Journal of Basic Microbiology</w:t>
      </w:r>
      <w:r w:rsidR="00B02AD3" w:rsidRPr="003B2BE1">
        <w:rPr>
          <w:sz w:val="20"/>
          <w:szCs w:val="20"/>
          <w:lang w:val="en-US"/>
        </w:rPr>
        <w:t>,</w:t>
      </w:r>
      <w:r w:rsidRPr="003B2BE1">
        <w:rPr>
          <w:sz w:val="20"/>
          <w:szCs w:val="20"/>
          <w:lang w:val="en-US"/>
        </w:rPr>
        <w:t xml:space="preserve"> 56(7)</w:t>
      </w:r>
      <w:r w:rsidR="001318C3" w:rsidRPr="003B2BE1">
        <w:rPr>
          <w:sz w:val="20"/>
          <w:szCs w:val="20"/>
          <w:lang w:val="en-US"/>
        </w:rPr>
        <w:t>:</w:t>
      </w:r>
      <w:r w:rsidRPr="003B2BE1">
        <w:rPr>
          <w:sz w:val="20"/>
          <w:szCs w:val="20"/>
          <w:lang w:val="en-US"/>
        </w:rPr>
        <w:t xml:space="preserve"> 799-807.</w:t>
      </w:r>
      <w:r w:rsidR="004C04AB" w:rsidRPr="004C04AB">
        <w:t xml:space="preserve"> </w:t>
      </w:r>
      <w:hyperlink r:id="rId26" w:history="1">
        <w:r w:rsidR="004C04AB" w:rsidRPr="00E00DCB">
          <w:rPr>
            <w:rStyle w:val="Hyperlink"/>
            <w:sz w:val="20"/>
            <w:szCs w:val="20"/>
            <w:lang w:val="en-US"/>
          </w:rPr>
          <w:t>https://doi.org/10.1002/jobm.201500600</w:t>
        </w:r>
      </w:hyperlink>
      <w:r w:rsidR="004C04AB">
        <w:rPr>
          <w:sz w:val="20"/>
          <w:szCs w:val="20"/>
          <w:lang w:val="en-US"/>
        </w:rPr>
        <w:t xml:space="preserve"> </w:t>
      </w:r>
    </w:p>
    <w:p w14:paraId="50D09B19" w14:textId="01BC2879" w:rsidR="00E9329A" w:rsidRPr="003B2BE1" w:rsidRDefault="00E9329A" w:rsidP="00CA3B20">
      <w:pPr>
        <w:ind w:left="1418" w:hanging="896"/>
        <w:jc w:val="both"/>
        <w:rPr>
          <w:sz w:val="20"/>
          <w:szCs w:val="20"/>
          <w:lang w:val="en-US"/>
        </w:rPr>
      </w:pPr>
      <w:proofErr w:type="spellStart"/>
      <w:r w:rsidRPr="00C65BBE">
        <w:rPr>
          <w:sz w:val="20"/>
          <w:szCs w:val="20"/>
          <w:lang w:val="en-US"/>
        </w:rPr>
        <w:t>Sleator</w:t>
      </w:r>
      <w:proofErr w:type="spellEnd"/>
      <w:r w:rsidRPr="00C65BBE">
        <w:rPr>
          <w:sz w:val="20"/>
          <w:szCs w:val="20"/>
          <w:lang w:val="en-US"/>
        </w:rPr>
        <w:t>, R. D., &amp; Hill, C. (2002). Bacterial osmoadaptation: The role of osmolytes in bacterial</w:t>
      </w:r>
      <w:r w:rsidRPr="003B2BE1">
        <w:rPr>
          <w:sz w:val="20"/>
          <w:szCs w:val="20"/>
          <w:lang w:val="en-US"/>
        </w:rPr>
        <w:t xml:space="preserve"> stress and virulence. </w:t>
      </w:r>
      <w:r w:rsidRPr="00CA3B20">
        <w:rPr>
          <w:i/>
          <w:iCs/>
          <w:sz w:val="20"/>
          <w:szCs w:val="20"/>
          <w:lang w:val="en-US"/>
        </w:rPr>
        <w:t>FEMS Microbiology Reviews</w:t>
      </w:r>
      <w:r w:rsidR="00B02AD3" w:rsidRPr="003B2BE1">
        <w:rPr>
          <w:sz w:val="20"/>
          <w:szCs w:val="20"/>
          <w:lang w:val="en-US"/>
        </w:rPr>
        <w:t>,</w:t>
      </w:r>
      <w:r w:rsidRPr="003B2BE1">
        <w:rPr>
          <w:sz w:val="20"/>
          <w:szCs w:val="20"/>
          <w:lang w:val="en-US"/>
        </w:rPr>
        <w:t xml:space="preserve"> 26(1)</w:t>
      </w:r>
      <w:r w:rsidR="001318C3" w:rsidRPr="003B2BE1">
        <w:rPr>
          <w:sz w:val="20"/>
          <w:szCs w:val="20"/>
          <w:lang w:val="en-US"/>
        </w:rPr>
        <w:t>:</w:t>
      </w:r>
      <w:r w:rsidRPr="003B2BE1">
        <w:rPr>
          <w:sz w:val="20"/>
          <w:szCs w:val="20"/>
          <w:lang w:val="en-US"/>
        </w:rPr>
        <w:t xml:space="preserve"> 49-71. </w:t>
      </w:r>
      <w:hyperlink r:id="rId27" w:history="1">
        <w:r w:rsidR="00A22F34" w:rsidRPr="00E00DCB">
          <w:rPr>
            <w:rStyle w:val="Hyperlink"/>
          </w:rPr>
          <w:t>https://doi.org/10.1111/j.1574-6976.2002.tb00598.x</w:t>
        </w:r>
      </w:hyperlink>
      <w:r w:rsidR="00A22F34">
        <w:rPr>
          <w:lang w:val="en-US"/>
        </w:rPr>
        <w:t xml:space="preserve"> </w:t>
      </w:r>
      <w:r w:rsidRPr="003B2BE1">
        <w:rPr>
          <w:sz w:val="20"/>
          <w:szCs w:val="20"/>
          <w:lang w:val="en-US"/>
        </w:rPr>
        <w:t xml:space="preserve"> </w:t>
      </w:r>
    </w:p>
    <w:p w14:paraId="054494C7" w14:textId="4E4A1309" w:rsidR="00E9329A" w:rsidRPr="009E117A" w:rsidRDefault="00E9329A" w:rsidP="00CA3B20">
      <w:pPr>
        <w:ind w:left="1418" w:hanging="896"/>
        <w:jc w:val="both"/>
        <w:rPr>
          <w:sz w:val="20"/>
          <w:szCs w:val="20"/>
          <w:lang w:val="en-US"/>
        </w:rPr>
      </w:pPr>
      <w:r w:rsidRPr="003B2BE1">
        <w:rPr>
          <w:sz w:val="20"/>
          <w:szCs w:val="20"/>
          <w:lang w:val="en-US"/>
        </w:rPr>
        <w:t>Wang, Y., Fu, L., Lin, J. (2012). Probiotic (</w:t>
      </w:r>
      <w:r w:rsidRPr="00CA3B20">
        <w:rPr>
          <w:i/>
          <w:iCs/>
          <w:sz w:val="20"/>
          <w:szCs w:val="20"/>
          <w:lang w:val="en-US"/>
        </w:rPr>
        <w:t xml:space="preserve">Bacillus </w:t>
      </w:r>
      <w:proofErr w:type="spellStart"/>
      <w:r w:rsidRPr="00CA3B20">
        <w:rPr>
          <w:i/>
          <w:iCs/>
          <w:sz w:val="20"/>
          <w:szCs w:val="20"/>
          <w:lang w:val="en-US"/>
        </w:rPr>
        <w:t>coagulans</w:t>
      </w:r>
      <w:proofErr w:type="spellEnd"/>
      <w:r w:rsidRPr="003B2BE1">
        <w:rPr>
          <w:sz w:val="20"/>
          <w:szCs w:val="20"/>
          <w:lang w:val="en-US"/>
        </w:rPr>
        <w:t>) Cells in the Diet Benefit the White Shrimp </w:t>
      </w:r>
      <w:proofErr w:type="spellStart"/>
      <w:r w:rsidRPr="00CA3B20">
        <w:rPr>
          <w:i/>
          <w:iCs/>
          <w:sz w:val="20"/>
          <w:szCs w:val="20"/>
          <w:lang w:val="en-US"/>
        </w:rPr>
        <w:t>Litopenaeus</w:t>
      </w:r>
      <w:proofErr w:type="spellEnd"/>
      <w:r w:rsidRPr="00CA3B20">
        <w:rPr>
          <w:i/>
          <w:iCs/>
          <w:sz w:val="20"/>
          <w:szCs w:val="20"/>
          <w:lang w:val="en-US"/>
        </w:rPr>
        <w:t xml:space="preserve"> </w:t>
      </w:r>
      <w:proofErr w:type="spellStart"/>
      <w:r w:rsidRPr="00CA3B20">
        <w:rPr>
          <w:i/>
          <w:iCs/>
          <w:sz w:val="20"/>
          <w:szCs w:val="20"/>
          <w:lang w:val="en-US"/>
        </w:rPr>
        <w:t>vannamei</w:t>
      </w:r>
      <w:proofErr w:type="spellEnd"/>
      <w:r w:rsidRPr="003B2BE1">
        <w:rPr>
          <w:sz w:val="20"/>
          <w:szCs w:val="20"/>
          <w:lang w:val="en-US"/>
        </w:rPr>
        <w:t xml:space="preserve">. </w:t>
      </w:r>
      <w:r w:rsidRPr="00CA3B20">
        <w:rPr>
          <w:i/>
          <w:iCs/>
          <w:sz w:val="20"/>
          <w:szCs w:val="20"/>
          <w:lang w:val="en-US"/>
        </w:rPr>
        <w:t>Journal of Shellfish Research</w:t>
      </w:r>
      <w:r w:rsidR="00B02AD3" w:rsidRPr="003B2BE1">
        <w:rPr>
          <w:sz w:val="20"/>
          <w:szCs w:val="20"/>
          <w:lang w:val="en-US"/>
        </w:rPr>
        <w:t>,</w:t>
      </w:r>
      <w:r w:rsidRPr="003B2BE1">
        <w:rPr>
          <w:sz w:val="20"/>
          <w:szCs w:val="20"/>
          <w:lang w:val="en-US"/>
        </w:rPr>
        <w:t xml:space="preserve"> 31(3)</w:t>
      </w:r>
      <w:r w:rsidR="001318C3" w:rsidRPr="003B2BE1">
        <w:rPr>
          <w:sz w:val="20"/>
          <w:szCs w:val="20"/>
          <w:lang w:val="en-US"/>
        </w:rPr>
        <w:t>:</w:t>
      </w:r>
      <w:r w:rsidRPr="003B2BE1">
        <w:rPr>
          <w:sz w:val="20"/>
          <w:szCs w:val="20"/>
          <w:lang w:val="en-US"/>
        </w:rPr>
        <w:t xml:space="preserve"> 855-860. </w:t>
      </w:r>
      <w:hyperlink r:id="rId28" w:history="1">
        <w:r w:rsidR="009E117A" w:rsidRPr="00E00DCB">
          <w:rPr>
            <w:rStyle w:val="Hyperlink"/>
          </w:rPr>
          <w:t>https://doi.org/10.2983/035.031.0333</w:t>
        </w:r>
      </w:hyperlink>
      <w:r w:rsidR="009E117A">
        <w:rPr>
          <w:lang w:val="en-US"/>
        </w:rPr>
        <w:t xml:space="preserve"> </w:t>
      </w:r>
    </w:p>
    <w:p w14:paraId="6D057E90" w14:textId="4989266C" w:rsidR="00DB7610" w:rsidRPr="00152BD7" w:rsidRDefault="00E9329A" w:rsidP="00CA3B20">
      <w:pPr>
        <w:ind w:left="1418" w:hanging="896"/>
        <w:jc w:val="both"/>
        <w:rPr>
          <w:sz w:val="20"/>
          <w:szCs w:val="20"/>
          <w:lang w:val="en-US"/>
        </w:rPr>
      </w:pPr>
      <w:proofErr w:type="spellStart"/>
      <w:r w:rsidRPr="003B2BE1">
        <w:rPr>
          <w:sz w:val="20"/>
          <w:szCs w:val="20"/>
          <w:lang w:val="en-US"/>
        </w:rPr>
        <w:t>Zorriehzahra</w:t>
      </w:r>
      <w:proofErr w:type="spellEnd"/>
      <w:r w:rsidRPr="003B2BE1">
        <w:rPr>
          <w:sz w:val="20"/>
          <w:szCs w:val="20"/>
          <w:lang w:val="en-US"/>
        </w:rPr>
        <w:t xml:space="preserve">, M. J., </w:t>
      </w:r>
      <w:proofErr w:type="spellStart"/>
      <w:r w:rsidRPr="003B2BE1">
        <w:rPr>
          <w:sz w:val="20"/>
          <w:szCs w:val="20"/>
          <w:lang w:val="en-US"/>
        </w:rPr>
        <w:t>Delshad</w:t>
      </w:r>
      <w:proofErr w:type="spellEnd"/>
      <w:r w:rsidRPr="003B2BE1">
        <w:rPr>
          <w:sz w:val="20"/>
          <w:szCs w:val="20"/>
          <w:lang w:val="en-US"/>
        </w:rPr>
        <w:t xml:space="preserve">, S. T., Adel, M., Tiwari, R., Karthik, K., </w:t>
      </w:r>
      <w:proofErr w:type="spellStart"/>
      <w:r w:rsidRPr="003B2BE1">
        <w:rPr>
          <w:sz w:val="20"/>
          <w:szCs w:val="20"/>
          <w:lang w:val="en-US"/>
        </w:rPr>
        <w:t>Dhama</w:t>
      </w:r>
      <w:proofErr w:type="spellEnd"/>
      <w:r w:rsidRPr="003B2BE1">
        <w:rPr>
          <w:sz w:val="20"/>
          <w:szCs w:val="20"/>
          <w:lang w:val="en-US"/>
        </w:rPr>
        <w:t xml:space="preserve">, K., &amp; </w:t>
      </w:r>
      <w:proofErr w:type="spellStart"/>
      <w:r w:rsidRPr="003B2BE1">
        <w:rPr>
          <w:sz w:val="20"/>
          <w:szCs w:val="20"/>
          <w:lang w:val="en-US"/>
        </w:rPr>
        <w:t>Lazado</w:t>
      </w:r>
      <w:proofErr w:type="spellEnd"/>
      <w:r w:rsidRPr="003B2BE1">
        <w:rPr>
          <w:sz w:val="20"/>
          <w:szCs w:val="20"/>
          <w:lang w:val="en-US"/>
        </w:rPr>
        <w:t xml:space="preserve">, C. C. (2016). Probiotics as beneficial microbes in aquaculture: An update on their multiple modes of action: A review. </w:t>
      </w:r>
      <w:r w:rsidRPr="00CA3B20">
        <w:rPr>
          <w:i/>
          <w:iCs/>
          <w:sz w:val="20"/>
          <w:szCs w:val="20"/>
          <w:lang w:val="en-US"/>
        </w:rPr>
        <w:t>Veterinary Quarterly</w:t>
      </w:r>
      <w:r w:rsidR="00B02AD3" w:rsidRPr="003B2BE1">
        <w:rPr>
          <w:sz w:val="20"/>
          <w:szCs w:val="20"/>
          <w:lang w:val="en-US"/>
        </w:rPr>
        <w:t>,</w:t>
      </w:r>
      <w:r w:rsidRPr="003B2BE1">
        <w:rPr>
          <w:sz w:val="20"/>
          <w:szCs w:val="20"/>
          <w:lang w:val="en-US"/>
        </w:rPr>
        <w:t xml:space="preserve"> 36(4)</w:t>
      </w:r>
      <w:r w:rsidR="001318C3" w:rsidRPr="003B2BE1">
        <w:rPr>
          <w:sz w:val="20"/>
          <w:szCs w:val="20"/>
          <w:lang w:val="en-US"/>
        </w:rPr>
        <w:t>:</w:t>
      </w:r>
      <w:r w:rsidRPr="003B2BE1">
        <w:rPr>
          <w:sz w:val="20"/>
          <w:szCs w:val="20"/>
          <w:lang w:val="en-US"/>
        </w:rPr>
        <w:t xml:space="preserve"> 228-241. </w:t>
      </w:r>
      <w:hyperlink r:id="rId29" w:history="1">
        <w:r w:rsidR="00152BD7" w:rsidRPr="00E00DCB">
          <w:rPr>
            <w:rStyle w:val="Hyperlink"/>
          </w:rPr>
          <w:t>https://doi.org/10.1080/01652176.2016.1172132</w:t>
        </w:r>
      </w:hyperlink>
      <w:r w:rsidR="00152BD7">
        <w:rPr>
          <w:lang w:val="en-US"/>
        </w:rPr>
        <w:t xml:space="preserve"> </w:t>
      </w:r>
    </w:p>
    <w:p w14:paraId="3664A4F6" w14:textId="22C8C562" w:rsidR="007957BF" w:rsidRPr="00D70ECE" w:rsidRDefault="00DB7610" w:rsidP="00DB7610">
      <w:pPr>
        <w:ind w:left="1418" w:hanging="896"/>
        <w:jc w:val="both"/>
        <w:rPr>
          <w:sz w:val="20"/>
          <w:szCs w:val="20"/>
          <w:lang w:val="en-US"/>
        </w:rPr>
      </w:pPr>
      <w:r w:rsidRPr="00D70ECE">
        <w:rPr>
          <w:sz w:val="20"/>
          <w:szCs w:val="20"/>
          <w:lang w:val="en-US"/>
        </w:rPr>
        <w:t xml:space="preserve">Xiao, Z., Storms, R., Tsang, A. (2006). A quantitative starch–iodine method for measuring alpha-amylase and glucoamylase activities. </w:t>
      </w:r>
      <w:r w:rsidRPr="00D70ECE">
        <w:rPr>
          <w:i/>
          <w:iCs/>
          <w:sz w:val="20"/>
          <w:szCs w:val="20"/>
          <w:lang w:val="en-US"/>
        </w:rPr>
        <w:t>Analytical Biochemistry</w:t>
      </w:r>
      <w:r w:rsidRPr="00D70ECE">
        <w:rPr>
          <w:sz w:val="20"/>
          <w:szCs w:val="20"/>
          <w:lang w:val="en-US"/>
        </w:rPr>
        <w:t>, 351</w:t>
      </w:r>
      <w:r w:rsidR="000E2955" w:rsidRPr="00D70ECE">
        <w:rPr>
          <w:sz w:val="20"/>
          <w:szCs w:val="20"/>
          <w:lang w:val="en-US"/>
        </w:rPr>
        <w:t>(1)</w:t>
      </w:r>
      <w:r w:rsidRPr="00D70ECE">
        <w:rPr>
          <w:sz w:val="20"/>
          <w:szCs w:val="20"/>
          <w:lang w:val="en-US"/>
        </w:rPr>
        <w:t>, 146</w:t>
      </w:r>
      <w:r w:rsidR="000E2955" w:rsidRPr="00D70ECE">
        <w:rPr>
          <w:sz w:val="20"/>
          <w:szCs w:val="20"/>
          <w:lang w:val="en-US"/>
        </w:rPr>
        <w:t xml:space="preserve">- </w:t>
      </w:r>
      <w:r w:rsidRPr="00D70ECE">
        <w:rPr>
          <w:sz w:val="20"/>
          <w:szCs w:val="20"/>
          <w:lang w:val="en-US"/>
        </w:rPr>
        <w:t>148.</w:t>
      </w:r>
      <w:r w:rsidR="00364145" w:rsidRPr="00364145">
        <w:t xml:space="preserve"> </w:t>
      </w:r>
      <w:hyperlink r:id="rId30" w:history="1">
        <w:r w:rsidR="00364145" w:rsidRPr="00E00DCB">
          <w:rPr>
            <w:rStyle w:val="Hyperlink"/>
            <w:sz w:val="20"/>
            <w:szCs w:val="20"/>
            <w:lang w:val="en-US"/>
          </w:rPr>
          <w:t>https://doi.org/10.1016/j.ab.2006.01.036</w:t>
        </w:r>
      </w:hyperlink>
      <w:r w:rsidR="00364145">
        <w:rPr>
          <w:sz w:val="20"/>
          <w:szCs w:val="20"/>
          <w:lang w:val="en-US"/>
        </w:rPr>
        <w:t xml:space="preserve"> </w:t>
      </w:r>
    </w:p>
    <w:p w14:paraId="06D552E0" w14:textId="48A69CE0" w:rsidR="00DB7610" w:rsidRPr="008A4664" w:rsidRDefault="007957BF" w:rsidP="00DB7610">
      <w:pPr>
        <w:ind w:left="1418" w:hanging="896"/>
        <w:jc w:val="both"/>
        <w:rPr>
          <w:sz w:val="20"/>
          <w:szCs w:val="20"/>
          <w:lang w:val="en-US"/>
        </w:rPr>
      </w:pPr>
      <w:r w:rsidRPr="00D70ECE">
        <w:rPr>
          <w:sz w:val="20"/>
          <w:szCs w:val="20"/>
        </w:rPr>
        <w:t xml:space="preserve">Hashmi, S., Iqbal, S., Ahmed, I., </w:t>
      </w:r>
      <w:r w:rsidRPr="00D70ECE">
        <w:rPr>
          <w:sz w:val="20"/>
          <w:szCs w:val="20"/>
          <w:lang w:val="en-US"/>
        </w:rPr>
        <w:t>and</w:t>
      </w:r>
      <w:r w:rsidRPr="00D70ECE">
        <w:rPr>
          <w:sz w:val="20"/>
          <w:szCs w:val="20"/>
        </w:rPr>
        <w:t xml:space="preserve"> Janjua, H. A. (2022).</w:t>
      </w:r>
      <w:r w:rsidR="008731A5">
        <w:rPr>
          <w:sz w:val="20"/>
          <w:szCs w:val="20"/>
          <w:lang w:val="en-US"/>
        </w:rPr>
        <w:t xml:space="preserve"> </w:t>
      </w:r>
      <w:r w:rsidRPr="00D70ECE">
        <w:rPr>
          <w:sz w:val="20"/>
          <w:szCs w:val="20"/>
        </w:rPr>
        <w:t xml:space="preserve">Production, optimization, and partial purification of alkali-thermotolerant proteases from newly isolated </w:t>
      </w:r>
      <w:r w:rsidRPr="00D70ECE">
        <w:rPr>
          <w:i/>
          <w:iCs/>
          <w:sz w:val="20"/>
          <w:szCs w:val="20"/>
        </w:rPr>
        <w:t>Bacillus subtilis</w:t>
      </w:r>
      <w:r w:rsidRPr="00D70ECE">
        <w:rPr>
          <w:sz w:val="20"/>
          <w:szCs w:val="20"/>
        </w:rPr>
        <w:t xml:space="preserve"> S1</w:t>
      </w:r>
      <w:r w:rsidR="008731A5">
        <w:rPr>
          <w:sz w:val="20"/>
          <w:szCs w:val="20"/>
          <w:lang w:val="en-US"/>
        </w:rPr>
        <w:t xml:space="preserve"> </w:t>
      </w:r>
      <w:r w:rsidRPr="00D70ECE">
        <w:rPr>
          <w:sz w:val="20"/>
          <w:szCs w:val="20"/>
        </w:rPr>
        <w:t xml:space="preserve">and </w:t>
      </w:r>
      <w:r w:rsidRPr="00D70ECE">
        <w:rPr>
          <w:i/>
          <w:iCs/>
          <w:sz w:val="20"/>
          <w:szCs w:val="20"/>
        </w:rPr>
        <w:t>Bacillus amyloliquefaciens</w:t>
      </w:r>
      <w:r w:rsidRPr="00D70ECE">
        <w:rPr>
          <w:sz w:val="20"/>
          <w:szCs w:val="20"/>
        </w:rPr>
        <w:t xml:space="preserve"> KSM12</w:t>
      </w:r>
      <w:r w:rsidRPr="00D70ECE">
        <w:rPr>
          <w:i/>
          <w:iCs/>
          <w:sz w:val="20"/>
          <w:szCs w:val="20"/>
        </w:rPr>
        <w:t>.</w:t>
      </w:r>
      <w:r w:rsidR="008731A5">
        <w:rPr>
          <w:sz w:val="20"/>
          <w:szCs w:val="20"/>
          <w:lang w:val="en-US"/>
        </w:rPr>
        <w:t xml:space="preserve"> </w:t>
      </w:r>
      <w:r w:rsidRPr="00D70ECE">
        <w:rPr>
          <w:i/>
          <w:iCs/>
          <w:sz w:val="20"/>
          <w:szCs w:val="20"/>
        </w:rPr>
        <w:t>Processes</w:t>
      </w:r>
      <w:r w:rsidRPr="00D70ECE">
        <w:rPr>
          <w:sz w:val="20"/>
          <w:szCs w:val="20"/>
        </w:rPr>
        <w:t>, 10(6), 1050.</w:t>
      </w:r>
      <w:r w:rsidR="008731A5">
        <w:rPr>
          <w:sz w:val="20"/>
          <w:szCs w:val="20"/>
          <w:lang w:val="en-US"/>
        </w:rPr>
        <w:t xml:space="preserve"> </w:t>
      </w:r>
      <w:hyperlink r:id="rId31" w:history="1">
        <w:r w:rsidR="008A4664" w:rsidRPr="00E00DCB">
          <w:rPr>
            <w:rStyle w:val="Hyperlink"/>
          </w:rPr>
          <w:t>https://doi.org/10.3390/pr10061050</w:t>
        </w:r>
      </w:hyperlink>
      <w:r w:rsidR="008A4664">
        <w:rPr>
          <w:lang w:val="en-US"/>
        </w:rPr>
        <w:t xml:space="preserve"> </w:t>
      </w:r>
    </w:p>
    <w:p w14:paraId="330C3F6E" w14:textId="24C9CE8B" w:rsidR="00E9329A" w:rsidRPr="00D70ECE" w:rsidRDefault="00E9329A" w:rsidP="00CA3B20">
      <w:pPr>
        <w:ind w:left="1418" w:hanging="896"/>
        <w:jc w:val="both"/>
        <w:rPr>
          <w:sz w:val="20"/>
          <w:szCs w:val="20"/>
          <w:lang w:val="en-US"/>
        </w:rPr>
      </w:pPr>
      <w:r w:rsidRPr="00D70ECE">
        <w:rPr>
          <w:sz w:val="20"/>
          <w:szCs w:val="20"/>
          <w:lang w:val="en-US"/>
        </w:rPr>
        <w:t xml:space="preserve"> </w:t>
      </w:r>
      <w:hyperlink r:id="rId32" w:history="1"/>
      <w:r w:rsidRPr="00D70ECE">
        <w:rPr>
          <w:sz w:val="20"/>
          <w:szCs w:val="20"/>
          <w:lang w:val="en-US"/>
        </w:rPr>
        <w:t xml:space="preserve"> </w:t>
      </w:r>
    </w:p>
    <w:p w14:paraId="5CDDE1F9" w14:textId="77777777" w:rsidR="00EA3220" w:rsidRPr="00CA3B20" w:rsidRDefault="00EA3220" w:rsidP="00CA3B20">
      <w:pPr>
        <w:ind w:left="1418" w:hanging="896"/>
        <w:jc w:val="both"/>
        <w:rPr>
          <w:sz w:val="20"/>
          <w:szCs w:val="20"/>
          <w:lang w:val="en-US"/>
        </w:rPr>
      </w:pPr>
    </w:p>
    <w:sectPr w:rsidR="00EA3220" w:rsidRPr="00CA3B20" w:rsidSect="00AE5D27">
      <w:headerReference w:type="even" r:id="rId33"/>
      <w:headerReference w:type="default" r:id="rId34"/>
      <w:footerReference w:type="even" r:id="rId35"/>
      <w:footerReference w:type="default" r:id="rId36"/>
      <w:headerReference w:type="first" r:id="rId37"/>
      <w:footerReference w:type="first" r:id="rId38"/>
      <w:pgSz w:w="10780" w:h="15030"/>
      <w:pgMar w:top="567" w:right="992" w:bottom="1077" w:left="992" w:header="975" w:footer="89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B2E84" w14:textId="77777777" w:rsidR="0047446C" w:rsidRDefault="0047446C">
      <w:r>
        <w:separator/>
      </w:r>
    </w:p>
  </w:endnote>
  <w:endnote w:type="continuationSeparator" w:id="0">
    <w:p w14:paraId="565F6B8F" w14:textId="77777777" w:rsidR="0047446C" w:rsidRDefault="00474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AF581" w14:textId="0A8B6FEF" w:rsidR="00815C70" w:rsidRDefault="00215B41">
    <w:pPr>
      <w:pStyle w:val="BodyText"/>
      <w:spacing w:before="0" w:line="14" w:lineRule="auto"/>
      <w:jc w:val="left"/>
    </w:pPr>
    <w:r>
      <w:rPr>
        <w:noProof/>
      </w:rPr>
      <mc:AlternateContent>
        <mc:Choice Requires="wps">
          <w:drawing>
            <wp:anchor distT="0" distB="0" distL="0" distR="0" simplePos="0" relativeHeight="251660288" behindDoc="1" locked="0" layoutInCell="1" allowOverlap="1" wp14:anchorId="5B5EB42B" wp14:editId="0355B849">
              <wp:simplePos x="0" y="0"/>
              <wp:positionH relativeFrom="page">
                <wp:posOffset>3347720</wp:posOffset>
              </wp:positionH>
              <wp:positionV relativeFrom="page">
                <wp:posOffset>8833485</wp:posOffset>
              </wp:positionV>
              <wp:extent cx="158750" cy="180340"/>
              <wp:effectExtent l="0" t="0" r="0" b="0"/>
              <wp:wrapNone/>
              <wp:docPr id="9286050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0340"/>
                      </a:xfrm>
                      <a:prstGeom prst="rect">
                        <a:avLst/>
                      </a:prstGeom>
                    </wps:spPr>
                    <wps:txbx>
                      <w:txbxContent>
                        <w:p w14:paraId="740485C8" w14:textId="77777777" w:rsidR="00815C70" w:rsidRDefault="00D9095A">
                          <w:pPr>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noProof/>
                              <w:spacing w:val="-10"/>
                            </w:rPr>
                            <w:t>4</w:t>
                          </w:r>
                          <w:r>
                            <w:rPr>
                              <w:rFonts w:ascii="Times New Roman"/>
                              <w:spacing w:val="-1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5B5EB42B" id="_x0000_t202" coordsize="21600,21600" o:spt="202" path="m,l,21600r21600,l21600,xe">
              <v:stroke joinstyle="miter"/>
              <v:path gradientshapeok="t" o:connecttype="rect"/>
            </v:shapetype>
            <v:shape id="Text Box 2" o:spid="_x0000_s1026" type="#_x0000_t202" style="position:absolute;margin-left:263.6pt;margin-top:695.55pt;width:12.5pt;height:14.2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" filled="f" stroked="f">
              <v:textbox inset="0,0,0,0">
                <w:txbxContent>
                  <w:p w14:paraId="740485C8" w14:textId="77777777" w:rsidR="00815C70" w:rsidRDefault="00D9095A">
                    <w:pPr>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noProof/>
                        <w:spacing w:val="-10"/>
                      </w:rPr>
                      <w:t>4</w:t>
                    </w:r>
                    <w:r>
                      <w:rPr>
                        <w:rFonts w:ascii="Times New Roman"/>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Helvetica" w:hAnsi="Helvetica" w:cs="Helvetica"/>
        <w:sz w:val="20"/>
        <w:szCs w:val="20"/>
      </w:rPr>
      <w:id w:val="-1941450461"/>
      <w:docPartObj>
        <w:docPartGallery w:val="Page Numbers (Bottom of Page)"/>
        <w:docPartUnique/>
      </w:docPartObj>
    </w:sdtPr>
    <w:sdtEndPr>
      <w:rPr>
        <w:noProof/>
        <w:sz w:val="22"/>
        <w:szCs w:val="22"/>
      </w:rPr>
    </w:sdtEndPr>
    <w:sdtContent>
      <w:p w14:paraId="62AA2AF3" w14:textId="32199DD6" w:rsidR="00AE5D27" w:rsidRDefault="00AE5D27" w:rsidP="00AE5D27">
        <w:pPr>
          <w:pStyle w:val="Footer"/>
          <w:jc w:val="right"/>
        </w:pPr>
      </w:p>
      <w:p w14:paraId="23A6AFBC" w14:textId="5DEF2D6D" w:rsidR="00C460EE" w:rsidRPr="005E4D3D" w:rsidRDefault="0047446C">
        <w:pPr>
          <w:pStyle w:val="Footer"/>
          <w:jc w:val="right"/>
          <w:rPr>
            <w:rFonts w:ascii="Helvetica" w:hAnsi="Helvetica" w:cs="Helvetica"/>
          </w:rPr>
        </w:pPr>
      </w:p>
    </w:sdtContent>
  </w:sdt>
  <w:p w14:paraId="6367215E" w14:textId="7E5F28A1" w:rsidR="00815C70" w:rsidRDefault="00815C70">
    <w:pPr>
      <w:pStyle w:val="BodyText"/>
      <w:spacing w:before="0" w:line="14" w:lineRule="auto"/>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007C3" w14:textId="77777777" w:rsidR="003A50D5" w:rsidRDefault="003A5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6B20E" w14:textId="77777777" w:rsidR="0047446C" w:rsidRDefault="0047446C">
      <w:r>
        <w:separator/>
      </w:r>
    </w:p>
  </w:footnote>
  <w:footnote w:type="continuationSeparator" w:id="0">
    <w:p w14:paraId="31CF59D3" w14:textId="77777777" w:rsidR="0047446C" w:rsidRDefault="00474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6D077" w14:textId="2B8F19CE" w:rsidR="003A50D5" w:rsidRDefault="003A50D5">
    <w:pPr>
      <w:pStyle w:val="Header"/>
    </w:pPr>
    <w:r>
      <w:rPr>
        <w:noProof/>
      </w:rPr>
      <w:pict w14:anchorId="73194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295594" o:spid="_x0000_s2050" type="#_x0000_t136" style="position:absolute;margin-left:0;margin-top:0;width:557.15pt;height:62.85pt;rotation:315;z-index:-25165209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C3B96" w14:textId="3A2DE6F6" w:rsidR="003A50D5" w:rsidRDefault="003A50D5">
    <w:pPr>
      <w:pStyle w:val="Header"/>
    </w:pPr>
    <w:r>
      <w:rPr>
        <w:noProof/>
      </w:rPr>
      <w:pict w14:anchorId="6520E6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295595" o:spid="_x0000_s2051" type="#_x0000_t136" style="position:absolute;margin-left:0;margin-top:0;width:557.15pt;height:62.85pt;rotation:315;z-index:-25165004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A84B4" w14:textId="257F3C39" w:rsidR="003A50D5" w:rsidRDefault="003A50D5">
    <w:pPr>
      <w:pStyle w:val="Header"/>
    </w:pPr>
    <w:r>
      <w:rPr>
        <w:noProof/>
      </w:rPr>
      <w:pict w14:anchorId="254D6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295593" o:spid="_x0000_s2049" type="#_x0000_t136" style="position:absolute;margin-left:0;margin-top:0;width:557.15pt;height:62.85pt;rotation:315;z-index:-251654144;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57E3D"/>
    <w:multiLevelType w:val="hybridMultilevel"/>
    <w:tmpl w:val="585899EE"/>
    <w:lvl w:ilvl="0" w:tplc="0409000F">
      <w:start w:val="1"/>
      <w:numFmt w:val="decimal"/>
      <w:lvlText w:val="%1."/>
      <w:lvlJc w:val="left"/>
      <w:pPr>
        <w:ind w:left="1886" w:hanging="360"/>
      </w:pPr>
    </w:lvl>
    <w:lvl w:ilvl="1" w:tplc="04090019" w:tentative="1">
      <w:start w:val="1"/>
      <w:numFmt w:val="lowerLetter"/>
      <w:lvlText w:val="%2."/>
      <w:lvlJc w:val="left"/>
      <w:pPr>
        <w:ind w:left="2606" w:hanging="360"/>
      </w:pPr>
    </w:lvl>
    <w:lvl w:ilvl="2" w:tplc="0409001B" w:tentative="1">
      <w:start w:val="1"/>
      <w:numFmt w:val="lowerRoman"/>
      <w:lvlText w:val="%3."/>
      <w:lvlJc w:val="right"/>
      <w:pPr>
        <w:ind w:left="3326" w:hanging="180"/>
      </w:pPr>
    </w:lvl>
    <w:lvl w:ilvl="3" w:tplc="0409000F" w:tentative="1">
      <w:start w:val="1"/>
      <w:numFmt w:val="decimal"/>
      <w:lvlText w:val="%4."/>
      <w:lvlJc w:val="left"/>
      <w:pPr>
        <w:ind w:left="4046" w:hanging="360"/>
      </w:pPr>
    </w:lvl>
    <w:lvl w:ilvl="4" w:tplc="04090019" w:tentative="1">
      <w:start w:val="1"/>
      <w:numFmt w:val="lowerLetter"/>
      <w:lvlText w:val="%5."/>
      <w:lvlJc w:val="left"/>
      <w:pPr>
        <w:ind w:left="4766" w:hanging="360"/>
      </w:pPr>
    </w:lvl>
    <w:lvl w:ilvl="5" w:tplc="0409001B" w:tentative="1">
      <w:start w:val="1"/>
      <w:numFmt w:val="lowerRoman"/>
      <w:lvlText w:val="%6."/>
      <w:lvlJc w:val="right"/>
      <w:pPr>
        <w:ind w:left="5486" w:hanging="180"/>
      </w:pPr>
    </w:lvl>
    <w:lvl w:ilvl="6" w:tplc="0409000F" w:tentative="1">
      <w:start w:val="1"/>
      <w:numFmt w:val="decimal"/>
      <w:lvlText w:val="%7."/>
      <w:lvlJc w:val="left"/>
      <w:pPr>
        <w:ind w:left="6206" w:hanging="360"/>
      </w:pPr>
    </w:lvl>
    <w:lvl w:ilvl="7" w:tplc="04090019" w:tentative="1">
      <w:start w:val="1"/>
      <w:numFmt w:val="lowerLetter"/>
      <w:lvlText w:val="%8."/>
      <w:lvlJc w:val="left"/>
      <w:pPr>
        <w:ind w:left="6926" w:hanging="360"/>
      </w:pPr>
    </w:lvl>
    <w:lvl w:ilvl="8" w:tplc="0409001B" w:tentative="1">
      <w:start w:val="1"/>
      <w:numFmt w:val="lowerRoman"/>
      <w:lvlText w:val="%9."/>
      <w:lvlJc w:val="right"/>
      <w:pPr>
        <w:ind w:left="7646" w:hanging="180"/>
      </w:pPr>
    </w:lvl>
  </w:abstractNum>
  <w:abstractNum w:abstractNumId="1" w15:restartNumberingAfterBreak="0">
    <w:nsid w:val="3DC44D64"/>
    <w:multiLevelType w:val="hybridMultilevel"/>
    <w:tmpl w:val="723A972A"/>
    <w:lvl w:ilvl="0" w:tplc="BA9A5C9A">
      <w:start w:val="1"/>
      <w:numFmt w:val="decimal"/>
      <w:lvlText w:val="%1."/>
      <w:lvlJc w:val="left"/>
      <w:pPr>
        <w:ind w:left="1526" w:hanging="360"/>
      </w:pPr>
      <w:rPr>
        <w:color w:val="auto"/>
      </w:r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2" w15:restartNumberingAfterBreak="0">
    <w:nsid w:val="3F5612CA"/>
    <w:multiLevelType w:val="multilevel"/>
    <w:tmpl w:val="AFCA69C8"/>
    <w:lvl w:ilvl="0">
      <w:start w:val="1"/>
      <w:numFmt w:val="decimal"/>
      <w:lvlText w:val="%1."/>
      <w:lvlJc w:val="left"/>
      <w:pPr>
        <w:ind w:left="1429" w:hanging="360"/>
      </w:pPr>
      <w:rPr>
        <w:rFonts w:hint="default"/>
      </w:rPr>
    </w:lvl>
    <w:lvl w:ilvl="1">
      <w:start w:val="3"/>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3" w15:restartNumberingAfterBreak="0">
    <w:nsid w:val="4BC51429"/>
    <w:multiLevelType w:val="multilevel"/>
    <w:tmpl w:val="59A471BE"/>
    <w:lvl w:ilvl="0">
      <w:start w:val="1"/>
      <w:numFmt w:val="decimal"/>
      <w:lvlText w:val="%1."/>
      <w:lvlJc w:val="left"/>
      <w:pPr>
        <w:ind w:left="1526" w:hanging="360"/>
      </w:pPr>
    </w:lvl>
    <w:lvl w:ilvl="1">
      <w:start w:val="1"/>
      <w:numFmt w:val="decimal"/>
      <w:lvlText w:val="2. %2. "/>
      <w:lvlJc w:val="left"/>
      <w:pPr>
        <w:ind w:left="1526" w:hanging="360"/>
      </w:pPr>
      <w:rPr>
        <w:rFonts w:hint="default"/>
      </w:rPr>
    </w:lvl>
    <w:lvl w:ilvl="2">
      <w:start w:val="1"/>
      <w:numFmt w:val="decimal"/>
      <w:isLgl/>
      <w:lvlText w:val="%1.%2.%3."/>
      <w:lvlJc w:val="left"/>
      <w:pPr>
        <w:ind w:left="1886" w:hanging="720"/>
      </w:pPr>
      <w:rPr>
        <w:rFonts w:hint="default"/>
      </w:rPr>
    </w:lvl>
    <w:lvl w:ilvl="3">
      <w:start w:val="1"/>
      <w:numFmt w:val="decimal"/>
      <w:isLgl/>
      <w:lvlText w:val="%1.%2.%3.%4."/>
      <w:lvlJc w:val="left"/>
      <w:pPr>
        <w:ind w:left="1886" w:hanging="720"/>
      </w:pPr>
      <w:rPr>
        <w:rFonts w:hint="default"/>
      </w:rPr>
    </w:lvl>
    <w:lvl w:ilvl="4">
      <w:start w:val="1"/>
      <w:numFmt w:val="decimal"/>
      <w:isLgl/>
      <w:lvlText w:val="%1.%2.%3.%4.%5."/>
      <w:lvlJc w:val="left"/>
      <w:pPr>
        <w:ind w:left="2246" w:hanging="1080"/>
      </w:pPr>
      <w:rPr>
        <w:rFonts w:hint="default"/>
      </w:rPr>
    </w:lvl>
    <w:lvl w:ilvl="5">
      <w:start w:val="1"/>
      <w:numFmt w:val="decimal"/>
      <w:isLgl/>
      <w:lvlText w:val="%1.%2.%3.%4.%5.%6."/>
      <w:lvlJc w:val="left"/>
      <w:pPr>
        <w:ind w:left="2246" w:hanging="1080"/>
      </w:pPr>
      <w:rPr>
        <w:rFonts w:hint="default"/>
      </w:rPr>
    </w:lvl>
    <w:lvl w:ilvl="6">
      <w:start w:val="1"/>
      <w:numFmt w:val="decimal"/>
      <w:isLgl/>
      <w:lvlText w:val="%1.%2.%3.%4.%5.%6.%7."/>
      <w:lvlJc w:val="left"/>
      <w:pPr>
        <w:ind w:left="2606" w:hanging="1440"/>
      </w:pPr>
      <w:rPr>
        <w:rFonts w:hint="default"/>
      </w:rPr>
    </w:lvl>
    <w:lvl w:ilvl="7">
      <w:start w:val="1"/>
      <w:numFmt w:val="decimal"/>
      <w:isLgl/>
      <w:lvlText w:val="%1.%2.%3.%4.%5.%6.%7.%8."/>
      <w:lvlJc w:val="left"/>
      <w:pPr>
        <w:ind w:left="2606" w:hanging="1440"/>
      </w:pPr>
      <w:rPr>
        <w:rFonts w:hint="default"/>
      </w:rPr>
    </w:lvl>
    <w:lvl w:ilvl="8">
      <w:start w:val="1"/>
      <w:numFmt w:val="decimal"/>
      <w:isLgl/>
      <w:lvlText w:val="%1.%2.%3.%4.%5.%6.%7.%8.%9."/>
      <w:lvlJc w:val="left"/>
      <w:pPr>
        <w:ind w:left="2966" w:hanging="1800"/>
      </w:pPr>
      <w:rPr>
        <w:rFonts w:hint="default"/>
      </w:rPr>
    </w:lvl>
  </w:abstractNum>
  <w:abstractNum w:abstractNumId="4" w15:restartNumberingAfterBreak="0">
    <w:nsid w:val="51CC417E"/>
    <w:multiLevelType w:val="hybridMultilevel"/>
    <w:tmpl w:val="D3BA1DF0"/>
    <w:lvl w:ilvl="0" w:tplc="C668FD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2B95D29"/>
    <w:multiLevelType w:val="multilevel"/>
    <w:tmpl w:val="1604E58E"/>
    <w:lvl w:ilvl="0">
      <w:start w:val="1"/>
      <w:numFmt w:val="decimal"/>
      <w:lvlText w:val="%1."/>
      <w:lvlJc w:val="left"/>
      <w:pPr>
        <w:ind w:left="927" w:hanging="360"/>
      </w:pPr>
      <w:rPr>
        <w:rFonts w:hint="default"/>
        <w:sz w:val="22"/>
      </w:rPr>
    </w:lvl>
    <w:lvl w:ilvl="1">
      <w:start w:val="3"/>
      <w:numFmt w:val="decimal"/>
      <w:isLgl/>
      <w:lvlText w:val="%1.%2"/>
      <w:lvlJc w:val="left"/>
      <w:pPr>
        <w:ind w:left="937" w:hanging="3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5BE35C1C"/>
    <w:multiLevelType w:val="hybridMultilevel"/>
    <w:tmpl w:val="202C7B80"/>
    <w:lvl w:ilvl="0" w:tplc="EA485898">
      <w:start w:val="1"/>
      <w:numFmt w:val="decimal"/>
      <w:lvlText w:val="%1."/>
      <w:lvlJc w:val="left"/>
      <w:pPr>
        <w:ind w:left="1166" w:hanging="360"/>
      </w:pPr>
      <w:rPr>
        <w:rFonts w:hint="default"/>
        <w:sz w:val="22"/>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7" w15:restartNumberingAfterBreak="0">
    <w:nsid w:val="76433EC3"/>
    <w:multiLevelType w:val="hybridMultilevel"/>
    <w:tmpl w:val="EBBC1D9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6"/>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30"/>
  <w:drawingGridVerticalSpacing w:val="381"/>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B41"/>
    <w:rsid w:val="00003E88"/>
    <w:rsid w:val="00017B61"/>
    <w:rsid w:val="0002030C"/>
    <w:rsid w:val="00024A92"/>
    <w:rsid w:val="000534CB"/>
    <w:rsid w:val="00056FD3"/>
    <w:rsid w:val="00071F24"/>
    <w:rsid w:val="00071F37"/>
    <w:rsid w:val="000736E0"/>
    <w:rsid w:val="000752DA"/>
    <w:rsid w:val="00076794"/>
    <w:rsid w:val="00094B98"/>
    <w:rsid w:val="000A149F"/>
    <w:rsid w:val="000A161C"/>
    <w:rsid w:val="000A2C1C"/>
    <w:rsid w:val="000A742F"/>
    <w:rsid w:val="000B0266"/>
    <w:rsid w:val="000B568B"/>
    <w:rsid w:val="000C1168"/>
    <w:rsid w:val="000C267A"/>
    <w:rsid w:val="000C4A54"/>
    <w:rsid w:val="000C52DF"/>
    <w:rsid w:val="000C797C"/>
    <w:rsid w:val="000E2955"/>
    <w:rsid w:val="000F0407"/>
    <w:rsid w:val="000F06D0"/>
    <w:rsid w:val="000F154D"/>
    <w:rsid w:val="000F705C"/>
    <w:rsid w:val="00112317"/>
    <w:rsid w:val="00112D69"/>
    <w:rsid w:val="00122C54"/>
    <w:rsid w:val="0012521D"/>
    <w:rsid w:val="001273C9"/>
    <w:rsid w:val="001318C3"/>
    <w:rsid w:val="00131906"/>
    <w:rsid w:val="00136705"/>
    <w:rsid w:val="00145747"/>
    <w:rsid w:val="00147899"/>
    <w:rsid w:val="00152BD7"/>
    <w:rsid w:val="001617CE"/>
    <w:rsid w:val="00166D0C"/>
    <w:rsid w:val="001757C6"/>
    <w:rsid w:val="001761E6"/>
    <w:rsid w:val="00185901"/>
    <w:rsid w:val="00185B09"/>
    <w:rsid w:val="00192293"/>
    <w:rsid w:val="0019491C"/>
    <w:rsid w:val="001964F4"/>
    <w:rsid w:val="001B47F2"/>
    <w:rsid w:val="001C03E8"/>
    <w:rsid w:val="001C0D60"/>
    <w:rsid w:val="001D268A"/>
    <w:rsid w:val="001D6164"/>
    <w:rsid w:val="001E2D2E"/>
    <w:rsid w:val="001F226A"/>
    <w:rsid w:val="002045C2"/>
    <w:rsid w:val="002049D9"/>
    <w:rsid w:val="00212E51"/>
    <w:rsid w:val="00215B41"/>
    <w:rsid w:val="0022053D"/>
    <w:rsid w:val="00221BE2"/>
    <w:rsid w:val="00235018"/>
    <w:rsid w:val="002360F8"/>
    <w:rsid w:val="002464DE"/>
    <w:rsid w:val="00247AE0"/>
    <w:rsid w:val="0026018D"/>
    <w:rsid w:val="00266812"/>
    <w:rsid w:val="002745C2"/>
    <w:rsid w:val="0028367C"/>
    <w:rsid w:val="00286FAB"/>
    <w:rsid w:val="00290ED7"/>
    <w:rsid w:val="002A1E83"/>
    <w:rsid w:val="002A2FA5"/>
    <w:rsid w:val="002A5C10"/>
    <w:rsid w:val="002C1DD6"/>
    <w:rsid w:val="002D14B0"/>
    <w:rsid w:val="002D77AA"/>
    <w:rsid w:val="002E2FF5"/>
    <w:rsid w:val="002F72F7"/>
    <w:rsid w:val="0030120A"/>
    <w:rsid w:val="003052C9"/>
    <w:rsid w:val="00311157"/>
    <w:rsid w:val="00311A89"/>
    <w:rsid w:val="00321DC9"/>
    <w:rsid w:val="00330E26"/>
    <w:rsid w:val="003334A4"/>
    <w:rsid w:val="00353CBD"/>
    <w:rsid w:val="00360ABF"/>
    <w:rsid w:val="0036139B"/>
    <w:rsid w:val="003634CA"/>
    <w:rsid w:val="00364145"/>
    <w:rsid w:val="0037560C"/>
    <w:rsid w:val="00375651"/>
    <w:rsid w:val="00376709"/>
    <w:rsid w:val="0039397F"/>
    <w:rsid w:val="00394D49"/>
    <w:rsid w:val="0039540E"/>
    <w:rsid w:val="003A2479"/>
    <w:rsid w:val="003A50D5"/>
    <w:rsid w:val="003B2BE1"/>
    <w:rsid w:val="003B391C"/>
    <w:rsid w:val="003B5970"/>
    <w:rsid w:val="003B6A71"/>
    <w:rsid w:val="003D3415"/>
    <w:rsid w:val="003D3B08"/>
    <w:rsid w:val="003E036C"/>
    <w:rsid w:val="003E27F4"/>
    <w:rsid w:val="003F3179"/>
    <w:rsid w:val="003F7BBA"/>
    <w:rsid w:val="00400D5A"/>
    <w:rsid w:val="00404EDD"/>
    <w:rsid w:val="00411D1A"/>
    <w:rsid w:val="00412819"/>
    <w:rsid w:val="00413C90"/>
    <w:rsid w:val="004152C5"/>
    <w:rsid w:val="00416D2F"/>
    <w:rsid w:val="00422EC9"/>
    <w:rsid w:val="00444164"/>
    <w:rsid w:val="00456241"/>
    <w:rsid w:val="004568E5"/>
    <w:rsid w:val="004663A7"/>
    <w:rsid w:val="004725E3"/>
    <w:rsid w:val="0047446C"/>
    <w:rsid w:val="00475327"/>
    <w:rsid w:val="00476F86"/>
    <w:rsid w:val="00483D91"/>
    <w:rsid w:val="00492403"/>
    <w:rsid w:val="0049359E"/>
    <w:rsid w:val="00495AA4"/>
    <w:rsid w:val="004969F9"/>
    <w:rsid w:val="004A0555"/>
    <w:rsid w:val="004B07C8"/>
    <w:rsid w:val="004B1D9C"/>
    <w:rsid w:val="004B53DE"/>
    <w:rsid w:val="004C04AB"/>
    <w:rsid w:val="004C60F5"/>
    <w:rsid w:val="004C75D5"/>
    <w:rsid w:val="004D4082"/>
    <w:rsid w:val="004D5138"/>
    <w:rsid w:val="004E4DBC"/>
    <w:rsid w:val="004E538C"/>
    <w:rsid w:val="0050261C"/>
    <w:rsid w:val="00505F35"/>
    <w:rsid w:val="00513B10"/>
    <w:rsid w:val="00523309"/>
    <w:rsid w:val="00530652"/>
    <w:rsid w:val="00544EFA"/>
    <w:rsid w:val="00546AB4"/>
    <w:rsid w:val="00565F0C"/>
    <w:rsid w:val="005714B3"/>
    <w:rsid w:val="00575E8C"/>
    <w:rsid w:val="005818D5"/>
    <w:rsid w:val="005833BF"/>
    <w:rsid w:val="00587D2F"/>
    <w:rsid w:val="00592F47"/>
    <w:rsid w:val="005A314D"/>
    <w:rsid w:val="005B1E69"/>
    <w:rsid w:val="005B324F"/>
    <w:rsid w:val="005B3ED4"/>
    <w:rsid w:val="005B4D85"/>
    <w:rsid w:val="005C0B91"/>
    <w:rsid w:val="005C1C50"/>
    <w:rsid w:val="005C2ADB"/>
    <w:rsid w:val="005D32B6"/>
    <w:rsid w:val="005E4D3D"/>
    <w:rsid w:val="005E5325"/>
    <w:rsid w:val="005E58B8"/>
    <w:rsid w:val="005F43FE"/>
    <w:rsid w:val="005F5F86"/>
    <w:rsid w:val="0060323F"/>
    <w:rsid w:val="00661ABC"/>
    <w:rsid w:val="00670777"/>
    <w:rsid w:val="00671D35"/>
    <w:rsid w:val="0068126B"/>
    <w:rsid w:val="00681C91"/>
    <w:rsid w:val="00687229"/>
    <w:rsid w:val="00690EBB"/>
    <w:rsid w:val="006926DD"/>
    <w:rsid w:val="00693796"/>
    <w:rsid w:val="00694EC3"/>
    <w:rsid w:val="006A2BE8"/>
    <w:rsid w:val="006A6BEF"/>
    <w:rsid w:val="006A7292"/>
    <w:rsid w:val="006C101D"/>
    <w:rsid w:val="006C11D2"/>
    <w:rsid w:val="006C3408"/>
    <w:rsid w:val="006C3A6A"/>
    <w:rsid w:val="006D01FB"/>
    <w:rsid w:val="006D4AC3"/>
    <w:rsid w:val="006E074F"/>
    <w:rsid w:val="006F5CC6"/>
    <w:rsid w:val="006F7206"/>
    <w:rsid w:val="0071515A"/>
    <w:rsid w:val="00715971"/>
    <w:rsid w:val="007300D4"/>
    <w:rsid w:val="00734BA4"/>
    <w:rsid w:val="007445DC"/>
    <w:rsid w:val="00747D79"/>
    <w:rsid w:val="00757009"/>
    <w:rsid w:val="0076225B"/>
    <w:rsid w:val="00771C5D"/>
    <w:rsid w:val="00777713"/>
    <w:rsid w:val="00783AE4"/>
    <w:rsid w:val="00794BA7"/>
    <w:rsid w:val="007957BF"/>
    <w:rsid w:val="007A174A"/>
    <w:rsid w:val="007B03B6"/>
    <w:rsid w:val="007B6001"/>
    <w:rsid w:val="007C074C"/>
    <w:rsid w:val="007C0A67"/>
    <w:rsid w:val="007D02A4"/>
    <w:rsid w:val="007D2945"/>
    <w:rsid w:val="007D2E04"/>
    <w:rsid w:val="007E0596"/>
    <w:rsid w:val="007E2F05"/>
    <w:rsid w:val="007F5382"/>
    <w:rsid w:val="007F5842"/>
    <w:rsid w:val="0080442F"/>
    <w:rsid w:val="008105EC"/>
    <w:rsid w:val="00812791"/>
    <w:rsid w:val="00815C70"/>
    <w:rsid w:val="0082001B"/>
    <w:rsid w:val="008211B5"/>
    <w:rsid w:val="00823792"/>
    <w:rsid w:val="0082495B"/>
    <w:rsid w:val="00825BFC"/>
    <w:rsid w:val="008318CB"/>
    <w:rsid w:val="00846A38"/>
    <w:rsid w:val="00860C46"/>
    <w:rsid w:val="00860F3B"/>
    <w:rsid w:val="0086713A"/>
    <w:rsid w:val="008731A5"/>
    <w:rsid w:val="00882999"/>
    <w:rsid w:val="00896137"/>
    <w:rsid w:val="008A00FD"/>
    <w:rsid w:val="008A4664"/>
    <w:rsid w:val="008B346D"/>
    <w:rsid w:val="008B4956"/>
    <w:rsid w:val="008C562C"/>
    <w:rsid w:val="008D0837"/>
    <w:rsid w:val="008D64B1"/>
    <w:rsid w:val="008E6B60"/>
    <w:rsid w:val="008F210F"/>
    <w:rsid w:val="008F4BE4"/>
    <w:rsid w:val="008F7C49"/>
    <w:rsid w:val="009122DC"/>
    <w:rsid w:val="00915251"/>
    <w:rsid w:val="00916068"/>
    <w:rsid w:val="009178C8"/>
    <w:rsid w:val="00922453"/>
    <w:rsid w:val="00925EFB"/>
    <w:rsid w:val="009361F3"/>
    <w:rsid w:val="009511B9"/>
    <w:rsid w:val="00951FDE"/>
    <w:rsid w:val="009767BA"/>
    <w:rsid w:val="00987C2A"/>
    <w:rsid w:val="00993C38"/>
    <w:rsid w:val="009A13E6"/>
    <w:rsid w:val="009A1A30"/>
    <w:rsid w:val="009B4A7B"/>
    <w:rsid w:val="009B4D84"/>
    <w:rsid w:val="009B53D4"/>
    <w:rsid w:val="009C05B0"/>
    <w:rsid w:val="009C2FB6"/>
    <w:rsid w:val="009D1892"/>
    <w:rsid w:val="009D3DBB"/>
    <w:rsid w:val="009D514F"/>
    <w:rsid w:val="009D7812"/>
    <w:rsid w:val="009E117A"/>
    <w:rsid w:val="009E132F"/>
    <w:rsid w:val="009E2318"/>
    <w:rsid w:val="009F060E"/>
    <w:rsid w:val="009F2D7A"/>
    <w:rsid w:val="00A12F2B"/>
    <w:rsid w:val="00A22F34"/>
    <w:rsid w:val="00A253B0"/>
    <w:rsid w:val="00A3212F"/>
    <w:rsid w:val="00A3796B"/>
    <w:rsid w:val="00A42A56"/>
    <w:rsid w:val="00A65B42"/>
    <w:rsid w:val="00A7012C"/>
    <w:rsid w:val="00A737B9"/>
    <w:rsid w:val="00A743D8"/>
    <w:rsid w:val="00A75785"/>
    <w:rsid w:val="00A8120D"/>
    <w:rsid w:val="00A829D3"/>
    <w:rsid w:val="00A87A0C"/>
    <w:rsid w:val="00A97250"/>
    <w:rsid w:val="00AA1B45"/>
    <w:rsid w:val="00AA6FDC"/>
    <w:rsid w:val="00AA76E0"/>
    <w:rsid w:val="00AB0523"/>
    <w:rsid w:val="00AB7B9D"/>
    <w:rsid w:val="00AC66D6"/>
    <w:rsid w:val="00AD19A8"/>
    <w:rsid w:val="00AD50EB"/>
    <w:rsid w:val="00AE156E"/>
    <w:rsid w:val="00AE5D27"/>
    <w:rsid w:val="00B01B0B"/>
    <w:rsid w:val="00B0269A"/>
    <w:rsid w:val="00B029DB"/>
    <w:rsid w:val="00B02AD3"/>
    <w:rsid w:val="00B05F9B"/>
    <w:rsid w:val="00B06549"/>
    <w:rsid w:val="00B06B5A"/>
    <w:rsid w:val="00B113B8"/>
    <w:rsid w:val="00B169E7"/>
    <w:rsid w:val="00B16D7B"/>
    <w:rsid w:val="00B34DEA"/>
    <w:rsid w:val="00B35519"/>
    <w:rsid w:val="00B370F0"/>
    <w:rsid w:val="00B44882"/>
    <w:rsid w:val="00B50909"/>
    <w:rsid w:val="00B51DEF"/>
    <w:rsid w:val="00B535CD"/>
    <w:rsid w:val="00B608B1"/>
    <w:rsid w:val="00B61A29"/>
    <w:rsid w:val="00B628B8"/>
    <w:rsid w:val="00B6526F"/>
    <w:rsid w:val="00B711B1"/>
    <w:rsid w:val="00B75506"/>
    <w:rsid w:val="00B76B0F"/>
    <w:rsid w:val="00B76F26"/>
    <w:rsid w:val="00B821BD"/>
    <w:rsid w:val="00B82DCB"/>
    <w:rsid w:val="00B93A3C"/>
    <w:rsid w:val="00BA54D7"/>
    <w:rsid w:val="00BB2D47"/>
    <w:rsid w:val="00BC3643"/>
    <w:rsid w:val="00BC3928"/>
    <w:rsid w:val="00BC4438"/>
    <w:rsid w:val="00BD65D9"/>
    <w:rsid w:val="00BE0F82"/>
    <w:rsid w:val="00BF5C21"/>
    <w:rsid w:val="00C15416"/>
    <w:rsid w:val="00C1564A"/>
    <w:rsid w:val="00C15FC2"/>
    <w:rsid w:val="00C217EC"/>
    <w:rsid w:val="00C3004C"/>
    <w:rsid w:val="00C44A47"/>
    <w:rsid w:val="00C460EE"/>
    <w:rsid w:val="00C46953"/>
    <w:rsid w:val="00C53389"/>
    <w:rsid w:val="00C54958"/>
    <w:rsid w:val="00C64D2B"/>
    <w:rsid w:val="00C65B8A"/>
    <w:rsid w:val="00C65BBE"/>
    <w:rsid w:val="00C71083"/>
    <w:rsid w:val="00C723B5"/>
    <w:rsid w:val="00C7379B"/>
    <w:rsid w:val="00C75E39"/>
    <w:rsid w:val="00C80B18"/>
    <w:rsid w:val="00C90BDC"/>
    <w:rsid w:val="00C910D7"/>
    <w:rsid w:val="00C91F44"/>
    <w:rsid w:val="00C92D8C"/>
    <w:rsid w:val="00C93058"/>
    <w:rsid w:val="00C942FE"/>
    <w:rsid w:val="00C971F0"/>
    <w:rsid w:val="00CA3B20"/>
    <w:rsid w:val="00CA5D7A"/>
    <w:rsid w:val="00CB311B"/>
    <w:rsid w:val="00CB5970"/>
    <w:rsid w:val="00CC268A"/>
    <w:rsid w:val="00CC6849"/>
    <w:rsid w:val="00CD0CF7"/>
    <w:rsid w:val="00CE3596"/>
    <w:rsid w:val="00CE77B5"/>
    <w:rsid w:val="00CF0F7C"/>
    <w:rsid w:val="00D036A6"/>
    <w:rsid w:val="00D0376F"/>
    <w:rsid w:val="00D05371"/>
    <w:rsid w:val="00D20CD0"/>
    <w:rsid w:val="00D22C18"/>
    <w:rsid w:val="00D315DC"/>
    <w:rsid w:val="00D338C2"/>
    <w:rsid w:val="00D349E3"/>
    <w:rsid w:val="00D37226"/>
    <w:rsid w:val="00D43FDC"/>
    <w:rsid w:val="00D44FD4"/>
    <w:rsid w:val="00D539EA"/>
    <w:rsid w:val="00D6588F"/>
    <w:rsid w:val="00D662B3"/>
    <w:rsid w:val="00D70ECE"/>
    <w:rsid w:val="00D76251"/>
    <w:rsid w:val="00D778FF"/>
    <w:rsid w:val="00D81247"/>
    <w:rsid w:val="00D9095A"/>
    <w:rsid w:val="00D953EA"/>
    <w:rsid w:val="00DA2DA4"/>
    <w:rsid w:val="00DA3502"/>
    <w:rsid w:val="00DB7610"/>
    <w:rsid w:val="00DB769C"/>
    <w:rsid w:val="00DC7D13"/>
    <w:rsid w:val="00DD08A8"/>
    <w:rsid w:val="00DD2F6C"/>
    <w:rsid w:val="00DE47D8"/>
    <w:rsid w:val="00DF6B1D"/>
    <w:rsid w:val="00E06E41"/>
    <w:rsid w:val="00E231BE"/>
    <w:rsid w:val="00E237D9"/>
    <w:rsid w:val="00E2766C"/>
    <w:rsid w:val="00E47BDD"/>
    <w:rsid w:val="00E55D16"/>
    <w:rsid w:val="00E66B32"/>
    <w:rsid w:val="00E67611"/>
    <w:rsid w:val="00E705CE"/>
    <w:rsid w:val="00E72F54"/>
    <w:rsid w:val="00E7395D"/>
    <w:rsid w:val="00E82793"/>
    <w:rsid w:val="00E9329A"/>
    <w:rsid w:val="00EA3220"/>
    <w:rsid w:val="00EB1D33"/>
    <w:rsid w:val="00EB6A7D"/>
    <w:rsid w:val="00EC42E0"/>
    <w:rsid w:val="00EC70B8"/>
    <w:rsid w:val="00ED417A"/>
    <w:rsid w:val="00ED58A5"/>
    <w:rsid w:val="00EF015A"/>
    <w:rsid w:val="00EF04E1"/>
    <w:rsid w:val="00EF7F6D"/>
    <w:rsid w:val="00F11B62"/>
    <w:rsid w:val="00F2190F"/>
    <w:rsid w:val="00F311B0"/>
    <w:rsid w:val="00F3260E"/>
    <w:rsid w:val="00F35F98"/>
    <w:rsid w:val="00F3700A"/>
    <w:rsid w:val="00F37367"/>
    <w:rsid w:val="00F40A91"/>
    <w:rsid w:val="00F41493"/>
    <w:rsid w:val="00F44A75"/>
    <w:rsid w:val="00F526D4"/>
    <w:rsid w:val="00F5390E"/>
    <w:rsid w:val="00F53DC6"/>
    <w:rsid w:val="00F55458"/>
    <w:rsid w:val="00F566D5"/>
    <w:rsid w:val="00F73E14"/>
    <w:rsid w:val="00F7758C"/>
    <w:rsid w:val="00F778FE"/>
    <w:rsid w:val="00F87090"/>
    <w:rsid w:val="00F91E5F"/>
    <w:rsid w:val="00FA43AF"/>
    <w:rsid w:val="00FC1784"/>
    <w:rsid w:val="00FC193A"/>
    <w:rsid w:val="00FC54A7"/>
    <w:rsid w:val="00FC564F"/>
    <w:rsid w:val="00FD23D5"/>
    <w:rsid w:val="00FF1F12"/>
    <w:rsid w:val="00FF6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26A04B5"/>
  <w15:chartTrackingRefBased/>
  <w15:docId w15:val="{E92F3B16-0D6D-401E-954E-17FF7FBA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20" w:line="360" w:lineRule="auto"/>
        <w:ind w:firstLine="720"/>
        <w:jc w:val="both"/>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15B41"/>
    <w:pPr>
      <w:widowControl w:val="0"/>
      <w:autoSpaceDE w:val="0"/>
      <w:autoSpaceDN w:val="0"/>
      <w:spacing w:after="0" w:line="240" w:lineRule="auto"/>
      <w:ind w:firstLine="0"/>
      <w:jc w:val="left"/>
    </w:pPr>
    <w:rPr>
      <w:rFonts w:ascii="Arial" w:eastAsia="Arial" w:hAnsi="Arial" w:cs="Arial"/>
      <w:kern w:val="0"/>
      <w:sz w:val="22"/>
      <w:lang w:val="vi"/>
    </w:rPr>
  </w:style>
  <w:style w:type="paragraph" w:styleId="Heading1">
    <w:name w:val="heading 1"/>
    <w:basedOn w:val="Normal"/>
    <w:next w:val="Normal"/>
    <w:link w:val="Heading1Char"/>
    <w:uiPriority w:val="9"/>
    <w:qFormat/>
    <w:rsid w:val="00215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08B1"/>
    <w:pPr>
      <w:keepNext/>
      <w:keepLines/>
      <w:spacing w:before="160" w:after="80"/>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215B4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5B4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15B4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15B4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15B4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5B4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5B4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B41"/>
    <w:rPr>
      <w:rFonts w:asciiTheme="majorHAnsi" w:eastAsiaTheme="majorEastAsia" w:hAnsiTheme="majorHAnsi" w:cstheme="majorBidi"/>
      <w:color w:val="0F4761" w:themeColor="accent1" w:themeShade="BF"/>
      <w:sz w:val="40"/>
      <w:szCs w:val="40"/>
      <w:lang w:val="vi-VN"/>
    </w:rPr>
  </w:style>
  <w:style w:type="character" w:customStyle="1" w:styleId="Heading2Char">
    <w:name w:val="Heading 2 Char"/>
    <w:basedOn w:val="DefaultParagraphFont"/>
    <w:link w:val="Heading2"/>
    <w:uiPriority w:val="9"/>
    <w:rsid w:val="00B608B1"/>
    <w:rPr>
      <w:rFonts w:eastAsiaTheme="majorEastAsia" w:cstheme="majorBidi"/>
      <w:b/>
      <w:kern w:val="0"/>
      <w:sz w:val="24"/>
      <w:szCs w:val="32"/>
      <w:lang w:val="vi"/>
    </w:rPr>
  </w:style>
  <w:style w:type="character" w:customStyle="1" w:styleId="Heading3Char">
    <w:name w:val="Heading 3 Char"/>
    <w:basedOn w:val="DefaultParagraphFont"/>
    <w:link w:val="Heading3"/>
    <w:uiPriority w:val="9"/>
    <w:semiHidden/>
    <w:rsid w:val="00215B41"/>
    <w:rPr>
      <w:rFonts w:asciiTheme="minorHAnsi" w:eastAsiaTheme="majorEastAsia" w:hAnsiTheme="minorHAnsi" w:cstheme="majorBidi"/>
      <w:color w:val="0F4761" w:themeColor="accent1" w:themeShade="BF"/>
      <w:sz w:val="28"/>
      <w:szCs w:val="28"/>
      <w:lang w:val="vi-VN"/>
    </w:rPr>
  </w:style>
  <w:style w:type="character" w:customStyle="1" w:styleId="Heading4Char">
    <w:name w:val="Heading 4 Char"/>
    <w:basedOn w:val="DefaultParagraphFont"/>
    <w:link w:val="Heading4"/>
    <w:uiPriority w:val="9"/>
    <w:semiHidden/>
    <w:rsid w:val="00215B41"/>
    <w:rPr>
      <w:rFonts w:asciiTheme="minorHAnsi" w:eastAsiaTheme="majorEastAsia" w:hAnsiTheme="minorHAnsi" w:cstheme="majorBidi"/>
      <w:i/>
      <w:iCs/>
      <w:color w:val="0F4761" w:themeColor="accent1" w:themeShade="BF"/>
      <w:lang w:val="vi-VN"/>
    </w:rPr>
  </w:style>
  <w:style w:type="character" w:customStyle="1" w:styleId="Heading5Char">
    <w:name w:val="Heading 5 Char"/>
    <w:basedOn w:val="DefaultParagraphFont"/>
    <w:link w:val="Heading5"/>
    <w:uiPriority w:val="9"/>
    <w:semiHidden/>
    <w:rsid w:val="00215B41"/>
    <w:rPr>
      <w:rFonts w:asciiTheme="minorHAnsi" w:eastAsiaTheme="majorEastAsia" w:hAnsiTheme="minorHAnsi" w:cstheme="majorBidi"/>
      <w:color w:val="0F4761" w:themeColor="accent1" w:themeShade="BF"/>
      <w:lang w:val="vi-VN"/>
    </w:rPr>
  </w:style>
  <w:style w:type="character" w:customStyle="1" w:styleId="Heading6Char">
    <w:name w:val="Heading 6 Char"/>
    <w:basedOn w:val="DefaultParagraphFont"/>
    <w:link w:val="Heading6"/>
    <w:uiPriority w:val="9"/>
    <w:semiHidden/>
    <w:rsid w:val="00215B41"/>
    <w:rPr>
      <w:rFonts w:asciiTheme="minorHAnsi" w:eastAsiaTheme="majorEastAsia" w:hAnsiTheme="minorHAnsi" w:cstheme="majorBidi"/>
      <w:i/>
      <w:iCs/>
      <w:color w:val="595959" w:themeColor="text1" w:themeTint="A6"/>
      <w:lang w:val="vi-VN"/>
    </w:rPr>
  </w:style>
  <w:style w:type="character" w:customStyle="1" w:styleId="Heading7Char">
    <w:name w:val="Heading 7 Char"/>
    <w:basedOn w:val="DefaultParagraphFont"/>
    <w:link w:val="Heading7"/>
    <w:uiPriority w:val="9"/>
    <w:semiHidden/>
    <w:rsid w:val="00215B41"/>
    <w:rPr>
      <w:rFonts w:asciiTheme="minorHAnsi" w:eastAsiaTheme="majorEastAsia" w:hAnsiTheme="minorHAnsi" w:cstheme="majorBidi"/>
      <w:color w:val="595959" w:themeColor="text1" w:themeTint="A6"/>
      <w:lang w:val="vi-VN"/>
    </w:rPr>
  </w:style>
  <w:style w:type="character" w:customStyle="1" w:styleId="Heading8Char">
    <w:name w:val="Heading 8 Char"/>
    <w:basedOn w:val="DefaultParagraphFont"/>
    <w:link w:val="Heading8"/>
    <w:uiPriority w:val="9"/>
    <w:semiHidden/>
    <w:rsid w:val="00215B41"/>
    <w:rPr>
      <w:rFonts w:asciiTheme="minorHAnsi" w:eastAsiaTheme="majorEastAsia" w:hAnsiTheme="minorHAnsi" w:cstheme="majorBidi"/>
      <w:i/>
      <w:iCs/>
      <w:color w:val="272727" w:themeColor="text1" w:themeTint="D8"/>
      <w:lang w:val="vi-VN"/>
    </w:rPr>
  </w:style>
  <w:style w:type="character" w:customStyle="1" w:styleId="Heading9Char">
    <w:name w:val="Heading 9 Char"/>
    <w:basedOn w:val="DefaultParagraphFont"/>
    <w:link w:val="Heading9"/>
    <w:uiPriority w:val="9"/>
    <w:semiHidden/>
    <w:rsid w:val="00215B41"/>
    <w:rPr>
      <w:rFonts w:asciiTheme="minorHAnsi" w:eastAsiaTheme="majorEastAsia" w:hAnsiTheme="minorHAnsi" w:cstheme="majorBidi"/>
      <w:color w:val="272727" w:themeColor="text1" w:themeTint="D8"/>
      <w:lang w:val="vi-VN"/>
    </w:rPr>
  </w:style>
  <w:style w:type="paragraph" w:styleId="Title">
    <w:name w:val="Title"/>
    <w:basedOn w:val="Normal"/>
    <w:next w:val="Normal"/>
    <w:link w:val="TitleChar"/>
    <w:uiPriority w:val="10"/>
    <w:qFormat/>
    <w:rsid w:val="00215B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B41"/>
    <w:rPr>
      <w:rFonts w:asciiTheme="majorHAnsi" w:eastAsiaTheme="majorEastAsia" w:hAnsiTheme="majorHAnsi" w:cstheme="majorBidi"/>
      <w:spacing w:val="-10"/>
      <w:kern w:val="28"/>
      <w:sz w:val="56"/>
      <w:szCs w:val="56"/>
      <w:lang w:val="vi-VN"/>
    </w:rPr>
  </w:style>
  <w:style w:type="paragraph" w:styleId="Subtitle">
    <w:name w:val="Subtitle"/>
    <w:basedOn w:val="Normal"/>
    <w:next w:val="Normal"/>
    <w:link w:val="SubtitleChar"/>
    <w:uiPriority w:val="11"/>
    <w:qFormat/>
    <w:rsid w:val="00215B41"/>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B41"/>
    <w:rPr>
      <w:rFonts w:asciiTheme="minorHAnsi" w:eastAsiaTheme="majorEastAsia" w:hAnsiTheme="minorHAnsi" w:cstheme="majorBidi"/>
      <w:color w:val="595959" w:themeColor="text1" w:themeTint="A6"/>
      <w:spacing w:val="15"/>
      <w:sz w:val="28"/>
      <w:szCs w:val="28"/>
      <w:lang w:val="vi-VN"/>
    </w:rPr>
  </w:style>
  <w:style w:type="paragraph" w:styleId="Quote">
    <w:name w:val="Quote"/>
    <w:basedOn w:val="Normal"/>
    <w:next w:val="Normal"/>
    <w:link w:val="QuoteChar"/>
    <w:uiPriority w:val="29"/>
    <w:qFormat/>
    <w:rsid w:val="00215B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5B41"/>
    <w:rPr>
      <w:i/>
      <w:iCs/>
      <w:color w:val="404040" w:themeColor="text1" w:themeTint="BF"/>
      <w:lang w:val="vi-VN"/>
    </w:rPr>
  </w:style>
  <w:style w:type="paragraph" w:styleId="ListParagraph">
    <w:name w:val="List Paragraph"/>
    <w:basedOn w:val="Normal"/>
    <w:uiPriority w:val="1"/>
    <w:qFormat/>
    <w:rsid w:val="00215B41"/>
    <w:pPr>
      <w:ind w:left="720"/>
      <w:contextualSpacing/>
    </w:pPr>
  </w:style>
  <w:style w:type="character" w:styleId="IntenseEmphasis">
    <w:name w:val="Intense Emphasis"/>
    <w:basedOn w:val="DefaultParagraphFont"/>
    <w:uiPriority w:val="21"/>
    <w:qFormat/>
    <w:rsid w:val="00215B41"/>
    <w:rPr>
      <w:i/>
      <w:iCs/>
      <w:color w:val="0F4761" w:themeColor="accent1" w:themeShade="BF"/>
    </w:rPr>
  </w:style>
  <w:style w:type="paragraph" w:styleId="IntenseQuote">
    <w:name w:val="Intense Quote"/>
    <w:basedOn w:val="Normal"/>
    <w:next w:val="Normal"/>
    <w:link w:val="IntenseQuoteChar"/>
    <w:uiPriority w:val="30"/>
    <w:qFormat/>
    <w:rsid w:val="00215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5B41"/>
    <w:rPr>
      <w:i/>
      <w:iCs/>
      <w:color w:val="0F4761" w:themeColor="accent1" w:themeShade="BF"/>
      <w:lang w:val="vi-VN"/>
    </w:rPr>
  </w:style>
  <w:style w:type="character" w:styleId="IntenseReference">
    <w:name w:val="Intense Reference"/>
    <w:basedOn w:val="DefaultParagraphFont"/>
    <w:uiPriority w:val="32"/>
    <w:qFormat/>
    <w:rsid w:val="00215B41"/>
    <w:rPr>
      <w:b/>
      <w:bCs/>
      <w:smallCaps/>
      <w:color w:val="0F4761" w:themeColor="accent1" w:themeShade="BF"/>
      <w:spacing w:val="5"/>
    </w:rPr>
  </w:style>
  <w:style w:type="paragraph" w:styleId="BodyText">
    <w:name w:val="Body Text"/>
    <w:basedOn w:val="Normal"/>
    <w:link w:val="BodyTextChar"/>
    <w:uiPriority w:val="1"/>
    <w:qFormat/>
    <w:rsid w:val="00215B41"/>
    <w:pPr>
      <w:spacing w:before="12"/>
      <w:jc w:val="both"/>
    </w:pPr>
    <w:rPr>
      <w:sz w:val="20"/>
      <w:szCs w:val="20"/>
    </w:rPr>
  </w:style>
  <w:style w:type="character" w:customStyle="1" w:styleId="BodyTextChar">
    <w:name w:val="Body Text Char"/>
    <w:basedOn w:val="DefaultParagraphFont"/>
    <w:link w:val="BodyText"/>
    <w:uiPriority w:val="1"/>
    <w:rsid w:val="00215B41"/>
    <w:rPr>
      <w:rFonts w:ascii="Arial" w:eastAsia="Arial" w:hAnsi="Arial" w:cs="Arial"/>
      <w:kern w:val="0"/>
      <w:sz w:val="20"/>
      <w:szCs w:val="20"/>
      <w:lang w:val="vi"/>
    </w:rPr>
  </w:style>
  <w:style w:type="character" w:styleId="Hyperlink">
    <w:name w:val="Hyperlink"/>
    <w:basedOn w:val="DefaultParagraphFont"/>
    <w:uiPriority w:val="99"/>
    <w:unhideWhenUsed/>
    <w:rsid w:val="00215B41"/>
    <w:rPr>
      <w:color w:val="467886" w:themeColor="hyperlink"/>
      <w:u w:val="single"/>
    </w:rPr>
  </w:style>
  <w:style w:type="paragraph" w:styleId="NormalWeb">
    <w:name w:val="Normal (Web)"/>
    <w:basedOn w:val="Normal"/>
    <w:uiPriority w:val="99"/>
    <w:semiHidden/>
    <w:unhideWhenUsed/>
    <w:rsid w:val="00215B41"/>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15B41"/>
    <w:rPr>
      <w:i/>
      <w:iCs/>
    </w:rPr>
  </w:style>
  <w:style w:type="table" w:styleId="TableGrid">
    <w:name w:val="Table Grid"/>
    <w:basedOn w:val="TableNormal"/>
    <w:uiPriority w:val="59"/>
    <w:rsid w:val="00215B41"/>
    <w:pPr>
      <w:spacing w:after="0" w:line="240" w:lineRule="auto"/>
      <w:ind w:firstLine="0"/>
      <w:jc w:val="left"/>
    </w:pPr>
    <w:rPr>
      <w:rFonts w:asciiTheme="minorHAnsi" w:eastAsiaTheme="minorEastAsia" w:hAnsiTheme="minorHAns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15B41"/>
    <w:rPr>
      <w:b/>
      <w:bCs/>
    </w:rPr>
  </w:style>
  <w:style w:type="character" w:styleId="FollowedHyperlink">
    <w:name w:val="FollowedHyperlink"/>
    <w:basedOn w:val="DefaultParagraphFont"/>
    <w:uiPriority w:val="99"/>
    <w:semiHidden/>
    <w:unhideWhenUsed/>
    <w:rsid w:val="00D43FDC"/>
    <w:rPr>
      <w:color w:val="96607D" w:themeColor="followedHyperlink"/>
      <w:u w:val="single"/>
    </w:rPr>
  </w:style>
  <w:style w:type="paragraph" w:styleId="Header">
    <w:name w:val="header"/>
    <w:basedOn w:val="Normal"/>
    <w:link w:val="HeaderChar"/>
    <w:uiPriority w:val="99"/>
    <w:unhideWhenUsed/>
    <w:rsid w:val="00C460EE"/>
    <w:pPr>
      <w:tabs>
        <w:tab w:val="center" w:pos="4680"/>
        <w:tab w:val="right" w:pos="9360"/>
      </w:tabs>
    </w:pPr>
  </w:style>
  <w:style w:type="character" w:customStyle="1" w:styleId="HeaderChar">
    <w:name w:val="Header Char"/>
    <w:basedOn w:val="DefaultParagraphFont"/>
    <w:link w:val="Header"/>
    <w:uiPriority w:val="99"/>
    <w:rsid w:val="00C460EE"/>
    <w:rPr>
      <w:rFonts w:ascii="Arial" w:eastAsia="Arial" w:hAnsi="Arial" w:cs="Arial"/>
      <w:kern w:val="0"/>
      <w:sz w:val="22"/>
      <w:lang w:val="vi"/>
    </w:rPr>
  </w:style>
  <w:style w:type="paragraph" w:styleId="Footer">
    <w:name w:val="footer"/>
    <w:basedOn w:val="Normal"/>
    <w:link w:val="FooterChar"/>
    <w:uiPriority w:val="99"/>
    <w:unhideWhenUsed/>
    <w:rsid w:val="00C460EE"/>
    <w:pPr>
      <w:tabs>
        <w:tab w:val="center" w:pos="4680"/>
        <w:tab w:val="right" w:pos="9360"/>
      </w:tabs>
    </w:pPr>
  </w:style>
  <w:style w:type="character" w:customStyle="1" w:styleId="FooterChar">
    <w:name w:val="Footer Char"/>
    <w:basedOn w:val="DefaultParagraphFont"/>
    <w:link w:val="Footer"/>
    <w:uiPriority w:val="99"/>
    <w:rsid w:val="00C460EE"/>
    <w:rPr>
      <w:rFonts w:ascii="Arial" w:eastAsia="Arial" w:hAnsi="Arial" w:cs="Arial"/>
      <w:kern w:val="0"/>
      <w:sz w:val="22"/>
      <w:lang w:val="vi"/>
    </w:rPr>
  </w:style>
  <w:style w:type="character" w:styleId="UnresolvedMention">
    <w:name w:val="Unresolved Mention"/>
    <w:basedOn w:val="DefaultParagraphFont"/>
    <w:uiPriority w:val="99"/>
    <w:semiHidden/>
    <w:unhideWhenUsed/>
    <w:rsid w:val="000F154D"/>
    <w:rPr>
      <w:color w:val="605E5C"/>
      <w:shd w:val="clear" w:color="auto" w:fill="E1DFDD"/>
    </w:rPr>
  </w:style>
  <w:style w:type="paragraph" w:styleId="HTMLPreformatted">
    <w:name w:val="HTML Preformatted"/>
    <w:basedOn w:val="Normal"/>
    <w:link w:val="HTMLPreformattedChar"/>
    <w:uiPriority w:val="99"/>
    <w:semiHidden/>
    <w:unhideWhenUsed/>
    <w:rsid w:val="008D083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0837"/>
    <w:rPr>
      <w:rFonts w:ascii="Consolas" w:eastAsia="Arial" w:hAnsi="Consolas" w:cs="Arial"/>
      <w:kern w:val="0"/>
      <w:sz w:val="20"/>
      <w:szCs w:val="20"/>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3">
      <w:bodyDiv w:val="1"/>
      <w:marLeft w:val="0"/>
      <w:marRight w:val="0"/>
      <w:marTop w:val="0"/>
      <w:marBottom w:val="0"/>
      <w:divBdr>
        <w:top w:val="none" w:sz="0" w:space="0" w:color="auto"/>
        <w:left w:val="none" w:sz="0" w:space="0" w:color="auto"/>
        <w:bottom w:val="none" w:sz="0" w:space="0" w:color="auto"/>
        <w:right w:val="none" w:sz="0" w:space="0" w:color="auto"/>
      </w:divBdr>
      <w:divsChild>
        <w:div w:id="1998916847">
          <w:marLeft w:val="0"/>
          <w:marRight w:val="0"/>
          <w:marTop w:val="0"/>
          <w:marBottom w:val="0"/>
          <w:divBdr>
            <w:top w:val="none" w:sz="0" w:space="0" w:color="auto"/>
            <w:left w:val="none" w:sz="0" w:space="0" w:color="auto"/>
            <w:bottom w:val="none" w:sz="0" w:space="0" w:color="auto"/>
            <w:right w:val="none" w:sz="0" w:space="0" w:color="auto"/>
          </w:divBdr>
          <w:divsChild>
            <w:div w:id="1831018735">
              <w:marLeft w:val="0"/>
              <w:marRight w:val="0"/>
              <w:marTop w:val="0"/>
              <w:marBottom w:val="0"/>
              <w:divBdr>
                <w:top w:val="none" w:sz="0" w:space="0" w:color="auto"/>
                <w:left w:val="none" w:sz="0" w:space="0" w:color="auto"/>
                <w:bottom w:val="none" w:sz="0" w:space="0" w:color="auto"/>
                <w:right w:val="none" w:sz="0" w:space="0" w:color="auto"/>
              </w:divBdr>
              <w:divsChild>
                <w:div w:id="1404985750">
                  <w:marLeft w:val="0"/>
                  <w:marRight w:val="0"/>
                  <w:marTop w:val="0"/>
                  <w:marBottom w:val="0"/>
                  <w:divBdr>
                    <w:top w:val="none" w:sz="0" w:space="0" w:color="auto"/>
                    <w:left w:val="none" w:sz="0" w:space="0" w:color="auto"/>
                    <w:bottom w:val="none" w:sz="0" w:space="0" w:color="auto"/>
                    <w:right w:val="none" w:sz="0" w:space="0" w:color="auto"/>
                  </w:divBdr>
                  <w:divsChild>
                    <w:div w:id="184293476">
                      <w:marLeft w:val="0"/>
                      <w:marRight w:val="0"/>
                      <w:marTop w:val="0"/>
                      <w:marBottom w:val="0"/>
                      <w:divBdr>
                        <w:top w:val="none" w:sz="0" w:space="0" w:color="auto"/>
                        <w:left w:val="none" w:sz="0" w:space="0" w:color="auto"/>
                        <w:bottom w:val="none" w:sz="0" w:space="0" w:color="auto"/>
                        <w:right w:val="none" w:sz="0" w:space="0" w:color="auto"/>
                      </w:divBdr>
                      <w:divsChild>
                        <w:div w:id="9452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23411">
      <w:bodyDiv w:val="1"/>
      <w:marLeft w:val="0"/>
      <w:marRight w:val="0"/>
      <w:marTop w:val="0"/>
      <w:marBottom w:val="0"/>
      <w:divBdr>
        <w:top w:val="none" w:sz="0" w:space="0" w:color="auto"/>
        <w:left w:val="none" w:sz="0" w:space="0" w:color="auto"/>
        <w:bottom w:val="none" w:sz="0" w:space="0" w:color="auto"/>
        <w:right w:val="none" w:sz="0" w:space="0" w:color="auto"/>
      </w:divBdr>
    </w:div>
    <w:div w:id="122623281">
      <w:bodyDiv w:val="1"/>
      <w:marLeft w:val="0"/>
      <w:marRight w:val="0"/>
      <w:marTop w:val="0"/>
      <w:marBottom w:val="0"/>
      <w:divBdr>
        <w:top w:val="none" w:sz="0" w:space="0" w:color="auto"/>
        <w:left w:val="none" w:sz="0" w:space="0" w:color="auto"/>
        <w:bottom w:val="none" w:sz="0" w:space="0" w:color="auto"/>
        <w:right w:val="none" w:sz="0" w:space="0" w:color="auto"/>
      </w:divBdr>
    </w:div>
    <w:div w:id="273947990">
      <w:bodyDiv w:val="1"/>
      <w:marLeft w:val="0"/>
      <w:marRight w:val="0"/>
      <w:marTop w:val="0"/>
      <w:marBottom w:val="0"/>
      <w:divBdr>
        <w:top w:val="none" w:sz="0" w:space="0" w:color="auto"/>
        <w:left w:val="none" w:sz="0" w:space="0" w:color="auto"/>
        <w:bottom w:val="none" w:sz="0" w:space="0" w:color="auto"/>
        <w:right w:val="none" w:sz="0" w:space="0" w:color="auto"/>
      </w:divBdr>
    </w:div>
    <w:div w:id="308246428">
      <w:bodyDiv w:val="1"/>
      <w:marLeft w:val="0"/>
      <w:marRight w:val="0"/>
      <w:marTop w:val="0"/>
      <w:marBottom w:val="0"/>
      <w:divBdr>
        <w:top w:val="none" w:sz="0" w:space="0" w:color="auto"/>
        <w:left w:val="none" w:sz="0" w:space="0" w:color="auto"/>
        <w:bottom w:val="none" w:sz="0" w:space="0" w:color="auto"/>
        <w:right w:val="none" w:sz="0" w:space="0" w:color="auto"/>
      </w:divBdr>
    </w:div>
    <w:div w:id="465509958">
      <w:bodyDiv w:val="1"/>
      <w:marLeft w:val="0"/>
      <w:marRight w:val="0"/>
      <w:marTop w:val="0"/>
      <w:marBottom w:val="0"/>
      <w:divBdr>
        <w:top w:val="none" w:sz="0" w:space="0" w:color="auto"/>
        <w:left w:val="none" w:sz="0" w:space="0" w:color="auto"/>
        <w:bottom w:val="none" w:sz="0" w:space="0" w:color="auto"/>
        <w:right w:val="none" w:sz="0" w:space="0" w:color="auto"/>
      </w:divBdr>
    </w:div>
    <w:div w:id="480118870">
      <w:bodyDiv w:val="1"/>
      <w:marLeft w:val="0"/>
      <w:marRight w:val="0"/>
      <w:marTop w:val="0"/>
      <w:marBottom w:val="0"/>
      <w:divBdr>
        <w:top w:val="none" w:sz="0" w:space="0" w:color="auto"/>
        <w:left w:val="none" w:sz="0" w:space="0" w:color="auto"/>
        <w:bottom w:val="none" w:sz="0" w:space="0" w:color="auto"/>
        <w:right w:val="none" w:sz="0" w:space="0" w:color="auto"/>
      </w:divBdr>
      <w:divsChild>
        <w:div w:id="45419944">
          <w:marLeft w:val="0"/>
          <w:marRight w:val="0"/>
          <w:marTop w:val="0"/>
          <w:marBottom w:val="0"/>
          <w:divBdr>
            <w:top w:val="none" w:sz="0" w:space="0" w:color="auto"/>
            <w:left w:val="none" w:sz="0" w:space="0" w:color="auto"/>
            <w:bottom w:val="none" w:sz="0" w:space="0" w:color="auto"/>
            <w:right w:val="none" w:sz="0" w:space="0" w:color="auto"/>
          </w:divBdr>
          <w:divsChild>
            <w:div w:id="1635137964">
              <w:marLeft w:val="0"/>
              <w:marRight w:val="0"/>
              <w:marTop w:val="0"/>
              <w:marBottom w:val="0"/>
              <w:divBdr>
                <w:top w:val="none" w:sz="0" w:space="0" w:color="auto"/>
                <w:left w:val="none" w:sz="0" w:space="0" w:color="auto"/>
                <w:bottom w:val="none" w:sz="0" w:space="0" w:color="auto"/>
                <w:right w:val="none" w:sz="0" w:space="0" w:color="auto"/>
              </w:divBdr>
              <w:divsChild>
                <w:div w:id="394159944">
                  <w:marLeft w:val="0"/>
                  <w:marRight w:val="0"/>
                  <w:marTop w:val="0"/>
                  <w:marBottom w:val="0"/>
                  <w:divBdr>
                    <w:top w:val="none" w:sz="0" w:space="0" w:color="auto"/>
                    <w:left w:val="none" w:sz="0" w:space="0" w:color="auto"/>
                    <w:bottom w:val="none" w:sz="0" w:space="0" w:color="auto"/>
                    <w:right w:val="none" w:sz="0" w:space="0" w:color="auto"/>
                  </w:divBdr>
                  <w:divsChild>
                    <w:div w:id="1311978046">
                      <w:marLeft w:val="0"/>
                      <w:marRight w:val="0"/>
                      <w:marTop w:val="0"/>
                      <w:marBottom w:val="0"/>
                      <w:divBdr>
                        <w:top w:val="none" w:sz="0" w:space="0" w:color="auto"/>
                        <w:left w:val="none" w:sz="0" w:space="0" w:color="auto"/>
                        <w:bottom w:val="none" w:sz="0" w:space="0" w:color="auto"/>
                        <w:right w:val="none" w:sz="0" w:space="0" w:color="auto"/>
                      </w:divBdr>
                      <w:divsChild>
                        <w:div w:id="81024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833373">
      <w:bodyDiv w:val="1"/>
      <w:marLeft w:val="0"/>
      <w:marRight w:val="0"/>
      <w:marTop w:val="0"/>
      <w:marBottom w:val="0"/>
      <w:divBdr>
        <w:top w:val="none" w:sz="0" w:space="0" w:color="auto"/>
        <w:left w:val="none" w:sz="0" w:space="0" w:color="auto"/>
        <w:bottom w:val="none" w:sz="0" w:space="0" w:color="auto"/>
        <w:right w:val="none" w:sz="0" w:space="0" w:color="auto"/>
      </w:divBdr>
      <w:divsChild>
        <w:div w:id="1406879360">
          <w:marLeft w:val="0"/>
          <w:marRight w:val="0"/>
          <w:marTop w:val="0"/>
          <w:marBottom w:val="0"/>
          <w:divBdr>
            <w:top w:val="none" w:sz="0" w:space="0" w:color="auto"/>
            <w:left w:val="none" w:sz="0" w:space="0" w:color="auto"/>
            <w:bottom w:val="none" w:sz="0" w:space="0" w:color="auto"/>
            <w:right w:val="none" w:sz="0" w:space="0" w:color="auto"/>
          </w:divBdr>
          <w:divsChild>
            <w:div w:id="1530072420">
              <w:marLeft w:val="0"/>
              <w:marRight w:val="0"/>
              <w:marTop w:val="0"/>
              <w:marBottom w:val="0"/>
              <w:divBdr>
                <w:top w:val="none" w:sz="0" w:space="0" w:color="auto"/>
                <w:left w:val="none" w:sz="0" w:space="0" w:color="auto"/>
                <w:bottom w:val="none" w:sz="0" w:space="0" w:color="auto"/>
                <w:right w:val="none" w:sz="0" w:space="0" w:color="auto"/>
              </w:divBdr>
              <w:divsChild>
                <w:div w:id="526407455">
                  <w:marLeft w:val="0"/>
                  <w:marRight w:val="0"/>
                  <w:marTop w:val="0"/>
                  <w:marBottom w:val="0"/>
                  <w:divBdr>
                    <w:top w:val="none" w:sz="0" w:space="0" w:color="auto"/>
                    <w:left w:val="none" w:sz="0" w:space="0" w:color="auto"/>
                    <w:bottom w:val="none" w:sz="0" w:space="0" w:color="auto"/>
                    <w:right w:val="none" w:sz="0" w:space="0" w:color="auto"/>
                  </w:divBdr>
                  <w:divsChild>
                    <w:div w:id="2020615888">
                      <w:marLeft w:val="0"/>
                      <w:marRight w:val="0"/>
                      <w:marTop w:val="0"/>
                      <w:marBottom w:val="0"/>
                      <w:divBdr>
                        <w:top w:val="none" w:sz="0" w:space="0" w:color="auto"/>
                        <w:left w:val="none" w:sz="0" w:space="0" w:color="auto"/>
                        <w:bottom w:val="none" w:sz="0" w:space="0" w:color="auto"/>
                        <w:right w:val="none" w:sz="0" w:space="0" w:color="auto"/>
                      </w:divBdr>
                      <w:divsChild>
                        <w:div w:id="12117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710777">
      <w:bodyDiv w:val="1"/>
      <w:marLeft w:val="0"/>
      <w:marRight w:val="0"/>
      <w:marTop w:val="0"/>
      <w:marBottom w:val="0"/>
      <w:divBdr>
        <w:top w:val="none" w:sz="0" w:space="0" w:color="auto"/>
        <w:left w:val="none" w:sz="0" w:space="0" w:color="auto"/>
        <w:bottom w:val="none" w:sz="0" w:space="0" w:color="auto"/>
        <w:right w:val="none" w:sz="0" w:space="0" w:color="auto"/>
      </w:divBdr>
    </w:div>
    <w:div w:id="578949774">
      <w:bodyDiv w:val="1"/>
      <w:marLeft w:val="0"/>
      <w:marRight w:val="0"/>
      <w:marTop w:val="0"/>
      <w:marBottom w:val="0"/>
      <w:divBdr>
        <w:top w:val="none" w:sz="0" w:space="0" w:color="auto"/>
        <w:left w:val="none" w:sz="0" w:space="0" w:color="auto"/>
        <w:bottom w:val="none" w:sz="0" w:space="0" w:color="auto"/>
        <w:right w:val="none" w:sz="0" w:space="0" w:color="auto"/>
      </w:divBdr>
    </w:div>
    <w:div w:id="644701576">
      <w:bodyDiv w:val="1"/>
      <w:marLeft w:val="0"/>
      <w:marRight w:val="0"/>
      <w:marTop w:val="0"/>
      <w:marBottom w:val="0"/>
      <w:divBdr>
        <w:top w:val="none" w:sz="0" w:space="0" w:color="auto"/>
        <w:left w:val="none" w:sz="0" w:space="0" w:color="auto"/>
        <w:bottom w:val="none" w:sz="0" w:space="0" w:color="auto"/>
        <w:right w:val="none" w:sz="0" w:space="0" w:color="auto"/>
      </w:divBdr>
      <w:divsChild>
        <w:div w:id="904144116">
          <w:marLeft w:val="0"/>
          <w:marRight w:val="0"/>
          <w:marTop w:val="0"/>
          <w:marBottom w:val="0"/>
          <w:divBdr>
            <w:top w:val="none" w:sz="0" w:space="0" w:color="auto"/>
            <w:left w:val="none" w:sz="0" w:space="0" w:color="auto"/>
            <w:bottom w:val="none" w:sz="0" w:space="0" w:color="auto"/>
            <w:right w:val="none" w:sz="0" w:space="0" w:color="auto"/>
          </w:divBdr>
          <w:divsChild>
            <w:div w:id="1012027516">
              <w:marLeft w:val="0"/>
              <w:marRight w:val="0"/>
              <w:marTop w:val="0"/>
              <w:marBottom w:val="0"/>
              <w:divBdr>
                <w:top w:val="none" w:sz="0" w:space="0" w:color="auto"/>
                <w:left w:val="none" w:sz="0" w:space="0" w:color="auto"/>
                <w:bottom w:val="none" w:sz="0" w:space="0" w:color="auto"/>
                <w:right w:val="none" w:sz="0" w:space="0" w:color="auto"/>
              </w:divBdr>
              <w:divsChild>
                <w:div w:id="877009056">
                  <w:marLeft w:val="0"/>
                  <w:marRight w:val="0"/>
                  <w:marTop w:val="0"/>
                  <w:marBottom w:val="0"/>
                  <w:divBdr>
                    <w:top w:val="none" w:sz="0" w:space="0" w:color="auto"/>
                    <w:left w:val="none" w:sz="0" w:space="0" w:color="auto"/>
                    <w:bottom w:val="none" w:sz="0" w:space="0" w:color="auto"/>
                    <w:right w:val="none" w:sz="0" w:space="0" w:color="auto"/>
                  </w:divBdr>
                  <w:divsChild>
                    <w:div w:id="1148520873">
                      <w:marLeft w:val="0"/>
                      <w:marRight w:val="0"/>
                      <w:marTop w:val="0"/>
                      <w:marBottom w:val="0"/>
                      <w:divBdr>
                        <w:top w:val="none" w:sz="0" w:space="0" w:color="auto"/>
                        <w:left w:val="none" w:sz="0" w:space="0" w:color="auto"/>
                        <w:bottom w:val="none" w:sz="0" w:space="0" w:color="auto"/>
                        <w:right w:val="none" w:sz="0" w:space="0" w:color="auto"/>
                      </w:divBdr>
                      <w:divsChild>
                        <w:div w:id="14674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880165">
      <w:bodyDiv w:val="1"/>
      <w:marLeft w:val="0"/>
      <w:marRight w:val="0"/>
      <w:marTop w:val="0"/>
      <w:marBottom w:val="0"/>
      <w:divBdr>
        <w:top w:val="none" w:sz="0" w:space="0" w:color="auto"/>
        <w:left w:val="none" w:sz="0" w:space="0" w:color="auto"/>
        <w:bottom w:val="none" w:sz="0" w:space="0" w:color="auto"/>
        <w:right w:val="none" w:sz="0" w:space="0" w:color="auto"/>
      </w:divBdr>
    </w:div>
    <w:div w:id="830677598">
      <w:bodyDiv w:val="1"/>
      <w:marLeft w:val="0"/>
      <w:marRight w:val="0"/>
      <w:marTop w:val="0"/>
      <w:marBottom w:val="0"/>
      <w:divBdr>
        <w:top w:val="none" w:sz="0" w:space="0" w:color="auto"/>
        <w:left w:val="none" w:sz="0" w:space="0" w:color="auto"/>
        <w:bottom w:val="none" w:sz="0" w:space="0" w:color="auto"/>
        <w:right w:val="none" w:sz="0" w:space="0" w:color="auto"/>
      </w:divBdr>
    </w:div>
    <w:div w:id="831212965">
      <w:bodyDiv w:val="1"/>
      <w:marLeft w:val="0"/>
      <w:marRight w:val="0"/>
      <w:marTop w:val="0"/>
      <w:marBottom w:val="0"/>
      <w:divBdr>
        <w:top w:val="none" w:sz="0" w:space="0" w:color="auto"/>
        <w:left w:val="none" w:sz="0" w:space="0" w:color="auto"/>
        <w:bottom w:val="none" w:sz="0" w:space="0" w:color="auto"/>
        <w:right w:val="none" w:sz="0" w:space="0" w:color="auto"/>
      </w:divBdr>
    </w:div>
    <w:div w:id="991257237">
      <w:bodyDiv w:val="1"/>
      <w:marLeft w:val="0"/>
      <w:marRight w:val="0"/>
      <w:marTop w:val="0"/>
      <w:marBottom w:val="0"/>
      <w:divBdr>
        <w:top w:val="none" w:sz="0" w:space="0" w:color="auto"/>
        <w:left w:val="none" w:sz="0" w:space="0" w:color="auto"/>
        <w:bottom w:val="none" w:sz="0" w:space="0" w:color="auto"/>
        <w:right w:val="none" w:sz="0" w:space="0" w:color="auto"/>
      </w:divBdr>
    </w:div>
    <w:div w:id="1075476992">
      <w:bodyDiv w:val="1"/>
      <w:marLeft w:val="0"/>
      <w:marRight w:val="0"/>
      <w:marTop w:val="0"/>
      <w:marBottom w:val="0"/>
      <w:divBdr>
        <w:top w:val="none" w:sz="0" w:space="0" w:color="auto"/>
        <w:left w:val="none" w:sz="0" w:space="0" w:color="auto"/>
        <w:bottom w:val="none" w:sz="0" w:space="0" w:color="auto"/>
        <w:right w:val="none" w:sz="0" w:space="0" w:color="auto"/>
      </w:divBdr>
    </w:div>
    <w:div w:id="1089306185">
      <w:bodyDiv w:val="1"/>
      <w:marLeft w:val="0"/>
      <w:marRight w:val="0"/>
      <w:marTop w:val="0"/>
      <w:marBottom w:val="0"/>
      <w:divBdr>
        <w:top w:val="none" w:sz="0" w:space="0" w:color="auto"/>
        <w:left w:val="none" w:sz="0" w:space="0" w:color="auto"/>
        <w:bottom w:val="none" w:sz="0" w:space="0" w:color="auto"/>
        <w:right w:val="none" w:sz="0" w:space="0" w:color="auto"/>
      </w:divBdr>
    </w:div>
    <w:div w:id="1093823184">
      <w:bodyDiv w:val="1"/>
      <w:marLeft w:val="0"/>
      <w:marRight w:val="0"/>
      <w:marTop w:val="0"/>
      <w:marBottom w:val="0"/>
      <w:divBdr>
        <w:top w:val="none" w:sz="0" w:space="0" w:color="auto"/>
        <w:left w:val="none" w:sz="0" w:space="0" w:color="auto"/>
        <w:bottom w:val="none" w:sz="0" w:space="0" w:color="auto"/>
        <w:right w:val="none" w:sz="0" w:space="0" w:color="auto"/>
      </w:divBdr>
    </w:div>
    <w:div w:id="1104351423">
      <w:bodyDiv w:val="1"/>
      <w:marLeft w:val="0"/>
      <w:marRight w:val="0"/>
      <w:marTop w:val="0"/>
      <w:marBottom w:val="0"/>
      <w:divBdr>
        <w:top w:val="none" w:sz="0" w:space="0" w:color="auto"/>
        <w:left w:val="none" w:sz="0" w:space="0" w:color="auto"/>
        <w:bottom w:val="none" w:sz="0" w:space="0" w:color="auto"/>
        <w:right w:val="none" w:sz="0" w:space="0" w:color="auto"/>
      </w:divBdr>
    </w:div>
    <w:div w:id="1186289690">
      <w:bodyDiv w:val="1"/>
      <w:marLeft w:val="0"/>
      <w:marRight w:val="0"/>
      <w:marTop w:val="0"/>
      <w:marBottom w:val="0"/>
      <w:divBdr>
        <w:top w:val="none" w:sz="0" w:space="0" w:color="auto"/>
        <w:left w:val="none" w:sz="0" w:space="0" w:color="auto"/>
        <w:bottom w:val="none" w:sz="0" w:space="0" w:color="auto"/>
        <w:right w:val="none" w:sz="0" w:space="0" w:color="auto"/>
      </w:divBdr>
    </w:div>
    <w:div w:id="1204714889">
      <w:bodyDiv w:val="1"/>
      <w:marLeft w:val="0"/>
      <w:marRight w:val="0"/>
      <w:marTop w:val="0"/>
      <w:marBottom w:val="0"/>
      <w:divBdr>
        <w:top w:val="none" w:sz="0" w:space="0" w:color="auto"/>
        <w:left w:val="none" w:sz="0" w:space="0" w:color="auto"/>
        <w:bottom w:val="none" w:sz="0" w:space="0" w:color="auto"/>
        <w:right w:val="none" w:sz="0" w:space="0" w:color="auto"/>
      </w:divBdr>
    </w:div>
    <w:div w:id="1207331229">
      <w:bodyDiv w:val="1"/>
      <w:marLeft w:val="0"/>
      <w:marRight w:val="0"/>
      <w:marTop w:val="0"/>
      <w:marBottom w:val="0"/>
      <w:divBdr>
        <w:top w:val="none" w:sz="0" w:space="0" w:color="auto"/>
        <w:left w:val="none" w:sz="0" w:space="0" w:color="auto"/>
        <w:bottom w:val="none" w:sz="0" w:space="0" w:color="auto"/>
        <w:right w:val="none" w:sz="0" w:space="0" w:color="auto"/>
      </w:divBdr>
      <w:divsChild>
        <w:div w:id="1299069800">
          <w:marLeft w:val="0"/>
          <w:marRight w:val="0"/>
          <w:marTop w:val="0"/>
          <w:marBottom w:val="0"/>
          <w:divBdr>
            <w:top w:val="none" w:sz="0" w:space="0" w:color="auto"/>
            <w:left w:val="none" w:sz="0" w:space="0" w:color="auto"/>
            <w:bottom w:val="none" w:sz="0" w:space="0" w:color="auto"/>
            <w:right w:val="none" w:sz="0" w:space="0" w:color="auto"/>
          </w:divBdr>
          <w:divsChild>
            <w:div w:id="1735277514">
              <w:marLeft w:val="0"/>
              <w:marRight w:val="0"/>
              <w:marTop w:val="0"/>
              <w:marBottom w:val="0"/>
              <w:divBdr>
                <w:top w:val="none" w:sz="0" w:space="0" w:color="auto"/>
                <w:left w:val="none" w:sz="0" w:space="0" w:color="auto"/>
                <w:bottom w:val="none" w:sz="0" w:space="0" w:color="auto"/>
                <w:right w:val="none" w:sz="0" w:space="0" w:color="auto"/>
              </w:divBdr>
              <w:divsChild>
                <w:div w:id="1938319917">
                  <w:marLeft w:val="0"/>
                  <w:marRight w:val="0"/>
                  <w:marTop w:val="0"/>
                  <w:marBottom w:val="0"/>
                  <w:divBdr>
                    <w:top w:val="none" w:sz="0" w:space="0" w:color="auto"/>
                    <w:left w:val="none" w:sz="0" w:space="0" w:color="auto"/>
                    <w:bottom w:val="none" w:sz="0" w:space="0" w:color="auto"/>
                    <w:right w:val="none" w:sz="0" w:space="0" w:color="auto"/>
                  </w:divBdr>
                  <w:divsChild>
                    <w:div w:id="184297991">
                      <w:marLeft w:val="0"/>
                      <w:marRight w:val="0"/>
                      <w:marTop w:val="0"/>
                      <w:marBottom w:val="0"/>
                      <w:divBdr>
                        <w:top w:val="none" w:sz="0" w:space="0" w:color="auto"/>
                        <w:left w:val="none" w:sz="0" w:space="0" w:color="auto"/>
                        <w:bottom w:val="none" w:sz="0" w:space="0" w:color="auto"/>
                        <w:right w:val="none" w:sz="0" w:space="0" w:color="auto"/>
                      </w:divBdr>
                      <w:divsChild>
                        <w:div w:id="85892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448963">
      <w:bodyDiv w:val="1"/>
      <w:marLeft w:val="0"/>
      <w:marRight w:val="0"/>
      <w:marTop w:val="0"/>
      <w:marBottom w:val="0"/>
      <w:divBdr>
        <w:top w:val="none" w:sz="0" w:space="0" w:color="auto"/>
        <w:left w:val="none" w:sz="0" w:space="0" w:color="auto"/>
        <w:bottom w:val="none" w:sz="0" w:space="0" w:color="auto"/>
        <w:right w:val="none" w:sz="0" w:space="0" w:color="auto"/>
      </w:divBdr>
    </w:div>
    <w:div w:id="1264613721">
      <w:bodyDiv w:val="1"/>
      <w:marLeft w:val="0"/>
      <w:marRight w:val="0"/>
      <w:marTop w:val="0"/>
      <w:marBottom w:val="0"/>
      <w:divBdr>
        <w:top w:val="none" w:sz="0" w:space="0" w:color="auto"/>
        <w:left w:val="none" w:sz="0" w:space="0" w:color="auto"/>
        <w:bottom w:val="none" w:sz="0" w:space="0" w:color="auto"/>
        <w:right w:val="none" w:sz="0" w:space="0" w:color="auto"/>
      </w:divBdr>
      <w:divsChild>
        <w:div w:id="1891840079">
          <w:marLeft w:val="0"/>
          <w:marRight w:val="0"/>
          <w:marTop w:val="0"/>
          <w:marBottom w:val="0"/>
          <w:divBdr>
            <w:top w:val="none" w:sz="0" w:space="0" w:color="auto"/>
            <w:left w:val="none" w:sz="0" w:space="0" w:color="auto"/>
            <w:bottom w:val="none" w:sz="0" w:space="0" w:color="auto"/>
            <w:right w:val="none" w:sz="0" w:space="0" w:color="auto"/>
          </w:divBdr>
          <w:divsChild>
            <w:div w:id="1112700709">
              <w:marLeft w:val="0"/>
              <w:marRight w:val="0"/>
              <w:marTop w:val="0"/>
              <w:marBottom w:val="0"/>
              <w:divBdr>
                <w:top w:val="none" w:sz="0" w:space="0" w:color="auto"/>
                <w:left w:val="none" w:sz="0" w:space="0" w:color="auto"/>
                <w:bottom w:val="none" w:sz="0" w:space="0" w:color="auto"/>
                <w:right w:val="none" w:sz="0" w:space="0" w:color="auto"/>
              </w:divBdr>
              <w:divsChild>
                <w:div w:id="894899743">
                  <w:marLeft w:val="0"/>
                  <w:marRight w:val="0"/>
                  <w:marTop w:val="0"/>
                  <w:marBottom w:val="0"/>
                  <w:divBdr>
                    <w:top w:val="none" w:sz="0" w:space="0" w:color="auto"/>
                    <w:left w:val="none" w:sz="0" w:space="0" w:color="auto"/>
                    <w:bottom w:val="none" w:sz="0" w:space="0" w:color="auto"/>
                    <w:right w:val="none" w:sz="0" w:space="0" w:color="auto"/>
                  </w:divBdr>
                  <w:divsChild>
                    <w:div w:id="13845894">
                      <w:marLeft w:val="0"/>
                      <w:marRight w:val="0"/>
                      <w:marTop w:val="0"/>
                      <w:marBottom w:val="0"/>
                      <w:divBdr>
                        <w:top w:val="none" w:sz="0" w:space="0" w:color="auto"/>
                        <w:left w:val="none" w:sz="0" w:space="0" w:color="auto"/>
                        <w:bottom w:val="none" w:sz="0" w:space="0" w:color="auto"/>
                        <w:right w:val="none" w:sz="0" w:space="0" w:color="auto"/>
                      </w:divBdr>
                      <w:divsChild>
                        <w:div w:id="16288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832341">
      <w:bodyDiv w:val="1"/>
      <w:marLeft w:val="0"/>
      <w:marRight w:val="0"/>
      <w:marTop w:val="0"/>
      <w:marBottom w:val="0"/>
      <w:divBdr>
        <w:top w:val="none" w:sz="0" w:space="0" w:color="auto"/>
        <w:left w:val="none" w:sz="0" w:space="0" w:color="auto"/>
        <w:bottom w:val="none" w:sz="0" w:space="0" w:color="auto"/>
        <w:right w:val="none" w:sz="0" w:space="0" w:color="auto"/>
      </w:divBdr>
    </w:div>
    <w:div w:id="1293169558">
      <w:bodyDiv w:val="1"/>
      <w:marLeft w:val="0"/>
      <w:marRight w:val="0"/>
      <w:marTop w:val="0"/>
      <w:marBottom w:val="0"/>
      <w:divBdr>
        <w:top w:val="none" w:sz="0" w:space="0" w:color="auto"/>
        <w:left w:val="none" w:sz="0" w:space="0" w:color="auto"/>
        <w:bottom w:val="none" w:sz="0" w:space="0" w:color="auto"/>
        <w:right w:val="none" w:sz="0" w:space="0" w:color="auto"/>
      </w:divBdr>
      <w:divsChild>
        <w:div w:id="2076974544">
          <w:marLeft w:val="0"/>
          <w:marRight w:val="0"/>
          <w:marTop w:val="0"/>
          <w:marBottom w:val="0"/>
          <w:divBdr>
            <w:top w:val="none" w:sz="0" w:space="0" w:color="auto"/>
            <w:left w:val="none" w:sz="0" w:space="0" w:color="auto"/>
            <w:bottom w:val="none" w:sz="0" w:space="0" w:color="auto"/>
            <w:right w:val="none" w:sz="0" w:space="0" w:color="auto"/>
          </w:divBdr>
          <w:divsChild>
            <w:div w:id="2088726716">
              <w:marLeft w:val="0"/>
              <w:marRight w:val="0"/>
              <w:marTop w:val="0"/>
              <w:marBottom w:val="0"/>
              <w:divBdr>
                <w:top w:val="none" w:sz="0" w:space="0" w:color="auto"/>
                <w:left w:val="none" w:sz="0" w:space="0" w:color="auto"/>
                <w:bottom w:val="none" w:sz="0" w:space="0" w:color="auto"/>
                <w:right w:val="none" w:sz="0" w:space="0" w:color="auto"/>
              </w:divBdr>
              <w:divsChild>
                <w:div w:id="349380977">
                  <w:marLeft w:val="0"/>
                  <w:marRight w:val="0"/>
                  <w:marTop w:val="0"/>
                  <w:marBottom w:val="0"/>
                  <w:divBdr>
                    <w:top w:val="none" w:sz="0" w:space="0" w:color="auto"/>
                    <w:left w:val="none" w:sz="0" w:space="0" w:color="auto"/>
                    <w:bottom w:val="none" w:sz="0" w:space="0" w:color="auto"/>
                    <w:right w:val="none" w:sz="0" w:space="0" w:color="auto"/>
                  </w:divBdr>
                  <w:divsChild>
                    <w:div w:id="2028826806">
                      <w:marLeft w:val="0"/>
                      <w:marRight w:val="0"/>
                      <w:marTop w:val="0"/>
                      <w:marBottom w:val="0"/>
                      <w:divBdr>
                        <w:top w:val="none" w:sz="0" w:space="0" w:color="auto"/>
                        <w:left w:val="none" w:sz="0" w:space="0" w:color="auto"/>
                        <w:bottom w:val="none" w:sz="0" w:space="0" w:color="auto"/>
                        <w:right w:val="none" w:sz="0" w:space="0" w:color="auto"/>
                      </w:divBdr>
                      <w:divsChild>
                        <w:div w:id="68151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981818">
      <w:bodyDiv w:val="1"/>
      <w:marLeft w:val="0"/>
      <w:marRight w:val="0"/>
      <w:marTop w:val="0"/>
      <w:marBottom w:val="0"/>
      <w:divBdr>
        <w:top w:val="none" w:sz="0" w:space="0" w:color="auto"/>
        <w:left w:val="none" w:sz="0" w:space="0" w:color="auto"/>
        <w:bottom w:val="none" w:sz="0" w:space="0" w:color="auto"/>
        <w:right w:val="none" w:sz="0" w:space="0" w:color="auto"/>
      </w:divBdr>
    </w:div>
    <w:div w:id="1385984365">
      <w:bodyDiv w:val="1"/>
      <w:marLeft w:val="0"/>
      <w:marRight w:val="0"/>
      <w:marTop w:val="0"/>
      <w:marBottom w:val="0"/>
      <w:divBdr>
        <w:top w:val="none" w:sz="0" w:space="0" w:color="auto"/>
        <w:left w:val="none" w:sz="0" w:space="0" w:color="auto"/>
        <w:bottom w:val="none" w:sz="0" w:space="0" w:color="auto"/>
        <w:right w:val="none" w:sz="0" w:space="0" w:color="auto"/>
      </w:divBdr>
    </w:div>
    <w:div w:id="1441992192">
      <w:bodyDiv w:val="1"/>
      <w:marLeft w:val="0"/>
      <w:marRight w:val="0"/>
      <w:marTop w:val="0"/>
      <w:marBottom w:val="0"/>
      <w:divBdr>
        <w:top w:val="none" w:sz="0" w:space="0" w:color="auto"/>
        <w:left w:val="none" w:sz="0" w:space="0" w:color="auto"/>
        <w:bottom w:val="none" w:sz="0" w:space="0" w:color="auto"/>
        <w:right w:val="none" w:sz="0" w:space="0" w:color="auto"/>
      </w:divBdr>
      <w:divsChild>
        <w:div w:id="465320312">
          <w:marLeft w:val="0"/>
          <w:marRight w:val="0"/>
          <w:marTop w:val="0"/>
          <w:marBottom w:val="0"/>
          <w:divBdr>
            <w:top w:val="none" w:sz="0" w:space="0" w:color="auto"/>
            <w:left w:val="none" w:sz="0" w:space="0" w:color="auto"/>
            <w:bottom w:val="none" w:sz="0" w:space="0" w:color="auto"/>
            <w:right w:val="none" w:sz="0" w:space="0" w:color="auto"/>
          </w:divBdr>
          <w:divsChild>
            <w:div w:id="167521420">
              <w:marLeft w:val="0"/>
              <w:marRight w:val="0"/>
              <w:marTop w:val="0"/>
              <w:marBottom w:val="0"/>
              <w:divBdr>
                <w:top w:val="none" w:sz="0" w:space="0" w:color="auto"/>
                <w:left w:val="none" w:sz="0" w:space="0" w:color="auto"/>
                <w:bottom w:val="none" w:sz="0" w:space="0" w:color="auto"/>
                <w:right w:val="none" w:sz="0" w:space="0" w:color="auto"/>
              </w:divBdr>
              <w:divsChild>
                <w:div w:id="581136602">
                  <w:marLeft w:val="0"/>
                  <w:marRight w:val="0"/>
                  <w:marTop w:val="0"/>
                  <w:marBottom w:val="0"/>
                  <w:divBdr>
                    <w:top w:val="none" w:sz="0" w:space="0" w:color="auto"/>
                    <w:left w:val="none" w:sz="0" w:space="0" w:color="auto"/>
                    <w:bottom w:val="none" w:sz="0" w:space="0" w:color="auto"/>
                    <w:right w:val="none" w:sz="0" w:space="0" w:color="auto"/>
                  </w:divBdr>
                  <w:divsChild>
                    <w:div w:id="239027833">
                      <w:marLeft w:val="0"/>
                      <w:marRight w:val="0"/>
                      <w:marTop w:val="0"/>
                      <w:marBottom w:val="0"/>
                      <w:divBdr>
                        <w:top w:val="none" w:sz="0" w:space="0" w:color="auto"/>
                        <w:left w:val="none" w:sz="0" w:space="0" w:color="auto"/>
                        <w:bottom w:val="none" w:sz="0" w:space="0" w:color="auto"/>
                        <w:right w:val="none" w:sz="0" w:space="0" w:color="auto"/>
                      </w:divBdr>
                      <w:divsChild>
                        <w:div w:id="6287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873713">
      <w:bodyDiv w:val="1"/>
      <w:marLeft w:val="0"/>
      <w:marRight w:val="0"/>
      <w:marTop w:val="0"/>
      <w:marBottom w:val="0"/>
      <w:divBdr>
        <w:top w:val="none" w:sz="0" w:space="0" w:color="auto"/>
        <w:left w:val="none" w:sz="0" w:space="0" w:color="auto"/>
        <w:bottom w:val="none" w:sz="0" w:space="0" w:color="auto"/>
        <w:right w:val="none" w:sz="0" w:space="0" w:color="auto"/>
      </w:divBdr>
    </w:div>
    <w:div w:id="1676763026">
      <w:bodyDiv w:val="1"/>
      <w:marLeft w:val="0"/>
      <w:marRight w:val="0"/>
      <w:marTop w:val="0"/>
      <w:marBottom w:val="0"/>
      <w:divBdr>
        <w:top w:val="none" w:sz="0" w:space="0" w:color="auto"/>
        <w:left w:val="none" w:sz="0" w:space="0" w:color="auto"/>
        <w:bottom w:val="none" w:sz="0" w:space="0" w:color="auto"/>
        <w:right w:val="none" w:sz="0" w:space="0" w:color="auto"/>
      </w:divBdr>
    </w:div>
    <w:div w:id="1689477671">
      <w:bodyDiv w:val="1"/>
      <w:marLeft w:val="0"/>
      <w:marRight w:val="0"/>
      <w:marTop w:val="0"/>
      <w:marBottom w:val="0"/>
      <w:divBdr>
        <w:top w:val="none" w:sz="0" w:space="0" w:color="auto"/>
        <w:left w:val="none" w:sz="0" w:space="0" w:color="auto"/>
        <w:bottom w:val="none" w:sz="0" w:space="0" w:color="auto"/>
        <w:right w:val="none" w:sz="0" w:space="0" w:color="auto"/>
      </w:divBdr>
    </w:div>
    <w:div w:id="1778409989">
      <w:bodyDiv w:val="1"/>
      <w:marLeft w:val="0"/>
      <w:marRight w:val="0"/>
      <w:marTop w:val="0"/>
      <w:marBottom w:val="0"/>
      <w:divBdr>
        <w:top w:val="none" w:sz="0" w:space="0" w:color="auto"/>
        <w:left w:val="none" w:sz="0" w:space="0" w:color="auto"/>
        <w:bottom w:val="none" w:sz="0" w:space="0" w:color="auto"/>
        <w:right w:val="none" w:sz="0" w:space="0" w:color="auto"/>
      </w:divBdr>
    </w:div>
    <w:div w:id="1818302496">
      <w:bodyDiv w:val="1"/>
      <w:marLeft w:val="0"/>
      <w:marRight w:val="0"/>
      <w:marTop w:val="0"/>
      <w:marBottom w:val="0"/>
      <w:divBdr>
        <w:top w:val="none" w:sz="0" w:space="0" w:color="auto"/>
        <w:left w:val="none" w:sz="0" w:space="0" w:color="auto"/>
        <w:bottom w:val="none" w:sz="0" w:space="0" w:color="auto"/>
        <w:right w:val="none" w:sz="0" w:space="0" w:color="auto"/>
      </w:divBdr>
    </w:div>
    <w:div w:id="1835755991">
      <w:bodyDiv w:val="1"/>
      <w:marLeft w:val="0"/>
      <w:marRight w:val="0"/>
      <w:marTop w:val="0"/>
      <w:marBottom w:val="0"/>
      <w:divBdr>
        <w:top w:val="none" w:sz="0" w:space="0" w:color="auto"/>
        <w:left w:val="none" w:sz="0" w:space="0" w:color="auto"/>
        <w:bottom w:val="none" w:sz="0" w:space="0" w:color="auto"/>
        <w:right w:val="none" w:sz="0" w:space="0" w:color="auto"/>
      </w:divBdr>
      <w:divsChild>
        <w:div w:id="461726845">
          <w:marLeft w:val="0"/>
          <w:marRight w:val="0"/>
          <w:marTop w:val="0"/>
          <w:marBottom w:val="0"/>
          <w:divBdr>
            <w:top w:val="none" w:sz="0" w:space="0" w:color="auto"/>
            <w:left w:val="none" w:sz="0" w:space="0" w:color="auto"/>
            <w:bottom w:val="none" w:sz="0" w:space="0" w:color="auto"/>
            <w:right w:val="none" w:sz="0" w:space="0" w:color="auto"/>
          </w:divBdr>
          <w:divsChild>
            <w:div w:id="342325167">
              <w:marLeft w:val="0"/>
              <w:marRight w:val="0"/>
              <w:marTop w:val="0"/>
              <w:marBottom w:val="0"/>
              <w:divBdr>
                <w:top w:val="none" w:sz="0" w:space="0" w:color="auto"/>
                <w:left w:val="none" w:sz="0" w:space="0" w:color="auto"/>
                <w:bottom w:val="none" w:sz="0" w:space="0" w:color="auto"/>
                <w:right w:val="none" w:sz="0" w:space="0" w:color="auto"/>
              </w:divBdr>
              <w:divsChild>
                <w:div w:id="1881866744">
                  <w:marLeft w:val="0"/>
                  <w:marRight w:val="0"/>
                  <w:marTop w:val="0"/>
                  <w:marBottom w:val="0"/>
                  <w:divBdr>
                    <w:top w:val="none" w:sz="0" w:space="0" w:color="auto"/>
                    <w:left w:val="none" w:sz="0" w:space="0" w:color="auto"/>
                    <w:bottom w:val="none" w:sz="0" w:space="0" w:color="auto"/>
                    <w:right w:val="none" w:sz="0" w:space="0" w:color="auto"/>
                  </w:divBdr>
                  <w:divsChild>
                    <w:div w:id="1197308142">
                      <w:marLeft w:val="0"/>
                      <w:marRight w:val="0"/>
                      <w:marTop w:val="0"/>
                      <w:marBottom w:val="0"/>
                      <w:divBdr>
                        <w:top w:val="none" w:sz="0" w:space="0" w:color="auto"/>
                        <w:left w:val="none" w:sz="0" w:space="0" w:color="auto"/>
                        <w:bottom w:val="none" w:sz="0" w:space="0" w:color="auto"/>
                        <w:right w:val="none" w:sz="0" w:space="0" w:color="auto"/>
                      </w:divBdr>
                      <w:divsChild>
                        <w:div w:id="86953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307505">
      <w:bodyDiv w:val="1"/>
      <w:marLeft w:val="0"/>
      <w:marRight w:val="0"/>
      <w:marTop w:val="0"/>
      <w:marBottom w:val="0"/>
      <w:divBdr>
        <w:top w:val="none" w:sz="0" w:space="0" w:color="auto"/>
        <w:left w:val="none" w:sz="0" w:space="0" w:color="auto"/>
        <w:bottom w:val="none" w:sz="0" w:space="0" w:color="auto"/>
        <w:right w:val="none" w:sz="0" w:space="0" w:color="auto"/>
      </w:divBdr>
    </w:div>
    <w:div w:id="1885825661">
      <w:bodyDiv w:val="1"/>
      <w:marLeft w:val="0"/>
      <w:marRight w:val="0"/>
      <w:marTop w:val="0"/>
      <w:marBottom w:val="0"/>
      <w:divBdr>
        <w:top w:val="none" w:sz="0" w:space="0" w:color="auto"/>
        <w:left w:val="none" w:sz="0" w:space="0" w:color="auto"/>
        <w:bottom w:val="none" w:sz="0" w:space="0" w:color="auto"/>
        <w:right w:val="none" w:sz="0" w:space="0" w:color="auto"/>
      </w:divBdr>
    </w:div>
    <w:div w:id="1898125258">
      <w:bodyDiv w:val="1"/>
      <w:marLeft w:val="0"/>
      <w:marRight w:val="0"/>
      <w:marTop w:val="0"/>
      <w:marBottom w:val="0"/>
      <w:divBdr>
        <w:top w:val="none" w:sz="0" w:space="0" w:color="auto"/>
        <w:left w:val="none" w:sz="0" w:space="0" w:color="auto"/>
        <w:bottom w:val="none" w:sz="0" w:space="0" w:color="auto"/>
        <w:right w:val="none" w:sz="0" w:space="0" w:color="auto"/>
      </w:divBdr>
    </w:div>
    <w:div w:id="1957712718">
      <w:bodyDiv w:val="1"/>
      <w:marLeft w:val="0"/>
      <w:marRight w:val="0"/>
      <w:marTop w:val="0"/>
      <w:marBottom w:val="0"/>
      <w:divBdr>
        <w:top w:val="none" w:sz="0" w:space="0" w:color="auto"/>
        <w:left w:val="none" w:sz="0" w:space="0" w:color="auto"/>
        <w:bottom w:val="none" w:sz="0" w:space="0" w:color="auto"/>
        <w:right w:val="none" w:sz="0" w:space="0" w:color="auto"/>
      </w:divBdr>
    </w:div>
    <w:div w:id="202659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28/mr.53.1.121-147.1989" TargetMode="External"/><Relationship Id="rId18" Type="http://schemas.openxmlformats.org/officeDocument/2006/relationships/hyperlink" Target="https://doi.org/10.1016/j.aqrep.2020.100503" TargetMode="External"/><Relationship Id="rId26" Type="http://schemas.openxmlformats.org/officeDocument/2006/relationships/hyperlink" Target="https://doi.org/10.1002/jobm.201500600" TargetMode="External"/><Relationship Id="rId39" Type="http://schemas.openxmlformats.org/officeDocument/2006/relationships/fontTable" Target="fontTable.xml"/><Relationship Id="rId21" Type="http://schemas.openxmlformats.org/officeDocument/2006/relationships/hyperlink" Target="https://doi.org/10.1007/BF01195840" TargetMode="External"/><Relationship Id="rId34" Type="http://schemas.openxmlformats.org/officeDocument/2006/relationships/header" Target="header2.xml"/><Relationship Id="rId7" Type="http://schemas.openxmlformats.org/officeDocument/2006/relationships/chart" Target="charts/chart1.xml"/><Relationship Id="rId12" Type="http://schemas.openxmlformats.org/officeDocument/2006/relationships/hyperlink" Target="https://doi.org/10.1016/S0141-0229(02)00293-4" TargetMode="External"/><Relationship Id="rId17" Type="http://schemas.openxmlformats.org/officeDocument/2006/relationships/hyperlink" Target="https://doi.org/10.1007/s00253-002-1142-1" TargetMode="External"/><Relationship Id="rId25" Type="http://schemas.openxmlformats.org/officeDocument/2006/relationships/hyperlink" Target="https://doi.org/10.1111/j.1365-2672.1980.tb05205.x"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155/2017/1272193" TargetMode="External"/><Relationship Id="rId20" Type="http://schemas.openxmlformats.org/officeDocument/2006/relationships/hyperlink" Target="https://doi.org/10.1016/j.bej.2009.07.005" TargetMode="External"/><Relationship Id="rId29" Type="http://schemas.openxmlformats.org/officeDocument/2006/relationships/hyperlink" Target="https://doi.org/10.1080/01652176.2016.117213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andardmethods.org/" TargetMode="External"/><Relationship Id="rId24" Type="http://schemas.openxmlformats.org/officeDocument/2006/relationships/hyperlink" Target="https://doi.org/10.1007/s11356-022-20608-0" TargetMode="External"/><Relationship Id="rId32" Type="http://schemas.openxmlformats.org/officeDocument/2006/relationships/hyperlink" Target="https://doi.org/10.1002/jobm.201500501"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11/j.1574-695X.2006.00116.x" TargetMode="External"/><Relationship Id="rId23" Type="http://schemas.openxmlformats.org/officeDocument/2006/relationships/hyperlink" Target="https://doi.org/10.1007/s00253-007-1250-z" TargetMode="External"/><Relationship Id="rId28" Type="http://schemas.openxmlformats.org/officeDocument/2006/relationships/hyperlink" Target="https://doi.org/10.2983/035.031.0333" TargetMode="External"/><Relationship Id="rId36" Type="http://schemas.openxmlformats.org/officeDocument/2006/relationships/footer" Target="footer2.xml"/><Relationship Id="rId10" Type="http://schemas.openxmlformats.org/officeDocument/2006/relationships/hyperlink" Target="https://doi.org/10.1016/j.fsi.2015.05.038" TargetMode="External"/><Relationship Id="rId19" Type="http://schemas.openxmlformats.org/officeDocument/2006/relationships/hyperlink" Target="https://www.sciencedirect.com/science/article/pii/S2352513420305937?utm_source=chatgpt.com" TargetMode="External"/><Relationship Id="rId31" Type="http://schemas.openxmlformats.org/officeDocument/2006/relationships/hyperlink" Target="https://doi.org/10.3390/pr10061050"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007/s11274-016-2081-9" TargetMode="External"/><Relationship Id="rId22" Type="http://schemas.openxmlformats.org/officeDocument/2006/relationships/hyperlink" Target="https://doi.org/10.4014/jmb.2404.04016" TargetMode="External"/><Relationship Id="rId27" Type="http://schemas.openxmlformats.org/officeDocument/2006/relationships/hyperlink" Target="https://doi.org/10.1111/j.1574-6976.2002.tb00598.x" TargetMode="External"/><Relationship Id="rId30" Type="http://schemas.openxmlformats.org/officeDocument/2006/relationships/hyperlink" Target="https://doi.org/10.1016/j.ab.2006.01.036" TargetMode="External"/><Relationship Id="rId35" Type="http://schemas.openxmlformats.org/officeDocument/2006/relationships/footer" Target="footer1.xml"/><Relationship Id="rId8" Type="http://schemas.openxmlformats.org/officeDocument/2006/relationships/chart" Target="charts/chart2.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35411198600175"/>
          <c:y val="5.0925925925925923E-2"/>
          <c:w val="0.83609033245844266"/>
          <c:h val="0.75042848781349736"/>
        </c:manualLayout>
      </c:layout>
      <c:barChart>
        <c:barDir val="col"/>
        <c:grouping val="clustered"/>
        <c:varyColors val="0"/>
        <c:ser>
          <c:idx val="1"/>
          <c:order val="0"/>
          <c:tx>
            <c:strRef>
              <c:f>Sheet1!$E$11</c:f>
              <c:strCache>
                <c:ptCount val="1"/>
                <c:pt idx="0">
                  <c:v>Log10(CFU/mL)</c:v>
                </c:pt>
              </c:strCache>
            </c:strRef>
          </c:tx>
          <c:spPr>
            <a:solidFill>
              <a:schemeClr val="bg2">
                <a:lumMod val="75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Sheet1!$F$9:$P$9</c:f>
              <c:numCache>
                <c:formatCode>General</c:formatCode>
                <c:ptCount val="11"/>
                <c:pt idx="0" formatCode="0.0">
                  <c:v>0</c:v>
                </c:pt>
                <c:pt idx="1">
                  <c:v>0.5</c:v>
                </c:pt>
                <c:pt idx="2" formatCode="0.0">
                  <c:v>1</c:v>
                </c:pt>
                <c:pt idx="3">
                  <c:v>1.5</c:v>
                </c:pt>
                <c:pt idx="4" formatCode="0.0">
                  <c:v>2</c:v>
                </c:pt>
                <c:pt idx="5">
                  <c:v>2.5</c:v>
                </c:pt>
                <c:pt idx="6" formatCode="0.0">
                  <c:v>3</c:v>
                </c:pt>
                <c:pt idx="7">
                  <c:v>3.5</c:v>
                </c:pt>
                <c:pt idx="8" formatCode="0.0">
                  <c:v>4</c:v>
                </c:pt>
                <c:pt idx="9">
                  <c:v>4.5</c:v>
                </c:pt>
                <c:pt idx="10" formatCode="0.0">
                  <c:v>5</c:v>
                </c:pt>
              </c:numCache>
            </c:numRef>
          </c:cat>
          <c:val>
            <c:numRef>
              <c:f>Sheet1!$F$11:$P$11</c:f>
              <c:numCache>
                <c:formatCode>0.00</c:formatCode>
                <c:ptCount val="11"/>
                <c:pt idx="0">
                  <c:v>7.6789639999999997</c:v>
                </c:pt>
                <c:pt idx="1">
                  <c:v>7.6084459999999998</c:v>
                </c:pt>
                <c:pt idx="2">
                  <c:v>7.5246420000000001</c:v>
                </c:pt>
                <c:pt idx="3">
                  <c:v>7.496537</c:v>
                </c:pt>
                <c:pt idx="4">
                  <c:v>7.4714980000000004</c:v>
                </c:pt>
                <c:pt idx="5">
                  <c:v>7.4387939999999997</c:v>
                </c:pt>
                <c:pt idx="6">
                  <c:v>7.1214630000000003</c:v>
                </c:pt>
                <c:pt idx="7">
                  <c:v>7.047879</c:v>
                </c:pt>
                <c:pt idx="8">
                  <c:v>6.9906470000000001</c:v>
                </c:pt>
                <c:pt idx="9">
                  <c:v>6.899178</c:v>
                </c:pt>
                <c:pt idx="10">
                  <c:v>6.8353029999999997</c:v>
                </c:pt>
              </c:numCache>
            </c:numRef>
          </c:val>
          <c:extLst>
            <c:ext xmlns:c16="http://schemas.microsoft.com/office/drawing/2014/chart" uri="{C3380CC4-5D6E-409C-BE32-E72D297353CC}">
              <c16:uniqueId val="{00000000-9245-4B40-A465-A1207ED07DAD}"/>
            </c:ext>
          </c:extLst>
        </c:ser>
        <c:dLbls>
          <c:showLegendKey val="0"/>
          <c:showVal val="0"/>
          <c:showCatName val="0"/>
          <c:showSerName val="0"/>
          <c:showPercent val="0"/>
          <c:showBubbleSize val="0"/>
        </c:dLbls>
        <c:gapWidth val="219"/>
        <c:overlap val="-27"/>
        <c:axId val="546094072"/>
        <c:axId val="546091912"/>
      </c:barChart>
      <c:catAx>
        <c:axId val="5460940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Salt concentration (%NaCl)</a:t>
                </a:r>
              </a:p>
            </c:rich>
          </c:tx>
          <c:layout>
            <c:manualLayout>
              <c:xMode val="edge"/>
              <c:yMode val="edge"/>
              <c:x val="0.64670703384025452"/>
              <c:y val="0.9351908387667455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46091912"/>
        <c:crosses val="autoZero"/>
        <c:auto val="1"/>
        <c:lblAlgn val="ctr"/>
        <c:lblOffset val="100"/>
        <c:noMultiLvlLbl val="0"/>
      </c:catAx>
      <c:valAx>
        <c:axId val="546091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Log10(CFU/mL)</a:t>
                </a:r>
              </a:p>
            </c:rich>
          </c:tx>
          <c:layout>
            <c:manualLayout>
              <c:xMode val="edge"/>
              <c:yMode val="edge"/>
              <c:x val="1.9444444444444445E-2"/>
              <c:y val="6.2719816272965884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46094072"/>
        <c:crosses val="autoZero"/>
        <c:crossBetween val="between"/>
      </c:valAx>
      <c:spPr>
        <a:solidFill>
          <a:schemeClr val="bg1"/>
        </a:solidFill>
        <a:ln>
          <a:solidFill>
            <a:schemeClr val="tx1">
              <a:lumMod val="50000"/>
              <a:lumOff val="50000"/>
            </a:schemeClr>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942088502633299"/>
          <c:y val="7.4829931972789115E-2"/>
          <c:w val="0.83379557467661325"/>
          <c:h val="0.71102040816326528"/>
        </c:manualLayout>
      </c:layout>
      <c:barChart>
        <c:barDir val="col"/>
        <c:grouping val="clustered"/>
        <c:varyColors val="0"/>
        <c:ser>
          <c:idx val="4"/>
          <c:order val="0"/>
          <c:tx>
            <c:strRef>
              <c:f>Sheet1!$Q$73</c:f>
              <c:strCache>
                <c:ptCount val="1"/>
                <c:pt idx="0">
                  <c:v>Amylase (UI/mL)</c:v>
                </c:pt>
              </c:strCache>
            </c:strRef>
          </c:tx>
          <c:spPr>
            <a:solidFill>
              <a:schemeClr val="bg1">
                <a:lumMod val="75000"/>
              </a:schemeClr>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67E-49A6-9544-F95020A78F5E}"/>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67E-49A6-9544-F95020A78F5E}"/>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67E-49A6-9544-F95020A78F5E}"/>
                </c:ext>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67E-49A6-9544-F95020A78F5E}"/>
                </c:ext>
              </c:extLst>
            </c:dLbl>
            <c:dLbl>
              <c:idx val="4"/>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67E-49A6-9544-F95020A78F5E}"/>
                </c:ext>
              </c:extLst>
            </c:dLbl>
            <c:dLbl>
              <c:idx val="5"/>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67E-49A6-9544-F95020A78F5E}"/>
                </c:ext>
              </c:extLst>
            </c:dLbl>
            <c:dLbl>
              <c:idx val="6"/>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67E-49A6-9544-F95020A78F5E}"/>
                </c:ext>
              </c:extLst>
            </c:dLbl>
            <c:dLbl>
              <c:idx val="7"/>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67E-49A6-9544-F95020A78F5E}"/>
                </c:ext>
              </c:extLst>
            </c:dLbl>
            <c:dLbl>
              <c:idx val="8"/>
              <c:tx>
                <c:rich>
                  <a:bodyPr/>
                  <a:lstStyle/>
                  <a:p>
                    <a:r>
                      <a:rPr lang="en-US"/>
                      <a:t>ef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67E-49A6-9544-F95020A78F5E}"/>
                </c:ext>
              </c:extLst>
            </c:dLbl>
            <c:dLbl>
              <c:idx val="9"/>
              <c:tx>
                <c:rich>
                  <a:bodyPr/>
                  <a:lstStyle/>
                  <a:p>
                    <a:r>
                      <a:rPr lang="en-US"/>
                      <a:t>e,f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67E-49A6-9544-F95020A78F5E}"/>
                </c:ext>
              </c:extLst>
            </c:dLbl>
            <c:dLbl>
              <c:idx val="10"/>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67E-49A6-9544-F95020A78F5E}"/>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numRef>
              <c:f>Sheet1!$P$74:$P$84</c:f>
              <c:numCache>
                <c:formatCode>General</c:formatCode>
                <c:ptCount val="11"/>
                <c:pt idx="0" formatCode="0.0">
                  <c:v>0</c:v>
                </c:pt>
                <c:pt idx="1">
                  <c:v>0.5</c:v>
                </c:pt>
                <c:pt idx="2" formatCode="0.0">
                  <c:v>1</c:v>
                </c:pt>
                <c:pt idx="3">
                  <c:v>1.5</c:v>
                </c:pt>
                <c:pt idx="4" formatCode="0.0">
                  <c:v>2</c:v>
                </c:pt>
                <c:pt idx="5">
                  <c:v>2.5</c:v>
                </c:pt>
                <c:pt idx="6" formatCode="0.0">
                  <c:v>3</c:v>
                </c:pt>
                <c:pt idx="7">
                  <c:v>3.5</c:v>
                </c:pt>
                <c:pt idx="8" formatCode="0.0">
                  <c:v>4</c:v>
                </c:pt>
                <c:pt idx="9">
                  <c:v>4.5</c:v>
                </c:pt>
                <c:pt idx="10" formatCode="0.0">
                  <c:v>5</c:v>
                </c:pt>
              </c:numCache>
            </c:numRef>
          </c:cat>
          <c:val>
            <c:numRef>
              <c:f>Sheet1!$Q$74:$Q$84</c:f>
              <c:numCache>
                <c:formatCode>0.00</c:formatCode>
                <c:ptCount val="11"/>
                <c:pt idx="0">
                  <c:v>13.6</c:v>
                </c:pt>
                <c:pt idx="1">
                  <c:v>13.4</c:v>
                </c:pt>
                <c:pt idx="2">
                  <c:v>13.066666666666668</c:v>
                </c:pt>
                <c:pt idx="3">
                  <c:v>9.6666666666666661</c:v>
                </c:pt>
                <c:pt idx="4">
                  <c:v>9.2666666666666657</c:v>
                </c:pt>
                <c:pt idx="5">
                  <c:v>8.7999999999999989</c:v>
                </c:pt>
                <c:pt idx="6">
                  <c:v>5.333333333333333</c:v>
                </c:pt>
                <c:pt idx="7">
                  <c:v>2.1</c:v>
                </c:pt>
                <c:pt idx="8">
                  <c:v>1.7666666666666666</c:v>
                </c:pt>
                <c:pt idx="9">
                  <c:v>1.8</c:v>
                </c:pt>
                <c:pt idx="10">
                  <c:v>1.3666666666666665</c:v>
                </c:pt>
              </c:numCache>
            </c:numRef>
          </c:val>
          <c:extLst>
            <c:ext xmlns:c16="http://schemas.microsoft.com/office/drawing/2014/chart" uri="{C3380CC4-5D6E-409C-BE32-E72D297353CC}">
              <c16:uniqueId val="{0000000B-E67E-49A6-9544-F95020A78F5E}"/>
            </c:ext>
          </c:extLst>
        </c:ser>
        <c:dLbls>
          <c:dLblPos val="outEnd"/>
          <c:showLegendKey val="0"/>
          <c:showVal val="1"/>
          <c:showCatName val="0"/>
          <c:showSerName val="0"/>
          <c:showPercent val="0"/>
          <c:showBubbleSize val="0"/>
        </c:dLbls>
        <c:gapWidth val="219"/>
        <c:overlap val="-27"/>
        <c:axId val="627961920"/>
        <c:axId val="627963000"/>
      </c:barChart>
      <c:catAx>
        <c:axId val="6279619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Salt concentrations (%NaCl) </a:t>
                </a:r>
              </a:p>
            </c:rich>
          </c:tx>
          <c:layout>
            <c:manualLayout>
              <c:xMode val="edge"/>
              <c:yMode val="edge"/>
              <c:x val="0.60179046369203848"/>
              <c:y val="0.8833100029163021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27963000"/>
        <c:crosses val="autoZero"/>
        <c:auto val="1"/>
        <c:lblAlgn val="ctr"/>
        <c:lblOffset val="100"/>
        <c:noMultiLvlLbl val="0"/>
      </c:catAx>
      <c:valAx>
        <c:axId val="627963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Amylase activity (U/mL)</a:t>
                </a:r>
              </a:p>
            </c:rich>
          </c:tx>
          <c:layout>
            <c:manualLayout>
              <c:xMode val="edge"/>
              <c:yMode val="edge"/>
              <c:x val="1.9444444444444445E-2"/>
              <c:y val="7.5049941673957427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27961920"/>
        <c:crosses val="autoZero"/>
        <c:crossBetween val="between"/>
      </c:valAx>
      <c:spPr>
        <a:noFill/>
        <a:ln>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lgn="just">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176815419736311"/>
          <c:y val="7.4475287745429927E-2"/>
          <c:w val="0.83099738182640515"/>
          <c:h val="0.67176709546377789"/>
        </c:manualLayout>
      </c:layout>
      <c:barChart>
        <c:barDir val="col"/>
        <c:grouping val="clustered"/>
        <c:varyColors val="0"/>
        <c:ser>
          <c:idx val="1"/>
          <c:order val="0"/>
          <c:tx>
            <c:strRef>
              <c:f>Sheet1!$AF$73</c:f>
              <c:strCache>
                <c:ptCount val="1"/>
                <c:pt idx="0">
                  <c:v>Protease  (U/mL)</c:v>
                </c:pt>
              </c:strCache>
            </c:strRef>
          </c:tx>
          <c:spPr>
            <a:solidFill>
              <a:schemeClr val="bg1">
                <a:lumMod val="75000"/>
              </a:schemeClr>
            </a:solidFill>
            <a:ln>
              <a:noFill/>
            </a:ln>
            <a:effectLst/>
          </c:spPr>
          <c:invertIfNegative val="0"/>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8B2-4C94-A743-48983AF69487}"/>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8B2-4C94-A743-48983AF69487}"/>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8B2-4C94-A743-48983AF69487}"/>
                </c:ext>
              </c:extLst>
            </c:dLbl>
            <c:dLbl>
              <c:idx val="3"/>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8B2-4C94-A743-48983AF69487}"/>
                </c:ext>
              </c:extLst>
            </c:dLbl>
            <c:dLbl>
              <c:idx val="4"/>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8B2-4C94-A743-48983AF69487}"/>
                </c:ext>
              </c:extLst>
            </c:dLbl>
            <c:dLbl>
              <c:idx val="5"/>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8B2-4C94-A743-48983AF69487}"/>
                </c:ext>
              </c:extLst>
            </c:dLbl>
            <c:dLbl>
              <c:idx val="6"/>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8B2-4C94-A743-48983AF69487}"/>
                </c:ext>
              </c:extLst>
            </c:dLbl>
            <c:dLbl>
              <c:idx val="7"/>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8B2-4C94-A743-48983AF69487}"/>
                </c:ext>
              </c:extLst>
            </c:dLbl>
            <c:dLbl>
              <c:idx val="8"/>
              <c:tx>
                <c:rich>
                  <a:bodyPr/>
                  <a:lstStyle/>
                  <a:p>
                    <a:r>
                      <a:rPr lang="en-US"/>
                      <a:t>g</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8B2-4C94-A743-48983AF69487}"/>
                </c:ext>
              </c:extLst>
            </c:dLbl>
            <c:dLbl>
              <c:idx val="9"/>
              <c:tx>
                <c:rich>
                  <a:bodyPr/>
                  <a:lstStyle/>
                  <a:p>
                    <a:r>
                      <a:rPr lang="en-US"/>
                      <a:t>h</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8B2-4C94-A743-48983AF69487}"/>
                </c:ext>
              </c:extLst>
            </c:dLbl>
            <c:dLbl>
              <c:idx val="10"/>
              <c:tx>
                <c:rich>
                  <a:bodyPr/>
                  <a:lstStyle/>
                  <a:p>
                    <a:r>
                      <a:rPr lang="en-US"/>
                      <a:t>h</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8B2-4C94-A743-48983AF69487}"/>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numRef>
              <c:f>Sheet1!$AE$74:$AE$84</c:f>
              <c:numCache>
                <c:formatCode>General</c:formatCode>
                <c:ptCount val="11"/>
                <c:pt idx="0" formatCode="0.0">
                  <c:v>0</c:v>
                </c:pt>
                <c:pt idx="1">
                  <c:v>0.5</c:v>
                </c:pt>
                <c:pt idx="2" formatCode="0.0">
                  <c:v>1</c:v>
                </c:pt>
                <c:pt idx="3">
                  <c:v>1.5</c:v>
                </c:pt>
                <c:pt idx="4" formatCode="0.0">
                  <c:v>2</c:v>
                </c:pt>
                <c:pt idx="5">
                  <c:v>2.5</c:v>
                </c:pt>
                <c:pt idx="6" formatCode="0.0">
                  <c:v>3</c:v>
                </c:pt>
                <c:pt idx="7">
                  <c:v>3.5</c:v>
                </c:pt>
                <c:pt idx="8" formatCode="0.0">
                  <c:v>4</c:v>
                </c:pt>
                <c:pt idx="9">
                  <c:v>4.5</c:v>
                </c:pt>
                <c:pt idx="10" formatCode="0.0">
                  <c:v>5</c:v>
                </c:pt>
              </c:numCache>
            </c:numRef>
          </c:cat>
          <c:val>
            <c:numRef>
              <c:f>Sheet1!$AF$74:$AF$84</c:f>
              <c:numCache>
                <c:formatCode>0.00</c:formatCode>
                <c:ptCount val="11"/>
                <c:pt idx="0">
                  <c:v>32.199999999999996</c:v>
                </c:pt>
                <c:pt idx="1">
                  <c:v>31.899999999999995</c:v>
                </c:pt>
                <c:pt idx="2">
                  <c:v>29.900000000000002</c:v>
                </c:pt>
                <c:pt idx="3">
                  <c:v>25.933333333333334</c:v>
                </c:pt>
                <c:pt idx="4">
                  <c:v>24.400000000000002</c:v>
                </c:pt>
                <c:pt idx="5">
                  <c:v>23.666666666666668</c:v>
                </c:pt>
                <c:pt idx="6">
                  <c:v>18.099999999999998</c:v>
                </c:pt>
                <c:pt idx="7">
                  <c:v>10.1</c:v>
                </c:pt>
                <c:pt idx="8">
                  <c:v>8.0666666666666682</c:v>
                </c:pt>
                <c:pt idx="9">
                  <c:v>6.5333333333333323</c:v>
                </c:pt>
                <c:pt idx="10">
                  <c:v>5.7333333333333343</c:v>
                </c:pt>
              </c:numCache>
            </c:numRef>
          </c:val>
          <c:extLst>
            <c:ext xmlns:c16="http://schemas.microsoft.com/office/drawing/2014/chart" uri="{C3380CC4-5D6E-409C-BE32-E72D297353CC}">
              <c16:uniqueId val="{0000000B-D8B2-4C94-A743-48983AF69487}"/>
            </c:ext>
          </c:extLst>
        </c:ser>
        <c:dLbls>
          <c:dLblPos val="outEnd"/>
          <c:showLegendKey val="0"/>
          <c:showVal val="1"/>
          <c:showCatName val="0"/>
          <c:showSerName val="0"/>
          <c:showPercent val="0"/>
          <c:showBubbleSize val="0"/>
        </c:dLbls>
        <c:gapWidth val="219"/>
        <c:overlap val="-27"/>
        <c:axId val="468276592"/>
        <c:axId val="508612672"/>
      </c:barChart>
      <c:catAx>
        <c:axId val="4682765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Salt concentrations (%NaCl)</a:t>
                </a:r>
              </a:p>
            </c:rich>
          </c:tx>
          <c:layout>
            <c:manualLayout>
              <c:xMode val="edge"/>
              <c:yMode val="edge"/>
              <c:x val="0.61835957680333287"/>
              <c:y val="0.8833099654012442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08612672"/>
        <c:crosses val="autoZero"/>
        <c:auto val="1"/>
        <c:lblAlgn val="ctr"/>
        <c:lblOffset val="100"/>
        <c:noMultiLvlLbl val="0"/>
      </c:catAx>
      <c:valAx>
        <c:axId val="508612672"/>
        <c:scaling>
          <c:orientation val="minMax"/>
        </c:scaling>
        <c:delete val="0"/>
        <c:axPos val="l"/>
        <c:majorGridlines>
          <c:spPr>
            <a:ln w="9525" cap="flat" cmpd="sng" algn="ctr">
              <a:solidFill>
                <a:schemeClr val="bg1">
                  <a:lumMod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Protease activity (U/mL)</a:t>
                </a:r>
              </a:p>
            </c:rich>
          </c:tx>
          <c:layout>
            <c:manualLayout>
              <c:xMode val="edge"/>
              <c:yMode val="edge"/>
              <c:x val="1.7331022530329289E-2"/>
              <c:y val="2.7081922816519974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68276592"/>
        <c:crosses val="autoZero"/>
        <c:crossBetween val="between"/>
      </c:valAx>
      <c:spPr>
        <a:noFill/>
        <a:ln>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lgn="just">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1219</TotalTime>
  <Pages>8</Pages>
  <Words>3548</Words>
  <Characters>20230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5086-Trần Trung Kiên-Viện Sinh học nhiệt đới</dc:creator>
  <cp:keywords/>
  <dc:description/>
  <cp:lastModifiedBy>SDI 1084</cp:lastModifiedBy>
  <cp:revision>178</cp:revision>
  <dcterms:created xsi:type="dcterms:W3CDTF">2025-12-03T03:35:00Z</dcterms:created>
  <dcterms:modified xsi:type="dcterms:W3CDTF">2025-12-13T13:55:00Z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7f514ad9-29cf-4427-9ae4-6503468a643f</vt:lpwstr>
  </property>
</Properties>
</file>