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F313B" w14:textId="77777777" w:rsidR="000E1F57" w:rsidRPr="002C6CDB" w:rsidRDefault="000E1F57" w:rsidP="000E1F57">
      <w:pPr>
        <w:jc w:val="right"/>
        <w:rPr>
          <w:rFonts w:ascii="Arial" w:hAnsi="Arial" w:cs="Arial"/>
          <w:b/>
          <w:sz w:val="36"/>
          <w:szCs w:val="36"/>
        </w:rPr>
      </w:pPr>
      <w:r w:rsidRPr="002C6CDB">
        <w:rPr>
          <w:rFonts w:ascii="Arial" w:hAnsi="Arial" w:cs="Arial"/>
          <w:b/>
          <w:sz w:val="36"/>
          <w:szCs w:val="36"/>
        </w:rPr>
        <w:t>Microbial Characterization and Public Health Risk Assessment of Heavy Metals in Soil</w:t>
      </w:r>
    </w:p>
    <w:p w14:paraId="4210A35D" w14:textId="77777777" w:rsidR="000E1F57" w:rsidRPr="002C6CDB" w:rsidRDefault="000E1F57" w:rsidP="000E1F57">
      <w:pPr>
        <w:jc w:val="right"/>
        <w:rPr>
          <w:rFonts w:ascii="Arial" w:hAnsi="Arial" w:cs="Arial"/>
          <w:b/>
          <w:sz w:val="24"/>
          <w:szCs w:val="24"/>
        </w:rPr>
      </w:pPr>
    </w:p>
    <w:p w14:paraId="3FA7AF96" w14:textId="77777777" w:rsidR="0004360B" w:rsidRDefault="0004360B" w:rsidP="000E1F57">
      <w:pPr>
        <w:spacing w:line="276" w:lineRule="auto"/>
        <w:jc w:val="right"/>
        <w:rPr>
          <w:rFonts w:ascii="Arial" w:hAnsi="Arial" w:cs="Arial"/>
          <w:b/>
          <w:sz w:val="24"/>
          <w:szCs w:val="24"/>
        </w:rPr>
      </w:pPr>
    </w:p>
    <w:p w14:paraId="1CEE51E6" w14:textId="7146AEAA" w:rsidR="00253918" w:rsidRPr="00F843CC" w:rsidRDefault="00253918" w:rsidP="000E1F57">
      <w:pPr>
        <w:spacing w:line="276" w:lineRule="auto"/>
        <w:jc w:val="right"/>
        <w:rPr>
          <w:rFonts w:ascii="Arial" w:hAnsi="Arial" w:cs="Arial"/>
          <w:bCs/>
          <w:iCs/>
          <w:kern w:val="28"/>
          <w:sz w:val="24"/>
          <w:szCs w:val="24"/>
        </w:rPr>
      </w:pPr>
      <w:r w:rsidRPr="00F843CC">
        <w:rPr>
          <w:rFonts w:ascii="Arial" w:hAnsi="Arial" w:cs="Arial"/>
          <w:bCs/>
          <w:iCs/>
          <w:kern w:val="28"/>
          <w:sz w:val="24"/>
          <w:szCs w:val="24"/>
        </w:rPr>
        <w:t xml:space="preserve"> </w:t>
      </w:r>
    </w:p>
    <w:p w14:paraId="47ED513C" w14:textId="77777777" w:rsidR="000E1F57" w:rsidRPr="002C6CDB" w:rsidRDefault="000E1F57" w:rsidP="000E1F57">
      <w:pPr>
        <w:pStyle w:val="Affiliation"/>
        <w:spacing w:after="0" w:line="240" w:lineRule="auto"/>
        <w:jc w:val="both"/>
        <w:rPr>
          <w:rFonts w:ascii="Arial" w:hAnsi="Arial" w:cs="Arial"/>
        </w:rPr>
      </w:pPr>
    </w:p>
    <w:p w14:paraId="76524F59" w14:textId="77777777" w:rsidR="000E1F57" w:rsidRPr="002C6CDB" w:rsidRDefault="000E1F57" w:rsidP="000E1F57">
      <w:pPr>
        <w:pStyle w:val="Affiliation"/>
        <w:spacing w:after="0" w:line="240" w:lineRule="auto"/>
        <w:jc w:val="both"/>
        <w:rPr>
          <w:rFonts w:ascii="Arial" w:hAnsi="Arial" w:cs="Arial"/>
        </w:rPr>
      </w:pPr>
    </w:p>
    <w:p w14:paraId="4EBB0064" w14:textId="77777777" w:rsidR="000E1F57" w:rsidRPr="002C6CDB" w:rsidRDefault="000E1F57" w:rsidP="000E1F57">
      <w:pPr>
        <w:pStyle w:val="Copyright"/>
        <w:spacing w:after="0" w:line="240" w:lineRule="auto"/>
        <w:jc w:val="both"/>
        <w:rPr>
          <w:rFonts w:ascii="Arial" w:hAnsi="Arial" w:cs="Arial"/>
        </w:rPr>
        <w:sectPr w:rsidR="000E1F57" w:rsidRPr="002C6CDB" w:rsidSect="00082CE4">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sidRPr="002C6CDB">
        <w:rPr>
          <w:rFonts w:ascii="Arial" w:hAnsi="Arial" w:cs="Arial"/>
          <w:noProof/>
        </w:rPr>
        <mc:AlternateContent>
          <mc:Choice Requires="wps">
            <w:drawing>
              <wp:inline distT="0" distB="0" distL="0" distR="0" wp14:anchorId="3EC300C5" wp14:editId="5A014F85">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8EA3F2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Pr="002C6CDB">
        <w:rPr>
          <w:rFonts w:ascii="Arial" w:hAnsi="Arial" w:cs="Arial"/>
        </w:rPr>
        <w:t>.</w:t>
      </w:r>
    </w:p>
    <w:p w14:paraId="770AEE4B" w14:textId="77777777" w:rsidR="000E1F57" w:rsidRPr="002C6CDB" w:rsidRDefault="000E1F57" w:rsidP="000E1F57">
      <w:pPr>
        <w:pStyle w:val="AbstHead"/>
        <w:spacing w:after="0"/>
        <w:jc w:val="both"/>
        <w:rPr>
          <w:rFonts w:ascii="Arial" w:hAnsi="Arial" w:cs="Arial"/>
        </w:rPr>
      </w:pPr>
      <w:r w:rsidRPr="002C6CDB">
        <w:rPr>
          <w:rFonts w:ascii="Arial" w:hAnsi="Arial" w:cs="Arial"/>
        </w:rPr>
        <w:t xml:space="preserve">ABSTRACT </w:t>
      </w:r>
    </w:p>
    <w:p w14:paraId="796497A6" w14:textId="77777777" w:rsidR="000E1F57" w:rsidRPr="002C6CDB" w:rsidRDefault="000E1F57" w:rsidP="000E1F57">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0E1F57" w:rsidRPr="002C6CDB" w14:paraId="07C22248" w14:textId="77777777" w:rsidTr="006F0D2F">
        <w:tc>
          <w:tcPr>
            <w:tcW w:w="9576" w:type="dxa"/>
            <w:shd w:val="clear" w:color="auto" w:fill="F2F2F2"/>
          </w:tcPr>
          <w:p w14:paraId="231AA46E" w14:textId="77777777" w:rsidR="000E1F57" w:rsidRPr="00094875" w:rsidRDefault="000E1F57" w:rsidP="000E1F57">
            <w:pPr>
              <w:jc w:val="both"/>
              <w:rPr>
                <w:rFonts w:ascii="Arial" w:hAnsi="Arial" w:cs="Arial"/>
              </w:rPr>
            </w:pPr>
            <w:r w:rsidRPr="00094875">
              <w:rPr>
                <w:rFonts w:ascii="Arial" w:hAnsi="Arial" w:cs="Arial"/>
                <w:b/>
              </w:rPr>
              <w:t>Aim</w:t>
            </w:r>
            <w:r w:rsidRPr="00094875">
              <w:rPr>
                <w:rFonts w:ascii="Arial" w:hAnsi="Arial" w:cs="Arial"/>
              </w:rPr>
              <w:t xml:space="preserve">: this study evaluated the impact of agrochemical inputs on soil physicochemical properties, microbial dynamics, and enzymatic activities, while simultaneously assessing the ecological and human health risks of heavy metals in agricultural soils in Delta State, Nigeria. </w:t>
            </w:r>
          </w:p>
          <w:p w14:paraId="5022E3CE" w14:textId="77777777" w:rsidR="000E1F57" w:rsidRPr="00094875" w:rsidRDefault="000E1F57" w:rsidP="000E1F57">
            <w:pPr>
              <w:jc w:val="both"/>
              <w:rPr>
                <w:rFonts w:ascii="Arial" w:hAnsi="Arial" w:cs="Arial"/>
              </w:rPr>
            </w:pPr>
            <w:r w:rsidRPr="00094875">
              <w:rPr>
                <w:rFonts w:ascii="Arial" w:hAnsi="Arial" w:cs="Arial"/>
                <w:b/>
              </w:rPr>
              <w:t>Duration and place of study</w:t>
            </w:r>
            <w:r w:rsidRPr="00094875">
              <w:rPr>
                <w:rFonts w:ascii="Arial" w:hAnsi="Arial" w:cs="Arial"/>
              </w:rPr>
              <w:t>: Department of</w:t>
            </w:r>
            <w:r w:rsidR="00094875">
              <w:rPr>
                <w:rFonts w:ascii="Arial" w:hAnsi="Arial" w:cs="Arial"/>
              </w:rPr>
              <w:t xml:space="preserve"> Environmental Management</w:t>
            </w:r>
            <w:r w:rsidRPr="00094875">
              <w:rPr>
                <w:rFonts w:ascii="Arial" w:hAnsi="Arial" w:cs="Arial"/>
              </w:rPr>
              <w:t xml:space="preserve"> and toxicology</w:t>
            </w:r>
            <w:r w:rsidR="00094875">
              <w:rPr>
                <w:rFonts w:ascii="Arial" w:hAnsi="Arial" w:cs="Arial"/>
              </w:rPr>
              <w:t>, Federal University of Petroleum Resources, Effurun</w:t>
            </w:r>
            <w:r w:rsidRPr="00094875">
              <w:rPr>
                <w:rFonts w:ascii="Arial" w:hAnsi="Arial" w:cs="Arial"/>
              </w:rPr>
              <w:t>/</w:t>
            </w:r>
            <w:r w:rsidR="00094875">
              <w:rPr>
                <w:rFonts w:ascii="Arial" w:hAnsi="Arial" w:cs="Arial"/>
              </w:rPr>
              <w:t xml:space="preserve"> </w:t>
            </w:r>
            <w:r w:rsidRPr="00094875">
              <w:rPr>
                <w:rFonts w:ascii="Arial" w:hAnsi="Arial" w:cs="Arial"/>
              </w:rPr>
              <w:t xml:space="preserve">4 months. </w:t>
            </w:r>
          </w:p>
          <w:p w14:paraId="658A397D" w14:textId="77777777" w:rsidR="000E1F57" w:rsidRPr="00094875" w:rsidRDefault="000E1F57" w:rsidP="000E1F57">
            <w:pPr>
              <w:jc w:val="both"/>
              <w:rPr>
                <w:rFonts w:ascii="Arial" w:hAnsi="Arial" w:cs="Arial"/>
              </w:rPr>
            </w:pPr>
            <w:r w:rsidRPr="00094875">
              <w:rPr>
                <w:rFonts w:ascii="Arial" w:hAnsi="Arial" w:cs="Arial"/>
                <w:b/>
              </w:rPr>
              <w:t>Methodology</w:t>
            </w:r>
            <w:r w:rsidRPr="00094875">
              <w:rPr>
                <w:rFonts w:ascii="Arial" w:hAnsi="Arial" w:cs="Arial"/>
              </w:rPr>
              <w:t xml:space="preserve">: soil samples were collected from agrochemical-polluted farm and control site. Physicochemical </w:t>
            </w:r>
            <w:r w:rsidR="00094875">
              <w:rPr>
                <w:rFonts w:ascii="Arial" w:hAnsi="Arial" w:cs="Arial"/>
              </w:rPr>
              <w:t>parameters</w:t>
            </w:r>
            <w:r w:rsidRPr="00094875">
              <w:rPr>
                <w:rFonts w:ascii="Arial" w:hAnsi="Arial" w:cs="Arial"/>
              </w:rPr>
              <w:t xml:space="preserve"> were analyzed alongside bacteria, fungi, actinomycetes, and phosphate solubilizers’ counts. Soil health was further gauged via enzymatic assays for urease, phosphatase, and dehydrogenase activity. Ecological risks were quantified using Contamination Factors (CF), Geo-accumulation Index (</w:t>
            </w:r>
            <w:proofErr w:type="spellStart"/>
            <w:r w:rsidRPr="00094875">
              <w:rPr>
                <w:rFonts w:ascii="Arial" w:hAnsi="Arial" w:cs="Arial"/>
              </w:rPr>
              <w:t>Igeo</w:t>
            </w:r>
            <w:proofErr w:type="spellEnd"/>
            <w:r w:rsidRPr="00094875">
              <w:rPr>
                <w:rFonts w:ascii="Arial" w:hAnsi="Arial" w:cs="Arial"/>
              </w:rPr>
              <w:t xml:space="preserve">), and Pollution Load Index (PLI), while human health risks were estimated using United States Environmental Protection Agency models for Non-Carcinogenic (Hazard Index, HI) and Carcinogenic Risks (CR). </w:t>
            </w:r>
          </w:p>
          <w:p w14:paraId="02CC6095" w14:textId="77777777" w:rsidR="000E1F57" w:rsidRPr="00094875" w:rsidRDefault="000E1F57" w:rsidP="000E1F57">
            <w:pPr>
              <w:jc w:val="both"/>
              <w:rPr>
                <w:rFonts w:ascii="Arial" w:hAnsi="Arial" w:cs="Arial"/>
              </w:rPr>
            </w:pPr>
            <w:r w:rsidRPr="00094875">
              <w:rPr>
                <w:rFonts w:ascii="Arial" w:hAnsi="Arial" w:cs="Arial"/>
                <w:b/>
              </w:rPr>
              <w:t>Results</w:t>
            </w:r>
            <w:r w:rsidRPr="00094875">
              <w:rPr>
                <w:rFonts w:ascii="Arial" w:hAnsi="Arial" w:cs="Arial"/>
              </w:rPr>
              <w:t xml:space="preserve">: the results showed that the agrochemical-polluted soil exhibited significant acidification </w:t>
            </w:r>
            <w:r w:rsidRPr="00094875">
              <w:rPr>
                <w:rFonts w:ascii="Arial" w:hAnsi="Arial" w:cs="Arial"/>
                <w:bCs/>
              </w:rPr>
              <w:t>(pH 5.75 as against 7.00 in control)</w:t>
            </w:r>
            <w:r w:rsidRPr="00094875">
              <w:rPr>
                <w:rFonts w:ascii="Arial" w:hAnsi="Arial" w:cs="Arial"/>
              </w:rPr>
              <w:t xml:space="preserve"> and reduced moisture content, despite higher </w:t>
            </w:r>
            <w:r w:rsidRPr="00094875">
              <w:rPr>
                <w:rFonts w:ascii="Arial" w:hAnsi="Arial" w:cs="Arial"/>
                <w:bCs/>
              </w:rPr>
              <w:t>Total Organic Carbon</w:t>
            </w:r>
            <w:r w:rsidRPr="00094875">
              <w:rPr>
                <w:rFonts w:ascii="Arial" w:hAnsi="Arial" w:cs="Arial"/>
              </w:rPr>
              <w:t xml:space="preserve"> </w:t>
            </w:r>
            <w:r w:rsidRPr="00094875">
              <w:rPr>
                <w:rFonts w:ascii="Arial" w:hAnsi="Arial" w:cs="Arial"/>
                <w:bCs/>
              </w:rPr>
              <w:t>(0.26%)</w:t>
            </w:r>
            <w:r w:rsidRPr="00094875">
              <w:rPr>
                <w:rFonts w:ascii="Arial" w:hAnsi="Arial" w:cs="Arial"/>
              </w:rPr>
              <w:t xml:space="preserve">. Enzymatic analysis revealed a suppression of urease and phosphatase activities in farm soils, indicating impaired nitrogen and phosphorus cycling; however, dehydrogenase activity was unexpectedly higher </w:t>
            </w:r>
            <w:r w:rsidRPr="00094875">
              <w:rPr>
                <w:rFonts w:ascii="Arial" w:hAnsi="Arial" w:cs="Arial"/>
                <w:bCs/>
              </w:rPr>
              <w:t xml:space="preserve">(6.11 </w:t>
            </w:r>
            <w:proofErr w:type="spellStart"/>
            <w:r w:rsidRPr="00094875">
              <w:rPr>
                <w:rFonts w:ascii="Arial" w:hAnsi="Arial" w:cs="Arial"/>
                <w:bCs/>
              </w:rPr>
              <w:t>μTPF</w:t>
            </w:r>
            <w:proofErr w:type="spellEnd"/>
            <w:r w:rsidRPr="00094875">
              <w:rPr>
                <w:rFonts w:ascii="Arial" w:hAnsi="Arial" w:cs="Arial"/>
                <w:bCs/>
              </w:rPr>
              <w:t xml:space="preserve">/kg/h contrasted with 5.06 </w:t>
            </w:r>
            <w:proofErr w:type="spellStart"/>
            <w:r w:rsidRPr="00094875">
              <w:rPr>
                <w:rFonts w:ascii="Arial" w:hAnsi="Arial" w:cs="Arial"/>
                <w:bCs/>
              </w:rPr>
              <w:t>μTPF</w:t>
            </w:r>
            <w:proofErr w:type="spellEnd"/>
            <w:r w:rsidRPr="00094875">
              <w:rPr>
                <w:rFonts w:ascii="Arial" w:hAnsi="Arial" w:cs="Arial"/>
                <w:bCs/>
              </w:rPr>
              <w:t>/kg/h)</w:t>
            </w:r>
            <w:r w:rsidRPr="00094875">
              <w:rPr>
                <w:rFonts w:ascii="Arial" w:hAnsi="Arial" w:cs="Arial"/>
              </w:rPr>
              <w:t xml:space="preserve">, suggesting a stress response by resistant microbial communities. Ecological assessments identified severe heavy metal enrichment, specifically </w:t>
            </w:r>
            <w:r w:rsidRPr="00094875">
              <w:rPr>
                <w:rFonts w:ascii="Arial" w:hAnsi="Arial" w:cs="Arial"/>
                <w:bCs/>
              </w:rPr>
              <w:t>Cadmium (CF = 1266)</w:t>
            </w:r>
            <w:r w:rsidRPr="00094875">
              <w:rPr>
                <w:rFonts w:ascii="Arial" w:hAnsi="Arial" w:cs="Arial"/>
              </w:rPr>
              <w:t xml:space="preserve"> and </w:t>
            </w:r>
            <w:r w:rsidRPr="00094875">
              <w:rPr>
                <w:rFonts w:ascii="Arial" w:hAnsi="Arial" w:cs="Arial"/>
                <w:bCs/>
              </w:rPr>
              <w:t>Zinc (CF = 15.51),</w:t>
            </w:r>
            <w:r w:rsidRPr="00094875">
              <w:rPr>
                <w:rFonts w:ascii="Arial" w:hAnsi="Arial" w:cs="Arial"/>
              </w:rPr>
              <w:t xml:space="preserve"> classifying the site as having "very high contamination". Health risk assessments were alarming: </w:t>
            </w:r>
            <w:proofErr w:type="gramStart"/>
            <w:r w:rsidRPr="00094875">
              <w:rPr>
                <w:rFonts w:ascii="Arial" w:hAnsi="Arial" w:cs="Arial"/>
              </w:rPr>
              <w:t>the</w:t>
            </w:r>
            <w:proofErr w:type="gramEnd"/>
            <w:r w:rsidRPr="00094875">
              <w:rPr>
                <w:rFonts w:ascii="Arial" w:hAnsi="Arial" w:cs="Arial"/>
              </w:rPr>
              <w:t xml:space="preserve"> Hazard Index (HI) for both </w:t>
            </w:r>
            <w:r w:rsidRPr="00094875">
              <w:rPr>
                <w:rFonts w:ascii="Arial" w:hAnsi="Arial" w:cs="Arial"/>
                <w:bCs/>
              </w:rPr>
              <w:t>adults (1825.0</w:t>
            </w:r>
            <w:r w:rsidRPr="00094875">
              <w:rPr>
                <w:rFonts w:ascii="Arial" w:hAnsi="Arial" w:cs="Arial"/>
              </w:rPr>
              <w:t xml:space="preserve">) and </w:t>
            </w:r>
            <w:r w:rsidRPr="00094875">
              <w:rPr>
                <w:rFonts w:ascii="Arial" w:hAnsi="Arial" w:cs="Arial"/>
                <w:bCs/>
              </w:rPr>
              <w:t>children (3443.0)</w:t>
            </w:r>
            <w:r w:rsidRPr="00094875">
              <w:rPr>
                <w:rFonts w:ascii="Arial" w:hAnsi="Arial" w:cs="Arial"/>
              </w:rPr>
              <w:t xml:space="preserve"> far exceeded the safety threshold of 1, driven primarily by Cadmium, Lead, and Nickel. Furthermore, Carcinogenic Risk (CR) for Chromium and Cadmium surpassed the acceptable </w:t>
            </w:r>
            <w:r w:rsidRPr="00094875">
              <w:rPr>
                <w:rFonts w:ascii="Arial" w:hAnsi="Arial" w:cs="Arial"/>
                <w:bCs/>
              </w:rPr>
              <w:t>limit (1x10</w:t>
            </w:r>
            <w:r w:rsidRPr="00094875">
              <w:rPr>
                <w:rFonts w:ascii="Arial" w:hAnsi="Arial" w:cs="Arial"/>
                <w:bCs/>
                <w:vertAlign w:val="superscript"/>
              </w:rPr>
              <w:t>-4</w:t>
            </w:r>
            <w:r w:rsidRPr="00094875">
              <w:rPr>
                <w:rFonts w:ascii="Arial" w:hAnsi="Arial" w:cs="Arial"/>
                <w:bCs/>
              </w:rPr>
              <w:t>),</w:t>
            </w:r>
            <w:r w:rsidRPr="00094875">
              <w:rPr>
                <w:rFonts w:ascii="Arial" w:hAnsi="Arial" w:cs="Arial"/>
              </w:rPr>
              <w:t xml:space="preserve"> with children exhibiting significantly higher vulnerability </w:t>
            </w:r>
            <w:r w:rsidRPr="00094875">
              <w:rPr>
                <w:rFonts w:ascii="Arial" w:hAnsi="Arial" w:cs="Arial"/>
                <w:bCs/>
              </w:rPr>
              <w:t>(CR = 0.329)</w:t>
            </w:r>
            <w:r w:rsidRPr="00094875">
              <w:rPr>
                <w:rFonts w:ascii="Arial" w:hAnsi="Arial" w:cs="Arial"/>
              </w:rPr>
              <w:t xml:space="preserve"> compared to adults.</w:t>
            </w:r>
          </w:p>
          <w:p w14:paraId="75A1E461" w14:textId="77777777" w:rsidR="000E1F57" w:rsidRPr="00094875" w:rsidRDefault="000E1F57" w:rsidP="000E1F57">
            <w:pPr>
              <w:jc w:val="both"/>
              <w:rPr>
                <w:rFonts w:ascii="Arial" w:hAnsi="Arial" w:cs="Arial"/>
              </w:rPr>
            </w:pPr>
            <w:r w:rsidRPr="00094875">
              <w:rPr>
                <w:rFonts w:ascii="Arial" w:hAnsi="Arial" w:cs="Arial"/>
                <w:b/>
              </w:rPr>
              <w:t>Conclusion</w:t>
            </w:r>
            <w:r w:rsidRPr="00094875">
              <w:rPr>
                <w:rFonts w:ascii="Arial" w:hAnsi="Arial" w:cs="Arial"/>
              </w:rPr>
              <w:t xml:space="preserve">: </w:t>
            </w:r>
            <w:r w:rsidR="00094875" w:rsidRPr="00094875">
              <w:rPr>
                <w:rFonts w:ascii="Arial" w:hAnsi="Arial" w:cs="Arial"/>
              </w:rPr>
              <w:t>therefore, the study highlights the importance of sustainable agricultural practices to mitigate the long-term impacts of these contaminants on humans, microorganisms and the environment.</w:t>
            </w:r>
          </w:p>
          <w:p w14:paraId="5EC35C8B" w14:textId="77777777" w:rsidR="000E1F57" w:rsidRPr="002C6CDB" w:rsidRDefault="000E1F57" w:rsidP="006F0D2F">
            <w:pPr>
              <w:pStyle w:val="Body"/>
              <w:spacing w:after="0"/>
              <w:rPr>
                <w:rFonts w:ascii="Arial" w:eastAsia="Calibri" w:hAnsi="Arial" w:cs="Arial"/>
                <w:b/>
                <w:bCs/>
                <w:szCs w:val="22"/>
              </w:rPr>
            </w:pPr>
          </w:p>
        </w:tc>
      </w:tr>
    </w:tbl>
    <w:p w14:paraId="3DA9D935" w14:textId="77777777" w:rsidR="000E1F57" w:rsidRPr="002C6CDB" w:rsidRDefault="000E1F57" w:rsidP="000E1F57">
      <w:pPr>
        <w:pStyle w:val="Body"/>
        <w:spacing w:after="0"/>
        <w:rPr>
          <w:rFonts w:ascii="Arial" w:hAnsi="Arial" w:cs="Arial"/>
          <w:i/>
        </w:rPr>
      </w:pPr>
    </w:p>
    <w:p w14:paraId="37FE90CF" w14:textId="77777777" w:rsidR="000E1F57" w:rsidRPr="002C6CDB" w:rsidRDefault="000E1F57" w:rsidP="000E1F57">
      <w:pPr>
        <w:pStyle w:val="Body"/>
        <w:spacing w:after="0"/>
        <w:rPr>
          <w:rFonts w:ascii="Arial" w:hAnsi="Arial" w:cs="Arial"/>
          <w:i/>
        </w:rPr>
      </w:pPr>
      <w:r w:rsidRPr="002C6CDB">
        <w:rPr>
          <w:rFonts w:ascii="Arial" w:hAnsi="Arial" w:cs="Arial"/>
          <w:i/>
        </w:rPr>
        <w:t>Keywords: Agricultural inputs, enzymes, heavy metals, risk assessment</w:t>
      </w:r>
    </w:p>
    <w:p w14:paraId="3C0624C6" w14:textId="77777777" w:rsidR="000E1F57" w:rsidRPr="002C6CDB" w:rsidRDefault="000E1F57" w:rsidP="000E1F57">
      <w:pPr>
        <w:pStyle w:val="Body"/>
        <w:spacing w:after="0"/>
        <w:rPr>
          <w:rFonts w:ascii="Arial" w:hAnsi="Arial" w:cs="Arial"/>
          <w:i/>
        </w:rPr>
      </w:pPr>
    </w:p>
    <w:p w14:paraId="52BD9605" w14:textId="77777777" w:rsidR="000E1F57" w:rsidRPr="002C6CDB" w:rsidRDefault="000E1F57" w:rsidP="000E1F57">
      <w:pPr>
        <w:pStyle w:val="Body"/>
        <w:spacing w:after="0"/>
        <w:rPr>
          <w:rFonts w:ascii="Arial" w:hAnsi="Arial" w:cs="Arial"/>
          <w:i/>
        </w:rPr>
      </w:pPr>
    </w:p>
    <w:p w14:paraId="4E3132B4" w14:textId="77777777" w:rsidR="000E1F57" w:rsidRPr="002C6CDB" w:rsidRDefault="000E1F57" w:rsidP="000E1F57">
      <w:pPr>
        <w:pStyle w:val="AbstHead"/>
        <w:spacing w:after="0"/>
        <w:jc w:val="both"/>
        <w:rPr>
          <w:rFonts w:ascii="Arial" w:hAnsi="Arial" w:cs="Arial"/>
        </w:rPr>
      </w:pPr>
      <w:r w:rsidRPr="002C6CDB">
        <w:rPr>
          <w:rFonts w:ascii="Arial" w:hAnsi="Arial" w:cs="Arial"/>
        </w:rPr>
        <w:t xml:space="preserve">1. INTRODUCTION </w:t>
      </w:r>
    </w:p>
    <w:p w14:paraId="50730B04" w14:textId="77777777" w:rsidR="000E1F57" w:rsidRPr="006F0D2F" w:rsidRDefault="000E1F57" w:rsidP="000E1F57">
      <w:pPr>
        <w:pStyle w:val="AbstHead"/>
        <w:spacing w:after="0"/>
        <w:jc w:val="both"/>
        <w:rPr>
          <w:rFonts w:ascii="Arial" w:hAnsi="Arial" w:cs="Arial"/>
          <w:sz w:val="20"/>
        </w:rPr>
      </w:pPr>
    </w:p>
    <w:p w14:paraId="687A7A4F" w14:textId="77777777" w:rsidR="000E1F57" w:rsidRPr="006F0D2F" w:rsidRDefault="000E1F57" w:rsidP="000E1F57">
      <w:pPr>
        <w:spacing w:line="360" w:lineRule="auto"/>
        <w:jc w:val="both"/>
        <w:rPr>
          <w:rFonts w:ascii="Arial" w:hAnsi="Arial" w:cs="Arial"/>
        </w:rPr>
      </w:pPr>
      <w:r w:rsidRPr="006F0D2F">
        <w:rPr>
          <w:rFonts w:ascii="Arial" w:hAnsi="Arial" w:cs="Arial"/>
        </w:rPr>
        <w:t xml:space="preserve">The indiscriminate use of agrochemicals in modern agriculture has precipitated profound alterations in soil microbial dynamics, threatening the ecological balance and sustainability of agroecosystems. Soil microbial populations particularly actinomycetes, Phosphate-Solubilizing Microorganisms (PSMs), bacteria, and fungi play indispensable roles in nutrient cycling, organic matter decomposition, and plant health. Actinomycetes, known for their resilience and metabolic versatility, contribute significantly to phosphate solubilization and antibiotic production, thereby enhancing soil fertility and suppressing </w:t>
      </w:r>
      <w:r w:rsidRPr="006F0D2F">
        <w:rPr>
          <w:rFonts w:ascii="Arial" w:hAnsi="Arial" w:cs="Arial"/>
        </w:rPr>
        <w:lastRenderedPageBreak/>
        <w:t xml:space="preserve">pathogens (Babu </w:t>
      </w:r>
      <w:r w:rsidRPr="006F0D2F">
        <w:rPr>
          <w:rFonts w:ascii="Arial" w:hAnsi="Arial" w:cs="Arial"/>
          <w:i/>
          <w:iCs/>
        </w:rPr>
        <w:t>et al</w:t>
      </w:r>
      <w:r w:rsidRPr="006F0D2F">
        <w:rPr>
          <w:rFonts w:ascii="Arial" w:hAnsi="Arial" w:cs="Arial"/>
        </w:rPr>
        <w:t xml:space="preserve">., 2025). PSMs, including certain strains of bacteria and fungi, facilitate the mobilization of insoluble phosphorus, a critical nutrient often rendered unavailable due to chemical fixation in polluted soils (Yiming </w:t>
      </w:r>
      <w:r w:rsidRPr="006F0D2F">
        <w:rPr>
          <w:rFonts w:ascii="Arial" w:hAnsi="Arial" w:cs="Arial"/>
          <w:i/>
          <w:iCs/>
        </w:rPr>
        <w:t>et al</w:t>
      </w:r>
      <w:r w:rsidRPr="006F0D2F">
        <w:rPr>
          <w:rFonts w:ascii="Arial" w:hAnsi="Arial" w:cs="Arial"/>
        </w:rPr>
        <w:t xml:space="preserve">., 2025). However, agrochemical contamination disrupts microbial equilibrium, reducing beneficial populations and impairing soil functionality. </w:t>
      </w:r>
    </w:p>
    <w:p w14:paraId="3DB30B15" w14:textId="77777777" w:rsidR="000E1F57" w:rsidRPr="006F0D2F" w:rsidRDefault="000E1F57" w:rsidP="000E1F57">
      <w:pPr>
        <w:spacing w:line="360" w:lineRule="auto"/>
        <w:jc w:val="both"/>
        <w:rPr>
          <w:rFonts w:ascii="Arial" w:hAnsi="Arial" w:cs="Arial"/>
        </w:rPr>
      </w:pPr>
      <w:r w:rsidRPr="006F0D2F">
        <w:rPr>
          <w:rFonts w:ascii="Arial" w:hAnsi="Arial" w:cs="Arial"/>
        </w:rPr>
        <w:t xml:space="preserve">Soil enzymes serve as sensitive bioindicators of soil health, reflecting microbial activity and biochemical transformations in the rhizosphere. Enzymes such as dehydrogenase, phosphatase, and urease are pivotal in redox reactions, phosphorus mineralization, and nitrogen cycling, respectively (Datta </w:t>
      </w:r>
      <w:r w:rsidRPr="006F0D2F">
        <w:rPr>
          <w:rFonts w:ascii="Arial" w:hAnsi="Arial" w:cs="Arial"/>
          <w:i/>
          <w:iCs/>
        </w:rPr>
        <w:t>et al</w:t>
      </w:r>
      <w:r w:rsidRPr="006F0D2F">
        <w:rPr>
          <w:rFonts w:ascii="Arial" w:hAnsi="Arial" w:cs="Arial"/>
        </w:rPr>
        <w:t xml:space="preserve">., 2017). Dehydrogenase activity, closely linked to microbial respiration, declines markedly in chemically stressed soils, signaling reduced microbial viability. Similarly, phosphatase and urease activities are compromised under agrochemical load, undermining nutrient turnover and soil productivity (Tiwari </w:t>
      </w:r>
      <w:r w:rsidRPr="006F0D2F">
        <w:rPr>
          <w:rFonts w:ascii="Arial" w:hAnsi="Arial" w:cs="Arial"/>
          <w:i/>
          <w:iCs/>
        </w:rPr>
        <w:t>et al</w:t>
      </w:r>
      <w:r w:rsidRPr="006F0D2F">
        <w:rPr>
          <w:rFonts w:ascii="Arial" w:hAnsi="Arial" w:cs="Arial"/>
        </w:rPr>
        <w:t>., 2019). The enzymatic suppression observed in polluted soils underscores the cascading effects of agrochemical intrusion on microbial-mediated processes essential for crop growth and ecosystem resilience.</w:t>
      </w:r>
    </w:p>
    <w:p w14:paraId="18BCEB10" w14:textId="77777777" w:rsidR="000E1F57" w:rsidRPr="006F0D2F" w:rsidRDefault="000E1F57" w:rsidP="000E1F57">
      <w:pPr>
        <w:spacing w:line="360" w:lineRule="auto"/>
        <w:jc w:val="both"/>
        <w:rPr>
          <w:rFonts w:ascii="Arial" w:hAnsi="Arial" w:cs="Arial"/>
        </w:rPr>
      </w:pPr>
      <w:r w:rsidRPr="006F0D2F">
        <w:rPr>
          <w:rFonts w:ascii="Arial" w:hAnsi="Arial" w:cs="Arial"/>
        </w:rPr>
        <w:t xml:space="preserve">While heavy metals generally suppress microbial activity, it is important to note that certain native soil bacteria have evolved resistance mechanisms. Recent reviews highlight that bacteria in contaminated soils often develop efflux pumps and biofilm formation capabilities to survive metal stress (Samaila </w:t>
      </w:r>
      <w:r w:rsidRPr="006F0D2F">
        <w:rPr>
          <w:rFonts w:ascii="Arial" w:hAnsi="Arial" w:cs="Arial"/>
          <w:i/>
          <w:iCs/>
        </w:rPr>
        <w:t xml:space="preserve">et al., </w:t>
      </w:r>
      <w:r w:rsidRPr="006F0D2F">
        <w:rPr>
          <w:rFonts w:ascii="Arial" w:hAnsi="Arial" w:cs="Arial"/>
        </w:rPr>
        <w:t>2025). These adaptations, while beneficial for microbial survival, can occasionally be linked to antibiotic resistance genes, creating a secondary public health risk. Furthermore, specific functional groups on microbial cell walls can passively bind metal ions, suggesting that the surviving microbial biomass itself plays a role in immobilizing free metal ions in the soil matrix.</w:t>
      </w:r>
    </w:p>
    <w:p w14:paraId="229294C3" w14:textId="77777777" w:rsidR="000E1F57" w:rsidRPr="006F0D2F" w:rsidRDefault="000E1F57" w:rsidP="000E1F57">
      <w:pPr>
        <w:spacing w:line="360" w:lineRule="auto"/>
        <w:jc w:val="both"/>
        <w:rPr>
          <w:rFonts w:ascii="Arial" w:hAnsi="Arial" w:cs="Arial"/>
        </w:rPr>
      </w:pPr>
      <w:r w:rsidRPr="006F0D2F">
        <w:rPr>
          <w:rFonts w:ascii="Arial" w:hAnsi="Arial" w:cs="Arial"/>
        </w:rPr>
        <w:t xml:space="preserve">Beyond ecological perturbations, the accumulation of heavy metals in agrochemical-polluted soils poses grave risks to human health and environmental integrity. Metals such as cadmium (Cd), lead (Pb), zinc (Zn), and copper (Cu) exhibit high persistence and toxicity, infiltrating food chains and bioaccumulating in human tissues (Liu </w:t>
      </w:r>
      <w:r w:rsidRPr="006F0D2F">
        <w:rPr>
          <w:rFonts w:ascii="Arial" w:hAnsi="Arial" w:cs="Arial"/>
          <w:i/>
          <w:iCs/>
        </w:rPr>
        <w:t>et al</w:t>
      </w:r>
      <w:r w:rsidRPr="006F0D2F">
        <w:rPr>
          <w:rFonts w:ascii="Arial" w:hAnsi="Arial" w:cs="Arial"/>
        </w:rPr>
        <w:t>., 2023). Ecological risk assessments reveal that elevated concentrations of these metals compromise soil biota, reduce biodiversity, and impair ecosystem services. Concurrently, human health risk evaluations highlight potential carcinogenic and non-carcinogenic effects, particularly in vulnerable populations exposed through contamina</w:t>
      </w:r>
      <w:r w:rsidR="00A473C1">
        <w:rPr>
          <w:rFonts w:ascii="Arial" w:hAnsi="Arial" w:cs="Arial"/>
        </w:rPr>
        <w:t>ted crops and water sources (</w:t>
      </w:r>
      <w:proofErr w:type="spellStart"/>
      <w:r w:rsidR="00A473C1">
        <w:rPr>
          <w:rFonts w:ascii="Arial" w:hAnsi="Arial" w:cs="Arial"/>
        </w:rPr>
        <w:t>khatoon</w:t>
      </w:r>
      <w:proofErr w:type="spellEnd"/>
      <w:r w:rsidRPr="006F0D2F">
        <w:rPr>
          <w:rFonts w:ascii="Arial" w:hAnsi="Arial" w:cs="Arial"/>
        </w:rPr>
        <w:t xml:space="preserve"> </w:t>
      </w:r>
      <w:r w:rsidRPr="006F0D2F">
        <w:rPr>
          <w:rFonts w:ascii="Arial" w:hAnsi="Arial" w:cs="Arial"/>
          <w:i/>
          <w:iCs/>
        </w:rPr>
        <w:t>et al</w:t>
      </w:r>
      <w:r w:rsidR="00A473C1">
        <w:rPr>
          <w:rFonts w:ascii="Arial" w:hAnsi="Arial" w:cs="Arial"/>
        </w:rPr>
        <w:t>., 2025</w:t>
      </w:r>
      <w:r w:rsidRPr="006F0D2F">
        <w:rPr>
          <w:rFonts w:ascii="Arial" w:hAnsi="Arial" w:cs="Arial"/>
        </w:rPr>
        <w:t>). These findings necessitate urgent remediation strategies and policy interventions to mitigate heavy metal hazards in agricultural landscapes.</w:t>
      </w:r>
    </w:p>
    <w:p w14:paraId="6C61CF69" w14:textId="77777777" w:rsidR="000E1F57" w:rsidRPr="002C6CDB" w:rsidRDefault="000E1F57" w:rsidP="000E1F57">
      <w:pPr>
        <w:pStyle w:val="Body"/>
        <w:spacing w:after="0"/>
        <w:rPr>
          <w:rFonts w:ascii="Arial" w:hAnsi="Arial" w:cs="Arial"/>
        </w:rPr>
      </w:pPr>
    </w:p>
    <w:p w14:paraId="7F5ECF6D" w14:textId="77777777" w:rsidR="000E1F57" w:rsidRPr="006F0D2F" w:rsidRDefault="000E1F57" w:rsidP="000E1F57">
      <w:pPr>
        <w:pStyle w:val="AbstHead"/>
        <w:spacing w:after="0"/>
        <w:jc w:val="both"/>
        <w:rPr>
          <w:rFonts w:ascii="Arial" w:hAnsi="Arial" w:cs="Arial"/>
          <w:szCs w:val="22"/>
        </w:rPr>
      </w:pPr>
      <w:r w:rsidRPr="006F0D2F">
        <w:rPr>
          <w:rFonts w:ascii="Arial" w:hAnsi="Arial" w:cs="Arial"/>
          <w:szCs w:val="22"/>
        </w:rPr>
        <w:t>2. material</w:t>
      </w:r>
      <w:r w:rsidR="006F0D2F">
        <w:rPr>
          <w:rFonts w:ascii="Arial" w:hAnsi="Arial" w:cs="Arial"/>
          <w:szCs w:val="22"/>
        </w:rPr>
        <w:t>S</w:t>
      </w:r>
      <w:r w:rsidRPr="006F0D2F">
        <w:rPr>
          <w:rFonts w:ascii="Arial" w:hAnsi="Arial" w:cs="Arial"/>
          <w:szCs w:val="22"/>
        </w:rPr>
        <w:t xml:space="preserve"> and methods</w:t>
      </w:r>
    </w:p>
    <w:p w14:paraId="7348722B" w14:textId="77777777" w:rsidR="000E1F57" w:rsidRPr="006F0D2F" w:rsidRDefault="000E1F57" w:rsidP="000E1F57">
      <w:pPr>
        <w:pStyle w:val="Heading1"/>
        <w:rPr>
          <w:rFonts w:ascii="Arial" w:hAnsi="Arial" w:cs="Arial"/>
          <w:sz w:val="22"/>
          <w:szCs w:val="22"/>
        </w:rPr>
      </w:pPr>
      <w:r w:rsidRPr="006F0D2F">
        <w:rPr>
          <w:rFonts w:ascii="Arial" w:hAnsi="Arial" w:cs="Arial"/>
          <w:sz w:val="22"/>
          <w:szCs w:val="22"/>
        </w:rPr>
        <w:t>2.1 Physicochemical parameters</w:t>
      </w:r>
    </w:p>
    <w:p w14:paraId="3D50D947" w14:textId="77777777" w:rsidR="000E1F57" w:rsidRPr="001B632E" w:rsidRDefault="001B632E" w:rsidP="000E1F57">
      <w:pPr>
        <w:autoSpaceDE w:val="0"/>
        <w:autoSpaceDN w:val="0"/>
        <w:adjustRightInd w:val="0"/>
        <w:spacing w:line="360" w:lineRule="auto"/>
        <w:jc w:val="both"/>
        <w:rPr>
          <w:rFonts w:ascii="Arial" w:hAnsi="Arial" w:cs="Arial"/>
        </w:rPr>
      </w:pPr>
      <w:r w:rsidRPr="001B632E">
        <w:rPr>
          <w:rFonts w:ascii="Arial" w:hAnsi="Arial" w:cs="Arial"/>
        </w:rPr>
        <w:t>Soil particle size distribution, pH, moisture content (MC), electrical conductivity (EC), total organic carbon (TOC), available phosphorus (Av P), and nitrates (N) were assessed following standard procedures. The physicochemical properties of the soil were determined using standard methods. The soil particle size (</w:t>
      </w:r>
      <w:proofErr w:type="spellStart"/>
      <w:r w:rsidRPr="001B632E">
        <w:rPr>
          <w:rFonts w:ascii="Arial" w:hAnsi="Arial" w:cs="Arial"/>
        </w:rPr>
        <w:t>Bouyoucos</w:t>
      </w:r>
      <w:proofErr w:type="spellEnd"/>
      <w:r w:rsidRPr="001B632E">
        <w:rPr>
          <w:rFonts w:ascii="Arial" w:hAnsi="Arial" w:cs="Arial"/>
        </w:rPr>
        <w:t xml:space="preserve">, 1962; </w:t>
      </w:r>
      <w:proofErr w:type="spellStart"/>
      <w:r w:rsidRPr="001B632E">
        <w:rPr>
          <w:rFonts w:ascii="Arial" w:hAnsi="Arial" w:cs="Arial"/>
        </w:rPr>
        <w:t>Agbenin</w:t>
      </w:r>
      <w:proofErr w:type="spellEnd"/>
      <w:r w:rsidRPr="001B632E">
        <w:rPr>
          <w:rFonts w:ascii="Arial" w:hAnsi="Arial" w:cs="Arial"/>
        </w:rPr>
        <w:t xml:space="preserve"> 1996), organic carbon (Walkey and Black, 1934), pH (Brady and Weil, 2005), available phosphorus (Murphy and Riley, 1972), exchangeable bases (</w:t>
      </w:r>
      <w:proofErr w:type="spellStart"/>
      <w:r w:rsidRPr="001B632E">
        <w:rPr>
          <w:rFonts w:ascii="Arial" w:hAnsi="Arial" w:cs="Arial"/>
        </w:rPr>
        <w:t>Okalebo</w:t>
      </w:r>
      <w:proofErr w:type="spellEnd"/>
      <w:r w:rsidRPr="001B632E">
        <w:rPr>
          <w:rFonts w:ascii="Arial" w:hAnsi="Arial" w:cs="Arial"/>
        </w:rPr>
        <w:t xml:space="preserve"> </w:t>
      </w:r>
      <w:r w:rsidRPr="001B632E">
        <w:rPr>
          <w:rFonts w:ascii="Arial" w:hAnsi="Arial" w:cs="Arial"/>
          <w:i/>
          <w:iCs/>
        </w:rPr>
        <w:t>et al</w:t>
      </w:r>
      <w:r w:rsidRPr="001B632E">
        <w:rPr>
          <w:rFonts w:ascii="Arial" w:hAnsi="Arial" w:cs="Arial"/>
        </w:rPr>
        <w:t>., 1993) and electrical conductivity (</w:t>
      </w:r>
      <w:proofErr w:type="spellStart"/>
      <w:r w:rsidRPr="001B632E">
        <w:rPr>
          <w:rFonts w:ascii="Arial" w:hAnsi="Arial" w:cs="Arial"/>
        </w:rPr>
        <w:t>Mualem</w:t>
      </w:r>
      <w:proofErr w:type="spellEnd"/>
      <w:r w:rsidRPr="001B632E">
        <w:rPr>
          <w:rFonts w:ascii="Arial" w:hAnsi="Arial" w:cs="Arial"/>
        </w:rPr>
        <w:t xml:space="preserve"> and Friedman, 1991) were assessed</w:t>
      </w:r>
      <w:r w:rsidR="000E1F57" w:rsidRPr="001B632E">
        <w:rPr>
          <w:rFonts w:ascii="Arial" w:hAnsi="Arial" w:cs="Arial"/>
        </w:rPr>
        <w:t xml:space="preserve"> Heavy metals were assessed using </w:t>
      </w:r>
      <w:r w:rsidR="000E1F57" w:rsidRPr="001B632E">
        <w:rPr>
          <w:rFonts w:ascii="Arial" w:eastAsia="Arial" w:hAnsi="Arial" w:cs="Arial"/>
        </w:rPr>
        <w:t>inductively coupled plasma optical emission spectroscopy</w:t>
      </w:r>
      <w:r w:rsidR="000E1F57" w:rsidRPr="001B632E">
        <w:rPr>
          <w:rFonts w:ascii="Arial" w:hAnsi="Arial" w:cs="Arial"/>
        </w:rPr>
        <w:t xml:space="preserve"> (ICP-OES).</w:t>
      </w:r>
    </w:p>
    <w:p w14:paraId="61AC43CB" w14:textId="77777777" w:rsidR="000E1F57" w:rsidRPr="006F0D2F" w:rsidRDefault="000E1F57" w:rsidP="000E1F57">
      <w:pPr>
        <w:pStyle w:val="Heading1"/>
        <w:rPr>
          <w:rFonts w:ascii="Arial" w:hAnsi="Arial" w:cs="Arial"/>
          <w:sz w:val="22"/>
          <w:szCs w:val="22"/>
        </w:rPr>
      </w:pPr>
      <w:r w:rsidRPr="006F0D2F">
        <w:rPr>
          <w:rFonts w:ascii="Arial" w:hAnsi="Arial" w:cs="Arial"/>
          <w:sz w:val="22"/>
          <w:szCs w:val="22"/>
        </w:rPr>
        <w:t>2.2 Microbial abundance</w:t>
      </w:r>
    </w:p>
    <w:p w14:paraId="28B1BC22" w14:textId="77777777" w:rsidR="000E1F57" w:rsidRPr="000763AA" w:rsidRDefault="000E1F57" w:rsidP="000E1F57">
      <w:pPr>
        <w:spacing w:line="360" w:lineRule="auto"/>
        <w:jc w:val="both"/>
        <w:rPr>
          <w:rFonts w:ascii="Arial" w:hAnsi="Arial" w:cs="Arial"/>
        </w:rPr>
      </w:pPr>
      <w:r w:rsidRPr="000763AA">
        <w:rPr>
          <w:rFonts w:ascii="Arial" w:hAnsi="Arial" w:cs="Arial"/>
        </w:rPr>
        <w:t>The population count of microorganisms; bacteria, actinomycetes, fungi and a functional group; phosphate solubilizing microbes (PSM) were taken to ob</w:t>
      </w:r>
      <w:r w:rsidR="00687764">
        <w:rPr>
          <w:rFonts w:ascii="Arial" w:hAnsi="Arial" w:cs="Arial"/>
        </w:rPr>
        <w:t>serve the influence of agrochemical</w:t>
      </w:r>
      <w:r w:rsidRPr="000763AA">
        <w:rPr>
          <w:rFonts w:ascii="Arial" w:hAnsi="Arial" w:cs="Arial"/>
        </w:rPr>
        <w:t xml:space="preserve">s on their individual populations. The counts were carried out using the nutrient agar (NA) for bacteria, Rose Bengal chloramphenicol agar for fungi, starch casein agar for actinomycetes, and </w:t>
      </w:r>
      <w:proofErr w:type="spellStart"/>
      <w:r w:rsidRPr="000763AA">
        <w:rPr>
          <w:rFonts w:ascii="Arial" w:hAnsi="Arial" w:cs="Arial"/>
        </w:rPr>
        <w:t>Pikovskaya’s</w:t>
      </w:r>
      <w:proofErr w:type="spellEnd"/>
      <w:r w:rsidRPr="000763AA">
        <w:rPr>
          <w:rFonts w:ascii="Arial" w:hAnsi="Arial" w:cs="Arial"/>
        </w:rPr>
        <w:t xml:space="preserve"> medium for phosphate solubilizing bacteria</w:t>
      </w:r>
      <w:r w:rsidR="00687764">
        <w:rPr>
          <w:rFonts w:ascii="Arial" w:hAnsi="Arial" w:cs="Arial"/>
        </w:rPr>
        <w:t xml:space="preserve"> </w:t>
      </w:r>
      <w:r w:rsidR="00687764" w:rsidRPr="00917539">
        <w:rPr>
          <w:rFonts w:ascii="Arial" w:hAnsi="Arial" w:cs="Arial"/>
        </w:rPr>
        <w:t>(</w:t>
      </w:r>
      <w:proofErr w:type="spellStart"/>
      <w:r w:rsidR="00687764" w:rsidRPr="00917539">
        <w:rPr>
          <w:rFonts w:ascii="Arial" w:hAnsi="Arial" w:cs="Arial"/>
        </w:rPr>
        <w:t>Ataikiru</w:t>
      </w:r>
      <w:proofErr w:type="spellEnd"/>
      <w:r w:rsidR="00687764" w:rsidRPr="00917539">
        <w:rPr>
          <w:rFonts w:ascii="Arial" w:hAnsi="Arial" w:cs="Arial"/>
        </w:rPr>
        <w:t xml:space="preserve"> et al., 20</w:t>
      </w:r>
      <w:r w:rsidR="00917539">
        <w:rPr>
          <w:rFonts w:ascii="Arial" w:hAnsi="Arial" w:cs="Arial"/>
        </w:rPr>
        <w:t>20</w:t>
      </w:r>
      <w:r w:rsidR="00687764" w:rsidRPr="00917539">
        <w:rPr>
          <w:rFonts w:ascii="Arial" w:hAnsi="Arial" w:cs="Arial"/>
        </w:rPr>
        <w:t>)</w:t>
      </w:r>
      <w:r w:rsidRPr="00917539">
        <w:rPr>
          <w:rFonts w:ascii="Arial" w:hAnsi="Arial" w:cs="Arial"/>
        </w:rPr>
        <w:t>.</w:t>
      </w:r>
      <w:r w:rsidRPr="000763AA">
        <w:rPr>
          <w:rFonts w:ascii="Arial" w:hAnsi="Arial" w:cs="Arial"/>
        </w:rPr>
        <w:t xml:space="preserve"> Serial dilution plate count method was used for enumeration of colony forming units (CFU). Microbial population counts were taken after an </w:t>
      </w:r>
      <w:r w:rsidRPr="000763AA">
        <w:rPr>
          <w:rFonts w:ascii="Arial" w:hAnsi="Arial" w:cs="Arial"/>
        </w:rPr>
        <w:lastRenderedPageBreak/>
        <w:t xml:space="preserve">incubation period of 24 hours for bacteria, 48–72 hours for fungi and 96 hours for phosphate solubilizing microorganisms (PSM). </w:t>
      </w:r>
    </w:p>
    <w:p w14:paraId="458B21B8" w14:textId="77777777" w:rsidR="000E1F57" w:rsidRPr="002C6CDB" w:rsidRDefault="000E1F57" w:rsidP="000E1F57">
      <w:pPr>
        <w:rPr>
          <w:rFonts w:ascii="Arial" w:hAnsi="Arial" w:cs="Arial"/>
          <w:sz w:val="24"/>
          <w:szCs w:val="24"/>
        </w:rPr>
      </w:pPr>
      <w:r w:rsidRPr="002C6CDB">
        <w:rPr>
          <w:rFonts w:ascii="Arial" w:hAnsi="Arial" w:cs="Arial"/>
          <w:sz w:val="24"/>
          <w:szCs w:val="24"/>
        </w:rPr>
        <w:br w:type="page"/>
      </w:r>
    </w:p>
    <w:p w14:paraId="0599609F" w14:textId="77777777" w:rsidR="000E1F57" w:rsidRPr="003D49E2" w:rsidRDefault="000E1F57" w:rsidP="000E1F57">
      <w:pPr>
        <w:pStyle w:val="Heading1"/>
        <w:rPr>
          <w:rFonts w:ascii="Arial" w:hAnsi="Arial" w:cs="Arial"/>
          <w:sz w:val="22"/>
          <w:szCs w:val="22"/>
        </w:rPr>
      </w:pPr>
      <w:r w:rsidRPr="003D49E2">
        <w:rPr>
          <w:rFonts w:ascii="Arial" w:hAnsi="Arial" w:cs="Arial"/>
          <w:sz w:val="22"/>
          <w:szCs w:val="22"/>
        </w:rPr>
        <w:lastRenderedPageBreak/>
        <w:t xml:space="preserve">2.3 Soil enzymes </w:t>
      </w:r>
    </w:p>
    <w:p w14:paraId="681C5FE4" w14:textId="77777777" w:rsidR="000E1F57" w:rsidRPr="003D49E2" w:rsidRDefault="000E1F57" w:rsidP="000E1F57">
      <w:pPr>
        <w:spacing w:before="240" w:line="360" w:lineRule="auto"/>
        <w:jc w:val="both"/>
        <w:rPr>
          <w:rFonts w:ascii="Arial" w:hAnsi="Arial" w:cs="Arial"/>
          <w:sz w:val="22"/>
          <w:szCs w:val="22"/>
        </w:rPr>
      </w:pPr>
      <w:r w:rsidRPr="003D49E2">
        <w:rPr>
          <w:rFonts w:ascii="Arial" w:hAnsi="Arial" w:cs="Arial"/>
          <w:b/>
          <w:bCs/>
          <w:sz w:val="22"/>
          <w:szCs w:val="22"/>
        </w:rPr>
        <w:t>2.3.1. Urease</w:t>
      </w:r>
      <w:r w:rsidRPr="003D49E2">
        <w:rPr>
          <w:rFonts w:ascii="Arial" w:hAnsi="Arial" w:cs="Arial"/>
          <w:sz w:val="22"/>
          <w:szCs w:val="22"/>
        </w:rPr>
        <w:t xml:space="preserve"> </w:t>
      </w:r>
    </w:p>
    <w:p w14:paraId="2397AD82" w14:textId="77777777" w:rsidR="000E1F57" w:rsidRPr="003D49E2" w:rsidRDefault="000E1F57" w:rsidP="000E1F57">
      <w:pPr>
        <w:spacing w:before="240" w:line="360" w:lineRule="auto"/>
        <w:jc w:val="both"/>
        <w:rPr>
          <w:rFonts w:ascii="Arial" w:hAnsi="Arial" w:cs="Arial"/>
        </w:rPr>
      </w:pPr>
      <w:r w:rsidRPr="003D49E2">
        <w:rPr>
          <w:rFonts w:ascii="Arial" w:hAnsi="Arial" w:cs="Arial"/>
        </w:rPr>
        <w:t>The activity of urease was measured by the method of Zhao et al. (2023) based on the rate of urea hydrolysis in soil.</w:t>
      </w:r>
    </w:p>
    <w:p w14:paraId="0CE81B7D" w14:textId="77777777" w:rsidR="000E1F57" w:rsidRPr="003D49E2" w:rsidRDefault="000E1F57" w:rsidP="000E1F57">
      <w:pPr>
        <w:spacing w:line="360" w:lineRule="auto"/>
        <w:jc w:val="both"/>
        <w:rPr>
          <w:rFonts w:ascii="Arial" w:hAnsi="Arial" w:cs="Arial"/>
        </w:rPr>
      </w:pPr>
      <w:r w:rsidRPr="003D49E2">
        <w:rPr>
          <w:rFonts w:ascii="Arial" w:hAnsi="Arial" w:cs="Arial"/>
        </w:rPr>
        <w:t>One gram of fresh soil was transferred to a 100 mL volumetric flask and treated with 1 mL of toluene to inhibit microbial proliferation and permit intracellular enzyme release. Following a 15-minute equilibration period, the samples were buffered with 10 mL of phosphate buffer (pH 7.0). Substrate addition consisted of 5 mL of a 10% (w/v) urea solution, while control samples were prepared by substituting the substrate with an equivalent volume of distilled water to account for indigenous ammonium levels. The reaction mixture was incubated at 37°C for 3 hours. Following incubation, the suspension was diluted to 100 mL with distilled water, thoroughly homogenized, and filtered through Whatman No. 5 filter paper. The concentration of released NH</w:t>
      </w:r>
      <w:r w:rsidRPr="003D49E2">
        <w:rPr>
          <w:rFonts w:ascii="Arial" w:hAnsi="Arial" w:cs="Arial"/>
          <w:vertAlign w:val="subscript"/>
        </w:rPr>
        <w:t>4</w:t>
      </w:r>
      <w:r w:rsidRPr="003D49E2">
        <w:rPr>
          <w:rFonts w:ascii="Arial" w:hAnsi="Arial" w:cs="Arial"/>
          <w:vertAlign w:val="superscript"/>
        </w:rPr>
        <w:t>+</w:t>
      </w:r>
      <w:r w:rsidRPr="003D49E2">
        <w:rPr>
          <w:rFonts w:ascii="Arial" w:hAnsi="Arial" w:cs="Arial"/>
        </w:rPr>
        <w:t>-N in the filtrate was determined using the indophenol blue method. A 0.5 mL aliquot of the soil extract was transferred to a 25 mL volumetric flask and diluted with 5 mL of distilled water. The solution was treated with 2 mL of sodium phenolate and 1.5 mL of sodium hypochlorite (5% active chlorine). After the final volume was adjusted to 25 mL, the absorbance was measured at 630 nm using a spectrophotometer. Urease activity was calculated against a standard calibration curve of ammonium nitrogen NH</w:t>
      </w:r>
      <w:r w:rsidRPr="003D49E2">
        <w:rPr>
          <w:rFonts w:ascii="Arial" w:hAnsi="Arial" w:cs="Arial"/>
          <w:vertAlign w:val="subscript"/>
        </w:rPr>
        <w:t>4</w:t>
      </w:r>
      <w:r w:rsidRPr="003D49E2">
        <w:rPr>
          <w:rFonts w:ascii="Arial" w:hAnsi="Arial" w:cs="Arial"/>
          <w:vertAlign w:val="superscript"/>
        </w:rPr>
        <w:t>+</w:t>
      </w:r>
      <w:r w:rsidRPr="003D49E2">
        <w:rPr>
          <w:rFonts w:ascii="Arial" w:hAnsi="Arial" w:cs="Arial"/>
        </w:rPr>
        <w:t>-N. Final results were corrected for moisture content and expressed as NH</w:t>
      </w:r>
      <w:r w:rsidRPr="003D49E2">
        <w:rPr>
          <w:rFonts w:ascii="Arial" w:hAnsi="Arial" w:cs="Arial"/>
          <w:vertAlign w:val="subscript"/>
        </w:rPr>
        <w:t>4</w:t>
      </w:r>
      <w:r w:rsidRPr="003D49E2">
        <w:rPr>
          <w:rFonts w:ascii="Arial" w:hAnsi="Arial" w:cs="Arial"/>
          <w:vertAlign w:val="superscript"/>
        </w:rPr>
        <w:t>+</w:t>
      </w:r>
      <w:r w:rsidRPr="003D49E2">
        <w:rPr>
          <w:rFonts w:ascii="Arial" w:hAnsi="Arial" w:cs="Arial"/>
        </w:rPr>
        <w:t>-N mg per gram dry soil per three hours.</w:t>
      </w:r>
    </w:p>
    <w:p w14:paraId="3F7333EC" w14:textId="77777777" w:rsidR="000E1F57" w:rsidRPr="002C6CDB" w:rsidRDefault="000E1F57" w:rsidP="000E1F57">
      <w:pPr>
        <w:spacing w:line="360" w:lineRule="auto"/>
        <w:jc w:val="both"/>
        <w:rPr>
          <w:rFonts w:ascii="Arial" w:hAnsi="Arial" w:cs="Arial"/>
          <w:sz w:val="24"/>
          <w:szCs w:val="24"/>
        </w:rPr>
      </w:pPr>
    </w:p>
    <w:p w14:paraId="419BB056" w14:textId="77777777" w:rsidR="000E1F57" w:rsidRPr="003D49E2" w:rsidRDefault="000E1F57" w:rsidP="000E1F57">
      <w:pPr>
        <w:spacing w:line="360" w:lineRule="auto"/>
        <w:jc w:val="both"/>
        <w:rPr>
          <w:rFonts w:ascii="Arial" w:hAnsi="Arial" w:cs="Arial"/>
          <w:b/>
          <w:bCs/>
          <w:sz w:val="22"/>
          <w:szCs w:val="22"/>
        </w:rPr>
      </w:pPr>
      <w:r w:rsidRPr="003D49E2">
        <w:rPr>
          <w:rFonts w:ascii="Arial" w:hAnsi="Arial" w:cs="Arial"/>
          <w:b/>
          <w:bCs/>
          <w:sz w:val="22"/>
          <w:szCs w:val="22"/>
        </w:rPr>
        <w:t>2.3.2. Phosphatase Activity</w:t>
      </w:r>
    </w:p>
    <w:p w14:paraId="0CC8B7A6" w14:textId="77777777" w:rsidR="000E1F57" w:rsidRPr="003D49E2" w:rsidRDefault="000E1F57" w:rsidP="000E1F57">
      <w:pPr>
        <w:spacing w:before="240" w:line="360" w:lineRule="auto"/>
        <w:jc w:val="both"/>
        <w:rPr>
          <w:rFonts w:ascii="Arial" w:hAnsi="Arial" w:cs="Arial"/>
        </w:rPr>
      </w:pPr>
      <w:r w:rsidRPr="003D49E2">
        <w:rPr>
          <w:rFonts w:ascii="Arial" w:hAnsi="Arial" w:cs="Arial"/>
        </w:rPr>
        <w:t xml:space="preserve">The soil phosphatase activity was estimated employing the procedure of Gao et al. (2023). </w:t>
      </w:r>
    </w:p>
    <w:p w14:paraId="0B3A1E12" w14:textId="77777777" w:rsidR="000E1F57" w:rsidRPr="003D49E2" w:rsidRDefault="000E1F57" w:rsidP="000E1F57">
      <w:pPr>
        <w:spacing w:before="240" w:line="360" w:lineRule="auto"/>
        <w:jc w:val="both"/>
        <w:rPr>
          <w:rFonts w:ascii="Arial" w:hAnsi="Arial" w:cs="Arial"/>
        </w:rPr>
      </w:pPr>
      <w:r w:rsidRPr="003D49E2">
        <w:rPr>
          <w:rFonts w:ascii="Arial" w:hAnsi="Arial" w:cs="Arial"/>
        </w:rPr>
        <w:t xml:space="preserve">Five grams of air-dried soil were transferred to a 100 mL conical flask and treated with 1.5 mL of toluene to inhibit microbial respiration. After 15 minutes of equilibration, the reaction mixture was buffered with 10 mL of 0.1 M Tris-HCl (pH 7.0), followed by the addition of 5.0 mL of 0.013 M disodium </w:t>
      </w:r>
      <w:proofErr w:type="spellStart"/>
      <w:r w:rsidRPr="003D49E2">
        <w:rPr>
          <w:rFonts w:ascii="Arial" w:hAnsi="Arial" w:cs="Arial"/>
        </w:rPr>
        <w:t>phenylphosphate</w:t>
      </w:r>
      <w:proofErr w:type="spellEnd"/>
      <w:r w:rsidRPr="003D49E2">
        <w:rPr>
          <w:rFonts w:ascii="Arial" w:hAnsi="Arial" w:cs="Arial"/>
        </w:rPr>
        <w:t xml:space="preserve"> as the substrate. The flasks were stoppered and incubated at 37°C for 3 hours. Post-incubation, a 10 mL aliquot of the suspension was centrifuged at 3000 rpm for 20 minutes to recover the supernatant.</w:t>
      </w:r>
    </w:p>
    <w:p w14:paraId="4FA045F2" w14:textId="77777777" w:rsidR="000E1F57" w:rsidRPr="003D49E2" w:rsidRDefault="000E1F57" w:rsidP="000E1F57">
      <w:pPr>
        <w:spacing w:before="240" w:line="360" w:lineRule="auto"/>
        <w:jc w:val="both"/>
        <w:rPr>
          <w:rFonts w:ascii="Arial" w:hAnsi="Arial" w:cs="Arial"/>
        </w:rPr>
      </w:pPr>
      <w:r w:rsidRPr="003D49E2">
        <w:rPr>
          <w:rFonts w:ascii="Arial" w:hAnsi="Arial" w:cs="Arial"/>
        </w:rPr>
        <w:t xml:space="preserve">To quantify the released phenol, 1 mL of the supernatant was treated with 1 mL of </w:t>
      </w:r>
      <w:proofErr w:type="spellStart"/>
      <w:r w:rsidRPr="003D49E2">
        <w:rPr>
          <w:rFonts w:ascii="Arial" w:hAnsi="Arial" w:cs="Arial"/>
        </w:rPr>
        <w:t>Folin-Ciocalteu</w:t>
      </w:r>
      <w:proofErr w:type="spellEnd"/>
      <w:r w:rsidRPr="003D49E2">
        <w:rPr>
          <w:rFonts w:ascii="Arial" w:hAnsi="Arial" w:cs="Arial"/>
        </w:rPr>
        <w:t xml:space="preserve"> reagent (1:1 dilution) and 2 mL of 20% (w/v) Na</w:t>
      </w:r>
      <w:r w:rsidRPr="003D49E2">
        <w:rPr>
          <w:rFonts w:ascii="Arial" w:hAnsi="Arial" w:cs="Arial"/>
          <w:vertAlign w:val="subscript"/>
        </w:rPr>
        <w:t>2</w:t>
      </w:r>
      <w:r w:rsidRPr="003D49E2">
        <w:rPr>
          <w:rFonts w:ascii="Arial" w:hAnsi="Arial" w:cs="Arial"/>
        </w:rPr>
        <w:t>CO</w:t>
      </w:r>
      <w:r w:rsidRPr="003D49E2">
        <w:rPr>
          <w:rFonts w:ascii="Arial" w:hAnsi="Arial" w:cs="Arial"/>
          <w:vertAlign w:val="subscript"/>
        </w:rPr>
        <w:t xml:space="preserve">3 </w:t>
      </w:r>
      <w:r w:rsidRPr="003D49E2">
        <w:rPr>
          <w:rFonts w:ascii="Arial" w:hAnsi="Arial" w:cs="Arial"/>
        </w:rPr>
        <w:t>solution. The mixture was heated in a boiling water bath for 2 minutes, then allowed to cool at room temperature for 20 minutes. The final volume was adjusted to 10 mL, and the absorbance was recorded at 650 nm. Phosphatase activity was expressed as micrograms of phenol released per gram of soil.</w:t>
      </w:r>
    </w:p>
    <w:p w14:paraId="52A83199" w14:textId="77777777" w:rsidR="000E1F57" w:rsidRPr="003D49E2" w:rsidRDefault="000E1F57" w:rsidP="000E1F57">
      <w:pPr>
        <w:spacing w:before="240" w:line="360" w:lineRule="auto"/>
        <w:jc w:val="both"/>
        <w:rPr>
          <w:rFonts w:ascii="Arial" w:hAnsi="Arial" w:cs="Arial"/>
          <w:b/>
          <w:sz w:val="22"/>
          <w:szCs w:val="22"/>
        </w:rPr>
      </w:pPr>
      <w:r w:rsidRPr="003D49E2">
        <w:rPr>
          <w:rFonts w:ascii="Arial" w:hAnsi="Arial" w:cs="Arial"/>
          <w:b/>
          <w:sz w:val="22"/>
          <w:szCs w:val="22"/>
        </w:rPr>
        <w:t>2.3.3 Dehydrogenase activity</w:t>
      </w:r>
    </w:p>
    <w:p w14:paraId="1983AEE0" w14:textId="77777777" w:rsidR="000E1F57" w:rsidRPr="003D49E2" w:rsidRDefault="000E1F57" w:rsidP="000E1F57">
      <w:pPr>
        <w:spacing w:before="240" w:line="360" w:lineRule="auto"/>
        <w:jc w:val="both"/>
        <w:rPr>
          <w:rFonts w:ascii="Arial" w:hAnsi="Arial" w:cs="Arial"/>
        </w:rPr>
      </w:pPr>
      <w:r w:rsidRPr="003D49E2">
        <w:rPr>
          <w:rFonts w:ascii="Arial" w:hAnsi="Arial" w:cs="Arial"/>
        </w:rPr>
        <w:t xml:space="preserve">The 2-3-5-Triphenyl tetrazolium chloride (TTC) reduction procedure </w:t>
      </w:r>
      <w:r w:rsidRPr="003D49E2">
        <w:rPr>
          <w:rFonts w:ascii="Arial" w:hAnsi="Arial" w:cs="Arial"/>
          <w:b/>
        </w:rPr>
        <w:t>(</w:t>
      </w:r>
      <w:r w:rsidRPr="003D49E2">
        <w:rPr>
          <w:rStyle w:val="Strong"/>
          <w:rFonts w:ascii="Arial" w:hAnsi="Arial" w:cs="Arial"/>
          <w:b w:val="0"/>
        </w:rPr>
        <w:t>Wolińska et al., 2015</w:t>
      </w:r>
      <w:r w:rsidRPr="003D49E2">
        <w:rPr>
          <w:rFonts w:ascii="Arial" w:hAnsi="Arial" w:cs="Arial"/>
          <w:b/>
        </w:rPr>
        <w:t>)</w:t>
      </w:r>
      <w:r w:rsidRPr="003D49E2">
        <w:rPr>
          <w:rFonts w:ascii="Arial" w:hAnsi="Arial" w:cs="Arial"/>
        </w:rPr>
        <w:t xml:space="preserve"> was used to estimate dehydrogenase activity in soil. One gram of fresh soil was weighed into a test tube. The soil was then mixed with 0.1 g of calcium carbonate (CaC03) and 1 ml of 1 % TTC solution. The mixture was then shaken and plugged with a rubber stopper and incubated at 30° C for 24 hours in an incubator. Three replicates were prepared in each case. The resultant slurry was transferred on Whatman filter paper No.1 and extracted with successive aliquots of concentrated methanol. The volume of the filtrate was made to 50 ml by adding methanol. The optical density of the filtrate was read at 485 nm, using methanol extract as a blank. The activity was represented in terms of concentration of formazan, which was calculated by a standard </w:t>
      </w:r>
      <w:r w:rsidRPr="003D49E2">
        <w:rPr>
          <w:rFonts w:ascii="Arial" w:hAnsi="Arial" w:cs="Arial"/>
        </w:rPr>
        <w:lastRenderedPageBreak/>
        <w:t>curve of triphenyl formazan in methanol. Dehydrogenase activity per gram dry soil was expressed in terms of milligram formazan per gram dry soil per hour.</w:t>
      </w:r>
    </w:p>
    <w:p w14:paraId="6BD87740" w14:textId="77777777" w:rsidR="000E1F57" w:rsidRPr="003D49E2" w:rsidRDefault="000E1F57" w:rsidP="000E1F57">
      <w:pPr>
        <w:pStyle w:val="Heading1"/>
        <w:rPr>
          <w:rFonts w:ascii="Arial" w:hAnsi="Arial" w:cs="Arial"/>
          <w:sz w:val="22"/>
          <w:szCs w:val="22"/>
        </w:rPr>
      </w:pPr>
      <w:r w:rsidRPr="003D49E2">
        <w:rPr>
          <w:rFonts w:ascii="Arial" w:hAnsi="Arial" w:cs="Arial"/>
          <w:sz w:val="22"/>
          <w:szCs w:val="22"/>
        </w:rPr>
        <w:t>2.4 Ecological and human health risk assessment</w:t>
      </w:r>
    </w:p>
    <w:p w14:paraId="6A63D513" w14:textId="77777777" w:rsidR="000E1F57" w:rsidRPr="003D49E2" w:rsidRDefault="000E1F57" w:rsidP="000E1F57">
      <w:pPr>
        <w:spacing w:line="360" w:lineRule="auto"/>
        <w:jc w:val="both"/>
        <w:rPr>
          <w:rFonts w:ascii="Arial" w:hAnsi="Arial" w:cs="Arial"/>
        </w:rPr>
      </w:pPr>
      <w:r w:rsidRPr="003D49E2">
        <w:rPr>
          <w:rFonts w:ascii="Arial" w:hAnsi="Arial" w:cs="Arial"/>
        </w:rPr>
        <w:t>Through ecological and human health risk assessment, the contamination level of heavy metals and possible risks linked to agrochemical farm soils were analyzed. The ecological risk indices used consisted of the Contamination Factor (CF), Geo-accumulation Index (</w:t>
      </w:r>
      <w:proofErr w:type="spellStart"/>
      <w:r w:rsidRPr="003D49E2">
        <w:rPr>
          <w:rFonts w:ascii="Arial" w:hAnsi="Arial" w:cs="Arial"/>
        </w:rPr>
        <w:t>Igeo</w:t>
      </w:r>
      <w:proofErr w:type="spellEnd"/>
      <w:r w:rsidRPr="003D49E2">
        <w:rPr>
          <w:rFonts w:ascii="Arial" w:hAnsi="Arial" w:cs="Arial"/>
        </w:rPr>
        <w:t xml:space="preserve">), and Pollution Load Index (PLI), which measure the degree and intensity of metal enrichment compared to background levels. The CF (Equation 1) and the </w:t>
      </w:r>
      <w:proofErr w:type="spellStart"/>
      <w:r w:rsidRPr="003D49E2">
        <w:rPr>
          <w:rFonts w:ascii="Arial" w:hAnsi="Arial" w:cs="Arial"/>
        </w:rPr>
        <w:t>Igeo</w:t>
      </w:r>
      <w:proofErr w:type="spellEnd"/>
      <w:r w:rsidRPr="003D49E2">
        <w:rPr>
          <w:rFonts w:ascii="Arial" w:hAnsi="Arial" w:cs="Arial"/>
        </w:rPr>
        <w:t xml:space="preserve"> (Equation 2) represent the proportion between the metal concentration in the soil and the geochemical background of the well of interest, respectively, and account for natural geochemical variability. </w:t>
      </w:r>
    </w:p>
    <w:p w14:paraId="12F21970" w14:textId="77777777" w:rsidR="000E1F57" w:rsidRPr="003D49E2" w:rsidRDefault="000E1F57" w:rsidP="000E1F57">
      <w:pPr>
        <w:spacing w:line="360" w:lineRule="auto"/>
        <w:jc w:val="both"/>
        <w:rPr>
          <w:rFonts w:ascii="Arial" w:eastAsiaTheme="minorEastAsia" w:hAnsi="Arial" w:cs="Arial"/>
          <w:color w:val="C00000"/>
        </w:rPr>
      </w:pPr>
      <m:oMathPara>
        <m:oMath>
          <m:r>
            <m:rPr>
              <m:sty m:val="p"/>
            </m:rPr>
            <w:rPr>
              <w:rFonts w:ascii="Cambria Math" w:hAnsi="Cambria Math" w:cs="Arial"/>
            </w:rPr>
            <m:t xml:space="preserve">Contamination Factor </m:t>
          </m:r>
          <m:d>
            <m:dPr>
              <m:ctrlPr>
                <w:rPr>
                  <w:rFonts w:ascii="Cambria Math" w:hAnsi="Cambria Math" w:cs="Arial"/>
                </w:rPr>
              </m:ctrlPr>
            </m:dPr>
            <m:e>
              <m:r>
                <m:rPr>
                  <m:sty m:val="p"/>
                </m:rPr>
                <w:rPr>
                  <w:rFonts w:ascii="Cambria Math" w:hAnsi="Cambria Math" w:cs="Arial"/>
                </w:rPr>
                <m:t>CF</m:t>
              </m:r>
            </m:e>
          </m:d>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s</m:t>
                  </m:r>
                </m:sub>
              </m:sSub>
            </m:num>
            <m:den>
              <m:sSub>
                <m:sSubPr>
                  <m:ctrlPr>
                    <w:rPr>
                      <w:rFonts w:ascii="Cambria Math" w:hAnsi="Cambria Math" w:cs="Arial"/>
                      <w:i/>
                    </w:rPr>
                  </m:ctrlPr>
                </m:sSubPr>
                <m:e>
                  <m:r>
                    <w:rPr>
                      <w:rFonts w:ascii="Cambria Math" w:hAnsi="Cambria Math" w:cs="Arial"/>
                    </w:rPr>
                    <m:t>C</m:t>
                  </m:r>
                </m:e>
                <m:sub>
                  <m:r>
                    <w:rPr>
                      <w:rFonts w:ascii="Cambria Math" w:hAnsi="Cambria Math" w:cs="Arial"/>
                    </w:rPr>
                    <m:t>b</m:t>
                  </m:r>
                </m:sub>
              </m:sSub>
            </m:den>
          </m:f>
          <m:r>
            <w:rPr>
              <w:rFonts w:ascii="Cambria Math" w:hAnsi="Cambria Math" w:cs="Arial"/>
            </w:rPr>
            <m:t>-----Equation i</m:t>
          </m:r>
        </m:oMath>
      </m:oMathPara>
    </w:p>
    <w:p w14:paraId="6CC6A7DD" w14:textId="77777777" w:rsidR="000E1F57" w:rsidRPr="003D49E2" w:rsidRDefault="000E1F57" w:rsidP="000E1F57">
      <w:pPr>
        <w:spacing w:line="360" w:lineRule="auto"/>
        <w:rPr>
          <w:rFonts w:ascii="Arial" w:hAnsi="Arial" w:cs="Arial"/>
        </w:rPr>
      </w:pPr>
      <w:r w:rsidRPr="003D49E2">
        <w:rPr>
          <w:rFonts w:ascii="Arial" w:hAnsi="Arial" w:cs="Arial"/>
        </w:rPr>
        <w:t xml:space="preserve">Where </w:t>
      </w:r>
      <w:r w:rsidRPr="003D49E2">
        <w:rPr>
          <w:rStyle w:val="katex-mathml"/>
          <w:rFonts w:ascii="Arial" w:hAnsi="Arial" w:cs="Arial"/>
        </w:rPr>
        <w:t>C</w:t>
      </w:r>
      <w:r w:rsidRPr="003D49E2">
        <w:rPr>
          <w:rStyle w:val="katex-mathml"/>
          <w:rFonts w:ascii="Arial" w:hAnsi="Arial" w:cs="Arial"/>
          <w:vertAlign w:val="subscript"/>
        </w:rPr>
        <w:t>s</w:t>
      </w:r>
      <w:r w:rsidRPr="003D49E2">
        <w:rPr>
          <w:rFonts w:ascii="Arial" w:hAnsi="Arial" w:cs="Arial"/>
        </w:rPr>
        <w:t xml:space="preserve"> is the measured concentration of metal in the soil sample, and </w:t>
      </w:r>
      <w:proofErr w:type="spellStart"/>
      <w:r w:rsidRPr="003D49E2">
        <w:rPr>
          <w:rStyle w:val="katex-mathml"/>
          <w:rFonts w:ascii="Arial" w:hAnsi="Arial" w:cs="Arial"/>
        </w:rPr>
        <w:t>C</w:t>
      </w:r>
      <w:r w:rsidRPr="003D49E2">
        <w:rPr>
          <w:rStyle w:val="katex-mathml"/>
          <w:rFonts w:ascii="Arial" w:hAnsi="Arial" w:cs="Arial"/>
          <w:vertAlign w:val="subscript"/>
        </w:rPr>
        <w:t>b</w:t>
      </w:r>
      <w:proofErr w:type="spellEnd"/>
      <w:r w:rsidRPr="003D49E2">
        <w:rPr>
          <w:rStyle w:val="katex-mathml"/>
          <w:rFonts w:ascii="Arial" w:hAnsi="Arial" w:cs="Arial"/>
        </w:rPr>
        <w:t xml:space="preserve"> </w:t>
      </w:r>
      <w:r w:rsidRPr="003D49E2">
        <w:rPr>
          <w:rFonts w:ascii="Arial" w:hAnsi="Arial" w:cs="Arial"/>
        </w:rPr>
        <w:t>is the background or control concentration. CF values were interpreted as:</w:t>
      </w:r>
      <w:r w:rsidRPr="003D49E2">
        <w:rPr>
          <w:rFonts w:ascii="Arial" w:hAnsi="Arial" w:cs="Arial"/>
        </w:rPr>
        <w:br/>
        <w:t>CF &lt; 1 = low contamination,</w:t>
      </w:r>
      <w:r w:rsidRPr="003D49E2">
        <w:rPr>
          <w:rFonts w:ascii="Arial" w:hAnsi="Arial" w:cs="Arial"/>
        </w:rPr>
        <w:br/>
        <w:t>1 ≤ CF &lt; 3 = moderate,</w:t>
      </w:r>
      <w:r w:rsidRPr="003D49E2">
        <w:rPr>
          <w:rFonts w:ascii="Arial" w:hAnsi="Arial" w:cs="Arial"/>
        </w:rPr>
        <w:br/>
        <w:t>3 ≤ CF &lt; 6 = considerable,</w:t>
      </w:r>
      <w:r w:rsidRPr="003D49E2">
        <w:rPr>
          <w:rFonts w:ascii="Arial" w:hAnsi="Arial" w:cs="Arial"/>
        </w:rPr>
        <w:br/>
        <w:t>CF ≥ 6 = very high contamination (Hakanson, 1980).</w:t>
      </w:r>
    </w:p>
    <w:p w14:paraId="1C22C2BF" w14:textId="77777777" w:rsidR="000E1F57" w:rsidRPr="009C3A25" w:rsidRDefault="000E1F57" w:rsidP="000E1F57">
      <w:pPr>
        <w:spacing w:line="360" w:lineRule="auto"/>
        <w:rPr>
          <w:rFonts w:ascii="Arial" w:eastAsiaTheme="minorEastAsia" w:hAnsi="Arial" w:cs="Arial"/>
          <w:color w:val="C00000"/>
        </w:rPr>
      </w:pPr>
      <m:oMathPara>
        <m:oMath>
          <m:r>
            <m:rPr>
              <m:sty m:val="p"/>
            </m:rPr>
            <w:rPr>
              <w:rFonts w:ascii="Cambria Math" w:hAnsi="Cambria Math" w:cs="Arial"/>
            </w:rPr>
            <m:t xml:space="preserve">Geo-accumulation Index </m:t>
          </m:r>
          <m:d>
            <m:dPr>
              <m:ctrlPr>
                <w:rPr>
                  <w:rFonts w:ascii="Cambria Math" w:hAnsi="Cambria Math" w:cs="Arial"/>
                </w:rPr>
              </m:ctrlPr>
            </m:dPr>
            <m:e>
              <m:r>
                <m:rPr>
                  <m:sty m:val="p"/>
                </m:rPr>
                <w:rPr>
                  <w:rFonts w:ascii="Cambria Math" w:hAnsi="Cambria Math" w:cs="Arial"/>
                </w:rPr>
                <m:t>Igeo</m:t>
              </m:r>
            </m:e>
          </m:d>
          <m:r>
            <w:rPr>
              <w:rFonts w:ascii="Cambria Math" w:hAnsi="Cambria Math" w:cs="Arial"/>
            </w:rPr>
            <m:t xml:space="preserve">= </m:t>
          </m:r>
          <m:sSub>
            <m:sSubPr>
              <m:ctrlPr>
                <w:rPr>
                  <w:rFonts w:ascii="Cambria Math" w:hAnsi="Cambria Math" w:cs="Arial"/>
                  <w:i/>
                </w:rPr>
              </m:ctrlPr>
            </m:sSubPr>
            <m:e>
              <m:r>
                <w:rPr>
                  <w:rFonts w:ascii="Cambria Math" w:hAnsi="Cambria Math" w:cs="Arial"/>
                </w:rPr>
                <m:t>log</m:t>
              </m:r>
            </m:e>
            <m:sub>
              <m:r>
                <w:rPr>
                  <w:rFonts w:ascii="Cambria Math" w:hAnsi="Cambria Math" w:cs="Arial"/>
                </w:rPr>
                <m:t>2</m:t>
              </m:r>
            </m:sub>
          </m:sSub>
          <m:r>
            <w:rPr>
              <w:rFonts w:ascii="Cambria Math" w:hAnsi="Cambria Math" w:cs="Arial"/>
            </w:rPr>
            <m:t xml:space="preserve"> </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s</m:t>
                      </m:r>
                    </m:sub>
                  </m:sSub>
                </m:num>
                <m:den>
                  <m:r>
                    <w:rPr>
                      <w:rFonts w:ascii="Cambria Math" w:hAnsi="Cambria Math" w:cs="Arial"/>
                    </w:rPr>
                    <m:t>1.5</m:t>
                  </m:r>
                  <m:sSub>
                    <m:sSubPr>
                      <m:ctrlPr>
                        <w:rPr>
                          <w:rFonts w:ascii="Cambria Math" w:hAnsi="Cambria Math" w:cs="Arial"/>
                          <w:i/>
                        </w:rPr>
                      </m:ctrlPr>
                    </m:sSubPr>
                    <m:e>
                      <m:r>
                        <w:rPr>
                          <w:rFonts w:ascii="Cambria Math" w:hAnsi="Cambria Math" w:cs="Arial"/>
                        </w:rPr>
                        <m:t>C</m:t>
                      </m:r>
                    </m:e>
                    <m:sub>
                      <m:r>
                        <w:rPr>
                          <w:rFonts w:ascii="Cambria Math" w:hAnsi="Cambria Math" w:cs="Arial"/>
                        </w:rPr>
                        <m:t>b</m:t>
                      </m:r>
                    </m:sub>
                  </m:sSub>
                </m:den>
              </m:f>
              <m:r>
                <w:rPr>
                  <w:rFonts w:ascii="Cambria Math" w:hAnsi="Cambria Math" w:cs="Arial"/>
                </w:rPr>
                <m:t>--------Equation ii</m:t>
              </m:r>
            </m:e>
          </m:d>
        </m:oMath>
      </m:oMathPara>
    </w:p>
    <w:p w14:paraId="7C95DDCB" w14:textId="77777777" w:rsidR="000E1F57" w:rsidRPr="003D49E2" w:rsidRDefault="000E1F57" w:rsidP="000E1F57">
      <w:pPr>
        <w:spacing w:line="360" w:lineRule="auto"/>
        <w:rPr>
          <w:rFonts w:ascii="Arial" w:hAnsi="Arial" w:cs="Arial"/>
        </w:rPr>
      </w:pPr>
      <w:r w:rsidRPr="003D49E2">
        <w:rPr>
          <w:rFonts w:ascii="Arial" w:hAnsi="Arial" w:cs="Arial"/>
        </w:rPr>
        <w:t xml:space="preserve">where 1.5 accounts for natural variations in the background matrix. The </w:t>
      </w:r>
      <w:proofErr w:type="spellStart"/>
      <w:r w:rsidRPr="003D49E2">
        <w:rPr>
          <w:rFonts w:ascii="Arial" w:hAnsi="Arial" w:cs="Arial"/>
        </w:rPr>
        <w:t>Igeo</w:t>
      </w:r>
      <w:proofErr w:type="spellEnd"/>
      <w:r w:rsidRPr="003D49E2">
        <w:rPr>
          <w:rFonts w:ascii="Arial" w:hAnsi="Arial" w:cs="Arial"/>
        </w:rPr>
        <w:t xml:space="preserve"> scale classifies soils from uncontaminated (</w:t>
      </w:r>
      <w:proofErr w:type="spellStart"/>
      <w:r w:rsidRPr="003D49E2">
        <w:rPr>
          <w:rFonts w:ascii="Arial" w:hAnsi="Arial" w:cs="Arial"/>
        </w:rPr>
        <w:t>Igeo</w:t>
      </w:r>
      <w:proofErr w:type="spellEnd"/>
      <w:r w:rsidRPr="003D49E2">
        <w:rPr>
          <w:rFonts w:ascii="Arial" w:hAnsi="Arial" w:cs="Arial"/>
        </w:rPr>
        <w:t xml:space="preserve"> ≤ 0) to extremely contaminated (</w:t>
      </w:r>
      <w:proofErr w:type="spellStart"/>
      <w:r w:rsidRPr="003D49E2">
        <w:rPr>
          <w:rFonts w:ascii="Arial" w:hAnsi="Arial" w:cs="Arial"/>
        </w:rPr>
        <w:t>Igeo</w:t>
      </w:r>
      <w:proofErr w:type="spellEnd"/>
      <w:r w:rsidRPr="003D49E2">
        <w:rPr>
          <w:rFonts w:ascii="Arial" w:hAnsi="Arial" w:cs="Arial"/>
        </w:rPr>
        <w:t xml:space="preserve"> &gt; 5).</w:t>
      </w:r>
    </w:p>
    <w:p w14:paraId="1C6AAEBB" w14:textId="77777777" w:rsidR="000E1F57" w:rsidRPr="003D49E2" w:rsidRDefault="000E1F57" w:rsidP="000E1F57">
      <w:pPr>
        <w:spacing w:line="360" w:lineRule="auto"/>
        <w:rPr>
          <w:rFonts w:ascii="Arial" w:eastAsiaTheme="minorEastAsia" w:hAnsi="Arial" w:cs="Arial"/>
        </w:rPr>
      </w:pPr>
      <m:oMathPara>
        <m:oMath>
          <m:r>
            <m:rPr>
              <m:sty m:val="p"/>
            </m:rPr>
            <w:rPr>
              <w:rFonts w:ascii="Cambria Math" w:hAnsi="Cambria Math" w:cs="Arial"/>
            </w:rPr>
            <m:t xml:space="preserve">Pollution Load Index </m:t>
          </m:r>
          <m:d>
            <m:dPr>
              <m:ctrlPr>
                <w:rPr>
                  <w:rFonts w:ascii="Cambria Math" w:hAnsi="Cambria Math" w:cs="Arial"/>
                </w:rPr>
              </m:ctrlPr>
            </m:dPr>
            <m:e>
              <m:r>
                <m:rPr>
                  <m:sty m:val="p"/>
                </m:rPr>
                <w:rPr>
                  <w:rFonts w:ascii="Cambria Math" w:hAnsi="Cambria Math" w:cs="Arial"/>
                </w:rPr>
                <m:t>PLI</m:t>
              </m:r>
            </m:e>
          </m:d>
          <m:r>
            <w:rPr>
              <w:rFonts w:ascii="Cambria Math" w:hAnsi="Cambria Math" w:cs="Arial"/>
            </w:rPr>
            <m:t>=(</m:t>
          </m:r>
          <m:sSub>
            <m:sSubPr>
              <m:ctrlPr>
                <w:rPr>
                  <w:rFonts w:ascii="Cambria Math" w:hAnsi="Cambria Math" w:cs="Arial"/>
                  <w:i/>
                </w:rPr>
              </m:ctrlPr>
            </m:sSubPr>
            <m:e>
              <m:r>
                <w:rPr>
                  <w:rFonts w:ascii="Cambria Math" w:hAnsi="Cambria Math" w:cs="Arial"/>
                </w:rPr>
                <m:t>CF</m:t>
              </m:r>
            </m:e>
            <m:sub>
              <m:r>
                <w:rPr>
                  <w:rFonts w:ascii="Cambria Math" w:hAnsi="Cambria Math" w:cs="Arial"/>
                </w:rPr>
                <m:t>1</m:t>
              </m:r>
            </m:sub>
          </m:sSub>
          <m:r>
            <w:rPr>
              <w:rFonts w:ascii="Cambria Math" w:hAnsi="Cambria Math" w:cs="Arial"/>
            </w:rPr>
            <m:t xml:space="preserve"> X </m:t>
          </m:r>
          <m:sSub>
            <m:sSubPr>
              <m:ctrlPr>
                <w:rPr>
                  <w:rFonts w:ascii="Cambria Math" w:hAnsi="Cambria Math" w:cs="Arial"/>
                  <w:i/>
                </w:rPr>
              </m:ctrlPr>
            </m:sSubPr>
            <m:e>
              <m:r>
                <w:rPr>
                  <w:rFonts w:ascii="Cambria Math" w:hAnsi="Cambria Math" w:cs="Arial"/>
                </w:rPr>
                <m:t>CF</m:t>
              </m:r>
            </m:e>
            <m:sub>
              <m:r>
                <w:rPr>
                  <w:rFonts w:ascii="Cambria Math" w:hAnsi="Cambria Math" w:cs="Arial"/>
                </w:rPr>
                <m:t>2</m:t>
              </m:r>
            </m:sub>
          </m:sSub>
          <m:r>
            <w:rPr>
              <w:rFonts w:ascii="Cambria Math" w:hAnsi="Cambria Math" w:cs="Arial"/>
            </w:rPr>
            <m:t xml:space="preserve"> X… </m:t>
          </m:r>
          <m:sSub>
            <m:sSubPr>
              <m:ctrlPr>
                <w:rPr>
                  <w:rFonts w:ascii="Cambria Math" w:hAnsi="Cambria Math" w:cs="Arial"/>
                  <w:i/>
                </w:rPr>
              </m:ctrlPr>
            </m:sSubPr>
            <m:e>
              <m:r>
                <w:rPr>
                  <w:rFonts w:ascii="Cambria Math" w:hAnsi="Cambria Math" w:cs="Arial"/>
                </w:rPr>
                <m:t>CF</m:t>
              </m:r>
            </m:e>
            <m:sub>
              <m:r>
                <w:rPr>
                  <w:rFonts w:ascii="Cambria Math" w:hAnsi="Cambria Math" w:cs="Arial"/>
                </w:rPr>
                <m:t>n</m:t>
              </m:r>
            </m:sub>
          </m:sSub>
          <m:sSup>
            <m:sSupPr>
              <m:ctrlPr>
                <w:rPr>
                  <w:rFonts w:ascii="Cambria Math" w:hAnsi="Cambria Math" w:cs="Arial"/>
                  <w:i/>
                </w:rPr>
              </m:ctrlPr>
            </m:sSupPr>
            <m:e>
              <m:r>
                <w:rPr>
                  <w:rFonts w:ascii="Cambria Math" w:hAnsi="Cambria Math" w:cs="Arial"/>
                </w:rPr>
                <m:t>)</m:t>
              </m:r>
            </m:e>
            <m:sup>
              <m:f>
                <m:fPr>
                  <m:ctrlPr>
                    <w:rPr>
                      <w:rFonts w:ascii="Cambria Math" w:hAnsi="Cambria Math" w:cs="Arial"/>
                      <w:i/>
                    </w:rPr>
                  </m:ctrlPr>
                </m:fPr>
                <m:num>
                  <m:r>
                    <w:rPr>
                      <w:rFonts w:ascii="Cambria Math" w:hAnsi="Cambria Math" w:cs="Arial"/>
                    </w:rPr>
                    <m:t>1</m:t>
                  </m:r>
                </m:num>
                <m:den>
                  <m:r>
                    <w:rPr>
                      <w:rFonts w:ascii="Cambria Math" w:hAnsi="Cambria Math" w:cs="Arial"/>
                    </w:rPr>
                    <m:t>n</m:t>
                  </m:r>
                </m:den>
              </m:f>
            </m:sup>
          </m:sSup>
          <m:r>
            <w:rPr>
              <w:rFonts w:ascii="Cambria Math" w:hAnsi="Cambria Math" w:cs="Arial"/>
            </w:rPr>
            <m:t>--------Equation iii</m:t>
          </m:r>
        </m:oMath>
      </m:oMathPara>
    </w:p>
    <w:p w14:paraId="43BE0AAF" w14:textId="77777777" w:rsidR="000E1F57" w:rsidRPr="003D49E2" w:rsidRDefault="000E1F57" w:rsidP="000E1F57">
      <w:pPr>
        <w:spacing w:line="360" w:lineRule="auto"/>
        <w:rPr>
          <w:rFonts w:ascii="Arial" w:hAnsi="Arial" w:cs="Arial"/>
        </w:rPr>
      </w:pPr>
      <w:r w:rsidRPr="003D49E2">
        <w:rPr>
          <w:rFonts w:ascii="Arial" w:hAnsi="Arial" w:cs="Arial"/>
        </w:rPr>
        <w:t xml:space="preserve">Where </w:t>
      </w:r>
      <w:r w:rsidRPr="003D49E2">
        <w:rPr>
          <w:rStyle w:val="Emphasis"/>
          <w:rFonts w:ascii="Arial" w:hAnsi="Arial" w:cs="Arial"/>
        </w:rPr>
        <w:t>n</w:t>
      </w:r>
      <w:r w:rsidRPr="003D49E2">
        <w:rPr>
          <w:rFonts w:ascii="Arial" w:hAnsi="Arial" w:cs="Arial"/>
        </w:rPr>
        <w:t xml:space="preserve"> is the number of metals analyzed, PLI&gt; 1 indicates deterioration of soil quality due to pollution, while PLI &lt; 1 denotes no pollution (Tomlinson </w:t>
      </w:r>
      <w:r w:rsidRPr="003D49E2">
        <w:rPr>
          <w:rFonts w:ascii="Arial" w:hAnsi="Arial" w:cs="Arial"/>
          <w:i/>
          <w:iCs/>
        </w:rPr>
        <w:t>et al</w:t>
      </w:r>
      <w:r w:rsidRPr="003D49E2">
        <w:rPr>
          <w:rFonts w:ascii="Arial" w:hAnsi="Arial" w:cs="Arial"/>
        </w:rPr>
        <w:t>., 1980).</w:t>
      </w:r>
    </w:p>
    <w:p w14:paraId="6CACB1BD" w14:textId="77777777" w:rsidR="000E1F57" w:rsidRPr="003D49E2" w:rsidRDefault="000E1F57" w:rsidP="000E1F57">
      <w:pPr>
        <w:spacing w:line="360" w:lineRule="auto"/>
        <w:rPr>
          <w:rFonts w:ascii="Arial" w:hAnsi="Arial" w:cs="Arial"/>
        </w:rPr>
      </w:pPr>
      <w:r w:rsidRPr="003D49E2">
        <w:rPr>
          <w:rFonts w:ascii="Arial" w:hAnsi="Arial" w:cs="Arial"/>
        </w:rPr>
        <w:t xml:space="preserve">PLI (Equation iii) summarizes all contamination factors to show the total pollution burden, where a value above unity indicates soil degradation. The estimation was based on human health risks using the USEPA (1989, 2011) model, which aimed to assess exposure via ingestion, dermal contact, or inhalation. </w:t>
      </w:r>
    </w:p>
    <w:p w14:paraId="382B9B84" w14:textId="77777777" w:rsidR="000E1F57" w:rsidRPr="003D49E2" w:rsidRDefault="000E1F57" w:rsidP="000E1F57">
      <w:pPr>
        <w:spacing w:line="360" w:lineRule="auto"/>
        <w:rPr>
          <w:rFonts w:ascii="Arial" w:hAnsi="Arial" w:cs="Arial"/>
        </w:rPr>
      </w:pPr>
      <w:r w:rsidRPr="003D49E2">
        <w:rPr>
          <w:rFonts w:ascii="Arial" w:hAnsi="Arial" w:cs="Arial"/>
        </w:rPr>
        <w:t>Human Health Risk Assessment</w:t>
      </w:r>
    </w:p>
    <w:p w14:paraId="7BF9FA88" w14:textId="77777777" w:rsidR="000E1F57" w:rsidRPr="003D49E2" w:rsidRDefault="000E1F57" w:rsidP="000E1F57">
      <w:pPr>
        <w:spacing w:line="360" w:lineRule="auto"/>
        <w:rPr>
          <w:rFonts w:ascii="Arial" w:eastAsiaTheme="minorEastAsia" w:hAnsi="Arial" w:cs="Arial"/>
        </w:rPr>
      </w:pPr>
      <m:oMathPara>
        <m:oMath>
          <m:r>
            <m:rPr>
              <m:sty m:val="p"/>
            </m:rPr>
            <w:rPr>
              <w:rFonts w:ascii="Cambria Math" w:hAnsi="Cambria Math" w:cs="Arial"/>
            </w:rPr>
            <m:t xml:space="preserve">Estimated Daily Intake </m:t>
          </m:r>
          <m:d>
            <m:dPr>
              <m:ctrlPr>
                <w:rPr>
                  <w:rFonts w:ascii="Cambria Math" w:hAnsi="Cambria Math" w:cs="Arial"/>
                </w:rPr>
              </m:ctrlPr>
            </m:dPr>
            <m:e>
              <m:r>
                <m:rPr>
                  <m:sty m:val="p"/>
                </m:rPr>
                <w:rPr>
                  <w:rFonts w:ascii="Cambria Math" w:hAnsi="Cambria Math" w:cs="Arial"/>
                </w:rPr>
                <m:t>EDI</m:t>
              </m:r>
            </m:e>
          </m:d>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s</m:t>
                  </m:r>
                </m:sub>
              </m:sSub>
              <m:r>
                <w:rPr>
                  <w:rFonts w:ascii="Cambria Math" w:hAnsi="Cambria Math" w:cs="Arial"/>
                </w:rPr>
                <m:t xml:space="preserve"> X IR X EF X ED</m:t>
              </m:r>
            </m:num>
            <m:den>
              <m:r>
                <w:rPr>
                  <w:rFonts w:ascii="Cambria Math" w:hAnsi="Cambria Math" w:cs="Arial"/>
                </w:rPr>
                <m:t>BW X AT</m:t>
              </m:r>
            </m:den>
          </m:f>
          <m:r>
            <w:rPr>
              <w:rFonts w:ascii="Cambria Math" w:hAnsi="Cambria Math" w:cs="Arial"/>
            </w:rPr>
            <m:t>--------  Equation iv</m:t>
          </m:r>
        </m:oMath>
      </m:oMathPara>
    </w:p>
    <w:p w14:paraId="400D1C9B" w14:textId="77777777" w:rsidR="000E1F57" w:rsidRPr="003D49E2" w:rsidRDefault="000E1F57" w:rsidP="000E1F57">
      <w:pPr>
        <w:spacing w:line="360" w:lineRule="auto"/>
        <w:rPr>
          <w:rFonts w:ascii="Arial" w:hAnsi="Arial" w:cs="Arial"/>
        </w:rPr>
      </w:pPr>
      <w:r w:rsidRPr="003D49E2">
        <w:rPr>
          <w:rFonts w:ascii="Arial" w:hAnsi="Arial" w:cs="Arial"/>
        </w:rPr>
        <w:t xml:space="preserve">where </w:t>
      </w:r>
      <w:r w:rsidRPr="003D49E2">
        <w:rPr>
          <w:rStyle w:val="katex-mathml"/>
          <w:rFonts w:ascii="Arial" w:hAnsi="Arial" w:cs="Arial"/>
        </w:rPr>
        <w:t>C</w:t>
      </w:r>
      <w:r w:rsidRPr="003D49E2">
        <w:rPr>
          <w:rStyle w:val="katex-mathml"/>
          <w:rFonts w:ascii="Arial" w:hAnsi="Arial" w:cs="Arial"/>
          <w:vertAlign w:val="subscript"/>
        </w:rPr>
        <w:t>s</w:t>
      </w:r>
      <w:r w:rsidRPr="003D49E2">
        <w:rPr>
          <w:rFonts w:ascii="Arial" w:hAnsi="Arial" w:cs="Arial"/>
        </w:rPr>
        <w:t xml:space="preserve"> = metal concentration (mg/kg), </w:t>
      </w:r>
      <w:r w:rsidRPr="003D49E2">
        <w:rPr>
          <w:rStyle w:val="katex-mathml"/>
          <w:rFonts w:ascii="Arial" w:hAnsi="Arial" w:cs="Arial"/>
        </w:rPr>
        <w:t>IR</w:t>
      </w:r>
      <w:r w:rsidRPr="003D49E2">
        <w:rPr>
          <w:rFonts w:ascii="Arial" w:hAnsi="Arial" w:cs="Arial"/>
        </w:rPr>
        <w:t xml:space="preserve"> = soil ingestion rate (mg/day), </w:t>
      </w:r>
      <w:r w:rsidRPr="003D49E2">
        <w:rPr>
          <w:rStyle w:val="katex-mathml"/>
          <w:rFonts w:ascii="Arial" w:hAnsi="Arial" w:cs="Arial"/>
        </w:rPr>
        <w:t>EF</w:t>
      </w:r>
      <w:r w:rsidRPr="003D49E2">
        <w:rPr>
          <w:rFonts w:ascii="Arial" w:hAnsi="Arial" w:cs="Arial"/>
        </w:rPr>
        <w:t xml:space="preserve"> = exposure frequency (days/year), </w:t>
      </w:r>
      <w:r w:rsidRPr="003D49E2">
        <w:rPr>
          <w:rStyle w:val="katex-mathml"/>
          <w:rFonts w:ascii="Arial" w:hAnsi="Arial" w:cs="Arial"/>
        </w:rPr>
        <w:t>ED</w:t>
      </w:r>
      <w:r w:rsidRPr="003D49E2">
        <w:rPr>
          <w:rFonts w:ascii="Arial" w:hAnsi="Arial" w:cs="Arial"/>
        </w:rPr>
        <w:t xml:space="preserve"> = exposure duration (years), </w:t>
      </w:r>
      <w:r w:rsidRPr="003D49E2">
        <w:rPr>
          <w:rStyle w:val="katex-mathml"/>
          <w:rFonts w:ascii="Arial" w:hAnsi="Arial" w:cs="Arial"/>
        </w:rPr>
        <w:t>BW</w:t>
      </w:r>
      <w:r w:rsidRPr="003D49E2">
        <w:rPr>
          <w:rFonts w:ascii="Arial" w:hAnsi="Arial" w:cs="Arial"/>
        </w:rPr>
        <w:t xml:space="preserve"> = body weight (kg), and </w:t>
      </w:r>
      <w:r w:rsidRPr="003D49E2">
        <w:rPr>
          <w:rStyle w:val="katex-mathml"/>
          <w:rFonts w:ascii="Arial" w:hAnsi="Arial" w:cs="Arial"/>
        </w:rPr>
        <w:t>AT</w:t>
      </w:r>
      <w:r w:rsidRPr="003D49E2">
        <w:rPr>
          <w:rFonts w:ascii="Arial" w:hAnsi="Arial" w:cs="Arial"/>
        </w:rPr>
        <w:t xml:space="preserve"> = average time (days).</w:t>
      </w:r>
    </w:p>
    <w:p w14:paraId="520F410C" w14:textId="77777777" w:rsidR="000E1F57" w:rsidRPr="003D49E2" w:rsidRDefault="000E1F57" w:rsidP="000E1F57">
      <w:pPr>
        <w:spacing w:line="360" w:lineRule="auto"/>
        <w:jc w:val="both"/>
        <w:rPr>
          <w:rFonts w:ascii="Arial" w:hAnsi="Arial" w:cs="Arial"/>
        </w:rPr>
      </w:pPr>
      <w:r w:rsidRPr="003D49E2">
        <w:rPr>
          <w:rFonts w:ascii="Arial" w:hAnsi="Arial" w:cs="Arial"/>
        </w:rPr>
        <w:t>Equation iv was calculated to get the Estimated Daily Intake (EDI) to determine the magnitude of exposure in adults and children.</w:t>
      </w:r>
    </w:p>
    <w:p w14:paraId="2E3F41ED" w14:textId="77777777" w:rsidR="000E1F57" w:rsidRPr="003D49E2" w:rsidRDefault="000E1F57" w:rsidP="000E1F57">
      <w:pPr>
        <w:spacing w:line="360" w:lineRule="auto"/>
        <w:jc w:val="both"/>
        <w:rPr>
          <w:rFonts w:ascii="Arial" w:hAnsi="Arial" w:cs="Arial"/>
        </w:rPr>
      </w:pPr>
      <w:r w:rsidRPr="003D49E2">
        <w:rPr>
          <w:rFonts w:ascii="Arial" w:hAnsi="Arial" w:cs="Arial"/>
        </w:rPr>
        <w:t xml:space="preserve">The Hazard Quotient (HQ) and Hazard Index (HI) were used as non-carcinogenic risk indices where any values above unity indicated a potential impact on health (Equation 5 and 6 respectively). </w:t>
      </w:r>
    </w:p>
    <w:p w14:paraId="4BD0EF66" w14:textId="77777777" w:rsidR="000E1F57" w:rsidRPr="003D49E2" w:rsidRDefault="000E1F57" w:rsidP="000E1F57">
      <w:pPr>
        <w:spacing w:line="360" w:lineRule="auto"/>
        <w:rPr>
          <w:rFonts w:ascii="Arial" w:eastAsiaTheme="minorEastAsia" w:hAnsi="Arial" w:cs="Arial"/>
        </w:rPr>
      </w:pPr>
      <m:oMathPara>
        <m:oMath>
          <m:r>
            <m:rPr>
              <m:sty m:val="p"/>
            </m:rPr>
            <w:rPr>
              <w:rFonts w:ascii="Cambria Math" w:hAnsi="Cambria Math" w:cs="Arial"/>
            </w:rPr>
            <m:t xml:space="preserve">Hazard Quotient </m:t>
          </m:r>
          <m:d>
            <m:dPr>
              <m:ctrlPr>
                <w:rPr>
                  <w:rFonts w:ascii="Cambria Math" w:hAnsi="Cambria Math" w:cs="Arial"/>
                </w:rPr>
              </m:ctrlPr>
            </m:dPr>
            <m:e>
              <m:r>
                <m:rPr>
                  <m:sty m:val="p"/>
                </m:rPr>
                <w:rPr>
                  <w:rFonts w:ascii="Cambria Math" w:hAnsi="Cambria Math" w:cs="Arial"/>
                </w:rPr>
                <m:t>HQ</m:t>
              </m:r>
            </m:e>
          </m:d>
          <m:r>
            <w:rPr>
              <w:rFonts w:ascii="Cambria Math" w:hAnsi="Cambria Math" w:cs="Arial"/>
            </w:rPr>
            <m:t xml:space="preserve">= </m:t>
          </m:r>
          <m:f>
            <m:fPr>
              <m:ctrlPr>
                <w:rPr>
                  <w:rFonts w:ascii="Cambria Math" w:hAnsi="Cambria Math" w:cs="Arial"/>
                  <w:i/>
                </w:rPr>
              </m:ctrlPr>
            </m:fPr>
            <m:num>
              <m:r>
                <w:rPr>
                  <w:rFonts w:ascii="Cambria Math" w:hAnsi="Cambria Math" w:cs="Arial"/>
                </w:rPr>
                <m:t>EDI</m:t>
              </m:r>
            </m:num>
            <m:den>
              <m:r>
                <w:rPr>
                  <w:rFonts w:ascii="Cambria Math" w:hAnsi="Cambria Math" w:cs="Arial"/>
                </w:rPr>
                <m:t>RfD</m:t>
              </m:r>
            </m:den>
          </m:f>
          <m:r>
            <w:rPr>
              <w:rFonts w:ascii="Cambria Math" w:hAnsi="Cambria Math" w:cs="Arial"/>
            </w:rPr>
            <m:t>---------Equation v</m:t>
          </m:r>
        </m:oMath>
      </m:oMathPara>
    </w:p>
    <w:p w14:paraId="297CEEC7" w14:textId="77777777" w:rsidR="000E1F57" w:rsidRPr="003D49E2" w:rsidRDefault="000E1F57" w:rsidP="000E1F57">
      <w:pPr>
        <w:spacing w:line="360" w:lineRule="auto"/>
        <w:rPr>
          <w:rFonts w:ascii="Arial" w:eastAsiaTheme="minorEastAsia" w:hAnsi="Arial" w:cs="Arial"/>
        </w:rPr>
      </w:pPr>
      <m:oMathPara>
        <m:oMath>
          <m:r>
            <w:rPr>
              <w:rFonts w:ascii="Cambria Math" w:eastAsiaTheme="minorEastAsia" w:hAnsi="Cambria Math" w:cs="Arial"/>
            </w:rPr>
            <m:t xml:space="preserve">HI= </m:t>
          </m:r>
          <m:nary>
            <m:naryPr>
              <m:chr m:val="∑"/>
              <m:limLoc m:val="undOvr"/>
              <m:subHide m:val="1"/>
              <m:supHide m:val="1"/>
              <m:ctrlPr>
                <w:rPr>
                  <w:rFonts w:ascii="Cambria Math" w:eastAsiaTheme="minorEastAsia" w:hAnsi="Cambria Math" w:cs="Arial"/>
                  <w:i/>
                </w:rPr>
              </m:ctrlPr>
            </m:naryPr>
            <m:sub/>
            <m:sup/>
            <m:e>
              <m:f>
                <m:fPr>
                  <m:ctrlPr>
                    <w:rPr>
                      <w:rFonts w:ascii="Cambria Math" w:hAnsi="Cambria Math" w:cs="Arial"/>
                      <w:i/>
                    </w:rPr>
                  </m:ctrlPr>
                </m:fPr>
                <m:num>
                  <m:r>
                    <w:rPr>
                      <w:rFonts w:ascii="Cambria Math" w:hAnsi="Cambria Math" w:cs="Arial"/>
                    </w:rPr>
                    <m:t>EDI</m:t>
                  </m:r>
                </m:num>
                <m:den>
                  <m:r>
                    <w:rPr>
                      <w:rFonts w:ascii="Cambria Math" w:hAnsi="Cambria Math" w:cs="Arial"/>
                    </w:rPr>
                    <m:t>RfD</m:t>
                  </m:r>
                </m:den>
              </m:f>
              <m:r>
                <w:rPr>
                  <w:rFonts w:ascii="Cambria Math" w:hAnsi="Cambria Math" w:cs="Arial"/>
                </w:rPr>
                <m:t>- - - - - - - - - - -  Equation vi</m:t>
              </m:r>
            </m:e>
          </m:nary>
        </m:oMath>
      </m:oMathPara>
    </w:p>
    <w:p w14:paraId="38E11026" w14:textId="77777777" w:rsidR="000E1F57" w:rsidRPr="003D49E2" w:rsidRDefault="000E1F57" w:rsidP="000E1F57">
      <w:pPr>
        <w:spacing w:line="360" w:lineRule="auto"/>
        <w:rPr>
          <w:rFonts w:ascii="Arial" w:hAnsi="Arial" w:cs="Arial"/>
        </w:rPr>
      </w:pPr>
      <w:r w:rsidRPr="003D49E2">
        <w:rPr>
          <w:rFonts w:ascii="Arial" w:hAnsi="Arial" w:cs="Arial"/>
        </w:rPr>
        <w:lastRenderedPageBreak/>
        <w:t xml:space="preserve">Where </w:t>
      </w:r>
      <w:proofErr w:type="spellStart"/>
      <w:r w:rsidRPr="003D49E2">
        <w:rPr>
          <w:rStyle w:val="katex-mathml"/>
          <w:rFonts w:ascii="Arial" w:hAnsi="Arial" w:cs="Arial"/>
        </w:rPr>
        <w:t>RfD</w:t>
      </w:r>
      <w:proofErr w:type="spellEnd"/>
      <w:r w:rsidRPr="003D49E2">
        <w:rPr>
          <w:rFonts w:ascii="Arial" w:hAnsi="Arial" w:cs="Arial"/>
        </w:rPr>
        <w:t xml:space="preserve"> = reference dose (mg/kg/day) obtained from USEPA IRIS database, the </w:t>
      </w:r>
      <w:r w:rsidRPr="003D49E2">
        <w:rPr>
          <w:rStyle w:val="Strong"/>
          <w:rFonts w:ascii="Arial" w:hAnsi="Arial" w:cs="Arial"/>
          <w:b w:val="0"/>
          <w:bCs w:val="0"/>
        </w:rPr>
        <w:t>Hazard Index (HI)</w:t>
      </w:r>
      <w:r w:rsidRPr="003D49E2">
        <w:rPr>
          <w:rFonts w:ascii="Arial" w:hAnsi="Arial" w:cs="Arial"/>
        </w:rPr>
        <w:t xml:space="preserve"> was calculated as the sum of all HQs for multiple metals or exposure routes. HQ or HI &gt; 1 implies a potential health concern.</w:t>
      </w:r>
    </w:p>
    <w:p w14:paraId="2D356310" w14:textId="77777777" w:rsidR="000E1F57" w:rsidRPr="003D49E2" w:rsidRDefault="000E1F57" w:rsidP="000E1F57">
      <w:pPr>
        <w:spacing w:line="360" w:lineRule="auto"/>
        <w:jc w:val="both"/>
        <w:rPr>
          <w:rFonts w:ascii="Arial" w:hAnsi="Arial" w:cs="Arial"/>
        </w:rPr>
      </w:pPr>
      <w:r w:rsidRPr="003D49E2">
        <w:rPr>
          <w:rFonts w:ascii="Arial" w:hAnsi="Arial" w:cs="Arial"/>
        </w:rPr>
        <w:t>The appropriate calculation of carcinogenic risk (CR) (Equation 7) was done on metals that have been categorized as carcinogens, with an acceptable, controversial risk in the range of 1 × 10⁶ -1 × 10⁶. This combination approach allowed us to get a complete picture of the extent of contamination and the results in relation to ecological and human health safety.</w:t>
      </w:r>
    </w:p>
    <w:p w14:paraId="74262DCF" w14:textId="77777777" w:rsidR="000E1F57" w:rsidRPr="003D49E2" w:rsidRDefault="000E1F57" w:rsidP="000E1F57">
      <w:pPr>
        <w:spacing w:line="360" w:lineRule="auto"/>
        <w:rPr>
          <w:rFonts w:ascii="Arial" w:eastAsiaTheme="minorEastAsia" w:hAnsi="Arial" w:cs="Arial"/>
        </w:rPr>
      </w:pPr>
      <m:oMathPara>
        <m:oMath>
          <m:r>
            <m:rPr>
              <m:sty m:val="p"/>
            </m:rPr>
            <w:rPr>
              <w:rFonts w:ascii="Cambria Math" w:hAnsi="Cambria Math" w:cs="Arial"/>
            </w:rPr>
            <m:t xml:space="preserve">Carcinogenic Risk </m:t>
          </m:r>
          <m:d>
            <m:dPr>
              <m:ctrlPr>
                <w:rPr>
                  <w:rFonts w:ascii="Cambria Math" w:hAnsi="Cambria Math" w:cs="Arial"/>
                </w:rPr>
              </m:ctrlPr>
            </m:dPr>
            <m:e>
              <m:r>
                <m:rPr>
                  <m:sty m:val="p"/>
                </m:rPr>
                <w:rPr>
                  <w:rFonts w:ascii="Cambria Math" w:hAnsi="Cambria Math" w:cs="Arial"/>
                </w:rPr>
                <m:t>CR</m:t>
              </m:r>
            </m:e>
          </m:d>
          <m:r>
            <w:rPr>
              <w:rFonts w:ascii="Cambria Math" w:hAnsi="Cambria Math" w:cs="Arial"/>
            </w:rPr>
            <m:t>=EDI X SF----------Equation vii</m:t>
          </m:r>
        </m:oMath>
      </m:oMathPara>
    </w:p>
    <w:p w14:paraId="77B84599" w14:textId="77777777" w:rsidR="000E1F57" w:rsidRPr="003D49E2" w:rsidRDefault="000E1F57" w:rsidP="000E1F57">
      <w:pPr>
        <w:pStyle w:val="NormalWeb"/>
        <w:spacing w:line="360" w:lineRule="auto"/>
        <w:rPr>
          <w:rFonts w:ascii="Arial" w:hAnsi="Arial" w:cs="Arial"/>
          <w:sz w:val="20"/>
          <w:szCs w:val="20"/>
        </w:rPr>
      </w:pPr>
      <w:r w:rsidRPr="003D49E2">
        <w:rPr>
          <w:rFonts w:ascii="Arial" w:hAnsi="Arial" w:cs="Arial"/>
          <w:sz w:val="20"/>
          <w:szCs w:val="20"/>
        </w:rPr>
        <w:t xml:space="preserve">Where </w:t>
      </w:r>
      <w:r w:rsidRPr="003D49E2">
        <w:rPr>
          <w:rStyle w:val="katex-mathml"/>
          <w:rFonts w:ascii="Arial" w:hAnsi="Arial" w:cs="Arial"/>
          <w:sz w:val="20"/>
          <w:szCs w:val="20"/>
        </w:rPr>
        <w:t>SF</w:t>
      </w:r>
      <w:r w:rsidRPr="003D49E2">
        <w:rPr>
          <w:rFonts w:ascii="Arial" w:hAnsi="Arial" w:cs="Arial"/>
          <w:sz w:val="20"/>
          <w:szCs w:val="20"/>
        </w:rPr>
        <w:t xml:space="preserve"> = slope factor (mg/kg/day</w:t>
      </w:r>
      <w:r w:rsidRPr="003D49E2">
        <w:rPr>
          <w:rFonts w:ascii="Cambria Math" w:hAnsi="Cambria Math" w:cs="Cambria Math"/>
          <w:sz w:val="20"/>
          <w:szCs w:val="20"/>
        </w:rPr>
        <w:t>⁻</w:t>
      </w:r>
      <w:r w:rsidRPr="003D49E2">
        <w:rPr>
          <w:rFonts w:ascii="Arial" w:hAnsi="Arial" w:cs="Arial"/>
          <w:sz w:val="20"/>
          <w:szCs w:val="20"/>
          <w:vertAlign w:val="superscript"/>
        </w:rPr>
        <w:t>1</w:t>
      </w:r>
      <w:r w:rsidRPr="003D49E2">
        <w:rPr>
          <w:rFonts w:ascii="Arial" w:hAnsi="Arial" w:cs="Arial"/>
          <w:sz w:val="20"/>
          <w:szCs w:val="20"/>
        </w:rPr>
        <w:t xml:space="preserve">). Acceptable CR values range between </w:t>
      </w:r>
      <w:r w:rsidRPr="003D49E2">
        <w:rPr>
          <w:rStyle w:val="mord"/>
          <w:rFonts w:ascii="Arial" w:hAnsi="Arial" w:cs="Arial"/>
          <w:sz w:val="20"/>
          <w:szCs w:val="20"/>
        </w:rPr>
        <w:t>10</w:t>
      </w:r>
      <w:r w:rsidRPr="003D49E2">
        <w:rPr>
          <w:rStyle w:val="mord"/>
          <w:rFonts w:ascii="Arial" w:hAnsi="Arial" w:cs="Arial"/>
          <w:sz w:val="20"/>
          <w:szCs w:val="20"/>
          <w:vertAlign w:val="superscript"/>
        </w:rPr>
        <w:t>-6</w:t>
      </w:r>
      <w:r w:rsidRPr="003D49E2">
        <w:rPr>
          <w:rFonts w:ascii="Arial" w:hAnsi="Arial" w:cs="Arial"/>
          <w:sz w:val="20"/>
          <w:szCs w:val="20"/>
        </w:rPr>
        <w:t xml:space="preserve"> and </w:t>
      </w:r>
      <w:r w:rsidRPr="003D49E2">
        <w:rPr>
          <w:rStyle w:val="mord"/>
          <w:rFonts w:ascii="Arial" w:hAnsi="Arial" w:cs="Arial"/>
          <w:sz w:val="20"/>
          <w:szCs w:val="20"/>
        </w:rPr>
        <w:t>10</w:t>
      </w:r>
      <w:r w:rsidRPr="003D49E2">
        <w:rPr>
          <w:rStyle w:val="mord"/>
          <w:rFonts w:ascii="Arial" w:hAnsi="Arial" w:cs="Arial"/>
          <w:sz w:val="20"/>
          <w:szCs w:val="20"/>
          <w:vertAlign w:val="superscript"/>
        </w:rPr>
        <w:t>−4</w:t>
      </w:r>
      <w:r w:rsidRPr="003D49E2">
        <w:rPr>
          <w:rFonts w:ascii="Arial" w:hAnsi="Arial" w:cs="Arial"/>
          <w:sz w:val="20"/>
          <w:szCs w:val="20"/>
        </w:rPr>
        <w:t xml:space="preserve"> (USEPA, 2011).</w:t>
      </w:r>
    </w:p>
    <w:p w14:paraId="7352F1E5" w14:textId="77777777" w:rsidR="000E1F57" w:rsidRPr="002C6CDB" w:rsidRDefault="000E1F57" w:rsidP="000E1F57">
      <w:pPr>
        <w:pStyle w:val="AbstHead"/>
        <w:spacing w:after="0"/>
        <w:jc w:val="both"/>
        <w:rPr>
          <w:rFonts w:ascii="Arial" w:hAnsi="Arial" w:cs="Arial"/>
        </w:rPr>
      </w:pPr>
    </w:p>
    <w:p w14:paraId="5016CD02" w14:textId="77777777" w:rsidR="000E1F57" w:rsidRPr="002C6CDB" w:rsidRDefault="000E1F57" w:rsidP="000E1F57">
      <w:pPr>
        <w:pStyle w:val="Head1"/>
        <w:spacing w:after="0"/>
        <w:jc w:val="both"/>
        <w:rPr>
          <w:rFonts w:ascii="Arial" w:hAnsi="Arial" w:cs="Arial"/>
        </w:rPr>
      </w:pPr>
      <w:r w:rsidRPr="002C6CDB">
        <w:rPr>
          <w:rFonts w:ascii="Arial" w:hAnsi="Arial" w:cs="Arial"/>
        </w:rPr>
        <w:t>3. results and discussion</w:t>
      </w:r>
    </w:p>
    <w:p w14:paraId="15C3B872" w14:textId="77777777" w:rsidR="002C6CDB" w:rsidRPr="002C6CDB" w:rsidRDefault="003D49E2" w:rsidP="002C6CDB">
      <w:pPr>
        <w:pStyle w:val="Heading1"/>
        <w:rPr>
          <w:rFonts w:ascii="Arial" w:hAnsi="Arial" w:cs="Arial"/>
        </w:rPr>
      </w:pPr>
      <w:r>
        <w:rPr>
          <w:rFonts w:ascii="Arial" w:hAnsi="Arial" w:cs="Arial"/>
        </w:rPr>
        <w:t>3.1 Physicochemical c</w:t>
      </w:r>
      <w:r w:rsidR="002C6CDB" w:rsidRPr="002C6CDB">
        <w:rPr>
          <w:rFonts w:ascii="Arial" w:hAnsi="Arial" w:cs="Arial"/>
        </w:rPr>
        <w:t>haracteristics of soils used for the study</w:t>
      </w:r>
    </w:p>
    <w:p w14:paraId="1087A46A" w14:textId="77777777" w:rsidR="002C6CDB" w:rsidRPr="00D86173" w:rsidRDefault="002C6CDB" w:rsidP="002C6CDB">
      <w:pPr>
        <w:pStyle w:val="NormalWeb"/>
        <w:spacing w:line="360" w:lineRule="auto"/>
        <w:jc w:val="both"/>
        <w:rPr>
          <w:rFonts w:ascii="Arial" w:hAnsi="Arial" w:cs="Arial"/>
          <w:sz w:val="20"/>
          <w:szCs w:val="20"/>
        </w:rPr>
      </w:pPr>
      <w:r w:rsidRPr="00D86173">
        <w:rPr>
          <w:rFonts w:ascii="Arial" w:hAnsi="Arial" w:cs="Arial"/>
          <w:sz w:val="20"/>
          <w:szCs w:val="20"/>
        </w:rPr>
        <w:t xml:space="preserve">The physicochemical characteristics of the soils used for the study are presented in Table 1. The </w:t>
      </w:r>
      <w:r w:rsidRPr="00D86173">
        <w:rPr>
          <w:rStyle w:val="Strong"/>
          <w:rFonts w:ascii="Arial" w:hAnsi="Arial" w:cs="Arial"/>
          <w:b w:val="0"/>
          <w:sz w:val="20"/>
          <w:szCs w:val="20"/>
        </w:rPr>
        <w:t>agrochemical farm soil</w:t>
      </w:r>
      <w:r w:rsidRPr="00D86173">
        <w:rPr>
          <w:rFonts w:ascii="Arial" w:hAnsi="Arial" w:cs="Arial"/>
          <w:sz w:val="20"/>
          <w:szCs w:val="20"/>
        </w:rPr>
        <w:t xml:space="preserve"> was notably more acidic, with a </w:t>
      </w:r>
      <w:r w:rsidRPr="00D86173">
        <w:rPr>
          <w:rStyle w:val="Strong"/>
          <w:rFonts w:ascii="Arial" w:hAnsi="Arial" w:cs="Arial"/>
          <w:b w:val="0"/>
          <w:sz w:val="20"/>
          <w:szCs w:val="20"/>
        </w:rPr>
        <w:t>pH of 5.75 ± 0.32</w:t>
      </w:r>
      <w:r w:rsidRPr="00D86173">
        <w:rPr>
          <w:rFonts w:ascii="Arial" w:hAnsi="Arial" w:cs="Arial"/>
          <w:sz w:val="20"/>
          <w:szCs w:val="20"/>
        </w:rPr>
        <w:t xml:space="preserve"> compared to the </w:t>
      </w:r>
      <w:r w:rsidRPr="00D86173">
        <w:rPr>
          <w:rStyle w:val="Strong"/>
          <w:rFonts w:ascii="Arial" w:hAnsi="Arial" w:cs="Arial"/>
          <w:b w:val="0"/>
          <w:sz w:val="20"/>
          <w:szCs w:val="20"/>
        </w:rPr>
        <w:t>control at 7.00 ± 0.20</w:t>
      </w:r>
      <w:r w:rsidRPr="00D86173">
        <w:rPr>
          <w:rFonts w:ascii="Arial" w:hAnsi="Arial" w:cs="Arial"/>
          <w:sz w:val="20"/>
          <w:szCs w:val="20"/>
        </w:rPr>
        <w:t xml:space="preserve">. It showed </w:t>
      </w:r>
      <w:r w:rsidRPr="00D86173">
        <w:rPr>
          <w:rStyle w:val="Strong"/>
          <w:rFonts w:ascii="Arial" w:hAnsi="Arial" w:cs="Arial"/>
          <w:b w:val="0"/>
          <w:sz w:val="20"/>
          <w:szCs w:val="20"/>
        </w:rPr>
        <w:t>higher levels of salts and cations</w:t>
      </w:r>
      <w:r w:rsidRPr="00D86173">
        <w:rPr>
          <w:rFonts w:ascii="Arial" w:hAnsi="Arial" w:cs="Arial"/>
          <w:sz w:val="20"/>
          <w:szCs w:val="20"/>
        </w:rPr>
        <w:t xml:space="preserve">, reflected in </w:t>
      </w:r>
      <w:r w:rsidRPr="00D86173">
        <w:rPr>
          <w:rStyle w:val="Strong"/>
          <w:rFonts w:ascii="Arial" w:hAnsi="Arial" w:cs="Arial"/>
          <w:b w:val="0"/>
          <w:sz w:val="20"/>
          <w:szCs w:val="20"/>
        </w:rPr>
        <w:t>electrical conductivity of 237 ± 8 µS/cm</w:t>
      </w:r>
      <w:r w:rsidRPr="00D86173">
        <w:rPr>
          <w:rFonts w:ascii="Arial" w:hAnsi="Arial" w:cs="Arial"/>
          <w:sz w:val="20"/>
          <w:szCs w:val="20"/>
        </w:rPr>
        <w:t xml:space="preserve"> as against </w:t>
      </w:r>
      <w:r w:rsidRPr="00D86173">
        <w:rPr>
          <w:rStyle w:val="Strong"/>
          <w:rFonts w:ascii="Arial" w:hAnsi="Arial" w:cs="Arial"/>
          <w:b w:val="0"/>
          <w:sz w:val="20"/>
          <w:szCs w:val="20"/>
        </w:rPr>
        <w:t>155 ± 4 µS/cm</w:t>
      </w:r>
      <w:r w:rsidRPr="00D86173">
        <w:rPr>
          <w:rFonts w:ascii="Arial" w:hAnsi="Arial" w:cs="Arial"/>
          <w:b/>
          <w:sz w:val="20"/>
          <w:szCs w:val="20"/>
        </w:rPr>
        <w:t xml:space="preserve"> </w:t>
      </w:r>
      <w:r w:rsidRPr="00D86173">
        <w:rPr>
          <w:rFonts w:ascii="Arial" w:hAnsi="Arial" w:cs="Arial"/>
          <w:sz w:val="20"/>
          <w:szCs w:val="20"/>
        </w:rPr>
        <w:t xml:space="preserve">in the control. The agrochemical farm soil contained </w:t>
      </w:r>
      <w:r w:rsidRPr="00D86173">
        <w:rPr>
          <w:rStyle w:val="Strong"/>
          <w:rFonts w:ascii="Arial" w:hAnsi="Arial" w:cs="Arial"/>
          <w:b w:val="0"/>
          <w:sz w:val="20"/>
          <w:szCs w:val="20"/>
        </w:rPr>
        <w:t>higher concentrations of cations</w:t>
      </w:r>
      <w:r w:rsidRPr="00D86173">
        <w:rPr>
          <w:rFonts w:ascii="Arial" w:hAnsi="Arial" w:cs="Arial"/>
          <w:sz w:val="20"/>
          <w:szCs w:val="20"/>
        </w:rPr>
        <w:t xml:space="preserve"> at </w:t>
      </w:r>
      <w:r w:rsidRPr="00D86173">
        <w:rPr>
          <w:rStyle w:val="Strong"/>
          <w:rFonts w:ascii="Arial" w:hAnsi="Arial" w:cs="Arial"/>
          <w:b w:val="0"/>
          <w:sz w:val="20"/>
          <w:szCs w:val="20"/>
        </w:rPr>
        <w:t>165.36 ± 5.89 mg/kg (calcium), 45.65 ± 0.36 mg/kg (</w:t>
      </w:r>
      <w:r w:rsidR="001B632E" w:rsidRPr="00D86173">
        <w:rPr>
          <w:rStyle w:val="Strong"/>
          <w:rFonts w:ascii="Arial" w:hAnsi="Arial" w:cs="Arial"/>
          <w:b w:val="0"/>
          <w:sz w:val="20"/>
          <w:szCs w:val="20"/>
        </w:rPr>
        <w:t>magnesium</w:t>
      </w:r>
      <w:r w:rsidRPr="00D86173">
        <w:rPr>
          <w:rStyle w:val="Strong"/>
          <w:rFonts w:ascii="Arial" w:hAnsi="Arial" w:cs="Arial"/>
          <w:b w:val="0"/>
          <w:sz w:val="20"/>
          <w:szCs w:val="20"/>
        </w:rPr>
        <w:t xml:space="preserve">), 13.24 ± 0.13 mg/kg (sodium) </w:t>
      </w:r>
      <w:r w:rsidRPr="00D86173">
        <w:rPr>
          <w:rFonts w:ascii="Arial" w:hAnsi="Arial" w:cs="Arial"/>
          <w:sz w:val="20"/>
          <w:szCs w:val="20"/>
        </w:rPr>
        <w:t>and</w:t>
      </w:r>
      <w:r w:rsidRPr="00D86173">
        <w:rPr>
          <w:rFonts w:ascii="Arial" w:hAnsi="Arial" w:cs="Arial"/>
          <w:b/>
          <w:sz w:val="20"/>
          <w:szCs w:val="20"/>
        </w:rPr>
        <w:t xml:space="preserve"> </w:t>
      </w:r>
      <w:r w:rsidRPr="00D86173">
        <w:rPr>
          <w:rStyle w:val="Strong"/>
          <w:rFonts w:ascii="Arial" w:hAnsi="Arial" w:cs="Arial"/>
          <w:b w:val="0"/>
          <w:sz w:val="20"/>
          <w:szCs w:val="20"/>
        </w:rPr>
        <w:t xml:space="preserve">21.60 ± 0.44 mg/kg (potassium) </w:t>
      </w:r>
      <w:r w:rsidRPr="00D86173">
        <w:rPr>
          <w:rFonts w:ascii="Arial" w:hAnsi="Arial" w:cs="Arial"/>
          <w:sz w:val="20"/>
          <w:szCs w:val="20"/>
        </w:rPr>
        <w:t>compared to</w:t>
      </w:r>
      <w:r w:rsidRPr="00D86173">
        <w:rPr>
          <w:rStyle w:val="Strong"/>
          <w:rFonts w:ascii="Arial" w:hAnsi="Arial" w:cs="Arial"/>
          <w:b w:val="0"/>
          <w:sz w:val="20"/>
          <w:szCs w:val="20"/>
        </w:rPr>
        <w:t xml:space="preserve"> 111.25 ± 2.23 mg/kg (calcium)</w:t>
      </w:r>
      <w:r w:rsidRPr="00D86173">
        <w:rPr>
          <w:rFonts w:ascii="Arial" w:hAnsi="Arial" w:cs="Arial"/>
          <w:b/>
          <w:sz w:val="20"/>
          <w:szCs w:val="20"/>
        </w:rPr>
        <w:t xml:space="preserve">, </w:t>
      </w:r>
      <w:r w:rsidR="001B632E">
        <w:rPr>
          <w:rStyle w:val="Strong"/>
          <w:rFonts w:ascii="Arial" w:hAnsi="Arial" w:cs="Arial"/>
          <w:b w:val="0"/>
          <w:sz w:val="20"/>
          <w:szCs w:val="20"/>
        </w:rPr>
        <w:t>32.95 ± 1.23 mg/kg (magnes</w:t>
      </w:r>
      <w:r w:rsidR="001B632E" w:rsidRPr="00D86173">
        <w:rPr>
          <w:rStyle w:val="Strong"/>
          <w:rFonts w:ascii="Arial" w:hAnsi="Arial" w:cs="Arial"/>
          <w:b w:val="0"/>
          <w:sz w:val="20"/>
          <w:szCs w:val="20"/>
        </w:rPr>
        <w:t>ium</w:t>
      </w:r>
      <w:r w:rsidRPr="00D86173">
        <w:rPr>
          <w:rStyle w:val="Strong"/>
          <w:rFonts w:ascii="Arial" w:hAnsi="Arial" w:cs="Arial"/>
          <w:b w:val="0"/>
          <w:sz w:val="20"/>
          <w:szCs w:val="20"/>
        </w:rPr>
        <w:t>)</w:t>
      </w:r>
      <w:r w:rsidRPr="00D86173">
        <w:rPr>
          <w:rFonts w:ascii="Arial" w:hAnsi="Arial" w:cs="Arial"/>
          <w:b/>
          <w:sz w:val="20"/>
          <w:szCs w:val="20"/>
        </w:rPr>
        <w:t>,</w:t>
      </w:r>
      <w:r w:rsidRPr="00D86173">
        <w:rPr>
          <w:rStyle w:val="Strong"/>
          <w:rFonts w:ascii="Arial" w:hAnsi="Arial" w:cs="Arial"/>
          <w:b w:val="0"/>
          <w:sz w:val="20"/>
          <w:szCs w:val="20"/>
        </w:rPr>
        <w:t xml:space="preserve"> 10.03 ± 0.08 mg/kg (sodium)</w:t>
      </w:r>
      <w:r w:rsidRPr="00D86173">
        <w:rPr>
          <w:rFonts w:ascii="Arial" w:hAnsi="Arial" w:cs="Arial"/>
          <w:sz w:val="20"/>
          <w:szCs w:val="20"/>
        </w:rPr>
        <w:t xml:space="preserve">, and </w:t>
      </w:r>
      <w:r w:rsidRPr="00D86173">
        <w:rPr>
          <w:rStyle w:val="Strong"/>
          <w:rFonts w:ascii="Arial" w:hAnsi="Arial" w:cs="Arial"/>
          <w:b w:val="0"/>
          <w:sz w:val="20"/>
          <w:szCs w:val="20"/>
        </w:rPr>
        <w:t>15.36 ± 0.23 mg/kg</w:t>
      </w:r>
      <w:r w:rsidRPr="00D86173">
        <w:rPr>
          <w:rFonts w:ascii="Arial" w:hAnsi="Arial" w:cs="Arial"/>
          <w:sz w:val="20"/>
          <w:szCs w:val="20"/>
        </w:rPr>
        <w:t xml:space="preserve"> (potassium) in the control soil. </w:t>
      </w:r>
      <w:r w:rsidRPr="00D86173">
        <w:rPr>
          <w:rFonts w:ascii="Arial" w:hAnsi="Arial" w:cs="Arial"/>
          <w:bCs/>
          <w:sz w:val="20"/>
          <w:szCs w:val="20"/>
        </w:rPr>
        <w:t>Also, organic carbon (TOC)</w:t>
      </w:r>
      <w:r w:rsidRPr="00D86173">
        <w:rPr>
          <w:rFonts w:ascii="Arial" w:hAnsi="Arial" w:cs="Arial"/>
          <w:sz w:val="20"/>
          <w:szCs w:val="20"/>
        </w:rPr>
        <w:t xml:space="preserve"> was higher in the agrochemical soil (</w:t>
      </w:r>
      <w:r w:rsidRPr="00D86173">
        <w:rPr>
          <w:rFonts w:ascii="Arial" w:hAnsi="Arial" w:cs="Arial"/>
          <w:bCs/>
          <w:sz w:val="20"/>
          <w:szCs w:val="20"/>
        </w:rPr>
        <w:t>0.26 ± 0.057%</w:t>
      </w:r>
      <w:r w:rsidRPr="00D86173">
        <w:rPr>
          <w:rFonts w:ascii="Arial" w:hAnsi="Arial" w:cs="Arial"/>
          <w:sz w:val="20"/>
          <w:szCs w:val="20"/>
        </w:rPr>
        <w:t>) compared to the control (</w:t>
      </w:r>
      <w:r w:rsidRPr="00D86173">
        <w:rPr>
          <w:rFonts w:ascii="Arial" w:hAnsi="Arial" w:cs="Arial"/>
          <w:bCs/>
          <w:sz w:val="20"/>
          <w:szCs w:val="20"/>
        </w:rPr>
        <w:t>0.17 ± 0.001%</w:t>
      </w:r>
      <w:r w:rsidRPr="00D86173">
        <w:rPr>
          <w:rFonts w:ascii="Arial" w:hAnsi="Arial" w:cs="Arial"/>
          <w:sz w:val="20"/>
          <w:szCs w:val="20"/>
        </w:rPr>
        <w:t xml:space="preserve">), suggesting more organic matter accumulation. However, </w:t>
      </w:r>
      <w:r w:rsidRPr="00D86173">
        <w:rPr>
          <w:rFonts w:ascii="Arial" w:hAnsi="Arial" w:cs="Arial"/>
          <w:bCs/>
          <w:sz w:val="20"/>
          <w:szCs w:val="20"/>
        </w:rPr>
        <w:t>nitrate concentrations</w:t>
      </w:r>
      <w:r w:rsidRPr="00D86173">
        <w:rPr>
          <w:rFonts w:ascii="Arial" w:hAnsi="Arial" w:cs="Arial"/>
          <w:sz w:val="20"/>
          <w:szCs w:val="20"/>
        </w:rPr>
        <w:t xml:space="preserve"> (</w:t>
      </w:r>
      <w:r w:rsidRPr="00D86173">
        <w:rPr>
          <w:rFonts w:ascii="Arial" w:hAnsi="Arial" w:cs="Arial"/>
          <w:bCs/>
          <w:sz w:val="20"/>
          <w:szCs w:val="20"/>
        </w:rPr>
        <w:t>9.21 ± 0.56 mg/kg</w:t>
      </w:r>
      <w:r w:rsidRPr="00D86173">
        <w:rPr>
          <w:rFonts w:ascii="Arial" w:hAnsi="Arial" w:cs="Arial"/>
          <w:sz w:val="20"/>
          <w:szCs w:val="20"/>
        </w:rPr>
        <w:t>) were lower than the control (</w:t>
      </w:r>
      <w:r w:rsidRPr="00D86173">
        <w:rPr>
          <w:rFonts w:ascii="Arial" w:hAnsi="Arial" w:cs="Arial"/>
          <w:bCs/>
          <w:sz w:val="20"/>
          <w:szCs w:val="20"/>
        </w:rPr>
        <w:t>11.03 ± 0.014 mg/kg</w:t>
      </w:r>
      <w:r w:rsidRPr="00D86173">
        <w:rPr>
          <w:rFonts w:ascii="Arial" w:hAnsi="Arial" w:cs="Arial"/>
          <w:sz w:val="20"/>
          <w:szCs w:val="20"/>
        </w:rPr>
        <w:t xml:space="preserve">). Furthermore, </w:t>
      </w:r>
      <w:r w:rsidRPr="00D86173">
        <w:rPr>
          <w:rFonts w:ascii="Arial" w:hAnsi="Arial" w:cs="Arial"/>
          <w:bCs/>
          <w:sz w:val="20"/>
          <w:szCs w:val="20"/>
        </w:rPr>
        <w:t>phosphate concentration</w:t>
      </w:r>
      <w:r w:rsidRPr="00D86173">
        <w:rPr>
          <w:rFonts w:ascii="Arial" w:hAnsi="Arial" w:cs="Arial"/>
          <w:sz w:val="20"/>
          <w:szCs w:val="20"/>
        </w:rPr>
        <w:t xml:space="preserve"> (</w:t>
      </w:r>
      <w:r w:rsidRPr="00D86173">
        <w:rPr>
          <w:rFonts w:ascii="Arial" w:hAnsi="Arial" w:cs="Arial"/>
          <w:bCs/>
          <w:sz w:val="20"/>
          <w:szCs w:val="20"/>
        </w:rPr>
        <w:t>4.67 ± 0.63 mg/kg</w:t>
      </w:r>
      <w:r w:rsidRPr="00D86173">
        <w:rPr>
          <w:rFonts w:ascii="Arial" w:hAnsi="Arial" w:cs="Arial"/>
          <w:sz w:val="20"/>
          <w:szCs w:val="20"/>
        </w:rPr>
        <w:t>) was lesser in the agrochemical farm soil than the control (</w:t>
      </w:r>
      <w:r w:rsidRPr="00D86173">
        <w:rPr>
          <w:rFonts w:ascii="Arial" w:hAnsi="Arial" w:cs="Arial"/>
          <w:bCs/>
          <w:sz w:val="20"/>
          <w:szCs w:val="20"/>
        </w:rPr>
        <w:t>5.68 ± 0.15 mg/kg</w:t>
      </w:r>
      <w:r w:rsidRPr="00D86173">
        <w:rPr>
          <w:rFonts w:ascii="Arial" w:hAnsi="Arial" w:cs="Arial"/>
          <w:sz w:val="20"/>
          <w:szCs w:val="20"/>
        </w:rPr>
        <w:t xml:space="preserve">). This may indicate nutrient depletion or leaching. Both soils share the same </w:t>
      </w:r>
      <w:r w:rsidRPr="00D86173">
        <w:rPr>
          <w:rFonts w:ascii="Arial" w:hAnsi="Arial" w:cs="Arial"/>
          <w:bCs/>
          <w:sz w:val="20"/>
          <w:szCs w:val="20"/>
        </w:rPr>
        <w:t>sandy loam texture</w:t>
      </w:r>
      <w:r w:rsidRPr="00D86173">
        <w:rPr>
          <w:rFonts w:ascii="Arial" w:hAnsi="Arial" w:cs="Arial"/>
          <w:sz w:val="20"/>
          <w:szCs w:val="20"/>
        </w:rPr>
        <w:t>, meaning the differences observed are chemical rather than physical.</w:t>
      </w:r>
    </w:p>
    <w:p w14:paraId="3EBB366C" w14:textId="77777777" w:rsidR="002C6CDB" w:rsidRPr="00D86173" w:rsidRDefault="002C6CDB" w:rsidP="002C6CDB">
      <w:pPr>
        <w:pStyle w:val="Caption"/>
        <w:keepNext/>
        <w:rPr>
          <w:rFonts w:ascii="Arial" w:hAnsi="Arial" w:cs="Arial"/>
          <w:b/>
          <w:i w:val="0"/>
          <w:iCs w:val="0"/>
          <w:color w:val="auto"/>
          <w:sz w:val="20"/>
          <w:szCs w:val="20"/>
        </w:rPr>
      </w:pPr>
      <w:r w:rsidRPr="00D86173">
        <w:rPr>
          <w:rFonts w:ascii="Arial" w:hAnsi="Arial" w:cs="Arial"/>
          <w:b/>
          <w:i w:val="0"/>
          <w:iCs w:val="0"/>
          <w:color w:val="auto"/>
          <w:sz w:val="20"/>
          <w:szCs w:val="20"/>
        </w:rPr>
        <w:t xml:space="preserve">Table </w:t>
      </w:r>
      <w:r w:rsidRPr="00D86173">
        <w:rPr>
          <w:rFonts w:ascii="Arial" w:hAnsi="Arial" w:cs="Arial"/>
          <w:b/>
          <w:i w:val="0"/>
          <w:iCs w:val="0"/>
          <w:color w:val="auto"/>
          <w:sz w:val="20"/>
          <w:szCs w:val="20"/>
        </w:rPr>
        <w:fldChar w:fldCharType="begin"/>
      </w:r>
      <w:r w:rsidRPr="00D86173">
        <w:rPr>
          <w:rFonts w:ascii="Arial" w:hAnsi="Arial" w:cs="Arial"/>
          <w:b/>
          <w:i w:val="0"/>
          <w:iCs w:val="0"/>
          <w:color w:val="auto"/>
          <w:sz w:val="20"/>
          <w:szCs w:val="20"/>
        </w:rPr>
        <w:instrText xml:space="preserve"> SEQ Table \* ARABIC </w:instrText>
      </w:r>
      <w:r w:rsidRPr="00D86173">
        <w:rPr>
          <w:rFonts w:ascii="Arial" w:hAnsi="Arial" w:cs="Arial"/>
          <w:b/>
          <w:i w:val="0"/>
          <w:iCs w:val="0"/>
          <w:color w:val="auto"/>
          <w:sz w:val="20"/>
          <w:szCs w:val="20"/>
        </w:rPr>
        <w:fldChar w:fldCharType="separate"/>
      </w:r>
      <w:r w:rsidRPr="00D86173">
        <w:rPr>
          <w:rFonts w:ascii="Arial" w:hAnsi="Arial" w:cs="Arial"/>
          <w:b/>
          <w:i w:val="0"/>
          <w:iCs w:val="0"/>
          <w:noProof/>
          <w:color w:val="auto"/>
          <w:sz w:val="20"/>
          <w:szCs w:val="20"/>
        </w:rPr>
        <w:t>1</w:t>
      </w:r>
      <w:r w:rsidRPr="00D86173">
        <w:rPr>
          <w:rFonts w:ascii="Arial" w:hAnsi="Arial" w:cs="Arial"/>
          <w:b/>
          <w:i w:val="0"/>
          <w:iCs w:val="0"/>
          <w:color w:val="auto"/>
          <w:sz w:val="20"/>
          <w:szCs w:val="20"/>
        </w:rPr>
        <w:fldChar w:fldCharType="end"/>
      </w:r>
      <w:r w:rsidRPr="00D86173">
        <w:rPr>
          <w:rFonts w:ascii="Arial" w:hAnsi="Arial" w:cs="Arial"/>
          <w:b/>
          <w:i w:val="0"/>
          <w:iCs w:val="0"/>
          <w:color w:val="auto"/>
          <w:sz w:val="20"/>
          <w:szCs w:val="20"/>
        </w:rPr>
        <w:t>: Physicochemical characteristics of soils used in the study</w:t>
      </w:r>
    </w:p>
    <w:tbl>
      <w:tblPr>
        <w:tblStyle w:val="ListTable6Colorful"/>
        <w:tblW w:w="9900" w:type="dxa"/>
        <w:jc w:val="center"/>
        <w:tblLook w:val="04A0" w:firstRow="1" w:lastRow="0" w:firstColumn="1" w:lastColumn="0" w:noHBand="0" w:noVBand="1"/>
      </w:tblPr>
      <w:tblGrid>
        <w:gridCol w:w="3375"/>
        <w:gridCol w:w="2490"/>
        <w:gridCol w:w="4035"/>
      </w:tblGrid>
      <w:tr w:rsidR="002C6CDB" w:rsidRPr="00D86173" w14:paraId="4ED1A0AF" w14:textId="77777777" w:rsidTr="006F0D2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75" w:type="dxa"/>
            <w:hideMark/>
          </w:tcPr>
          <w:p w14:paraId="2F23A4C1" w14:textId="77777777" w:rsidR="002C6CDB" w:rsidRPr="00D86173" w:rsidRDefault="002C6CDB" w:rsidP="006F0D2F">
            <w:pPr>
              <w:spacing w:line="360" w:lineRule="auto"/>
              <w:rPr>
                <w:rFonts w:ascii="Arial" w:hAnsi="Arial" w:cs="Arial"/>
                <w:bCs w:val="0"/>
              </w:rPr>
            </w:pPr>
            <w:r w:rsidRPr="00D86173">
              <w:rPr>
                <w:rFonts w:ascii="Arial" w:hAnsi="Arial" w:cs="Arial"/>
                <w:bCs w:val="0"/>
              </w:rPr>
              <w:t>Parameter</w:t>
            </w:r>
          </w:p>
        </w:tc>
        <w:tc>
          <w:tcPr>
            <w:tcW w:w="2490" w:type="dxa"/>
            <w:hideMark/>
          </w:tcPr>
          <w:p w14:paraId="05743996" w14:textId="77777777" w:rsidR="002C6CDB" w:rsidRPr="00D86173" w:rsidRDefault="002C6CDB" w:rsidP="006F0D2F">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D86173">
              <w:rPr>
                <w:rFonts w:ascii="Arial" w:hAnsi="Arial" w:cs="Arial"/>
                <w:bCs w:val="0"/>
              </w:rPr>
              <w:t>Control (Mean ± SD)</w:t>
            </w:r>
          </w:p>
        </w:tc>
        <w:tc>
          <w:tcPr>
            <w:tcW w:w="4035" w:type="dxa"/>
            <w:hideMark/>
          </w:tcPr>
          <w:p w14:paraId="56D1EF2E" w14:textId="77777777" w:rsidR="002C6CDB" w:rsidRPr="00D86173" w:rsidRDefault="002C6CDB" w:rsidP="006F0D2F">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D86173">
              <w:rPr>
                <w:rFonts w:ascii="Arial" w:hAnsi="Arial" w:cs="Arial"/>
                <w:bCs w:val="0"/>
              </w:rPr>
              <w:t>Agrochemical farm soil (Mean ± SD)</w:t>
            </w:r>
          </w:p>
        </w:tc>
      </w:tr>
      <w:tr w:rsidR="002C6CDB" w:rsidRPr="00D86173" w14:paraId="3605CE59" w14:textId="77777777" w:rsidTr="006F0D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75" w:type="dxa"/>
            <w:shd w:val="clear" w:color="auto" w:fill="auto"/>
            <w:hideMark/>
          </w:tcPr>
          <w:p w14:paraId="5B0E45C5" w14:textId="77777777" w:rsidR="002C6CDB" w:rsidRPr="00D86173" w:rsidRDefault="002C6CDB" w:rsidP="006F0D2F">
            <w:pPr>
              <w:spacing w:line="360" w:lineRule="auto"/>
              <w:rPr>
                <w:rFonts w:ascii="Arial" w:hAnsi="Arial" w:cs="Arial"/>
                <w:b w:val="0"/>
              </w:rPr>
            </w:pPr>
            <w:r w:rsidRPr="00D86173">
              <w:rPr>
                <w:rFonts w:ascii="Arial" w:hAnsi="Arial" w:cs="Arial"/>
                <w:b w:val="0"/>
              </w:rPr>
              <w:t>pH</w:t>
            </w:r>
          </w:p>
        </w:tc>
        <w:tc>
          <w:tcPr>
            <w:tcW w:w="2490" w:type="dxa"/>
            <w:shd w:val="clear" w:color="auto" w:fill="auto"/>
            <w:hideMark/>
          </w:tcPr>
          <w:p w14:paraId="4D977B7F" w14:textId="77777777" w:rsidR="002C6CDB" w:rsidRPr="00D86173" w:rsidRDefault="002C6CDB" w:rsidP="006F0D2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86173">
              <w:rPr>
                <w:rFonts w:ascii="Arial" w:hAnsi="Arial" w:cs="Arial"/>
              </w:rPr>
              <w:t>7.000 ± 0.200</w:t>
            </w:r>
          </w:p>
        </w:tc>
        <w:tc>
          <w:tcPr>
            <w:tcW w:w="4035" w:type="dxa"/>
            <w:shd w:val="clear" w:color="auto" w:fill="auto"/>
            <w:hideMark/>
          </w:tcPr>
          <w:p w14:paraId="47698450" w14:textId="77777777" w:rsidR="002C6CDB" w:rsidRPr="00D86173" w:rsidRDefault="002C6CDB" w:rsidP="006F0D2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86173">
              <w:rPr>
                <w:rFonts w:ascii="Arial" w:hAnsi="Arial" w:cs="Arial"/>
              </w:rPr>
              <w:t>5.750 ± 0.320</w:t>
            </w:r>
          </w:p>
        </w:tc>
      </w:tr>
      <w:tr w:rsidR="002C6CDB" w:rsidRPr="00D86173" w14:paraId="38F89943" w14:textId="77777777" w:rsidTr="006F0D2F">
        <w:trPr>
          <w:jc w:val="center"/>
        </w:trPr>
        <w:tc>
          <w:tcPr>
            <w:cnfStyle w:val="001000000000" w:firstRow="0" w:lastRow="0" w:firstColumn="1" w:lastColumn="0" w:oddVBand="0" w:evenVBand="0" w:oddHBand="0" w:evenHBand="0" w:firstRowFirstColumn="0" w:firstRowLastColumn="0" w:lastRowFirstColumn="0" w:lastRowLastColumn="0"/>
            <w:tcW w:w="3375" w:type="dxa"/>
            <w:hideMark/>
          </w:tcPr>
          <w:p w14:paraId="17CA0BA5" w14:textId="77777777" w:rsidR="002C6CDB" w:rsidRPr="00D86173" w:rsidRDefault="002C6CDB" w:rsidP="006F0D2F">
            <w:pPr>
              <w:spacing w:line="360" w:lineRule="auto"/>
              <w:rPr>
                <w:rFonts w:ascii="Arial" w:hAnsi="Arial" w:cs="Arial"/>
                <w:b w:val="0"/>
              </w:rPr>
            </w:pPr>
            <w:r w:rsidRPr="00D86173">
              <w:rPr>
                <w:rFonts w:ascii="Arial" w:hAnsi="Arial" w:cs="Arial"/>
                <w:b w:val="0"/>
              </w:rPr>
              <w:t>Moisture content, %</w:t>
            </w:r>
          </w:p>
        </w:tc>
        <w:tc>
          <w:tcPr>
            <w:tcW w:w="2490" w:type="dxa"/>
            <w:hideMark/>
          </w:tcPr>
          <w:p w14:paraId="3D2D6E37" w14:textId="77777777" w:rsidR="002C6CDB" w:rsidRPr="00D86173" w:rsidRDefault="002C6CDB" w:rsidP="006F0D2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86173">
              <w:rPr>
                <w:rFonts w:ascii="Arial" w:hAnsi="Arial" w:cs="Arial"/>
              </w:rPr>
              <w:t>9.780 ± 0.810</w:t>
            </w:r>
          </w:p>
        </w:tc>
        <w:tc>
          <w:tcPr>
            <w:tcW w:w="4035" w:type="dxa"/>
            <w:hideMark/>
          </w:tcPr>
          <w:p w14:paraId="12EA1371" w14:textId="77777777" w:rsidR="002C6CDB" w:rsidRPr="00D86173" w:rsidRDefault="002C6CDB" w:rsidP="006F0D2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86173">
              <w:rPr>
                <w:rFonts w:ascii="Arial" w:hAnsi="Arial" w:cs="Arial"/>
              </w:rPr>
              <w:t>8.480 ± 0.050</w:t>
            </w:r>
          </w:p>
        </w:tc>
      </w:tr>
      <w:tr w:rsidR="002C6CDB" w:rsidRPr="00D86173" w14:paraId="2EE29267" w14:textId="77777777" w:rsidTr="006F0D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75" w:type="dxa"/>
            <w:shd w:val="clear" w:color="auto" w:fill="auto"/>
            <w:hideMark/>
          </w:tcPr>
          <w:p w14:paraId="341C768F" w14:textId="77777777" w:rsidR="002C6CDB" w:rsidRPr="00D86173" w:rsidRDefault="002C6CDB" w:rsidP="006F0D2F">
            <w:pPr>
              <w:spacing w:line="360" w:lineRule="auto"/>
              <w:rPr>
                <w:rFonts w:ascii="Arial" w:hAnsi="Arial" w:cs="Arial"/>
                <w:b w:val="0"/>
              </w:rPr>
            </w:pPr>
            <w:r w:rsidRPr="00D86173">
              <w:rPr>
                <w:rFonts w:ascii="Arial" w:hAnsi="Arial" w:cs="Arial"/>
                <w:b w:val="0"/>
              </w:rPr>
              <w:t>TOC, %</w:t>
            </w:r>
          </w:p>
        </w:tc>
        <w:tc>
          <w:tcPr>
            <w:tcW w:w="2490" w:type="dxa"/>
            <w:shd w:val="clear" w:color="auto" w:fill="auto"/>
            <w:hideMark/>
          </w:tcPr>
          <w:p w14:paraId="42FD0FE9" w14:textId="77777777" w:rsidR="002C6CDB" w:rsidRPr="00D86173" w:rsidRDefault="002C6CDB" w:rsidP="006F0D2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86173">
              <w:rPr>
                <w:rFonts w:ascii="Arial" w:hAnsi="Arial" w:cs="Arial"/>
              </w:rPr>
              <w:t>0.170 ± 0.001</w:t>
            </w:r>
          </w:p>
        </w:tc>
        <w:tc>
          <w:tcPr>
            <w:tcW w:w="4035" w:type="dxa"/>
            <w:shd w:val="clear" w:color="auto" w:fill="auto"/>
            <w:hideMark/>
          </w:tcPr>
          <w:p w14:paraId="01582DD2" w14:textId="77777777" w:rsidR="002C6CDB" w:rsidRPr="00D86173" w:rsidRDefault="002C6CDB" w:rsidP="006F0D2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86173">
              <w:rPr>
                <w:rFonts w:ascii="Arial" w:hAnsi="Arial" w:cs="Arial"/>
              </w:rPr>
              <w:t>0.260 ± 0.057</w:t>
            </w:r>
          </w:p>
        </w:tc>
      </w:tr>
      <w:tr w:rsidR="002C6CDB" w:rsidRPr="00D86173" w14:paraId="3AC09A06" w14:textId="77777777" w:rsidTr="006F0D2F">
        <w:trPr>
          <w:jc w:val="center"/>
        </w:trPr>
        <w:tc>
          <w:tcPr>
            <w:cnfStyle w:val="001000000000" w:firstRow="0" w:lastRow="0" w:firstColumn="1" w:lastColumn="0" w:oddVBand="0" w:evenVBand="0" w:oddHBand="0" w:evenHBand="0" w:firstRowFirstColumn="0" w:firstRowLastColumn="0" w:lastRowFirstColumn="0" w:lastRowLastColumn="0"/>
            <w:tcW w:w="3375" w:type="dxa"/>
            <w:hideMark/>
          </w:tcPr>
          <w:p w14:paraId="45174D57" w14:textId="77777777" w:rsidR="002C6CDB" w:rsidRPr="00D86173" w:rsidRDefault="002C6CDB" w:rsidP="006F0D2F">
            <w:pPr>
              <w:spacing w:line="360" w:lineRule="auto"/>
              <w:rPr>
                <w:rFonts w:ascii="Arial" w:hAnsi="Arial" w:cs="Arial"/>
                <w:b w:val="0"/>
              </w:rPr>
            </w:pPr>
            <w:r w:rsidRPr="00D86173">
              <w:rPr>
                <w:rFonts w:ascii="Arial" w:hAnsi="Arial" w:cs="Arial"/>
                <w:b w:val="0"/>
              </w:rPr>
              <w:t>Electrical conductivity, µS/cm</w:t>
            </w:r>
          </w:p>
        </w:tc>
        <w:tc>
          <w:tcPr>
            <w:tcW w:w="2490" w:type="dxa"/>
            <w:hideMark/>
          </w:tcPr>
          <w:p w14:paraId="29FED25E" w14:textId="77777777" w:rsidR="002C6CDB" w:rsidRPr="00D86173" w:rsidRDefault="002C6CDB" w:rsidP="006F0D2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86173">
              <w:rPr>
                <w:rFonts w:ascii="Arial" w:hAnsi="Arial" w:cs="Arial"/>
              </w:rPr>
              <w:t>155.000 ± 4.000</w:t>
            </w:r>
          </w:p>
        </w:tc>
        <w:tc>
          <w:tcPr>
            <w:tcW w:w="4035" w:type="dxa"/>
            <w:hideMark/>
          </w:tcPr>
          <w:p w14:paraId="2FD93485" w14:textId="77777777" w:rsidR="002C6CDB" w:rsidRPr="00D86173" w:rsidRDefault="002C6CDB" w:rsidP="006F0D2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86173">
              <w:rPr>
                <w:rFonts w:ascii="Arial" w:hAnsi="Arial" w:cs="Arial"/>
              </w:rPr>
              <w:t>237.000 ± 8.00</w:t>
            </w:r>
          </w:p>
        </w:tc>
      </w:tr>
      <w:tr w:rsidR="002C6CDB" w:rsidRPr="00D86173" w14:paraId="31D95C0F" w14:textId="77777777" w:rsidTr="006F0D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75" w:type="dxa"/>
            <w:shd w:val="clear" w:color="auto" w:fill="auto"/>
            <w:hideMark/>
          </w:tcPr>
          <w:p w14:paraId="09E1AB81" w14:textId="77777777" w:rsidR="002C6CDB" w:rsidRPr="00D86173" w:rsidRDefault="002C6CDB" w:rsidP="006F0D2F">
            <w:pPr>
              <w:spacing w:line="360" w:lineRule="auto"/>
              <w:rPr>
                <w:rFonts w:ascii="Arial" w:hAnsi="Arial" w:cs="Arial"/>
                <w:b w:val="0"/>
              </w:rPr>
            </w:pPr>
            <w:r w:rsidRPr="00D86173">
              <w:rPr>
                <w:rFonts w:ascii="Arial" w:hAnsi="Arial" w:cs="Arial"/>
                <w:b w:val="0"/>
              </w:rPr>
              <w:t>Nitrates, mg/kg</w:t>
            </w:r>
          </w:p>
        </w:tc>
        <w:tc>
          <w:tcPr>
            <w:tcW w:w="2490" w:type="dxa"/>
            <w:shd w:val="clear" w:color="auto" w:fill="auto"/>
            <w:hideMark/>
          </w:tcPr>
          <w:p w14:paraId="317D26BE" w14:textId="77777777" w:rsidR="002C6CDB" w:rsidRPr="00D86173" w:rsidRDefault="002C6CDB" w:rsidP="006F0D2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86173">
              <w:rPr>
                <w:rFonts w:ascii="Arial" w:hAnsi="Arial" w:cs="Arial"/>
              </w:rPr>
              <w:t>11.030 ± 0.014</w:t>
            </w:r>
          </w:p>
        </w:tc>
        <w:tc>
          <w:tcPr>
            <w:tcW w:w="4035" w:type="dxa"/>
            <w:shd w:val="clear" w:color="auto" w:fill="auto"/>
            <w:hideMark/>
          </w:tcPr>
          <w:p w14:paraId="29440750" w14:textId="77777777" w:rsidR="002C6CDB" w:rsidRPr="00D86173" w:rsidRDefault="002C6CDB" w:rsidP="006F0D2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86173">
              <w:rPr>
                <w:rFonts w:ascii="Arial" w:hAnsi="Arial" w:cs="Arial"/>
              </w:rPr>
              <w:t>9.210 ± 0.560</w:t>
            </w:r>
          </w:p>
        </w:tc>
      </w:tr>
      <w:tr w:rsidR="002C6CDB" w:rsidRPr="00D86173" w14:paraId="1C926E74" w14:textId="77777777" w:rsidTr="006F0D2F">
        <w:trPr>
          <w:jc w:val="center"/>
        </w:trPr>
        <w:tc>
          <w:tcPr>
            <w:cnfStyle w:val="001000000000" w:firstRow="0" w:lastRow="0" w:firstColumn="1" w:lastColumn="0" w:oddVBand="0" w:evenVBand="0" w:oddHBand="0" w:evenHBand="0" w:firstRowFirstColumn="0" w:firstRowLastColumn="0" w:lastRowFirstColumn="0" w:lastRowLastColumn="0"/>
            <w:tcW w:w="3375" w:type="dxa"/>
            <w:hideMark/>
          </w:tcPr>
          <w:p w14:paraId="7AAD76AD" w14:textId="77777777" w:rsidR="002C6CDB" w:rsidRPr="00D86173" w:rsidRDefault="002C6CDB" w:rsidP="006F0D2F">
            <w:pPr>
              <w:spacing w:line="360" w:lineRule="auto"/>
              <w:rPr>
                <w:rFonts w:ascii="Arial" w:hAnsi="Arial" w:cs="Arial"/>
                <w:b w:val="0"/>
              </w:rPr>
            </w:pPr>
            <w:r w:rsidRPr="00D86173">
              <w:rPr>
                <w:rFonts w:ascii="Arial" w:hAnsi="Arial" w:cs="Arial"/>
                <w:b w:val="0"/>
              </w:rPr>
              <w:t>Av. Phosphates, mg/kg</w:t>
            </w:r>
          </w:p>
        </w:tc>
        <w:tc>
          <w:tcPr>
            <w:tcW w:w="2490" w:type="dxa"/>
            <w:hideMark/>
          </w:tcPr>
          <w:p w14:paraId="6BAEB2C5" w14:textId="77777777" w:rsidR="002C6CDB" w:rsidRPr="00D86173" w:rsidRDefault="002C6CDB" w:rsidP="006F0D2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86173">
              <w:rPr>
                <w:rFonts w:ascii="Arial" w:hAnsi="Arial" w:cs="Arial"/>
              </w:rPr>
              <w:t>5.680 ± 0.150</w:t>
            </w:r>
          </w:p>
        </w:tc>
        <w:tc>
          <w:tcPr>
            <w:tcW w:w="4035" w:type="dxa"/>
            <w:hideMark/>
          </w:tcPr>
          <w:p w14:paraId="280D2D5F" w14:textId="77777777" w:rsidR="002C6CDB" w:rsidRPr="00D86173" w:rsidRDefault="002C6CDB" w:rsidP="006F0D2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86173">
              <w:rPr>
                <w:rFonts w:ascii="Arial" w:hAnsi="Arial" w:cs="Arial"/>
              </w:rPr>
              <w:t>4.670 ± 0.630</w:t>
            </w:r>
          </w:p>
        </w:tc>
      </w:tr>
      <w:tr w:rsidR="002C6CDB" w:rsidRPr="00D86173" w14:paraId="176454C0" w14:textId="77777777" w:rsidTr="006F0D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75" w:type="dxa"/>
            <w:shd w:val="clear" w:color="auto" w:fill="auto"/>
            <w:hideMark/>
          </w:tcPr>
          <w:p w14:paraId="38A422EB" w14:textId="77777777" w:rsidR="002C6CDB" w:rsidRPr="00D86173" w:rsidRDefault="002C6CDB" w:rsidP="006F0D2F">
            <w:pPr>
              <w:spacing w:line="360" w:lineRule="auto"/>
              <w:rPr>
                <w:rFonts w:ascii="Arial" w:hAnsi="Arial" w:cs="Arial"/>
                <w:b w:val="0"/>
              </w:rPr>
            </w:pPr>
            <w:r w:rsidRPr="00D86173">
              <w:rPr>
                <w:rFonts w:ascii="Arial" w:hAnsi="Arial" w:cs="Arial"/>
                <w:b w:val="0"/>
              </w:rPr>
              <w:t>Calcium, mg/kg</w:t>
            </w:r>
          </w:p>
        </w:tc>
        <w:tc>
          <w:tcPr>
            <w:tcW w:w="2490" w:type="dxa"/>
            <w:shd w:val="clear" w:color="auto" w:fill="auto"/>
            <w:hideMark/>
          </w:tcPr>
          <w:p w14:paraId="0BDC75DA" w14:textId="77777777" w:rsidR="002C6CDB" w:rsidRPr="00D86173" w:rsidRDefault="002C6CDB" w:rsidP="006F0D2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86173">
              <w:rPr>
                <w:rFonts w:ascii="Arial" w:hAnsi="Arial" w:cs="Arial"/>
              </w:rPr>
              <w:t>111.247 ± 2.225</w:t>
            </w:r>
          </w:p>
        </w:tc>
        <w:tc>
          <w:tcPr>
            <w:tcW w:w="4035" w:type="dxa"/>
            <w:shd w:val="clear" w:color="auto" w:fill="auto"/>
            <w:hideMark/>
          </w:tcPr>
          <w:p w14:paraId="23A1F5ED" w14:textId="77777777" w:rsidR="002C6CDB" w:rsidRPr="00D86173" w:rsidRDefault="002C6CDB" w:rsidP="006F0D2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86173">
              <w:rPr>
                <w:rFonts w:ascii="Arial" w:hAnsi="Arial" w:cs="Arial"/>
              </w:rPr>
              <w:t>165.360 ± 5.890</w:t>
            </w:r>
          </w:p>
        </w:tc>
      </w:tr>
      <w:tr w:rsidR="002C6CDB" w:rsidRPr="00D86173" w14:paraId="6C08D652" w14:textId="77777777" w:rsidTr="006F0D2F">
        <w:trPr>
          <w:jc w:val="center"/>
        </w:trPr>
        <w:tc>
          <w:tcPr>
            <w:cnfStyle w:val="001000000000" w:firstRow="0" w:lastRow="0" w:firstColumn="1" w:lastColumn="0" w:oddVBand="0" w:evenVBand="0" w:oddHBand="0" w:evenHBand="0" w:firstRowFirstColumn="0" w:firstRowLastColumn="0" w:lastRowFirstColumn="0" w:lastRowLastColumn="0"/>
            <w:tcW w:w="3375" w:type="dxa"/>
            <w:hideMark/>
          </w:tcPr>
          <w:p w14:paraId="7F140072" w14:textId="77777777" w:rsidR="002C6CDB" w:rsidRPr="00D86173" w:rsidRDefault="002C6CDB" w:rsidP="006F0D2F">
            <w:pPr>
              <w:spacing w:line="360" w:lineRule="auto"/>
              <w:rPr>
                <w:rFonts w:ascii="Arial" w:hAnsi="Arial" w:cs="Arial"/>
                <w:b w:val="0"/>
              </w:rPr>
            </w:pPr>
            <w:r w:rsidRPr="00D86173">
              <w:rPr>
                <w:rFonts w:ascii="Arial" w:hAnsi="Arial" w:cs="Arial"/>
                <w:b w:val="0"/>
              </w:rPr>
              <w:t>Magnesium, mg/kg</w:t>
            </w:r>
          </w:p>
        </w:tc>
        <w:tc>
          <w:tcPr>
            <w:tcW w:w="2490" w:type="dxa"/>
            <w:hideMark/>
          </w:tcPr>
          <w:p w14:paraId="3D62062E" w14:textId="77777777" w:rsidR="002C6CDB" w:rsidRPr="00D86173" w:rsidRDefault="002C6CDB" w:rsidP="006F0D2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86173">
              <w:rPr>
                <w:rFonts w:ascii="Arial" w:hAnsi="Arial" w:cs="Arial"/>
              </w:rPr>
              <w:t>32.950 ± 1.230</w:t>
            </w:r>
          </w:p>
        </w:tc>
        <w:tc>
          <w:tcPr>
            <w:tcW w:w="4035" w:type="dxa"/>
            <w:hideMark/>
          </w:tcPr>
          <w:p w14:paraId="7493FAC9" w14:textId="77777777" w:rsidR="002C6CDB" w:rsidRPr="00D86173" w:rsidRDefault="002C6CDB" w:rsidP="006F0D2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86173">
              <w:rPr>
                <w:rFonts w:ascii="Arial" w:hAnsi="Arial" w:cs="Arial"/>
              </w:rPr>
              <w:t>45.650 ± 0.360</w:t>
            </w:r>
          </w:p>
        </w:tc>
      </w:tr>
      <w:tr w:rsidR="002C6CDB" w:rsidRPr="00D86173" w14:paraId="2B0791A8" w14:textId="77777777" w:rsidTr="006F0D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75" w:type="dxa"/>
            <w:shd w:val="clear" w:color="auto" w:fill="auto"/>
            <w:hideMark/>
          </w:tcPr>
          <w:p w14:paraId="2A12F7CF" w14:textId="77777777" w:rsidR="002C6CDB" w:rsidRPr="00D86173" w:rsidRDefault="002C6CDB" w:rsidP="006F0D2F">
            <w:pPr>
              <w:spacing w:line="360" w:lineRule="auto"/>
              <w:rPr>
                <w:rFonts w:ascii="Arial" w:hAnsi="Arial" w:cs="Arial"/>
                <w:b w:val="0"/>
              </w:rPr>
            </w:pPr>
            <w:r w:rsidRPr="00D86173">
              <w:rPr>
                <w:rFonts w:ascii="Arial" w:hAnsi="Arial" w:cs="Arial"/>
                <w:b w:val="0"/>
              </w:rPr>
              <w:t>Sodium, mg/kg</w:t>
            </w:r>
          </w:p>
        </w:tc>
        <w:tc>
          <w:tcPr>
            <w:tcW w:w="2490" w:type="dxa"/>
            <w:shd w:val="clear" w:color="auto" w:fill="auto"/>
            <w:hideMark/>
          </w:tcPr>
          <w:p w14:paraId="34B988F5" w14:textId="77777777" w:rsidR="002C6CDB" w:rsidRPr="00D86173" w:rsidRDefault="002C6CDB" w:rsidP="006F0D2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86173">
              <w:rPr>
                <w:rFonts w:ascii="Arial" w:hAnsi="Arial" w:cs="Arial"/>
              </w:rPr>
              <w:t>10.030 ± 0.080</w:t>
            </w:r>
          </w:p>
        </w:tc>
        <w:tc>
          <w:tcPr>
            <w:tcW w:w="4035" w:type="dxa"/>
            <w:shd w:val="clear" w:color="auto" w:fill="auto"/>
            <w:hideMark/>
          </w:tcPr>
          <w:p w14:paraId="4CC7E0CA" w14:textId="77777777" w:rsidR="002C6CDB" w:rsidRPr="00D86173" w:rsidRDefault="002C6CDB" w:rsidP="006F0D2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86173">
              <w:rPr>
                <w:rFonts w:ascii="Arial" w:hAnsi="Arial" w:cs="Arial"/>
              </w:rPr>
              <w:t>13.240 ± 0.130</w:t>
            </w:r>
          </w:p>
        </w:tc>
      </w:tr>
      <w:tr w:rsidR="002C6CDB" w:rsidRPr="00D86173" w14:paraId="7FD21001" w14:textId="77777777" w:rsidTr="006F0D2F">
        <w:trPr>
          <w:jc w:val="center"/>
        </w:trPr>
        <w:tc>
          <w:tcPr>
            <w:cnfStyle w:val="001000000000" w:firstRow="0" w:lastRow="0" w:firstColumn="1" w:lastColumn="0" w:oddVBand="0" w:evenVBand="0" w:oddHBand="0" w:evenHBand="0" w:firstRowFirstColumn="0" w:firstRowLastColumn="0" w:lastRowFirstColumn="0" w:lastRowLastColumn="0"/>
            <w:tcW w:w="3375" w:type="dxa"/>
            <w:hideMark/>
          </w:tcPr>
          <w:p w14:paraId="5C6B9F90" w14:textId="77777777" w:rsidR="002C6CDB" w:rsidRPr="00D86173" w:rsidRDefault="002C6CDB" w:rsidP="006F0D2F">
            <w:pPr>
              <w:spacing w:line="360" w:lineRule="auto"/>
              <w:rPr>
                <w:rFonts w:ascii="Arial" w:hAnsi="Arial" w:cs="Arial"/>
                <w:b w:val="0"/>
              </w:rPr>
            </w:pPr>
            <w:r w:rsidRPr="00D86173">
              <w:rPr>
                <w:rFonts w:ascii="Arial" w:hAnsi="Arial" w:cs="Arial"/>
                <w:b w:val="0"/>
              </w:rPr>
              <w:t>Potassium, mg/kg</w:t>
            </w:r>
          </w:p>
        </w:tc>
        <w:tc>
          <w:tcPr>
            <w:tcW w:w="2490" w:type="dxa"/>
            <w:hideMark/>
          </w:tcPr>
          <w:p w14:paraId="27D546BC" w14:textId="77777777" w:rsidR="002C6CDB" w:rsidRPr="00D86173" w:rsidRDefault="002C6CDB" w:rsidP="006F0D2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86173">
              <w:rPr>
                <w:rFonts w:ascii="Arial" w:hAnsi="Arial" w:cs="Arial"/>
              </w:rPr>
              <w:t>15.360 ± 0.230</w:t>
            </w:r>
          </w:p>
        </w:tc>
        <w:tc>
          <w:tcPr>
            <w:tcW w:w="4035" w:type="dxa"/>
            <w:hideMark/>
          </w:tcPr>
          <w:p w14:paraId="3C075198" w14:textId="77777777" w:rsidR="002C6CDB" w:rsidRPr="00D86173" w:rsidRDefault="002C6CDB" w:rsidP="006F0D2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86173">
              <w:rPr>
                <w:rFonts w:ascii="Arial" w:hAnsi="Arial" w:cs="Arial"/>
              </w:rPr>
              <w:t>21.600 ± 0.440</w:t>
            </w:r>
          </w:p>
        </w:tc>
      </w:tr>
      <w:tr w:rsidR="002C6CDB" w:rsidRPr="00D86173" w14:paraId="5C2FB189" w14:textId="77777777" w:rsidTr="006F0D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75" w:type="dxa"/>
            <w:shd w:val="clear" w:color="auto" w:fill="auto"/>
          </w:tcPr>
          <w:p w14:paraId="38BCE3C2" w14:textId="77777777" w:rsidR="002C6CDB" w:rsidRPr="00D86173" w:rsidRDefault="002C6CDB" w:rsidP="006F0D2F">
            <w:pPr>
              <w:spacing w:line="360" w:lineRule="auto"/>
              <w:rPr>
                <w:rFonts w:ascii="Arial" w:hAnsi="Arial" w:cs="Arial"/>
                <w:b w:val="0"/>
              </w:rPr>
            </w:pPr>
            <w:r w:rsidRPr="00D86173">
              <w:rPr>
                <w:rFonts w:ascii="Arial" w:hAnsi="Arial" w:cs="Arial"/>
                <w:b w:val="0"/>
              </w:rPr>
              <w:t>Soil textural type</w:t>
            </w:r>
          </w:p>
        </w:tc>
        <w:tc>
          <w:tcPr>
            <w:tcW w:w="2490" w:type="dxa"/>
            <w:shd w:val="clear" w:color="auto" w:fill="auto"/>
          </w:tcPr>
          <w:p w14:paraId="417A6ACF" w14:textId="77777777" w:rsidR="002C6CDB" w:rsidRPr="00D86173" w:rsidRDefault="002C6CDB" w:rsidP="006F0D2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86173">
              <w:rPr>
                <w:rFonts w:ascii="Arial" w:hAnsi="Arial" w:cs="Arial"/>
              </w:rPr>
              <w:t>Sandy loam</w:t>
            </w:r>
          </w:p>
        </w:tc>
        <w:tc>
          <w:tcPr>
            <w:tcW w:w="4035" w:type="dxa"/>
            <w:shd w:val="clear" w:color="auto" w:fill="auto"/>
          </w:tcPr>
          <w:p w14:paraId="10605F2B" w14:textId="77777777" w:rsidR="002C6CDB" w:rsidRPr="00D86173" w:rsidRDefault="002C6CDB" w:rsidP="006F0D2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86173">
              <w:rPr>
                <w:rFonts w:ascii="Arial" w:hAnsi="Arial" w:cs="Arial"/>
              </w:rPr>
              <w:t>Sandy loam</w:t>
            </w:r>
          </w:p>
        </w:tc>
      </w:tr>
    </w:tbl>
    <w:p w14:paraId="2CBAC876" w14:textId="77777777" w:rsidR="002C6CDB" w:rsidRPr="002C6CDB" w:rsidRDefault="002C6CDB" w:rsidP="002C6CDB">
      <w:pPr>
        <w:pStyle w:val="Heading1"/>
        <w:spacing w:before="240"/>
        <w:rPr>
          <w:rFonts w:ascii="Arial" w:hAnsi="Arial" w:cs="Arial"/>
        </w:rPr>
      </w:pPr>
      <w:r w:rsidRPr="002C6CDB">
        <w:rPr>
          <w:rFonts w:ascii="Arial" w:hAnsi="Arial" w:cs="Arial"/>
        </w:rPr>
        <w:t>3.2 Microbial abundance from the soils</w:t>
      </w:r>
    </w:p>
    <w:p w14:paraId="14A91BBB" w14:textId="77777777" w:rsidR="002C6CDB" w:rsidRPr="00DC4B79" w:rsidRDefault="002C6CDB" w:rsidP="002C6CDB">
      <w:pPr>
        <w:spacing w:line="360" w:lineRule="auto"/>
        <w:jc w:val="both"/>
        <w:rPr>
          <w:rFonts w:ascii="Arial" w:hAnsi="Arial" w:cs="Arial"/>
        </w:rPr>
      </w:pPr>
      <w:r w:rsidRPr="00DC4B79">
        <w:rPr>
          <w:rFonts w:ascii="Arial" w:eastAsia="Arial" w:hAnsi="Arial" w:cs="Arial"/>
        </w:rPr>
        <w:lastRenderedPageBreak/>
        <w:t>Results has shown that population counts in the agrochemical polluted soils were 2.45 ± 1.07 x 10</w:t>
      </w:r>
      <w:r w:rsidRPr="00DC4B79">
        <w:rPr>
          <w:rFonts w:ascii="Arial" w:eastAsia="Arial" w:hAnsi="Arial" w:cs="Arial"/>
          <w:vertAlign w:val="superscript"/>
        </w:rPr>
        <w:t>6</w:t>
      </w:r>
      <w:r w:rsidRPr="00DC4B79">
        <w:rPr>
          <w:rFonts w:ascii="Arial" w:eastAsia="Arial" w:hAnsi="Arial" w:cs="Arial"/>
        </w:rPr>
        <w:t xml:space="preserve"> CFU/g, 2.57 ± 0.42 x 10</w:t>
      </w:r>
      <w:r w:rsidRPr="00DC4B79">
        <w:rPr>
          <w:rFonts w:ascii="Arial" w:eastAsia="Arial" w:hAnsi="Arial" w:cs="Arial"/>
          <w:vertAlign w:val="superscript"/>
        </w:rPr>
        <w:t>5</w:t>
      </w:r>
      <w:r w:rsidRPr="00DC4B79">
        <w:rPr>
          <w:rFonts w:ascii="Arial" w:eastAsia="Arial" w:hAnsi="Arial" w:cs="Arial"/>
        </w:rPr>
        <w:t xml:space="preserve"> CFU/g, 7.69 ± 2.01 x 10</w:t>
      </w:r>
      <w:r w:rsidRPr="00DC4B79">
        <w:rPr>
          <w:rFonts w:ascii="Arial" w:eastAsia="Arial" w:hAnsi="Arial" w:cs="Arial"/>
          <w:vertAlign w:val="superscript"/>
        </w:rPr>
        <w:t>3</w:t>
      </w:r>
      <w:r w:rsidRPr="00DC4B79">
        <w:rPr>
          <w:rFonts w:ascii="Arial" w:eastAsia="Arial" w:hAnsi="Arial" w:cs="Arial"/>
        </w:rPr>
        <w:t xml:space="preserve"> CFU/g, and 3.46 ± 0.13 x10</w:t>
      </w:r>
      <w:r w:rsidRPr="00DC4B79">
        <w:rPr>
          <w:rFonts w:ascii="Arial" w:eastAsia="Arial" w:hAnsi="Arial" w:cs="Arial"/>
          <w:vertAlign w:val="superscript"/>
        </w:rPr>
        <w:t>3</w:t>
      </w:r>
      <w:r w:rsidRPr="00DC4B79">
        <w:rPr>
          <w:rFonts w:ascii="Arial" w:eastAsia="Arial" w:hAnsi="Arial" w:cs="Arial"/>
        </w:rPr>
        <w:t xml:space="preserve"> CFU/g while the counts were 2.24 ± 1.02 x 10</w:t>
      </w:r>
      <w:r w:rsidRPr="00DC4B79">
        <w:rPr>
          <w:rFonts w:ascii="Arial" w:eastAsia="Arial" w:hAnsi="Arial" w:cs="Arial"/>
          <w:vertAlign w:val="superscript"/>
        </w:rPr>
        <w:t>6</w:t>
      </w:r>
      <w:r w:rsidRPr="00DC4B79">
        <w:rPr>
          <w:rFonts w:ascii="Arial" w:eastAsia="Arial" w:hAnsi="Arial" w:cs="Arial"/>
        </w:rPr>
        <w:t xml:space="preserve"> CFU/g, 1.47 ± 1.15 x 10</w:t>
      </w:r>
      <w:r w:rsidRPr="00DC4B79">
        <w:rPr>
          <w:rFonts w:ascii="Arial" w:eastAsia="Arial" w:hAnsi="Arial" w:cs="Arial"/>
          <w:vertAlign w:val="superscript"/>
        </w:rPr>
        <w:t xml:space="preserve">5 </w:t>
      </w:r>
      <w:r w:rsidRPr="00DC4B79">
        <w:rPr>
          <w:rFonts w:ascii="Arial" w:eastAsia="Arial" w:hAnsi="Arial" w:cs="Arial"/>
        </w:rPr>
        <w:t>CFU/g, 9.23 ± 1.20 x 10</w:t>
      </w:r>
      <w:r w:rsidRPr="00DC4B79">
        <w:rPr>
          <w:rFonts w:ascii="Arial" w:eastAsia="Arial" w:hAnsi="Arial" w:cs="Arial"/>
          <w:vertAlign w:val="superscript"/>
        </w:rPr>
        <w:t>3</w:t>
      </w:r>
      <w:r w:rsidRPr="00DC4B79">
        <w:rPr>
          <w:rFonts w:ascii="Arial" w:eastAsia="Arial" w:hAnsi="Arial" w:cs="Arial"/>
        </w:rPr>
        <w:t xml:space="preserve"> CFU/g, and 5.78 ± 1.17 x 10</w:t>
      </w:r>
      <w:r w:rsidRPr="00DC4B79">
        <w:rPr>
          <w:rFonts w:ascii="Arial" w:eastAsia="Arial" w:hAnsi="Arial" w:cs="Arial"/>
          <w:vertAlign w:val="superscript"/>
        </w:rPr>
        <w:t>3</w:t>
      </w:r>
      <w:r w:rsidRPr="00DC4B79">
        <w:rPr>
          <w:rFonts w:ascii="Arial" w:eastAsia="Arial" w:hAnsi="Arial" w:cs="Arial"/>
        </w:rPr>
        <w:t xml:space="preserve"> CFU/g in the control soil for total culturable heterotrophic bacterial, fungal, actinomycetes, phosphate solubilizers in Table 2</w:t>
      </w:r>
      <w:r w:rsidRPr="00DC4B79">
        <w:rPr>
          <w:rFonts w:ascii="Arial" w:hAnsi="Arial" w:cs="Arial"/>
        </w:rPr>
        <w:t>.</w:t>
      </w:r>
    </w:p>
    <w:p w14:paraId="369985A3" w14:textId="77777777" w:rsidR="002C6CDB" w:rsidRPr="00DC4B79" w:rsidRDefault="002C6CDB" w:rsidP="002C6CDB">
      <w:pPr>
        <w:pStyle w:val="Caption"/>
        <w:keepNext/>
        <w:rPr>
          <w:rFonts w:ascii="Arial" w:hAnsi="Arial" w:cs="Arial"/>
          <w:i w:val="0"/>
          <w:iCs w:val="0"/>
          <w:color w:val="auto"/>
          <w:sz w:val="20"/>
          <w:szCs w:val="20"/>
        </w:rPr>
      </w:pPr>
      <w:r w:rsidRPr="00DC4B79">
        <w:rPr>
          <w:rFonts w:ascii="Arial" w:hAnsi="Arial" w:cs="Arial"/>
          <w:i w:val="0"/>
          <w:iCs w:val="0"/>
          <w:color w:val="auto"/>
          <w:sz w:val="20"/>
          <w:szCs w:val="20"/>
        </w:rPr>
        <w:t xml:space="preserve">Table </w:t>
      </w:r>
      <w:r w:rsidRPr="00DC4B79">
        <w:rPr>
          <w:rFonts w:ascii="Arial" w:hAnsi="Arial" w:cs="Arial"/>
          <w:i w:val="0"/>
          <w:iCs w:val="0"/>
          <w:color w:val="auto"/>
          <w:sz w:val="20"/>
          <w:szCs w:val="20"/>
        </w:rPr>
        <w:fldChar w:fldCharType="begin"/>
      </w:r>
      <w:r w:rsidRPr="00DC4B79">
        <w:rPr>
          <w:rFonts w:ascii="Arial" w:hAnsi="Arial" w:cs="Arial"/>
          <w:i w:val="0"/>
          <w:iCs w:val="0"/>
          <w:color w:val="auto"/>
          <w:sz w:val="20"/>
          <w:szCs w:val="20"/>
        </w:rPr>
        <w:instrText xml:space="preserve"> SEQ Table \* ARABIC </w:instrText>
      </w:r>
      <w:r w:rsidRPr="00DC4B79">
        <w:rPr>
          <w:rFonts w:ascii="Arial" w:hAnsi="Arial" w:cs="Arial"/>
          <w:i w:val="0"/>
          <w:iCs w:val="0"/>
          <w:color w:val="auto"/>
          <w:sz w:val="20"/>
          <w:szCs w:val="20"/>
        </w:rPr>
        <w:fldChar w:fldCharType="separate"/>
      </w:r>
      <w:r w:rsidRPr="00DC4B79">
        <w:rPr>
          <w:rFonts w:ascii="Arial" w:hAnsi="Arial" w:cs="Arial"/>
          <w:i w:val="0"/>
          <w:iCs w:val="0"/>
          <w:noProof/>
          <w:color w:val="auto"/>
          <w:sz w:val="20"/>
          <w:szCs w:val="20"/>
        </w:rPr>
        <w:t>2</w:t>
      </w:r>
      <w:r w:rsidRPr="00DC4B79">
        <w:rPr>
          <w:rFonts w:ascii="Arial" w:hAnsi="Arial" w:cs="Arial"/>
          <w:i w:val="0"/>
          <w:iCs w:val="0"/>
          <w:color w:val="auto"/>
          <w:sz w:val="20"/>
          <w:szCs w:val="20"/>
        </w:rPr>
        <w:fldChar w:fldCharType="end"/>
      </w:r>
      <w:r w:rsidRPr="00DC4B79">
        <w:rPr>
          <w:rFonts w:ascii="Arial" w:hAnsi="Arial" w:cs="Arial"/>
          <w:i w:val="0"/>
          <w:iCs w:val="0"/>
          <w:color w:val="auto"/>
          <w:sz w:val="20"/>
          <w:szCs w:val="20"/>
        </w:rPr>
        <w:t>: Mean values of microbial counts on various microbiological media</w:t>
      </w:r>
    </w:p>
    <w:tbl>
      <w:tblPr>
        <w:tblStyle w:val="ListTable6Colorful"/>
        <w:tblW w:w="10170" w:type="dxa"/>
        <w:tblLook w:val="04A0" w:firstRow="1" w:lastRow="0" w:firstColumn="1" w:lastColumn="0" w:noHBand="0" w:noVBand="1"/>
      </w:tblPr>
      <w:tblGrid>
        <w:gridCol w:w="1870"/>
        <w:gridCol w:w="1870"/>
        <w:gridCol w:w="1870"/>
        <w:gridCol w:w="1870"/>
        <w:gridCol w:w="2690"/>
      </w:tblGrid>
      <w:tr w:rsidR="002C6CDB" w:rsidRPr="00DC4B79" w14:paraId="6E7A4EAC" w14:textId="77777777" w:rsidTr="006F0D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3AA89A9A" w14:textId="77777777" w:rsidR="002C6CDB" w:rsidRPr="00DC4B79" w:rsidRDefault="002C6CDB" w:rsidP="006F0D2F">
            <w:pPr>
              <w:spacing w:line="360" w:lineRule="auto"/>
              <w:jc w:val="center"/>
              <w:rPr>
                <w:rFonts w:ascii="Arial" w:hAnsi="Arial" w:cs="Arial"/>
                <w:bCs w:val="0"/>
              </w:rPr>
            </w:pPr>
            <w:r w:rsidRPr="00DC4B79">
              <w:rPr>
                <w:rFonts w:ascii="Arial" w:hAnsi="Arial" w:cs="Arial"/>
                <w:bCs w:val="0"/>
              </w:rPr>
              <w:t>Isolates from sample</w:t>
            </w:r>
          </w:p>
        </w:tc>
        <w:tc>
          <w:tcPr>
            <w:tcW w:w="1870" w:type="dxa"/>
          </w:tcPr>
          <w:p w14:paraId="713FDE5C" w14:textId="77777777" w:rsidR="002C6CDB" w:rsidRPr="00DC4B79" w:rsidRDefault="002C6CDB" w:rsidP="006F0D2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DC4B79">
              <w:rPr>
                <w:rFonts w:ascii="Arial" w:hAnsi="Arial" w:cs="Arial"/>
                <w:bCs w:val="0"/>
              </w:rPr>
              <w:t>NA (CFU/g) ± SD</w:t>
            </w:r>
          </w:p>
        </w:tc>
        <w:tc>
          <w:tcPr>
            <w:tcW w:w="1870" w:type="dxa"/>
          </w:tcPr>
          <w:p w14:paraId="3A425626" w14:textId="77777777" w:rsidR="002C6CDB" w:rsidRPr="00DC4B79" w:rsidRDefault="002C6CDB" w:rsidP="006F0D2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DC4B79">
              <w:rPr>
                <w:rFonts w:ascii="Arial" w:hAnsi="Arial" w:cs="Arial"/>
                <w:bCs w:val="0"/>
              </w:rPr>
              <w:t>RBCA (CFU/g) ± SD</w:t>
            </w:r>
          </w:p>
        </w:tc>
        <w:tc>
          <w:tcPr>
            <w:tcW w:w="1870" w:type="dxa"/>
          </w:tcPr>
          <w:p w14:paraId="1DEFCAD8" w14:textId="77777777" w:rsidR="002C6CDB" w:rsidRPr="00DC4B79" w:rsidRDefault="002C6CDB" w:rsidP="006F0D2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DC4B79">
              <w:rPr>
                <w:rFonts w:ascii="Arial" w:hAnsi="Arial" w:cs="Arial"/>
                <w:bCs w:val="0"/>
              </w:rPr>
              <w:t>SCA (CFU/g) ± SD</w:t>
            </w:r>
          </w:p>
        </w:tc>
        <w:tc>
          <w:tcPr>
            <w:tcW w:w="2690" w:type="dxa"/>
          </w:tcPr>
          <w:p w14:paraId="13458E8C" w14:textId="77777777" w:rsidR="002C6CDB" w:rsidRPr="00DC4B79" w:rsidRDefault="002C6CDB" w:rsidP="006F0D2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DC4B79">
              <w:rPr>
                <w:rFonts w:ascii="Arial" w:hAnsi="Arial" w:cs="Arial"/>
                <w:bCs w:val="0"/>
              </w:rPr>
              <w:t>PKA (CFU/g) ± SD</w:t>
            </w:r>
          </w:p>
        </w:tc>
      </w:tr>
      <w:tr w:rsidR="002C6CDB" w:rsidRPr="00DC4B79" w14:paraId="0BB3FDBE" w14:textId="77777777" w:rsidTr="006F0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14:paraId="65291711" w14:textId="77777777" w:rsidR="002C6CDB" w:rsidRPr="00DC4B79" w:rsidRDefault="002C6CDB" w:rsidP="006F0D2F">
            <w:pPr>
              <w:spacing w:line="360" w:lineRule="auto"/>
              <w:rPr>
                <w:rFonts w:ascii="Arial" w:hAnsi="Arial" w:cs="Arial"/>
                <w:b w:val="0"/>
              </w:rPr>
            </w:pPr>
            <w:r w:rsidRPr="00DC4B79">
              <w:rPr>
                <w:rFonts w:ascii="Arial" w:hAnsi="Arial" w:cs="Arial"/>
                <w:b w:val="0"/>
              </w:rPr>
              <w:t xml:space="preserve">Control </w:t>
            </w:r>
          </w:p>
        </w:tc>
        <w:tc>
          <w:tcPr>
            <w:tcW w:w="1870" w:type="dxa"/>
            <w:shd w:val="clear" w:color="auto" w:fill="auto"/>
          </w:tcPr>
          <w:p w14:paraId="7466C74E" w14:textId="77777777" w:rsidR="002C6CDB" w:rsidRPr="00DC4B79" w:rsidRDefault="002C6CDB" w:rsidP="006F0D2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C4B79">
              <w:rPr>
                <w:rFonts w:ascii="Arial" w:hAnsi="Arial" w:cs="Arial"/>
              </w:rPr>
              <w:t>2.45 × 10</w:t>
            </w:r>
            <w:r w:rsidRPr="00DC4B79">
              <w:rPr>
                <w:rFonts w:ascii="Arial" w:hAnsi="Arial" w:cs="Arial"/>
                <w:vertAlign w:val="superscript"/>
              </w:rPr>
              <w:t>6</w:t>
            </w:r>
            <w:r w:rsidRPr="00DC4B79">
              <w:rPr>
                <w:rFonts w:ascii="Arial" w:hAnsi="Arial" w:cs="Arial"/>
              </w:rPr>
              <w:t xml:space="preserve"> ± 1.07</w:t>
            </w:r>
          </w:p>
        </w:tc>
        <w:tc>
          <w:tcPr>
            <w:tcW w:w="1870" w:type="dxa"/>
            <w:shd w:val="clear" w:color="auto" w:fill="auto"/>
          </w:tcPr>
          <w:p w14:paraId="25F8FD43" w14:textId="77777777" w:rsidR="002C6CDB" w:rsidRPr="00DC4B79" w:rsidRDefault="002C6CDB" w:rsidP="006F0D2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C4B79">
              <w:rPr>
                <w:rFonts w:ascii="Arial" w:hAnsi="Arial" w:cs="Arial"/>
              </w:rPr>
              <w:t>2.57 × 10</w:t>
            </w:r>
            <w:r w:rsidRPr="00DC4B79">
              <w:rPr>
                <w:rFonts w:ascii="Arial" w:hAnsi="Arial" w:cs="Arial"/>
                <w:vertAlign w:val="superscript"/>
              </w:rPr>
              <w:t>5</w:t>
            </w:r>
            <w:r w:rsidRPr="00DC4B79">
              <w:rPr>
                <w:rFonts w:ascii="Arial" w:hAnsi="Arial" w:cs="Arial"/>
              </w:rPr>
              <w:t xml:space="preserve"> ± 0.42</w:t>
            </w:r>
          </w:p>
        </w:tc>
        <w:tc>
          <w:tcPr>
            <w:tcW w:w="1870" w:type="dxa"/>
            <w:shd w:val="clear" w:color="auto" w:fill="auto"/>
          </w:tcPr>
          <w:p w14:paraId="5C18CBFB" w14:textId="77777777" w:rsidR="002C6CDB" w:rsidRPr="00DC4B79" w:rsidRDefault="002C6CDB" w:rsidP="006F0D2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C4B79">
              <w:rPr>
                <w:rFonts w:ascii="Arial" w:hAnsi="Arial" w:cs="Arial"/>
              </w:rPr>
              <w:t>7.69 × 10</w:t>
            </w:r>
            <w:r w:rsidRPr="00DC4B79">
              <w:rPr>
                <w:rFonts w:ascii="Arial" w:hAnsi="Arial" w:cs="Arial"/>
                <w:vertAlign w:val="superscript"/>
              </w:rPr>
              <w:t>3</w:t>
            </w:r>
            <w:r w:rsidRPr="00DC4B79">
              <w:rPr>
                <w:rFonts w:ascii="Arial" w:hAnsi="Arial" w:cs="Arial"/>
              </w:rPr>
              <w:t xml:space="preserve"> ± 2.01</w:t>
            </w:r>
          </w:p>
        </w:tc>
        <w:tc>
          <w:tcPr>
            <w:tcW w:w="2690" w:type="dxa"/>
            <w:shd w:val="clear" w:color="auto" w:fill="auto"/>
          </w:tcPr>
          <w:p w14:paraId="3E563174" w14:textId="77777777" w:rsidR="002C6CDB" w:rsidRPr="00DC4B79" w:rsidRDefault="002C6CDB" w:rsidP="006F0D2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C4B79">
              <w:rPr>
                <w:rFonts w:ascii="Arial" w:hAnsi="Arial" w:cs="Arial"/>
              </w:rPr>
              <w:t>3.46× 10</w:t>
            </w:r>
            <w:r w:rsidRPr="00DC4B79">
              <w:rPr>
                <w:rFonts w:ascii="Arial" w:hAnsi="Arial" w:cs="Arial"/>
                <w:vertAlign w:val="superscript"/>
              </w:rPr>
              <w:t>3</w:t>
            </w:r>
            <w:r w:rsidRPr="00DC4B79">
              <w:rPr>
                <w:rFonts w:ascii="Arial" w:hAnsi="Arial" w:cs="Arial"/>
              </w:rPr>
              <w:t xml:space="preserve"> ± 0.13</w:t>
            </w:r>
          </w:p>
        </w:tc>
      </w:tr>
      <w:tr w:rsidR="002C6CDB" w:rsidRPr="00DC4B79" w14:paraId="0481F53F" w14:textId="77777777" w:rsidTr="006F0D2F">
        <w:tc>
          <w:tcPr>
            <w:cnfStyle w:val="001000000000" w:firstRow="0" w:lastRow="0" w:firstColumn="1" w:lastColumn="0" w:oddVBand="0" w:evenVBand="0" w:oddHBand="0" w:evenHBand="0" w:firstRowFirstColumn="0" w:firstRowLastColumn="0" w:lastRowFirstColumn="0" w:lastRowLastColumn="0"/>
            <w:tcW w:w="1870" w:type="dxa"/>
          </w:tcPr>
          <w:p w14:paraId="131A2A42" w14:textId="77777777" w:rsidR="002C6CDB" w:rsidRPr="00DC4B79" w:rsidRDefault="002C6CDB" w:rsidP="006F0D2F">
            <w:pPr>
              <w:spacing w:line="360" w:lineRule="auto"/>
              <w:rPr>
                <w:rFonts w:ascii="Arial" w:hAnsi="Arial" w:cs="Arial"/>
                <w:b w:val="0"/>
              </w:rPr>
            </w:pPr>
            <w:r w:rsidRPr="00DC4B79">
              <w:rPr>
                <w:rFonts w:ascii="Arial" w:hAnsi="Arial" w:cs="Arial"/>
                <w:b w:val="0"/>
              </w:rPr>
              <w:t xml:space="preserve">Farm soil </w:t>
            </w:r>
          </w:p>
        </w:tc>
        <w:tc>
          <w:tcPr>
            <w:tcW w:w="1870" w:type="dxa"/>
          </w:tcPr>
          <w:p w14:paraId="6DD3DD59" w14:textId="77777777" w:rsidR="002C6CDB" w:rsidRPr="00DC4B79" w:rsidRDefault="002C6CDB" w:rsidP="006F0D2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C4B79">
              <w:rPr>
                <w:rFonts w:ascii="Arial" w:hAnsi="Arial" w:cs="Arial"/>
              </w:rPr>
              <w:t>2.24 × 10</w:t>
            </w:r>
            <w:r w:rsidRPr="00DC4B79">
              <w:rPr>
                <w:rFonts w:ascii="Arial" w:hAnsi="Arial" w:cs="Arial"/>
                <w:vertAlign w:val="superscript"/>
              </w:rPr>
              <w:t>6</w:t>
            </w:r>
            <w:r w:rsidRPr="00DC4B79">
              <w:rPr>
                <w:rFonts w:ascii="Arial" w:hAnsi="Arial" w:cs="Arial"/>
              </w:rPr>
              <w:t xml:space="preserve"> ± 1.02</w:t>
            </w:r>
          </w:p>
        </w:tc>
        <w:tc>
          <w:tcPr>
            <w:tcW w:w="1870" w:type="dxa"/>
          </w:tcPr>
          <w:p w14:paraId="73DF8216" w14:textId="77777777" w:rsidR="002C6CDB" w:rsidRPr="00DC4B79" w:rsidRDefault="002C6CDB" w:rsidP="006F0D2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C4B79">
              <w:rPr>
                <w:rFonts w:ascii="Arial" w:hAnsi="Arial" w:cs="Arial"/>
              </w:rPr>
              <w:t>1.47 × 10</w:t>
            </w:r>
            <w:r w:rsidRPr="00DC4B79">
              <w:rPr>
                <w:rFonts w:ascii="Arial" w:hAnsi="Arial" w:cs="Arial"/>
                <w:vertAlign w:val="superscript"/>
              </w:rPr>
              <w:t>5</w:t>
            </w:r>
            <w:r w:rsidRPr="00DC4B79">
              <w:rPr>
                <w:rFonts w:ascii="Arial" w:hAnsi="Arial" w:cs="Arial"/>
              </w:rPr>
              <w:t xml:space="preserve"> ± 1.15</w:t>
            </w:r>
          </w:p>
        </w:tc>
        <w:tc>
          <w:tcPr>
            <w:tcW w:w="1870" w:type="dxa"/>
          </w:tcPr>
          <w:p w14:paraId="608E6F6A" w14:textId="77777777" w:rsidR="002C6CDB" w:rsidRPr="00DC4B79" w:rsidRDefault="002C6CDB" w:rsidP="006F0D2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C4B79">
              <w:rPr>
                <w:rFonts w:ascii="Arial" w:hAnsi="Arial" w:cs="Arial"/>
              </w:rPr>
              <w:t>9.23 × 10</w:t>
            </w:r>
            <w:r w:rsidRPr="00DC4B79">
              <w:rPr>
                <w:rFonts w:ascii="Arial" w:hAnsi="Arial" w:cs="Arial"/>
                <w:vertAlign w:val="superscript"/>
              </w:rPr>
              <w:t>3</w:t>
            </w:r>
            <w:r w:rsidRPr="00DC4B79">
              <w:rPr>
                <w:rFonts w:ascii="Arial" w:hAnsi="Arial" w:cs="Arial"/>
              </w:rPr>
              <w:t xml:space="preserve"> ± 1.20</w:t>
            </w:r>
          </w:p>
        </w:tc>
        <w:tc>
          <w:tcPr>
            <w:tcW w:w="2690" w:type="dxa"/>
          </w:tcPr>
          <w:p w14:paraId="5355253A" w14:textId="77777777" w:rsidR="002C6CDB" w:rsidRPr="00DC4B79" w:rsidRDefault="002C6CDB" w:rsidP="006F0D2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C4B79">
              <w:rPr>
                <w:rFonts w:ascii="Arial" w:hAnsi="Arial" w:cs="Arial"/>
              </w:rPr>
              <w:t>5.78 × 10</w:t>
            </w:r>
            <w:r w:rsidRPr="00DC4B79">
              <w:rPr>
                <w:rFonts w:ascii="Arial" w:hAnsi="Arial" w:cs="Arial"/>
                <w:vertAlign w:val="superscript"/>
              </w:rPr>
              <w:t>3</w:t>
            </w:r>
            <w:r w:rsidRPr="00DC4B79">
              <w:rPr>
                <w:rFonts w:ascii="Arial" w:hAnsi="Arial" w:cs="Arial"/>
              </w:rPr>
              <w:t xml:space="preserve"> ± 1.17</w:t>
            </w:r>
          </w:p>
        </w:tc>
      </w:tr>
    </w:tbl>
    <w:p w14:paraId="08AA16D4" w14:textId="77777777" w:rsidR="002C6CDB" w:rsidRPr="00DC4B79" w:rsidRDefault="002C6CDB" w:rsidP="002C6CDB">
      <w:pPr>
        <w:spacing w:line="360" w:lineRule="auto"/>
        <w:jc w:val="both"/>
        <w:rPr>
          <w:rFonts w:ascii="Arial" w:hAnsi="Arial" w:cs="Arial"/>
        </w:rPr>
      </w:pPr>
      <w:r w:rsidRPr="00DC4B79">
        <w:rPr>
          <w:rFonts w:ascii="Arial" w:hAnsi="Arial" w:cs="Arial"/>
        </w:rPr>
        <w:t xml:space="preserve">*CFU/g = colony forming unit per gram; NA = Nutrient agar; RBCA = Rose Bengal Chloramphenicol agar; SCA = Starch casein agar; PKA = </w:t>
      </w:r>
      <w:proofErr w:type="spellStart"/>
      <w:r w:rsidRPr="00DC4B79">
        <w:rPr>
          <w:rFonts w:ascii="Arial" w:hAnsi="Arial" w:cs="Arial"/>
        </w:rPr>
        <w:t>Pikovaskaya</w:t>
      </w:r>
      <w:proofErr w:type="spellEnd"/>
      <w:r w:rsidRPr="00DC4B79">
        <w:rPr>
          <w:rFonts w:ascii="Arial" w:hAnsi="Arial" w:cs="Arial"/>
        </w:rPr>
        <w:t xml:space="preserve"> agar; SD = standard deviation</w:t>
      </w:r>
    </w:p>
    <w:p w14:paraId="003A8B8D" w14:textId="77777777" w:rsidR="002C6CDB" w:rsidRPr="002C6CDB" w:rsidRDefault="002C6CDB" w:rsidP="002C6CDB">
      <w:pPr>
        <w:pStyle w:val="Heading1"/>
        <w:rPr>
          <w:rFonts w:ascii="Arial" w:hAnsi="Arial" w:cs="Arial"/>
        </w:rPr>
      </w:pPr>
      <w:r w:rsidRPr="002C6CDB">
        <w:rPr>
          <w:rFonts w:ascii="Arial" w:hAnsi="Arial" w:cs="Arial"/>
        </w:rPr>
        <w:t>3.3 Soil enzymes</w:t>
      </w:r>
    </w:p>
    <w:p w14:paraId="61084D1A" w14:textId="77777777" w:rsidR="002C6CDB" w:rsidRPr="00A77FB3" w:rsidRDefault="002C6CDB" w:rsidP="002C6CDB">
      <w:pPr>
        <w:pStyle w:val="NormalWeb"/>
        <w:spacing w:line="360" w:lineRule="auto"/>
        <w:jc w:val="both"/>
        <w:rPr>
          <w:rFonts w:ascii="Arial" w:hAnsi="Arial" w:cs="Arial"/>
          <w:sz w:val="20"/>
          <w:szCs w:val="20"/>
        </w:rPr>
      </w:pPr>
      <w:r w:rsidRPr="00DC4B79">
        <w:rPr>
          <w:rFonts w:ascii="Arial" w:hAnsi="Arial" w:cs="Arial"/>
          <w:color w:val="000000" w:themeColor="text1"/>
          <w:sz w:val="20"/>
          <w:szCs w:val="20"/>
        </w:rPr>
        <w:t>The values for the different soil enzymes are as shown in Fig.1. Dehydrogenase was higher in agrochemical farm than the control soil while phosphatase and urease values were higher in the control soil. Values for dehydrogenase were 6.11 µ</w:t>
      </w:r>
      <w:proofErr w:type="spellStart"/>
      <w:r w:rsidRPr="00DC4B79">
        <w:rPr>
          <w:rFonts w:ascii="Arial" w:hAnsi="Arial" w:cs="Arial"/>
          <w:color w:val="000000" w:themeColor="text1"/>
          <w:sz w:val="20"/>
          <w:szCs w:val="20"/>
        </w:rPr>
        <w:t>gTPF</w:t>
      </w:r>
      <w:proofErr w:type="spellEnd"/>
      <w:r w:rsidRPr="00DC4B79">
        <w:rPr>
          <w:rFonts w:ascii="Arial" w:hAnsi="Arial" w:cs="Arial"/>
          <w:color w:val="000000" w:themeColor="text1"/>
          <w:sz w:val="20"/>
          <w:szCs w:val="20"/>
        </w:rPr>
        <w:t>/kg/h (farm soil) and 5.06 µ</w:t>
      </w:r>
      <w:proofErr w:type="spellStart"/>
      <w:r w:rsidRPr="00DC4B79">
        <w:rPr>
          <w:rFonts w:ascii="Arial" w:hAnsi="Arial" w:cs="Arial"/>
          <w:color w:val="000000" w:themeColor="text1"/>
          <w:sz w:val="20"/>
          <w:szCs w:val="20"/>
        </w:rPr>
        <w:t>gTPF</w:t>
      </w:r>
      <w:proofErr w:type="spellEnd"/>
      <w:r w:rsidRPr="00DC4B79">
        <w:rPr>
          <w:rFonts w:ascii="Arial" w:hAnsi="Arial" w:cs="Arial"/>
          <w:color w:val="000000" w:themeColor="text1"/>
          <w:sz w:val="20"/>
          <w:szCs w:val="20"/>
        </w:rPr>
        <w:t xml:space="preserve">/kg/h (control); phosphatase were 26.17 </w:t>
      </w:r>
      <w:proofErr w:type="spellStart"/>
      <w:r w:rsidRPr="00DC4B79">
        <w:rPr>
          <w:rFonts w:ascii="Arial" w:hAnsi="Arial" w:cs="Arial"/>
          <w:color w:val="000000" w:themeColor="text1"/>
          <w:sz w:val="20"/>
          <w:szCs w:val="20"/>
        </w:rPr>
        <w:t>mgPNP</w:t>
      </w:r>
      <w:proofErr w:type="spellEnd"/>
      <w:r w:rsidRPr="00DC4B79">
        <w:rPr>
          <w:rFonts w:ascii="Arial" w:hAnsi="Arial" w:cs="Arial"/>
          <w:color w:val="000000" w:themeColor="text1"/>
          <w:sz w:val="20"/>
          <w:szCs w:val="20"/>
        </w:rPr>
        <w:t xml:space="preserve">/kg/h (control) and 22.14 </w:t>
      </w:r>
      <w:proofErr w:type="spellStart"/>
      <w:r w:rsidRPr="00DC4B79">
        <w:rPr>
          <w:rFonts w:ascii="Arial" w:hAnsi="Arial" w:cs="Arial"/>
          <w:color w:val="000000" w:themeColor="text1"/>
          <w:sz w:val="20"/>
          <w:szCs w:val="20"/>
        </w:rPr>
        <w:t>mgPNP</w:t>
      </w:r>
      <w:proofErr w:type="spellEnd"/>
      <w:r w:rsidRPr="00DC4B79">
        <w:rPr>
          <w:rFonts w:ascii="Arial" w:hAnsi="Arial" w:cs="Arial"/>
          <w:color w:val="000000" w:themeColor="text1"/>
          <w:sz w:val="20"/>
          <w:szCs w:val="20"/>
        </w:rPr>
        <w:t>/kg/h (farm soil) and urease were 1.15 mgN.NH4/kg/h (control) and 0.91 m</w:t>
      </w:r>
      <w:r w:rsidRPr="00A77FB3">
        <w:rPr>
          <w:rFonts w:ascii="Arial" w:hAnsi="Arial" w:cs="Arial"/>
          <w:sz w:val="20"/>
          <w:szCs w:val="20"/>
        </w:rPr>
        <w:t>gN.NH4/kg/h (farm soil).</w:t>
      </w:r>
    </w:p>
    <w:p w14:paraId="1682D716" w14:textId="77777777" w:rsidR="002C6CDB" w:rsidRPr="00A77FB3" w:rsidRDefault="002C6CDB" w:rsidP="002C6CDB">
      <w:pPr>
        <w:pStyle w:val="NormalWeb"/>
        <w:keepNext/>
        <w:spacing w:line="360" w:lineRule="auto"/>
        <w:jc w:val="center"/>
        <w:rPr>
          <w:rFonts w:ascii="Arial" w:hAnsi="Arial" w:cs="Arial"/>
          <w:sz w:val="20"/>
          <w:szCs w:val="20"/>
        </w:rPr>
      </w:pPr>
      <w:r w:rsidRPr="00A77FB3">
        <w:rPr>
          <w:rFonts w:ascii="Arial" w:hAnsi="Arial" w:cs="Arial"/>
          <w:noProof/>
          <w:sz w:val="20"/>
          <w:szCs w:val="20"/>
        </w:rPr>
        <w:drawing>
          <wp:inline distT="0" distB="0" distL="0" distR="0" wp14:anchorId="7F5485DE" wp14:editId="68A08CB5">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482136D" w14:textId="77777777" w:rsidR="002C6CDB" w:rsidRPr="00DC4B79" w:rsidRDefault="002C6CDB" w:rsidP="002C6CDB">
      <w:pPr>
        <w:pStyle w:val="Caption"/>
        <w:jc w:val="center"/>
        <w:rPr>
          <w:rFonts w:ascii="Arial" w:hAnsi="Arial" w:cs="Arial"/>
          <w:i w:val="0"/>
          <w:iCs w:val="0"/>
          <w:color w:val="auto"/>
          <w:sz w:val="20"/>
          <w:szCs w:val="20"/>
        </w:rPr>
      </w:pPr>
      <w:r w:rsidRPr="00A77FB3">
        <w:rPr>
          <w:rFonts w:ascii="Arial" w:hAnsi="Arial" w:cs="Arial"/>
          <w:i w:val="0"/>
          <w:iCs w:val="0"/>
          <w:color w:val="auto"/>
          <w:sz w:val="20"/>
          <w:szCs w:val="20"/>
        </w:rPr>
        <w:t xml:space="preserve">Figure </w:t>
      </w:r>
      <w:r w:rsidRPr="00A77FB3">
        <w:rPr>
          <w:rFonts w:ascii="Arial" w:hAnsi="Arial" w:cs="Arial"/>
          <w:i w:val="0"/>
          <w:iCs w:val="0"/>
          <w:color w:val="auto"/>
          <w:sz w:val="20"/>
          <w:szCs w:val="20"/>
        </w:rPr>
        <w:fldChar w:fldCharType="begin"/>
      </w:r>
      <w:r w:rsidRPr="00A77FB3">
        <w:rPr>
          <w:rFonts w:ascii="Arial" w:hAnsi="Arial" w:cs="Arial"/>
          <w:i w:val="0"/>
          <w:iCs w:val="0"/>
          <w:color w:val="auto"/>
          <w:sz w:val="20"/>
          <w:szCs w:val="20"/>
        </w:rPr>
        <w:instrText xml:space="preserve"> SEQ Figure \* ARABIC </w:instrText>
      </w:r>
      <w:r w:rsidRPr="00A77FB3">
        <w:rPr>
          <w:rFonts w:ascii="Arial" w:hAnsi="Arial" w:cs="Arial"/>
          <w:i w:val="0"/>
          <w:iCs w:val="0"/>
          <w:color w:val="auto"/>
          <w:sz w:val="20"/>
          <w:szCs w:val="20"/>
        </w:rPr>
        <w:fldChar w:fldCharType="separate"/>
      </w:r>
      <w:r w:rsidRPr="00A77FB3">
        <w:rPr>
          <w:rFonts w:ascii="Arial" w:hAnsi="Arial" w:cs="Arial"/>
          <w:i w:val="0"/>
          <w:iCs w:val="0"/>
          <w:noProof/>
          <w:color w:val="auto"/>
          <w:sz w:val="20"/>
          <w:szCs w:val="20"/>
        </w:rPr>
        <w:t>1</w:t>
      </w:r>
      <w:r w:rsidRPr="00A77FB3">
        <w:rPr>
          <w:rFonts w:ascii="Arial" w:hAnsi="Arial" w:cs="Arial"/>
          <w:i w:val="0"/>
          <w:iCs w:val="0"/>
          <w:color w:val="auto"/>
          <w:sz w:val="20"/>
          <w:szCs w:val="20"/>
        </w:rPr>
        <w:fldChar w:fldCharType="end"/>
      </w:r>
      <w:r w:rsidRPr="00A77FB3">
        <w:rPr>
          <w:rFonts w:ascii="Arial" w:hAnsi="Arial" w:cs="Arial"/>
          <w:i w:val="0"/>
          <w:iCs w:val="0"/>
          <w:color w:val="auto"/>
          <w:sz w:val="20"/>
          <w:szCs w:val="20"/>
        </w:rPr>
        <w:t>: Soil enzymes concentrations in so</w:t>
      </w:r>
      <w:r w:rsidRPr="00DC4B79">
        <w:rPr>
          <w:rFonts w:ascii="Arial" w:hAnsi="Arial" w:cs="Arial"/>
          <w:i w:val="0"/>
          <w:iCs w:val="0"/>
          <w:color w:val="auto"/>
          <w:sz w:val="20"/>
          <w:szCs w:val="20"/>
        </w:rPr>
        <w:t>il</w:t>
      </w:r>
    </w:p>
    <w:p w14:paraId="7D300B6B" w14:textId="77777777" w:rsidR="002C6CDB" w:rsidRPr="002C6CDB" w:rsidRDefault="002C6CDB" w:rsidP="002C6CDB">
      <w:pPr>
        <w:rPr>
          <w:rFonts w:ascii="Arial" w:hAnsi="Arial" w:cs="Arial"/>
          <w:sz w:val="24"/>
          <w:szCs w:val="24"/>
        </w:rPr>
      </w:pPr>
      <w:r w:rsidRPr="002C6CDB">
        <w:rPr>
          <w:rFonts w:ascii="Arial" w:hAnsi="Arial" w:cs="Arial"/>
          <w:i/>
          <w:iCs/>
          <w:sz w:val="24"/>
          <w:szCs w:val="24"/>
        </w:rPr>
        <w:br w:type="page"/>
      </w:r>
    </w:p>
    <w:p w14:paraId="37330B5F" w14:textId="77777777" w:rsidR="002C6CDB" w:rsidRPr="00094875" w:rsidRDefault="002C6CDB" w:rsidP="002C6CDB">
      <w:pPr>
        <w:pStyle w:val="Heading1"/>
        <w:rPr>
          <w:rFonts w:ascii="Arial" w:hAnsi="Arial" w:cs="Arial"/>
          <w:sz w:val="22"/>
          <w:szCs w:val="22"/>
        </w:rPr>
      </w:pPr>
      <w:r w:rsidRPr="00094875">
        <w:rPr>
          <w:rFonts w:ascii="Arial" w:hAnsi="Arial" w:cs="Arial"/>
          <w:sz w:val="22"/>
          <w:szCs w:val="22"/>
        </w:rPr>
        <w:lastRenderedPageBreak/>
        <w:t xml:space="preserve">3.4 Ecological and </w:t>
      </w:r>
      <w:r w:rsidR="00094875">
        <w:rPr>
          <w:rFonts w:ascii="Arial" w:hAnsi="Arial" w:cs="Arial"/>
          <w:sz w:val="22"/>
          <w:szCs w:val="22"/>
        </w:rPr>
        <w:t>h</w:t>
      </w:r>
      <w:r w:rsidRPr="00094875">
        <w:rPr>
          <w:rFonts w:ascii="Arial" w:hAnsi="Arial" w:cs="Arial"/>
          <w:sz w:val="22"/>
          <w:szCs w:val="22"/>
        </w:rPr>
        <w:t>ealth risk assessment</w:t>
      </w:r>
    </w:p>
    <w:p w14:paraId="3C480CF6" w14:textId="77777777" w:rsidR="002C6CDB" w:rsidRPr="00DC4B79" w:rsidRDefault="002C6CDB" w:rsidP="002C6CDB">
      <w:pPr>
        <w:spacing w:before="100" w:beforeAutospacing="1" w:after="100" w:afterAutospacing="1" w:line="360" w:lineRule="auto"/>
        <w:jc w:val="both"/>
        <w:rPr>
          <w:rFonts w:ascii="Arial" w:hAnsi="Arial" w:cs="Arial"/>
        </w:rPr>
      </w:pPr>
      <w:r w:rsidRPr="00DC4B79">
        <w:rPr>
          <w:rFonts w:ascii="Arial" w:hAnsi="Arial" w:cs="Arial"/>
          <w:color w:val="000000" w:themeColor="text1"/>
        </w:rPr>
        <w:t xml:space="preserve">Table 3 shows the ecological risk indices of the different heavy metals. </w:t>
      </w:r>
      <w:r w:rsidRPr="00DC4B79">
        <w:rPr>
          <w:rFonts w:ascii="Arial" w:hAnsi="Arial" w:cs="Arial"/>
        </w:rPr>
        <w:t xml:space="preserve">Most metals showed moderate contamination factor values, but </w:t>
      </w:r>
      <w:r w:rsidRPr="00DC4B79">
        <w:rPr>
          <w:rFonts w:ascii="Arial" w:hAnsi="Arial" w:cs="Arial"/>
          <w:bCs/>
        </w:rPr>
        <w:t>cadmium (Cd: 1266)</w:t>
      </w:r>
      <w:r w:rsidRPr="00DC4B79">
        <w:rPr>
          <w:rFonts w:ascii="Arial" w:hAnsi="Arial" w:cs="Arial"/>
        </w:rPr>
        <w:t xml:space="preserve"> and </w:t>
      </w:r>
      <w:r w:rsidRPr="00DC4B79">
        <w:rPr>
          <w:rFonts w:ascii="Arial" w:hAnsi="Arial" w:cs="Arial"/>
          <w:bCs/>
        </w:rPr>
        <w:t>zinc (Zn: 15.51)</w:t>
      </w:r>
      <w:r w:rsidRPr="00DC4B79">
        <w:rPr>
          <w:rFonts w:ascii="Arial" w:hAnsi="Arial" w:cs="Arial"/>
        </w:rPr>
        <w:t xml:space="preserve"> were conspicuous with extremely high contamination factors, indicating severe enrichment compared to background levels. Other metals such as Ag (328.07), Al (396.15), and Ba (455.40) also showed elevated CF values, though less critical. The majority of metals had negative </w:t>
      </w:r>
      <w:proofErr w:type="spellStart"/>
      <w:r w:rsidRPr="00DC4B79">
        <w:rPr>
          <w:rFonts w:ascii="Arial" w:hAnsi="Arial" w:cs="Arial"/>
        </w:rPr>
        <w:t>Igeo</w:t>
      </w:r>
      <w:proofErr w:type="spellEnd"/>
      <w:r w:rsidRPr="00DC4B79">
        <w:rPr>
          <w:rFonts w:ascii="Arial" w:hAnsi="Arial" w:cs="Arial"/>
        </w:rPr>
        <w:t xml:space="preserve"> values (e.g., Ba: -5.36, Ca: -6.92, Mg: -7.09), suggesting they were below background concentrations and not significantly accumulated. However, </w:t>
      </w:r>
      <w:r w:rsidRPr="00DC4B79">
        <w:rPr>
          <w:rFonts w:ascii="Arial" w:hAnsi="Arial" w:cs="Arial"/>
          <w:bCs/>
        </w:rPr>
        <w:t>Cd (9.72)</w:t>
      </w:r>
      <w:r w:rsidRPr="00DC4B79">
        <w:rPr>
          <w:rFonts w:ascii="Arial" w:hAnsi="Arial" w:cs="Arial"/>
        </w:rPr>
        <w:t xml:space="preserve"> and </w:t>
      </w:r>
      <w:r w:rsidRPr="00DC4B79">
        <w:rPr>
          <w:rFonts w:ascii="Arial" w:hAnsi="Arial" w:cs="Arial"/>
          <w:bCs/>
        </w:rPr>
        <w:t>Zn (3.37)</w:t>
      </w:r>
      <w:r w:rsidRPr="00DC4B79">
        <w:rPr>
          <w:rFonts w:ascii="Arial" w:hAnsi="Arial" w:cs="Arial"/>
        </w:rPr>
        <w:t xml:space="preserve"> showed positive </w:t>
      </w:r>
      <w:proofErr w:type="spellStart"/>
      <w:r w:rsidRPr="00DC4B79">
        <w:rPr>
          <w:rFonts w:ascii="Arial" w:hAnsi="Arial" w:cs="Arial"/>
        </w:rPr>
        <w:t>Igeo</w:t>
      </w:r>
      <w:proofErr w:type="spellEnd"/>
      <w:r w:rsidRPr="00DC4B79">
        <w:rPr>
          <w:rFonts w:ascii="Arial" w:hAnsi="Arial" w:cs="Arial"/>
        </w:rPr>
        <w:t xml:space="preserve"> values, indicating strong to extreme pollution levels. Most metals had PLI values close to zero, reflecting negligible pollution contribution. Exceptions included </w:t>
      </w:r>
      <w:r w:rsidRPr="00DC4B79">
        <w:rPr>
          <w:rFonts w:ascii="Arial" w:hAnsi="Arial" w:cs="Arial"/>
          <w:bCs/>
        </w:rPr>
        <w:t>Mg (0.434)</w:t>
      </w:r>
      <w:r w:rsidRPr="00DC4B79">
        <w:rPr>
          <w:rFonts w:ascii="Arial" w:hAnsi="Arial" w:cs="Arial"/>
        </w:rPr>
        <w:t xml:space="preserve">, </w:t>
      </w:r>
      <w:r w:rsidRPr="00DC4B79">
        <w:rPr>
          <w:rFonts w:ascii="Arial" w:hAnsi="Arial" w:cs="Arial"/>
          <w:bCs/>
        </w:rPr>
        <w:t>Mn (0.506)</w:t>
      </w:r>
      <w:r w:rsidRPr="00DC4B79">
        <w:rPr>
          <w:rFonts w:ascii="Arial" w:hAnsi="Arial" w:cs="Arial"/>
        </w:rPr>
        <w:t xml:space="preserve">, </w:t>
      </w:r>
      <w:r w:rsidRPr="00A17A4F">
        <w:rPr>
          <w:rFonts w:ascii="Arial" w:hAnsi="Arial" w:cs="Arial"/>
          <w:bCs/>
        </w:rPr>
        <w:t>Na</w:t>
      </w:r>
      <w:r w:rsidRPr="00DC4B79">
        <w:rPr>
          <w:rFonts w:ascii="Arial" w:hAnsi="Arial" w:cs="Arial"/>
          <w:bCs/>
        </w:rPr>
        <w:t xml:space="preserve"> (0.627)</w:t>
      </w:r>
      <w:r w:rsidRPr="00DC4B79">
        <w:rPr>
          <w:rFonts w:ascii="Arial" w:hAnsi="Arial" w:cs="Arial"/>
        </w:rPr>
        <w:t xml:space="preserve">, </w:t>
      </w:r>
      <w:r w:rsidRPr="00DC4B79">
        <w:rPr>
          <w:rFonts w:ascii="Arial" w:hAnsi="Arial" w:cs="Arial"/>
          <w:bCs/>
        </w:rPr>
        <w:t>Ni (0.729)</w:t>
      </w:r>
      <w:r w:rsidRPr="00DC4B79">
        <w:rPr>
          <w:rFonts w:ascii="Arial" w:hAnsi="Arial" w:cs="Arial"/>
        </w:rPr>
        <w:t xml:space="preserve">, </w:t>
      </w:r>
      <w:r w:rsidRPr="00DC4B79">
        <w:rPr>
          <w:rFonts w:ascii="Arial" w:hAnsi="Arial" w:cs="Arial"/>
          <w:bCs/>
        </w:rPr>
        <w:t>Pb (0.734)</w:t>
      </w:r>
      <w:r w:rsidRPr="00DC4B79">
        <w:rPr>
          <w:rFonts w:ascii="Arial" w:hAnsi="Arial" w:cs="Arial"/>
        </w:rPr>
        <w:t xml:space="preserve">, </w:t>
      </w:r>
      <w:r w:rsidRPr="00DC4B79">
        <w:rPr>
          <w:rFonts w:ascii="Arial" w:hAnsi="Arial" w:cs="Arial"/>
          <w:bCs/>
        </w:rPr>
        <w:t>Se (0.868)</w:t>
      </w:r>
      <w:r w:rsidRPr="00DC4B79">
        <w:rPr>
          <w:rFonts w:ascii="Arial" w:hAnsi="Arial" w:cs="Arial"/>
        </w:rPr>
        <w:t xml:space="preserve">, </w:t>
      </w:r>
      <w:r w:rsidRPr="00DC4B79">
        <w:rPr>
          <w:rFonts w:ascii="Arial" w:hAnsi="Arial" w:cs="Arial"/>
          <w:bCs/>
        </w:rPr>
        <w:t>V (0.890)</w:t>
      </w:r>
      <w:r w:rsidRPr="00DC4B79">
        <w:rPr>
          <w:rFonts w:ascii="Arial" w:hAnsi="Arial" w:cs="Arial"/>
        </w:rPr>
        <w:t xml:space="preserve">, and </w:t>
      </w:r>
      <w:r w:rsidRPr="00DC4B79">
        <w:rPr>
          <w:rFonts w:ascii="Arial" w:hAnsi="Arial" w:cs="Arial"/>
          <w:bCs/>
        </w:rPr>
        <w:t>Zn (0.999)</w:t>
      </w:r>
      <w:r w:rsidRPr="00DC4B79">
        <w:rPr>
          <w:rFonts w:ascii="Arial" w:hAnsi="Arial" w:cs="Arial"/>
        </w:rPr>
        <w:t xml:space="preserve">, which showed moderate contributions. The </w:t>
      </w:r>
      <w:r w:rsidRPr="00DC4B79">
        <w:rPr>
          <w:rFonts w:ascii="Arial" w:hAnsi="Arial" w:cs="Arial"/>
          <w:bCs/>
        </w:rPr>
        <w:t>mean PLI (0.276)</w:t>
      </w:r>
      <w:r w:rsidRPr="00DC4B79">
        <w:rPr>
          <w:rFonts w:ascii="Arial" w:hAnsi="Arial" w:cs="Arial"/>
        </w:rPr>
        <w:t xml:space="preserve"> indicated overall low pollution load, but localized risks exist. </w:t>
      </w:r>
      <w:r w:rsidRPr="00DC4B79">
        <w:rPr>
          <w:rFonts w:ascii="Arial" w:hAnsi="Arial" w:cs="Arial"/>
          <w:bCs/>
        </w:rPr>
        <w:t xml:space="preserve">Zinc (CF: 15.51, </w:t>
      </w:r>
      <w:proofErr w:type="spellStart"/>
      <w:r w:rsidRPr="00DC4B79">
        <w:rPr>
          <w:rFonts w:ascii="Arial" w:hAnsi="Arial" w:cs="Arial"/>
          <w:bCs/>
        </w:rPr>
        <w:t>Igeo</w:t>
      </w:r>
      <w:proofErr w:type="spellEnd"/>
      <w:r w:rsidRPr="00DC4B79">
        <w:rPr>
          <w:rFonts w:ascii="Arial" w:hAnsi="Arial" w:cs="Arial"/>
          <w:bCs/>
        </w:rPr>
        <w:t>: 3.37, PLI: 0.999)</w:t>
      </w:r>
      <w:r w:rsidRPr="00DC4B79">
        <w:rPr>
          <w:rFonts w:ascii="Arial" w:hAnsi="Arial" w:cs="Arial"/>
        </w:rPr>
        <w:t xml:space="preserve"> also shows significant contamination and ecological concern. Other metals generally fall within safe or low-risk ranges, with negative </w:t>
      </w:r>
      <w:proofErr w:type="spellStart"/>
      <w:r w:rsidRPr="00DC4B79">
        <w:rPr>
          <w:rFonts w:ascii="Arial" w:hAnsi="Arial" w:cs="Arial"/>
        </w:rPr>
        <w:t>Igeo</w:t>
      </w:r>
      <w:proofErr w:type="spellEnd"/>
      <w:r w:rsidRPr="00DC4B79">
        <w:rPr>
          <w:rFonts w:ascii="Arial" w:hAnsi="Arial" w:cs="Arial"/>
        </w:rPr>
        <w:t xml:space="preserve"> values and near-zero PLIs. The overall </w:t>
      </w:r>
      <w:r w:rsidRPr="00DC4B79">
        <w:rPr>
          <w:rFonts w:ascii="Arial" w:hAnsi="Arial" w:cs="Arial"/>
          <w:bCs/>
        </w:rPr>
        <w:t>mean PLI of 0.276</w:t>
      </w:r>
      <w:r w:rsidRPr="00DC4B79">
        <w:rPr>
          <w:rFonts w:ascii="Arial" w:hAnsi="Arial" w:cs="Arial"/>
        </w:rPr>
        <w:t xml:space="preserve"> suggested low cumulative pollution, but hotspots of Cd and Zn contamination demand attention.</w:t>
      </w:r>
    </w:p>
    <w:p w14:paraId="3325FDDA" w14:textId="77777777" w:rsidR="002C6CDB" w:rsidRPr="00DC4B79" w:rsidRDefault="002C6CDB" w:rsidP="002C6CDB">
      <w:pPr>
        <w:spacing w:before="100" w:beforeAutospacing="1" w:after="100" w:afterAutospacing="1" w:line="360" w:lineRule="auto"/>
        <w:jc w:val="both"/>
        <w:rPr>
          <w:rFonts w:ascii="Arial" w:hAnsi="Arial" w:cs="Arial"/>
          <w:b/>
          <w:iCs/>
        </w:rPr>
      </w:pPr>
      <w:r w:rsidRPr="00DC4B79">
        <w:rPr>
          <w:rFonts w:ascii="Arial" w:hAnsi="Arial" w:cs="Arial"/>
          <w:b/>
          <w:iCs/>
        </w:rPr>
        <w:t xml:space="preserve">Table </w:t>
      </w:r>
      <w:r w:rsidRPr="00DC4B79">
        <w:rPr>
          <w:rFonts w:ascii="Arial" w:hAnsi="Arial" w:cs="Arial"/>
          <w:b/>
          <w:iCs/>
        </w:rPr>
        <w:fldChar w:fldCharType="begin"/>
      </w:r>
      <w:r w:rsidRPr="00DC4B79">
        <w:rPr>
          <w:rFonts w:ascii="Arial" w:hAnsi="Arial" w:cs="Arial"/>
          <w:b/>
          <w:iCs/>
        </w:rPr>
        <w:instrText xml:space="preserve"> SEQ Table \* ARABIC </w:instrText>
      </w:r>
      <w:r w:rsidRPr="00DC4B79">
        <w:rPr>
          <w:rFonts w:ascii="Arial" w:hAnsi="Arial" w:cs="Arial"/>
          <w:b/>
          <w:iCs/>
        </w:rPr>
        <w:fldChar w:fldCharType="separate"/>
      </w:r>
      <w:r w:rsidRPr="00DC4B79">
        <w:rPr>
          <w:rFonts w:ascii="Arial" w:hAnsi="Arial" w:cs="Arial"/>
          <w:b/>
          <w:iCs/>
          <w:noProof/>
        </w:rPr>
        <w:t>3</w:t>
      </w:r>
      <w:r w:rsidRPr="00DC4B79">
        <w:rPr>
          <w:rFonts w:ascii="Arial" w:hAnsi="Arial" w:cs="Arial"/>
          <w:b/>
          <w:iCs/>
        </w:rPr>
        <w:fldChar w:fldCharType="end"/>
      </w:r>
      <w:r w:rsidR="00094875">
        <w:rPr>
          <w:rFonts w:ascii="Arial" w:hAnsi="Arial" w:cs="Arial"/>
          <w:b/>
          <w:iCs/>
        </w:rPr>
        <w:t>: Ecological risk indices of heavy m</w:t>
      </w:r>
      <w:r w:rsidRPr="00DC4B79">
        <w:rPr>
          <w:rFonts w:ascii="Arial" w:hAnsi="Arial" w:cs="Arial"/>
          <w:b/>
          <w:iCs/>
        </w:rPr>
        <w:t>etals</w:t>
      </w:r>
    </w:p>
    <w:tbl>
      <w:tblPr>
        <w:tblStyle w:val="PlainTable2"/>
        <w:tblW w:w="6240" w:type="dxa"/>
        <w:jc w:val="center"/>
        <w:tblLook w:val="06A0" w:firstRow="1" w:lastRow="0" w:firstColumn="1" w:lastColumn="0" w:noHBand="1" w:noVBand="1"/>
      </w:tblPr>
      <w:tblGrid>
        <w:gridCol w:w="1560"/>
        <w:gridCol w:w="1560"/>
        <w:gridCol w:w="1560"/>
        <w:gridCol w:w="1560"/>
      </w:tblGrid>
      <w:tr w:rsidR="002C6CDB" w:rsidRPr="00DC4B79" w14:paraId="16E42CBD" w14:textId="77777777" w:rsidTr="006F0D2F">
        <w:trPr>
          <w:cnfStyle w:val="100000000000" w:firstRow="1" w:lastRow="0" w:firstColumn="0" w:lastColumn="0" w:oddVBand="0" w:evenVBand="0" w:oddHBand="0"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1560" w:type="dxa"/>
            <w:vAlign w:val="center"/>
            <w:hideMark/>
          </w:tcPr>
          <w:p w14:paraId="53886EC8" w14:textId="77777777" w:rsidR="002C6CDB" w:rsidRPr="00DC4B79" w:rsidRDefault="002C6CDB" w:rsidP="006F0D2F">
            <w:pPr>
              <w:spacing w:line="360" w:lineRule="auto"/>
              <w:jc w:val="center"/>
              <w:rPr>
                <w:rFonts w:ascii="Arial" w:hAnsi="Arial" w:cs="Arial"/>
                <w:color w:val="000000" w:themeColor="text1"/>
              </w:rPr>
            </w:pPr>
            <w:r w:rsidRPr="00DC4B79">
              <w:rPr>
                <w:rFonts w:ascii="Arial" w:hAnsi="Arial" w:cs="Arial"/>
                <w:color w:val="000000" w:themeColor="text1"/>
              </w:rPr>
              <w:t>Metal</w:t>
            </w:r>
          </w:p>
        </w:tc>
        <w:tc>
          <w:tcPr>
            <w:tcW w:w="1560" w:type="dxa"/>
            <w:vAlign w:val="center"/>
          </w:tcPr>
          <w:p w14:paraId="340EDFA6" w14:textId="77777777" w:rsidR="002C6CDB" w:rsidRPr="00DC4B79" w:rsidRDefault="002C6CDB" w:rsidP="006F0D2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CF</w:t>
            </w:r>
          </w:p>
        </w:tc>
        <w:tc>
          <w:tcPr>
            <w:tcW w:w="1560" w:type="dxa"/>
            <w:vAlign w:val="center"/>
          </w:tcPr>
          <w:p w14:paraId="39A6B9D9" w14:textId="77777777" w:rsidR="002C6CDB" w:rsidRPr="00DC4B79" w:rsidRDefault="002C6CDB" w:rsidP="006F0D2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proofErr w:type="spellStart"/>
            <w:r w:rsidRPr="00DC4B79">
              <w:rPr>
                <w:rFonts w:ascii="Arial" w:hAnsi="Arial" w:cs="Arial"/>
                <w:color w:val="000000" w:themeColor="text1"/>
              </w:rPr>
              <w:t>Igeo</w:t>
            </w:r>
            <w:proofErr w:type="spellEnd"/>
          </w:p>
        </w:tc>
        <w:tc>
          <w:tcPr>
            <w:tcW w:w="1560" w:type="dxa"/>
            <w:vAlign w:val="center"/>
          </w:tcPr>
          <w:p w14:paraId="4C348BCE" w14:textId="77777777" w:rsidR="002C6CDB" w:rsidRPr="00DC4B79" w:rsidRDefault="002C6CDB" w:rsidP="006F0D2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PLI</w:t>
            </w:r>
          </w:p>
        </w:tc>
      </w:tr>
      <w:tr w:rsidR="002C6CDB" w:rsidRPr="00DC4B79" w14:paraId="21CA63D4"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4A950C67"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Ag 328.068</w:t>
            </w:r>
          </w:p>
        </w:tc>
        <w:tc>
          <w:tcPr>
            <w:tcW w:w="1560" w:type="dxa"/>
            <w:vAlign w:val="center"/>
          </w:tcPr>
          <w:p w14:paraId="530998AB"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1.030</w:t>
            </w:r>
          </w:p>
        </w:tc>
        <w:tc>
          <w:tcPr>
            <w:tcW w:w="1560" w:type="dxa"/>
            <w:vAlign w:val="center"/>
          </w:tcPr>
          <w:p w14:paraId="3232BC6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-0.542</w:t>
            </w:r>
          </w:p>
        </w:tc>
        <w:tc>
          <w:tcPr>
            <w:tcW w:w="1560" w:type="dxa"/>
            <w:vAlign w:val="center"/>
          </w:tcPr>
          <w:p w14:paraId="5F718A1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r>
      <w:tr w:rsidR="002C6CDB" w:rsidRPr="00DC4B79" w14:paraId="1C1368AE"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6C647196"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Al 396.152</w:t>
            </w:r>
          </w:p>
        </w:tc>
        <w:tc>
          <w:tcPr>
            <w:tcW w:w="1560" w:type="dxa"/>
            <w:vAlign w:val="center"/>
          </w:tcPr>
          <w:p w14:paraId="646682D3"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0.779</w:t>
            </w:r>
          </w:p>
        </w:tc>
        <w:tc>
          <w:tcPr>
            <w:tcW w:w="1560" w:type="dxa"/>
            <w:vAlign w:val="center"/>
          </w:tcPr>
          <w:p w14:paraId="4BB5B1E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-0.945</w:t>
            </w:r>
          </w:p>
        </w:tc>
        <w:tc>
          <w:tcPr>
            <w:tcW w:w="1560" w:type="dxa"/>
            <w:vAlign w:val="center"/>
          </w:tcPr>
          <w:p w14:paraId="14765E7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r>
      <w:tr w:rsidR="002C6CDB" w:rsidRPr="00DC4B79" w14:paraId="366F4C6F"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2FA3A671"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As 193.696</w:t>
            </w:r>
          </w:p>
        </w:tc>
        <w:tc>
          <w:tcPr>
            <w:tcW w:w="1560" w:type="dxa"/>
            <w:vAlign w:val="center"/>
          </w:tcPr>
          <w:p w14:paraId="3434FE9D"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c>
          <w:tcPr>
            <w:tcW w:w="1560" w:type="dxa"/>
            <w:vAlign w:val="center"/>
          </w:tcPr>
          <w:p w14:paraId="7018A466"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b/>
                <w:bCs/>
                <w:color w:val="000000" w:themeColor="text1"/>
              </w:rPr>
              <w:t>-</w:t>
            </w:r>
          </w:p>
        </w:tc>
        <w:tc>
          <w:tcPr>
            <w:tcW w:w="1560" w:type="dxa"/>
            <w:vAlign w:val="center"/>
          </w:tcPr>
          <w:p w14:paraId="7C67D55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r>
      <w:tr w:rsidR="002C6CDB" w:rsidRPr="00DC4B79" w14:paraId="1979AD78"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66D4073A"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Ba 455.403</w:t>
            </w:r>
          </w:p>
        </w:tc>
        <w:tc>
          <w:tcPr>
            <w:tcW w:w="1560" w:type="dxa"/>
            <w:vAlign w:val="center"/>
          </w:tcPr>
          <w:p w14:paraId="6F263228"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0.036</w:t>
            </w:r>
          </w:p>
        </w:tc>
        <w:tc>
          <w:tcPr>
            <w:tcW w:w="1560" w:type="dxa"/>
            <w:vAlign w:val="center"/>
          </w:tcPr>
          <w:p w14:paraId="275F0C9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-5.362</w:t>
            </w:r>
          </w:p>
        </w:tc>
        <w:tc>
          <w:tcPr>
            <w:tcW w:w="1560" w:type="dxa"/>
            <w:vAlign w:val="center"/>
          </w:tcPr>
          <w:p w14:paraId="0471B6AD"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r>
      <w:tr w:rsidR="002C6CDB" w:rsidRPr="00DC4B79" w14:paraId="28622DC5"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6C0084EC"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Be 234.861</w:t>
            </w:r>
          </w:p>
        </w:tc>
        <w:tc>
          <w:tcPr>
            <w:tcW w:w="1560" w:type="dxa"/>
            <w:vAlign w:val="center"/>
          </w:tcPr>
          <w:p w14:paraId="6AF831A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c>
          <w:tcPr>
            <w:tcW w:w="1560" w:type="dxa"/>
            <w:vAlign w:val="center"/>
          </w:tcPr>
          <w:p w14:paraId="4E954D99"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w:t>
            </w:r>
          </w:p>
        </w:tc>
        <w:tc>
          <w:tcPr>
            <w:tcW w:w="1560" w:type="dxa"/>
            <w:vAlign w:val="center"/>
          </w:tcPr>
          <w:p w14:paraId="50CECB82"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r>
      <w:tr w:rsidR="002C6CDB" w:rsidRPr="00DC4B79" w14:paraId="3C76C0A6"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5982957D"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Ca 396.847</w:t>
            </w:r>
          </w:p>
        </w:tc>
        <w:tc>
          <w:tcPr>
            <w:tcW w:w="1560" w:type="dxa"/>
            <w:vAlign w:val="center"/>
          </w:tcPr>
          <w:p w14:paraId="01ADBBB9"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0.012</w:t>
            </w:r>
          </w:p>
        </w:tc>
        <w:tc>
          <w:tcPr>
            <w:tcW w:w="1560" w:type="dxa"/>
            <w:vAlign w:val="center"/>
          </w:tcPr>
          <w:p w14:paraId="01075D7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-6.923</w:t>
            </w:r>
          </w:p>
        </w:tc>
        <w:tc>
          <w:tcPr>
            <w:tcW w:w="1560" w:type="dxa"/>
            <w:vAlign w:val="center"/>
          </w:tcPr>
          <w:p w14:paraId="129A1726"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r>
      <w:tr w:rsidR="002C6CDB" w:rsidRPr="00DC4B79" w14:paraId="72B8A040"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32C981B2"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Cd 214.439</w:t>
            </w:r>
          </w:p>
        </w:tc>
        <w:tc>
          <w:tcPr>
            <w:tcW w:w="1560" w:type="dxa"/>
            <w:vAlign w:val="center"/>
          </w:tcPr>
          <w:p w14:paraId="77814A19"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1266</w:t>
            </w:r>
          </w:p>
        </w:tc>
        <w:tc>
          <w:tcPr>
            <w:tcW w:w="1560" w:type="dxa"/>
            <w:vAlign w:val="center"/>
          </w:tcPr>
          <w:p w14:paraId="3604A961"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9.721</w:t>
            </w:r>
          </w:p>
        </w:tc>
        <w:tc>
          <w:tcPr>
            <w:tcW w:w="1560" w:type="dxa"/>
            <w:vAlign w:val="center"/>
          </w:tcPr>
          <w:p w14:paraId="6BE2B14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r>
      <w:tr w:rsidR="002C6CDB" w:rsidRPr="00DC4B79" w14:paraId="41D6A22F"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2FE8A9F7"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Co 238.892</w:t>
            </w:r>
          </w:p>
        </w:tc>
        <w:tc>
          <w:tcPr>
            <w:tcW w:w="1560" w:type="dxa"/>
            <w:vAlign w:val="center"/>
          </w:tcPr>
          <w:p w14:paraId="0BCD462B"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c>
          <w:tcPr>
            <w:tcW w:w="1560" w:type="dxa"/>
            <w:vAlign w:val="center"/>
          </w:tcPr>
          <w:p w14:paraId="5D09A68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w:t>
            </w:r>
          </w:p>
        </w:tc>
        <w:tc>
          <w:tcPr>
            <w:tcW w:w="1560" w:type="dxa"/>
            <w:vAlign w:val="center"/>
          </w:tcPr>
          <w:p w14:paraId="56457642"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r>
      <w:tr w:rsidR="002C6CDB" w:rsidRPr="00DC4B79" w14:paraId="6E7CC869"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6218C79A"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Cr 267.716</w:t>
            </w:r>
          </w:p>
        </w:tc>
        <w:tc>
          <w:tcPr>
            <w:tcW w:w="1560" w:type="dxa"/>
            <w:vAlign w:val="center"/>
          </w:tcPr>
          <w:p w14:paraId="6BAE59AD"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0.114</w:t>
            </w:r>
          </w:p>
        </w:tc>
        <w:tc>
          <w:tcPr>
            <w:tcW w:w="1560" w:type="dxa"/>
            <w:vAlign w:val="center"/>
          </w:tcPr>
          <w:p w14:paraId="1AB32FE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-3.716</w:t>
            </w:r>
          </w:p>
        </w:tc>
        <w:tc>
          <w:tcPr>
            <w:tcW w:w="1560" w:type="dxa"/>
            <w:vAlign w:val="center"/>
          </w:tcPr>
          <w:p w14:paraId="67421DC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r>
      <w:tr w:rsidR="002C6CDB" w:rsidRPr="00DC4B79" w14:paraId="01163472"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442146AD"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Cu 327.395</w:t>
            </w:r>
          </w:p>
        </w:tc>
        <w:tc>
          <w:tcPr>
            <w:tcW w:w="1560" w:type="dxa"/>
            <w:vAlign w:val="center"/>
          </w:tcPr>
          <w:p w14:paraId="4BA12F4B"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0.503</w:t>
            </w:r>
          </w:p>
        </w:tc>
        <w:tc>
          <w:tcPr>
            <w:tcW w:w="1560" w:type="dxa"/>
            <w:vAlign w:val="center"/>
          </w:tcPr>
          <w:p w14:paraId="01A01EED"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-1.577</w:t>
            </w:r>
          </w:p>
        </w:tc>
        <w:tc>
          <w:tcPr>
            <w:tcW w:w="1560" w:type="dxa"/>
            <w:vAlign w:val="center"/>
          </w:tcPr>
          <w:p w14:paraId="76CF12EE"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r>
      <w:tr w:rsidR="002C6CDB" w:rsidRPr="00DC4B79" w14:paraId="2EC79DC4"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4BE69B5B"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Fe 238.204</w:t>
            </w:r>
          </w:p>
        </w:tc>
        <w:tc>
          <w:tcPr>
            <w:tcW w:w="1560" w:type="dxa"/>
            <w:vAlign w:val="center"/>
          </w:tcPr>
          <w:p w14:paraId="68E2D6C3"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0.078</w:t>
            </w:r>
          </w:p>
        </w:tc>
        <w:tc>
          <w:tcPr>
            <w:tcW w:w="1560" w:type="dxa"/>
            <w:vAlign w:val="center"/>
          </w:tcPr>
          <w:p w14:paraId="6155E0F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-4.274</w:t>
            </w:r>
          </w:p>
        </w:tc>
        <w:tc>
          <w:tcPr>
            <w:tcW w:w="1560" w:type="dxa"/>
            <w:vAlign w:val="center"/>
          </w:tcPr>
          <w:p w14:paraId="36A338D2"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r>
      <w:tr w:rsidR="002C6CDB" w:rsidRPr="00DC4B79" w14:paraId="26AC71DE"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3AFC3B00"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Hg 184.887</w:t>
            </w:r>
          </w:p>
        </w:tc>
        <w:tc>
          <w:tcPr>
            <w:tcW w:w="1560" w:type="dxa"/>
            <w:vAlign w:val="center"/>
          </w:tcPr>
          <w:p w14:paraId="79703DD2"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c>
          <w:tcPr>
            <w:tcW w:w="1560" w:type="dxa"/>
            <w:vAlign w:val="center"/>
          </w:tcPr>
          <w:p w14:paraId="6200A4C9"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w:t>
            </w:r>
          </w:p>
        </w:tc>
        <w:tc>
          <w:tcPr>
            <w:tcW w:w="1560" w:type="dxa"/>
            <w:vAlign w:val="center"/>
          </w:tcPr>
          <w:p w14:paraId="4DBEAAD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r>
      <w:tr w:rsidR="002C6CDB" w:rsidRPr="00DC4B79" w14:paraId="6499C783"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409905E0"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K 766.491</w:t>
            </w:r>
          </w:p>
        </w:tc>
        <w:tc>
          <w:tcPr>
            <w:tcW w:w="1560" w:type="dxa"/>
            <w:vAlign w:val="center"/>
          </w:tcPr>
          <w:p w14:paraId="49832D01"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0.040</w:t>
            </w:r>
          </w:p>
        </w:tc>
        <w:tc>
          <w:tcPr>
            <w:tcW w:w="1560" w:type="dxa"/>
            <w:vAlign w:val="center"/>
          </w:tcPr>
          <w:p w14:paraId="486255E8"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-5.217</w:t>
            </w:r>
          </w:p>
        </w:tc>
        <w:tc>
          <w:tcPr>
            <w:tcW w:w="1560" w:type="dxa"/>
            <w:vAlign w:val="center"/>
          </w:tcPr>
          <w:p w14:paraId="7F86774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r>
      <w:tr w:rsidR="002C6CDB" w:rsidRPr="00DC4B79" w14:paraId="3177A993"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7A87D0C4"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Mg 279.553</w:t>
            </w:r>
          </w:p>
        </w:tc>
        <w:tc>
          <w:tcPr>
            <w:tcW w:w="1560" w:type="dxa"/>
            <w:vAlign w:val="center"/>
          </w:tcPr>
          <w:p w14:paraId="4760E9C9"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0.011</w:t>
            </w:r>
          </w:p>
        </w:tc>
        <w:tc>
          <w:tcPr>
            <w:tcW w:w="1560" w:type="dxa"/>
            <w:vAlign w:val="center"/>
          </w:tcPr>
          <w:p w14:paraId="6BF5A426"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-7.094</w:t>
            </w:r>
          </w:p>
        </w:tc>
        <w:tc>
          <w:tcPr>
            <w:tcW w:w="1560" w:type="dxa"/>
            <w:vAlign w:val="center"/>
          </w:tcPr>
          <w:p w14:paraId="49A747BB"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0.434</w:t>
            </w:r>
          </w:p>
        </w:tc>
      </w:tr>
      <w:tr w:rsidR="002C6CDB" w:rsidRPr="00DC4B79" w14:paraId="5CBE47CE"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56B141AB"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Mn 257.610</w:t>
            </w:r>
          </w:p>
        </w:tc>
        <w:tc>
          <w:tcPr>
            <w:tcW w:w="1560" w:type="dxa"/>
            <w:vAlign w:val="center"/>
          </w:tcPr>
          <w:p w14:paraId="69313215"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0.041</w:t>
            </w:r>
          </w:p>
        </w:tc>
        <w:tc>
          <w:tcPr>
            <w:tcW w:w="1560" w:type="dxa"/>
            <w:vAlign w:val="center"/>
          </w:tcPr>
          <w:p w14:paraId="1F5B3E3A"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-5.177</w:t>
            </w:r>
          </w:p>
        </w:tc>
        <w:tc>
          <w:tcPr>
            <w:tcW w:w="1560" w:type="dxa"/>
            <w:vAlign w:val="center"/>
          </w:tcPr>
          <w:p w14:paraId="0A6EEE72"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0.506</w:t>
            </w:r>
          </w:p>
        </w:tc>
      </w:tr>
      <w:tr w:rsidR="002C6CDB" w:rsidRPr="00DC4B79" w14:paraId="3A2CB7F3"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0AD5931D"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Na 588.995</w:t>
            </w:r>
          </w:p>
        </w:tc>
        <w:tc>
          <w:tcPr>
            <w:tcW w:w="1560" w:type="dxa"/>
            <w:vAlign w:val="center"/>
          </w:tcPr>
          <w:p w14:paraId="3E797AE1"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0.873</w:t>
            </w:r>
          </w:p>
        </w:tc>
        <w:tc>
          <w:tcPr>
            <w:tcW w:w="1560" w:type="dxa"/>
            <w:vAlign w:val="center"/>
          </w:tcPr>
          <w:p w14:paraId="556BDE2E"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-0.781</w:t>
            </w:r>
          </w:p>
        </w:tc>
        <w:tc>
          <w:tcPr>
            <w:tcW w:w="1560" w:type="dxa"/>
            <w:vAlign w:val="center"/>
          </w:tcPr>
          <w:p w14:paraId="26377FC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0.627</w:t>
            </w:r>
          </w:p>
        </w:tc>
      </w:tr>
      <w:tr w:rsidR="002C6CDB" w:rsidRPr="00DC4B79" w14:paraId="089BE216"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6099BEE4"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Ni 216.555</w:t>
            </w:r>
          </w:p>
        </w:tc>
        <w:tc>
          <w:tcPr>
            <w:tcW w:w="1560" w:type="dxa"/>
            <w:vAlign w:val="center"/>
          </w:tcPr>
          <w:p w14:paraId="053D13F6"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0.030</w:t>
            </w:r>
          </w:p>
        </w:tc>
        <w:tc>
          <w:tcPr>
            <w:tcW w:w="1560" w:type="dxa"/>
            <w:vAlign w:val="center"/>
          </w:tcPr>
          <w:p w14:paraId="133383C2"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-5.653</w:t>
            </w:r>
          </w:p>
        </w:tc>
        <w:tc>
          <w:tcPr>
            <w:tcW w:w="1560" w:type="dxa"/>
            <w:vAlign w:val="center"/>
          </w:tcPr>
          <w:p w14:paraId="3A52769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0.729</w:t>
            </w:r>
          </w:p>
        </w:tc>
      </w:tr>
      <w:tr w:rsidR="002C6CDB" w:rsidRPr="00DC4B79" w14:paraId="71E110E5"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5F3D230F"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Pb 220.353</w:t>
            </w:r>
          </w:p>
        </w:tc>
        <w:tc>
          <w:tcPr>
            <w:tcW w:w="1560" w:type="dxa"/>
            <w:vAlign w:val="center"/>
          </w:tcPr>
          <w:p w14:paraId="4776D1B6"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0.590</w:t>
            </w:r>
          </w:p>
        </w:tc>
        <w:tc>
          <w:tcPr>
            <w:tcW w:w="1560" w:type="dxa"/>
            <w:vAlign w:val="center"/>
          </w:tcPr>
          <w:p w14:paraId="34581619"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-1.345</w:t>
            </w:r>
          </w:p>
        </w:tc>
        <w:tc>
          <w:tcPr>
            <w:tcW w:w="1560" w:type="dxa"/>
            <w:vAlign w:val="center"/>
          </w:tcPr>
          <w:p w14:paraId="325494E6"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0.734</w:t>
            </w:r>
          </w:p>
        </w:tc>
      </w:tr>
      <w:tr w:rsidR="002C6CDB" w:rsidRPr="00DC4B79" w14:paraId="54B9F886"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62521D1F"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Se 196.026</w:t>
            </w:r>
          </w:p>
        </w:tc>
        <w:tc>
          <w:tcPr>
            <w:tcW w:w="1560" w:type="dxa"/>
            <w:vAlign w:val="center"/>
          </w:tcPr>
          <w:p w14:paraId="033418E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0.088</w:t>
            </w:r>
          </w:p>
        </w:tc>
        <w:tc>
          <w:tcPr>
            <w:tcW w:w="1560" w:type="dxa"/>
            <w:vAlign w:val="center"/>
          </w:tcPr>
          <w:p w14:paraId="00AB8227"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-4.099</w:t>
            </w:r>
          </w:p>
        </w:tc>
        <w:tc>
          <w:tcPr>
            <w:tcW w:w="1560" w:type="dxa"/>
            <w:vAlign w:val="center"/>
          </w:tcPr>
          <w:p w14:paraId="4EACC2C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0.868</w:t>
            </w:r>
          </w:p>
        </w:tc>
      </w:tr>
      <w:tr w:rsidR="002C6CDB" w:rsidRPr="00DC4B79" w14:paraId="7436ABAD"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7D801367"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V 292.401</w:t>
            </w:r>
          </w:p>
        </w:tc>
        <w:tc>
          <w:tcPr>
            <w:tcW w:w="1560" w:type="dxa"/>
            <w:vAlign w:val="center"/>
          </w:tcPr>
          <w:p w14:paraId="357557BF"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0.063</w:t>
            </w:r>
          </w:p>
        </w:tc>
        <w:tc>
          <w:tcPr>
            <w:tcW w:w="1560" w:type="dxa"/>
            <w:vAlign w:val="center"/>
          </w:tcPr>
          <w:p w14:paraId="71B401A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-4.563</w:t>
            </w:r>
          </w:p>
        </w:tc>
        <w:tc>
          <w:tcPr>
            <w:tcW w:w="1560" w:type="dxa"/>
            <w:vAlign w:val="center"/>
          </w:tcPr>
          <w:p w14:paraId="21AFE6D1"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0.890</w:t>
            </w:r>
          </w:p>
        </w:tc>
      </w:tr>
      <w:tr w:rsidR="002C6CDB" w:rsidRPr="00DC4B79" w14:paraId="7572A736"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7064FE30"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Zn 213.857</w:t>
            </w:r>
          </w:p>
        </w:tc>
        <w:tc>
          <w:tcPr>
            <w:tcW w:w="1560" w:type="dxa"/>
            <w:vAlign w:val="center"/>
          </w:tcPr>
          <w:p w14:paraId="6D785878"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15.510</w:t>
            </w:r>
          </w:p>
        </w:tc>
        <w:tc>
          <w:tcPr>
            <w:tcW w:w="1560" w:type="dxa"/>
            <w:vAlign w:val="center"/>
          </w:tcPr>
          <w:p w14:paraId="3CE6D62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3.370</w:t>
            </w:r>
          </w:p>
        </w:tc>
        <w:tc>
          <w:tcPr>
            <w:tcW w:w="1560" w:type="dxa"/>
            <w:vAlign w:val="center"/>
          </w:tcPr>
          <w:p w14:paraId="7EB15E11"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0.999</w:t>
            </w:r>
          </w:p>
        </w:tc>
      </w:tr>
      <w:tr w:rsidR="002C6CDB" w:rsidRPr="00DC4B79" w14:paraId="1F8162B0"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tcPr>
          <w:p w14:paraId="4A85B854" w14:textId="77777777" w:rsidR="002C6CDB" w:rsidRPr="00DC4B79" w:rsidRDefault="002C6CDB" w:rsidP="006F0D2F">
            <w:pPr>
              <w:spacing w:line="360" w:lineRule="auto"/>
              <w:jc w:val="center"/>
              <w:rPr>
                <w:rFonts w:ascii="Arial" w:hAnsi="Arial" w:cs="Arial"/>
                <w:b w:val="0"/>
                <w:bCs w:val="0"/>
                <w:color w:val="000000" w:themeColor="text1"/>
              </w:rPr>
            </w:pPr>
            <w:r w:rsidRPr="00DC4B79">
              <w:rPr>
                <w:rFonts w:ascii="Arial" w:hAnsi="Arial" w:cs="Arial"/>
                <w:b w:val="0"/>
                <w:bCs w:val="0"/>
                <w:color w:val="000000" w:themeColor="text1"/>
              </w:rPr>
              <w:lastRenderedPageBreak/>
              <w:t>Mean PLI</w:t>
            </w:r>
          </w:p>
        </w:tc>
        <w:tc>
          <w:tcPr>
            <w:tcW w:w="1560" w:type="dxa"/>
            <w:vAlign w:val="center"/>
          </w:tcPr>
          <w:p w14:paraId="06FD5625"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vAlign w:val="center"/>
          </w:tcPr>
          <w:p w14:paraId="3FDE84EF"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vAlign w:val="center"/>
          </w:tcPr>
          <w:p w14:paraId="569EA73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0.276</w:t>
            </w:r>
          </w:p>
        </w:tc>
      </w:tr>
    </w:tbl>
    <w:p w14:paraId="41B3C9E3" w14:textId="77777777" w:rsidR="002C6CDB" w:rsidRPr="00DC4B79" w:rsidRDefault="002C6CDB" w:rsidP="002C6CDB">
      <w:pPr>
        <w:pStyle w:val="NormalWeb"/>
        <w:spacing w:before="0" w:beforeAutospacing="0" w:after="160" w:afterAutospacing="0" w:line="360" w:lineRule="auto"/>
        <w:rPr>
          <w:rFonts w:ascii="Arial" w:hAnsi="Arial" w:cs="Arial"/>
          <w:color w:val="000000" w:themeColor="text1"/>
          <w:sz w:val="20"/>
          <w:szCs w:val="20"/>
        </w:rPr>
      </w:pPr>
      <w:r w:rsidRPr="00DC4B79">
        <w:rPr>
          <w:rFonts w:ascii="Arial" w:hAnsi="Arial" w:cs="Arial"/>
          <w:color w:val="000000" w:themeColor="text1"/>
          <w:sz w:val="20"/>
          <w:szCs w:val="20"/>
        </w:rPr>
        <w:t>CF &gt; 6 indicates very high contamination; PLI &gt; 1 suggests pollution load.</w:t>
      </w:r>
    </w:p>
    <w:p w14:paraId="2954DC0A" w14:textId="77777777" w:rsidR="002C6CDB" w:rsidRPr="00DC4B79" w:rsidRDefault="007448F2" w:rsidP="007448F2">
      <w:pPr>
        <w:pStyle w:val="Caption"/>
        <w:keepNext/>
        <w:spacing w:line="276" w:lineRule="auto"/>
        <w:jc w:val="both"/>
        <w:rPr>
          <w:rFonts w:ascii="Arial" w:hAnsi="Arial" w:cs="Arial"/>
          <w:i w:val="0"/>
          <w:iCs w:val="0"/>
          <w:color w:val="auto"/>
          <w:sz w:val="20"/>
          <w:szCs w:val="20"/>
        </w:rPr>
      </w:pPr>
      <w:r>
        <w:rPr>
          <w:rFonts w:ascii="Arial" w:hAnsi="Arial" w:cs="Arial"/>
          <w:i w:val="0"/>
          <w:iCs w:val="0"/>
          <w:color w:val="auto"/>
          <w:sz w:val="20"/>
          <w:szCs w:val="20"/>
        </w:rPr>
        <w:t>The estimated daily i</w:t>
      </w:r>
      <w:r w:rsidRPr="00DC4B79">
        <w:rPr>
          <w:rFonts w:ascii="Arial" w:hAnsi="Arial" w:cs="Arial"/>
          <w:i w:val="0"/>
          <w:iCs w:val="0"/>
          <w:color w:val="auto"/>
          <w:sz w:val="20"/>
          <w:szCs w:val="20"/>
        </w:rPr>
        <w:t>nta</w:t>
      </w:r>
      <w:r>
        <w:rPr>
          <w:rFonts w:ascii="Arial" w:hAnsi="Arial" w:cs="Arial"/>
          <w:i w:val="0"/>
          <w:iCs w:val="0"/>
          <w:color w:val="auto"/>
          <w:sz w:val="20"/>
          <w:szCs w:val="20"/>
        </w:rPr>
        <w:t>ke (EDI) of m</w:t>
      </w:r>
      <w:r w:rsidRPr="00DC4B79">
        <w:rPr>
          <w:rFonts w:ascii="Arial" w:hAnsi="Arial" w:cs="Arial"/>
          <w:i w:val="0"/>
          <w:iCs w:val="0"/>
          <w:color w:val="auto"/>
          <w:sz w:val="20"/>
          <w:szCs w:val="20"/>
        </w:rPr>
        <w:t>etals (mg/kg/day)</w:t>
      </w:r>
      <w:r>
        <w:rPr>
          <w:rFonts w:ascii="Arial" w:hAnsi="Arial" w:cs="Arial"/>
          <w:i w:val="0"/>
          <w:iCs w:val="0"/>
          <w:color w:val="auto"/>
          <w:sz w:val="20"/>
          <w:szCs w:val="20"/>
        </w:rPr>
        <w:t xml:space="preserve"> is shown in Table 4. </w:t>
      </w:r>
      <w:r w:rsidR="002C6CDB" w:rsidRPr="00DC4B79">
        <w:rPr>
          <w:rFonts w:ascii="Arial" w:hAnsi="Arial" w:cs="Arial"/>
          <w:i w:val="0"/>
          <w:color w:val="auto"/>
          <w:sz w:val="20"/>
          <w:szCs w:val="20"/>
        </w:rPr>
        <w:t xml:space="preserve">Children showed </w:t>
      </w:r>
      <w:r w:rsidR="002C6CDB" w:rsidRPr="00DC4B79">
        <w:rPr>
          <w:rStyle w:val="Strong"/>
          <w:rFonts w:ascii="Arial" w:hAnsi="Arial" w:cs="Arial"/>
          <w:b w:val="0"/>
          <w:i w:val="0"/>
          <w:color w:val="auto"/>
          <w:sz w:val="20"/>
          <w:szCs w:val="20"/>
        </w:rPr>
        <w:t>higher exposure values</w:t>
      </w:r>
      <w:r w:rsidR="002C6CDB" w:rsidRPr="00DC4B79">
        <w:rPr>
          <w:rFonts w:ascii="Arial" w:hAnsi="Arial" w:cs="Arial"/>
          <w:i w:val="0"/>
          <w:color w:val="auto"/>
          <w:sz w:val="20"/>
          <w:szCs w:val="20"/>
        </w:rPr>
        <w:t xml:space="preserve"> than adults across most metals. The largest risks were from </w:t>
      </w:r>
      <w:r w:rsidR="002C6CDB" w:rsidRPr="00DC4B79">
        <w:rPr>
          <w:rStyle w:val="Strong"/>
          <w:rFonts w:ascii="Arial" w:hAnsi="Arial" w:cs="Arial"/>
          <w:b w:val="0"/>
          <w:i w:val="0"/>
          <w:color w:val="auto"/>
          <w:sz w:val="20"/>
          <w:szCs w:val="20"/>
        </w:rPr>
        <w:t>Al (children, 5.920; adults, 1.268)</w:t>
      </w:r>
      <w:r w:rsidR="002C6CDB" w:rsidRPr="00DC4B79">
        <w:rPr>
          <w:rFonts w:ascii="Arial" w:hAnsi="Arial" w:cs="Arial"/>
          <w:i w:val="0"/>
          <w:color w:val="auto"/>
          <w:sz w:val="20"/>
          <w:szCs w:val="20"/>
        </w:rPr>
        <w:t xml:space="preserve"> and </w:t>
      </w:r>
      <w:r w:rsidR="002C6CDB" w:rsidRPr="00DC4B79">
        <w:rPr>
          <w:rStyle w:val="Strong"/>
          <w:rFonts w:ascii="Arial" w:hAnsi="Arial" w:cs="Arial"/>
          <w:b w:val="0"/>
          <w:i w:val="0"/>
          <w:color w:val="auto"/>
          <w:sz w:val="20"/>
          <w:szCs w:val="20"/>
        </w:rPr>
        <w:t>Fe (children, 5.997; adults, 1.285)</w:t>
      </w:r>
      <w:r w:rsidR="002C6CDB" w:rsidRPr="00DC4B79">
        <w:rPr>
          <w:rFonts w:ascii="Arial" w:hAnsi="Arial" w:cs="Arial"/>
          <w:i w:val="0"/>
          <w:color w:val="auto"/>
          <w:sz w:val="20"/>
          <w:szCs w:val="20"/>
        </w:rPr>
        <w:t xml:space="preserve">, followed by </w:t>
      </w:r>
      <w:r w:rsidR="002C6CDB" w:rsidRPr="00DC4B79">
        <w:rPr>
          <w:rStyle w:val="Strong"/>
          <w:rFonts w:ascii="Arial" w:hAnsi="Arial" w:cs="Arial"/>
          <w:b w:val="0"/>
          <w:i w:val="0"/>
          <w:color w:val="auto"/>
          <w:sz w:val="20"/>
          <w:szCs w:val="20"/>
        </w:rPr>
        <w:t>Ca (children, 3.135; adults, 0.672)</w:t>
      </w:r>
      <w:r w:rsidR="002C6CDB" w:rsidRPr="00DC4B79">
        <w:rPr>
          <w:rFonts w:ascii="Arial" w:hAnsi="Arial" w:cs="Arial"/>
          <w:i w:val="0"/>
          <w:color w:val="auto"/>
          <w:sz w:val="20"/>
          <w:szCs w:val="20"/>
        </w:rPr>
        <w:t xml:space="preserve"> and </w:t>
      </w:r>
      <w:r w:rsidR="002C6CDB" w:rsidRPr="00DC4B79">
        <w:rPr>
          <w:rStyle w:val="Strong"/>
          <w:rFonts w:ascii="Arial" w:hAnsi="Arial" w:cs="Arial"/>
          <w:b w:val="0"/>
          <w:i w:val="0"/>
          <w:color w:val="auto"/>
          <w:sz w:val="20"/>
          <w:szCs w:val="20"/>
        </w:rPr>
        <w:t>Cd (children, 1.687; adults, 0.362)</w:t>
      </w:r>
      <w:r w:rsidR="002C6CDB" w:rsidRPr="00DC4B79">
        <w:rPr>
          <w:rFonts w:ascii="Arial" w:hAnsi="Arial" w:cs="Arial"/>
          <w:b/>
          <w:i w:val="0"/>
          <w:color w:val="auto"/>
          <w:sz w:val="20"/>
          <w:szCs w:val="20"/>
        </w:rPr>
        <w:t xml:space="preserve">. </w:t>
      </w:r>
      <w:r w:rsidR="002C6CDB" w:rsidRPr="00DC4B79">
        <w:rPr>
          <w:rFonts w:ascii="Arial" w:hAnsi="Arial" w:cs="Arial"/>
          <w:i w:val="0"/>
          <w:color w:val="auto"/>
          <w:sz w:val="20"/>
          <w:szCs w:val="20"/>
        </w:rPr>
        <w:t xml:space="preserve">Moderate child exposure </w:t>
      </w:r>
      <w:proofErr w:type="gramStart"/>
      <w:r w:rsidR="002C6CDB" w:rsidRPr="00DC4B79">
        <w:rPr>
          <w:rFonts w:ascii="Arial" w:hAnsi="Arial" w:cs="Arial"/>
          <w:i w:val="0"/>
          <w:color w:val="auto"/>
          <w:sz w:val="20"/>
          <w:szCs w:val="20"/>
        </w:rPr>
        <w:t>were</w:t>
      </w:r>
      <w:proofErr w:type="gramEnd"/>
      <w:r w:rsidR="002C6CDB" w:rsidRPr="00DC4B79">
        <w:rPr>
          <w:rFonts w:ascii="Arial" w:hAnsi="Arial" w:cs="Arial"/>
          <w:i w:val="0"/>
          <w:color w:val="auto"/>
          <w:sz w:val="20"/>
          <w:szCs w:val="20"/>
        </w:rPr>
        <w:t xml:space="preserve"> seen for </w:t>
      </w:r>
      <w:r w:rsidR="002C6CDB" w:rsidRPr="00DC4B79">
        <w:rPr>
          <w:rStyle w:val="Strong"/>
          <w:rFonts w:ascii="Arial" w:hAnsi="Arial" w:cs="Arial"/>
          <w:b w:val="0"/>
          <w:i w:val="0"/>
          <w:color w:val="auto"/>
          <w:sz w:val="20"/>
          <w:szCs w:val="20"/>
        </w:rPr>
        <w:t>K (children, 0.582; adults, 0.125)</w:t>
      </w:r>
      <w:r w:rsidR="002C6CDB" w:rsidRPr="00DC4B79">
        <w:rPr>
          <w:rFonts w:ascii="Arial" w:hAnsi="Arial" w:cs="Arial"/>
          <w:i w:val="0"/>
          <w:color w:val="auto"/>
          <w:sz w:val="20"/>
          <w:szCs w:val="20"/>
        </w:rPr>
        <w:t xml:space="preserve"> and </w:t>
      </w:r>
      <w:r w:rsidR="002C6CDB" w:rsidRPr="00DC4B79">
        <w:rPr>
          <w:rStyle w:val="Strong"/>
          <w:rFonts w:ascii="Arial" w:hAnsi="Arial" w:cs="Arial"/>
          <w:b w:val="0"/>
          <w:i w:val="0"/>
          <w:color w:val="auto"/>
          <w:sz w:val="20"/>
          <w:szCs w:val="20"/>
        </w:rPr>
        <w:t>Mg (children, 0.534; adults, 0.115)</w:t>
      </w:r>
      <w:r w:rsidR="002C6CDB" w:rsidRPr="00DC4B79">
        <w:rPr>
          <w:rFonts w:ascii="Arial" w:hAnsi="Arial" w:cs="Arial"/>
          <w:b/>
          <w:i w:val="0"/>
          <w:color w:val="auto"/>
          <w:sz w:val="20"/>
          <w:szCs w:val="20"/>
        </w:rPr>
        <w:t>,</w:t>
      </w:r>
      <w:r w:rsidR="002C6CDB" w:rsidRPr="00DC4B79">
        <w:rPr>
          <w:rFonts w:ascii="Arial" w:hAnsi="Arial" w:cs="Arial"/>
          <w:i w:val="0"/>
          <w:color w:val="auto"/>
          <w:sz w:val="20"/>
          <w:szCs w:val="20"/>
        </w:rPr>
        <w:t xml:space="preserve"> while other metals such as </w:t>
      </w:r>
      <w:r w:rsidR="002C6CDB" w:rsidRPr="00DC4B79">
        <w:rPr>
          <w:rStyle w:val="Strong"/>
          <w:rFonts w:ascii="Arial" w:hAnsi="Arial" w:cs="Arial"/>
          <w:b w:val="0"/>
          <w:i w:val="0"/>
          <w:color w:val="auto"/>
          <w:sz w:val="20"/>
          <w:szCs w:val="20"/>
        </w:rPr>
        <w:t>Ba (children, 0.037; adults, 0.008)</w:t>
      </w:r>
      <w:r w:rsidR="002C6CDB" w:rsidRPr="00DC4B79">
        <w:rPr>
          <w:rFonts w:ascii="Arial" w:hAnsi="Arial" w:cs="Arial"/>
          <w:b/>
          <w:i w:val="0"/>
          <w:color w:val="auto"/>
          <w:sz w:val="20"/>
          <w:szCs w:val="20"/>
        </w:rPr>
        <w:t xml:space="preserve">, </w:t>
      </w:r>
      <w:r w:rsidR="002C6CDB" w:rsidRPr="00DC4B79">
        <w:rPr>
          <w:rStyle w:val="Strong"/>
          <w:rFonts w:ascii="Arial" w:hAnsi="Arial" w:cs="Arial"/>
          <w:b w:val="0"/>
          <w:i w:val="0"/>
          <w:color w:val="auto"/>
          <w:sz w:val="20"/>
          <w:szCs w:val="20"/>
        </w:rPr>
        <w:t>Cr (children, 0.008; adults, 0.002)</w:t>
      </w:r>
      <w:r w:rsidR="002C6CDB" w:rsidRPr="00DC4B79">
        <w:rPr>
          <w:rFonts w:ascii="Arial" w:hAnsi="Arial" w:cs="Arial"/>
          <w:i w:val="0"/>
          <w:color w:val="auto"/>
          <w:sz w:val="20"/>
          <w:szCs w:val="20"/>
        </w:rPr>
        <w:t xml:space="preserve">, and </w:t>
      </w:r>
      <w:r w:rsidR="002C6CDB" w:rsidRPr="00DC4B79">
        <w:rPr>
          <w:rStyle w:val="Strong"/>
          <w:rFonts w:ascii="Arial" w:hAnsi="Arial" w:cs="Arial"/>
          <w:b w:val="0"/>
          <w:i w:val="0"/>
          <w:color w:val="auto"/>
          <w:sz w:val="20"/>
          <w:szCs w:val="20"/>
        </w:rPr>
        <w:t>Pb (children, 0.013; adults, 0.003)</w:t>
      </w:r>
      <w:r w:rsidR="002C6CDB" w:rsidRPr="00DC4B79">
        <w:rPr>
          <w:rFonts w:ascii="Arial" w:hAnsi="Arial" w:cs="Arial"/>
          <w:i w:val="0"/>
          <w:color w:val="auto"/>
          <w:sz w:val="20"/>
          <w:szCs w:val="20"/>
        </w:rPr>
        <w:t xml:space="preserve"> remained low. Several metals (As, Be, Co, Hg) showed no recorded values. Overall, </w:t>
      </w:r>
      <w:r w:rsidR="002C6CDB" w:rsidRPr="00DC4B79">
        <w:rPr>
          <w:rStyle w:val="Strong"/>
          <w:rFonts w:ascii="Arial" w:hAnsi="Arial" w:cs="Arial"/>
          <w:b w:val="0"/>
          <w:i w:val="0"/>
          <w:color w:val="auto"/>
          <w:sz w:val="20"/>
          <w:szCs w:val="20"/>
        </w:rPr>
        <w:t>children were more vulnerable</w:t>
      </w:r>
      <w:r w:rsidR="002C6CDB" w:rsidRPr="00DC4B79">
        <w:rPr>
          <w:rFonts w:ascii="Arial" w:hAnsi="Arial" w:cs="Arial"/>
          <w:i w:val="0"/>
          <w:color w:val="auto"/>
          <w:sz w:val="20"/>
          <w:szCs w:val="20"/>
        </w:rPr>
        <w:t>, with Al, Fe, Ca, and Cd being the dominant contributors compared to adults.</w:t>
      </w:r>
    </w:p>
    <w:p w14:paraId="378A258E" w14:textId="77777777" w:rsidR="002C6CDB" w:rsidRPr="00094875" w:rsidRDefault="002C6CDB" w:rsidP="002C6CDB">
      <w:pPr>
        <w:pStyle w:val="Caption"/>
        <w:keepNext/>
        <w:rPr>
          <w:rFonts w:ascii="Arial" w:hAnsi="Arial" w:cs="Arial"/>
          <w:b/>
          <w:i w:val="0"/>
          <w:iCs w:val="0"/>
          <w:color w:val="auto"/>
          <w:sz w:val="20"/>
          <w:szCs w:val="20"/>
        </w:rPr>
      </w:pPr>
      <w:r w:rsidRPr="00094875">
        <w:rPr>
          <w:rFonts w:ascii="Arial" w:hAnsi="Arial" w:cs="Arial"/>
          <w:b/>
          <w:i w:val="0"/>
          <w:iCs w:val="0"/>
          <w:color w:val="auto"/>
          <w:sz w:val="20"/>
          <w:szCs w:val="20"/>
        </w:rPr>
        <w:t xml:space="preserve">Table </w:t>
      </w:r>
      <w:r w:rsidRPr="00094875">
        <w:rPr>
          <w:rFonts w:ascii="Arial" w:hAnsi="Arial" w:cs="Arial"/>
          <w:b/>
          <w:i w:val="0"/>
          <w:iCs w:val="0"/>
          <w:color w:val="auto"/>
          <w:sz w:val="20"/>
          <w:szCs w:val="20"/>
        </w:rPr>
        <w:fldChar w:fldCharType="begin"/>
      </w:r>
      <w:r w:rsidRPr="00094875">
        <w:rPr>
          <w:rFonts w:ascii="Arial" w:hAnsi="Arial" w:cs="Arial"/>
          <w:b/>
          <w:i w:val="0"/>
          <w:iCs w:val="0"/>
          <w:color w:val="auto"/>
          <w:sz w:val="20"/>
          <w:szCs w:val="20"/>
        </w:rPr>
        <w:instrText xml:space="preserve"> SEQ Table \* ARABIC </w:instrText>
      </w:r>
      <w:r w:rsidRPr="00094875">
        <w:rPr>
          <w:rFonts w:ascii="Arial" w:hAnsi="Arial" w:cs="Arial"/>
          <w:b/>
          <w:i w:val="0"/>
          <w:iCs w:val="0"/>
          <w:color w:val="auto"/>
          <w:sz w:val="20"/>
          <w:szCs w:val="20"/>
        </w:rPr>
        <w:fldChar w:fldCharType="separate"/>
      </w:r>
      <w:r w:rsidRPr="00094875">
        <w:rPr>
          <w:rFonts w:ascii="Arial" w:hAnsi="Arial" w:cs="Arial"/>
          <w:b/>
          <w:i w:val="0"/>
          <w:iCs w:val="0"/>
          <w:noProof/>
          <w:color w:val="auto"/>
          <w:sz w:val="20"/>
          <w:szCs w:val="20"/>
        </w:rPr>
        <w:t>4</w:t>
      </w:r>
      <w:r w:rsidRPr="00094875">
        <w:rPr>
          <w:rFonts w:ascii="Arial" w:hAnsi="Arial" w:cs="Arial"/>
          <w:b/>
          <w:i w:val="0"/>
          <w:iCs w:val="0"/>
          <w:color w:val="auto"/>
          <w:sz w:val="20"/>
          <w:szCs w:val="20"/>
        </w:rPr>
        <w:fldChar w:fldCharType="end"/>
      </w:r>
      <w:r w:rsidR="00094875">
        <w:rPr>
          <w:rFonts w:ascii="Arial" w:hAnsi="Arial" w:cs="Arial"/>
          <w:b/>
          <w:i w:val="0"/>
          <w:iCs w:val="0"/>
          <w:color w:val="auto"/>
          <w:sz w:val="20"/>
          <w:szCs w:val="20"/>
        </w:rPr>
        <w:t>: Estimated daily intake (EDI) of m</w:t>
      </w:r>
      <w:r w:rsidRPr="00094875">
        <w:rPr>
          <w:rFonts w:ascii="Arial" w:hAnsi="Arial" w:cs="Arial"/>
          <w:b/>
          <w:i w:val="0"/>
          <w:iCs w:val="0"/>
          <w:color w:val="auto"/>
          <w:sz w:val="20"/>
          <w:szCs w:val="20"/>
        </w:rPr>
        <w:t>etals (mg/kg/day)</w:t>
      </w:r>
    </w:p>
    <w:tbl>
      <w:tblPr>
        <w:tblStyle w:val="PlainTable2"/>
        <w:tblW w:w="4680" w:type="dxa"/>
        <w:jc w:val="center"/>
        <w:tblLook w:val="06A0" w:firstRow="1" w:lastRow="0" w:firstColumn="1" w:lastColumn="0" w:noHBand="1" w:noVBand="1"/>
      </w:tblPr>
      <w:tblGrid>
        <w:gridCol w:w="1560"/>
        <w:gridCol w:w="1560"/>
        <w:gridCol w:w="1560"/>
      </w:tblGrid>
      <w:tr w:rsidR="002C6CDB" w:rsidRPr="00DC4B79" w14:paraId="5624524A" w14:textId="77777777" w:rsidTr="006F0D2F">
        <w:trPr>
          <w:cnfStyle w:val="100000000000" w:firstRow="1" w:lastRow="0" w:firstColumn="0" w:lastColumn="0" w:oddVBand="0" w:evenVBand="0" w:oddHBand="0"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49CF7BB9" w14:textId="77777777" w:rsidR="002C6CDB" w:rsidRPr="00DC4B79" w:rsidRDefault="002C6CDB" w:rsidP="006F0D2F">
            <w:pPr>
              <w:spacing w:line="360" w:lineRule="auto"/>
              <w:jc w:val="center"/>
              <w:rPr>
                <w:rFonts w:ascii="Arial" w:hAnsi="Arial" w:cs="Arial"/>
                <w:color w:val="000000" w:themeColor="text1"/>
              </w:rPr>
            </w:pPr>
            <w:r w:rsidRPr="00DC4B79">
              <w:rPr>
                <w:rFonts w:ascii="Arial" w:hAnsi="Arial" w:cs="Arial"/>
                <w:color w:val="000000" w:themeColor="text1"/>
              </w:rPr>
              <w:t>Metal</w:t>
            </w:r>
          </w:p>
        </w:tc>
        <w:tc>
          <w:tcPr>
            <w:tcW w:w="1560" w:type="dxa"/>
          </w:tcPr>
          <w:p w14:paraId="37CA3875" w14:textId="77777777" w:rsidR="002C6CDB" w:rsidRPr="00DC4B79" w:rsidRDefault="002C6CDB" w:rsidP="006F0D2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Child</w:t>
            </w:r>
          </w:p>
        </w:tc>
        <w:tc>
          <w:tcPr>
            <w:tcW w:w="1560" w:type="dxa"/>
          </w:tcPr>
          <w:p w14:paraId="63E4A895" w14:textId="77777777" w:rsidR="002C6CDB" w:rsidRPr="00DC4B79" w:rsidRDefault="002C6CDB" w:rsidP="006F0D2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Adult</w:t>
            </w:r>
          </w:p>
        </w:tc>
      </w:tr>
      <w:tr w:rsidR="002C6CDB" w:rsidRPr="00DC4B79" w14:paraId="4A1927A6"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A75CBE1"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Ag 328.068</w:t>
            </w:r>
          </w:p>
        </w:tc>
        <w:tc>
          <w:tcPr>
            <w:tcW w:w="1560" w:type="dxa"/>
          </w:tcPr>
          <w:p w14:paraId="241B5F4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0.001</w:t>
            </w:r>
          </w:p>
        </w:tc>
        <w:tc>
          <w:tcPr>
            <w:tcW w:w="1560" w:type="dxa"/>
          </w:tcPr>
          <w:p w14:paraId="49227617"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r>
      <w:tr w:rsidR="002C6CDB" w:rsidRPr="00DC4B79" w14:paraId="6CBD44F8"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212D63C"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Al 396.152</w:t>
            </w:r>
          </w:p>
        </w:tc>
        <w:tc>
          <w:tcPr>
            <w:tcW w:w="1560" w:type="dxa"/>
          </w:tcPr>
          <w:p w14:paraId="67B187D9"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5.920</w:t>
            </w:r>
          </w:p>
        </w:tc>
        <w:tc>
          <w:tcPr>
            <w:tcW w:w="1560" w:type="dxa"/>
          </w:tcPr>
          <w:p w14:paraId="20B577AF"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1.268</w:t>
            </w:r>
          </w:p>
        </w:tc>
      </w:tr>
      <w:tr w:rsidR="002C6CDB" w:rsidRPr="00DC4B79" w14:paraId="4083F8BE"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40BDA7A"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As 193.696</w:t>
            </w:r>
          </w:p>
        </w:tc>
        <w:tc>
          <w:tcPr>
            <w:tcW w:w="1560" w:type="dxa"/>
          </w:tcPr>
          <w:p w14:paraId="45C941E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w:t>
            </w:r>
          </w:p>
        </w:tc>
        <w:tc>
          <w:tcPr>
            <w:tcW w:w="1560" w:type="dxa"/>
          </w:tcPr>
          <w:p w14:paraId="54F11A1F"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w:t>
            </w:r>
          </w:p>
        </w:tc>
      </w:tr>
      <w:tr w:rsidR="002C6CDB" w:rsidRPr="00DC4B79" w14:paraId="26636A90"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21EA76EE"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Ba 455.403</w:t>
            </w:r>
          </w:p>
        </w:tc>
        <w:tc>
          <w:tcPr>
            <w:tcW w:w="1560" w:type="dxa"/>
          </w:tcPr>
          <w:p w14:paraId="3AE13D23"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0.037</w:t>
            </w:r>
          </w:p>
        </w:tc>
        <w:tc>
          <w:tcPr>
            <w:tcW w:w="1560" w:type="dxa"/>
          </w:tcPr>
          <w:p w14:paraId="6DF335CA"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0.008</w:t>
            </w:r>
          </w:p>
        </w:tc>
      </w:tr>
      <w:tr w:rsidR="002C6CDB" w:rsidRPr="00DC4B79" w14:paraId="04CD355C"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EFBEA9B"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Be 234.861</w:t>
            </w:r>
          </w:p>
        </w:tc>
        <w:tc>
          <w:tcPr>
            <w:tcW w:w="1560" w:type="dxa"/>
          </w:tcPr>
          <w:p w14:paraId="31642369"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w:t>
            </w:r>
          </w:p>
        </w:tc>
        <w:tc>
          <w:tcPr>
            <w:tcW w:w="1560" w:type="dxa"/>
          </w:tcPr>
          <w:p w14:paraId="69AF4A95"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w:t>
            </w:r>
          </w:p>
        </w:tc>
      </w:tr>
      <w:tr w:rsidR="002C6CDB" w:rsidRPr="00DC4B79" w14:paraId="33AEED4C"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F84CE3B"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Ca 396.847</w:t>
            </w:r>
          </w:p>
        </w:tc>
        <w:tc>
          <w:tcPr>
            <w:tcW w:w="1560" w:type="dxa"/>
          </w:tcPr>
          <w:p w14:paraId="34E89609"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3.135</w:t>
            </w:r>
          </w:p>
        </w:tc>
        <w:tc>
          <w:tcPr>
            <w:tcW w:w="1560" w:type="dxa"/>
          </w:tcPr>
          <w:p w14:paraId="59D0A0A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0.672</w:t>
            </w:r>
          </w:p>
        </w:tc>
      </w:tr>
      <w:tr w:rsidR="002C6CDB" w:rsidRPr="00DC4B79" w14:paraId="0AC6FC83"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58D247E9"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Cd 214.439</w:t>
            </w:r>
          </w:p>
        </w:tc>
        <w:tc>
          <w:tcPr>
            <w:tcW w:w="1560" w:type="dxa"/>
          </w:tcPr>
          <w:p w14:paraId="161DA48B"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1.687</w:t>
            </w:r>
          </w:p>
        </w:tc>
        <w:tc>
          <w:tcPr>
            <w:tcW w:w="1560" w:type="dxa"/>
          </w:tcPr>
          <w:p w14:paraId="0A3E1562"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0.362</w:t>
            </w:r>
          </w:p>
        </w:tc>
      </w:tr>
      <w:tr w:rsidR="002C6CDB" w:rsidRPr="00DC4B79" w14:paraId="4E7DB6C2"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0ED1F201"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Co 238.892</w:t>
            </w:r>
          </w:p>
        </w:tc>
        <w:tc>
          <w:tcPr>
            <w:tcW w:w="1560" w:type="dxa"/>
          </w:tcPr>
          <w:p w14:paraId="273DBD9F"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w:t>
            </w:r>
          </w:p>
        </w:tc>
        <w:tc>
          <w:tcPr>
            <w:tcW w:w="1560" w:type="dxa"/>
          </w:tcPr>
          <w:p w14:paraId="06A04B8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w:t>
            </w:r>
          </w:p>
        </w:tc>
      </w:tr>
      <w:tr w:rsidR="002C6CDB" w:rsidRPr="00DC4B79" w14:paraId="5AF28B7F"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7D905F8"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Cr 267.716</w:t>
            </w:r>
          </w:p>
        </w:tc>
        <w:tc>
          <w:tcPr>
            <w:tcW w:w="1560" w:type="dxa"/>
          </w:tcPr>
          <w:p w14:paraId="6BC6DE99"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0.008</w:t>
            </w:r>
          </w:p>
        </w:tc>
        <w:tc>
          <w:tcPr>
            <w:tcW w:w="1560" w:type="dxa"/>
          </w:tcPr>
          <w:p w14:paraId="475675D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0.002</w:t>
            </w:r>
          </w:p>
        </w:tc>
      </w:tr>
      <w:tr w:rsidR="002C6CDB" w:rsidRPr="00DC4B79" w14:paraId="5F80AEE1"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25DE664C"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Cu 327.395</w:t>
            </w:r>
          </w:p>
        </w:tc>
        <w:tc>
          <w:tcPr>
            <w:tcW w:w="1560" w:type="dxa"/>
          </w:tcPr>
          <w:p w14:paraId="60073F4F"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0.020</w:t>
            </w:r>
          </w:p>
        </w:tc>
        <w:tc>
          <w:tcPr>
            <w:tcW w:w="1560" w:type="dxa"/>
          </w:tcPr>
          <w:p w14:paraId="1114A167"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0.004</w:t>
            </w:r>
          </w:p>
        </w:tc>
      </w:tr>
      <w:tr w:rsidR="002C6CDB" w:rsidRPr="00DC4B79" w14:paraId="6D743D74"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66C1CBFF"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Fe 238.204</w:t>
            </w:r>
          </w:p>
        </w:tc>
        <w:tc>
          <w:tcPr>
            <w:tcW w:w="1560" w:type="dxa"/>
          </w:tcPr>
          <w:p w14:paraId="33BBE2CF"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5.997</w:t>
            </w:r>
          </w:p>
        </w:tc>
        <w:tc>
          <w:tcPr>
            <w:tcW w:w="1560" w:type="dxa"/>
          </w:tcPr>
          <w:p w14:paraId="49F8EBA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1.285</w:t>
            </w:r>
          </w:p>
        </w:tc>
      </w:tr>
      <w:tr w:rsidR="002C6CDB" w:rsidRPr="00DC4B79" w14:paraId="3B95E6CB"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1F666D4D"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Hg 184.887</w:t>
            </w:r>
          </w:p>
        </w:tc>
        <w:tc>
          <w:tcPr>
            <w:tcW w:w="1560" w:type="dxa"/>
          </w:tcPr>
          <w:p w14:paraId="377BD4A7"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w:t>
            </w:r>
          </w:p>
        </w:tc>
        <w:tc>
          <w:tcPr>
            <w:tcW w:w="1560" w:type="dxa"/>
          </w:tcPr>
          <w:p w14:paraId="2499CE8E"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w:t>
            </w:r>
          </w:p>
        </w:tc>
      </w:tr>
      <w:tr w:rsidR="002C6CDB" w:rsidRPr="00DC4B79" w14:paraId="38F5714F"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00C3BEFC"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K 766.491</w:t>
            </w:r>
          </w:p>
        </w:tc>
        <w:tc>
          <w:tcPr>
            <w:tcW w:w="1560" w:type="dxa"/>
          </w:tcPr>
          <w:p w14:paraId="708276BA"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0.582</w:t>
            </w:r>
          </w:p>
        </w:tc>
        <w:tc>
          <w:tcPr>
            <w:tcW w:w="1560" w:type="dxa"/>
          </w:tcPr>
          <w:p w14:paraId="5811ABB7"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0.125</w:t>
            </w:r>
          </w:p>
        </w:tc>
      </w:tr>
      <w:tr w:rsidR="002C6CDB" w:rsidRPr="00DC4B79" w14:paraId="04369FB0"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B08B7C5"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Mg 279.553</w:t>
            </w:r>
          </w:p>
        </w:tc>
        <w:tc>
          <w:tcPr>
            <w:tcW w:w="1560" w:type="dxa"/>
          </w:tcPr>
          <w:p w14:paraId="587ED2C3"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0.534</w:t>
            </w:r>
          </w:p>
        </w:tc>
        <w:tc>
          <w:tcPr>
            <w:tcW w:w="1560" w:type="dxa"/>
          </w:tcPr>
          <w:p w14:paraId="146866A6"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0.115</w:t>
            </w:r>
          </w:p>
        </w:tc>
      </w:tr>
      <w:tr w:rsidR="002C6CDB" w:rsidRPr="00DC4B79" w14:paraId="2F6E4CA6"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E98CAF3"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Mn 257.610</w:t>
            </w:r>
          </w:p>
        </w:tc>
        <w:tc>
          <w:tcPr>
            <w:tcW w:w="1560" w:type="dxa"/>
          </w:tcPr>
          <w:p w14:paraId="06AEA5F8"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0.236</w:t>
            </w:r>
          </w:p>
        </w:tc>
        <w:tc>
          <w:tcPr>
            <w:tcW w:w="1560" w:type="dxa"/>
          </w:tcPr>
          <w:p w14:paraId="7521DED3"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0.051</w:t>
            </w:r>
          </w:p>
        </w:tc>
      </w:tr>
      <w:tr w:rsidR="002C6CDB" w:rsidRPr="00DC4B79" w14:paraId="7C927124"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57F49DB"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Na 588.995</w:t>
            </w:r>
          </w:p>
        </w:tc>
        <w:tc>
          <w:tcPr>
            <w:tcW w:w="1560" w:type="dxa"/>
          </w:tcPr>
          <w:p w14:paraId="6F413052"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0.049</w:t>
            </w:r>
          </w:p>
        </w:tc>
        <w:tc>
          <w:tcPr>
            <w:tcW w:w="1560" w:type="dxa"/>
          </w:tcPr>
          <w:p w14:paraId="32E7AADB"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0.010</w:t>
            </w:r>
          </w:p>
        </w:tc>
      </w:tr>
      <w:tr w:rsidR="002C6CDB" w:rsidRPr="00DC4B79" w14:paraId="790DB96B"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190B6D43"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Ni 216.555</w:t>
            </w:r>
          </w:p>
        </w:tc>
        <w:tc>
          <w:tcPr>
            <w:tcW w:w="1560" w:type="dxa"/>
          </w:tcPr>
          <w:p w14:paraId="666B6E7E"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0.001</w:t>
            </w:r>
          </w:p>
        </w:tc>
        <w:tc>
          <w:tcPr>
            <w:tcW w:w="1560" w:type="dxa"/>
          </w:tcPr>
          <w:p w14:paraId="427AB8BB"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r>
      <w:tr w:rsidR="002C6CDB" w:rsidRPr="00DC4B79" w14:paraId="770A839C"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1E8F35C2"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Pb 220.353</w:t>
            </w:r>
          </w:p>
        </w:tc>
        <w:tc>
          <w:tcPr>
            <w:tcW w:w="1560" w:type="dxa"/>
          </w:tcPr>
          <w:p w14:paraId="770E1EED"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0.013</w:t>
            </w:r>
          </w:p>
        </w:tc>
        <w:tc>
          <w:tcPr>
            <w:tcW w:w="1560" w:type="dxa"/>
          </w:tcPr>
          <w:p w14:paraId="73C566ED"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0.003</w:t>
            </w:r>
          </w:p>
        </w:tc>
      </w:tr>
      <w:tr w:rsidR="002C6CDB" w:rsidRPr="00DC4B79" w14:paraId="17609056"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6967FF11"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Se 196.026</w:t>
            </w:r>
          </w:p>
        </w:tc>
        <w:tc>
          <w:tcPr>
            <w:tcW w:w="1560" w:type="dxa"/>
          </w:tcPr>
          <w:p w14:paraId="55B111B5"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0.007</w:t>
            </w:r>
          </w:p>
        </w:tc>
        <w:tc>
          <w:tcPr>
            <w:tcW w:w="1560" w:type="dxa"/>
          </w:tcPr>
          <w:p w14:paraId="05012121"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0.001</w:t>
            </w:r>
          </w:p>
        </w:tc>
      </w:tr>
      <w:tr w:rsidR="002C6CDB" w:rsidRPr="00DC4B79" w14:paraId="05EE1B6E"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6E8DE032"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V 292.401</w:t>
            </w:r>
          </w:p>
        </w:tc>
        <w:tc>
          <w:tcPr>
            <w:tcW w:w="1560" w:type="dxa"/>
          </w:tcPr>
          <w:p w14:paraId="53DEDDC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0.017</w:t>
            </w:r>
          </w:p>
        </w:tc>
        <w:tc>
          <w:tcPr>
            <w:tcW w:w="1560" w:type="dxa"/>
          </w:tcPr>
          <w:p w14:paraId="27EE8EEE"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0.004</w:t>
            </w:r>
          </w:p>
        </w:tc>
      </w:tr>
      <w:tr w:rsidR="002C6CDB" w:rsidRPr="00DC4B79" w14:paraId="4FD96118"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1A9EEBB5"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Zn 213.857</w:t>
            </w:r>
          </w:p>
        </w:tc>
        <w:tc>
          <w:tcPr>
            <w:tcW w:w="1560" w:type="dxa"/>
          </w:tcPr>
          <w:p w14:paraId="5DC540B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0.016</w:t>
            </w:r>
          </w:p>
        </w:tc>
        <w:tc>
          <w:tcPr>
            <w:tcW w:w="1560" w:type="dxa"/>
          </w:tcPr>
          <w:p w14:paraId="734F9A25"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0.003</w:t>
            </w:r>
          </w:p>
        </w:tc>
      </w:tr>
    </w:tbl>
    <w:p w14:paraId="616EC609" w14:textId="77777777" w:rsidR="002C6CDB" w:rsidRPr="007448F2" w:rsidRDefault="007448F2" w:rsidP="007448F2">
      <w:pPr>
        <w:pStyle w:val="Caption"/>
        <w:keepNext/>
        <w:spacing w:line="276" w:lineRule="auto"/>
        <w:jc w:val="both"/>
        <w:rPr>
          <w:rFonts w:ascii="Arial" w:hAnsi="Arial" w:cs="Arial"/>
          <w:i w:val="0"/>
          <w:iCs w:val="0"/>
          <w:color w:val="auto"/>
          <w:sz w:val="20"/>
          <w:szCs w:val="20"/>
        </w:rPr>
      </w:pPr>
      <w:r w:rsidRPr="007448F2">
        <w:rPr>
          <w:rFonts w:ascii="Arial" w:hAnsi="Arial" w:cs="Arial"/>
          <w:i w:val="0"/>
          <w:iCs w:val="0"/>
          <w:color w:val="auto"/>
          <w:sz w:val="20"/>
          <w:szCs w:val="20"/>
        </w:rPr>
        <w:t xml:space="preserve">Table </w:t>
      </w:r>
      <w:r w:rsidRPr="007448F2">
        <w:rPr>
          <w:rFonts w:ascii="Arial" w:hAnsi="Arial" w:cs="Arial"/>
          <w:i w:val="0"/>
          <w:iCs w:val="0"/>
          <w:color w:val="auto"/>
          <w:sz w:val="20"/>
          <w:szCs w:val="20"/>
        </w:rPr>
        <w:fldChar w:fldCharType="begin"/>
      </w:r>
      <w:r w:rsidRPr="007448F2">
        <w:rPr>
          <w:rFonts w:ascii="Arial" w:hAnsi="Arial" w:cs="Arial"/>
          <w:i w:val="0"/>
          <w:iCs w:val="0"/>
          <w:color w:val="auto"/>
          <w:sz w:val="20"/>
          <w:szCs w:val="20"/>
        </w:rPr>
        <w:instrText xml:space="preserve"> SEQ Table \* ARABIC </w:instrText>
      </w:r>
      <w:r w:rsidRPr="007448F2">
        <w:rPr>
          <w:rFonts w:ascii="Arial" w:hAnsi="Arial" w:cs="Arial"/>
          <w:i w:val="0"/>
          <w:iCs w:val="0"/>
          <w:color w:val="auto"/>
          <w:sz w:val="20"/>
          <w:szCs w:val="20"/>
        </w:rPr>
        <w:fldChar w:fldCharType="separate"/>
      </w:r>
      <w:r w:rsidRPr="007448F2">
        <w:rPr>
          <w:rFonts w:ascii="Arial" w:hAnsi="Arial" w:cs="Arial"/>
          <w:i w:val="0"/>
          <w:iCs w:val="0"/>
          <w:noProof/>
          <w:color w:val="auto"/>
          <w:sz w:val="20"/>
          <w:szCs w:val="20"/>
        </w:rPr>
        <w:t>5</w:t>
      </w:r>
      <w:r w:rsidRPr="007448F2">
        <w:rPr>
          <w:rFonts w:ascii="Arial" w:hAnsi="Arial" w:cs="Arial"/>
          <w:i w:val="0"/>
          <w:iCs w:val="0"/>
          <w:color w:val="auto"/>
          <w:sz w:val="20"/>
          <w:szCs w:val="20"/>
        </w:rPr>
        <w:fldChar w:fldCharType="end"/>
      </w:r>
      <w:r>
        <w:rPr>
          <w:rFonts w:ascii="Arial" w:hAnsi="Arial" w:cs="Arial"/>
          <w:i w:val="0"/>
          <w:iCs w:val="0"/>
          <w:color w:val="auto"/>
          <w:sz w:val="20"/>
          <w:szCs w:val="20"/>
        </w:rPr>
        <w:t xml:space="preserve"> shows the n</w:t>
      </w:r>
      <w:r w:rsidRPr="007448F2">
        <w:rPr>
          <w:rFonts w:ascii="Arial" w:hAnsi="Arial" w:cs="Arial"/>
          <w:i w:val="0"/>
          <w:iCs w:val="0"/>
          <w:color w:val="auto"/>
          <w:sz w:val="20"/>
          <w:szCs w:val="20"/>
        </w:rPr>
        <w:t>o</w:t>
      </w:r>
      <w:r>
        <w:rPr>
          <w:rFonts w:ascii="Arial" w:hAnsi="Arial" w:cs="Arial"/>
          <w:i w:val="0"/>
          <w:iCs w:val="0"/>
          <w:color w:val="auto"/>
          <w:sz w:val="20"/>
          <w:szCs w:val="20"/>
        </w:rPr>
        <w:t>n-carcinogenic r</w:t>
      </w:r>
      <w:r w:rsidRPr="007448F2">
        <w:rPr>
          <w:rFonts w:ascii="Arial" w:hAnsi="Arial" w:cs="Arial"/>
          <w:i w:val="0"/>
          <w:iCs w:val="0"/>
          <w:color w:val="auto"/>
          <w:sz w:val="20"/>
          <w:szCs w:val="20"/>
        </w:rPr>
        <w:t>isk (HQ and HI)</w:t>
      </w:r>
      <w:r>
        <w:rPr>
          <w:rFonts w:ascii="Arial" w:hAnsi="Arial" w:cs="Arial"/>
          <w:i w:val="0"/>
          <w:iCs w:val="0"/>
          <w:color w:val="auto"/>
          <w:sz w:val="20"/>
          <w:szCs w:val="20"/>
        </w:rPr>
        <w:t>. Again, c</w:t>
      </w:r>
      <w:r w:rsidR="002C6CDB" w:rsidRPr="007448F2">
        <w:rPr>
          <w:rFonts w:ascii="Arial" w:hAnsi="Arial" w:cs="Arial"/>
          <w:i w:val="0"/>
          <w:color w:val="auto"/>
          <w:sz w:val="20"/>
          <w:szCs w:val="20"/>
        </w:rPr>
        <w:t>hildren showed</w:t>
      </w:r>
      <w:r w:rsidR="002C6CDB" w:rsidRPr="007448F2">
        <w:rPr>
          <w:rFonts w:ascii="Arial" w:hAnsi="Arial" w:cs="Arial"/>
          <w:b/>
          <w:i w:val="0"/>
          <w:color w:val="auto"/>
          <w:sz w:val="20"/>
          <w:szCs w:val="20"/>
        </w:rPr>
        <w:t xml:space="preserve"> </w:t>
      </w:r>
      <w:r w:rsidR="002C6CDB" w:rsidRPr="007448F2">
        <w:rPr>
          <w:rStyle w:val="Strong"/>
          <w:rFonts w:ascii="Arial" w:hAnsi="Arial" w:cs="Arial"/>
          <w:b w:val="0"/>
          <w:i w:val="0"/>
          <w:color w:val="auto"/>
          <w:sz w:val="20"/>
          <w:szCs w:val="20"/>
        </w:rPr>
        <w:t>much higher hazard index (HI: 3443.060)</w:t>
      </w:r>
      <w:r w:rsidR="002C6CDB" w:rsidRPr="007448F2">
        <w:rPr>
          <w:rFonts w:ascii="Arial" w:hAnsi="Arial" w:cs="Arial"/>
          <w:i w:val="0"/>
          <w:color w:val="auto"/>
          <w:sz w:val="20"/>
          <w:szCs w:val="20"/>
        </w:rPr>
        <w:t xml:space="preserve"> compared to adults (</w:t>
      </w:r>
      <w:r w:rsidR="002C6CDB" w:rsidRPr="007448F2">
        <w:rPr>
          <w:rStyle w:val="Strong"/>
          <w:rFonts w:ascii="Arial" w:hAnsi="Arial" w:cs="Arial"/>
          <w:b w:val="0"/>
          <w:i w:val="0"/>
          <w:color w:val="auto"/>
          <w:sz w:val="20"/>
          <w:szCs w:val="20"/>
        </w:rPr>
        <w:t>HI: 1825.015</w:t>
      </w:r>
      <w:r w:rsidR="002C6CDB" w:rsidRPr="007448F2">
        <w:rPr>
          <w:rFonts w:ascii="Arial" w:hAnsi="Arial" w:cs="Arial"/>
          <w:i w:val="0"/>
          <w:color w:val="auto"/>
          <w:sz w:val="20"/>
          <w:szCs w:val="20"/>
        </w:rPr>
        <w:t xml:space="preserve">), indicating greater vulnerability. Key contributors for children included </w:t>
      </w:r>
      <w:r w:rsidR="002C6CDB" w:rsidRPr="007448F2">
        <w:rPr>
          <w:rStyle w:val="Strong"/>
          <w:rFonts w:ascii="Arial" w:hAnsi="Arial" w:cs="Arial"/>
          <w:b w:val="0"/>
          <w:i w:val="0"/>
          <w:color w:val="auto"/>
          <w:sz w:val="20"/>
          <w:szCs w:val="20"/>
        </w:rPr>
        <w:t xml:space="preserve">Cd (3374.753 as against </w:t>
      </w:r>
      <w:proofErr w:type="spellStart"/>
      <w:r w:rsidR="002C6CDB" w:rsidRPr="007448F2">
        <w:rPr>
          <w:rStyle w:val="Strong"/>
          <w:rFonts w:ascii="Arial" w:hAnsi="Arial" w:cs="Arial"/>
          <w:b w:val="0"/>
          <w:i w:val="0"/>
          <w:color w:val="auto"/>
          <w:sz w:val="20"/>
          <w:szCs w:val="20"/>
        </w:rPr>
        <w:t>RfD</w:t>
      </w:r>
      <w:proofErr w:type="spellEnd"/>
      <w:r w:rsidR="002C6CDB" w:rsidRPr="007448F2">
        <w:rPr>
          <w:rStyle w:val="Strong"/>
          <w:rFonts w:ascii="Arial" w:hAnsi="Arial" w:cs="Arial"/>
          <w:b w:val="0"/>
          <w:i w:val="0"/>
          <w:color w:val="auto"/>
          <w:sz w:val="20"/>
          <w:szCs w:val="20"/>
        </w:rPr>
        <w:t xml:space="preserve"> 0.001)</w:t>
      </w:r>
      <w:r w:rsidR="002C6CDB" w:rsidRPr="007448F2">
        <w:rPr>
          <w:rFonts w:ascii="Arial" w:hAnsi="Arial" w:cs="Arial"/>
          <w:b/>
          <w:i w:val="0"/>
          <w:color w:val="auto"/>
          <w:sz w:val="20"/>
          <w:szCs w:val="20"/>
        </w:rPr>
        <w:t xml:space="preserve">, </w:t>
      </w:r>
      <w:r w:rsidR="002C6CDB" w:rsidRPr="007448F2">
        <w:rPr>
          <w:rStyle w:val="Strong"/>
          <w:rFonts w:ascii="Arial" w:hAnsi="Arial" w:cs="Arial"/>
          <w:b w:val="0"/>
          <w:i w:val="0"/>
          <w:color w:val="auto"/>
          <w:sz w:val="20"/>
          <w:szCs w:val="20"/>
        </w:rPr>
        <w:t xml:space="preserve">Pb (42.633 compared to </w:t>
      </w:r>
      <w:proofErr w:type="spellStart"/>
      <w:r w:rsidR="002C6CDB" w:rsidRPr="007448F2">
        <w:rPr>
          <w:rStyle w:val="Strong"/>
          <w:rFonts w:ascii="Arial" w:hAnsi="Arial" w:cs="Arial"/>
          <w:b w:val="0"/>
          <w:i w:val="0"/>
          <w:color w:val="auto"/>
          <w:sz w:val="20"/>
          <w:szCs w:val="20"/>
        </w:rPr>
        <w:t>RfD</w:t>
      </w:r>
      <w:proofErr w:type="spellEnd"/>
      <w:r w:rsidR="002C6CDB" w:rsidRPr="007448F2">
        <w:rPr>
          <w:rStyle w:val="Strong"/>
          <w:rFonts w:ascii="Arial" w:hAnsi="Arial" w:cs="Arial"/>
          <w:b w:val="0"/>
          <w:i w:val="0"/>
          <w:color w:val="auto"/>
          <w:sz w:val="20"/>
          <w:szCs w:val="20"/>
        </w:rPr>
        <w:t xml:space="preserve"> 0.000)</w:t>
      </w:r>
      <w:r w:rsidR="002C6CDB" w:rsidRPr="007448F2">
        <w:rPr>
          <w:rFonts w:ascii="Arial" w:hAnsi="Arial" w:cs="Arial"/>
          <w:i w:val="0"/>
          <w:color w:val="auto"/>
          <w:sz w:val="20"/>
          <w:szCs w:val="20"/>
        </w:rPr>
        <w:t xml:space="preserve">, and </w:t>
      </w:r>
      <w:r w:rsidR="002C6CDB" w:rsidRPr="007448F2">
        <w:rPr>
          <w:rStyle w:val="Strong"/>
          <w:rFonts w:ascii="Arial" w:hAnsi="Arial" w:cs="Arial"/>
          <w:b w:val="0"/>
          <w:i w:val="0"/>
          <w:color w:val="auto"/>
          <w:sz w:val="20"/>
          <w:szCs w:val="20"/>
        </w:rPr>
        <w:t xml:space="preserve">Se (13.653 relative to </w:t>
      </w:r>
      <w:proofErr w:type="spellStart"/>
      <w:r w:rsidR="002C6CDB" w:rsidRPr="007448F2">
        <w:rPr>
          <w:rStyle w:val="Strong"/>
          <w:rFonts w:ascii="Arial" w:hAnsi="Arial" w:cs="Arial"/>
          <w:b w:val="0"/>
          <w:i w:val="0"/>
          <w:color w:val="auto"/>
          <w:sz w:val="20"/>
          <w:szCs w:val="20"/>
        </w:rPr>
        <w:t>RfD</w:t>
      </w:r>
      <w:proofErr w:type="spellEnd"/>
      <w:r w:rsidR="002C6CDB" w:rsidRPr="007448F2">
        <w:rPr>
          <w:rStyle w:val="Strong"/>
          <w:rFonts w:ascii="Arial" w:hAnsi="Arial" w:cs="Arial"/>
          <w:b w:val="0"/>
          <w:i w:val="0"/>
          <w:color w:val="auto"/>
          <w:sz w:val="20"/>
          <w:szCs w:val="20"/>
        </w:rPr>
        <w:t xml:space="preserve"> 0.001)</w:t>
      </w:r>
      <w:r w:rsidR="002C6CDB" w:rsidRPr="007448F2">
        <w:rPr>
          <w:rFonts w:ascii="Arial" w:hAnsi="Arial" w:cs="Arial"/>
          <w:i w:val="0"/>
          <w:color w:val="auto"/>
          <w:sz w:val="20"/>
          <w:szCs w:val="20"/>
        </w:rPr>
        <w:t xml:space="preserve">, all exceeding safe thresholds. Adults showed elevated exposure mainly from </w:t>
      </w:r>
      <w:r w:rsidR="002C6CDB" w:rsidRPr="007448F2">
        <w:rPr>
          <w:rStyle w:val="Strong"/>
          <w:rFonts w:ascii="Arial" w:hAnsi="Arial" w:cs="Arial"/>
          <w:b w:val="0"/>
          <w:i w:val="0"/>
          <w:color w:val="auto"/>
          <w:sz w:val="20"/>
          <w:szCs w:val="20"/>
        </w:rPr>
        <w:t xml:space="preserve">Ca (1343.669, N/A </w:t>
      </w:r>
      <w:proofErr w:type="spellStart"/>
      <w:r w:rsidR="002C6CDB" w:rsidRPr="007448F2">
        <w:rPr>
          <w:rStyle w:val="Strong"/>
          <w:rFonts w:ascii="Arial" w:hAnsi="Arial" w:cs="Arial"/>
          <w:b w:val="0"/>
          <w:i w:val="0"/>
          <w:color w:val="auto"/>
          <w:sz w:val="20"/>
          <w:szCs w:val="20"/>
        </w:rPr>
        <w:t>RfD</w:t>
      </w:r>
      <w:proofErr w:type="spellEnd"/>
      <w:r w:rsidR="002C6CDB" w:rsidRPr="007448F2">
        <w:rPr>
          <w:rStyle w:val="Strong"/>
          <w:rFonts w:ascii="Arial" w:hAnsi="Arial" w:cs="Arial"/>
          <w:b w:val="0"/>
          <w:i w:val="0"/>
          <w:color w:val="auto"/>
          <w:sz w:val="20"/>
          <w:szCs w:val="20"/>
        </w:rPr>
        <w:t>)</w:t>
      </w:r>
      <w:r w:rsidR="002C6CDB" w:rsidRPr="007448F2">
        <w:rPr>
          <w:rFonts w:ascii="Arial" w:hAnsi="Arial" w:cs="Arial"/>
          <w:b/>
          <w:i w:val="0"/>
          <w:color w:val="auto"/>
          <w:sz w:val="20"/>
          <w:szCs w:val="20"/>
        </w:rPr>
        <w:t xml:space="preserve">, </w:t>
      </w:r>
      <w:r w:rsidR="002C6CDB" w:rsidRPr="007448F2">
        <w:rPr>
          <w:rStyle w:val="Strong"/>
          <w:rFonts w:ascii="Arial" w:hAnsi="Arial" w:cs="Arial"/>
          <w:b w:val="0"/>
          <w:i w:val="0"/>
          <w:color w:val="auto"/>
          <w:sz w:val="20"/>
          <w:szCs w:val="20"/>
        </w:rPr>
        <w:t xml:space="preserve">K (415.681, N/A </w:t>
      </w:r>
      <w:proofErr w:type="spellStart"/>
      <w:r w:rsidR="002C6CDB" w:rsidRPr="007448F2">
        <w:rPr>
          <w:rStyle w:val="Strong"/>
          <w:rFonts w:ascii="Arial" w:hAnsi="Arial" w:cs="Arial"/>
          <w:b w:val="0"/>
          <w:i w:val="0"/>
          <w:color w:val="auto"/>
          <w:sz w:val="20"/>
          <w:szCs w:val="20"/>
        </w:rPr>
        <w:t>RfD</w:t>
      </w:r>
      <w:proofErr w:type="spellEnd"/>
      <w:r w:rsidR="002C6CDB" w:rsidRPr="00A17A4F">
        <w:rPr>
          <w:rStyle w:val="Strong"/>
          <w:rFonts w:ascii="Arial" w:hAnsi="Arial" w:cs="Arial"/>
          <w:b w:val="0"/>
          <w:i w:val="0"/>
          <w:color w:val="auto"/>
          <w:sz w:val="20"/>
          <w:szCs w:val="20"/>
        </w:rPr>
        <w:t>)</w:t>
      </w:r>
      <w:r w:rsidR="002C6CDB" w:rsidRPr="00A17A4F">
        <w:rPr>
          <w:rFonts w:ascii="Arial" w:hAnsi="Arial" w:cs="Arial"/>
          <w:b/>
          <w:i w:val="0"/>
          <w:color w:val="auto"/>
          <w:sz w:val="20"/>
          <w:szCs w:val="20"/>
        </w:rPr>
        <w:t>,</w:t>
      </w:r>
      <w:r w:rsidR="002C6CDB" w:rsidRPr="007448F2">
        <w:rPr>
          <w:rFonts w:ascii="Arial" w:hAnsi="Arial" w:cs="Arial"/>
          <w:i w:val="0"/>
          <w:color w:val="auto"/>
          <w:sz w:val="20"/>
          <w:szCs w:val="20"/>
        </w:rPr>
        <w:t xml:space="preserve"> and </w:t>
      </w:r>
      <w:r w:rsidR="002C6CDB" w:rsidRPr="007448F2">
        <w:rPr>
          <w:rStyle w:val="Strong"/>
          <w:rFonts w:ascii="Arial" w:hAnsi="Arial" w:cs="Arial"/>
          <w:b w:val="0"/>
          <w:i w:val="0"/>
          <w:color w:val="auto"/>
          <w:sz w:val="20"/>
          <w:szCs w:val="20"/>
        </w:rPr>
        <w:t xml:space="preserve">Ba (26.314 </w:t>
      </w:r>
      <w:r w:rsidR="002C6CDB" w:rsidRPr="007448F2">
        <w:rPr>
          <w:rStyle w:val="Strong"/>
          <w:rFonts w:ascii="Arial" w:hAnsi="Arial" w:cs="Arial"/>
          <w:b w:val="0"/>
          <w:i w:val="0"/>
          <w:color w:val="auto"/>
          <w:sz w:val="20"/>
          <w:szCs w:val="20"/>
        </w:rPr>
        <w:lastRenderedPageBreak/>
        <w:t xml:space="preserve">against </w:t>
      </w:r>
      <w:proofErr w:type="spellStart"/>
      <w:r w:rsidR="002C6CDB" w:rsidRPr="007448F2">
        <w:rPr>
          <w:rStyle w:val="Strong"/>
          <w:rFonts w:ascii="Arial" w:hAnsi="Arial" w:cs="Arial"/>
          <w:b w:val="0"/>
          <w:i w:val="0"/>
          <w:color w:val="auto"/>
          <w:sz w:val="20"/>
          <w:szCs w:val="20"/>
        </w:rPr>
        <w:t>RfD</w:t>
      </w:r>
      <w:proofErr w:type="spellEnd"/>
      <w:r w:rsidR="002C6CDB" w:rsidRPr="007448F2">
        <w:rPr>
          <w:rStyle w:val="Strong"/>
          <w:rFonts w:ascii="Arial" w:hAnsi="Arial" w:cs="Arial"/>
          <w:b w:val="0"/>
          <w:i w:val="0"/>
          <w:color w:val="auto"/>
          <w:sz w:val="20"/>
          <w:szCs w:val="20"/>
        </w:rPr>
        <w:t xml:space="preserve"> 0.030</w:t>
      </w:r>
      <w:r w:rsidR="002C6CDB" w:rsidRPr="00A17A4F">
        <w:rPr>
          <w:rStyle w:val="Strong"/>
          <w:rFonts w:ascii="Arial" w:hAnsi="Arial" w:cs="Arial"/>
          <w:b w:val="0"/>
          <w:i w:val="0"/>
          <w:color w:val="auto"/>
          <w:sz w:val="20"/>
          <w:szCs w:val="20"/>
        </w:rPr>
        <w:t>)</w:t>
      </w:r>
      <w:r w:rsidR="002C6CDB" w:rsidRPr="007448F2">
        <w:rPr>
          <w:rFonts w:ascii="Arial" w:hAnsi="Arial" w:cs="Arial"/>
          <w:i w:val="0"/>
          <w:color w:val="auto"/>
          <w:sz w:val="20"/>
          <w:szCs w:val="20"/>
        </w:rPr>
        <w:t>. Generally</w:t>
      </w:r>
      <w:r w:rsidR="002C6CDB" w:rsidRPr="007448F2">
        <w:rPr>
          <w:rFonts w:ascii="Arial" w:hAnsi="Arial" w:cs="Arial"/>
          <w:b/>
          <w:i w:val="0"/>
          <w:color w:val="auto"/>
          <w:sz w:val="20"/>
          <w:szCs w:val="20"/>
        </w:rPr>
        <w:t xml:space="preserve">, </w:t>
      </w:r>
      <w:r w:rsidR="002C6CDB" w:rsidRPr="007448F2">
        <w:rPr>
          <w:rStyle w:val="Strong"/>
          <w:rFonts w:ascii="Arial" w:hAnsi="Arial" w:cs="Arial"/>
          <w:b w:val="0"/>
          <w:i w:val="0"/>
          <w:color w:val="auto"/>
          <w:sz w:val="20"/>
          <w:szCs w:val="20"/>
        </w:rPr>
        <w:t>Cd and Pb posed the most critical risks</w:t>
      </w:r>
      <w:r w:rsidR="002C6CDB" w:rsidRPr="007448F2">
        <w:rPr>
          <w:rFonts w:ascii="Arial" w:hAnsi="Arial" w:cs="Arial"/>
          <w:i w:val="0"/>
          <w:color w:val="auto"/>
          <w:sz w:val="20"/>
          <w:szCs w:val="20"/>
        </w:rPr>
        <w:t>, especially for children, while Al, Cr, Mn, and Cu were within or near reference limits.</w:t>
      </w:r>
    </w:p>
    <w:p w14:paraId="71B02BD2" w14:textId="77777777" w:rsidR="009435A0" w:rsidRDefault="009435A0" w:rsidP="002C6CDB">
      <w:pPr>
        <w:pStyle w:val="Caption"/>
        <w:keepNext/>
        <w:rPr>
          <w:rFonts w:ascii="Arial" w:hAnsi="Arial" w:cs="Arial"/>
          <w:i w:val="0"/>
          <w:iCs w:val="0"/>
          <w:color w:val="auto"/>
          <w:sz w:val="20"/>
          <w:szCs w:val="20"/>
        </w:rPr>
      </w:pPr>
    </w:p>
    <w:p w14:paraId="0E8E0E5A" w14:textId="77777777" w:rsidR="002C6CDB" w:rsidRPr="009435A0" w:rsidRDefault="002C6CDB" w:rsidP="002C6CDB">
      <w:pPr>
        <w:pStyle w:val="Caption"/>
        <w:keepNext/>
        <w:rPr>
          <w:rFonts w:ascii="Arial" w:hAnsi="Arial" w:cs="Arial"/>
          <w:b/>
          <w:i w:val="0"/>
          <w:iCs w:val="0"/>
          <w:color w:val="auto"/>
          <w:sz w:val="20"/>
          <w:szCs w:val="20"/>
        </w:rPr>
      </w:pPr>
      <w:r w:rsidRPr="009435A0">
        <w:rPr>
          <w:rFonts w:ascii="Arial" w:hAnsi="Arial" w:cs="Arial"/>
          <w:b/>
          <w:i w:val="0"/>
          <w:iCs w:val="0"/>
          <w:color w:val="auto"/>
          <w:sz w:val="20"/>
          <w:szCs w:val="20"/>
        </w:rPr>
        <w:t xml:space="preserve">Table </w:t>
      </w:r>
      <w:r w:rsidRPr="009435A0">
        <w:rPr>
          <w:rFonts w:ascii="Arial" w:hAnsi="Arial" w:cs="Arial"/>
          <w:b/>
          <w:i w:val="0"/>
          <w:iCs w:val="0"/>
          <w:color w:val="auto"/>
          <w:sz w:val="20"/>
          <w:szCs w:val="20"/>
        </w:rPr>
        <w:fldChar w:fldCharType="begin"/>
      </w:r>
      <w:r w:rsidRPr="009435A0">
        <w:rPr>
          <w:rFonts w:ascii="Arial" w:hAnsi="Arial" w:cs="Arial"/>
          <w:b/>
          <w:i w:val="0"/>
          <w:iCs w:val="0"/>
          <w:color w:val="auto"/>
          <w:sz w:val="20"/>
          <w:szCs w:val="20"/>
        </w:rPr>
        <w:instrText xml:space="preserve"> SEQ Table \* ARABIC </w:instrText>
      </w:r>
      <w:r w:rsidRPr="009435A0">
        <w:rPr>
          <w:rFonts w:ascii="Arial" w:hAnsi="Arial" w:cs="Arial"/>
          <w:b/>
          <w:i w:val="0"/>
          <w:iCs w:val="0"/>
          <w:color w:val="auto"/>
          <w:sz w:val="20"/>
          <w:szCs w:val="20"/>
        </w:rPr>
        <w:fldChar w:fldCharType="separate"/>
      </w:r>
      <w:r w:rsidRPr="009435A0">
        <w:rPr>
          <w:rFonts w:ascii="Arial" w:hAnsi="Arial" w:cs="Arial"/>
          <w:b/>
          <w:i w:val="0"/>
          <w:iCs w:val="0"/>
          <w:noProof/>
          <w:color w:val="auto"/>
          <w:sz w:val="20"/>
          <w:szCs w:val="20"/>
        </w:rPr>
        <w:t>5</w:t>
      </w:r>
      <w:r w:rsidRPr="009435A0">
        <w:rPr>
          <w:rFonts w:ascii="Arial" w:hAnsi="Arial" w:cs="Arial"/>
          <w:b/>
          <w:i w:val="0"/>
          <w:iCs w:val="0"/>
          <w:color w:val="auto"/>
          <w:sz w:val="20"/>
          <w:szCs w:val="20"/>
        </w:rPr>
        <w:fldChar w:fldCharType="end"/>
      </w:r>
      <w:r w:rsidRPr="009435A0">
        <w:rPr>
          <w:rFonts w:ascii="Arial" w:hAnsi="Arial" w:cs="Arial"/>
          <w:b/>
          <w:i w:val="0"/>
          <w:iCs w:val="0"/>
          <w:color w:val="auto"/>
          <w:sz w:val="20"/>
          <w:szCs w:val="20"/>
        </w:rPr>
        <w:t>:</w:t>
      </w:r>
      <w:r w:rsidR="009435A0" w:rsidRPr="009435A0">
        <w:rPr>
          <w:rFonts w:ascii="Arial" w:hAnsi="Arial" w:cs="Arial"/>
          <w:b/>
          <w:i w:val="0"/>
          <w:iCs w:val="0"/>
          <w:color w:val="auto"/>
          <w:sz w:val="20"/>
          <w:szCs w:val="20"/>
        </w:rPr>
        <w:t xml:space="preserve"> Non-carcinogenic r</w:t>
      </w:r>
      <w:r w:rsidRPr="009435A0">
        <w:rPr>
          <w:rFonts w:ascii="Arial" w:hAnsi="Arial" w:cs="Arial"/>
          <w:b/>
          <w:i w:val="0"/>
          <w:iCs w:val="0"/>
          <w:color w:val="auto"/>
          <w:sz w:val="20"/>
          <w:szCs w:val="20"/>
        </w:rPr>
        <w:t>isk (HQ and HI)</w:t>
      </w:r>
    </w:p>
    <w:tbl>
      <w:tblPr>
        <w:tblStyle w:val="PlainTable2"/>
        <w:tblW w:w="6240" w:type="dxa"/>
        <w:jc w:val="center"/>
        <w:tblLook w:val="06A0" w:firstRow="1" w:lastRow="0" w:firstColumn="1" w:lastColumn="0" w:noHBand="1" w:noVBand="1"/>
      </w:tblPr>
      <w:tblGrid>
        <w:gridCol w:w="1560"/>
        <w:gridCol w:w="1560"/>
        <w:gridCol w:w="1560"/>
        <w:gridCol w:w="1560"/>
      </w:tblGrid>
      <w:tr w:rsidR="002C6CDB" w:rsidRPr="00DC4B79" w14:paraId="2BB13170" w14:textId="77777777" w:rsidTr="006F0D2F">
        <w:trPr>
          <w:cnfStyle w:val="100000000000" w:firstRow="1" w:lastRow="0" w:firstColumn="0" w:lastColumn="0" w:oddVBand="0" w:evenVBand="0" w:oddHBand="0"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7AC95E4B" w14:textId="77777777" w:rsidR="002C6CDB" w:rsidRPr="00DC4B79" w:rsidRDefault="002C6CDB" w:rsidP="006F0D2F">
            <w:pPr>
              <w:spacing w:line="360" w:lineRule="auto"/>
              <w:jc w:val="center"/>
              <w:rPr>
                <w:rFonts w:ascii="Arial" w:hAnsi="Arial" w:cs="Arial"/>
                <w:color w:val="000000" w:themeColor="text1"/>
              </w:rPr>
            </w:pPr>
            <w:r w:rsidRPr="00DC4B79">
              <w:rPr>
                <w:rFonts w:ascii="Arial" w:hAnsi="Arial" w:cs="Arial"/>
                <w:color w:val="000000" w:themeColor="text1"/>
              </w:rPr>
              <w:t>Metal</w:t>
            </w:r>
          </w:p>
        </w:tc>
        <w:tc>
          <w:tcPr>
            <w:tcW w:w="1560" w:type="dxa"/>
          </w:tcPr>
          <w:p w14:paraId="1A336E04" w14:textId="77777777" w:rsidR="002C6CDB" w:rsidRPr="00DC4B79" w:rsidRDefault="007448F2" w:rsidP="006F0D2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Adult</w:t>
            </w:r>
          </w:p>
        </w:tc>
        <w:tc>
          <w:tcPr>
            <w:tcW w:w="1560" w:type="dxa"/>
          </w:tcPr>
          <w:p w14:paraId="42105237" w14:textId="77777777" w:rsidR="002C6CDB" w:rsidRPr="00DC4B79" w:rsidRDefault="007448F2" w:rsidP="006F0D2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Children</w:t>
            </w:r>
          </w:p>
        </w:tc>
        <w:tc>
          <w:tcPr>
            <w:tcW w:w="1560" w:type="dxa"/>
          </w:tcPr>
          <w:p w14:paraId="072EDBC1" w14:textId="77777777" w:rsidR="002C6CDB" w:rsidRPr="00DC4B79" w:rsidRDefault="002C6CDB" w:rsidP="006F0D2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proofErr w:type="spellStart"/>
            <w:r w:rsidRPr="00DC4B79">
              <w:rPr>
                <w:rFonts w:ascii="Arial" w:hAnsi="Arial" w:cs="Arial"/>
                <w:color w:val="000000" w:themeColor="text1"/>
              </w:rPr>
              <w:t>RfD</w:t>
            </w:r>
            <w:proofErr w:type="spellEnd"/>
          </w:p>
        </w:tc>
      </w:tr>
      <w:tr w:rsidR="002C6CDB" w:rsidRPr="00DC4B79" w14:paraId="2F6AE93E"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7C2639D"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Ag 328.068</w:t>
            </w:r>
          </w:p>
        </w:tc>
        <w:tc>
          <w:tcPr>
            <w:tcW w:w="1560" w:type="dxa"/>
          </w:tcPr>
          <w:p w14:paraId="07745448"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14D20442"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57FA10FF"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roofErr w:type="spellStart"/>
            <w:r w:rsidRPr="00DC4B79">
              <w:rPr>
                <w:rFonts w:ascii="Arial" w:hAnsi="Arial" w:cs="Arial"/>
                <w:color w:val="000000" w:themeColor="text1"/>
              </w:rPr>
              <w:t>NERfD</w:t>
            </w:r>
            <w:proofErr w:type="spellEnd"/>
          </w:p>
        </w:tc>
      </w:tr>
      <w:tr w:rsidR="002C6CDB" w:rsidRPr="00DC4B79" w14:paraId="63CFF201"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382CADD"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Al 396.152</w:t>
            </w:r>
          </w:p>
        </w:tc>
        <w:tc>
          <w:tcPr>
            <w:tcW w:w="1560" w:type="dxa"/>
          </w:tcPr>
          <w:p w14:paraId="3BAD43DF"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011195B6"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5.920</w:t>
            </w:r>
          </w:p>
        </w:tc>
        <w:tc>
          <w:tcPr>
            <w:tcW w:w="1560" w:type="dxa"/>
          </w:tcPr>
          <w:p w14:paraId="1AA91679"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1.000</w:t>
            </w:r>
          </w:p>
        </w:tc>
      </w:tr>
      <w:tr w:rsidR="002C6CDB" w:rsidRPr="00DC4B79" w14:paraId="633FD3C8"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B83F1BC"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As 193.696</w:t>
            </w:r>
          </w:p>
        </w:tc>
        <w:tc>
          <w:tcPr>
            <w:tcW w:w="1560" w:type="dxa"/>
          </w:tcPr>
          <w:p w14:paraId="4FDD8187"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7FBEF5C6"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5BE7B60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0.000</w:t>
            </w:r>
          </w:p>
        </w:tc>
      </w:tr>
      <w:tr w:rsidR="002C6CDB" w:rsidRPr="00DC4B79" w14:paraId="343A68C3"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22AC8F4D"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Ba 455.403</w:t>
            </w:r>
          </w:p>
        </w:tc>
        <w:tc>
          <w:tcPr>
            <w:tcW w:w="1560" w:type="dxa"/>
          </w:tcPr>
          <w:p w14:paraId="5102492D"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26.314</w:t>
            </w:r>
          </w:p>
        </w:tc>
        <w:tc>
          <w:tcPr>
            <w:tcW w:w="1560" w:type="dxa"/>
          </w:tcPr>
          <w:p w14:paraId="5FBE12C5"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1.228</w:t>
            </w:r>
          </w:p>
        </w:tc>
        <w:tc>
          <w:tcPr>
            <w:tcW w:w="1560" w:type="dxa"/>
          </w:tcPr>
          <w:p w14:paraId="19E2FE17"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0.030</w:t>
            </w:r>
          </w:p>
        </w:tc>
      </w:tr>
      <w:tr w:rsidR="002C6CDB" w:rsidRPr="00DC4B79" w14:paraId="660A5DE7"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FD1C15A"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Be 234.861</w:t>
            </w:r>
          </w:p>
        </w:tc>
        <w:tc>
          <w:tcPr>
            <w:tcW w:w="1560" w:type="dxa"/>
          </w:tcPr>
          <w:p w14:paraId="6CF38298"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54E5E672"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12C68C8B"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0.001</w:t>
            </w:r>
          </w:p>
        </w:tc>
      </w:tr>
      <w:tr w:rsidR="002C6CDB" w:rsidRPr="00DC4B79" w14:paraId="3A483341"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6C1439B"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Ca 396.847</w:t>
            </w:r>
          </w:p>
        </w:tc>
        <w:tc>
          <w:tcPr>
            <w:tcW w:w="1560" w:type="dxa"/>
          </w:tcPr>
          <w:p w14:paraId="2F4B5F3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1343.669</w:t>
            </w:r>
          </w:p>
        </w:tc>
        <w:tc>
          <w:tcPr>
            <w:tcW w:w="1560" w:type="dxa"/>
          </w:tcPr>
          <w:p w14:paraId="79915709"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57C4F718"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N/A</w:t>
            </w:r>
          </w:p>
        </w:tc>
      </w:tr>
      <w:tr w:rsidR="002C6CDB" w:rsidRPr="00DC4B79" w14:paraId="06776D2D"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7EE30ECA"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Cd 214.439</w:t>
            </w:r>
          </w:p>
        </w:tc>
        <w:tc>
          <w:tcPr>
            <w:tcW w:w="1560" w:type="dxa"/>
          </w:tcPr>
          <w:p w14:paraId="67BB54D7"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18B2A6E2"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3374.753</w:t>
            </w:r>
          </w:p>
        </w:tc>
        <w:tc>
          <w:tcPr>
            <w:tcW w:w="1560" w:type="dxa"/>
          </w:tcPr>
          <w:p w14:paraId="18B8D95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0.001</w:t>
            </w:r>
          </w:p>
        </w:tc>
      </w:tr>
      <w:tr w:rsidR="002C6CDB" w:rsidRPr="00DC4B79" w14:paraId="7BB2D0E0"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2EA40727"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Co 238.892</w:t>
            </w:r>
          </w:p>
        </w:tc>
        <w:tc>
          <w:tcPr>
            <w:tcW w:w="1560" w:type="dxa"/>
          </w:tcPr>
          <w:p w14:paraId="65B338A9"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27918EE7"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1623EFCA"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roofErr w:type="spellStart"/>
            <w:r w:rsidRPr="00DC4B79">
              <w:rPr>
                <w:rFonts w:ascii="Arial" w:hAnsi="Arial" w:cs="Arial"/>
                <w:color w:val="000000" w:themeColor="text1"/>
              </w:rPr>
              <w:t>NERfD</w:t>
            </w:r>
            <w:proofErr w:type="spellEnd"/>
          </w:p>
        </w:tc>
      </w:tr>
      <w:tr w:rsidR="002C6CDB" w:rsidRPr="00DC4B79" w14:paraId="1130129D"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16041FEF"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Cr 267.716</w:t>
            </w:r>
          </w:p>
        </w:tc>
        <w:tc>
          <w:tcPr>
            <w:tcW w:w="1560" w:type="dxa"/>
          </w:tcPr>
          <w:p w14:paraId="3749BF5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233EF45B"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2.677</w:t>
            </w:r>
          </w:p>
        </w:tc>
        <w:tc>
          <w:tcPr>
            <w:tcW w:w="1560" w:type="dxa"/>
          </w:tcPr>
          <w:p w14:paraId="413108E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0.003</w:t>
            </w:r>
          </w:p>
        </w:tc>
      </w:tr>
      <w:tr w:rsidR="002C6CDB" w:rsidRPr="00DC4B79" w14:paraId="79E7ED6D"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7C46D272"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Cu 327.395</w:t>
            </w:r>
          </w:p>
        </w:tc>
        <w:tc>
          <w:tcPr>
            <w:tcW w:w="1560" w:type="dxa"/>
          </w:tcPr>
          <w:p w14:paraId="44044F35"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1.401</w:t>
            </w:r>
          </w:p>
        </w:tc>
        <w:tc>
          <w:tcPr>
            <w:tcW w:w="1560" w:type="dxa"/>
          </w:tcPr>
          <w:p w14:paraId="745F7E6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0.392</w:t>
            </w:r>
          </w:p>
        </w:tc>
        <w:tc>
          <w:tcPr>
            <w:tcW w:w="1560" w:type="dxa"/>
          </w:tcPr>
          <w:p w14:paraId="0E80AFE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0.050</w:t>
            </w:r>
          </w:p>
        </w:tc>
      </w:tr>
      <w:tr w:rsidR="002C6CDB" w:rsidRPr="00DC4B79" w14:paraId="0552C74A"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518C729F"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Fe 238.204</w:t>
            </w:r>
          </w:p>
        </w:tc>
        <w:tc>
          <w:tcPr>
            <w:tcW w:w="1560" w:type="dxa"/>
          </w:tcPr>
          <w:p w14:paraId="141619B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25.701</w:t>
            </w:r>
          </w:p>
        </w:tc>
        <w:tc>
          <w:tcPr>
            <w:tcW w:w="1560" w:type="dxa"/>
          </w:tcPr>
          <w:p w14:paraId="2EE4BCFF"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18335BBB"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N/A</w:t>
            </w:r>
          </w:p>
        </w:tc>
      </w:tr>
      <w:tr w:rsidR="002C6CDB" w:rsidRPr="00DC4B79" w14:paraId="388CAE9E"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53B417C1"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Hg 184.887</w:t>
            </w:r>
          </w:p>
        </w:tc>
        <w:tc>
          <w:tcPr>
            <w:tcW w:w="1560" w:type="dxa"/>
          </w:tcPr>
          <w:p w14:paraId="3F0037F5"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066F7A9D"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7DBF8CE2"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0.000</w:t>
            </w:r>
          </w:p>
        </w:tc>
      </w:tr>
      <w:tr w:rsidR="002C6CDB" w:rsidRPr="00DC4B79" w14:paraId="67CCA90C"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0813A843"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K 766.491</w:t>
            </w:r>
          </w:p>
        </w:tc>
        <w:tc>
          <w:tcPr>
            <w:tcW w:w="1560" w:type="dxa"/>
          </w:tcPr>
          <w:p w14:paraId="752AC30A"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415.681</w:t>
            </w:r>
          </w:p>
        </w:tc>
        <w:tc>
          <w:tcPr>
            <w:tcW w:w="1560" w:type="dxa"/>
          </w:tcPr>
          <w:p w14:paraId="04895963"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2436DD18"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N/A</w:t>
            </w:r>
          </w:p>
        </w:tc>
      </w:tr>
      <w:tr w:rsidR="002C6CDB" w:rsidRPr="00DC4B79" w14:paraId="3F2A0E80"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17E2E91"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Mg 279.553</w:t>
            </w:r>
          </w:p>
        </w:tc>
        <w:tc>
          <w:tcPr>
            <w:tcW w:w="1560" w:type="dxa"/>
          </w:tcPr>
          <w:p w14:paraId="50CD3828"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6BF03B4F"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7A202B4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N/A</w:t>
            </w:r>
          </w:p>
        </w:tc>
      </w:tr>
      <w:tr w:rsidR="002C6CDB" w:rsidRPr="00DC4B79" w14:paraId="0FA2EC58"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B7B2322"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Mn 257.610</w:t>
            </w:r>
          </w:p>
        </w:tc>
        <w:tc>
          <w:tcPr>
            <w:tcW w:w="1560" w:type="dxa"/>
          </w:tcPr>
          <w:p w14:paraId="4DFFB90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6669132F"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1.688</w:t>
            </w:r>
          </w:p>
        </w:tc>
        <w:tc>
          <w:tcPr>
            <w:tcW w:w="1560" w:type="dxa"/>
          </w:tcPr>
          <w:p w14:paraId="6811D846"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0.140</w:t>
            </w:r>
          </w:p>
        </w:tc>
      </w:tr>
      <w:tr w:rsidR="002C6CDB" w:rsidRPr="00DC4B79" w14:paraId="76793557"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7851A98F"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Na 588.995</w:t>
            </w:r>
          </w:p>
        </w:tc>
        <w:tc>
          <w:tcPr>
            <w:tcW w:w="1560" w:type="dxa"/>
          </w:tcPr>
          <w:p w14:paraId="6FE2B8A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67D1BEB2"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748D9425"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N/A</w:t>
            </w:r>
          </w:p>
        </w:tc>
      </w:tr>
      <w:tr w:rsidR="002C6CDB" w:rsidRPr="00DC4B79" w14:paraId="686470CC"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23004C02"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Ni 216.555</w:t>
            </w:r>
          </w:p>
        </w:tc>
        <w:tc>
          <w:tcPr>
            <w:tcW w:w="1560" w:type="dxa"/>
          </w:tcPr>
          <w:p w14:paraId="5D70B6E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48249A86"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0.064</w:t>
            </w:r>
          </w:p>
        </w:tc>
        <w:tc>
          <w:tcPr>
            <w:tcW w:w="1560" w:type="dxa"/>
          </w:tcPr>
          <w:p w14:paraId="3F48D6C7"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0.020</w:t>
            </w:r>
          </w:p>
        </w:tc>
      </w:tr>
      <w:tr w:rsidR="002C6CDB" w:rsidRPr="00DC4B79" w14:paraId="0D7944F0"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70484083"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Pb 220.353</w:t>
            </w:r>
          </w:p>
        </w:tc>
        <w:tc>
          <w:tcPr>
            <w:tcW w:w="1560" w:type="dxa"/>
          </w:tcPr>
          <w:p w14:paraId="1EDFCBD7"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0.137</w:t>
            </w:r>
          </w:p>
        </w:tc>
        <w:tc>
          <w:tcPr>
            <w:tcW w:w="1560" w:type="dxa"/>
          </w:tcPr>
          <w:p w14:paraId="0A9BC077"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42.633</w:t>
            </w:r>
          </w:p>
        </w:tc>
        <w:tc>
          <w:tcPr>
            <w:tcW w:w="1560" w:type="dxa"/>
          </w:tcPr>
          <w:p w14:paraId="1433420A"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0.000</w:t>
            </w:r>
          </w:p>
        </w:tc>
      </w:tr>
      <w:tr w:rsidR="002C6CDB" w:rsidRPr="00DC4B79" w14:paraId="09E19366"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005673B9"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Se 196.026</w:t>
            </w:r>
          </w:p>
        </w:tc>
        <w:tc>
          <w:tcPr>
            <w:tcW w:w="1560" w:type="dxa"/>
          </w:tcPr>
          <w:p w14:paraId="0FA22D18"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4.876</w:t>
            </w:r>
          </w:p>
        </w:tc>
        <w:tc>
          <w:tcPr>
            <w:tcW w:w="1560" w:type="dxa"/>
          </w:tcPr>
          <w:p w14:paraId="5BA89DA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13.653</w:t>
            </w:r>
          </w:p>
        </w:tc>
        <w:tc>
          <w:tcPr>
            <w:tcW w:w="1560" w:type="dxa"/>
          </w:tcPr>
          <w:p w14:paraId="6EB3FC43"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0.001</w:t>
            </w:r>
          </w:p>
        </w:tc>
      </w:tr>
      <w:tr w:rsidR="002C6CDB" w:rsidRPr="00DC4B79" w14:paraId="711644FC"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2DE069AD"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V 292.401</w:t>
            </w:r>
          </w:p>
        </w:tc>
        <w:tc>
          <w:tcPr>
            <w:tcW w:w="1560" w:type="dxa"/>
          </w:tcPr>
          <w:p w14:paraId="1542DF7A"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7.236</w:t>
            </w:r>
          </w:p>
        </w:tc>
        <w:tc>
          <w:tcPr>
            <w:tcW w:w="1560" w:type="dxa"/>
          </w:tcPr>
          <w:p w14:paraId="418405B1"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00DB1DE3"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roofErr w:type="spellStart"/>
            <w:r w:rsidRPr="00DC4B79">
              <w:rPr>
                <w:rFonts w:ascii="Arial" w:hAnsi="Arial" w:cs="Arial"/>
                <w:color w:val="000000" w:themeColor="text1"/>
              </w:rPr>
              <w:t>NERfD</w:t>
            </w:r>
            <w:proofErr w:type="spellEnd"/>
          </w:p>
        </w:tc>
      </w:tr>
      <w:tr w:rsidR="002C6CDB" w:rsidRPr="00DC4B79" w14:paraId="6B38B620"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7E61683D"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Zn 213.857</w:t>
            </w:r>
          </w:p>
        </w:tc>
        <w:tc>
          <w:tcPr>
            <w:tcW w:w="1560" w:type="dxa"/>
          </w:tcPr>
          <w:p w14:paraId="79E8D8BA"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74CF5F6A"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0.052</w:t>
            </w:r>
          </w:p>
        </w:tc>
        <w:tc>
          <w:tcPr>
            <w:tcW w:w="1560" w:type="dxa"/>
          </w:tcPr>
          <w:p w14:paraId="528C4B7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0.300</w:t>
            </w:r>
          </w:p>
        </w:tc>
      </w:tr>
      <w:tr w:rsidR="002C6CDB" w:rsidRPr="00DC4B79" w14:paraId="1E0BADA1"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79AFE0E8" w14:textId="77777777" w:rsidR="002C6CDB" w:rsidRPr="00DC4B79" w:rsidRDefault="002C6CDB" w:rsidP="006F0D2F">
            <w:pPr>
              <w:spacing w:line="360" w:lineRule="auto"/>
              <w:jc w:val="center"/>
              <w:rPr>
                <w:rFonts w:ascii="Arial" w:hAnsi="Arial" w:cs="Arial"/>
                <w:b w:val="0"/>
                <w:bCs w:val="0"/>
                <w:color w:val="000000" w:themeColor="text1"/>
              </w:rPr>
            </w:pPr>
            <w:r w:rsidRPr="00DC4B79">
              <w:rPr>
                <w:rFonts w:ascii="Arial" w:hAnsi="Arial" w:cs="Arial"/>
                <w:b w:val="0"/>
                <w:bCs w:val="0"/>
                <w:color w:val="000000" w:themeColor="text1"/>
              </w:rPr>
              <w:t>HI</w:t>
            </w:r>
          </w:p>
        </w:tc>
        <w:tc>
          <w:tcPr>
            <w:tcW w:w="1560" w:type="dxa"/>
          </w:tcPr>
          <w:p w14:paraId="6B542B13"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1825.015</w:t>
            </w:r>
          </w:p>
        </w:tc>
        <w:tc>
          <w:tcPr>
            <w:tcW w:w="1560" w:type="dxa"/>
          </w:tcPr>
          <w:p w14:paraId="17056F6A"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3443.060</w:t>
            </w:r>
          </w:p>
        </w:tc>
        <w:tc>
          <w:tcPr>
            <w:tcW w:w="1560" w:type="dxa"/>
          </w:tcPr>
          <w:p w14:paraId="4690048F"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bl>
    <w:p w14:paraId="4110BE7F" w14:textId="77777777" w:rsidR="002C6CDB" w:rsidRPr="00DC4B79" w:rsidRDefault="002C6CDB" w:rsidP="002C6CDB">
      <w:pPr>
        <w:pStyle w:val="NormalWeb"/>
        <w:spacing w:line="360" w:lineRule="auto"/>
        <w:rPr>
          <w:rFonts w:ascii="Arial" w:hAnsi="Arial" w:cs="Arial"/>
          <w:color w:val="000000" w:themeColor="text1"/>
          <w:sz w:val="20"/>
          <w:szCs w:val="20"/>
        </w:rPr>
      </w:pPr>
    </w:p>
    <w:p w14:paraId="3A68F324" w14:textId="77777777" w:rsidR="002C6CDB" w:rsidRPr="007448F2" w:rsidRDefault="007448F2" w:rsidP="007448F2">
      <w:pPr>
        <w:pStyle w:val="Caption"/>
        <w:keepNext/>
        <w:spacing w:line="276" w:lineRule="auto"/>
        <w:jc w:val="both"/>
        <w:rPr>
          <w:rFonts w:ascii="Arial" w:hAnsi="Arial" w:cs="Arial"/>
          <w:i w:val="0"/>
          <w:iCs w:val="0"/>
          <w:color w:val="auto"/>
          <w:sz w:val="20"/>
          <w:szCs w:val="20"/>
        </w:rPr>
      </w:pPr>
      <w:r w:rsidRPr="007448F2">
        <w:rPr>
          <w:rFonts w:ascii="Arial" w:hAnsi="Arial" w:cs="Arial"/>
          <w:i w:val="0"/>
          <w:iCs w:val="0"/>
          <w:color w:val="auto"/>
          <w:sz w:val="20"/>
          <w:szCs w:val="20"/>
        </w:rPr>
        <w:t xml:space="preserve">Table </w:t>
      </w:r>
      <w:r w:rsidRPr="007448F2">
        <w:rPr>
          <w:rFonts w:ascii="Arial" w:hAnsi="Arial" w:cs="Arial"/>
          <w:i w:val="0"/>
          <w:iCs w:val="0"/>
          <w:color w:val="auto"/>
          <w:sz w:val="20"/>
          <w:szCs w:val="20"/>
        </w:rPr>
        <w:fldChar w:fldCharType="begin"/>
      </w:r>
      <w:r w:rsidRPr="007448F2">
        <w:rPr>
          <w:rFonts w:ascii="Arial" w:hAnsi="Arial" w:cs="Arial"/>
          <w:i w:val="0"/>
          <w:iCs w:val="0"/>
          <w:color w:val="auto"/>
          <w:sz w:val="20"/>
          <w:szCs w:val="20"/>
        </w:rPr>
        <w:instrText xml:space="preserve"> SEQ Table \* ARABIC </w:instrText>
      </w:r>
      <w:r w:rsidRPr="007448F2">
        <w:rPr>
          <w:rFonts w:ascii="Arial" w:hAnsi="Arial" w:cs="Arial"/>
          <w:i w:val="0"/>
          <w:iCs w:val="0"/>
          <w:color w:val="auto"/>
          <w:sz w:val="20"/>
          <w:szCs w:val="20"/>
        </w:rPr>
        <w:fldChar w:fldCharType="separate"/>
      </w:r>
      <w:r w:rsidRPr="007448F2">
        <w:rPr>
          <w:rFonts w:ascii="Arial" w:hAnsi="Arial" w:cs="Arial"/>
          <w:i w:val="0"/>
          <w:iCs w:val="0"/>
          <w:noProof/>
          <w:color w:val="auto"/>
          <w:sz w:val="20"/>
          <w:szCs w:val="20"/>
        </w:rPr>
        <w:t>6</w:t>
      </w:r>
      <w:r w:rsidRPr="007448F2">
        <w:rPr>
          <w:rFonts w:ascii="Arial" w:hAnsi="Arial" w:cs="Arial"/>
          <w:i w:val="0"/>
          <w:iCs w:val="0"/>
          <w:color w:val="auto"/>
          <w:sz w:val="20"/>
          <w:szCs w:val="20"/>
        </w:rPr>
        <w:fldChar w:fldCharType="end"/>
      </w:r>
      <w:r w:rsidRPr="007448F2">
        <w:rPr>
          <w:rFonts w:ascii="Arial" w:hAnsi="Arial" w:cs="Arial"/>
          <w:i w:val="0"/>
          <w:iCs w:val="0"/>
          <w:color w:val="auto"/>
          <w:sz w:val="20"/>
          <w:szCs w:val="20"/>
        </w:rPr>
        <w:t xml:space="preserve"> shows the carcinogenic risk (CR) of heavy metals. </w:t>
      </w:r>
      <w:r w:rsidR="002C6CDB" w:rsidRPr="007448F2">
        <w:rPr>
          <w:rFonts w:ascii="Arial" w:hAnsi="Arial" w:cs="Arial"/>
          <w:i w:val="0"/>
          <w:color w:val="auto"/>
          <w:sz w:val="20"/>
          <w:szCs w:val="20"/>
        </w:rPr>
        <w:t xml:space="preserve">Children generally show higher carcinogenic risk than adults. The most significant contributor is </w:t>
      </w:r>
      <w:r w:rsidR="002C6CDB" w:rsidRPr="007448F2">
        <w:rPr>
          <w:rStyle w:val="Strong"/>
          <w:rFonts w:ascii="Arial" w:hAnsi="Arial" w:cs="Arial"/>
          <w:b w:val="0"/>
          <w:i w:val="0"/>
          <w:color w:val="auto"/>
          <w:sz w:val="20"/>
          <w:szCs w:val="20"/>
        </w:rPr>
        <w:t>Cr (0.329 in children vs. 0.071 in adults, SF = 41.000)</w:t>
      </w:r>
      <w:r w:rsidR="002C6CDB" w:rsidRPr="007448F2">
        <w:rPr>
          <w:rFonts w:ascii="Arial" w:hAnsi="Arial" w:cs="Arial"/>
          <w:b/>
          <w:i w:val="0"/>
          <w:color w:val="auto"/>
          <w:sz w:val="20"/>
          <w:szCs w:val="20"/>
        </w:rPr>
        <w:t xml:space="preserve">, </w:t>
      </w:r>
      <w:r w:rsidR="002C6CDB" w:rsidRPr="007448F2">
        <w:rPr>
          <w:rFonts w:ascii="Arial" w:hAnsi="Arial" w:cs="Arial"/>
          <w:i w:val="0"/>
          <w:color w:val="auto"/>
          <w:sz w:val="20"/>
          <w:szCs w:val="20"/>
        </w:rPr>
        <w:t xml:space="preserve">indicating a strong carcinogenic potential. Moderate risks are observed </w:t>
      </w:r>
      <w:r w:rsidR="002C6CDB" w:rsidRPr="009435A0">
        <w:rPr>
          <w:rFonts w:ascii="Arial" w:hAnsi="Arial" w:cs="Arial"/>
          <w:i w:val="0"/>
          <w:color w:val="auto"/>
          <w:sz w:val="20"/>
          <w:szCs w:val="20"/>
        </w:rPr>
        <w:t xml:space="preserve">for </w:t>
      </w:r>
      <w:r w:rsidR="002C6CDB" w:rsidRPr="009435A0">
        <w:rPr>
          <w:rStyle w:val="Strong"/>
          <w:rFonts w:ascii="Arial" w:hAnsi="Arial" w:cs="Arial"/>
          <w:b w:val="0"/>
          <w:i w:val="0"/>
          <w:color w:val="auto"/>
          <w:sz w:val="20"/>
          <w:szCs w:val="20"/>
        </w:rPr>
        <w:t>Na</w:t>
      </w:r>
      <w:r w:rsidR="002C6CDB" w:rsidRPr="007448F2">
        <w:rPr>
          <w:rStyle w:val="Strong"/>
          <w:rFonts w:ascii="Arial" w:hAnsi="Arial" w:cs="Arial"/>
          <w:b w:val="0"/>
          <w:i w:val="0"/>
          <w:color w:val="auto"/>
          <w:sz w:val="20"/>
          <w:szCs w:val="20"/>
        </w:rPr>
        <w:t xml:space="preserve"> (0.041 in children, 0.009 in adults, SF = 0.840)</w:t>
      </w:r>
      <w:r w:rsidR="002C6CDB" w:rsidRPr="007448F2">
        <w:rPr>
          <w:rFonts w:ascii="Arial" w:hAnsi="Arial" w:cs="Arial"/>
          <w:b/>
          <w:i w:val="0"/>
          <w:color w:val="auto"/>
          <w:sz w:val="20"/>
          <w:szCs w:val="20"/>
        </w:rPr>
        <w:t xml:space="preserve">, </w:t>
      </w:r>
      <w:r w:rsidR="002C6CDB" w:rsidRPr="007448F2">
        <w:rPr>
          <w:rStyle w:val="Strong"/>
          <w:rFonts w:ascii="Arial" w:hAnsi="Arial" w:cs="Arial"/>
          <w:b w:val="0"/>
          <w:i w:val="0"/>
          <w:color w:val="auto"/>
          <w:sz w:val="20"/>
          <w:szCs w:val="20"/>
        </w:rPr>
        <w:t>Al (0.036 in children, 0.008 in adults, SF = 0.006)</w:t>
      </w:r>
      <w:r w:rsidR="002C6CDB" w:rsidRPr="007448F2">
        <w:rPr>
          <w:rFonts w:ascii="Arial" w:hAnsi="Arial" w:cs="Arial"/>
          <w:b/>
          <w:i w:val="0"/>
          <w:color w:val="auto"/>
          <w:sz w:val="20"/>
          <w:szCs w:val="20"/>
        </w:rPr>
        <w:t xml:space="preserve">, </w:t>
      </w:r>
      <w:r w:rsidR="002C6CDB" w:rsidRPr="007448F2">
        <w:rPr>
          <w:rStyle w:val="Strong"/>
          <w:rFonts w:ascii="Arial" w:hAnsi="Arial" w:cs="Arial"/>
          <w:b w:val="0"/>
          <w:i w:val="0"/>
          <w:color w:val="auto"/>
          <w:sz w:val="20"/>
          <w:szCs w:val="20"/>
        </w:rPr>
        <w:t>Cd (0.008 in children, 0.002 in adults, SF = 0.005)</w:t>
      </w:r>
      <w:r w:rsidR="002C6CDB" w:rsidRPr="007448F2">
        <w:rPr>
          <w:rFonts w:ascii="Arial" w:hAnsi="Arial" w:cs="Arial"/>
          <w:i w:val="0"/>
          <w:color w:val="auto"/>
          <w:sz w:val="20"/>
          <w:szCs w:val="20"/>
        </w:rPr>
        <w:t>,</w:t>
      </w:r>
      <w:r w:rsidR="002C6CDB" w:rsidRPr="007448F2">
        <w:rPr>
          <w:rFonts w:ascii="Arial" w:hAnsi="Arial" w:cs="Arial"/>
          <w:b/>
          <w:i w:val="0"/>
          <w:color w:val="auto"/>
          <w:sz w:val="20"/>
          <w:szCs w:val="20"/>
        </w:rPr>
        <w:t xml:space="preserve"> </w:t>
      </w:r>
      <w:r w:rsidR="002C6CDB" w:rsidRPr="007448F2">
        <w:rPr>
          <w:rFonts w:ascii="Arial" w:hAnsi="Arial" w:cs="Arial"/>
          <w:i w:val="0"/>
          <w:color w:val="auto"/>
          <w:sz w:val="20"/>
          <w:szCs w:val="20"/>
        </w:rPr>
        <w:t xml:space="preserve">and </w:t>
      </w:r>
      <w:r w:rsidR="002C6CDB" w:rsidRPr="007448F2">
        <w:rPr>
          <w:rStyle w:val="Strong"/>
          <w:rFonts w:ascii="Arial" w:hAnsi="Arial" w:cs="Arial"/>
          <w:b w:val="0"/>
          <w:i w:val="0"/>
          <w:color w:val="auto"/>
          <w:sz w:val="20"/>
          <w:szCs w:val="20"/>
        </w:rPr>
        <w:t>Mg (0.025 in children, 0.005 in adults, SF = 0.046</w:t>
      </w:r>
      <w:r w:rsidR="002C6CDB" w:rsidRPr="009435A0">
        <w:rPr>
          <w:rStyle w:val="Strong"/>
          <w:rFonts w:ascii="Arial" w:hAnsi="Arial" w:cs="Arial"/>
          <w:b w:val="0"/>
          <w:i w:val="0"/>
          <w:color w:val="auto"/>
          <w:sz w:val="20"/>
          <w:szCs w:val="20"/>
        </w:rPr>
        <w:t>)</w:t>
      </w:r>
      <w:r w:rsidR="002C6CDB" w:rsidRPr="007448F2">
        <w:rPr>
          <w:rFonts w:ascii="Arial" w:hAnsi="Arial" w:cs="Arial"/>
          <w:i w:val="0"/>
          <w:color w:val="auto"/>
          <w:sz w:val="20"/>
          <w:szCs w:val="20"/>
        </w:rPr>
        <w:t xml:space="preserve">. Other metals such as </w:t>
      </w:r>
      <w:r w:rsidR="002C6CDB" w:rsidRPr="007448F2">
        <w:rPr>
          <w:rStyle w:val="Strong"/>
          <w:rFonts w:ascii="Arial" w:hAnsi="Arial" w:cs="Arial"/>
          <w:b w:val="0"/>
          <w:i w:val="0"/>
          <w:color w:val="auto"/>
          <w:sz w:val="20"/>
          <w:szCs w:val="20"/>
        </w:rPr>
        <w:t>Ag (0.001 in children, 0.000in adults, SF</w:t>
      </w:r>
      <w:r w:rsidR="002C6CDB" w:rsidRPr="007448F2">
        <w:rPr>
          <w:rStyle w:val="Strong"/>
          <w:rFonts w:ascii="Arial" w:hAnsi="Arial" w:cs="Arial"/>
          <w:i w:val="0"/>
          <w:color w:val="auto"/>
          <w:sz w:val="20"/>
          <w:szCs w:val="20"/>
        </w:rPr>
        <w:t xml:space="preserve"> </w:t>
      </w:r>
      <w:r w:rsidR="002C6CDB" w:rsidRPr="009435A0">
        <w:rPr>
          <w:rStyle w:val="Strong"/>
          <w:rFonts w:ascii="Arial" w:hAnsi="Arial" w:cs="Arial"/>
          <w:b w:val="0"/>
          <w:i w:val="0"/>
          <w:color w:val="auto"/>
          <w:sz w:val="20"/>
          <w:szCs w:val="20"/>
        </w:rPr>
        <w:t>=</w:t>
      </w:r>
      <w:r w:rsidR="002C6CDB" w:rsidRPr="007448F2">
        <w:rPr>
          <w:rStyle w:val="Strong"/>
          <w:rFonts w:ascii="Arial" w:hAnsi="Arial" w:cs="Arial"/>
          <w:i w:val="0"/>
          <w:color w:val="auto"/>
          <w:sz w:val="20"/>
          <w:szCs w:val="20"/>
        </w:rPr>
        <w:t xml:space="preserve"> </w:t>
      </w:r>
      <w:r w:rsidR="002C6CDB" w:rsidRPr="007448F2">
        <w:rPr>
          <w:rStyle w:val="Strong"/>
          <w:rFonts w:ascii="Arial" w:hAnsi="Arial" w:cs="Arial"/>
          <w:b w:val="0"/>
          <w:i w:val="0"/>
          <w:color w:val="auto"/>
          <w:sz w:val="20"/>
          <w:szCs w:val="20"/>
        </w:rPr>
        <w:t>0.500)</w:t>
      </w:r>
      <w:r w:rsidR="002C6CDB" w:rsidRPr="007448F2">
        <w:rPr>
          <w:rFonts w:ascii="Arial" w:hAnsi="Arial" w:cs="Arial"/>
          <w:i w:val="0"/>
          <w:color w:val="auto"/>
          <w:sz w:val="20"/>
          <w:szCs w:val="20"/>
        </w:rPr>
        <w:t xml:space="preserve"> and </w:t>
      </w:r>
      <w:r w:rsidR="002C6CDB" w:rsidRPr="007448F2">
        <w:rPr>
          <w:rStyle w:val="Strong"/>
          <w:rFonts w:ascii="Arial" w:hAnsi="Arial" w:cs="Arial"/>
          <w:b w:val="0"/>
          <w:i w:val="0"/>
          <w:color w:val="auto"/>
          <w:sz w:val="20"/>
          <w:szCs w:val="20"/>
        </w:rPr>
        <w:t>Ba (0.003 in children, 0.001in adults, SF</w:t>
      </w:r>
      <w:r w:rsidR="002C6CDB" w:rsidRPr="007448F2">
        <w:rPr>
          <w:rStyle w:val="Strong"/>
          <w:rFonts w:ascii="Arial" w:hAnsi="Arial" w:cs="Arial"/>
          <w:i w:val="0"/>
          <w:color w:val="auto"/>
          <w:sz w:val="20"/>
          <w:szCs w:val="20"/>
        </w:rPr>
        <w:t xml:space="preserve"> </w:t>
      </w:r>
      <w:r w:rsidR="002C6CDB" w:rsidRPr="009435A0">
        <w:rPr>
          <w:rStyle w:val="Strong"/>
          <w:rFonts w:ascii="Arial" w:hAnsi="Arial" w:cs="Arial"/>
          <w:b w:val="0"/>
          <w:i w:val="0"/>
          <w:color w:val="auto"/>
          <w:sz w:val="20"/>
          <w:szCs w:val="20"/>
        </w:rPr>
        <w:t>=</w:t>
      </w:r>
      <w:r w:rsidR="002C6CDB" w:rsidRPr="007448F2">
        <w:rPr>
          <w:rStyle w:val="Strong"/>
          <w:rFonts w:ascii="Arial" w:hAnsi="Arial" w:cs="Arial"/>
          <w:i w:val="0"/>
          <w:color w:val="auto"/>
          <w:sz w:val="20"/>
          <w:szCs w:val="20"/>
        </w:rPr>
        <w:t xml:space="preserve"> </w:t>
      </w:r>
      <w:r w:rsidR="002C6CDB" w:rsidRPr="007448F2">
        <w:rPr>
          <w:rStyle w:val="Strong"/>
          <w:rFonts w:ascii="Arial" w:hAnsi="Arial" w:cs="Arial"/>
          <w:b w:val="0"/>
          <w:i w:val="0"/>
          <w:color w:val="auto"/>
          <w:sz w:val="20"/>
          <w:szCs w:val="20"/>
        </w:rPr>
        <w:t>0.070)</w:t>
      </w:r>
      <w:r w:rsidR="002C6CDB" w:rsidRPr="007448F2">
        <w:rPr>
          <w:rFonts w:ascii="Arial" w:hAnsi="Arial" w:cs="Arial"/>
          <w:i w:val="0"/>
          <w:color w:val="auto"/>
          <w:sz w:val="20"/>
          <w:szCs w:val="20"/>
        </w:rPr>
        <w:t xml:space="preserve"> contributed minimally. Several metals (As, Be, Co, Hg, Pb, Se, V, Zn) showed no recorded CR values despite notable slope factors. On the whole, </w:t>
      </w:r>
      <w:r w:rsidR="002C6CDB" w:rsidRPr="007448F2">
        <w:rPr>
          <w:rStyle w:val="Strong"/>
          <w:rFonts w:ascii="Arial" w:hAnsi="Arial" w:cs="Arial"/>
          <w:b w:val="0"/>
          <w:i w:val="0"/>
          <w:color w:val="auto"/>
          <w:sz w:val="20"/>
          <w:szCs w:val="20"/>
        </w:rPr>
        <w:t>Cr dominated the carcinogenic risk profile</w:t>
      </w:r>
      <w:r w:rsidR="002C6CDB" w:rsidRPr="007448F2">
        <w:rPr>
          <w:rFonts w:ascii="Arial" w:hAnsi="Arial" w:cs="Arial"/>
          <w:i w:val="0"/>
          <w:color w:val="auto"/>
          <w:sz w:val="20"/>
          <w:szCs w:val="20"/>
        </w:rPr>
        <w:t xml:space="preserve">, with children being more vulnerable than adults. </w:t>
      </w:r>
      <w:r w:rsidR="002C6CDB" w:rsidRPr="007448F2">
        <w:rPr>
          <w:rFonts w:ascii="Arial" w:hAnsi="Arial" w:cs="Arial"/>
          <w:i w:val="0"/>
          <w:color w:val="auto"/>
          <w:sz w:val="20"/>
          <w:szCs w:val="20"/>
        </w:rPr>
        <w:br w:type="page"/>
      </w:r>
    </w:p>
    <w:p w14:paraId="67448038" w14:textId="77777777" w:rsidR="002C6CDB" w:rsidRPr="00DC4B79" w:rsidRDefault="002C6CDB" w:rsidP="002C6CDB">
      <w:pPr>
        <w:pStyle w:val="Caption"/>
        <w:keepNext/>
        <w:rPr>
          <w:rFonts w:ascii="Arial" w:hAnsi="Arial" w:cs="Arial"/>
          <w:i w:val="0"/>
          <w:iCs w:val="0"/>
          <w:color w:val="auto"/>
          <w:sz w:val="20"/>
          <w:szCs w:val="20"/>
        </w:rPr>
      </w:pPr>
      <w:r w:rsidRPr="00DC4B79">
        <w:rPr>
          <w:rFonts w:ascii="Arial" w:hAnsi="Arial" w:cs="Arial"/>
          <w:i w:val="0"/>
          <w:iCs w:val="0"/>
          <w:color w:val="auto"/>
          <w:sz w:val="20"/>
          <w:szCs w:val="20"/>
        </w:rPr>
        <w:lastRenderedPageBreak/>
        <w:t xml:space="preserve">Table </w:t>
      </w:r>
      <w:r w:rsidRPr="00DC4B79">
        <w:rPr>
          <w:rFonts w:ascii="Arial" w:hAnsi="Arial" w:cs="Arial"/>
          <w:i w:val="0"/>
          <w:iCs w:val="0"/>
          <w:color w:val="auto"/>
          <w:sz w:val="20"/>
          <w:szCs w:val="20"/>
        </w:rPr>
        <w:fldChar w:fldCharType="begin"/>
      </w:r>
      <w:r w:rsidRPr="00DC4B79">
        <w:rPr>
          <w:rFonts w:ascii="Arial" w:hAnsi="Arial" w:cs="Arial"/>
          <w:i w:val="0"/>
          <w:iCs w:val="0"/>
          <w:color w:val="auto"/>
          <w:sz w:val="20"/>
          <w:szCs w:val="20"/>
        </w:rPr>
        <w:instrText xml:space="preserve"> SEQ Table \* ARABIC </w:instrText>
      </w:r>
      <w:r w:rsidRPr="00DC4B79">
        <w:rPr>
          <w:rFonts w:ascii="Arial" w:hAnsi="Arial" w:cs="Arial"/>
          <w:i w:val="0"/>
          <w:iCs w:val="0"/>
          <w:color w:val="auto"/>
          <w:sz w:val="20"/>
          <w:szCs w:val="20"/>
        </w:rPr>
        <w:fldChar w:fldCharType="separate"/>
      </w:r>
      <w:r w:rsidRPr="00DC4B79">
        <w:rPr>
          <w:rFonts w:ascii="Arial" w:hAnsi="Arial" w:cs="Arial"/>
          <w:i w:val="0"/>
          <w:iCs w:val="0"/>
          <w:noProof/>
          <w:color w:val="auto"/>
          <w:sz w:val="20"/>
          <w:szCs w:val="20"/>
        </w:rPr>
        <w:t>6</w:t>
      </w:r>
      <w:r w:rsidRPr="00DC4B79">
        <w:rPr>
          <w:rFonts w:ascii="Arial" w:hAnsi="Arial" w:cs="Arial"/>
          <w:i w:val="0"/>
          <w:iCs w:val="0"/>
          <w:color w:val="auto"/>
          <w:sz w:val="20"/>
          <w:szCs w:val="20"/>
        </w:rPr>
        <w:fldChar w:fldCharType="end"/>
      </w:r>
      <w:r w:rsidRPr="00DC4B79">
        <w:rPr>
          <w:rFonts w:ascii="Arial" w:hAnsi="Arial" w:cs="Arial"/>
          <w:i w:val="0"/>
          <w:iCs w:val="0"/>
          <w:color w:val="auto"/>
          <w:sz w:val="20"/>
          <w:szCs w:val="20"/>
        </w:rPr>
        <w:t>: Carcinogenic Risk (CR) of Heavy Metals</w:t>
      </w:r>
    </w:p>
    <w:tbl>
      <w:tblPr>
        <w:tblStyle w:val="PlainTable2"/>
        <w:tblW w:w="6240" w:type="dxa"/>
        <w:jc w:val="center"/>
        <w:tblLook w:val="06A0" w:firstRow="1" w:lastRow="0" w:firstColumn="1" w:lastColumn="0" w:noHBand="1" w:noVBand="1"/>
      </w:tblPr>
      <w:tblGrid>
        <w:gridCol w:w="1560"/>
        <w:gridCol w:w="1560"/>
        <w:gridCol w:w="1560"/>
        <w:gridCol w:w="1560"/>
      </w:tblGrid>
      <w:tr w:rsidR="002C6CDB" w:rsidRPr="00DC4B79" w14:paraId="7C82A6AC" w14:textId="77777777" w:rsidTr="006F0D2F">
        <w:trPr>
          <w:cnfStyle w:val="100000000000" w:firstRow="1" w:lastRow="0" w:firstColumn="0" w:lastColumn="0" w:oddVBand="0" w:evenVBand="0" w:oddHBand="0"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49F7E3DF" w14:textId="77777777" w:rsidR="002C6CDB" w:rsidRPr="00DC4B79" w:rsidRDefault="002C6CDB" w:rsidP="006F0D2F">
            <w:pPr>
              <w:spacing w:line="360" w:lineRule="auto"/>
              <w:jc w:val="center"/>
              <w:rPr>
                <w:rFonts w:ascii="Arial" w:hAnsi="Arial" w:cs="Arial"/>
                <w:color w:val="000000" w:themeColor="text1"/>
              </w:rPr>
            </w:pPr>
            <w:r w:rsidRPr="00DC4B79">
              <w:rPr>
                <w:rFonts w:ascii="Arial" w:hAnsi="Arial" w:cs="Arial"/>
                <w:color w:val="000000" w:themeColor="text1"/>
              </w:rPr>
              <w:t>Metal</w:t>
            </w:r>
          </w:p>
        </w:tc>
        <w:tc>
          <w:tcPr>
            <w:tcW w:w="1560" w:type="dxa"/>
          </w:tcPr>
          <w:p w14:paraId="45EDC1B2" w14:textId="77777777" w:rsidR="002C6CDB" w:rsidRPr="00DC4B79" w:rsidRDefault="002C6CDB" w:rsidP="006F0D2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Adult</w:t>
            </w:r>
          </w:p>
        </w:tc>
        <w:tc>
          <w:tcPr>
            <w:tcW w:w="1560" w:type="dxa"/>
          </w:tcPr>
          <w:p w14:paraId="4D2CA1C7" w14:textId="77777777" w:rsidR="002C6CDB" w:rsidRPr="00DC4B79" w:rsidRDefault="002C6CDB" w:rsidP="006F0D2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Children</w:t>
            </w:r>
          </w:p>
        </w:tc>
        <w:tc>
          <w:tcPr>
            <w:tcW w:w="1560" w:type="dxa"/>
          </w:tcPr>
          <w:p w14:paraId="44474082" w14:textId="77777777" w:rsidR="002C6CDB" w:rsidRPr="00DC4B79" w:rsidRDefault="002C6CDB" w:rsidP="006F0D2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SF</w:t>
            </w:r>
          </w:p>
        </w:tc>
      </w:tr>
      <w:tr w:rsidR="002C6CDB" w:rsidRPr="00DC4B79" w14:paraId="23722D09"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B410075"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Ag 328.068</w:t>
            </w:r>
          </w:p>
        </w:tc>
        <w:tc>
          <w:tcPr>
            <w:tcW w:w="1560" w:type="dxa"/>
          </w:tcPr>
          <w:p w14:paraId="47BB589A"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0.000</w:t>
            </w:r>
          </w:p>
        </w:tc>
        <w:tc>
          <w:tcPr>
            <w:tcW w:w="1560" w:type="dxa"/>
          </w:tcPr>
          <w:p w14:paraId="7942EC73"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0.001</w:t>
            </w:r>
          </w:p>
        </w:tc>
        <w:tc>
          <w:tcPr>
            <w:tcW w:w="1560" w:type="dxa"/>
          </w:tcPr>
          <w:p w14:paraId="1775F62F"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0.500</w:t>
            </w:r>
          </w:p>
        </w:tc>
      </w:tr>
      <w:tr w:rsidR="002C6CDB" w:rsidRPr="00DC4B79" w14:paraId="55F5D8D9"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6E368271"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Al 396.152</w:t>
            </w:r>
          </w:p>
        </w:tc>
        <w:tc>
          <w:tcPr>
            <w:tcW w:w="1560" w:type="dxa"/>
          </w:tcPr>
          <w:p w14:paraId="3C371087"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0.008</w:t>
            </w:r>
          </w:p>
        </w:tc>
        <w:tc>
          <w:tcPr>
            <w:tcW w:w="1560" w:type="dxa"/>
          </w:tcPr>
          <w:p w14:paraId="2781DF0A"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0.036</w:t>
            </w:r>
          </w:p>
        </w:tc>
        <w:tc>
          <w:tcPr>
            <w:tcW w:w="1560" w:type="dxa"/>
          </w:tcPr>
          <w:p w14:paraId="3C564DDD"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0.006</w:t>
            </w:r>
          </w:p>
        </w:tc>
      </w:tr>
      <w:tr w:rsidR="002C6CDB" w:rsidRPr="00DC4B79" w14:paraId="717301F1"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538CD433"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As 193.696</w:t>
            </w:r>
          </w:p>
        </w:tc>
        <w:tc>
          <w:tcPr>
            <w:tcW w:w="1560" w:type="dxa"/>
          </w:tcPr>
          <w:p w14:paraId="5CB57A6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39266F88"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12917645"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1.500</w:t>
            </w:r>
          </w:p>
        </w:tc>
      </w:tr>
      <w:tr w:rsidR="002C6CDB" w:rsidRPr="00DC4B79" w14:paraId="03B43B2E"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641E6253"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Ba 455.403</w:t>
            </w:r>
          </w:p>
        </w:tc>
        <w:tc>
          <w:tcPr>
            <w:tcW w:w="1560" w:type="dxa"/>
          </w:tcPr>
          <w:p w14:paraId="7CAEFA0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0.001</w:t>
            </w:r>
          </w:p>
        </w:tc>
        <w:tc>
          <w:tcPr>
            <w:tcW w:w="1560" w:type="dxa"/>
          </w:tcPr>
          <w:p w14:paraId="5FBA72E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0.003</w:t>
            </w:r>
          </w:p>
        </w:tc>
        <w:tc>
          <w:tcPr>
            <w:tcW w:w="1560" w:type="dxa"/>
          </w:tcPr>
          <w:p w14:paraId="0ED7B129"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0.070</w:t>
            </w:r>
          </w:p>
        </w:tc>
      </w:tr>
      <w:tr w:rsidR="002C6CDB" w:rsidRPr="00DC4B79" w14:paraId="68645FBA"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44EF98D"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Be 234.861</w:t>
            </w:r>
          </w:p>
        </w:tc>
        <w:tc>
          <w:tcPr>
            <w:tcW w:w="1560" w:type="dxa"/>
          </w:tcPr>
          <w:p w14:paraId="54C865A5"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26F05976"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6DA4DAA2"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0.015</w:t>
            </w:r>
          </w:p>
        </w:tc>
      </w:tr>
      <w:tr w:rsidR="002C6CDB" w:rsidRPr="00DC4B79" w14:paraId="1069AFD5"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6DB94B8B"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Ca 396.847</w:t>
            </w:r>
          </w:p>
        </w:tc>
        <w:tc>
          <w:tcPr>
            <w:tcW w:w="1560" w:type="dxa"/>
          </w:tcPr>
          <w:p w14:paraId="7893FFB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60C50E3A"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02BFBAB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2C6CDB" w:rsidRPr="00DC4B79" w14:paraId="40BA7262"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18B3335"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Cd 214.439</w:t>
            </w:r>
          </w:p>
        </w:tc>
        <w:tc>
          <w:tcPr>
            <w:tcW w:w="1560" w:type="dxa"/>
          </w:tcPr>
          <w:p w14:paraId="143844E9"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0.002</w:t>
            </w:r>
          </w:p>
        </w:tc>
        <w:tc>
          <w:tcPr>
            <w:tcW w:w="1560" w:type="dxa"/>
          </w:tcPr>
          <w:p w14:paraId="4DB84B27"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0.008</w:t>
            </w:r>
          </w:p>
        </w:tc>
        <w:tc>
          <w:tcPr>
            <w:tcW w:w="1560" w:type="dxa"/>
          </w:tcPr>
          <w:p w14:paraId="3227ECF6"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0.005</w:t>
            </w:r>
          </w:p>
        </w:tc>
      </w:tr>
      <w:tr w:rsidR="002C6CDB" w:rsidRPr="00DC4B79" w14:paraId="5D34A919"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BC2EB59"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Co 238.892</w:t>
            </w:r>
          </w:p>
        </w:tc>
        <w:tc>
          <w:tcPr>
            <w:tcW w:w="1560" w:type="dxa"/>
          </w:tcPr>
          <w:p w14:paraId="0FCB95B1"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103A7168"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2D1D6EE9"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0.010</w:t>
            </w:r>
          </w:p>
        </w:tc>
      </w:tr>
      <w:tr w:rsidR="002C6CDB" w:rsidRPr="00DC4B79" w14:paraId="7FBB0781"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84816B9"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Cr 267.716</w:t>
            </w:r>
          </w:p>
        </w:tc>
        <w:tc>
          <w:tcPr>
            <w:tcW w:w="1560" w:type="dxa"/>
          </w:tcPr>
          <w:p w14:paraId="109C8D9A"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0.071</w:t>
            </w:r>
          </w:p>
        </w:tc>
        <w:tc>
          <w:tcPr>
            <w:tcW w:w="1560" w:type="dxa"/>
          </w:tcPr>
          <w:p w14:paraId="60F110FB"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0.329</w:t>
            </w:r>
          </w:p>
        </w:tc>
        <w:tc>
          <w:tcPr>
            <w:tcW w:w="1560" w:type="dxa"/>
          </w:tcPr>
          <w:p w14:paraId="1B25445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41.000</w:t>
            </w:r>
          </w:p>
        </w:tc>
      </w:tr>
      <w:tr w:rsidR="002C6CDB" w:rsidRPr="00DC4B79" w14:paraId="7EAB2278"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51BDA85"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Cu 327.395</w:t>
            </w:r>
          </w:p>
        </w:tc>
        <w:tc>
          <w:tcPr>
            <w:tcW w:w="1560" w:type="dxa"/>
          </w:tcPr>
          <w:p w14:paraId="589B077E"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4E7B4B2F"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6B001ED1"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2C6CDB" w:rsidRPr="00DC4B79" w14:paraId="3BA19E89"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06566130"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Fe 238.204</w:t>
            </w:r>
          </w:p>
        </w:tc>
        <w:tc>
          <w:tcPr>
            <w:tcW w:w="1560" w:type="dxa"/>
          </w:tcPr>
          <w:p w14:paraId="3ADB3133"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05FB454D"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139E514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2C6CDB" w:rsidRPr="00DC4B79" w14:paraId="60DC8737"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24BC403"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Hg 184.887</w:t>
            </w:r>
          </w:p>
        </w:tc>
        <w:tc>
          <w:tcPr>
            <w:tcW w:w="1560" w:type="dxa"/>
          </w:tcPr>
          <w:p w14:paraId="6FAB838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21E2979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0CDEF7FE"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0.700</w:t>
            </w:r>
          </w:p>
        </w:tc>
      </w:tr>
      <w:tr w:rsidR="002C6CDB" w:rsidRPr="00DC4B79" w14:paraId="5235D52F"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073C2ED0"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K 766.491</w:t>
            </w:r>
          </w:p>
        </w:tc>
        <w:tc>
          <w:tcPr>
            <w:tcW w:w="1560" w:type="dxa"/>
          </w:tcPr>
          <w:p w14:paraId="2ADC8F45"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6A711C43"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10561A26"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2C6CDB" w:rsidRPr="00DC4B79" w14:paraId="21543B2C"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76403A72"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Mg 279.553</w:t>
            </w:r>
          </w:p>
        </w:tc>
        <w:tc>
          <w:tcPr>
            <w:tcW w:w="1560" w:type="dxa"/>
          </w:tcPr>
          <w:p w14:paraId="190F2778"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0.005</w:t>
            </w:r>
          </w:p>
        </w:tc>
        <w:tc>
          <w:tcPr>
            <w:tcW w:w="1560" w:type="dxa"/>
          </w:tcPr>
          <w:p w14:paraId="7569EA67"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0.025</w:t>
            </w:r>
          </w:p>
        </w:tc>
        <w:tc>
          <w:tcPr>
            <w:tcW w:w="1560" w:type="dxa"/>
          </w:tcPr>
          <w:p w14:paraId="7B525A0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0.046</w:t>
            </w:r>
          </w:p>
        </w:tc>
      </w:tr>
      <w:tr w:rsidR="002C6CDB" w:rsidRPr="00DC4B79" w14:paraId="02E4B77E"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76EDA3B"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Mn 257.610</w:t>
            </w:r>
          </w:p>
        </w:tc>
        <w:tc>
          <w:tcPr>
            <w:tcW w:w="1560" w:type="dxa"/>
          </w:tcPr>
          <w:p w14:paraId="32B6DBB5"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2C17732A"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1AA9E5E1"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2C6CDB" w:rsidRPr="00DC4B79" w14:paraId="41F3164D"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1B600C95"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Na 588.995</w:t>
            </w:r>
          </w:p>
        </w:tc>
        <w:tc>
          <w:tcPr>
            <w:tcW w:w="1560" w:type="dxa"/>
          </w:tcPr>
          <w:p w14:paraId="4ECF5F43"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0.009</w:t>
            </w:r>
          </w:p>
        </w:tc>
        <w:tc>
          <w:tcPr>
            <w:tcW w:w="1560" w:type="dxa"/>
          </w:tcPr>
          <w:p w14:paraId="0486617D"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0.041</w:t>
            </w:r>
          </w:p>
        </w:tc>
        <w:tc>
          <w:tcPr>
            <w:tcW w:w="1560" w:type="dxa"/>
          </w:tcPr>
          <w:p w14:paraId="3256AB36"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0.840</w:t>
            </w:r>
          </w:p>
        </w:tc>
      </w:tr>
      <w:tr w:rsidR="002C6CDB" w:rsidRPr="00DC4B79" w14:paraId="5F268006"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25AB6017"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Ni 216.555</w:t>
            </w:r>
          </w:p>
        </w:tc>
        <w:tc>
          <w:tcPr>
            <w:tcW w:w="1560" w:type="dxa"/>
          </w:tcPr>
          <w:p w14:paraId="3A921D36"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0.000</w:t>
            </w:r>
          </w:p>
        </w:tc>
        <w:tc>
          <w:tcPr>
            <w:tcW w:w="1560" w:type="dxa"/>
          </w:tcPr>
          <w:p w14:paraId="127765B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0.000</w:t>
            </w:r>
          </w:p>
        </w:tc>
        <w:tc>
          <w:tcPr>
            <w:tcW w:w="1560" w:type="dxa"/>
          </w:tcPr>
          <w:p w14:paraId="09857001"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0.009</w:t>
            </w:r>
          </w:p>
        </w:tc>
      </w:tr>
      <w:tr w:rsidR="002C6CDB" w:rsidRPr="00DC4B79" w14:paraId="7C11384D"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630A3FB8"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Pb 220.353</w:t>
            </w:r>
          </w:p>
        </w:tc>
        <w:tc>
          <w:tcPr>
            <w:tcW w:w="1560" w:type="dxa"/>
          </w:tcPr>
          <w:p w14:paraId="1B3B5202"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0.000</w:t>
            </w:r>
          </w:p>
        </w:tc>
        <w:tc>
          <w:tcPr>
            <w:tcW w:w="1560" w:type="dxa"/>
          </w:tcPr>
          <w:p w14:paraId="4DC5DA3D"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0.000</w:t>
            </w:r>
          </w:p>
        </w:tc>
        <w:tc>
          <w:tcPr>
            <w:tcW w:w="1560" w:type="dxa"/>
          </w:tcPr>
          <w:p w14:paraId="3A5222E3"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0.005</w:t>
            </w:r>
          </w:p>
        </w:tc>
      </w:tr>
      <w:tr w:rsidR="002C6CDB" w:rsidRPr="00DC4B79" w14:paraId="7848BD5C"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BA9DA02"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Se 196.026</w:t>
            </w:r>
          </w:p>
        </w:tc>
        <w:tc>
          <w:tcPr>
            <w:tcW w:w="1560" w:type="dxa"/>
          </w:tcPr>
          <w:p w14:paraId="7E1D5843"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46D004DD"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35577C4F"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2C6CDB" w:rsidRPr="00DC4B79" w14:paraId="72A508EF"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19956A62"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V 292.401</w:t>
            </w:r>
          </w:p>
        </w:tc>
        <w:tc>
          <w:tcPr>
            <w:tcW w:w="1560" w:type="dxa"/>
          </w:tcPr>
          <w:p w14:paraId="141F041A"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04ED0C67"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15016C5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2C6CDB" w:rsidRPr="00DC4B79" w14:paraId="203DA682"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054AACA"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Zn 213.857</w:t>
            </w:r>
          </w:p>
        </w:tc>
        <w:tc>
          <w:tcPr>
            <w:tcW w:w="1560" w:type="dxa"/>
          </w:tcPr>
          <w:p w14:paraId="0B28EBDD"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3BED470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18CA341B"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bl>
    <w:p w14:paraId="782993A1" w14:textId="77777777" w:rsidR="002C6CDB" w:rsidRPr="00DC4B79" w:rsidRDefault="002C6CDB" w:rsidP="002C6CDB">
      <w:pPr>
        <w:spacing w:line="360" w:lineRule="auto"/>
        <w:rPr>
          <w:rFonts w:ascii="Arial" w:hAnsi="Arial" w:cs="Arial"/>
        </w:rPr>
      </w:pPr>
    </w:p>
    <w:p w14:paraId="6E116F7C" w14:textId="77777777" w:rsidR="002C6CDB" w:rsidRPr="00DC4B79" w:rsidRDefault="002C6CDB" w:rsidP="002C6CDB">
      <w:pPr>
        <w:spacing w:line="360" w:lineRule="auto"/>
        <w:rPr>
          <w:rFonts w:ascii="Arial" w:hAnsi="Arial" w:cs="Arial"/>
          <w:b/>
        </w:rPr>
      </w:pPr>
    </w:p>
    <w:p w14:paraId="2DEEECBF" w14:textId="77777777" w:rsidR="002C6CDB" w:rsidRPr="002C6CDB" w:rsidRDefault="002C6CDB" w:rsidP="002C6CDB">
      <w:pPr>
        <w:rPr>
          <w:rFonts w:ascii="Arial" w:hAnsi="Arial" w:cs="Arial"/>
          <w:b/>
          <w:sz w:val="24"/>
          <w:szCs w:val="24"/>
        </w:rPr>
      </w:pPr>
      <w:r w:rsidRPr="002C6CDB">
        <w:rPr>
          <w:rFonts w:ascii="Arial" w:hAnsi="Arial" w:cs="Arial"/>
          <w:b/>
          <w:sz w:val="24"/>
          <w:szCs w:val="24"/>
        </w:rPr>
        <w:br w:type="page"/>
      </w:r>
    </w:p>
    <w:p w14:paraId="41FD293D" w14:textId="77777777" w:rsidR="002C6CDB" w:rsidRPr="00962D18" w:rsidRDefault="002C6CDB" w:rsidP="002C6CDB">
      <w:pPr>
        <w:pStyle w:val="Heading1"/>
        <w:rPr>
          <w:rFonts w:ascii="Arial" w:hAnsi="Arial" w:cs="Arial"/>
          <w:sz w:val="22"/>
          <w:szCs w:val="22"/>
        </w:rPr>
      </w:pPr>
      <w:r w:rsidRPr="00962D18">
        <w:rPr>
          <w:rFonts w:ascii="Arial" w:hAnsi="Arial" w:cs="Arial"/>
          <w:sz w:val="22"/>
          <w:szCs w:val="22"/>
        </w:rPr>
        <w:lastRenderedPageBreak/>
        <w:t>Discussion</w:t>
      </w:r>
    </w:p>
    <w:p w14:paraId="2823D870" w14:textId="77777777" w:rsidR="002C6CDB" w:rsidRPr="00DC4B79" w:rsidRDefault="002C6CDB" w:rsidP="002C6CDB">
      <w:pPr>
        <w:spacing w:line="360" w:lineRule="auto"/>
        <w:jc w:val="both"/>
        <w:rPr>
          <w:rFonts w:ascii="Arial" w:hAnsi="Arial" w:cs="Arial"/>
          <w:b/>
        </w:rPr>
      </w:pPr>
      <w:r w:rsidRPr="00DC4B79">
        <w:rPr>
          <w:rFonts w:ascii="Arial" w:hAnsi="Arial" w:cs="Arial"/>
        </w:rPr>
        <w:t>The physicochemical characterization of soils is pivotal in evaluating the impact of agrochemical inputs on soil health and fertility. In this study, soils from an agrochemical-polluted farm and a control site were analyzed to assess key parameters influencing soil quality and ecological sustainability.</w:t>
      </w:r>
    </w:p>
    <w:p w14:paraId="0232FAE9" w14:textId="77777777" w:rsidR="002C6CDB" w:rsidRPr="003E6F9D" w:rsidRDefault="002C6CDB" w:rsidP="002C6CDB">
      <w:pPr>
        <w:spacing w:line="360" w:lineRule="auto"/>
        <w:jc w:val="both"/>
        <w:rPr>
          <w:rFonts w:ascii="Arial" w:hAnsi="Arial" w:cs="Arial"/>
        </w:rPr>
      </w:pPr>
      <w:r w:rsidRPr="00DC4B79">
        <w:rPr>
          <w:rFonts w:ascii="Arial" w:hAnsi="Arial" w:cs="Arial"/>
        </w:rPr>
        <w:t xml:space="preserve">The agrochemical-polluted soil exhibited a significantly lower pH (5.75 ± 0.32) compared to the control (7.00 ± 0.20), indicating increased acidity likely due to prolonged application of nitrogen-based fertilizers and pesticides. Acidification can impair microbial activity and nutrient availability, ultimately affecting crop productivity. Moisture content was also reduced in the polluted soil (8.48 ± 0.05%), suggesting altered water retention capacity, possibly due to changes in organic matter and soil structure. </w:t>
      </w:r>
      <w:r w:rsidR="009C3A25">
        <w:rPr>
          <w:rFonts w:ascii="Arial" w:hAnsi="Arial" w:cs="Arial"/>
        </w:rPr>
        <w:t xml:space="preserve">Our results were in line with the reports </w:t>
      </w:r>
      <w:r w:rsidR="009C3A25" w:rsidRPr="003E6F9D">
        <w:rPr>
          <w:rFonts w:ascii="Arial" w:hAnsi="Arial" w:cs="Arial"/>
        </w:rPr>
        <w:t>of Li et al. (2024</w:t>
      </w:r>
      <w:r w:rsidR="008051D7">
        <w:rPr>
          <w:rFonts w:ascii="Arial" w:hAnsi="Arial" w:cs="Arial"/>
        </w:rPr>
        <w:t>a</w:t>
      </w:r>
      <w:r w:rsidR="009C3A25" w:rsidRPr="003E6F9D">
        <w:rPr>
          <w:rFonts w:ascii="Arial" w:hAnsi="Arial" w:cs="Arial"/>
        </w:rPr>
        <w:t>).</w:t>
      </w:r>
    </w:p>
    <w:p w14:paraId="78D0754A" w14:textId="77777777" w:rsidR="002C6CDB" w:rsidRPr="00DC4B79" w:rsidRDefault="002C6CDB" w:rsidP="002C6CDB">
      <w:pPr>
        <w:spacing w:line="360" w:lineRule="auto"/>
        <w:jc w:val="both"/>
        <w:rPr>
          <w:rFonts w:ascii="Arial" w:hAnsi="Arial" w:cs="Arial"/>
        </w:rPr>
      </w:pPr>
      <w:r w:rsidRPr="003E6F9D">
        <w:rPr>
          <w:rFonts w:ascii="Arial" w:hAnsi="Arial" w:cs="Arial"/>
        </w:rPr>
        <w:t>Total</w:t>
      </w:r>
      <w:r w:rsidRPr="00DC4B79">
        <w:rPr>
          <w:rFonts w:ascii="Arial" w:hAnsi="Arial" w:cs="Arial"/>
        </w:rPr>
        <w:t xml:space="preserve"> organic carbon (TOC) was higher in the polluted soil (0.26 ± 0.057%) than in the control (0.17 ± 0.001%), which may reflect the accumulation of agrochemical residues and decaying biomass. Elevated electrical conductivity (237 ± 8.00 µS/cm) in the polluted soil further supports the presence of soluble salts and ions from fertilizers, which can lead to salinization and hinder plant growth. </w:t>
      </w:r>
      <w:r w:rsidR="00EF6156">
        <w:rPr>
          <w:rFonts w:ascii="Arial" w:hAnsi="Arial" w:cs="Arial"/>
        </w:rPr>
        <w:t xml:space="preserve">Our reports corroborated the findings of Zhang et al. (2023). They reported that </w:t>
      </w:r>
      <w:r w:rsidR="00EF6156">
        <w:t xml:space="preserve">continuous fertilizer </w:t>
      </w:r>
      <w:proofErr w:type="gramStart"/>
      <w:r w:rsidR="00EF6156">
        <w:t>use</w:t>
      </w:r>
      <w:proofErr w:type="gramEnd"/>
      <w:r w:rsidR="00EF6156">
        <w:t xml:space="preserve"> increased soil organic carbon, partly due to accumulation of agrochemical residues and decaying biomass. Long-term fertilizer application was shown to raise EC values, reflecting soluble salts and ions in soil.</w:t>
      </w:r>
    </w:p>
    <w:p w14:paraId="70307E03" w14:textId="77777777" w:rsidR="002C6CDB" w:rsidRPr="00DC4B79" w:rsidRDefault="002C6CDB" w:rsidP="002C6CDB">
      <w:pPr>
        <w:spacing w:line="360" w:lineRule="auto"/>
        <w:jc w:val="both"/>
        <w:rPr>
          <w:rFonts w:ascii="Arial" w:hAnsi="Arial" w:cs="Arial"/>
        </w:rPr>
      </w:pPr>
      <w:r w:rsidRPr="00DC4B79">
        <w:rPr>
          <w:rFonts w:ascii="Arial" w:hAnsi="Arial" w:cs="Arial"/>
        </w:rPr>
        <w:t>Nitrate and phosphate levels were lower in the agrochemical soil, with nitrates at 9.21 ± 0.56 mg/kg and phosphates at 4.67 ± 0.63 mg/kg, compared to 11.03 ± 0.014 mg/kg and 5.68 ± 0.15 mg/kg in the control. This reduction may result from leaching or microbial immobilization due to chemical stress. Conversely, cation concentrations particularly calcium (165.36 ± 5.89 mg/kg), magnesium (45.65 ± 0.36 mg/kg), sodium (13.24 ± 0.13 mg/kg), and potassium (21.60 ± 0.44 mg/kg) were markedly higher in the polluted soil, reflecting nutrient enrichment from agrochemical inputs.</w:t>
      </w:r>
      <w:r w:rsidR="009F638D" w:rsidRPr="001D3988">
        <w:rPr>
          <w:rFonts w:ascii="Arial" w:hAnsi="Arial" w:cs="Arial"/>
        </w:rPr>
        <w:t xml:space="preserve"> Zhou et al. (2023)</w:t>
      </w:r>
      <w:r w:rsidR="001D3988" w:rsidRPr="001D3988">
        <w:rPr>
          <w:rFonts w:ascii="Arial" w:hAnsi="Arial" w:cs="Arial"/>
        </w:rPr>
        <w:t xml:space="preserve"> reported similar </w:t>
      </w:r>
      <w:r w:rsidR="001D3988">
        <w:rPr>
          <w:rFonts w:ascii="Arial" w:hAnsi="Arial" w:cs="Arial"/>
        </w:rPr>
        <w:t>outcome</w:t>
      </w:r>
      <w:r w:rsidR="001D3988" w:rsidRPr="001D3988">
        <w:rPr>
          <w:rFonts w:ascii="Arial" w:hAnsi="Arial" w:cs="Arial"/>
        </w:rPr>
        <w:t>s</w:t>
      </w:r>
      <w:r w:rsidR="009F638D" w:rsidRPr="001D3988">
        <w:rPr>
          <w:rFonts w:ascii="Arial" w:hAnsi="Arial" w:cs="Arial"/>
        </w:rPr>
        <w:t>.</w:t>
      </w:r>
      <w:r w:rsidR="001D3988" w:rsidRPr="001D3988">
        <w:rPr>
          <w:rFonts w:ascii="Arial" w:hAnsi="Arial" w:cs="Arial"/>
        </w:rPr>
        <w:t xml:space="preserve"> They recounted that persistent</w:t>
      </w:r>
      <w:r w:rsidR="001D3988">
        <w:rPr>
          <w:rFonts w:ascii="Arial" w:hAnsi="Arial" w:cs="Arial"/>
        </w:rPr>
        <w:t xml:space="preserve"> agrochemical usage</w:t>
      </w:r>
      <w:r w:rsidR="001D3988" w:rsidRPr="001D3988">
        <w:rPr>
          <w:rFonts w:ascii="Arial" w:hAnsi="Arial" w:cs="Arial"/>
        </w:rPr>
        <w:t xml:space="preserve"> can decrease accessible nitrate and phosphate due to </w:t>
      </w:r>
      <w:r w:rsidR="001D3988" w:rsidRPr="001D3988">
        <w:rPr>
          <w:rStyle w:val="Strong"/>
          <w:rFonts w:ascii="Arial" w:hAnsi="Arial" w:cs="Arial"/>
          <w:b w:val="0"/>
        </w:rPr>
        <w:t>leaching losses</w:t>
      </w:r>
      <w:r w:rsidR="001D3988" w:rsidRPr="001D3988">
        <w:rPr>
          <w:rFonts w:ascii="Arial" w:hAnsi="Arial" w:cs="Arial"/>
          <w:b/>
        </w:rPr>
        <w:t xml:space="preserve"> </w:t>
      </w:r>
      <w:r w:rsidR="001D3988" w:rsidRPr="001D3988">
        <w:rPr>
          <w:rFonts w:ascii="Arial" w:hAnsi="Arial" w:cs="Arial"/>
        </w:rPr>
        <w:t>as well as</w:t>
      </w:r>
      <w:r w:rsidR="001D3988" w:rsidRPr="001D3988">
        <w:rPr>
          <w:rFonts w:ascii="Arial" w:hAnsi="Arial" w:cs="Arial"/>
          <w:b/>
        </w:rPr>
        <w:t xml:space="preserve"> </w:t>
      </w:r>
      <w:r w:rsidR="001D3988" w:rsidRPr="001D3988">
        <w:rPr>
          <w:rStyle w:val="Strong"/>
          <w:rFonts w:ascii="Arial" w:hAnsi="Arial" w:cs="Arial"/>
          <w:b w:val="0"/>
        </w:rPr>
        <w:t>microbial immobilization under chemical strain</w:t>
      </w:r>
      <w:r w:rsidR="001D3988" w:rsidRPr="001D3988">
        <w:rPr>
          <w:rFonts w:ascii="Arial" w:hAnsi="Arial" w:cs="Arial"/>
        </w:rPr>
        <w:t>, cons</w:t>
      </w:r>
      <w:r w:rsidR="001D3988">
        <w:rPr>
          <w:rFonts w:ascii="Arial" w:hAnsi="Arial" w:cs="Arial"/>
        </w:rPr>
        <w:t>istent with our reports.</w:t>
      </w:r>
    </w:p>
    <w:p w14:paraId="0F5F19AD" w14:textId="77777777" w:rsidR="002C6CDB" w:rsidRPr="00DC4B79" w:rsidRDefault="002C6CDB" w:rsidP="002C6CDB">
      <w:pPr>
        <w:spacing w:line="360" w:lineRule="auto"/>
        <w:jc w:val="both"/>
        <w:rPr>
          <w:rFonts w:ascii="Arial" w:hAnsi="Arial" w:cs="Arial"/>
        </w:rPr>
      </w:pPr>
      <w:r w:rsidRPr="00DC4B79">
        <w:rPr>
          <w:rFonts w:ascii="Arial" w:hAnsi="Arial" w:cs="Arial"/>
        </w:rPr>
        <w:t xml:space="preserve">Both soils maintained a sandy loam texture, indicating that the observed differences are primarily chemical rather than physical. However, texture can influence the mobility and retention of agrochemicals, affecting their environmental fate. </w:t>
      </w:r>
    </w:p>
    <w:p w14:paraId="4E68BA91" w14:textId="77777777" w:rsidR="002C6CDB" w:rsidRPr="00DC4B79" w:rsidRDefault="002C6CDB" w:rsidP="002C6CDB">
      <w:pPr>
        <w:spacing w:line="360" w:lineRule="auto"/>
        <w:jc w:val="both"/>
        <w:rPr>
          <w:rFonts w:ascii="Arial" w:hAnsi="Arial" w:cs="Arial"/>
        </w:rPr>
      </w:pPr>
      <w:r w:rsidRPr="00DC4B79">
        <w:rPr>
          <w:rFonts w:ascii="Arial" w:hAnsi="Arial" w:cs="Arial"/>
        </w:rPr>
        <w:t>These findings underscore the dual impact of agrochemical use: while enhancing certain nutrient levels, it simultaneously degrades soil pH, moisture, and key macronutrients. Long-term implications include reduced microbial diversity, impaired nutrient cycling, and potential contamination of groundwater.</w:t>
      </w:r>
    </w:p>
    <w:p w14:paraId="22CA39C6" w14:textId="77777777" w:rsidR="002C6CDB" w:rsidRPr="00DC4B79" w:rsidRDefault="002C6CDB" w:rsidP="002C6CDB">
      <w:pPr>
        <w:spacing w:line="360" w:lineRule="auto"/>
        <w:jc w:val="both"/>
        <w:rPr>
          <w:rFonts w:ascii="Arial" w:hAnsi="Arial" w:cs="Arial"/>
          <w:bCs/>
        </w:rPr>
      </w:pPr>
      <w:r w:rsidRPr="00DC4B79">
        <w:rPr>
          <w:rFonts w:ascii="Arial" w:hAnsi="Arial" w:cs="Arial"/>
          <w:bCs/>
        </w:rPr>
        <w:t>Soil biological processes are extensively documented as delicate bio-indicators of agrochemical pollution in sub Saharan agricultural environments. In the present-day study, dehydrogenase activity was greater in agrochemical</w:t>
      </w:r>
      <w:r w:rsidRPr="00DC4B79">
        <w:rPr>
          <w:rFonts w:ascii="Cambria Math" w:hAnsi="Cambria Math" w:cs="Cambria Math"/>
          <w:bCs/>
        </w:rPr>
        <w:t>‑</w:t>
      </w:r>
      <w:r w:rsidRPr="00DC4B79">
        <w:rPr>
          <w:rFonts w:ascii="Arial" w:hAnsi="Arial" w:cs="Arial"/>
          <w:bCs/>
        </w:rPr>
        <w:t>polluted soil (6.11 µ</w:t>
      </w:r>
      <w:proofErr w:type="spellStart"/>
      <w:r w:rsidRPr="00DC4B79">
        <w:rPr>
          <w:rFonts w:ascii="Arial" w:hAnsi="Arial" w:cs="Arial"/>
          <w:bCs/>
        </w:rPr>
        <w:t>gTPF</w:t>
      </w:r>
      <w:proofErr w:type="spellEnd"/>
      <w:r w:rsidRPr="00DC4B79">
        <w:rPr>
          <w:rFonts w:ascii="Arial" w:hAnsi="Arial" w:cs="Arial"/>
          <w:bCs/>
        </w:rPr>
        <w:t>/kg/h) compared to the control (5.06 µ</w:t>
      </w:r>
      <w:proofErr w:type="spellStart"/>
      <w:r w:rsidRPr="00DC4B79">
        <w:rPr>
          <w:rFonts w:ascii="Arial" w:hAnsi="Arial" w:cs="Arial"/>
          <w:bCs/>
        </w:rPr>
        <w:t>gTPF</w:t>
      </w:r>
      <w:proofErr w:type="spellEnd"/>
      <w:r w:rsidRPr="00DC4B79">
        <w:rPr>
          <w:rFonts w:ascii="Arial" w:hAnsi="Arial" w:cs="Arial"/>
          <w:bCs/>
        </w:rPr>
        <w:t>/kg/h), signifying boosted microbial oxidative metabolism under chemical pressure. This aligns with outcomes that dehydrogenase frequently intensifies in chemically strained soils owing to microbial acclimation and multiplying of resilient species (</w:t>
      </w:r>
      <w:proofErr w:type="spellStart"/>
      <w:r w:rsidRPr="00DC4B79">
        <w:rPr>
          <w:rFonts w:ascii="Arial" w:hAnsi="Arial" w:cs="Arial"/>
          <w:bCs/>
        </w:rPr>
        <w:t>Attademo</w:t>
      </w:r>
      <w:proofErr w:type="spellEnd"/>
      <w:r w:rsidRPr="00DC4B79">
        <w:rPr>
          <w:rFonts w:ascii="Arial" w:hAnsi="Arial" w:cs="Arial"/>
          <w:bCs/>
        </w:rPr>
        <w:t xml:space="preserve"> et al., 2021; </w:t>
      </w:r>
      <w:proofErr w:type="spellStart"/>
      <w:r w:rsidRPr="00DC4B79">
        <w:rPr>
          <w:rFonts w:ascii="Arial" w:hAnsi="Arial" w:cs="Arial"/>
        </w:rPr>
        <w:t>Dayo-Olagbende</w:t>
      </w:r>
      <w:proofErr w:type="spellEnd"/>
      <w:r w:rsidRPr="00DC4B79">
        <w:rPr>
          <w:rFonts w:ascii="Arial" w:hAnsi="Arial" w:cs="Arial"/>
        </w:rPr>
        <w:t xml:space="preserve"> et al., 2025</w:t>
      </w:r>
      <w:r w:rsidRPr="00DC4B79">
        <w:rPr>
          <w:rFonts w:ascii="Arial" w:hAnsi="Arial" w:cs="Arial"/>
          <w:bCs/>
        </w:rPr>
        <w:t>).</w:t>
      </w:r>
    </w:p>
    <w:p w14:paraId="43172663" w14:textId="77777777" w:rsidR="002C6CDB" w:rsidRPr="00DC4B79" w:rsidRDefault="002C6CDB" w:rsidP="002C6CDB">
      <w:pPr>
        <w:spacing w:line="360" w:lineRule="auto"/>
        <w:jc w:val="both"/>
        <w:rPr>
          <w:rFonts w:ascii="Arial" w:hAnsi="Arial" w:cs="Arial"/>
          <w:bCs/>
        </w:rPr>
      </w:pPr>
      <w:r w:rsidRPr="00DC4B79">
        <w:rPr>
          <w:rFonts w:ascii="Arial" w:hAnsi="Arial" w:cs="Arial"/>
          <w:bCs/>
        </w:rPr>
        <w:t xml:space="preserve">On the other hand, phosphatase (26.17 in competition with 22.14 </w:t>
      </w:r>
      <w:proofErr w:type="spellStart"/>
      <w:r w:rsidRPr="00DC4B79">
        <w:rPr>
          <w:rFonts w:ascii="Arial" w:hAnsi="Arial" w:cs="Arial"/>
          <w:bCs/>
        </w:rPr>
        <w:t>mgPNP</w:t>
      </w:r>
      <w:proofErr w:type="spellEnd"/>
      <w:r w:rsidRPr="00DC4B79">
        <w:rPr>
          <w:rFonts w:ascii="Arial" w:hAnsi="Arial" w:cs="Arial"/>
          <w:bCs/>
        </w:rPr>
        <w:t xml:space="preserve">/kg/h) and urease (1.15 against 0.91 mgN.NH4/kg/h) were reduced in farm soil compared to the control, demonstrating inhibition of enzymes mediating nutrient cycling by pesticide - derived residues. Phosphatase suppression reflects decreased microbial capability for phosphorus mineralization, even though urease repression indicates compromised nitrogen flux, in line with findings that agrochemicals is capable of interrupt biochemical routes essential for soil productivity (Solanki et al., 2024; </w:t>
      </w:r>
      <w:proofErr w:type="spellStart"/>
      <w:r w:rsidRPr="00DC4B79">
        <w:rPr>
          <w:rFonts w:ascii="Arial" w:hAnsi="Arial" w:cs="Arial"/>
        </w:rPr>
        <w:t>Dayo-Olagbende</w:t>
      </w:r>
      <w:proofErr w:type="spellEnd"/>
      <w:r w:rsidRPr="00DC4B79">
        <w:rPr>
          <w:rFonts w:ascii="Arial" w:hAnsi="Arial" w:cs="Arial"/>
        </w:rPr>
        <w:t xml:space="preserve"> et al., 2025</w:t>
      </w:r>
      <w:r w:rsidRPr="00DC4B79">
        <w:rPr>
          <w:rFonts w:ascii="Arial" w:hAnsi="Arial" w:cs="Arial"/>
          <w:bCs/>
        </w:rPr>
        <w:t>).</w:t>
      </w:r>
    </w:p>
    <w:p w14:paraId="6A288C6A" w14:textId="77777777" w:rsidR="002C6CDB" w:rsidRPr="00DC4B79" w:rsidRDefault="002C6CDB" w:rsidP="002C6CDB">
      <w:pPr>
        <w:spacing w:line="360" w:lineRule="auto"/>
        <w:jc w:val="both"/>
        <w:rPr>
          <w:rFonts w:ascii="Arial" w:hAnsi="Arial" w:cs="Arial"/>
          <w:bCs/>
        </w:rPr>
      </w:pPr>
      <w:r w:rsidRPr="00DC4B79">
        <w:rPr>
          <w:rFonts w:ascii="Arial" w:hAnsi="Arial" w:cs="Arial"/>
          <w:bCs/>
        </w:rPr>
        <w:t>The different enzyme outcomes indicate enzyme</w:t>
      </w:r>
      <w:r w:rsidRPr="00DC4B79">
        <w:rPr>
          <w:rFonts w:ascii="Cambria Math" w:hAnsi="Cambria Math" w:cs="Cambria Math"/>
          <w:bCs/>
        </w:rPr>
        <w:t>‑</w:t>
      </w:r>
      <w:r w:rsidRPr="00DC4B79">
        <w:rPr>
          <w:rFonts w:ascii="Arial" w:hAnsi="Arial" w:cs="Arial"/>
          <w:bCs/>
        </w:rPr>
        <w:t xml:space="preserve">dependent responsiveness to farm chemical derived residues. Dehydrogenase, an indicator of the collective microbial metabolic activity, might rise as microorganisms break down exogenous compounds, while phosphatase and urease, strongly associated with soil nutrient dynamics, remain more </w:t>
      </w:r>
      <w:r w:rsidRPr="00DC4B79">
        <w:rPr>
          <w:rFonts w:ascii="Arial" w:hAnsi="Arial" w:cs="Arial"/>
          <w:bCs/>
        </w:rPr>
        <w:lastRenderedPageBreak/>
        <w:t>susceptible to interference. Such alterations have been identified in soils of tropical regions wherever pesticide applications modify microbial community structure as well as functional trait diversity (</w:t>
      </w:r>
      <w:proofErr w:type="spellStart"/>
      <w:r w:rsidRPr="00DC4B79">
        <w:rPr>
          <w:rFonts w:ascii="Arial" w:hAnsi="Arial" w:cs="Arial"/>
          <w:bCs/>
        </w:rPr>
        <w:t>Attademo</w:t>
      </w:r>
      <w:proofErr w:type="spellEnd"/>
      <w:r w:rsidRPr="00DC4B79">
        <w:rPr>
          <w:rFonts w:ascii="Arial" w:hAnsi="Arial" w:cs="Arial"/>
          <w:bCs/>
        </w:rPr>
        <w:t xml:space="preserve"> et al., 2021; Solanki et al., 2024).</w:t>
      </w:r>
    </w:p>
    <w:p w14:paraId="309FA04A" w14:textId="77777777" w:rsidR="002C6CDB" w:rsidRPr="00DC4B79" w:rsidRDefault="002C6CDB" w:rsidP="002C6CDB">
      <w:pPr>
        <w:spacing w:line="360" w:lineRule="auto"/>
        <w:jc w:val="both"/>
        <w:rPr>
          <w:rFonts w:ascii="Arial" w:hAnsi="Arial" w:cs="Arial"/>
          <w:bCs/>
        </w:rPr>
      </w:pPr>
      <w:r w:rsidRPr="00DC4B79">
        <w:rPr>
          <w:rFonts w:ascii="Arial" w:hAnsi="Arial" w:cs="Arial"/>
          <w:bCs/>
        </w:rPr>
        <w:t>The environmental implication is that while microscopic respiration might continue or even increase under chemical strain, nutrient cycling routes indispensable for reasonable crop productivity remain impaired. Gradually, this unevenness may possibly decrease soil richness, intensified reliance on extra agricultural additions, which may affect agro ecosystem flexibility.</w:t>
      </w:r>
    </w:p>
    <w:p w14:paraId="76D5124B" w14:textId="77777777" w:rsidR="002C6CDB" w:rsidRPr="00DC4B79" w:rsidRDefault="002C6CDB" w:rsidP="002C6CDB">
      <w:pPr>
        <w:spacing w:line="360" w:lineRule="auto"/>
        <w:jc w:val="both"/>
        <w:rPr>
          <w:rFonts w:ascii="Arial" w:hAnsi="Arial" w:cs="Arial"/>
          <w:bCs/>
        </w:rPr>
      </w:pPr>
      <w:r w:rsidRPr="00DC4B79">
        <w:rPr>
          <w:rFonts w:ascii="Arial" w:hAnsi="Arial" w:cs="Arial"/>
          <w:bCs/>
        </w:rPr>
        <w:t>These findings underscore the necessity for combined soil maintenance approaches that decrease agricultural chemical inputs in addition to support biological substitutes to tolerate enzyme actions essential for nutrient cycling. Observing top soil enzymes offers an operational timely</w:t>
      </w:r>
      <w:r w:rsidRPr="00DC4B79">
        <w:rPr>
          <w:rFonts w:ascii="Cambria Math" w:hAnsi="Cambria Math" w:cs="Cambria Math"/>
          <w:bCs/>
        </w:rPr>
        <w:t>‑</w:t>
      </w:r>
      <w:r w:rsidRPr="00DC4B79">
        <w:rPr>
          <w:rFonts w:ascii="Arial" w:hAnsi="Arial" w:cs="Arial"/>
          <w:bCs/>
        </w:rPr>
        <w:t>cautionary coordination for identifying environmental threats in humid farmed soils.</w:t>
      </w:r>
    </w:p>
    <w:p w14:paraId="672BB829" w14:textId="77777777" w:rsidR="002C6CDB" w:rsidRPr="00DC4B79" w:rsidRDefault="002C6CDB" w:rsidP="002C6CDB">
      <w:pPr>
        <w:spacing w:line="360" w:lineRule="auto"/>
        <w:jc w:val="both"/>
        <w:rPr>
          <w:rFonts w:ascii="Arial" w:hAnsi="Arial" w:cs="Arial"/>
        </w:rPr>
      </w:pPr>
      <w:r w:rsidRPr="00DC4B79">
        <w:rPr>
          <w:rFonts w:ascii="Arial" w:hAnsi="Arial" w:cs="Arial"/>
        </w:rPr>
        <w:t xml:space="preserve">The ecological analysis of the study soils revealed a remarkably high cadmium (1266) and zinc (15.51) contamination factor (CF), which met the very high contamination aspect and indicated transition to heavy anthropogenic enrichment. Such pattern corresponds to the anthropogenic enrichment theory that was developed </w:t>
      </w:r>
      <w:r w:rsidRPr="00687764">
        <w:rPr>
          <w:rFonts w:ascii="Arial" w:hAnsi="Arial" w:cs="Arial"/>
        </w:rPr>
        <w:t>by Hakanson (1980)</w:t>
      </w:r>
      <w:r w:rsidR="00AD750B" w:rsidRPr="00687764">
        <w:rPr>
          <w:rFonts w:ascii="Arial" w:hAnsi="Arial" w:cs="Arial"/>
        </w:rPr>
        <w:t xml:space="preserve"> as cited by Ekissi et al. (2021)</w:t>
      </w:r>
      <w:r w:rsidRPr="00687764">
        <w:rPr>
          <w:rFonts w:ascii="Arial" w:hAnsi="Arial" w:cs="Arial"/>
        </w:rPr>
        <w:t>, who believes that CF values significantly higher than the background le</w:t>
      </w:r>
      <w:r w:rsidRPr="00DC4B79">
        <w:rPr>
          <w:rFonts w:ascii="Arial" w:hAnsi="Arial" w:cs="Arial"/>
        </w:rPr>
        <w:t xml:space="preserve">vels are evidence of external contributions by pollution and not typical geochemical processes. The Cd and Zn dominance is similar to </w:t>
      </w:r>
      <w:proofErr w:type="spellStart"/>
      <w:r w:rsidRPr="00DC4B79">
        <w:rPr>
          <w:rFonts w:ascii="Arial" w:hAnsi="Arial" w:cs="Arial"/>
        </w:rPr>
        <w:t>Enyigba</w:t>
      </w:r>
      <w:proofErr w:type="spellEnd"/>
      <w:r w:rsidRPr="00DC4B79">
        <w:rPr>
          <w:rFonts w:ascii="Arial" w:hAnsi="Arial" w:cs="Arial"/>
        </w:rPr>
        <w:t xml:space="preserve"> and </w:t>
      </w:r>
      <w:proofErr w:type="spellStart"/>
      <w:r w:rsidRPr="00DC4B79">
        <w:rPr>
          <w:rFonts w:ascii="Arial" w:hAnsi="Arial" w:cs="Arial"/>
        </w:rPr>
        <w:t>Ishiagu</w:t>
      </w:r>
      <w:proofErr w:type="spellEnd"/>
      <w:r w:rsidRPr="00DC4B79">
        <w:rPr>
          <w:rFonts w:ascii="Arial" w:hAnsi="Arial" w:cs="Arial"/>
        </w:rPr>
        <w:t xml:space="preserve"> mining areas in southeastern Nigeria where the contamination charge was also characterized by the prevalence of cadmium and zinc (</w:t>
      </w:r>
      <w:proofErr w:type="spellStart"/>
      <w:r w:rsidRPr="00DC4B79">
        <w:rPr>
          <w:rFonts w:ascii="Arial" w:hAnsi="Arial" w:cs="Arial"/>
          <w:color w:val="222222"/>
          <w:shd w:val="clear" w:color="auto" w:fill="FFFFFF"/>
        </w:rPr>
        <w:t>Umeri</w:t>
      </w:r>
      <w:proofErr w:type="spellEnd"/>
      <w:r w:rsidRPr="00DC4B79">
        <w:rPr>
          <w:rFonts w:ascii="Arial" w:hAnsi="Arial" w:cs="Arial"/>
          <w:color w:val="222222"/>
          <w:shd w:val="clear" w:color="auto" w:fill="FFFFFF"/>
        </w:rPr>
        <w:t xml:space="preserve"> </w:t>
      </w:r>
      <w:r w:rsidRPr="00DC4B79">
        <w:rPr>
          <w:rFonts w:ascii="Arial" w:hAnsi="Arial" w:cs="Arial"/>
          <w:i/>
          <w:iCs/>
        </w:rPr>
        <w:t>et al</w:t>
      </w:r>
      <w:r w:rsidRPr="00DC4B79">
        <w:rPr>
          <w:rFonts w:ascii="Arial" w:hAnsi="Arial" w:cs="Arial"/>
        </w:rPr>
        <w:t xml:space="preserve">., 2023). Similar Cd magnitudes were observed in the agricultural ecosystems of China (Li </w:t>
      </w:r>
      <w:r w:rsidRPr="00DC4B79">
        <w:rPr>
          <w:rFonts w:ascii="Arial" w:hAnsi="Arial" w:cs="Arial"/>
          <w:i/>
          <w:iCs/>
        </w:rPr>
        <w:t>et al</w:t>
      </w:r>
      <w:r w:rsidRPr="00DC4B79">
        <w:rPr>
          <w:rFonts w:ascii="Arial" w:hAnsi="Arial" w:cs="Arial"/>
        </w:rPr>
        <w:t>., 2024</w:t>
      </w:r>
      <w:r w:rsidR="008051D7">
        <w:rPr>
          <w:rFonts w:ascii="Arial" w:hAnsi="Arial" w:cs="Arial"/>
        </w:rPr>
        <w:t>b</w:t>
      </w:r>
      <w:r w:rsidRPr="00DC4B79">
        <w:rPr>
          <w:rFonts w:ascii="Arial" w:hAnsi="Arial" w:cs="Arial"/>
        </w:rPr>
        <w:t xml:space="preserve">) and parts of northern India (Bhardwaj </w:t>
      </w:r>
      <w:r w:rsidRPr="00DC4B79">
        <w:rPr>
          <w:rFonts w:ascii="Arial" w:hAnsi="Arial" w:cs="Arial"/>
          <w:i/>
          <w:iCs/>
        </w:rPr>
        <w:t>et al</w:t>
      </w:r>
      <w:r w:rsidRPr="00DC4B79">
        <w:rPr>
          <w:rFonts w:ascii="Arial" w:hAnsi="Arial" w:cs="Arial"/>
        </w:rPr>
        <w:t xml:space="preserve">., 2023), verifying that the Cd and Zn contamination in the agroecosystem is an international stamp that is repeated in response to the fertilizer impurities and the acidification of the soil. The Mean Pollution Load Index (PLI) is 0.276, which is lower than unity. This implies that the contamination is not homogeneous, meaning that pollution is localized in hot spots of toxicity. This is the theory of spatial heterogeneity of soil pollution, meaning that contamination is disposed of in accordance with human activity gradients, including those near irrigation channels, storage facilities, or areas where agrochemicals wash off (Li </w:t>
      </w:r>
      <w:r w:rsidRPr="00A77FB3">
        <w:rPr>
          <w:rFonts w:ascii="Arial" w:hAnsi="Arial" w:cs="Arial"/>
          <w:iCs/>
        </w:rPr>
        <w:t>et al</w:t>
      </w:r>
      <w:r w:rsidRPr="00DC4B79">
        <w:rPr>
          <w:rFonts w:ascii="Arial" w:hAnsi="Arial" w:cs="Arial"/>
        </w:rPr>
        <w:t>., 2021).</w:t>
      </w:r>
    </w:p>
    <w:p w14:paraId="1344F2E9" w14:textId="77777777" w:rsidR="002C6CDB" w:rsidRPr="00DC4B79" w:rsidRDefault="002C6CDB" w:rsidP="002C6CDB">
      <w:pPr>
        <w:spacing w:line="360" w:lineRule="auto"/>
        <w:jc w:val="both"/>
        <w:rPr>
          <w:rFonts w:ascii="Arial" w:hAnsi="Arial" w:cs="Arial"/>
        </w:rPr>
      </w:pPr>
      <w:r w:rsidRPr="00DC4B79">
        <w:rPr>
          <w:rFonts w:ascii="Arial" w:hAnsi="Arial" w:cs="Arial"/>
        </w:rPr>
        <w:t>This anthropogenic trace can be further demonstrated with the geo-accumulation index (</w:t>
      </w:r>
      <w:proofErr w:type="spellStart"/>
      <w:r w:rsidRPr="00DC4B79">
        <w:rPr>
          <w:rFonts w:ascii="Arial" w:hAnsi="Arial" w:cs="Arial"/>
        </w:rPr>
        <w:t>Igeo</w:t>
      </w:r>
      <w:proofErr w:type="spellEnd"/>
      <w:r w:rsidRPr="00DC4B79">
        <w:rPr>
          <w:rFonts w:ascii="Arial" w:hAnsi="Arial" w:cs="Arial"/>
        </w:rPr>
        <w:t>) analysis. Cd (</w:t>
      </w:r>
      <w:proofErr w:type="spellStart"/>
      <w:r w:rsidRPr="00DC4B79">
        <w:rPr>
          <w:rFonts w:ascii="Arial" w:hAnsi="Arial" w:cs="Arial"/>
        </w:rPr>
        <w:t>Igeo</w:t>
      </w:r>
      <w:proofErr w:type="spellEnd"/>
      <w:r w:rsidRPr="00DC4B79">
        <w:rPr>
          <w:rFonts w:ascii="Arial" w:hAnsi="Arial" w:cs="Arial"/>
        </w:rPr>
        <w:t xml:space="preserve"> = 9.721) and Zn (</w:t>
      </w:r>
      <w:proofErr w:type="spellStart"/>
      <w:r w:rsidRPr="00DC4B79">
        <w:rPr>
          <w:rFonts w:ascii="Arial" w:hAnsi="Arial" w:cs="Arial"/>
        </w:rPr>
        <w:t>Igeo</w:t>
      </w:r>
      <w:proofErr w:type="spellEnd"/>
      <w:r w:rsidRPr="00DC4B79">
        <w:rPr>
          <w:rFonts w:ascii="Arial" w:hAnsi="Arial" w:cs="Arial"/>
        </w:rPr>
        <w:t xml:space="preserve"> = 3.370) suggest that the soils are extremely contaminated, which proves that the contamination was not geogenic. This can be related to the theory of threshold stress in ecol</w:t>
      </w:r>
      <w:r w:rsidRPr="00E61C31">
        <w:rPr>
          <w:rFonts w:ascii="Arial" w:hAnsi="Arial" w:cs="Arial"/>
        </w:rPr>
        <w:t>ogy (Holling, 1973</w:t>
      </w:r>
      <w:r w:rsidR="00C92000" w:rsidRPr="00E61C31">
        <w:rPr>
          <w:rFonts w:ascii="Arial" w:hAnsi="Arial" w:cs="Arial"/>
        </w:rPr>
        <w:t xml:space="preserve"> as cited in Li et al., 2022</w:t>
      </w:r>
      <w:r w:rsidRPr="00E61C31">
        <w:rPr>
          <w:rFonts w:ascii="Arial" w:hAnsi="Arial" w:cs="Arial"/>
        </w:rPr>
        <w:t>), which suggests that ecologies can absorb stress up to a threshold, beyond</w:t>
      </w:r>
      <w:r w:rsidRPr="00DC4B79">
        <w:rPr>
          <w:rFonts w:ascii="Arial" w:hAnsi="Arial" w:cs="Arial"/>
        </w:rPr>
        <w:t xml:space="preserve"> which they enter a stage of irreversible degradation when this threshold is surpassed, as in the case of cadmium and zinc, the soils become deprived of buffering capacity, the balance of the microbes, and their resilience to the nutrient. Other reported similar contamination conditions have occurred in the Nile Delta (El-Taher </w:t>
      </w:r>
      <w:r w:rsidRPr="00A77FB3">
        <w:rPr>
          <w:rFonts w:ascii="Arial" w:hAnsi="Arial" w:cs="Arial"/>
          <w:iCs/>
        </w:rPr>
        <w:t>et al</w:t>
      </w:r>
      <w:r w:rsidRPr="00DC4B79">
        <w:rPr>
          <w:rFonts w:ascii="Arial" w:hAnsi="Arial" w:cs="Arial"/>
        </w:rPr>
        <w:t>., 2021) and in the phosphate-fertilized farmlands in Europe (</w:t>
      </w:r>
      <w:r w:rsidRPr="00DC4B79">
        <w:rPr>
          <w:rFonts w:ascii="Arial" w:hAnsi="Arial" w:cs="Arial"/>
          <w:color w:val="222222"/>
          <w:shd w:val="clear" w:color="auto" w:fill="FFFFFF"/>
        </w:rPr>
        <w:t xml:space="preserve">Barreau </w:t>
      </w:r>
      <w:r w:rsidRPr="00DC4B79">
        <w:rPr>
          <w:rFonts w:ascii="Arial" w:hAnsi="Arial" w:cs="Arial"/>
          <w:i/>
          <w:iCs/>
          <w:color w:val="222222"/>
          <w:shd w:val="clear" w:color="auto" w:fill="FFFFFF"/>
        </w:rPr>
        <w:t>et al</w:t>
      </w:r>
      <w:r w:rsidRPr="00DC4B79">
        <w:rPr>
          <w:rFonts w:ascii="Arial" w:hAnsi="Arial" w:cs="Arial"/>
          <w:color w:val="222222"/>
          <w:shd w:val="clear" w:color="auto" w:fill="FFFFFF"/>
        </w:rPr>
        <w:t>., 2018</w:t>
      </w:r>
      <w:r w:rsidRPr="00DC4B79">
        <w:rPr>
          <w:rFonts w:ascii="Arial" w:hAnsi="Arial" w:cs="Arial"/>
        </w:rPr>
        <w:t>). The implication of such comparisons is to highlight that the contamination pattern in this agroecosystem in Nigeria is not an isolated aberration but represents the universal process of fertilizer-induced contamination. The implication is that despite the average PLI indicating moderately healthy soil, some areas have already passed ecological recovery, necessitating specialized remediation before irreversible decrees are established.</w:t>
      </w:r>
    </w:p>
    <w:p w14:paraId="57278B57" w14:textId="77777777" w:rsidR="002C6CDB" w:rsidRPr="00DC4B79" w:rsidRDefault="002C6CDB" w:rsidP="002C6CDB">
      <w:pPr>
        <w:spacing w:line="360" w:lineRule="auto"/>
        <w:jc w:val="both"/>
        <w:rPr>
          <w:rFonts w:ascii="Arial" w:hAnsi="Arial" w:cs="Arial"/>
        </w:rPr>
      </w:pPr>
      <w:r w:rsidRPr="00DC4B79">
        <w:rPr>
          <w:rFonts w:ascii="Arial" w:hAnsi="Arial" w:cs="Arial"/>
        </w:rPr>
        <w:t xml:space="preserve">The Estimated Daily Intake (EDI) outcomes show that there exist severe differences in human exposure to toxic substances among adults and children, reflective of the human ecological vulnerability theory. The Al (5.920 mg/kg/day), Fe (5.997 mg/kg/day), and Cd (1.687 mg/kg/day) exposures in children were significantly higher than those in adults. The high EDI in children aligns with the concept of the biokinetic susceptibility model, which suggests that children have a lower body mass and are in habitual contact with their hands to mouth, making them more vulnerable to toxicant absorption (USEPA, 2011). Scholarly works in Nigeria conducted by </w:t>
      </w:r>
      <w:r w:rsidRPr="00DC4B79">
        <w:rPr>
          <w:rFonts w:ascii="Arial" w:hAnsi="Arial" w:cs="Arial"/>
          <w:color w:val="222222"/>
          <w:shd w:val="clear" w:color="auto" w:fill="FFFFFF"/>
        </w:rPr>
        <w:t xml:space="preserve">Eugene-Okorie </w:t>
      </w:r>
      <w:r w:rsidRPr="00DC4B79">
        <w:rPr>
          <w:rFonts w:ascii="Arial" w:hAnsi="Arial" w:cs="Arial"/>
          <w:i/>
          <w:iCs/>
        </w:rPr>
        <w:t>et al</w:t>
      </w:r>
      <w:r w:rsidRPr="00DC4B79">
        <w:rPr>
          <w:rFonts w:ascii="Arial" w:hAnsi="Arial" w:cs="Arial"/>
        </w:rPr>
        <w:t xml:space="preserve">. (2020) and Adebayo </w:t>
      </w:r>
      <w:r w:rsidRPr="00DC4B79">
        <w:rPr>
          <w:rFonts w:ascii="Arial" w:hAnsi="Arial" w:cs="Arial"/>
          <w:i/>
          <w:iCs/>
        </w:rPr>
        <w:t>et al</w:t>
      </w:r>
      <w:r w:rsidRPr="00DC4B79">
        <w:rPr>
          <w:rFonts w:ascii="Arial" w:hAnsi="Arial" w:cs="Arial"/>
        </w:rPr>
        <w:t xml:space="preserve">. (2025) indicated similar results, as children living around their industrial and agricultural facilities displayed 2-5 times more metal intake as compared to adults. </w:t>
      </w:r>
      <w:r w:rsidRPr="00DC4B79">
        <w:rPr>
          <w:rFonts w:ascii="Arial" w:hAnsi="Arial" w:cs="Arial"/>
        </w:rPr>
        <w:lastRenderedPageBreak/>
        <w:t xml:space="preserve">Other similar results had been observed in Bangladesh and Kenya (Mia </w:t>
      </w:r>
      <w:r w:rsidRPr="00A77FB3">
        <w:rPr>
          <w:rFonts w:ascii="Arial" w:hAnsi="Arial" w:cs="Arial"/>
          <w:iCs/>
        </w:rPr>
        <w:t>et al</w:t>
      </w:r>
      <w:r w:rsidRPr="00DC4B79">
        <w:rPr>
          <w:rFonts w:ascii="Arial" w:hAnsi="Arial" w:cs="Arial"/>
        </w:rPr>
        <w:t xml:space="preserve">., 2024), which supported the idea that </w:t>
      </w:r>
      <w:proofErr w:type="spellStart"/>
      <w:r w:rsidRPr="00DC4B79">
        <w:rPr>
          <w:rFonts w:ascii="Arial" w:hAnsi="Arial" w:cs="Arial"/>
        </w:rPr>
        <w:t>paediatric</w:t>
      </w:r>
      <w:proofErr w:type="spellEnd"/>
      <w:r w:rsidRPr="00DC4B79">
        <w:rPr>
          <w:rFonts w:ascii="Arial" w:hAnsi="Arial" w:cs="Arial"/>
        </w:rPr>
        <w:t xml:space="preserve"> groups are always at a disadvantage due to agrochemical metal residues. The implication is less about toxicology and more about sociology poor environmental inequality and failing governmental control, especially in developing settings, where children are exposed to polluted soils, inadequate agrochemical regulation, and a population lacking knowledge about the dangers of pollutant transfer through food.</w:t>
      </w:r>
    </w:p>
    <w:p w14:paraId="23197960" w14:textId="77777777" w:rsidR="002C6CDB" w:rsidRPr="00DC4B79" w:rsidRDefault="002C6CDB" w:rsidP="002C6CDB">
      <w:pPr>
        <w:spacing w:line="360" w:lineRule="auto"/>
        <w:jc w:val="both"/>
        <w:rPr>
          <w:rFonts w:ascii="Arial" w:hAnsi="Arial" w:cs="Arial"/>
        </w:rPr>
      </w:pPr>
      <w:r w:rsidRPr="00DC4B79">
        <w:rPr>
          <w:rFonts w:ascii="Arial" w:hAnsi="Arial" w:cs="Arial"/>
        </w:rPr>
        <w:t>This is enhanced by the non-carcinogenic hazard outcomes (HQ and HI). The Hazard Index (HI) of the adults (1825.015) and children (3443.060) is way above the safety threshold of unity, and this indicates that there are various pathways of chronic toxicity. These unusually high HI levels are unlikely but similar to those found in the Nigerian mining and trash incineration areas (</w:t>
      </w:r>
      <w:proofErr w:type="spellStart"/>
      <w:r w:rsidRPr="00DC4B79">
        <w:rPr>
          <w:rFonts w:ascii="Arial" w:hAnsi="Arial" w:cs="Arial"/>
        </w:rPr>
        <w:t>Iwegbue</w:t>
      </w:r>
      <w:proofErr w:type="spellEnd"/>
      <w:r w:rsidRPr="00DC4B79">
        <w:rPr>
          <w:rFonts w:ascii="Arial" w:hAnsi="Arial" w:cs="Arial"/>
        </w:rPr>
        <w:t xml:space="preserve"> </w:t>
      </w:r>
      <w:r w:rsidRPr="00A77FB3">
        <w:rPr>
          <w:rFonts w:ascii="Arial" w:hAnsi="Arial" w:cs="Arial"/>
          <w:iCs/>
        </w:rPr>
        <w:t>et al</w:t>
      </w:r>
      <w:r w:rsidRPr="00A77FB3">
        <w:rPr>
          <w:rFonts w:ascii="Arial" w:hAnsi="Arial" w:cs="Arial"/>
        </w:rPr>
        <w:t>.,</w:t>
      </w:r>
      <w:r w:rsidRPr="00DC4B79">
        <w:rPr>
          <w:rFonts w:ascii="Arial" w:hAnsi="Arial" w:cs="Arial"/>
        </w:rPr>
        <w:t xml:space="preserve"> 2021), agricultural soils in the Punjab region of Pakistan (</w:t>
      </w:r>
      <w:r w:rsidRPr="00DC4B79">
        <w:rPr>
          <w:rFonts w:ascii="Arial" w:hAnsi="Arial" w:cs="Arial"/>
          <w:color w:val="222222"/>
          <w:shd w:val="clear" w:color="auto" w:fill="FFFFFF"/>
        </w:rPr>
        <w:t xml:space="preserve">Sharma </w:t>
      </w:r>
      <w:r w:rsidRPr="00A77FB3">
        <w:rPr>
          <w:rFonts w:ascii="Arial" w:hAnsi="Arial" w:cs="Arial"/>
          <w:iCs/>
        </w:rPr>
        <w:t>et al</w:t>
      </w:r>
      <w:r w:rsidRPr="00DC4B79">
        <w:rPr>
          <w:rFonts w:ascii="Arial" w:hAnsi="Arial" w:cs="Arial"/>
        </w:rPr>
        <w:t xml:space="preserve">., 2023). This is in keeping with the cumulative risk assessment theory, which argues that chemical mixtures have synergistic toxicity even though at sub-lethal levels. Among the metals detected in this study as the main risk factors, Cd, Pb, and Ni have properties that additively affect the functioning of the renal and neurological systems (Jaishankar </w:t>
      </w:r>
      <w:r w:rsidRPr="00A77FB3">
        <w:rPr>
          <w:rFonts w:ascii="Arial" w:hAnsi="Arial" w:cs="Arial"/>
          <w:iCs/>
        </w:rPr>
        <w:t>et al</w:t>
      </w:r>
      <w:r w:rsidRPr="00DC4B79">
        <w:rPr>
          <w:rFonts w:ascii="Arial" w:hAnsi="Arial" w:cs="Arial"/>
        </w:rPr>
        <w:t>., 2024). The situation, in which both adults and children exceed the non-carcinogenic limit, means not only the local environmental pressure but the current state of emergency in the population. This evidence aligns with the findings of the European Food Safety Authority (EFSA and ECDC, 2024) and the Nigerian Environmental Standards and Regulations Enforcement Agency (NESREA, 2022), which identify Cd and Pb as the most persistent non-carcinogenic risks in agro-based communities.</w:t>
      </w:r>
    </w:p>
    <w:p w14:paraId="23521984" w14:textId="77777777" w:rsidR="002C6CDB" w:rsidRPr="00DC4B79" w:rsidRDefault="002C6CDB" w:rsidP="002C6CDB">
      <w:pPr>
        <w:spacing w:line="360" w:lineRule="auto"/>
        <w:jc w:val="both"/>
        <w:rPr>
          <w:rFonts w:ascii="Arial" w:hAnsi="Arial" w:cs="Arial"/>
        </w:rPr>
      </w:pPr>
      <w:r w:rsidRPr="00DC4B79">
        <w:rPr>
          <w:rFonts w:ascii="Arial" w:hAnsi="Arial" w:cs="Arial"/>
        </w:rPr>
        <w:t>It results that chromium (Cr) and cadmium (Cd) are the most dangerous causal agents of the lifetime cancer risk, and CR values (as high as 0.329 in children) surpass the acceptable limit set by USEPA (1x10</w:t>
      </w:r>
      <w:r w:rsidRPr="00DC4B79">
        <w:rPr>
          <w:rFonts w:ascii="Arial" w:hAnsi="Arial" w:cs="Arial"/>
          <w:vertAlign w:val="superscript"/>
        </w:rPr>
        <w:t>-4</w:t>
      </w:r>
      <w:r w:rsidRPr="00DC4B79">
        <w:rPr>
          <w:rFonts w:ascii="Arial" w:hAnsi="Arial" w:cs="Arial"/>
        </w:rPr>
        <w:t>). This finding validates the dose-response and oxidative stress hypothesis of environmental toxicology, in which chronically low levels of the redox-active metals cause mutagenic damage to DNA and oxidative imbalance (</w:t>
      </w:r>
      <w:r w:rsidRPr="00DC4B79">
        <w:rPr>
          <w:rFonts w:ascii="Arial" w:hAnsi="Arial" w:cs="Arial"/>
          <w:color w:val="222222"/>
          <w:shd w:val="clear" w:color="auto" w:fill="FFFFFF"/>
        </w:rPr>
        <w:t xml:space="preserve">Huang </w:t>
      </w:r>
      <w:r w:rsidRPr="00A77FB3">
        <w:rPr>
          <w:rFonts w:ascii="Arial" w:hAnsi="Arial" w:cs="Arial"/>
          <w:iCs/>
        </w:rPr>
        <w:t>et al</w:t>
      </w:r>
      <w:r w:rsidRPr="00A77FB3">
        <w:rPr>
          <w:rFonts w:ascii="Arial" w:hAnsi="Arial" w:cs="Arial"/>
        </w:rPr>
        <w:t>.,</w:t>
      </w:r>
      <w:r w:rsidRPr="00DC4B79">
        <w:rPr>
          <w:rFonts w:ascii="Arial" w:hAnsi="Arial" w:cs="Arial"/>
        </w:rPr>
        <w:t xml:space="preserve"> 2021). These results are also directly connected to the outcomes of the studies of industrial-urban interface in China and India (Li </w:t>
      </w:r>
      <w:r w:rsidRPr="00A77FB3">
        <w:rPr>
          <w:rFonts w:ascii="Arial" w:hAnsi="Arial" w:cs="Arial"/>
          <w:iCs/>
        </w:rPr>
        <w:t>et al</w:t>
      </w:r>
      <w:r w:rsidRPr="00DC4B79">
        <w:rPr>
          <w:rFonts w:ascii="Arial" w:hAnsi="Arial" w:cs="Arial"/>
        </w:rPr>
        <w:t>., 2021), where the same Cr (VI) and Cd loads were identified as the cause of increased respiratory and hepatic carcinogenesis. Similar CR values were found by Okunola and Okunola (2023) in the agricultural belts adjacent to oil spill and battery recycling areas in Nigeria. Therefore, the outcomes of the current research bring the studied agroecosystem to the same international trend of chronic low-dose carcinogenic exposure of marginal agricultural areas.</w:t>
      </w:r>
    </w:p>
    <w:p w14:paraId="1FA994ED" w14:textId="77777777" w:rsidR="002C6CDB" w:rsidRPr="00DC4B79" w:rsidRDefault="002C6CDB" w:rsidP="002C6CDB">
      <w:pPr>
        <w:spacing w:line="360" w:lineRule="auto"/>
        <w:jc w:val="both"/>
        <w:rPr>
          <w:rFonts w:ascii="Arial" w:hAnsi="Arial" w:cs="Arial"/>
        </w:rPr>
      </w:pPr>
      <w:r w:rsidRPr="00DC4B79">
        <w:rPr>
          <w:rFonts w:ascii="Arial" w:hAnsi="Arial" w:cs="Arial"/>
        </w:rPr>
        <w:t xml:space="preserve">There are also other implications besides the toxicological and ecological aspects of the results, which bear implications both in theory and practice. The Anthropocene environmental theory (Steffen </w:t>
      </w:r>
      <w:r w:rsidRPr="00A77FB3">
        <w:rPr>
          <w:rFonts w:ascii="Arial" w:hAnsi="Arial" w:cs="Arial"/>
          <w:iCs/>
        </w:rPr>
        <w:t>et al</w:t>
      </w:r>
      <w:r w:rsidRPr="00DC4B79">
        <w:rPr>
          <w:rFonts w:ascii="Arial" w:hAnsi="Arial" w:cs="Arial"/>
        </w:rPr>
        <w:t xml:space="preserve">., 2020) indicates that humanity has already become the overarching geologic force altering biogeochemical structures. The distribution patterns of contamination, particularly the enrichment of Cd and Zn in this case, embody the idea of the Anthropogenic Earth. The soils have ceased to be a renewable source of food and have become depositories of chemical legacies of modern agriculture, which can be viewed in the context of the so-called toxic remnants of the model established by </w:t>
      </w:r>
      <w:r w:rsidRPr="00DC4B79">
        <w:rPr>
          <w:rFonts w:ascii="Arial" w:hAnsi="Arial" w:cs="Arial"/>
          <w:color w:val="222222"/>
          <w:shd w:val="clear" w:color="auto" w:fill="FFFFFF"/>
        </w:rPr>
        <w:t xml:space="preserve">Pandey </w:t>
      </w:r>
      <w:r w:rsidRPr="00A77FB3">
        <w:rPr>
          <w:rFonts w:ascii="Arial" w:hAnsi="Arial" w:cs="Arial"/>
          <w:iCs/>
          <w:color w:val="222222"/>
          <w:shd w:val="clear" w:color="auto" w:fill="FFFFFF"/>
        </w:rPr>
        <w:t>et al</w:t>
      </w:r>
      <w:r w:rsidRPr="00DC4B79">
        <w:rPr>
          <w:rFonts w:ascii="Arial" w:hAnsi="Arial" w:cs="Arial"/>
          <w:color w:val="222222"/>
          <w:shd w:val="clear" w:color="auto" w:fill="FFFFFF"/>
        </w:rPr>
        <w:t xml:space="preserve">. </w:t>
      </w:r>
      <w:r w:rsidRPr="00DC4B79">
        <w:rPr>
          <w:rFonts w:ascii="Arial" w:hAnsi="Arial" w:cs="Arial"/>
        </w:rPr>
        <w:t>(2021). The results also correspond with the political ecology theory, which associates environmental degradation with structural inequalities and poor governance. The continued existence of high-risk values even after the issue of contamination is known is an indication of failures in regulations, lack of controlled agrochemicals imports and lack of education among farmers. The trend is related to case studies in Ghana and Indonesia where the cycles of continued exposure were supported by similar institutional lapses (</w:t>
      </w:r>
      <w:r w:rsidRPr="00DC4B79">
        <w:rPr>
          <w:rFonts w:ascii="Arial" w:hAnsi="Arial" w:cs="Arial"/>
          <w:color w:val="222222"/>
          <w:shd w:val="clear" w:color="auto" w:fill="FFFFFF"/>
        </w:rPr>
        <w:t xml:space="preserve">Asare </w:t>
      </w:r>
      <w:r w:rsidRPr="00A77FB3">
        <w:rPr>
          <w:rFonts w:ascii="Arial" w:hAnsi="Arial" w:cs="Arial"/>
          <w:iCs/>
        </w:rPr>
        <w:t>et al</w:t>
      </w:r>
      <w:r w:rsidRPr="00DC4B79">
        <w:rPr>
          <w:rFonts w:ascii="Arial" w:hAnsi="Arial" w:cs="Arial"/>
        </w:rPr>
        <w:t>., 2024).</w:t>
      </w:r>
    </w:p>
    <w:p w14:paraId="47C315E0" w14:textId="77777777" w:rsidR="002C6CDB" w:rsidRPr="00DC4B79" w:rsidRDefault="002C6CDB" w:rsidP="002C6CDB">
      <w:pPr>
        <w:spacing w:line="360" w:lineRule="auto"/>
        <w:jc w:val="both"/>
        <w:rPr>
          <w:rFonts w:ascii="Arial" w:hAnsi="Arial" w:cs="Arial"/>
        </w:rPr>
      </w:pPr>
      <w:r w:rsidRPr="00DC4B79">
        <w:rPr>
          <w:rFonts w:ascii="Arial" w:hAnsi="Arial" w:cs="Arial"/>
        </w:rPr>
        <w:t xml:space="preserve">In the context of complex adaptation theory, contamination coupled with human exposure and inadequate institutional control is an emergent characteristic of unsustainable socio-environmental feedback processes. The large values of Cd and Pb can be used as the so-called early warning signs of system instability, which implies possible irreversible tipping points in the agroecosystem unless action is taken. The ecological and health consequences that are present here, therefore, </w:t>
      </w:r>
      <w:r w:rsidRPr="00DC4B79">
        <w:rPr>
          <w:rFonts w:ascii="Arial" w:hAnsi="Arial" w:cs="Arial"/>
        </w:rPr>
        <w:lastRenderedPageBreak/>
        <w:t xml:space="preserve">stretch beyond the science to ethical and developmental consequences. In the philosophy of deep ecology </w:t>
      </w:r>
      <w:r w:rsidRPr="00E61C31">
        <w:rPr>
          <w:rFonts w:ascii="Arial" w:hAnsi="Arial" w:cs="Arial"/>
        </w:rPr>
        <w:t>(Naess, 1973</w:t>
      </w:r>
      <w:r w:rsidR="00C92000" w:rsidRPr="00E61C31">
        <w:rPr>
          <w:rFonts w:ascii="Arial" w:hAnsi="Arial" w:cs="Arial"/>
        </w:rPr>
        <w:t xml:space="preserve"> as cited in Quan, 2025</w:t>
      </w:r>
      <w:r w:rsidRPr="00E61C31">
        <w:rPr>
          <w:rFonts w:ascii="Arial" w:hAnsi="Arial" w:cs="Arial"/>
        </w:rPr>
        <w:t>), polluting the land people live on is a moral violation in humanity's custodianship</w:t>
      </w:r>
      <w:r w:rsidRPr="00DC4B79">
        <w:rPr>
          <w:rFonts w:ascii="Arial" w:hAnsi="Arial" w:cs="Arial"/>
        </w:rPr>
        <w:t xml:space="preserve"> of nature. In practice, these data necessitate the re-configuration of the cycle on mature conceptualizing towards circular economy and regenerative agriculture, in which seaweed sight, recovery of waste, and low-Cd fertilizers are at the center of the policy agenda.</w:t>
      </w:r>
    </w:p>
    <w:p w14:paraId="222AFAAF" w14:textId="77777777" w:rsidR="002C6CDB" w:rsidRPr="00DC4B79" w:rsidRDefault="002C6CDB" w:rsidP="002C6CDB">
      <w:pPr>
        <w:spacing w:line="360" w:lineRule="auto"/>
        <w:jc w:val="both"/>
        <w:rPr>
          <w:rFonts w:ascii="Arial" w:hAnsi="Arial" w:cs="Arial"/>
        </w:rPr>
      </w:pPr>
      <w:r w:rsidRPr="00DC4B79">
        <w:rPr>
          <w:rFonts w:ascii="Arial" w:hAnsi="Arial" w:cs="Arial"/>
        </w:rPr>
        <w:t xml:space="preserve">Practically, the research reveals an urgent policy gap in the agricultural environmental management in Nigeria. The trend of contamination in this case is similar to that in the </w:t>
      </w:r>
      <w:proofErr w:type="spellStart"/>
      <w:r w:rsidRPr="00DC4B79">
        <w:rPr>
          <w:rFonts w:ascii="Arial" w:hAnsi="Arial" w:cs="Arial"/>
        </w:rPr>
        <w:t>Enyigba</w:t>
      </w:r>
      <w:proofErr w:type="spellEnd"/>
      <w:r w:rsidRPr="00DC4B79">
        <w:rPr>
          <w:rFonts w:ascii="Arial" w:hAnsi="Arial" w:cs="Arial"/>
        </w:rPr>
        <w:t xml:space="preserve"> mining region, Kano farmlands, and the Niger Delta floodplains- making it important to have a countrywide heavy metal monitoring system. Efforts to limit the Cd concentration in soil modifiers in Europe, including the recent initiative in France (2024-2025) to ensure these substances contain less than 20mg/kg, are marked by effective precedents that can be localized. The truth, though, remains that in most parts of Nigerian farmlands, farms continue to rely on the use of imported or untested </w:t>
      </w:r>
      <w:proofErr w:type="spellStart"/>
      <w:r w:rsidRPr="00DC4B79">
        <w:rPr>
          <w:rFonts w:ascii="Arial" w:hAnsi="Arial" w:cs="Arial"/>
        </w:rPr>
        <w:t>fertilisers</w:t>
      </w:r>
      <w:proofErr w:type="spellEnd"/>
      <w:r w:rsidRPr="00DC4B79">
        <w:rPr>
          <w:rFonts w:ascii="Arial" w:hAnsi="Arial" w:cs="Arial"/>
        </w:rPr>
        <w:t xml:space="preserve"> whose origin cannot be traced. Otherwise, the pollution currently witnessed here will continue to be an unannounced epidemic affecting health, food safety, export trust, and rural lives.</w:t>
      </w:r>
    </w:p>
    <w:p w14:paraId="65DFC9EA" w14:textId="77777777" w:rsidR="002C6CDB" w:rsidRPr="00DC4B79" w:rsidRDefault="002C6CDB" w:rsidP="002C6CDB">
      <w:pPr>
        <w:spacing w:line="360" w:lineRule="auto"/>
        <w:jc w:val="both"/>
        <w:rPr>
          <w:rFonts w:ascii="Arial" w:hAnsi="Arial" w:cs="Arial"/>
        </w:rPr>
      </w:pPr>
      <w:r w:rsidRPr="00DC4B79">
        <w:rPr>
          <w:rFonts w:ascii="Arial" w:hAnsi="Arial" w:cs="Arial"/>
        </w:rPr>
        <w:t xml:space="preserve">The health risk patterns observed in this study align with recent findings from other agricultural zones in Nigeria. For instance, a 2025 study of agricultural soils in Bauchi State (Samaila </w:t>
      </w:r>
      <w:r w:rsidRPr="00A77FB3">
        <w:rPr>
          <w:rFonts w:ascii="Arial" w:hAnsi="Arial" w:cs="Arial"/>
          <w:iCs/>
        </w:rPr>
        <w:t>et al</w:t>
      </w:r>
      <w:r w:rsidRPr="00A77FB3">
        <w:rPr>
          <w:rFonts w:ascii="Arial" w:hAnsi="Arial" w:cs="Arial"/>
        </w:rPr>
        <w:t>.</w:t>
      </w:r>
      <w:r w:rsidR="00A77FB3">
        <w:rPr>
          <w:rFonts w:ascii="Arial" w:hAnsi="Arial" w:cs="Arial"/>
        </w:rPr>
        <w:t>,</w:t>
      </w:r>
      <w:r w:rsidRPr="00DC4B79">
        <w:rPr>
          <w:rFonts w:ascii="Arial" w:hAnsi="Arial" w:cs="Arial"/>
        </w:rPr>
        <w:t xml:space="preserve"> 2025) similarly reported that cadmium (Cd) and chromium (Cr) were the primary drivers of non-carcinogenic risk, particularly for children. In that study, like in ours, the hazard quotient for children significantly exceeded that of adults, confirming that children are disproportionately vulnerable to soil ingestion pathways. Additionally, research from the Katsina region has highlighted that even when soil metal levels appear moderate, the long-term Incremental Lifetime Cancer Risk (ILCR) often exceeds safety thresholds due to bioaccumulation in food crops. This regional consistency underscores that heavy metal contamination is not an isolated farm issue but a systemic challenge in Nigerian agro-ecological zones.</w:t>
      </w:r>
    </w:p>
    <w:p w14:paraId="5551F4A4" w14:textId="77777777" w:rsidR="000E1F57" w:rsidRPr="002C6CDB" w:rsidRDefault="000E1F57" w:rsidP="000E1F57">
      <w:pPr>
        <w:pStyle w:val="Head1"/>
        <w:spacing w:after="0"/>
        <w:jc w:val="both"/>
        <w:rPr>
          <w:rFonts w:ascii="Arial" w:hAnsi="Arial" w:cs="Arial"/>
        </w:rPr>
      </w:pPr>
    </w:p>
    <w:p w14:paraId="4423213A" w14:textId="77777777" w:rsidR="000E1F57" w:rsidRPr="002C6CDB" w:rsidRDefault="000E1F57" w:rsidP="000E1F57">
      <w:pPr>
        <w:pStyle w:val="ConcHead"/>
        <w:spacing w:after="0"/>
        <w:jc w:val="both"/>
        <w:rPr>
          <w:rFonts w:ascii="Arial" w:hAnsi="Arial" w:cs="Arial"/>
        </w:rPr>
      </w:pPr>
      <w:r w:rsidRPr="002C6CDB">
        <w:rPr>
          <w:rFonts w:ascii="Arial" w:hAnsi="Arial" w:cs="Arial"/>
        </w:rPr>
        <w:t>4. Conclusion</w:t>
      </w:r>
    </w:p>
    <w:p w14:paraId="12BE8C42" w14:textId="77777777" w:rsidR="000E1F57" w:rsidRPr="002C6CDB" w:rsidRDefault="000E1F57" w:rsidP="000E1F57">
      <w:pPr>
        <w:pStyle w:val="ConcHead"/>
        <w:spacing w:after="0"/>
        <w:jc w:val="both"/>
        <w:rPr>
          <w:rFonts w:ascii="Arial" w:hAnsi="Arial" w:cs="Arial"/>
        </w:rPr>
      </w:pPr>
    </w:p>
    <w:p w14:paraId="33177FD1" w14:textId="77777777" w:rsidR="002C6CDB" w:rsidRPr="002C6CDB" w:rsidRDefault="002C6CDB" w:rsidP="002C6CDB">
      <w:pPr>
        <w:spacing w:line="360" w:lineRule="auto"/>
        <w:jc w:val="both"/>
        <w:rPr>
          <w:rFonts w:ascii="Arial" w:hAnsi="Arial" w:cs="Arial"/>
        </w:rPr>
      </w:pPr>
      <w:r w:rsidRPr="002C6CDB">
        <w:rPr>
          <w:rFonts w:ascii="Arial" w:hAnsi="Arial" w:cs="Arial"/>
        </w:rPr>
        <w:t>This investigation provides compelling evidence that the unregulated use of agrochemicals has induced profound ecological degradation and severe public health hazards in the studied agricultural zones. The study established that agrochemical inputs significantly acidified the soil and disrupted nutrient stoichiometry. While microbial biomass showed resilience, the suppression of key enzymes like phosphatase and urease highlights a functional breakdown in nutrient mineralization processes essential for crop productivity. The soils were heavily burdened with Cadmium and Zinc, with contamination factors confirming anthropogenic enrichment rather than natural geogenic origins. This accumulation poses a risk of irreversible tipping points in the agroecosystem. The human health risk assessment reveals a critical situation. The Estimated Daily Intake (EDI) and Hazard Index (HI) values demonstrated that the local population faces chronic toxic exposure pathways, with children being disproportionately affected due to their physiological susceptibility. The carcinogenic risks associated with Chromium and Cadmium are orders of magnitude above safe limits, signaling a latent oncology crisis for the community.</w:t>
      </w:r>
    </w:p>
    <w:p w14:paraId="278F457A" w14:textId="77777777" w:rsidR="000E1F57" w:rsidRPr="00DC4B79" w:rsidRDefault="00DC4B79" w:rsidP="00DC4B79">
      <w:pPr>
        <w:spacing w:line="360" w:lineRule="auto"/>
        <w:jc w:val="both"/>
        <w:rPr>
          <w:rFonts w:ascii="Arial" w:hAnsi="Arial" w:cs="Arial"/>
          <w:b/>
          <w:bCs/>
          <w:caps/>
          <w:sz w:val="22"/>
        </w:rPr>
      </w:pPr>
      <w:r w:rsidRPr="00DC4B79">
        <w:rPr>
          <w:rFonts w:ascii="Arial" w:hAnsi="Arial" w:cs="Arial"/>
        </w:rPr>
        <w:t>Given the identified microbial resilience in these soils, future remediation strategies should focus on assisted bioremediation. Native bacterial isolates, particularly those capable of biosorption could be harnessed to stabilize cadmium and lead in situ. This approach would offer a sustainable alternative to chemical washing, preserving soil structure while mitigating the human health risks identified in this assessment. Furthermore, stricter regulatory frameworks for agrochemical imports and a transition toward regenerative agriculture are essential to prevent further toxic accumulation and safeguard food security in the region.</w:t>
      </w:r>
      <w:r w:rsidRPr="00DC4B79">
        <w:rPr>
          <w:rFonts w:ascii="Arial" w:hAnsi="Arial" w:cs="Arial"/>
          <w:b/>
          <w:bCs/>
          <w:caps/>
          <w:sz w:val="22"/>
        </w:rPr>
        <w:br w:type="page"/>
      </w:r>
    </w:p>
    <w:p w14:paraId="3C6E1CD6" w14:textId="77777777" w:rsidR="000E1F57" w:rsidRPr="002C6CDB" w:rsidRDefault="000E1F57" w:rsidP="000E1F57">
      <w:pPr>
        <w:pStyle w:val="ReferHead"/>
        <w:spacing w:after="0"/>
        <w:jc w:val="both"/>
        <w:rPr>
          <w:rFonts w:ascii="Arial" w:hAnsi="Arial" w:cs="Arial"/>
          <w:b w:val="0"/>
          <w:caps w:val="0"/>
          <w:sz w:val="20"/>
        </w:rPr>
      </w:pPr>
      <w:bookmarkStart w:id="0" w:name="_GoBack"/>
      <w:bookmarkEnd w:id="0"/>
    </w:p>
    <w:p w14:paraId="6755127C" w14:textId="77777777" w:rsidR="000E1F57" w:rsidRDefault="000E1F57" w:rsidP="000E1F57">
      <w:pPr>
        <w:pStyle w:val="ReferHead"/>
        <w:spacing w:after="0"/>
        <w:jc w:val="both"/>
        <w:rPr>
          <w:rFonts w:ascii="Arial" w:hAnsi="Arial" w:cs="Arial"/>
        </w:rPr>
      </w:pPr>
      <w:r w:rsidRPr="002C6CDB">
        <w:rPr>
          <w:rFonts w:ascii="Arial" w:hAnsi="Arial" w:cs="Arial"/>
        </w:rPr>
        <w:t>References</w:t>
      </w:r>
    </w:p>
    <w:p w14:paraId="34372352" w14:textId="44B58113" w:rsidR="00A7527F" w:rsidRPr="00176E2B" w:rsidRDefault="00A7527F" w:rsidP="00176E2B">
      <w:pPr>
        <w:ind w:left="360"/>
        <w:jc w:val="both"/>
        <w:rPr>
          <w:rFonts w:ascii="Arial" w:hAnsi="Arial" w:cs="Arial"/>
        </w:rPr>
      </w:pPr>
      <w:r w:rsidRPr="00176E2B">
        <w:rPr>
          <w:rFonts w:ascii="Arial" w:hAnsi="Arial" w:cs="Arial"/>
          <w:color w:val="222222"/>
          <w:shd w:val="clear" w:color="auto" w:fill="FFFFFF"/>
        </w:rPr>
        <w:t xml:space="preserve">Adebayo, I. T., Ajibola, S., Ahmad, A., Cartujo, P., Muritala, I., </w:t>
      </w:r>
      <w:proofErr w:type="spellStart"/>
      <w:r w:rsidRPr="00176E2B">
        <w:rPr>
          <w:rFonts w:ascii="Arial" w:hAnsi="Arial" w:cs="Arial"/>
          <w:color w:val="222222"/>
          <w:shd w:val="clear" w:color="auto" w:fill="FFFFFF"/>
        </w:rPr>
        <w:t>Elegbede</w:t>
      </w:r>
      <w:proofErr w:type="spellEnd"/>
      <w:r w:rsidRPr="00176E2B">
        <w:rPr>
          <w:rFonts w:ascii="Arial" w:hAnsi="Arial" w:cs="Arial"/>
          <w:color w:val="222222"/>
          <w:shd w:val="clear" w:color="auto" w:fill="FFFFFF"/>
        </w:rPr>
        <w:t xml:space="preserve">, I. O., Cabral, P., &amp; Martos, V. (2025). Understanding the application of digital technologies in aquaculture supply chains through a systematic literature review. Aquaculture International, 33(6), 397. </w:t>
      </w:r>
      <w:hyperlink r:id="rId14" w:history="1">
        <w:r w:rsidRPr="00176E2B">
          <w:rPr>
            <w:rStyle w:val="Hyperlink"/>
            <w:rFonts w:ascii="Arial" w:hAnsi="Arial" w:cs="Arial"/>
            <w:shd w:val="clear" w:color="auto" w:fill="FFFFFF"/>
          </w:rPr>
          <w:t>https://doi.org/10.1007/s10499-025-02069-7</w:t>
        </w:r>
      </w:hyperlink>
    </w:p>
    <w:p w14:paraId="0083F14D" w14:textId="3BA7ECE0" w:rsidR="005F1655" w:rsidRPr="00176E2B" w:rsidRDefault="005F1655" w:rsidP="00176E2B">
      <w:pPr>
        <w:ind w:left="360"/>
        <w:jc w:val="both"/>
        <w:rPr>
          <w:rFonts w:ascii="Arial" w:hAnsi="Arial" w:cs="Arial"/>
        </w:rPr>
      </w:pPr>
      <w:proofErr w:type="spellStart"/>
      <w:r w:rsidRPr="00176E2B">
        <w:rPr>
          <w:rFonts w:ascii="Arial" w:hAnsi="Arial" w:cs="Arial"/>
        </w:rPr>
        <w:t>Agbenin</w:t>
      </w:r>
      <w:proofErr w:type="spellEnd"/>
      <w:r w:rsidRPr="00176E2B">
        <w:rPr>
          <w:rFonts w:ascii="Arial" w:hAnsi="Arial" w:cs="Arial"/>
        </w:rPr>
        <w:t xml:space="preserve">, J. O. (1995). </w:t>
      </w:r>
      <w:r w:rsidRPr="00176E2B">
        <w:rPr>
          <w:rFonts w:ascii="Arial" w:hAnsi="Arial" w:cs="Arial"/>
          <w:i/>
          <w:iCs/>
        </w:rPr>
        <w:t>Laboratory manual for soil and plant analysis: Selected methods and data analysis</w:t>
      </w:r>
      <w:r w:rsidRPr="00176E2B">
        <w:rPr>
          <w:rFonts w:ascii="Arial" w:hAnsi="Arial" w:cs="Arial"/>
        </w:rPr>
        <w:t>. Zaria, Nigeria: Department of Soil Science, Ahmadu Bello University.</w:t>
      </w:r>
    </w:p>
    <w:p w14:paraId="029D347B" w14:textId="0C72A068" w:rsidR="00A7527F" w:rsidRPr="00176E2B" w:rsidRDefault="00A7527F" w:rsidP="00176E2B">
      <w:pPr>
        <w:ind w:left="360"/>
        <w:jc w:val="both"/>
        <w:rPr>
          <w:rFonts w:ascii="Arial" w:hAnsi="Arial" w:cs="Arial"/>
          <w:color w:val="222222"/>
          <w:shd w:val="clear" w:color="auto" w:fill="FFFFFF"/>
        </w:rPr>
      </w:pPr>
      <w:r w:rsidRPr="00176E2B">
        <w:rPr>
          <w:rFonts w:ascii="Arial" w:hAnsi="Arial" w:cs="Arial"/>
          <w:color w:val="222222"/>
          <w:shd w:val="clear" w:color="auto" w:fill="FFFFFF"/>
        </w:rPr>
        <w:t xml:space="preserve">Asare, P., Sarpong, K., Gyamfi, O., </w:t>
      </w:r>
      <w:proofErr w:type="spellStart"/>
      <w:r w:rsidRPr="00176E2B">
        <w:rPr>
          <w:rFonts w:ascii="Arial" w:hAnsi="Arial" w:cs="Arial"/>
          <w:color w:val="222222"/>
          <w:shd w:val="clear" w:color="auto" w:fill="FFFFFF"/>
        </w:rPr>
        <w:t>Ankapong</w:t>
      </w:r>
      <w:proofErr w:type="spellEnd"/>
      <w:r w:rsidRPr="00176E2B">
        <w:rPr>
          <w:rFonts w:ascii="Arial" w:hAnsi="Arial" w:cs="Arial"/>
          <w:color w:val="222222"/>
          <w:shd w:val="clear" w:color="auto" w:fill="FFFFFF"/>
        </w:rPr>
        <w:t xml:space="preserve">, E., Agyei, V., Amissah-Reynolds, P. K., &amp; </w:t>
      </w:r>
      <w:proofErr w:type="spellStart"/>
      <w:r w:rsidRPr="00176E2B">
        <w:rPr>
          <w:rFonts w:ascii="Arial" w:hAnsi="Arial" w:cs="Arial"/>
          <w:color w:val="222222"/>
          <w:shd w:val="clear" w:color="auto" w:fill="FFFFFF"/>
        </w:rPr>
        <w:t>Dartey</w:t>
      </w:r>
      <w:proofErr w:type="spellEnd"/>
      <w:r w:rsidRPr="00176E2B">
        <w:rPr>
          <w:rFonts w:ascii="Arial" w:hAnsi="Arial" w:cs="Arial"/>
          <w:color w:val="222222"/>
          <w:shd w:val="clear" w:color="auto" w:fill="FFFFFF"/>
        </w:rPr>
        <w:t xml:space="preserve">, E. (2024). Contamination and health risk assessment of potentially toxic elements in rice (Oryza sativa) and soil from Ashanti Region. Environmental Monitoring and Assessment. </w:t>
      </w:r>
      <w:hyperlink r:id="rId15" w:history="1">
        <w:r w:rsidRPr="00176E2B">
          <w:rPr>
            <w:rStyle w:val="Hyperlink"/>
            <w:rFonts w:ascii="Arial" w:hAnsi="Arial" w:cs="Arial"/>
            <w:shd w:val="clear" w:color="auto" w:fill="FFFFFF"/>
          </w:rPr>
          <w:t>https://doi.org/10.1007/s10661-024-13340-4</w:t>
        </w:r>
      </w:hyperlink>
    </w:p>
    <w:p w14:paraId="05825ADF" w14:textId="42D47591" w:rsidR="00A7527F" w:rsidRPr="00176E2B" w:rsidRDefault="00A7527F" w:rsidP="00176E2B">
      <w:pPr>
        <w:ind w:left="360"/>
        <w:jc w:val="both"/>
        <w:rPr>
          <w:rFonts w:ascii="Arial" w:hAnsi="Arial" w:cs="Arial"/>
        </w:rPr>
      </w:pPr>
      <w:proofErr w:type="spellStart"/>
      <w:r w:rsidRPr="00176E2B">
        <w:rPr>
          <w:rFonts w:ascii="Arial" w:hAnsi="Arial" w:cs="Arial"/>
        </w:rPr>
        <w:t>Attademo</w:t>
      </w:r>
      <w:proofErr w:type="spellEnd"/>
      <w:r w:rsidRPr="00176E2B">
        <w:rPr>
          <w:rFonts w:ascii="Arial" w:hAnsi="Arial" w:cs="Arial"/>
        </w:rPr>
        <w:t xml:space="preserve">, A. M., Sanchez-Hernandez, J. C., </w:t>
      </w:r>
      <w:proofErr w:type="spellStart"/>
      <w:r w:rsidRPr="00176E2B">
        <w:rPr>
          <w:rFonts w:ascii="Arial" w:hAnsi="Arial" w:cs="Arial"/>
        </w:rPr>
        <w:t>Lajmanovich</w:t>
      </w:r>
      <w:proofErr w:type="spellEnd"/>
      <w:r w:rsidRPr="00176E2B">
        <w:rPr>
          <w:rFonts w:ascii="Arial" w:hAnsi="Arial" w:cs="Arial"/>
        </w:rPr>
        <w:t xml:space="preserve">, R. C., Repetti, M. R., &amp; Peltzer, P. M. (2021). Enzyme Activities as Indicators of Soil Quality: Response to Intensive Soybean and Rice Crops. Water Air Soil Pollution, 232(295). </w:t>
      </w:r>
      <w:hyperlink r:id="rId16" w:history="1">
        <w:r w:rsidRPr="00176E2B">
          <w:rPr>
            <w:rStyle w:val="Hyperlink"/>
            <w:rFonts w:ascii="Arial" w:hAnsi="Arial" w:cs="Arial"/>
          </w:rPr>
          <w:t>https://doi.org/10.1007/s11270-021-05211-2</w:t>
        </w:r>
      </w:hyperlink>
    </w:p>
    <w:p w14:paraId="3A79BCCA" w14:textId="6BC91CDC" w:rsidR="00A7527F" w:rsidRPr="00176E2B" w:rsidRDefault="00A7527F" w:rsidP="00176E2B">
      <w:pPr>
        <w:ind w:left="360"/>
        <w:jc w:val="both"/>
        <w:rPr>
          <w:rFonts w:ascii="Arial" w:hAnsi="Arial" w:cs="Arial"/>
        </w:rPr>
      </w:pPr>
      <w:r w:rsidRPr="00176E2B">
        <w:rPr>
          <w:rFonts w:ascii="Arial" w:hAnsi="Arial" w:cs="Arial"/>
        </w:rPr>
        <w:t xml:space="preserve">Babu, P. M., Panda, N., Nayak, R. K., Sethi, D., Biswal, S., Mishra, M. K., Datta, S., </w:t>
      </w:r>
      <w:proofErr w:type="spellStart"/>
      <w:r w:rsidRPr="00176E2B">
        <w:rPr>
          <w:rFonts w:ascii="Arial" w:hAnsi="Arial" w:cs="Arial"/>
        </w:rPr>
        <w:t>Karubakee</w:t>
      </w:r>
      <w:proofErr w:type="spellEnd"/>
      <w:r w:rsidRPr="00176E2B">
        <w:rPr>
          <w:rFonts w:ascii="Arial" w:hAnsi="Arial" w:cs="Arial"/>
        </w:rPr>
        <w:t xml:space="preserve">, S., Suchitha, N. S., </w:t>
      </w:r>
      <w:proofErr w:type="spellStart"/>
      <w:r w:rsidRPr="00176E2B">
        <w:rPr>
          <w:rFonts w:ascii="Arial" w:hAnsi="Arial" w:cs="Arial"/>
        </w:rPr>
        <w:t>Prusty</w:t>
      </w:r>
      <w:proofErr w:type="spellEnd"/>
      <w:r w:rsidRPr="00176E2B">
        <w:rPr>
          <w:rFonts w:ascii="Arial" w:hAnsi="Arial" w:cs="Arial"/>
        </w:rPr>
        <w:t xml:space="preserve">, M., Nayak, A., Dash, R., &amp; </w:t>
      </w:r>
      <w:proofErr w:type="spellStart"/>
      <w:r w:rsidRPr="00176E2B">
        <w:rPr>
          <w:rFonts w:ascii="Arial" w:hAnsi="Arial" w:cs="Arial"/>
        </w:rPr>
        <w:t>Pattanayak</w:t>
      </w:r>
      <w:proofErr w:type="spellEnd"/>
      <w:r w:rsidRPr="00176E2B">
        <w:rPr>
          <w:rFonts w:ascii="Arial" w:hAnsi="Arial" w:cs="Arial"/>
        </w:rPr>
        <w:t xml:space="preserve">, S. K. (2025). Isolation, characterization and screening of phosphate (P) solubilizing actinomycetes and exploring its potency in finger millet (Eleusine coracana L.). BMC Plant Biology, 25(1), 362. </w:t>
      </w:r>
      <w:hyperlink r:id="rId17" w:history="1">
        <w:r w:rsidRPr="00176E2B">
          <w:rPr>
            <w:rStyle w:val="Hyperlink"/>
            <w:rFonts w:ascii="Arial" w:hAnsi="Arial" w:cs="Arial"/>
          </w:rPr>
          <w:t>https://doi.org/10.1186/s12870-025-06385-1</w:t>
        </w:r>
      </w:hyperlink>
    </w:p>
    <w:p w14:paraId="3F206106" w14:textId="7DD9AB15" w:rsidR="00A7527F" w:rsidRPr="00176E2B" w:rsidRDefault="00A7527F" w:rsidP="00176E2B">
      <w:pPr>
        <w:ind w:left="360"/>
        <w:jc w:val="both"/>
        <w:rPr>
          <w:rFonts w:ascii="Arial" w:hAnsi="Arial" w:cs="Arial"/>
        </w:rPr>
      </w:pPr>
      <w:r w:rsidRPr="00176E2B">
        <w:rPr>
          <w:rFonts w:ascii="Arial" w:hAnsi="Arial" w:cs="Arial"/>
          <w:color w:val="222222"/>
          <w:shd w:val="clear" w:color="auto" w:fill="FFFFFF"/>
        </w:rPr>
        <w:t xml:space="preserve">Barreau, S., Magnier, J., &amp; </w:t>
      </w:r>
      <w:proofErr w:type="spellStart"/>
      <w:r w:rsidRPr="00176E2B">
        <w:rPr>
          <w:rFonts w:ascii="Arial" w:hAnsi="Arial" w:cs="Arial"/>
          <w:color w:val="222222"/>
          <w:shd w:val="clear" w:color="auto" w:fill="FFFFFF"/>
        </w:rPr>
        <w:t>Alcouffe</w:t>
      </w:r>
      <w:proofErr w:type="spellEnd"/>
      <w:r w:rsidRPr="00176E2B">
        <w:rPr>
          <w:rFonts w:ascii="Arial" w:hAnsi="Arial" w:cs="Arial"/>
          <w:color w:val="222222"/>
          <w:shd w:val="clear" w:color="auto" w:fill="FFFFFF"/>
        </w:rPr>
        <w:t xml:space="preserve">, C. (2018). Agricultural phosphorus regulation in Europe – Experience-sharing for 4 European countries. International Office for Water. </w:t>
      </w:r>
      <w:hyperlink r:id="rId18" w:history="1">
        <w:r w:rsidRPr="00176E2B">
          <w:rPr>
            <w:rStyle w:val="Hyperlink"/>
            <w:rFonts w:ascii="Arial" w:hAnsi="Arial" w:cs="Arial"/>
            <w:shd w:val="clear" w:color="auto" w:fill="FFFFFF"/>
          </w:rPr>
          <w:t>https://www.oieau.fr/eaudoc/notice/R%C3%A9glementation-sur-le-phosphore-en-agriculture-en-europe-partage-d-exp%C3%A9riences-pour-4-pays-europ%C3%A9ens</w:t>
        </w:r>
      </w:hyperlink>
    </w:p>
    <w:p w14:paraId="3DA0C5C3" w14:textId="1F6D5FD0" w:rsidR="00A7527F" w:rsidRPr="00176E2B" w:rsidRDefault="00A7527F" w:rsidP="00176E2B">
      <w:pPr>
        <w:ind w:left="360"/>
        <w:jc w:val="both"/>
        <w:rPr>
          <w:rFonts w:ascii="Arial" w:hAnsi="Arial" w:cs="Arial"/>
        </w:rPr>
      </w:pPr>
      <w:r w:rsidRPr="00176E2B">
        <w:rPr>
          <w:rFonts w:ascii="Arial" w:hAnsi="Arial" w:cs="Arial"/>
          <w:color w:val="222222"/>
          <w:shd w:val="clear" w:color="auto" w:fill="FFFFFF"/>
        </w:rPr>
        <w:t xml:space="preserve">Bhardwaj, A. K., Malik, K., Rani, M., Mandal, U. K., Basak, N., Singh, A., Yadav, R. K., ... Sharma, D. K. (2023). Residue recycling options and their implications for sustainable nitrogen management in rice–wheat agroecosystems. Ecological Processes, 12, Article 53. </w:t>
      </w:r>
      <w:hyperlink r:id="rId19" w:history="1">
        <w:r w:rsidRPr="00176E2B">
          <w:rPr>
            <w:rStyle w:val="Hyperlink"/>
            <w:rFonts w:ascii="Arial" w:hAnsi="Arial" w:cs="Arial"/>
            <w:shd w:val="clear" w:color="auto" w:fill="FFFFFF"/>
          </w:rPr>
          <w:t>https://doi.org/10.1186/s13717-023-00464-7</w:t>
        </w:r>
      </w:hyperlink>
    </w:p>
    <w:p w14:paraId="3A3A8E65" w14:textId="34399157" w:rsidR="00A7527F" w:rsidRPr="00176E2B" w:rsidRDefault="00A7527F" w:rsidP="00176E2B">
      <w:pPr>
        <w:ind w:left="360"/>
        <w:jc w:val="both"/>
        <w:rPr>
          <w:rFonts w:ascii="Arial" w:hAnsi="Arial" w:cs="Arial"/>
        </w:rPr>
      </w:pPr>
      <w:proofErr w:type="spellStart"/>
      <w:r w:rsidRPr="00176E2B">
        <w:rPr>
          <w:rFonts w:ascii="Arial" w:hAnsi="Arial" w:cs="Arial"/>
        </w:rPr>
        <w:t>Bouyoucos</w:t>
      </w:r>
      <w:proofErr w:type="spellEnd"/>
      <w:r w:rsidRPr="00176E2B">
        <w:rPr>
          <w:rFonts w:ascii="Arial" w:hAnsi="Arial" w:cs="Arial"/>
        </w:rPr>
        <w:t xml:space="preserve">, G. J. (1962). Hydrometer Method Improved for Making Particle Size Analyses of Soils1. Agronomy Journal, 54(5), 464–465. </w:t>
      </w:r>
      <w:hyperlink r:id="rId20" w:history="1">
        <w:r w:rsidRPr="00176E2B">
          <w:rPr>
            <w:rStyle w:val="Hyperlink"/>
            <w:rFonts w:ascii="Arial" w:hAnsi="Arial" w:cs="Arial"/>
          </w:rPr>
          <w:t>https://doi.org/10.2134/agronj1962.00021962005400050028x</w:t>
        </w:r>
      </w:hyperlink>
    </w:p>
    <w:p w14:paraId="61D3936A" w14:textId="209B36BE" w:rsidR="00A7527F" w:rsidRPr="00A7527F" w:rsidRDefault="00A7527F" w:rsidP="00176E2B">
      <w:pPr>
        <w:pStyle w:val="NormalWeb"/>
        <w:spacing w:before="0" w:beforeAutospacing="0" w:after="0" w:afterAutospacing="0"/>
        <w:ind w:left="360"/>
        <w:jc w:val="both"/>
        <w:rPr>
          <w:rFonts w:ascii="Arial" w:hAnsi="Arial" w:cs="Arial"/>
          <w:sz w:val="20"/>
          <w:szCs w:val="20"/>
        </w:rPr>
      </w:pPr>
      <w:r w:rsidRPr="00A7527F">
        <w:rPr>
          <w:rFonts w:ascii="Arial" w:eastAsiaTheme="minorHAnsi" w:hAnsi="Arial" w:cs="Arial"/>
          <w:sz w:val="22"/>
          <w:szCs w:val="22"/>
        </w:rPr>
        <w:t xml:space="preserve">Casida, L. E., Klein, D. A., &amp; Santoro, T. (1964). Soil dehydrogenase activity. Soil Science, 98(6), 371-376. </w:t>
      </w:r>
      <w:hyperlink r:id="rId21" w:history="1">
        <w:r w:rsidRPr="00C92FB5">
          <w:rPr>
            <w:rStyle w:val="Hyperlink"/>
            <w:rFonts w:ascii="Arial" w:eastAsiaTheme="minorHAnsi" w:hAnsi="Arial" w:cs="Arial"/>
            <w:sz w:val="22"/>
            <w:szCs w:val="22"/>
          </w:rPr>
          <w:t>https://doi.org/10.1097/00010694-196412000-00004</w:t>
        </w:r>
      </w:hyperlink>
    </w:p>
    <w:p w14:paraId="48E29CC0" w14:textId="6320A20E" w:rsidR="00A7527F" w:rsidRDefault="00A7527F" w:rsidP="00176E2B">
      <w:pPr>
        <w:pStyle w:val="NormalWeb"/>
        <w:spacing w:before="0" w:beforeAutospacing="0" w:after="0" w:afterAutospacing="0"/>
        <w:ind w:left="360"/>
        <w:jc w:val="both"/>
        <w:rPr>
          <w:rFonts w:ascii="Arial" w:hAnsi="Arial" w:cs="Arial"/>
          <w:sz w:val="20"/>
          <w:szCs w:val="20"/>
        </w:rPr>
      </w:pPr>
      <w:r w:rsidRPr="00A7527F">
        <w:rPr>
          <w:rFonts w:ascii="Arial" w:hAnsi="Arial" w:cs="Arial"/>
          <w:sz w:val="20"/>
          <w:szCs w:val="20"/>
        </w:rPr>
        <w:t xml:space="preserve">Daniels, W. L. (2016). The Nature and Properties of Soils, 15th Edition. *Soil Science Society of America Journal*, *80*(5), 1428. </w:t>
      </w:r>
      <w:hyperlink r:id="rId22" w:history="1">
        <w:r w:rsidRPr="00C92FB5">
          <w:rPr>
            <w:rStyle w:val="Hyperlink"/>
            <w:rFonts w:ascii="Arial" w:hAnsi="Arial" w:cs="Arial"/>
            <w:sz w:val="20"/>
            <w:szCs w:val="20"/>
          </w:rPr>
          <w:t>https://doi.org/10.2136/sssaj2016.0005br</w:t>
        </w:r>
      </w:hyperlink>
    </w:p>
    <w:p w14:paraId="1552D7B7" w14:textId="6453748D" w:rsidR="00A7527F" w:rsidRDefault="00A7527F" w:rsidP="00176E2B">
      <w:pPr>
        <w:pStyle w:val="NormalWeb"/>
        <w:spacing w:before="0" w:beforeAutospacing="0" w:after="0" w:afterAutospacing="0"/>
        <w:ind w:left="360"/>
        <w:jc w:val="both"/>
        <w:rPr>
          <w:rFonts w:ascii="Arial" w:hAnsi="Arial" w:cs="Arial"/>
          <w:sz w:val="20"/>
          <w:szCs w:val="20"/>
        </w:rPr>
      </w:pPr>
      <w:r w:rsidRPr="00A7527F">
        <w:rPr>
          <w:rFonts w:ascii="Arial" w:hAnsi="Arial" w:cs="Arial"/>
          <w:sz w:val="20"/>
          <w:szCs w:val="20"/>
        </w:rPr>
        <w:t xml:space="preserve">Datta, R., Kelkar, A., </w:t>
      </w:r>
      <w:proofErr w:type="spellStart"/>
      <w:r w:rsidRPr="00A7527F">
        <w:rPr>
          <w:rFonts w:ascii="Arial" w:hAnsi="Arial" w:cs="Arial"/>
          <w:sz w:val="20"/>
          <w:szCs w:val="20"/>
        </w:rPr>
        <w:t>Baraniya</w:t>
      </w:r>
      <w:proofErr w:type="spellEnd"/>
      <w:r w:rsidRPr="00A7527F">
        <w:rPr>
          <w:rFonts w:ascii="Arial" w:hAnsi="Arial" w:cs="Arial"/>
          <w:sz w:val="20"/>
          <w:szCs w:val="20"/>
        </w:rPr>
        <w:t xml:space="preserve">, D., Molaei, A., </w:t>
      </w:r>
      <w:proofErr w:type="spellStart"/>
      <w:r w:rsidRPr="00A7527F">
        <w:rPr>
          <w:rFonts w:ascii="Arial" w:hAnsi="Arial" w:cs="Arial"/>
          <w:sz w:val="20"/>
          <w:szCs w:val="20"/>
        </w:rPr>
        <w:t>Moulick</w:t>
      </w:r>
      <w:proofErr w:type="spellEnd"/>
      <w:r w:rsidRPr="00A7527F">
        <w:rPr>
          <w:rFonts w:ascii="Arial" w:hAnsi="Arial" w:cs="Arial"/>
          <w:sz w:val="20"/>
          <w:szCs w:val="20"/>
        </w:rPr>
        <w:t xml:space="preserve">, A., Meena, R. S., &amp; Formanek, P. (2017). Enzymatic Degradation of Lignin in Soil: A Review. Sustainability, 9(7), 1163. </w:t>
      </w:r>
      <w:hyperlink r:id="rId23" w:history="1">
        <w:r w:rsidRPr="00C92FB5">
          <w:rPr>
            <w:rStyle w:val="Hyperlink"/>
            <w:rFonts w:ascii="Arial" w:hAnsi="Arial" w:cs="Arial"/>
            <w:sz w:val="20"/>
            <w:szCs w:val="20"/>
          </w:rPr>
          <w:t>https://doi.org/10.3390/su9071163</w:t>
        </w:r>
      </w:hyperlink>
    </w:p>
    <w:p w14:paraId="75612269" w14:textId="3317785F" w:rsidR="00A7527F" w:rsidRPr="00176E2B" w:rsidRDefault="00A7527F" w:rsidP="00176E2B">
      <w:pPr>
        <w:ind w:left="360"/>
        <w:jc w:val="both"/>
        <w:rPr>
          <w:rFonts w:ascii="Arial" w:hAnsi="Arial" w:cs="Arial"/>
        </w:rPr>
      </w:pPr>
      <w:proofErr w:type="spellStart"/>
      <w:r w:rsidRPr="00176E2B">
        <w:rPr>
          <w:rFonts w:ascii="Arial" w:hAnsi="Arial" w:cs="Arial"/>
        </w:rPr>
        <w:t>Dayo-Olagbende</w:t>
      </w:r>
      <w:proofErr w:type="spellEnd"/>
      <w:r w:rsidRPr="00176E2B">
        <w:rPr>
          <w:rFonts w:ascii="Arial" w:hAnsi="Arial" w:cs="Arial"/>
        </w:rPr>
        <w:t xml:space="preserve">, O. G., Sanni, K. O., </w:t>
      </w:r>
      <w:proofErr w:type="spellStart"/>
      <w:r w:rsidRPr="00176E2B">
        <w:rPr>
          <w:rFonts w:ascii="Arial" w:hAnsi="Arial" w:cs="Arial"/>
        </w:rPr>
        <w:t>Godonu</w:t>
      </w:r>
      <w:proofErr w:type="spellEnd"/>
      <w:r w:rsidRPr="00176E2B">
        <w:rPr>
          <w:rFonts w:ascii="Arial" w:hAnsi="Arial" w:cs="Arial"/>
        </w:rPr>
        <w:t xml:space="preserve">, K. G., Agoro, A. R., &amp; </w:t>
      </w:r>
      <w:proofErr w:type="spellStart"/>
      <w:r w:rsidRPr="00176E2B">
        <w:rPr>
          <w:rFonts w:ascii="Arial" w:hAnsi="Arial" w:cs="Arial"/>
        </w:rPr>
        <w:t>Ewulo</w:t>
      </w:r>
      <w:proofErr w:type="spellEnd"/>
      <w:r w:rsidRPr="00176E2B">
        <w:rPr>
          <w:rFonts w:ascii="Arial" w:hAnsi="Arial" w:cs="Arial"/>
        </w:rPr>
        <w:t xml:space="preserve">, B. S. (2025). Evaluating soil enzymatic activities under different oxidation-reduction status. International Journal of Biological and Chemical Sciences, 19(2), 419–432. </w:t>
      </w:r>
      <w:hyperlink r:id="rId24" w:history="1">
        <w:r w:rsidRPr="00176E2B">
          <w:rPr>
            <w:rStyle w:val="Hyperlink"/>
            <w:rFonts w:ascii="Arial" w:hAnsi="Arial" w:cs="Arial"/>
          </w:rPr>
          <w:t>https://doi.org/10.4314/ijbcs.v19i2.2</w:t>
        </w:r>
      </w:hyperlink>
    </w:p>
    <w:p w14:paraId="6554BE23" w14:textId="45B89F95" w:rsidR="00A7527F" w:rsidRPr="00A7527F" w:rsidRDefault="00A7527F" w:rsidP="00176E2B">
      <w:pPr>
        <w:pStyle w:val="NormalWeb"/>
        <w:spacing w:before="0" w:beforeAutospacing="0" w:after="0" w:afterAutospacing="0"/>
        <w:ind w:left="360"/>
        <w:jc w:val="both"/>
        <w:rPr>
          <w:rFonts w:ascii="Arial" w:hAnsi="Arial" w:cs="Arial"/>
          <w:color w:val="222222"/>
          <w:sz w:val="20"/>
          <w:szCs w:val="20"/>
          <w:shd w:val="clear" w:color="auto" w:fill="FFFFFF"/>
        </w:rPr>
      </w:pPr>
      <w:r w:rsidRPr="00A7527F">
        <w:rPr>
          <w:rFonts w:ascii="Arial" w:eastAsiaTheme="minorHAnsi" w:hAnsi="Arial" w:cs="Arial"/>
          <w:sz w:val="22"/>
          <w:szCs w:val="22"/>
        </w:rPr>
        <w:t xml:space="preserve">Ekissi, D., </w:t>
      </w:r>
      <w:proofErr w:type="spellStart"/>
      <w:r w:rsidRPr="00A7527F">
        <w:rPr>
          <w:rFonts w:ascii="Arial" w:eastAsiaTheme="minorHAnsi" w:hAnsi="Arial" w:cs="Arial"/>
          <w:sz w:val="22"/>
          <w:szCs w:val="22"/>
        </w:rPr>
        <w:t>Kinimo</w:t>
      </w:r>
      <w:proofErr w:type="spellEnd"/>
      <w:r w:rsidRPr="00A7527F">
        <w:rPr>
          <w:rFonts w:ascii="Arial" w:eastAsiaTheme="minorHAnsi" w:hAnsi="Arial" w:cs="Arial"/>
          <w:sz w:val="22"/>
          <w:szCs w:val="22"/>
        </w:rPr>
        <w:t xml:space="preserve">, K. C., </w:t>
      </w:r>
      <w:proofErr w:type="spellStart"/>
      <w:r w:rsidRPr="00A7527F">
        <w:rPr>
          <w:rFonts w:ascii="Arial" w:eastAsiaTheme="minorHAnsi" w:hAnsi="Arial" w:cs="Arial"/>
          <w:sz w:val="22"/>
          <w:szCs w:val="22"/>
        </w:rPr>
        <w:t>Kamelan</w:t>
      </w:r>
      <w:proofErr w:type="spellEnd"/>
      <w:r w:rsidRPr="00A7527F">
        <w:rPr>
          <w:rFonts w:ascii="Arial" w:eastAsiaTheme="minorHAnsi" w:hAnsi="Arial" w:cs="Arial"/>
          <w:sz w:val="22"/>
          <w:szCs w:val="22"/>
        </w:rPr>
        <w:t xml:space="preserve">, T. M., &amp; Kouamelan, E. P. (2021). Physicochemical Characteristics and Heavy Metals Contamination Assessment in Water and Sediment in a Tropical Hydroelectric Dam of </w:t>
      </w:r>
      <w:proofErr w:type="spellStart"/>
      <w:r w:rsidRPr="00A7527F">
        <w:rPr>
          <w:rFonts w:ascii="Arial" w:eastAsiaTheme="minorHAnsi" w:hAnsi="Arial" w:cs="Arial"/>
          <w:sz w:val="22"/>
          <w:szCs w:val="22"/>
        </w:rPr>
        <w:t>Sassandra</w:t>
      </w:r>
      <w:proofErr w:type="spellEnd"/>
      <w:r w:rsidRPr="00A7527F">
        <w:rPr>
          <w:rFonts w:ascii="Arial" w:eastAsiaTheme="minorHAnsi" w:hAnsi="Arial" w:cs="Arial"/>
          <w:sz w:val="22"/>
          <w:szCs w:val="22"/>
        </w:rPr>
        <w:t xml:space="preserve"> River, Côte d’Ivoire. Journal of Environment Pollution and Human Health, 9(2), 27-35. </w:t>
      </w:r>
      <w:hyperlink r:id="rId25" w:history="1">
        <w:r w:rsidRPr="00C92FB5">
          <w:rPr>
            <w:rStyle w:val="Hyperlink"/>
            <w:rFonts w:ascii="Arial" w:eastAsiaTheme="minorHAnsi" w:hAnsi="Arial" w:cs="Arial"/>
            <w:sz w:val="22"/>
            <w:szCs w:val="22"/>
          </w:rPr>
          <w:t>https://doi.org/10.12691/jephh-9-2-1</w:t>
        </w:r>
      </w:hyperlink>
    </w:p>
    <w:p w14:paraId="3DCD3BD5" w14:textId="68264DB3" w:rsidR="00A7527F" w:rsidRPr="00176E2B" w:rsidRDefault="00A7527F" w:rsidP="00176E2B">
      <w:pPr>
        <w:ind w:left="360"/>
        <w:jc w:val="both"/>
        <w:rPr>
          <w:rFonts w:ascii="Arial" w:hAnsi="Arial" w:cs="Arial"/>
        </w:rPr>
      </w:pPr>
      <w:r w:rsidRPr="00176E2B">
        <w:rPr>
          <w:rFonts w:ascii="Arial" w:hAnsi="Arial" w:cs="Arial"/>
          <w:color w:val="222222"/>
          <w:shd w:val="clear" w:color="auto" w:fill="FFFFFF"/>
        </w:rPr>
        <w:t xml:space="preserve">El-Taher, A. M., Abd El-Raouf, H. S., Osman, N. A., </w:t>
      </w:r>
      <w:proofErr w:type="spellStart"/>
      <w:r w:rsidRPr="00176E2B">
        <w:rPr>
          <w:rFonts w:ascii="Arial" w:hAnsi="Arial" w:cs="Arial"/>
          <w:color w:val="222222"/>
          <w:shd w:val="clear" w:color="auto" w:fill="FFFFFF"/>
        </w:rPr>
        <w:t>Azoz</w:t>
      </w:r>
      <w:proofErr w:type="spellEnd"/>
      <w:r w:rsidRPr="00176E2B">
        <w:rPr>
          <w:rFonts w:ascii="Arial" w:hAnsi="Arial" w:cs="Arial"/>
          <w:color w:val="222222"/>
          <w:shd w:val="clear" w:color="auto" w:fill="FFFFFF"/>
        </w:rPr>
        <w:t xml:space="preserve">, S. N., Omar, M. A., </w:t>
      </w:r>
      <w:proofErr w:type="spellStart"/>
      <w:r w:rsidRPr="00176E2B">
        <w:rPr>
          <w:rFonts w:ascii="Arial" w:hAnsi="Arial" w:cs="Arial"/>
          <w:color w:val="222222"/>
          <w:shd w:val="clear" w:color="auto" w:fill="FFFFFF"/>
        </w:rPr>
        <w:t>Elkelish</w:t>
      </w:r>
      <w:proofErr w:type="spellEnd"/>
      <w:r w:rsidRPr="00176E2B">
        <w:rPr>
          <w:rFonts w:ascii="Arial" w:hAnsi="Arial" w:cs="Arial"/>
          <w:color w:val="222222"/>
          <w:shd w:val="clear" w:color="auto" w:fill="FFFFFF"/>
        </w:rPr>
        <w:t xml:space="preserve">, A., &amp; Abd El-Hady, M. A. M. A. (2021). Effect of Salt Stress and Foliar Application of Salicylic Acid on Morphological, Biochemical, Anatomical, and Productivity Characteristics of Cowpea (Vigna unguiculata L.) Plants. Plants, 11(1), 115. </w:t>
      </w:r>
      <w:hyperlink r:id="rId26" w:history="1">
        <w:r w:rsidRPr="00176E2B">
          <w:rPr>
            <w:rStyle w:val="Hyperlink"/>
            <w:rFonts w:ascii="Arial" w:hAnsi="Arial" w:cs="Arial"/>
            <w:shd w:val="clear" w:color="auto" w:fill="FFFFFF"/>
          </w:rPr>
          <w:t>https://doi.org/10.3390/plants11010115</w:t>
        </w:r>
      </w:hyperlink>
    </w:p>
    <w:p w14:paraId="7528476E" w14:textId="4005BF37" w:rsidR="00A7527F" w:rsidRPr="00176E2B" w:rsidRDefault="00A7527F" w:rsidP="00176E2B">
      <w:pPr>
        <w:ind w:left="360"/>
        <w:jc w:val="both"/>
        <w:rPr>
          <w:rFonts w:ascii="Arial" w:hAnsi="Arial" w:cs="Arial"/>
          <w:color w:val="FF0080"/>
          <w:u w:val="single"/>
          <w:shd w:val="clear" w:color="auto" w:fill="FFFFFF"/>
        </w:rPr>
      </w:pPr>
      <w:r w:rsidRPr="00176E2B">
        <w:rPr>
          <w:rFonts w:ascii="Arial" w:hAnsi="Arial" w:cs="Arial"/>
          <w:color w:val="222222"/>
          <w:shd w:val="clear" w:color="auto" w:fill="FFFFFF"/>
        </w:rPr>
        <w:t xml:space="preserve">European Food Safety Authority (EFSA), &amp; European Centre for Disease Prevention and Control (ECDC). (2024). The European Union One Health 2023 Zoonoses report. EFSA Journal, 22(12), e9106. </w:t>
      </w:r>
      <w:hyperlink r:id="rId27" w:history="1">
        <w:r w:rsidRPr="00176E2B">
          <w:rPr>
            <w:rStyle w:val="Hyperlink"/>
            <w:rFonts w:ascii="Arial" w:hAnsi="Arial" w:cs="Arial"/>
            <w:shd w:val="clear" w:color="auto" w:fill="FFFFFF"/>
          </w:rPr>
          <w:t>https://doi.org/10.2903/j.efsa.2024.9106</w:t>
        </w:r>
      </w:hyperlink>
    </w:p>
    <w:p w14:paraId="2B0B370F" w14:textId="455B505D" w:rsidR="00A7527F" w:rsidRPr="00176E2B" w:rsidRDefault="00A7527F" w:rsidP="00176E2B">
      <w:pPr>
        <w:ind w:left="360"/>
        <w:jc w:val="both"/>
        <w:rPr>
          <w:rFonts w:ascii="Arial" w:hAnsi="Arial" w:cs="Arial"/>
          <w:color w:val="222222"/>
          <w:shd w:val="clear" w:color="auto" w:fill="FFFFFF"/>
        </w:rPr>
      </w:pPr>
      <w:r w:rsidRPr="00176E2B">
        <w:rPr>
          <w:rFonts w:ascii="Arial" w:hAnsi="Arial" w:cs="Arial"/>
          <w:color w:val="222222"/>
          <w:shd w:val="clear" w:color="auto" w:fill="FFFFFF"/>
        </w:rPr>
        <w:t xml:space="preserve">Gao, T., Tian, H., Niu, H., Wang, Z., Dai, Y., </w:t>
      </w:r>
      <w:proofErr w:type="spellStart"/>
      <w:r w:rsidRPr="00176E2B">
        <w:rPr>
          <w:rFonts w:ascii="Arial" w:hAnsi="Arial" w:cs="Arial"/>
          <w:color w:val="222222"/>
          <w:shd w:val="clear" w:color="auto" w:fill="FFFFFF"/>
        </w:rPr>
        <w:t>Megharaj</w:t>
      </w:r>
      <w:proofErr w:type="spellEnd"/>
      <w:r w:rsidRPr="00176E2B">
        <w:rPr>
          <w:rFonts w:ascii="Arial" w:hAnsi="Arial" w:cs="Arial"/>
          <w:color w:val="222222"/>
          <w:shd w:val="clear" w:color="auto" w:fill="FFFFFF"/>
        </w:rPr>
        <w:t xml:space="preserve">, M., &amp; He, W. (2023). Soil phosphatase assay to evaluate arsenic toxicity should be performed at the soil's actual </w:t>
      </w:r>
      <w:proofErr w:type="spellStart"/>
      <w:r w:rsidRPr="00176E2B">
        <w:rPr>
          <w:rFonts w:ascii="Arial" w:hAnsi="Arial" w:cs="Arial"/>
          <w:color w:val="222222"/>
          <w:shd w:val="clear" w:color="auto" w:fill="FFFFFF"/>
        </w:rPr>
        <w:t>pH.</w:t>
      </w:r>
      <w:proofErr w:type="spellEnd"/>
      <w:r w:rsidRPr="00176E2B">
        <w:rPr>
          <w:rFonts w:ascii="Arial" w:hAnsi="Arial" w:cs="Arial"/>
          <w:color w:val="222222"/>
          <w:shd w:val="clear" w:color="auto" w:fill="FFFFFF"/>
        </w:rPr>
        <w:t xml:space="preserve"> Science of the Total Environment, 859(1), 160184. </w:t>
      </w:r>
      <w:hyperlink r:id="rId28" w:history="1">
        <w:r w:rsidRPr="00176E2B">
          <w:rPr>
            <w:rStyle w:val="Hyperlink"/>
            <w:rFonts w:ascii="Arial" w:hAnsi="Arial" w:cs="Arial"/>
            <w:shd w:val="clear" w:color="auto" w:fill="FFFFFF"/>
          </w:rPr>
          <w:t>https://doi.org/10.1016/j.scitotenv.2022.160184</w:t>
        </w:r>
      </w:hyperlink>
    </w:p>
    <w:p w14:paraId="589013CA" w14:textId="2AF0B79F" w:rsidR="00A7527F" w:rsidRPr="00176E2B" w:rsidRDefault="00A7527F" w:rsidP="00176E2B">
      <w:pPr>
        <w:ind w:left="360"/>
        <w:jc w:val="both"/>
        <w:rPr>
          <w:rFonts w:ascii="Arial" w:hAnsi="Arial" w:cs="Arial"/>
          <w:color w:val="222222"/>
          <w:shd w:val="clear" w:color="auto" w:fill="FFFFFF"/>
        </w:rPr>
      </w:pPr>
      <w:r w:rsidRPr="00176E2B">
        <w:rPr>
          <w:rFonts w:ascii="Arial" w:hAnsi="Arial" w:cs="Arial"/>
          <w:color w:val="222222"/>
          <w:shd w:val="clear" w:color="auto" w:fill="FFFFFF"/>
        </w:rPr>
        <w:t xml:space="preserve">Hakanson, L. (1980). An ecological risk index for aquatic pollution control: A sedimentological approach. Water Research, 14, 975-1001. </w:t>
      </w:r>
      <w:hyperlink r:id="rId29" w:history="1">
        <w:r w:rsidRPr="00176E2B">
          <w:rPr>
            <w:rStyle w:val="Hyperlink"/>
            <w:rFonts w:ascii="Arial" w:hAnsi="Arial" w:cs="Arial"/>
            <w:shd w:val="clear" w:color="auto" w:fill="FFFFFF"/>
          </w:rPr>
          <w:t>https://doi.org/10.1016/0043-1354(80)90143-8</w:t>
        </w:r>
      </w:hyperlink>
    </w:p>
    <w:p w14:paraId="2BC7EFF0" w14:textId="7DD86980" w:rsidR="00A7527F" w:rsidRPr="00176E2B" w:rsidRDefault="00A7527F" w:rsidP="00176E2B">
      <w:pPr>
        <w:ind w:left="360"/>
        <w:jc w:val="both"/>
        <w:rPr>
          <w:rFonts w:ascii="Arial" w:hAnsi="Arial" w:cs="Arial"/>
          <w:color w:val="222222"/>
          <w:shd w:val="clear" w:color="auto" w:fill="FFFFFF"/>
        </w:rPr>
      </w:pPr>
      <w:r w:rsidRPr="00176E2B">
        <w:rPr>
          <w:rFonts w:ascii="Arial" w:hAnsi="Arial" w:cs="Arial"/>
          <w:color w:val="222222"/>
          <w:shd w:val="clear" w:color="auto" w:fill="FFFFFF"/>
        </w:rPr>
        <w:t xml:space="preserve">Holling, C. S. (1973). Resilience and Stability of Ecological Systems. Annual Review of Ecology, Evolution, and Systematics, 4, 1-23. </w:t>
      </w:r>
      <w:hyperlink r:id="rId30" w:history="1">
        <w:r w:rsidRPr="00176E2B">
          <w:rPr>
            <w:rStyle w:val="Hyperlink"/>
            <w:rFonts w:ascii="Arial" w:hAnsi="Arial" w:cs="Arial"/>
            <w:shd w:val="clear" w:color="auto" w:fill="FFFFFF"/>
          </w:rPr>
          <w:t>https://doi.org/10.1146/annurev.es.04.110173.000245</w:t>
        </w:r>
      </w:hyperlink>
    </w:p>
    <w:p w14:paraId="72FD8436" w14:textId="6224CB12" w:rsidR="00A7527F" w:rsidRPr="00176E2B" w:rsidRDefault="00A7527F" w:rsidP="00176E2B">
      <w:pPr>
        <w:ind w:left="360"/>
        <w:jc w:val="both"/>
        <w:rPr>
          <w:rFonts w:ascii="Arial" w:hAnsi="Arial" w:cs="Arial"/>
          <w:color w:val="222222"/>
          <w:shd w:val="clear" w:color="auto" w:fill="FFFFFF"/>
        </w:rPr>
      </w:pPr>
      <w:r w:rsidRPr="00176E2B">
        <w:rPr>
          <w:rFonts w:ascii="Arial" w:hAnsi="Arial" w:cs="Arial"/>
          <w:color w:val="222222"/>
          <w:shd w:val="clear" w:color="auto" w:fill="FFFFFF"/>
        </w:rPr>
        <w:t xml:space="preserve">Huang, D., Jing, G., Zhang, L., Chen, C., &amp; Zhu, S. (2021). Interplay Among Hydrogen Sulfide, Nitric Oxide, Reactive Oxygen Species, and Mitochondrial DNA Oxidative Damage. Frontiers in Plant Science, 12, 701681. </w:t>
      </w:r>
      <w:hyperlink r:id="rId31" w:history="1">
        <w:r w:rsidRPr="00176E2B">
          <w:rPr>
            <w:rStyle w:val="Hyperlink"/>
            <w:rFonts w:ascii="Arial" w:hAnsi="Arial" w:cs="Arial"/>
            <w:shd w:val="clear" w:color="auto" w:fill="FFFFFF"/>
          </w:rPr>
          <w:t>https://doi.org/10.3389/fpls.2021.701681</w:t>
        </w:r>
      </w:hyperlink>
    </w:p>
    <w:p w14:paraId="5BDABCAC" w14:textId="7CFCF6D7" w:rsidR="00A7527F" w:rsidRPr="00176E2B" w:rsidRDefault="00A7527F" w:rsidP="00176E2B">
      <w:pPr>
        <w:ind w:left="360"/>
        <w:jc w:val="both"/>
        <w:rPr>
          <w:rFonts w:ascii="Arial" w:hAnsi="Arial" w:cs="Arial"/>
          <w:color w:val="222222"/>
          <w:shd w:val="clear" w:color="auto" w:fill="FFFFFF"/>
        </w:rPr>
      </w:pPr>
      <w:proofErr w:type="spellStart"/>
      <w:r w:rsidRPr="00176E2B">
        <w:rPr>
          <w:rFonts w:ascii="Arial" w:hAnsi="Arial" w:cs="Arial"/>
          <w:color w:val="222222"/>
          <w:shd w:val="clear" w:color="auto" w:fill="FFFFFF"/>
        </w:rPr>
        <w:t>Ibuot</w:t>
      </w:r>
      <w:proofErr w:type="spellEnd"/>
      <w:r w:rsidRPr="00176E2B">
        <w:rPr>
          <w:rFonts w:ascii="Arial" w:hAnsi="Arial" w:cs="Arial"/>
          <w:color w:val="222222"/>
          <w:shd w:val="clear" w:color="auto" w:fill="FFFFFF"/>
        </w:rPr>
        <w:t xml:space="preserve">, J. C., Obiora, D. N., </w:t>
      </w:r>
      <w:proofErr w:type="spellStart"/>
      <w:r w:rsidRPr="00176E2B">
        <w:rPr>
          <w:rFonts w:ascii="Arial" w:hAnsi="Arial" w:cs="Arial"/>
          <w:color w:val="222222"/>
          <w:shd w:val="clear" w:color="auto" w:fill="FFFFFF"/>
        </w:rPr>
        <w:t>Ekpa</w:t>
      </w:r>
      <w:proofErr w:type="spellEnd"/>
      <w:r w:rsidRPr="00176E2B">
        <w:rPr>
          <w:rFonts w:ascii="Arial" w:hAnsi="Arial" w:cs="Arial"/>
          <w:color w:val="222222"/>
          <w:shd w:val="clear" w:color="auto" w:fill="FFFFFF"/>
        </w:rPr>
        <w:t xml:space="preserve">, M. M. M., &amp; </w:t>
      </w:r>
      <w:proofErr w:type="spellStart"/>
      <w:r w:rsidRPr="00176E2B">
        <w:rPr>
          <w:rFonts w:ascii="Arial" w:hAnsi="Arial" w:cs="Arial"/>
          <w:color w:val="222222"/>
          <w:shd w:val="clear" w:color="auto" w:fill="FFFFFF"/>
        </w:rPr>
        <w:t>Okoroh</w:t>
      </w:r>
      <w:proofErr w:type="spellEnd"/>
      <w:r w:rsidRPr="00176E2B">
        <w:rPr>
          <w:rFonts w:ascii="Arial" w:hAnsi="Arial" w:cs="Arial"/>
          <w:color w:val="222222"/>
          <w:shd w:val="clear" w:color="auto" w:fill="FFFFFF"/>
        </w:rPr>
        <w:t xml:space="preserve">, D. O. (2017). </w:t>
      </w:r>
      <w:proofErr w:type="spellStart"/>
      <w:r w:rsidRPr="00176E2B">
        <w:rPr>
          <w:rFonts w:ascii="Arial" w:hAnsi="Arial" w:cs="Arial"/>
          <w:color w:val="222222"/>
          <w:shd w:val="clear" w:color="auto" w:fill="FFFFFF"/>
        </w:rPr>
        <w:t>Geoelectrohydraulic</w:t>
      </w:r>
      <w:proofErr w:type="spellEnd"/>
      <w:r w:rsidRPr="00176E2B">
        <w:rPr>
          <w:rFonts w:ascii="Arial" w:hAnsi="Arial" w:cs="Arial"/>
          <w:color w:val="222222"/>
          <w:shd w:val="clear" w:color="auto" w:fill="FFFFFF"/>
        </w:rPr>
        <w:t xml:space="preserve"> investigation of the surficial aquifer units and corrosivity in parts of </w:t>
      </w:r>
      <w:proofErr w:type="spellStart"/>
      <w:r w:rsidRPr="00176E2B">
        <w:rPr>
          <w:rFonts w:ascii="Arial" w:hAnsi="Arial" w:cs="Arial"/>
          <w:color w:val="222222"/>
          <w:shd w:val="clear" w:color="auto" w:fill="FFFFFF"/>
        </w:rPr>
        <w:t>Uyo</w:t>
      </w:r>
      <w:proofErr w:type="spellEnd"/>
      <w:r w:rsidRPr="00176E2B">
        <w:rPr>
          <w:rFonts w:ascii="Arial" w:hAnsi="Arial" w:cs="Arial"/>
          <w:color w:val="222222"/>
          <w:shd w:val="clear" w:color="auto" w:fill="FFFFFF"/>
        </w:rPr>
        <w:t xml:space="preserve"> L. G. A., Akwa Ibom State, Southern Nigeria. Applied Water Science, 7(8), 4705–4713. </w:t>
      </w:r>
      <w:hyperlink r:id="rId32" w:history="1">
        <w:r w:rsidRPr="00176E2B">
          <w:rPr>
            <w:rStyle w:val="Hyperlink"/>
            <w:rFonts w:ascii="Arial" w:hAnsi="Arial" w:cs="Arial"/>
            <w:shd w:val="clear" w:color="auto" w:fill="FFFFFF"/>
          </w:rPr>
          <w:t>https://doi.org/10.1007/s13201-017-0632-3</w:t>
        </w:r>
      </w:hyperlink>
    </w:p>
    <w:p w14:paraId="38FAF2B8" w14:textId="33945056" w:rsidR="005F1655" w:rsidRPr="00176E2B" w:rsidRDefault="005F1655" w:rsidP="00176E2B">
      <w:pPr>
        <w:ind w:left="360"/>
        <w:jc w:val="both"/>
        <w:rPr>
          <w:rFonts w:ascii="Arial" w:hAnsi="Arial" w:cs="Arial"/>
          <w:color w:val="222222"/>
          <w:shd w:val="clear" w:color="auto" w:fill="FFFFFF"/>
        </w:rPr>
      </w:pPr>
      <w:r w:rsidRPr="00176E2B">
        <w:rPr>
          <w:rFonts w:ascii="Arial" w:hAnsi="Arial" w:cs="Arial"/>
          <w:color w:val="222222"/>
          <w:shd w:val="clear" w:color="auto" w:fill="FFFFFF"/>
        </w:rPr>
        <w:lastRenderedPageBreak/>
        <w:t xml:space="preserve">Iwegbue, C. M. A., Tesi, G. O., </w:t>
      </w:r>
      <w:proofErr w:type="spellStart"/>
      <w:r w:rsidRPr="00176E2B">
        <w:rPr>
          <w:rFonts w:ascii="Arial" w:hAnsi="Arial" w:cs="Arial"/>
          <w:color w:val="222222"/>
          <w:shd w:val="clear" w:color="auto" w:fill="FFFFFF"/>
        </w:rPr>
        <w:t>Emuh</w:t>
      </w:r>
      <w:proofErr w:type="spellEnd"/>
      <w:r w:rsidRPr="00176E2B">
        <w:rPr>
          <w:rFonts w:ascii="Arial" w:hAnsi="Arial" w:cs="Arial"/>
          <w:color w:val="222222"/>
          <w:shd w:val="clear" w:color="auto" w:fill="FFFFFF"/>
        </w:rPr>
        <w:t xml:space="preserve">, F. N., &amp; Nwajei, G. E. (2021). Ecological and human health risk assessment of heavy metals in soils from a refuse dump site in Delta State, Nigeria. </w:t>
      </w:r>
      <w:r w:rsidRPr="00176E2B">
        <w:rPr>
          <w:rFonts w:ascii="Arial" w:hAnsi="Arial" w:cs="Arial"/>
          <w:i/>
          <w:iCs/>
          <w:color w:val="222222"/>
          <w:shd w:val="clear" w:color="auto" w:fill="FFFFFF"/>
        </w:rPr>
        <w:t>International Journal of Environmental Analytical Chemistry</w:t>
      </w:r>
      <w:r w:rsidRPr="00176E2B">
        <w:rPr>
          <w:rFonts w:ascii="Arial" w:hAnsi="Arial" w:cs="Arial"/>
          <w:color w:val="222222"/>
          <w:shd w:val="clear" w:color="auto" w:fill="FFFFFF"/>
        </w:rPr>
        <w:t xml:space="preserve">, 101(15), 2845–2863. </w:t>
      </w:r>
    </w:p>
    <w:p w14:paraId="0E3E5723" w14:textId="77777777" w:rsidR="005F1655" w:rsidRPr="00176E2B" w:rsidRDefault="005F1655" w:rsidP="00176E2B">
      <w:pPr>
        <w:ind w:left="360"/>
        <w:jc w:val="both"/>
        <w:rPr>
          <w:rFonts w:ascii="Arial" w:hAnsi="Arial" w:cs="Arial"/>
          <w:color w:val="222222"/>
          <w:shd w:val="clear" w:color="auto" w:fill="FFFFFF"/>
        </w:rPr>
      </w:pPr>
      <w:r w:rsidRPr="00176E2B">
        <w:rPr>
          <w:rFonts w:ascii="Arial" w:hAnsi="Arial" w:cs="Arial"/>
          <w:color w:val="222222"/>
          <w:shd w:val="clear" w:color="auto" w:fill="FFFFFF"/>
        </w:rPr>
        <w:t xml:space="preserve">Jaishankar, R., Teichmann, D., Hayward, A., Holsapple, J. W., &amp; Heldt, T. (2024). Open cranium model for the study of cerebrovascular dynamics in intracranial hypertension. </w:t>
      </w:r>
      <w:r w:rsidRPr="00176E2B">
        <w:rPr>
          <w:rFonts w:ascii="Arial" w:hAnsi="Arial" w:cs="Arial"/>
          <w:i/>
          <w:iCs/>
          <w:color w:val="222222"/>
          <w:shd w:val="clear" w:color="auto" w:fill="FFFFFF"/>
        </w:rPr>
        <w:t>Journal of Neuroscience Methods</w:t>
      </w:r>
      <w:r w:rsidRPr="00176E2B">
        <w:rPr>
          <w:rFonts w:ascii="Arial" w:hAnsi="Arial" w:cs="Arial"/>
          <w:color w:val="222222"/>
          <w:shd w:val="clear" w:color="auto" w:fill="FFFFFF"/>
        </w:rPr>
        <w:t xml:space="preserve">, </w:t>
      </w:r>
      <w:r w:rsidRPr="00176E2B">
        <w:rPr>
          <w:rFonts w:ascii="Arial" w:hAnsi="Arial" w:cs="Arial"/>
          <w:i/>
          <w:iCs/>
          <w:color w:val="222222"/>
          <w:shd w:val="clear" w:color="auto" w:fill="FFFFFF"/>
        </w:rPr>
        <w:t>409</w:t>
      </w:r>
      <w:r w:rsidRPr="00176E2B">
        <w:rPr>
          <w:rFonts w:ascii="Arial" w:hAnsi="Arial" w:cs="Arial"/>
          <w:color w:val="222222"/>
          <w:shd w:val="clear" w:color="auto" w:fill="FFFFFF"/>
        </w:rPr>
        <w:t xml:space="preserve">, 110196. </w:t>
      </w:r>
      <w:hyperlink r:id="rId33" w:history="1">
        <w:r w:rsidRPr="00176E2B">
          <w:rPr>
            <w:rStyle w:val="Hyperlink"/>
            <w:rFonts w:ascii="Arial" w:hAnsi="Arial" w:cs="Arial"/>
            <w:shd w:val="clear" w:color="auto" w:fill="FFFFFF"/>
          </w:rPr>
          <w:t>https://doi.org/10.1016/j.jneumeth.2024.110196</w:t>
        </w:r>
      </w:hyperlink>
      <w:r w:rsidRPr="00176E2B">
        <w:rPr>
          <w:rFonts w:ascii="Arial" w:hAnsi="Arial" w:cs="Arial"/>
          <w:color w:val="222222"/>
          <w:shd w:val="clear" w:color="auto" w:fill="FFFFFF"/>
        </w:rPr>
        <w:t xml:space="preserve"> </w:t>
      </w:r>
    </w:p>
    <w:p w14:paraId="48E811B4" w14:textId="624B59B6" w:rsidR="00A7527F" w:rsidRPr="00176E2B" w:rsidRDefault="00A7527F" w:rsidP="00176E2B">
      <w:pPr>
        <w:ind w:left="360"/>
        <w:jc w:val="both"/>
        <w:rPr>
          <w:rFonts w:ascii="Arial" w:hAnsi="Arial" w:cs="Arial"/>
        </w:rPr>
      </w:pPr>
      <w:r w:rsidRPr="00176E2B">
        <w:rPr>
          <w:rFonts w:ascii="Arial" w:hAnsi="Arial" w:cs="Arial"/>
        </w:rPr>
        <w:t xml:space="preserve">Jegede, D. O., </w:t>
      </w:r>
      <w:proofErr w:type="spellStart"/>
      <w:r w:rsidRPr="00176E2B">
        <w:rPr>
          <w:rFonts w:ascii="Arial" w:hAnsi="Arial" w:cs="Arial"/>
        </w:rPr>
        <w:t>Oluikpe</w:t>
      </w:r>
      <w:proofErr w:type="spellEnd"/>
      <w:r w:rsidRPr="00176E2B">
        <w:rPr>
          <w:rFonts w:ascii="Arial" w:hAnsi="Arial" w:cs="Arial"/>
        </w:rPr>
        <w:t xml:space="preserve">, D. C., &amp; </w:t>
      </w:r>
      <w:proofErr w:type="spellStart"/>
      <w:r w:rsidRPr="00176E2B">
        <w:rPr>
          <w:rFonts w:ascii="Arial" w:hAnsi="Arial" w:cs="Arial"/>
        </w:rPr>
        <w:t>Shokunbi</w:t>
      </w:r>
      <w:proofErr w:type="spellEnd"/>
      <w:r w:rsidRPr="00176E2B">
        <w:rPr>
          <w:rFonts w:ascii="Arial" w:hAnsi="Arial" w:cs="Arial"/>
        </w:rPr>
        <w:t xml:space="preserve">, O. S. (2024). Ecological and human health risk assessments of Potentially Toxic Metals in soils around a private University in Ogun State, Nigeria. EQA - International Journal of Environmental Quality. </w:t>
      </w:r>
      <w:hyperlink r:id="rId34" w:history="1">
        <w:r w:rsidRPr="00176E2B">
          <w:rPr>
            <w:rStyle w:val="Hyperlink"/>
            <w:rFonts w:ascii="Arial" w:hAnsi="Arial" w:cs="Arial"/>
          </w:rPr>
          <w:t>https://doi.org/10.6092/issn.2281-4485/19459</w:t>
        </w:r>
      </w:hyperlink>
    </w:p>
    <w:p w14:paraId="3E8CB826" w14:textId="1D6ED4B4" w:rsidR="00A7527F" w:rsidRPr="00176E2B" w:rsidRDefault="00A7527F" w:rsidP="00176E2B">
      <w:pPr>
        <w:ind w:left="360"/>
        <w:jc w:val="both"/>
        <w:rPr>
          <w:rFonts w:ascii="Arial" w:hAnsi="Arial" w:cs="Arial"/>
        </w:rPr>
      </w:pPr>
      <w:r w:rsidRPr="00176E2B">
        <w:rPr>
          <w:rFonts w:ascii="Arial" w:hAnsi="Arial" w:cs="Arial"/>
        </w:rPr>
        <w:t xml:space="preserve">Kelley, W. D., &amp; Rodriguez-Kabana, R. (1979). Effects of sodium </w:t>
      </w:r>
      <w:proofErr w:type="spellStart"/>
      <w:r w:rsidRPr="00176E2B">
        <w:rPr>
          <w:rFonts w:ascii="Arial" w:hAnsi="Arial" w:cs="Arial"/>
        </w:rPr>
        <w:t>azide</w:t>
      </w:r>
      <w:proofErr w:type="spellEnd"/>
      <w:r w:rsidRPr="00176E2B">
        <w:rPr>
          <w:rFonts w:ascii="Arial" w:hAnsi="Arial" w:cs="Arial"/>
        </w:rPr>
        <w:t xml:space="preserve"> and methyl bromide on soil bacterial populations, enzymic activities and other biological variables. Pesticide Science, 10(3), 207–215. </w:t>
      </w:r>
      <w:hyperlink r:id="rId35" w:history="1">
        <w:r w:rsidRPr="00176E2B">
          <w:rPr>
            <w:rStyle w:val="Hyperlink"/>
            <w:rFonts w:ascii="Arial" w:hAnsi="Arial" w:cs="Arial"/>
          </w:rPr>
          <w:t>https://doi.org/10.1002/ps.2780100304</w:t>
        </w:r>
      </w:hyperlink>
    </w:p>
    <w:p w14:paraId="019A6661" w14:textId="4E4FD580" w:rsidR="00A7527F" w:rsidRPr="00176E2B" w:rsidRDefault="00A7527F" w:rsidP="00176E2B">
      <w:pPr>
        <w:ind w:left="360"/>
        <w:jc w:val="both"/>
        <w:rPr>
          <w:rFonts w:ascii="Arial" w:hAnsi="Arial" w:cs="Arial"/>
        </w:rPr>
      </w:pPr>
      <w:r w:rsidRPr="00176E2B">
        <w:rPr>
          <w:rFonts w:ascii="Arial" w:hAnsi="Arial" w:cs="Arial"/>
        </w:rPr>
        <w:t xml:space="preserve">Khatoon, N., Ali, S., Hussain, A., Huang, J., Yu, Z., &amp; Liu, H. (2025). Evaluating the Carcinogenic and Non-Carcinogenic Health Risks of Heavy Metals Contamination in Drinking Water, Vegetables, and Soil from Gilgit-Baltistan, Pakistan. Toxics. </w:t>
      </w:r>
      <w:hyperlink r:id="rId36" w:history="1">
        <w:r w:rsidRPr="00176E2B">
          <w:rPr>
            <w:rStyle w:val="Hyperlink"/>
            <w:rFonts w:ascii="Arial" w:hAnsi="Arial" w:cs="Arial"/>
          </w:rPr>
          <w:t>https://doi.org/10.3390/toxics13010005</w:t>
        </w:r>
      </w:hyperlink>
    </w:p>
    <w:p w14:paraId="133E88C9" w14:textId="595DE155" w:rsidR="005F1655" w:rsidRPr="00176E2B" w:rsidRDefault="005F1655" w:rsidP="00176E2B">
      <w:pPr>
        <w:ind w:left="360"/>
        <w:jc w:val="both"/>
        <w:rPr>
          <w:rFonts w:ascii="Arial" w:hAnsi="Arial" w:cs="Arial"/>
        </w:rPr>
      </w:pPr>
      <w:r w:rsidRPr="00176E2B">
        <w:rPr>
          <w:rFonts w:ascii="Arial" w:hAnsi="Arial" w:cs="Arial"/>
        </w:rPr>
        <w:t xml:space="preserve">Lei, Y., Kuai, Y., Guo, M., Zhang, H., Yuan, Y., &amp; Hong, H. (2025). Phosphate-solubilizing microorganisms for soil health and ecosystem sustainability: a forty-year </w:t>
      </w:r>
      <w:proofErr w:type="spellStart"/>
      <w:r w:rsidRPr="00176E2B">
        <w:rPr>
          <w:rFonts w:ascii="Arial" w:hAnsi="Arial" w:cs="Arial"/>
        </w:rPr>
        <w:t>scientometric</w:t>
      </w:r>
      <w:proofErr w:type="spellEnd"/>
      <w:r w:rsidRPr="00176E2B">
        <w:rPr>
          <w:rFonts w:ascii="Arial" w:hAnsi="Arial" w:cs="Arial"/>
        </w:rPr>
        <w:t xml:space="preserve"> analysis (1984–2024). </w:t>
      </w:r>
      <w:r w:rsidRPr="00176E2B">
        <w:rPr>
          <w:rFonts w:ascii="Arial" w:hAnsi="Arial" w:cs="Arial"/>
          <w:i/>
          <w:iCs/>
        </w:rPr>
        <w:t>Frontiers in Microbiology</w:t>
      </w:r>
      <w:r w:rsidRPr="00176E2B">
        <w:rPr>
          <w:rFonts w:ascii="Arial" w:hAnsi="Arial" w:cs="Arial"/>
        </w:rPr>
        <w:t xml:space="preserve">, </w:t>
      </w:r>
      <w:r w:rsidRPr="00176E2B">
        <w:rPr>
          <w:rFonts w:ascii="Arial" w:hAnsi="Arial" w:cs="Arial"/>
          <w:i/>
          <w:iCs/>
        </w:rPr>
        <w:t>16</w:t>
      </w:r>
      <w:r w:rsidRPr="00176E2B">
        <w:rPr>
          <w:rFonts w:ascii="Arial" w:hAnsi="Arial" w:cs="Arial"/>
        </w:rPr>
        <w:t xml:space="preserve">, 1546852. </w:t>
      </w:r>
      <w:hyperlink r:id="rId37" w:history="1">
        <w:r w:rsidRPr="00176E2B">
          <w:rPr>
            <w:rStyle w:val="Hyperlink"/>
            <w:rFonts w:ascii="Arial" w:hAnsi="Arial" w:cs="Arial"/>
          </w:rPr>
          <w:t>https://doi.org/10.3389/fmicb.2025.1546852</w:t>
        </w:r>
      </w:hyperlink>
      <w:r w:rsidRPr="00176E2B">
        <w:rPr>
          <w:rFonts w:ascii="Arial" w:hAnsi="Arial" w:cs="Arial"/>
        </w:rPr>
        <w:t xml:space="preserve"> </w:t>
      </w:r>
    </w:p>
    <w:p w14:paraId="26150A6C" w14:textId="09B8340C" w:rsidR="00A7527F" w:rsidRPr="00176E2B" w:rsidRDefault="00A7527F" w:rsidP="00176E2B">
      <w:pPr>
        <w:ind w:left="360"/>
        <w:jc w:val="both"/>
        <w:rPr>
          <w:rFonts w:ascii="Arial" w:hAnsi="Arial" w:cs="Arial"/>
        </w:rPr>
      </w:pPr>
      <w:r w:rsidRPr="00176E2B">
        <w:rPr>
          <w:rFonts w:ascii="Arial" w:hAnsi="Arial" w:cs="Arial"/>
          <w:color w:val="222222"/>
          <w:shd w:val="clear" w:color="auto" w:fill="FFFFFF"/>
        </w:rPr>
        <w:t xml:space="preserve">Li, C., Zhu, H., Li, C., Qian, H., Yao, W., &amp; Guo, Y. (2021). The present situation of pesticide residues in China and their removal and transformation during food processing. Food Chemistry, 354, 129552. </w:t>
      </w:r>
      <w:hyperlink r:id="rId38" w:history="1">
        <w:r w:rsidRPr="00176E2B">
          <w:rPr>
            <w:rStyle w:val="Hyperlink"/>
            <w:rFonts w:ascii="Arial" w:hAnsi="Arial" w:cs="Arial"/>
            <w:shd w:val="clear" w:color="auto" w:fill="FFFFFF"/>
          </w:rPr>
          <w:t>https://doi.org/10.1016/j.foodchem.2021.129552</w:t>
        </w:r>
      </w:hyperlink>
    </w:p>
    <w:p w14:paraId="15BF3044" w14:textId="7301C5FA" w:rsidR="009C3A25" w:rsidRPr="00176E2B" w:rsidRDefault="00E61C31" w:rsidP="00176E2B">
      <w:pPr>
        <w:ind w:left="360"/>
        <w:jc w:val="both"/>
        <w:rPr>
          <w:rFonts w:ascii="Arial" w:hAnsi="Arial" w:cs="Arial"/>
        </w:rPr>
      </w:pPr>
      <w:r w:rsidRPr="00176E2B">
        <w:rPr>
          <w:rFonts w:ascii="Arial" w:hAnsi="Arial" w:cs="Arial"/>
        </w:rPr>
        <w:t xml:space="preserve">Li, Y., Wang, J., Zhang, Y., &amp; Chen, H. (2022). </w:t>
      </w:r>
      <w:r w:rsidRPr="00176E2B">
        <w:rPr>
          <w:rStyle w:val="Emphasis"/>
          <w:rFonts w:ascii="Arial" w:hAnsi="Arial" w:cs="Arial"/>
        </w:rPr>
        <w:t>Soil microbial resilience under heavy metal stress: Thresholds of cadmium and zinc contamination in agricultural ecosystems.</w:t>
      </w:r>
      <w:r w:rsidRPr="00176E2B">
        <w:rPr>
          <w:rFonts w:ascii="Arial" w:hAnsi="Arial" w:cs="Arial"/>
        </w:rPr>
        <w:t xml:space="preserve"> </w:t>
      </w:r>
      <w:r w:rsidRPr="00176E2B">
        <w:rPr>
          <w:rStyle w:val="Emphasis"/>
          <w:rFonts w:ascii="Arial" w:hAnsi="Arial" w:cs="Arial"/>
        </w:rPr>
        <w:t>Ecotoxicology and Environmental Safety</w:t>
      </w:r>
      <w:r w:rsidRPr="00176E2B">
        <w:rPr>
          <w:rFonts w:ascii="Arial" w:hAnsi="Arial" w:cs="Arial"/>
        </w:rPr>
        <w:t xml:space="preserve">, 239, 113642. </w:t>
      </w:r>
      <w:hyperlink r:id="rId39" w:history="1">
        <w:r w:rsidR="009C3A25" w:rsidRPr="00176E2B">
          <w:rPr>
            <w:rStyle w:val="Hyperlink"/>
            <w:rFonts w:ascii="Arial" w:hAnsi="Arial" w:cs="Arial"/>
          </w:rPr>
          <w:t>https://doi.org/10.1016/j.ecoenv.2022.113642</w:t>
        </w:r>
      </w:hyperlink>
    </w:p>
    <w:p w14:paraId="457E5D7F" w14:textId="5B6C063D" w:rsidR="00A7527F" w:rsidRPr="00176E2B" w:rsidRDefault="00A7527F" w:rsidP="00176E2B">
      <w:pPr>
        <w:spacing w:line="360" w:lineRule="auto"/>
        <w:ind w:left="360"/>
        <w:jc w:val="both"/>
        <w:rPr>
          <w:rFonts w:ascii="Arial" w:hAnsi="Arial" w:cs="Arial"/>
        </w:rPr>
      </w:pPr>
      <w:r w:rsidRPr="00176E2B">
        <w:rPr>
          <w:rFonts w:ascii="Arial" w:hAnsi="Arial" w:cs="Arial"/>
        </w:rPr>
        <w:t xml:space="preserve">Li, S., Tang, S., Ju, X., Zhu, Z., Zhang, Y., Chen, H., &amp; Jin, K. (2024). Soil acidification drives the negative effects of nitrogen enrichment on soil microbial biomass at the global scale. Plant and Soil, 503, 517–528. </w:t>
      </w:r>
      <w:hyperlink r:id="rId40" w:history="1">
        <w:r w:rsidRPr="00176E2B">
          <w:rPr>
            <w:rStyle w:val="Hyperlink"/>
            <w:rFonts w:ascii="Arial" w:hAnsi="Arial" w:cs="Arial"/>
          </w:rPr>
          <w:t>https://doi.org/10.1007/s11104-024-06600-2</w:t>
        </w:r>
      </w:hyperlink>
    </w:p>
    <w:p w14:paraId="3CB8BDBF" w14:textId="33B74D8E" w:rsidR="00A7527F" w:rsidRPr="00176E2B" w:rsidRDefault="00A7527F" w:rsidP="00176E2B">
      <w:pPr>
        <w:ind w:left="360"/>
        <w:jc w:val="both"/>
        <w:rPr>
          <w:rFonts w:ascii="Arial" w:hAnsi="Arial" w:cs="Arial"/>
        </w:rPr>
      </w:pPr>
      <w:r w:rsidRPr="00176E2B">
        <w:rPr>
          <w:rFonts w:ascii="Arial" w:hAnsi="Arial" w:cs="Arial"/>
          <w:color w:val="222222"/>
          <w:shd w:val="clear" w:color="auto" w:fill="FFFFFF"/>
        </w:rPr>
        <w:t xml:space="preserve">Li, G., Yu, C., Shen, P., Hou, Y., Ren, Z., Li, N., Liao, Y., Li, T., &amp; Wen, X. (2024). Crop diversification promotes soil aggregation and carbon accumulation in global agroecosystems: A meta-analysis. Journal of Environmental Management, 350, 119661. </w:t>
      </w:r>
      <w:hyperlink r:id="rId41" w:history="1">
        <w:r w:rsidRPr="00176E2B">
          <w:rPr>
            <w:rStyle w:val="Hyperlink"/>
            <w:rFonts w:ascii="Arial" w:hAnsi="Arial" w:cs="Arial"/>
            <w:shd w:val="clear" w:color="auto" w:fill="FFFFFF"/>
          </w:rPr>
          <w:t>https://doi.org/10.1016/j.jenvman.2023.119661</w:t>
        </w:r>
      </w:hyperlink>
    </w:p>
    <w:p w14:paraId="7534B584" w14:textId="63C46E0E" w:rsidR="00A7527F" w:rsidRPr="00176E2B" w:rsidRDefault="00A7527F" w:rsidP="00176E2B">
      <w:pPr>
        <w:ind w:left="360"/>
        <w:jc w:val="both"/>
        <w:rPr>
          <w:rFonts w:ascii="Arial" w:hAnsi="Arial" w:cs="Arial"/>
        </w:rPr>
      </w:pPr>
      <w:r w:rsidRPr="00176E2B">
        <w:rPr>
          <w:rFonts w:ascii="Arial" w:hAnsi="Arial" w:cs="Arial"/>
        </w:rPr>
        <w:t xml:space="preserve">Liu, J., Zheng, Q., Pei, S., Li, J., Ma, L., Zhang, L., Niu, J., &amp; Tian, T. (2023). Ecological and health risk assessment of heavy metals in agricultural soils from northern China. Environmental Monitoring and Assessment, 196(1), 99. </w:t>
      </w:r>
      <w:hyperlink r:id="rId42" w:history="1">
        <w:r w:rsidRPr="00176E2B">
          <w:rPr>
            <w:rStyle w:val="Hyperlink"/>
            <w:rFonts w:ascii="Arial" w:hAnsi="Arial" w:cs="Arial"/>
          </w:rPr>
          <w:t>https://doi.org/10.1007/s10661-023-12255-w</w:t>
        </w:r>
      </w:hyperlink>
    </w:p>
    <w:p w14:paraId="6D10EB9D" w14:textId="7CAAF3C3" w:rsidR="00A7527F" w:rsidRPr="00176E2B" w:rsidRDefault="00A7527F" w:rsidP="00176E2B">
      <w:pPr>
        <w:ind w:left="360"/>
        <w:jc w:val="both"/>
        <w:rPr>
          <w:rFonts w:ascii="Arial" w:hAnsi="Arial" w:cs="Arial"/>
          <w:color w:val="222222"/>
          <w:shd w:val="clear" w:color="auto" w:fill="FFFFFF"/>
        </w:rPr>
      </w:pPr>
      <w:r w:rsidRPr="00176E2B">
        <w:rPr>
          <w:rFonts w:ascii="Arial" w:hAnsi="Arial" w:cs="Arial"/>
        </w:rPr>
        <w:t xml:space="preserve">Liu, X., Song, Q., Tang, Y., Li, W., Xu, J., Wu, J., Wang, F., &amp; Brookes, P. C. (2013). Human health risk assessment of heavy metals in soil–vegetable system: A multi-medium analysis. The Science of the Total Environment, 463–464, 530–540. </w:t>
      </w:r>
      <w:hyperlink r:id="rId43" w:history="1">
        <w:r w:rsidRPr="00176E2B">
          <w:rPr>
            <w:rStyle w:val="Hyperlink"/>
            <w:rFonts w:ascii="Arial" w:hAnsi="Arial" w:cs="Arial"/>
          </w:rPr>
          <w:t>https://doi.org/10.1016/j.scitotenv.2013.06.064</w:t>
        </w:r>
      </w:hyperlink>
    </w:p>
    <w:p w14:paraId="7660CF8B" w14:textId="5A4D9318" w:rsidR="005F1655" w:rsidRPr="00176E2B" w:rsidRDefault="005F1655" w:rsidP="00176E2B">
      <w:pPr>
        <w:ind w:left="360"/>
        <w:jc w:val="both"/>
        <w:rPr>
          <w:rFonts w:ascii="Arial" w:hAnsi="Arial" w:cs="Arial"/>
          <w:color w:val="222222"/>
          <w:shd w:val="clear" w:color="auto" w:fill="FFFFFF"/>
        </w:rPr>
      </w:pPr>
      <w:r w:rsidRPr="00176E2B">
        <w:rPr>
          <w:rFonts w:ascii="Arial" w:hAnsi="Arial" w:cs="Arial"/>
          <w:color w:val="222222"/>
          <w:shd w:val="clear" w:color="auto" w:fill="FFFFFF"/>
        </w:rPr>
        <w:t xml:space="preserve">Mia, S., Alam, M., Furkan, H. B., Bari, M. H., &amp; Uddin, M. (2024). Health awareness of vegetable farmers while handling agrochemicals: a study in Sylhet District. </w:t>
      </w:r>
      <w:r w:rsidRPr="00176E2B">
        <w:rPr>
          <w:rFonts w:ascii="Arial" w:hAnsi="Arial" w:cs="Arial"/>
          <w:i/>
          <w:iCs/>
          <w:color w:val="222222"/>
          <w:shd w:val="clear" w:color="auto" w:fill="FFFFFF"/>
        </w:rPr>
        <w:t>SSRN Electronic Journal</w:t>
      </w:r>
      <w:r w:rsidRPr="00176E2B">
        <w:rPr>
          <w:rFonts w:ascii="Arial" w:hAnsi="Arial" w:cs="Arial"/>
          <w:color w:val="222222"/>
          <w:shd w:val="clear" w:color="auto" w:fill="FFFFFF"/>
        </w:rPr>
        <w:t xml:space="preserve">. </w:t>
      </w:r>
      <w:hyperlink r:id="rId44" w:history="1">
        <w:r w:rsidRPr="00176E2B">
          <w:rPr>
            <w:rStyle w:val="Hyperlink"/>
            <w:rFonts w:ascii="Arial" w:hAnsi="Arial" w:cs="Arial"/>
            <w:shd w:val="clear" w:color="auto" w:fill="FFFFFF"/>
          </w:rPr>
          <w:t>https://doi.org/10.2139/ssrn.4995798</w:t>
        </w:r>
      </w:hyperlink>
      <w:r w:rsidRPr="00176E2B">
        <w:rPr>
          <w:rFonts w:ascii="Arial" w:hAnsi="Arial" w:cs="Arial"/>
          <w:color w:val="222222"/>
          <w:shd w:val="clear" w:color="auto" w:fill="FFFFFF"/>
        </w:rPr>
        <w:t xml:space="preserve"> </w:t>
      </w:r>
    </w:p>
    <w:p w14:paraId="7B070B71" w14:textId="77777777" w:rsidR="005F1655" w:rsidRPr="00A77FB3" w:rsidRDefault="005F1655" w:rsidP="00176E2B">
      <w:pPr>
        <w:pStyle w:val="NormalWeb"/>
        <w:spacing w:before="0" w:beforeAutospacing="0"/>
        <w:ind w:left="360"/>
        <w:jc w:val="both"/>
        <w:rPr>
          <w:rFonts w:ascii="Arial" w:hAnsi="Arial" w:cs="Arial"/>
          <w:sz w:val="20"/>
          <w:szCs w:val="20"/>
        </w:rPr>
      </w:pPr>
      <w:proofErr w:type="spellStart"/>
      <w:r w:rsidRPr="00A77FB3">
        <w:rPr>
          <w:rFonts w:ascii="Arial" w:hAnsi="Arial" w:cs="Arial"/>
          <w:sz w:val="20"/>
          <w:szCs w:val="20"/>
        </w:rPr>
        <w:t>Mualem</w:t>
      </w:r>
      <w:proofErr w:type="spellEnd"/>
      <w:r w:rsidRPr="00A77FB3">
        <w:rPr>
          <w:rFonts w:ascii="Arial" w:hAnsi="Arial" w:cs="Arial"/>
          <w:sz w:val="20"/>
          <w:szCs w:val="20"/>
        </w:rPr>
        <w:t xml:space="preserve">, Y., &amp; Friedman, S. P. (1991). Theoretical prediction of electrical conductivity in saturated and unsaturated soil. </w:t>
      </w:r>
      <w:r w:rsidRPr="00A77FB3">
        <w:rPr>
          <w:rFonts w:ascii="Arial" w:hAnsi="Arial" w:cs="Arial"/>
          <w:i/>
          <w:iCs/>
          <w:sz w:val="20"/>
          <w:szCs w:val="20"/>
        </w:rPr>
        <w:t>Water Resources Research</w:t>
      </w:r>
      <w:r w:rsidRPr="00A77FB3">
        <w:rPr>
          <w:rFonts w:ascii="Arial" w:hAnsi="Arial" w:cs="Arial"/>
          <w:sz w:val="20"/>
          <w:szCs w:val="20"/>
        </w:rPr>
        <w:t xml:space="preserve">, </w:t>
      </w:r>
      <w:r w:rsidRPr="00A77FB3">
        <w:rPr>
          <w:rFonts w:ascii="Arial" w:hAnsi="Arial" w:cs="Arial"/>
          <w:i/>
          <w:iCs/>
          <w:sz w:val="20"/>
          <w:szCs w:val="20"/>
        </w:rPr>
        <w:t>27</w:t>
      </w:r>
      <w:r w:rsidRPr="00A77FB3">
        <w:rPr>
          <w:rFonts w:ascii="Arial" w:hAnsi="Arial" w:cs="Arial"/>
          <w:sz w:val="20"/>
          <w:szCs w:val="20"/>
        </w:rPr>
        <w:t xml:space="preserve">(10), 2771–2777. </w:t>
      </w:r>
      <w:hyperlink r:id="rId45" w:history="1">
        <w:r w:rsidRPr="00A77FB3">
          <w:rPr>
            <w:rStyle w:val="Hyperlink"/>
            <w:rFonts w:ascii="Arial" w:hAnsi="Arial" w:cs="Arial"/>
            <w:sz w:val="20"/>
            <w:szCs w:val="20"/>
          </w:rPr>
          <w:t>https://doi.org/10.1029/91wr01095</w:t>
        </w:r>
      </w:hyperlink>
      <w:r w:rsidRPr="00A77FB3">
        <w:rPr>
          <w:rFonts w:ascii="Arial" w:hAnsi="Arial" w:cs="Arial"/>
          <w:sz w:val="20"/>
          <w:szCs w:val="20"/>
        </w:rPr>
        <w:t xml:space="preserve"> </w:t>
      </w:r>
    </w:p>
    <w:p w14:paraId="33E50104" w14:textId="39818DDF" w:rsidR="00A7527F" w:rsidRPr="00176E2B" w:rsidRDefault="00A7527F" w:rsidP="00176E2B">
      <w:pPr>
        <w:ind w:left="360"/>
        <w:jc w:val="both"/>
        <w:rPr>
          <w:rFonts w:ascii="Arial" w:hAnsi="Arial" w:cs="Arial"/>
        </w:rPr>
      </w:pPr>
      <w:r w:rsidRPr="00176E2B">
        <w:rPr>
          <w:rFonts w:ascii="Arial" w:hAnsi="Arial" w:cs="Arial"/>
        </w:rPr>
        <w:t xml:space="preserve">Murphy, J., &amp; Riley, J. P. (1962). A modified single solution method for the determination of phosphate in natural waters. Analytica </w:t>
      </w:r>
      <w:proofErr w:type="spellStart"/>
      <w:r w:rsidRPr="00176E2B">
        <w:rPr>
          <w:rFonts w:ascii="Arial" w:hAnsi="Arial" w:cs="Arial"/>
        </w:rPr>
        <w:t>Chimica</w:t>
      </w:r>
      <w:proofErr w:type="spellEnd"/>
      <w:r w:rsidRPr="00176E2B">
        <w:rPr>
          <w:rFonts w:ascii="Arial" w:hAnsi="Arial" w:cs="Arial"/>
        </w:rPr>
        <w:t xml:space="preserve"> Acta, 27, 31–36. </w:t>
      </w:r>
      <w:hyperlink r:id="rId46" w:history="1">
        <w:r w:rsidRPr="00176E2B">
          <w:rPr>
            <w:rStyle w:val="Hyperlink"/>
            <w:rFonts w:ascii="Arial" w:hAnsi="Arial" w:cs="Arial"/>
          </w:rPr>
          <w:t>https://doi.org/10.1016/S0003-2670(00)88444-5</w:t>
        </w:r>
      </w:hyperlink>
    </w:p>
    <w:p w14:paraId="0B6BA5AA" w14:textId="2483576B" w:rsidR="00A7527F" w:rsidRPr="00176E2B" w:rsidRDefault="00A7527F" w:rsidP="00176E2B">
      <w:pPr>
        <w:ind w:left="360"/>
        <w:jc w:val="both"/>
        <w:rPr>
          <w:rFonts w:ascii="Arial" w:hAnsi="Arial" w:cs="Arial"/>
          <w:color w:val="222222"/>
          <w:shd w:val="clear" w:color="auto" w:fill="FFFFFF"/>
        </w:rPr>
      </w:pPr>
      <w:r w:rsidRPr="00176E2B">
        <w:rPr>
          <w:rFonts w:ascii="Arial" w:hAnsi="Arial" w:cs="Arial"/>
          <w:color w:val="222222"/>
          <w:shd w:val="clear" w:color="auto" w:fill="FFFFFF"/>
        </w:rPr>
        <w:t xml:space="preserve">Naess, A. (2005). The Place of Joy in a World of Fact. In A. </w:t>
      </w:r>
      <w:proofErr w:type="spellStart"/>
      <w:r w:rsidRPr="00176E2B">
        <w:rPr>
          <w:rFonts w:ascii="Arial" w:hAnsi="Arial" w:cs="Arial"/>
          <w:color w:val="222222"/>
          <w:shd w:val="clear" w:color="auto" w:fill="FFFFFF"/>
        </w:rPr>
        <w:t>Drengson</w:t>
      </w:r>
      <w:proofErr w:type="spellEnd"/>
      <w:r w:rsidRPr="00176E2B">
        <w:rPr>
          <w:rFonts w:ascii="Arial" w:hAnsi="Arial" w:cs="Arial"/>
          <w:color w:val="222222"/>
          <w:shd w:val="clear" w:color="auto" w:fill="FFFFFF"/>
        </w:rPr>
        <w:t xml:space="preserve"> (Ed.), The Selected Works of Arne Naess. Springer. </w:t>
      </w:r>
      <w:hyperlink r:id="rId47" w:history="1">
        <w:r w:rsidRPr="00176E2B">
          <w:rPr>
            <w:rStyle w:val="Hyperlink"/>
            <w:rFonts w:ascii="Arial" w:hAnsi="Arial" w:cs="Arial"/>
            <w:shd w:val="clear" w:color="auto" w:fill="FFFFFF"/>
          </w:rPr>
          <w:t>https://doi.org/10.1007/978-1-4020-4519-6_97</w:t>
        </w:r>
      </w:hyperlink>
    </w:p>
    <w:p w14:paraId="0B0E2E00" w14:textId="76FE0DFD" w:rsidR="005F1655" w:rsidRPr="00176E2B" w:rsidRDefault="005F1655" w:rsidP="00176E2B">
      <w:pPr>
        <w:ind w:left="360"/>
        <w:jc w:val="both"/>
        <w:rPr>
          <w:rFonts w:ascii="Arial" w:hAnsi="Arial" w:cs="Arial"/>
          <w:color w:val="222222"/>
          <w:shd w:val="clear" w:color="auto" w:fill="FFFFFF"/>
        </w:rPr>
      </w:pPr>
      <w:r w:rsidRPr="00176E2B">
        <w:rPr>
          <w:rFonts w:ascii="Arial" w:hAnsi="Arial" w:cs="Arial"/>
          <w:color w:val="222222"/>
          <w:shd w:val="clear" w:color="auto" w:fill="FFFFFF"/>
        </w:rPr>
        <w:t xml:space="preserve">NESREA. (2022). National Environmental (Soil Quality Control) Regulations. Abuja, Nigeria: National Environmental Standards and Regulations Enforcement Agency. </w:t>
      </w:r>
    </w:p>
    <w:p w14:paraId="5D619F32" w14:textId="4DDADBB3" w:rsidR="00A7527F" w:rsidRPr="00176E2B" w:rsidRDefault="00A7527F" w:rsidP="00176E2B">
      <w:pPr>
        <w:ind w:left="360"/>
        <w:jc w:val="both"/>
        <w:rPr>
          <w:rFonts w:ascii="Arial" w:hAnsi="Arial" w:cs="Arial"/>
        </w:rPr>
      </w:pPr>
      <w:proofErr w:type="spellStart"/>
      <w:r w:rsidRPr="00176E2B">
        <w:rPr>
          <w:rFonts w:ascii="Arial" w:hAnsi="Arial" w:cs="Arial"/>
        </w:rPr>
        <w:t>Okalebo</w:t>
      </w:r>
      <w:proofErr w:type="spellEnd"/>
      <w:r w:rsidRPr="00176E2B">
        <w:rPr>
          <w:rFonts w:ascii="Arial" w:hAnsi="Arial" w:cs="Arial"/>
        </w:rPr>
        <w:t xml:space="preserve">, J. R., </w:t>
      </w:r>
      <w:proofErr w:type="spellStart"/>
      <w:r w:rsidRPr="00176E2B">
        <w:rPr>
          <w:rFonts w:ascii="Arial" w:hAnsi="Arial" w:cs="Arial"/>
        </w:rPr>
        <w:t>Gathua</w:t>
      </w:r>
      <w:proofErr w:type="spellEnd"/>
      <w:r w:rsidRPr="00176E2B">
        <w:rPr>
          <w:rFonts w:ascii="Arial" w:hAnsi="Arial" w:cs="Arial"/>
        </w:rPr>
        <w:t xml:space="preserve">, K. W., &amp; Woomer, P. L. (2002). Laboratory methods of plant and soil analysis. Tropical Soil Biology and Fertility </w:t>
      </w:r>
      <w:proofErr w:type="spellStart"/>
      <w:r w:rsidRPr="00176E2B">
        <w:rPr>
          <w:rFonts w:ascii="Arial" w:hAnsi="Arial" w:cs="Arial"/>
        </w:rPr>
        <w:t>Programme</w:t>
      </w:r>
      <w:proofErr w:type="spellEnd"/>
      <w:r w:rsidRPr="00176E2B">
        <w:rPr>
          <w:rFonts w:ascii="Arial" w:hAnsi="Arial" w:cs="Arial"/>
        </w:rPr>
        <w:t xml:space="preserve">. </w:t>
      </w:r>
      <w:hyperlink r:id="rId48" w:history="1">
        <w:r w:rsidRPr="00176E2B">
          <w:rPr>
            <w:rStyle w:val="Hyperlink"/>
            <w:rFonts w:ascii="Arial" w:hAnsi="Arial" w:cs="Arial"/>
          </w:rPr>
          <w:t>http://hdl.handle.net/11295/85242</w:t>
        </w:r>
      </w:hyperlink>
    </w:p>
    <w:p w14:paraId="27A6B9BB" w14:textId="7216D448" w:rsidR="00A7527F" w:rsidRPr="00176E2B" w:rsidRDefault="00A7527F" w:rsidP="00176E2B">
      <w:pPr>
        <w:ind w:left="360"/>
        <w:jc w:val="both"/>
        <w:rPr>
          <w:rFonts w:ascii="Arial" w:hAnsi="Arial" w:cs="Arial"/>
          <w:color w:val="222222"/>
          <w:shd w:val="clear" w:color="auto" w:fill="FFFFFF"/>
        </w:rPr>
      </w:pPr>
      <w:r w:rsidRPr="00176E2B">
        <w:rPr>
          <w:rFonts w:ascii="Arial" w:hAnsi="Arial" w:cs="Arial"/>
          <w:color w:val="222222"/>
          <w:shd w:val="clear" w:color="auto" w:fill="FFFFFF"/>
        </w:rPr>
        <w:t xml:space="preserve">Okunola, A., &amp; Okunola, C. (2023). Impact of some essential plant oils on viability of stored cowpea and maize seeds for food security. In 2023 International Conference on Science, Engineering and Business for Sustainable Development Goals (SEB-SDG) (Vol. 1, pp. 1-3). IEEE. </w:t>
      </w:r>
      <w:hyperlink r:id="rId49" w:history="1">
        <w:r w:rsidRPr="00176E2B">
          <w:rPr>
            <w:rStyle w:val="Hyperlink"/>
            <w:rFonts w:ascii="Arial" w:hAnsi="Arial" w:cs="Arial"/>
            <w:shd w:val="clear" w:color="auto" w:fill="FFFFFF"/>
          </w:rPr>
          <w:t>https://doi.org/10.1109/SEB-SDG57117.2023.10198900</w:t>
        </w:r>
      </w:hyperlink>
    </w:p>
    <w:p w14:paraId="54BA58C9" w14:textId="5550F9EB" w:rsidR="00ED71B6" w:rsidRPr="00176E2B" w:rsidRDefault="00ED71B6" w:rsidP="00176E2B">
      <w:pPr>
        <w:ind w:left="360"/>
        <w:jc w:val="both"/>
        <w:rPr>
          <w:rFonts w:ascii="Arial" w:hAnsi="Arial" w:cs="Arial"/>
        </w:rPr>
      </w:pPr>
      <w:r w:rsidRPr="00176E2B">
        <w:rPr>
          <w:rFonts w:ascii="Arial" w:hAnsi="Arial" w:cs="Arial"/>
          <w:color w:val="222222"/>
          <w:shd w:val="clear" w:color="auto" w:fill="FFFFFF"/>
        </w:rPr>
        <w:t xml:space="preserve">Pandey, A., Brauer, M., Cropper, M. L., Balakrishnan, K., Mathur, P., Dey, S., </w:t>
      </w:r>
      <w:proofErr w:type="spellStart"/>
      <w:r w:rsidRPr="00176E2B">
        <w:rPr>
          <w:rFonts w:ascii="Arial" w:hAnsi="Arial" w:cs="Arial"/>
          <w:color w:val="222222"/>
          <w:shd w:val="clear" w:color="auto" w:fill="FFFFFF"/>
        </w:rPr>
        <w:t>Turkgulu</w:t>
      </w:r>
      <w:proofErr w:type="spellEnd"/>
      <w:r w:rsidRPr="00176E2B">
        <w:rPr>
          <w:rFonts w:ascii="Arial" w:hAnsi="Arial" w:cs="Arial"/>
          <w:color w:val="222222"/>
          <w:shd w:val="clear" w:color="auto" w:fill="FFFFFF"/>
        </w:rPr>
        <w:t xml:space="preserve">, B., Kumar, G. A., Khare, M., Beig, G., Gupta, T., </w:t>
      </w:r>
      <w:proofErr w:type="spellStart"/>
      <w:r w:rsidRPr="00176E2B">
        <w:rPr>
          <w:rFonts w:ascii="Arial" w:hAnsi="Arial" w:cs="Arial"/>
          <w:color w:val="222222"/>
          <w:shd w:val="clear" w:color="auto" w:fill="FFFFFF"/>
        </w:rPr>
        <w:t>Krishnankutty</w:t>
      </w:r>
      <w:proofErr w:type="spellEnd"/>
      <w:r w:rsidRPr="00176E2B">
        <w:rPr>
          <w:rFonts w:ascii="Arial" w:hAnsi="Arial" w:cs="Arial"/>
          <w:color w:val="222222"/>
          <w:shd w:val="clear" w:color="auto" w:fill="FFFFFF"/>
        </w:rPr>
        <w:t xml:space="preserve">, R. P., Causey, K., Cohen, A. J., Bhargava, S., Aggarwal, A. N., Agrawal, A., Awasthi, S., Bennitt, F., et al. (2020). Health and economic impact of air pollution in the states of India: </w:t>
      </w:r>
      <w:proofErr w:type="gramStart"/>
      <w:r w:rsidRPr="00176E2B">
        <w:rPr>
          <w:rFonts w:ascii="Arial" w:hAnsi="Arial" w:cs="Arial"/>
          <w:color w:val="222222"/>
          <w:shd w:val="clear" w:color="auto" w:fill="FFFFFF"/>
        </w:rPr>
        <w:t>the</w:t>
      </w:r>
      <w:proofErr w:type="gramEnd"/>
      <w:r w:rsidRPr="00176E2B">
        <w:rPr>
          <w:rFonts w:ascii="Arial" w:hAnsi="Arial" w:cs="Arial"/>
          <w:color w:val="222222"/>
          <w:shd w:val="clear" w:color="auto" w:fill="FFFFFF"/>
        </w:rPr>
        <w:t xml:space="preserve"> Global Burden of Disease Study 2019. The Lancet Planetary Health, 5(1), e25–e38 </w:t>
      </w:r>
      <w:hyperlink r:id="rId50" w:history="1">
        <w:r w:rsidRPr="00176E2B">
          <w:rPr>
            <w:rStyle w:val="Hyperlink"/>
            <w:rFonts w:ascii="Arial" w:hAnsi="Arial" w:cs="Arial"/>
            <w:shd w:val="clear" w:color="auto" w:fill="FFFFFF"/>
          </w:rPr>
          <w:t>https://doi.org/10.1016/S2542-5196(20)30298-9</w:t>
        </w:r>
      </w:hyperlink>
    </w:p>
    <w:p w14:paraId="0DEED54F" w14:textId="470638B5" w:rsidR="00E61C31" w:rsidRPr="00176E2B" w:rsidRDefault="00E61C31" w:rsidP="00176E2B">
      <w:pPr>
        <w:ind w:left="360"/>
        <w:jc w:val="both"/>
        <w:rPr>
          <w:rFonts w:ascii="Arial" w:hAnsi="Arial" w:cs="Arial"/>
        </w:rPr>
      </w:pPr>
      <w:r w:rsidRPr="00176E2B">
        <w:rPr>
          <w:rFonts w:ascii="Arial" w:hAnsi="Arial" w:cs="Arial"/>
        </w:rPr>
        <w:t>Quan, Y. (2025). Deep Ecology: The Construction and Controversies of Biocentric Ethics[J</w:t>
      </w:r>
      <w:proofErr w:type="gramStart"/>
      <w:r w:rsidRPr="00176E2B">
        <w:rPr>
          <w:rFonts w:ascii="Arial" w:hAnsi="Arial" w:cs="Arial"/>
        </w:rPr>
        <w:t>].Chinese</w:t>
      </w:r>
      <w:proofErr w:type="gramEnd"/>
      <w:r w:rsidRPr="00176E2B">
        <w:rPr>
          <w:rFonts w:ascii="Arial" w:hAnsi="Arial" w:cs="Arial"/>
        </w:rPr>
        <w:t xml:space="preserve"> Industry and Technology of Eco-environment, 06(01):27-30. Doi:</w:t>
      </w:r>
      <w:hyperlink r:id="rId51" w:tgtFrame="_blank" w:history="1">
        <w:r w:rsidRPr="00176E2B">
          <w:rPr>
            <w:rStyle w:val="Hyperlink"/>
            <w:rFonts w:ascii="Arial" w:hAnsi="Arial" w:cs="Arial"/>
          </w:rPr>
          <w:t>10.47297/wspciateWSP2633-772X04.20250601.</w:t>
        </w:r>
      </w:hyperlink>
      <w:r w:rsidRPr="00176E2B">
        <w:rPr>
          <w:rFonts w:ascii="Arial" w:hAnsi="Arial" w:cs="Arial"/>
        </w:rPr>
        <w:t xml:space="preserve"> </w:t>
      </w:r>
    </w:p>
    <w:p w14:paraId="60E9AC20" w14:textId="25D5DCE8" w:rsidR="00ED71B6" w:rsidRPr="00176E2B" w:rsidRDefault="00ED71B6" w:rsidP="00176E2B">
      <w:pPr>
        <w:ind w:left="360"/>
        <w:jc w:val="both"/>
        <w:rPr>
          <w:rFonts w:ascii="Arial" w:hAnsi="Arial" w:cs="Arial"/>
          <w:color w:val="222222"/>
          <w:shd w:val="clear" w:color="auto" w:fill="FFFFFF"/>
        </w:rPr>
      </w:pPr>
      <w:r w:rsidRPr="00176E2B">
        <w:rPr>
          <w:rFonts w:ascii="Arial" w:hAnsi="Arial" w:cs="Arial"/>
          <w:color w:val="222222"/>
          <w:shd w:val="clear" w:color="auto" w:fill="FFFFFF"/>
        </w:rPr>
        <w:lastRenderedPageBreak/>
        <w:t xml:space="preserve">Sharma, P., Kaur, J., &amp; </w:t>
      </w:r>
      <w:proofErr w:type="spellStart"/>
      <w:r w:rsidRPr="00176E2B">
        <w:rPr>
          <w:rFonts w:ascii="Arial" w:hAnsi="Arial" w:cs="Arial"/>
          <w:color w:val="222222"/>
          <w:shd w:val="clear" w:color="auto" w:fill="FFFFFF"/>
        </w:rPr>
        <w:t>Katnoria</w:t>
      </w:r>
      <w:proofErr w:type="spellEnd"/>
      <w:r w:rsidRPr="00176E2B">
        <w:rPr>
          <w:rFonts w:ascii="Arial" w:hAnsi="Arial" w:cs="Arial"/>
          <w:color w:val="222222"/>
          <w:shd w:val="clear" w:color="auto" w:fill="FFFFFF"/>
        </w:rPr>
        <w:t xml:space="preserve">, J. K. (2022). Assessment of spatial variations in pollution load of agricultural soil samples of Ludhiana district, Punjab. Environmental Monitoring and Assessment. </w:t>
      </w:r>
      <w:hyperlink r:id="rId52" w:history="1">
        <w:r w:rsidRPr="00176E2B">
          <w:rPr>
            <w:rStyle w:val="Hyperlink"/>
            <w:rFonts w:ascii="Arial" w:hAnsi="Arial" w:cs="Arial"/>
            <w:shd w:val="clear" w:color="auto" w:fill="FFFFFF"/>
          </w:rPr>
          <w:t>https://doi.org/10.1007/s10661-022-10816-z</w:t>
        </w:r>
      </w:hyperlink>
    </w:p>
    <w:p w14:paraId="294E8FED" w14:textId="2137880C" w:rsidR="00ED71B6" w:rsidRPr="00176E2B" w:rsidRDefault="00ED71B6" w:rsidP="00176E2B">
      <w:pPr>
        <w:ind w:left="360"/>
        <w:jc w:val="both"/>
        <w:rPr>
          <w:rFonts w:ascii="Arial" w:hAnsi="Arial" w:cs="Arial"/>
          <w:color w:val="222222"/>
          <w:shd w:val="clear" w:color="auto" w:fill="FFFFFF"/>
        </w:rPr>
      </w:pPr>
      <w:r w:rsidRPr="00176E2B">
        <w:rPr>
          <w:rFonts w:ascii="Arial" w:hAnsi="Arial" w:cs="Arial"/>
        </w:rPr>
        <w:t xml:space="preserve">Solanki, A. C., Gurjar, N. S., Sharma, S., Wang, Z., Kumar, A., Solanki, M. K., Kumar Divvela, P., Yadav, K., &amp; Kashyap, B. K. (2024). Decoding seasonal changes: soil parameters and microbial communities in tropical dry deciduous forests. Frontiers in Microbiology. </w:t>
      </w:r>
      <w:hyperlink r:id="rId53" w:history="1">
        <w:r w:rsidRPr="00176E2B">
          <w:rPr>
            <w:rStyle w:val="Hyperlink"/>
            <w:rFonts w:ascii="Arial" w:hAnsi="Arial" w:cs="Arial"/>
          </w:rPr>
          <w:t>https://doi.org/10.3389/fmicb.2024.1258934</w:t>
        </w:r>
      </w:hyperlink>
    </w:p>
    <w:p w14:paraId="542E0967" w14:textId="2D8C1B74" w:rsidR="00ED71B6" w:rsidRPr="00176E2B" w:rsidRDefault="00ED71B6" w:rsidP="00176E2B">
      <w:pPr>
        <w:ind w:left="360"/>
        <w:jc w:val="both"/>
        <w:rPr>
          <w:rFonts w:ascii="Arial" w:hAnsi="Arial" w:cs="Arial"/>
        </w:rPr>
      </w:pPr>
      <w:r w:rsidRPr="00176E2B">
        <w:rPr>
          <w:rFonts w:ascii="Arial" w:hAnsi="Arial" w:cs="Arial"/>
          <w:color w:val="222222"/>
          <w:shd w:val="clear" w:color="auto" w:fill="FFFFFF"/>
        </w:rPr>
        <w:t xml:space="preserve">Steffen, W., Richardson, K., </w:t>
      </w:r>
      <w:proofErr w:type="spellStart"/>
      <w:r w:rsidRPr="00176E2B">
        <w:rPr>
          <w:rFonts w:ascii="Arial" w:hAnsi="Arial" w:cs="Arial"/>
          <w:color w:val="222222"/>
          <w:shd w:val="clear" w:color="auto" w:fill="FFFFFF"/>
        </w:rPr>
        <w:t>Rockström</w:t>
      </w:r>
      <w:proofErr w:type="spellEnd"/>
      <w:r w:rsidRPr="00176E2B">
        <w:rPr>
          <w:rFonts w:ascii="Arial" w:hAnsi="Arial" w:cs="Arial"/>
          <w:color w:val="222222"/>
          <w:shd w:val="clear" w:color="auto" w:fill="FFFFFF"/>
        </w:rPr>
        <w:t xml:space="preserve">, J., </w:t>
      </w:r>
      <w:proofErr w:type="spellStart"/>
      <w:r w:rsidRPr="00176E2B">
        <w:rPr>
          <w:rFonts w:ascii="Arial" w:hAnsi="Arial" w:cs="Arial"/>
          <w:color w:val="222222"/>
          <w:shd w:val="clear" w:color="auto" w:fill="FFFFFF"/>
        </w:rPr>
        <w:t>Schellnhuber</w:t>
      </w:r>
      <w:proofErr w:type="spellEnd"/>
      <w:r w:rsidRPr="00176E2B">
        <w:rPr>
          <w:rFonts w:ascii="Arial" w:hAnsi="Arial" w:cs="Arial"/>
          <w:color w:val="222222"/>
          <w:shd w:val="clear" w:color="auto" w:fill="FFFFFF"/>
        </w:rPr>
        <w:t xml:space="preserve">, H. J., Dube, O. P., Dutreuil, S., Lenton, T. M., &amp; Lubchenco, J. (2020). The emergence and evolution of Earth System Science. Nature Reviews Earth &amp; Environment, 1(1), 54–63. </w:t>
      </w:r>
      <w:hyperlink r:id="rId54" w:history="1">
        <w:r w:rsidRPr="00176E2B">
          <w:rPr>
            <w:rStyle w:val="Hyperlink"/>
            <w:rFonts w:ascii="Arial" w:hAnsi="Arial" w:cs="Arial"/>
            <w:shd w:val="clear" w:color="auto" w:fill="FFFFFF"/>
          </w:rPr>
          <w:t>https://doi.org/10.1038/s43017-019-0005-6</w:t>
        </w:r>
      </w:hyperlink>
    </w:p>
    <w:p w14:paraId="504A8CE3" w14:textId="23C528FC" w:rsidR="00ED71B6" w:rsidRPr="00176E2B" w:rsidRDefault="00ED71B6" w:rsidP="00176E2B">
      <w:pPr>
        <w:ind w:left="360"/>
        <w:jc w:val="both"/>
        <w:rPr>
          <w:rFonts w:ascii="Arial" w:hAnsi="Arial" w:cs="Arial"/>
        </w:rPr>
      </w:pPr>
      <w:r w:rsidRPr="00176E2B">
        <w:rPr>
          <w:rFonts w:ascii="Arial" w:hAnsi="Arial" w:cs="Arial"/>
        </w:rPr>
        <w:t xml:space="preserve">Tabatabai, M. A., &amp; Bremner, J. M. (1972). Assay of urease activity in soils. Soil Biology and Biochemistry, 4(4), 479–487. </w:t>
      </w:r>
      <w:hyperlink r:id="rId55" w:history="1">
        <w:r w:rsidRPr="00176E2B">
          <w:rPr>
            <w:rStyle w:val="Hyperlink"/>
            <w:rFonts w:ascii="Arial" w:hAnsi="Arial" w:cs="Arial"/>
          </w:rPr>
          <w:t>https://doi.org/10.1016/0038-0717(72)90064-8</w:t>
        </w:r>
      </w:hyperlink>
    </w:p>
    <w:p w14:paraId="318C366C" w14:textId="29C52C87" w:rsidR="00ED71B6" w:rsidRPr="00176E2B" w:rsidRDefault="00ED71B6" w:rsidP="00176E2B">
      <w:pPr>
        <w:ind w:left="360"/>
        <w:jc w:val="both"/>
        <w:rPr>
          <w:rFonts w:ascii="Arial" w:hAnsi="Arial" w:cs="Arial"/>
          <w:color w:val="222222"/>
          <w:shd w:val="clear" w:color="auto" w:fill="FFFFFF"/>
        </w:rPr>
      </w:pPr>
      <w:r w:rsidRPr="00176E2B">
        <w:rPr>
          <w:rFonts w:ascii="Arial" w:hAnsi="Arial" w:cs="Arial"/>
        </w:rPr>
        <w:t xml:space="preserve">Tiwari, R., Dwivedi, B. S., Sharma, Y. M., Sharma, A., &amp; Dwivedi, A. K. (2019). Activities of β-glucosidase, Phosphatase and Dehydrogenase as Soil Quality Indicators: A Review. International Journal of Current Microbiology and Applied Sciences, 8(06), 834–846. </w:t>
      </w:r>
      <w:hyperlink r:id="rId56" w:history="1">
        <w:r w:rsidRPr="00176E2B">
          <w:rPr>
            <w:rStyle w:val="Hyperlink"/>
            <w:rFonts w:ascii="Arial" w:hAnsi="Arial" w:cs="Arial"/>
          </w:rPr>
          <w:t>https://doi.org/10.20546/ijcmas.2019.806.101</w:t>
        </w:r>
      </w:hyperlink>
    </w:p>
    <w:p w14:paraId="2661FDD2" w14:textId="35D5BCD9" w:rsidR="00ED71B6" w:rsidRPr="00176E2B" w:rsidRDefault="00ED71B6" w:rsidP="00176E2B">
      <w:pPr>
        <w:ind w:left="360"/>
        <w:jc w:val="both"/>
        <w:rPr>
          <w:rFonts w:ascii="Arial" w:hAnsi="Arial" w:cs="Arial"/>
          <w:color w:val="222222"/>
          <w:shd w:val="clear" w:color="auto" w:fill="FFFFFF"/>
        </w:rPr>
      </w:pPr>
      <w:r w:rsidRPr="00176E2B">
        <w:rPr>
          <w:rFonts w:ascii="Arial" w:hAnsi="Arial" w:cs="Arial"/>
          <w:color w:val="222222"/>
          <w:shd w:val="clear" w:color="auto" w:fill="FFFFFF"/>
        </w:rPr>
        <w:t xml:space="preserve">Tomlinson, D. L., Wilson, J. G., Harris, C. R., &amp; Jeffrey, D. W. (1980). Problems in the assessment of heavy-metal levels in estuaries and the formation of a pollution index. Helgoland Marine Research, 33(1–4), 566–575. </w:t>
      </w:r>
      <w:hyperlink r:id="rId57" w:history="1">
        <w:r w:rsidRPr="00176E2B">
          <w:rPr>
            <w:rStyle w:val="Hyperlink"/>
            <w:rFonts w:ascii="Arial" w:hAnsi="Arial" w:cs="Arial"/>
            <w:shd w:val="clear" w:color="auto" w:fill="FFFFFF"/>
          </w:rPr>
          <w:t>https://doi.org/10.1007/bf02414780</w:t>
        </w:r>
      </w:hyperlink>
    </w:p>
    <w:p w14:paraId="3FA17FA6" w14:textId="4B235ADF" w:rsidR="005F1655" w:rsidRPr="00176E2B" w:rsidRDefault="005F1655" w:rsidP="00176E2B">
      <w:pPr>
        <w:ind w:left="360"/>
        <w:jc w:val="both"/>
        <w:rPr>
          <w:rFonts w:ascii="Arial" w:hAnsi="Arial" w:cs="Arial"/>
          <w:color w:val="222222"/>
          <w:shd w:val="clear" w:color="auto" w:fill="FFFFFF"/>
        </w:rPr>
      </w:pPr>
      <w:proofErr w:type="spellStart"/>
      <w:r w:rsidRPr="00176E2B">
        <w:rPr>
          <w:rFonts w:ascii="Arial" w:hAnsi="Arial" w:cs="Arial"/>
          <w:color w:val="222222"/>
          <w:shd w:val="clear" w:color="auto" w:fill="FFFFFF"/>
        </w:rPr>
        <w:t>Umeri</w:t>
      </w:r>
      <w:proofErr w:type="spellEnd"/>
      <w:r w:rsidRPr="00176E2B">
        <w:rPr>
          <w:rFonts w:ascii="Arial" w:hAnsi="Arial" w:cs="Arial"/>
          <w:color w:val="222222"/>
          <w:shd w:val="clear" w:color="auto" w:fill="FFFFFF"/>
        </w:rPr>
        <w:t xml:space="preserve">, C., Nwajei, S., </w:t>
      </w:r>
      <w:proofErr w:type="spellStart"/>
      <w:r w:rsidRPr="00176E2B">
        <w:rPr>
          <w:rFonts w:ascii="Arial" w:hAnsi="Arial" w:cs="Arial"/>
          <w:color w:val="222222"/>
          <w:shd w:val="clear" w:color="auto" w:fill="FFFFFF"/>
        </w:rPr>
        <w:t>Moseri</w:t>
      </w:r>
      <w:proofErr w:type="spellEnd"/>
      <w:r w:rsidRPr="00176E2B">
        <w:rPr>
          <w:rFonts w:ascii="Arial" w:hAnsi="Arial" w:cs="Arial"/>
          <w:color w:val="222222"/>
          <w:shd w:val="clear" w:color="auto" w:fill="FFFFFF"/>
        </w:rPr>
        <w:t>, H., &amp; Bamidele, M. (2023). Growth and yield of seven varieties of okra (&lt;</w:t>
      </w:r>
      <w:proofErr w:type="spellStart"/>
      <w:r w:rsidRPr="00176E2B">
        <w:rPr>
          <w:rFonts w:ascii="Arial" w:hAnsi="Arial" w:cs="Arial"/>
          <w:color w:val="222222"/>
          <w:shd w:val="clear" w:color="auto" w:fill="FFFFFF"/>
        </w:rPr>
        <w:t>i</w:t>
      </w:r>
      <w:proofErr w:type="spellEnd"/>
      <w:r w:rsidRPr="00176E2B">
        <w:rPr>
          <w:rFonts w:ascii="Arial" w:hAnsi="Arial" w:cs="Arial"/>
          <w:color w:val="222222"/>
          <w:shd w:val="clear" w:color="auto" w:fill="FFFFFF"/>
        </w:rPr>
        <w:t xml:space="preserve">&gt;Abelmoschus </w:t>
      </w:r>
      <w:proofErr w:type="spellStart"/>
      <w:r w:rsidRPr="00176E2B">
        <w:rPr>
          <w:rFonts w:ascii="Arial" w:hAnsi="Arial" w:cs="Arial"/>
          <w:color w:val="222222"/>
          <w:shd w:val="clear" w:color="auto" w:fill="FFFFFF"/>
        </w:rPr>
        <w:t>esculentus</w:t>
      </w:r>
      <w:proofErr w:type="spellEnd"/>
      <w:r w:rsidRPr="00176E2B">
        <w:rPr>
          <w:rFonts w:ascii="Arial" w:hAnsi="Arial" w:cs="Arial"/>
          <w:color w:val="222222"/>
          <w:shd w:val="clear" w:color="auto" w:fill="FFFFFF"/>
        </w:rPr>
        <w:t>&lt;/</w:t>
      </w:r>
      <w:proofErr w:type="spellStart"/>
      <w:r w:rsidRPr="00176E2B">
        <w:rPr>
          <w:rFonts w:ascii="Arial" w:hAnsi="Arial" w:cs="Arial"/>
          <w:color w:val="222222"/>
          <w:shd w:val="clear" w:color="auto" w:fill="FFFFFF"/>
        </w:rPr>
        <w:t>i</w:t>
      </w:r>
      <w:proofErr w:type="spellEnd"/>
      <w:r w:rsidRPr="00176E2B">
        <w:rPr>
          <w:rFonts w:ascii="Arial" w:hAnsi="Arial" w:cs="Arial"/>
          <w:color w:val="222222"/>
          <w:shd w:val="clear" w:color="auto" w:fill="FFFFFF"/>
        </w:rPr>
        <w:t>&gt; (L.) Moench) in Agbor, Delta State, Nigeria. </w:t>
      </w:r>
      <w:r w:rsidRPr="00176E2B">
        <w:rPr>
          <w:rFonts w:ascii="Arial" w:hAnsi="Arial" w:cs="Arial"/>
          <w:i/>
          <w:iCs/>
          <w:color w:val="222222"/>
          <w:shd w:val="clear" w:color="auto" w:fill="FFFFFF"/>
        </w:rPr>
        <w:t>Journal of Agriculture and Environment</w:t>
      </w:r>
      <w:r w:rsidRPr="00176E2B">
        <w:rPr>
          <w:rFonts w:ascii="Arial" w:hAnsi="Arial" w:cs="Arial"/>
          <w:color w:val="222222"/>
          <w:shd w:val="clear" w:color="auto" w:fill="FFFFFF"/>
        </w:rPr>
        <w:t>, </w:t>
      </w:r>
      <w:r w:rsidRPr="00176E2B">
        <w:rPr>
          <w:rFonts w:ascii="Arial" w:hAnsi="Arial" w:cs="Arial"/>
          <w:i/>
          <w:iCs/>
          <w:color w:val="222222"/>
          <w:shd w:val="clear" w:color="auto" w:fill="FFFFFF"/>
        </w:rPr>
        <w:t>19</w:t>
      </w:r>
      <w:r w:rsidRPr="00176E2B">
        <w:rPr>
          <w:rFonts w:ascii="Arial" w:hAnsi="Arial" w:cs="Arial"/>
          <w:color w:val="222222"/>
          <w:shd w:val="clear" w:color="auto" w:fill="FFFFFF"/>
        </w:rPr>
        <w:t xml:space="preserve">(1), 135–143. </w:t>
      </w:r>
      <w:hyperlink r:id="rId58" w:history="1">
        <w:r w:rsidRPr="00176E2B">
          <w:rPr>
            <w:rStyle w:val="Hyperlink"/>
            <w:rFonts w:ascii="Arial" w:hAnsi="Arial" w:cs="Arial"/>
            <w:shd w:val="clear" w:color="auto" w:fill="FFFFFF"/>
          </w:rPr>
          <w:t>https://doi.org/10.4314/jagrenv.v19i1</w:t>
        </w:r>
      </w:hyperlink>
      <w:r w:rsidRPr="00176E2B">
        <w:rPr>
          <w:rFonts w:ascii="Arial" w:hAnsi="Arial" w:cs="Arial"/>
          <w:color w:val="222222"/>
          <w:shd w:val="clear" w:color="auto" w:fill="FFFFFF"/>
        </w:rPr>
        <w:t>.</w:t>
      </w:r>
    </w:p>
    <w:p w14:paraId="66A1A31F" w14:textId="230282AD" w:rsidR="00ED71B6" w:rsidRPr="00176E2B" w:rsidRDefault="00ED71B6" w:rsidP="00176E2B">
      <w:pPr>
        <w:spacing w:line="360" w:lineRule="auto"/>
        <w:ind w:left="360"/>
        <w:jc w:val="both"/>
        <w:rPr>
          <w:rFonts w:ascii="Arial" w:hAnsi="Arial" w:cs="Arial"/>
          <w:bCs/>
        </w:rPr>
      </w:pPr>
      <w:r w:rsidRPr="00176E2B">
        <w:rPr>
          <w:rFonts w:ascii="Arial" w:hAnsi="Arial" w:cs="Arial"/>
          <w:color w:val="222222"/>
          <w:shd w:val="clear" w:color="auto" w:fill="FFFFFF"/>
        </w:rPr>
        <w:t xml:space="preserve">U.S. Environmental Protection Agency. (2011). Exposure Factors Handbook: 2011 Edition. National Center for Environmental Assessment, Office of Research and Development. </w:t>
      </w:r>
      <w:hyperlink r:id="rId59" w:history="1">
        <w:r w:rsidRPr="00176E2B">
          <w:rPr>
            <w:rStyle w:val="Hyperlink"/>
            <w:rFonts w:ascii="Arial" w:hAnsi="Arial" w:cs="Arial"/>
            <w:shd w:val="clear" w:color="auto" w:fill="FFFFFF"/>
          </w:rPr>
          <w:t>https://www.epa.gov/ncea/efh</w:t>
        </w:r>
      </w:hyperlink>
    </w:p>
    <w:p w14:paraId="7062BD7B" w14:textId="280EC278" w:rsidR="00ED71B6" w:rsidRPr="00176E2B" w:rsidRDefault="00ED71B6" w:rsidP="00176E2B">
      <w:pPr>
        <w:ind w:left="360"/>
        <w:jc w:val="both"/>
        <w:rPr>
          <w:rStyle w:val="Strong"/>
          <w:rFonts w:ascii="Arial" w:hAnsi="Arial" w:cs="Arial"/>
          <w:b w:val="0"/>
          <w:bCs w:val="0"/>
        </w:rPr>
      </w:pPr>
      <w:r w:rsidRPr="00176E2B">
        <w:rPr>
          <w:rStyle w:val="Strong"/>
          <w:rFonts w:ascii="Arial" w:hAnsi="Arial" w:cs="Arial"/>
          <w:b w:val="0"/>
        </w:rPr>
        <w:t xml:space="preserve">Wolińska, A., Zapasek, M., &amp; </w:t>
      </w:r>
      <w:proofErr w:type="spellStart"/>
      <w:r w:rsidRPr="00176E2B">
        <w:rPr>
          <w:rStyle w:val="Strong"/>
          <w:rFonts w:ascii="Arial" w:hAnsi="Arial" w:cs="Arial"/>
          <w:b w:val="0"/>
        </w:rPr>
        <w:t>Stępniewska</w:t>
      </w:r>
      <w:proofErr w:type="spellEnd"/>
      <w:r w:rsidRPr="00176E2B">
        <w:rPr>
          <w:rStyle w:val="Strong"/>
          <w:rFonts w:ascii="Arial" w:hAnsi="Arial" w:cs="Arial"/>
          <w:b w:val="0"/>
        </w:rPr>
        <w:t xml:space="preserve">, Z. (2016). The optimal TTC dose and its chemical reduction level during soil dehydrogenase activity assay. Acta </w:t>
      </w:r>
      <w:proofErr w:type="spellStart"/>
      <w:r w:rsidRPr="00176E2B">
        <w:rPr>
          <w:rStyle w:val="Strong"/>
          <w:rFonts w:ascii="Arial" w:hAnsi="Arial" w:cs="Arial"/>
          <w:b w:val="0"/>
        </w:rPr>
        <w:t>Agrophysica</w:t>
      </w:r>
      <w:proofErr w:type="spellEnd"/>
      <w:r w:rsidRPr="00176E2B">
        <w:rPr>
          <w:rStyle w:val="Strong"/>
          <w:rFonts w:ascii="Arial" w:hAnsi="Arial" w:cs="Arial"/>
          <w:b w:val="0"/>
        </w:rPr>
        <w:t xml:space="preserve">, 23(2), 303–314. </w:t>
      </w:r>
      <w:hyperlink r:id="rId60" w:history="1">
        <w:r w:rsidRPr="00176E2B">
          <w:rPr>
            <w:rStyle w:val="Hyperlink"/>
            <w:rFonts w:ascii="Arial" w:hAnsi="Arial" w:cs="Arial"/>
          </w:rPr>
          <w:t>https://doi.org/10.31545/aagr/60000</w:t>
        </w:r>
      </w:hyperlink>
    </w:p>
    <w:p w14:paraId="4B146F5E" w14:textId="7F492E7C" w:rsidR="00ED71B6" w:rsidRPr="00176E2B" w:rsidRDefault="00ED71B6" w:rsidP="00176E2B">
      <w:pPr>
        <w:ind w:left="360"/>
        <w:jc w:val="both"/>
        <w:rPr>
          <w:rFonts w:ascii="Arial" w:hAnsi="Arial" w:cs="Arial"/>
        </w:rPr>
      </w:pPr>
      <w:r w:rsidRPr="00176E2B">
        <w:rPr>
          <w:rFonts w:ascii="Arial" w:hAnsi="Arial" w:cs="Arial"/>
        </w:rPr>
        <w:t xml:space="preserve">Walkley, A., &amp; Black, I. A. (1934). An examination of the </w:t>
      </w:r>
      <w:proofErr w:type="spellStart"/>
      <w:r w:rsidRPr="00176E2B">
        <w:rPr>
          <w:rFonts w:ascii="Arial" w:hAnsi="Arial" w:cs="Arial"/>
        </w:rPr>
        <w:t>degtjareff</w:t>
      </w:r>
      <w:proofErr w:type="spellEnd"/>
      <w:r w:rsidRPr="00176E2B">
        <w:rPr>
          <w:rFonts w:ascii="Arial" w:hAnsi="Arial" w:cs="Arial"/>
        </w:rPr>
        <w:t xml:space="preserve"> method for determining soil organic matter, and a proposed modification of the chromic acid titration method. Soil Science, 37(1), 29–38. </w:t>
      </w:r>
      <w:hyperlink r:id="rId61" w:history="1">
        <w:r w:rsidRPr="00176E2B">
          <w:rPr>
            <w:rStyle w:val="Hyperlink"/>
            <w:rFonts w:ascii="Arial" w:hAnsi="Arial" w:cs="Arial"/>
          </w:rPr>
          <w:t>https://doi.org/10.1097/00010694-193401000-00003</w:t>
        </w:r>
      </w:hyperlink>
    </w:p>
    <w:p w14:paraId="207BBA36" w14:textId="5F90A4F0" w:rsidR="006F0D2F" w:rsidRPr="00176E2B" w:rsidRDefault="00EF6156" w:rsidP="00176E2B">
      <w:pPr>
        <w:ind w:left="360"/>
        <w:jc w:val="both"/>
        <w:rPr>
          <w:rFonts w:ascii="Arial" w:hAnsi="Arial" w:cs="Arial"/>
        </w:rPr>
      </w:pPr>
      <w:r w:rsidRPr="00176E2B">
        <w:rPr>
          <w:rStyle w:val="Strong"/>
          <w:rFonts w:ascii="Arial" w:hAnsi="Arial" w:cs="Arial"/>
          <w:b w:val="0"/>
        </w:rPr>
        <w:t>Zhang, Y., Li, X., Wang, J., &amp; Chen, H. (2023).</w:t>
      </w:r>
      <w:r w:rsidRPr="00176E2B">
        <w:rPr>
          <w:rFonts w:ascii="Arial" w:hAnsi="Arial" w:cs="Arial"/>
        </w:rPr>
        <w:t xml:space="preserve"> </w:t>
      </w:r>
      <w:r w:rsidRPr="00176E2B">
        <w:rPr>
          <w:rStyle w:val="Emphasis"/>
          <w:rFonts w:ascii="Arial" w:hAnsi="Arial" w:cs="Arial"/>
          <w:i w:val="0"/>
        </w:rPr>
        <w:t>Soil organic carbon and salinity responses to long-term fertilizer application in agricultural ecosystems.</w:t>
      </w:r>
      <w:r w:rsidRPr="00176E2B">
        <w:rPr>
          <w:rFonts w:ascii="Arial" w:hAnsi="Arial" w:cs="Arial"/>
          <w:i/>
        </w:rPr>
        <w:t xml:space="preserve"> </w:t>
      </w:r>
      <w:r w:rsidRPr="00176E2B">
        <w:rPr>
          <w:rStyle w:val="Emphasis"/>
          <w:rFonts w:ascii="Arial" w:hAnsi="Arial" w:cs="Arial"/>
        </w:rPr>
        <w:t>Science of the Total Environment</w:t>
      </w:r>
      <w:r w:rsidRPr="00176E2B">
        <w:rPr>
          <w:rFonts w:ascii="Arial" w:hAnsi="Arial" w:cs="Arial"/>
        </w:rPr>
        <w:t xml:space="preserve">, 857, 159635. </w:t>
      </w:r>
      <w:hyperlink r:id="rId62" w:history="1">
        <w:r w:rsidR="009F638D" w:rsidRPr="00176E2B">
          <w:rPr>
            <w:rStyle w:val="Hyperlink"/>
            <w:rFonts w:ascii="Arial" w:hAnsi="Arial" w:cs="Arial"/>
          </w:rPr>
          <w:t>https://doi.org/10.1016/j.scitotenv.2022.159635</w:t>
        </w:r>
      </w:hyperlink>
    </w:p>
    <w:p w14:paraId="45A363E9" w14:textId="77777777" w:rsidR="000825B8" w:rsidRPr="00176E2B" w:rsidRDefault="000825B8" w:rsidP="00176E2B">
      <w:pPr>
        <w:spacing w:line="360" w:lineRule="auto"/>
        <w:ind w:left="360"/>
        <w:jc w:val="both"/>
        <w:rPr>
          <w:rFonts w:ascii="Arial" w:hAnsi="Arial" w:cs="Arial"/>
        </w:rPr>
      </w:pPr>
      <w:r w:rsidRPr="00176E2B">
        <w:rPr>
          <w:rStyle w:val="Strong"/>
          <w:rFonts w:ascii="Arial" w:hAnsi="Arial" w:cs="Arial"/>
          <w:b w:val="0"/>
        </w:rPr>
        <w:t xml:space="preserve">Zhao, Y., Wang, Y., Chen, J., &amp; Li, X. (2023). Soil urease activity and nitrogen cycling under different fertilization regimes in agricultural soils. </w:t>
      </w:r>
      <w:r w:rsidRPr="00176E2B">
        <w:rPr>
          <w:rStyle w:val="Strong"/>
          <w:rFonts w:ascii="Arial" w:hAnsi="Arial" w:cs="Arial"/>
          <w:b w:val="0"/>
          <w:i/>
          <w:iCs/>
        </w:rPr>
        <w:t>Applied Soil Ecology</w:t>
      </w:r>
      <w:r w:rsidRPr="00176E2B">
        <w:rPr>
          <w:rStyle w:val="Strong"/>
          <w:rFonts w:ascii="Arial" w:hAnsi="Arial" w:cs="Arial"/>
          <w:b w:val="0"/>
        </w:rPr>
        <w:t>, 190, 104932.</w:t>
      </w:r>
      <w:r w:rsidRPr="00176E2B">
        <w:rPr>
          <w:rFonts w:ascii="Arial" w:hAnsi="Arial" w:cs="Arial"/>
        </w:rPr>
        <w:t xml:space="preserve"> </w:t>
      </w:r>
    </w:p>
    <w:p w14:paraId="283CC7A0" w14:textId="77777777" w:rsidR="009F638D" w:rsidRPr="00176E2B" w:rsidRDefault="009F638D" w:rsidP="00176E2B">
      <w:pPr>
        <w:ind w:left="360"/>
        <w:jc w:val="both"/>
        <w:rPr>
          <w:rFonts w:ascii="Arial" w:hAnsi="Arial" w:cs="Arial"/>
        </w:rPr>
      </w:pPr>
      <w:r w:rsidRPr="00176E2B">
        <w:rPr>
          <w:rStyle w:val="Strong"/>
          <w:rFonts w:ascii="Arial" w:hAnsi="Arial" w:cs="Arial"/>
          <w:b w:val="0"/>
        </w:rPr>
        <w:t>Zhou, J., Li, Y., Wang, X., &amp; Chen, H. (2023).</w:t>
      </w:r>
      <w:r w:rsidRPr="00176E2B">
        <w:rPr>
          <w:rFonts w:ascii="Arial" w:hAnsi="Arial" w:cs="Arial"/>
        </w:rPr>
        <w:t xml:space="preserve"> </w:t>
      </w:r>
      <w:r w:rsidRPr="00176E2B">
        <w:rPr>
          <w:rStyle w:val="Emphasis"/>
          <w:rFonts w:ascii="Arial" w:hAnsi="Arial" w:cs="Arial"/>
          <w:i w:val="0"/>
        </w:rPr>
        <w:t>Long-term fertilizer application alters soil nutrient dynamics: Decline in nitrate and phosphate with enrichment of exchangeable cations.</w:t>
      </w:r>
      <w:r w:rsidRPr="00176E2B">
        <w:rPr>
          <w:rFonts w:ascii="Arial" w:hAnsi="Arial" w:cs="Arial"/>
          <w:i/>
        </w:rPr>
        <w:t xml:space="preserve"> </w:t>
      </w:r>
      <w:r w:rsidRPr="00176E2B">
        <w:rPr>
          <w:rStyle w:val="Emphasis"/>
          <w:rFonts w:ascii="Arial" w:hAnsi="Arial" w:cs="Arial"/>
        </w:rPr>
        <w:t>Journal of Soils and Sediments</w:t>
      </w:r>
      <w:r w:rsidRPr="00176E2B">
        <w:rPr>
          <w:rFonts w:ascii="Arial" w:hAnsi="Arial" w:cs="Arial"/>
        </w:rPr>
        <w:t>, 23(5), 1789–1802. https://doi.org/10.1007/s11368-023-03456-7</w:t>
      </w:r>
    </w:p>
    <w:sectPr w:rsidR="009F638D" w:rsidRPr="00176E2B" w:rsidSect="00082CE4">
      <w:headerReference w:type="even" r:id="rId63"/>
      <w:headerReference w:type="default" r:id="rId64"/>
      <w:footerReference w:type="default" r:id="rId65"/>
      <w:headerReference w:type="first" r:id="rId6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D4B01" w14:textId="77777777" w:rsidR="00EC2180" w:rsidRDefault="00EC2180">
      <w:r>
        <w:separator/>
      </w:r>
    </w:p>
  </w:endnote>
  <w:endnote w:type="continuationSeparator" w:id="0">
    <w:p w14:paraId="2BC9954A" w14:textId="77777777" w:rsidR="00EC2180" w:rsidRDefault="00EC2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59B47" w14:textId="77777777" w:rsidR="00094875" w:rsidRDefault="00094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CEA8B" w14:textId="52E10F79" w:rsidR="00094875" w:rsidRPr="00AD7899" w:rsidRDefault="00094875" w:rsidP="00AD78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2FB96" w14:textId="77777777" w:rsidR="00094875" w:rsidRDefault="00094875">
    <w:pPr>
      <w:pStyle w:val="Footer"/>
      <w:rPr>
        <w:rFonts w:ascii="Arial" w:hAnsi="Arial" w:cs="Arial"/>
        <w:sz w:val="16"/>
      </w:rPr>
    </w:pPr>
  </w:p>
  <w:p w14:paraId="322A6450" w14:textId="77777777" w:rsidR="00094875" w:rsidRDefault="00094875" w:rsidP="006F0D2F">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F571B18" w14:textId="77777777" w:rsidR="00094875" w:rsidRDefault="00094875">
    <w:pPr>
      <w:pStyle w:val="Footer"/>
      <w:rPr>
        <w:rFonts w:ascii="Arial" w:hAnsi="Arial" w:cs="Arial"/>
        <w:sz w:val="16"/>
      </w:rPr>
    </w:pPr>
  </w:p>
  <w:p w14:paraId="6BB72CE0" w14:textId="7B684F84" w:rsidR="00094875" w:rsidRPr="009E048A" w:rsidRDefault="00094875">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46F7B" w14:textId="77777777" w:rsidR="00094875" w:rsidRPr="00C37E61" w:rsidRDefault="00094875" w:rsidP="006F0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F1377" w14:textId="77777777" w:rsidR="00EC2180" w:rsidRDefault="00EC2180">
      <w:r>
        <w:separator/>
      </w:r>
    </w:p>
  </w:footnote>
  <w:footnote w:type="continuationSeparator" w:id="0">
    <w:p w14:paraId="29108D22" w14:textId="77777777" w:rsidR="00EC2180" w:rsidRDefault="00EC2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E96DE" w14:textId="662BD67D" w:rsidR="00094875" w:rsidRDefault="0054654F">
    <w:pPr>
      <w:pStyle w:val="Header"/>
    </w:pPr>
    <w:r>
      <w:rPr>
        <w:noProof/>
      </w:rPr>
      <w:pict w14:anchorId="766044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96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B0638" w14:textId="17740F33" w:rsidR="00094875" w:rsidRDefault="0054654F">
    <w:pPr>
      <w:pStyle w:val="Header"/>
    </w:pPr>
    <w:r>
      <w:rPr>
        <w:noProof/>
      </w:rPr>
      <w:pict w14:anchorId="50F9B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96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45FAC" w14:textId="2CCA04DD" w:rsidR="00094875" w:rsidRPr="00296529" w:rsidRDefault="0054654F" w:rsidP="006F0D2F">
    <w:pPr>
      <w:ind w:left="2160"/>
      <w:jc w:val="center"/>
      <w:rPr>
        <w:rFonts w:ascii="Times New Roman" w:eastAsia="Calibri" w:hAnsi="Times New Roman"/>
        <w:i/>
        <w:sz w:val="18"/>
        <w:szCs w:val="22"/>
      </w:rPr>
    </w:pPr>
    <w:r>
      <w:rPr>
        <w:noProof/>
      </w:rPr>
      <w:pict w14:anchorId="1E292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964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E6713AB" w14:textId="77777777" w:rsidR="00094875" w:rsidRPr="00296529" w:rsidRDefault="00094875" w:rsidP="006F0D2F">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36A33DB" w14:textId="77777777" w:rsidR="00094875" w:rsidRPr="00296529" w:rsidRDefault="00094875" w:rsidP="006F0D2F">
    <w:pPr>
      <w:jc w:val="center"/>
      <w:rPr>
        <w:rFonts w:ascii="Times New Roman" w:eastAsia="Calibri" w:hAnsi="Times New Roman"/>
        <w:i/>
        <w:sz w:val="18"/>
        <w:szCs w:val="22"/>
      </w:rPr>
    </w:pPr>
    <w:r>
      <w:rPr>
        <w:rFonts w:ascii="Times New Roman" w:eastAsia="Calibri" w:hAnsi="Times New Roman"/>
        <w:i/>
        <w:sz w:val="18"/>
        <w:szCs w:val="22"/>
      </w:rPr>
      <w:t>.</w:t>
    </w:r>
  </w:p>
  <w:p w14:paraId="3C541CE5" w14:textId="77777777" w:rsidR="00094875" w:rsidRPr="00296529" w:rsidRDefault="00094875" w:rsidP="006F0D2F">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E549D9" w14:textId="77777777" w:rsidR="00094875" w:rsidRDefault="00094875" w:rsidP="006F0D2F">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4EB657" w14:textId="77777777" w:rsidR="00094875" w:rsidRDefault="00094875" w:rsidP="006F0D2F">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AB5FD66" w14:textId="77777777" w:rsidR="00094875" w:rsidRDefault="0009487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71631" w14:textId="10FF75AC" w:rsidR="0054654F" w:rsidRDefault="0054654F">
    <w:pPr>
      <w:pStyle w:val="Header"/>
    </w:pPr>
    <w:r>
      <w:rPr>
        <w:noProof/>
      </w:rPr>
      <w:pict w14:anchorId="195C9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964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EB7FC" w14:textId="7A689839" w:rsidR="0054654F" w:rsidRDefault="0054654F">
    <w:pPr>
      <w:pStyle w:val="Header"/>
    </w:pPr>
    <w:r>
      <w:rPr>
        <w:noProof/>
      </w:rPr>
      <w:pict w14:anchorId="5BAC4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964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81A53" w14:textId="192F90BC" w:rsidR="0054654F" w:rsidRDefault="0054654F">
    <w:pPr>
      <w:pStyle w:val="Header"/>
    </w:pPr>
    <w:r>
      <w:rPr>
        <w:noProof/>
      </w:rPr>
      <w:pict w14:anchorId="25286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964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12C57"/>
    <w:multiLevelType w:val="multilevel"/>
    <w:tmpl w:val="818436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663C2D"/>
    <w:multiLevelType w:val="multilevel"/>
    <w:tmpl w:val="B20C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22AF4"/>
    <w:multiLevelType w:val="multilevel"/>
    <w:tmpl w:val="2158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F7458"/>
    <w:multiLevelType w:val="hybridMultilevel"/>
    <w:tmpl w:val="61E4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E7020"/>
    <w:multiLevelType w:val="multilevel"/>
    <w:tmpl w:val="818436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AFC3542"/>
    <w:multiLevelType w:val="multilevel"/>
    <w:tmpl w:val="A67A34E2"/>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94AAB"/>
    <w:multiLevelType w:val="multilevel"/>
    <w:tmpl w:val="A0DE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924F9C"/>
    <w:multiLevelType w:val="hybridMultilevel"/>
    <w:tmpl w:val="94065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2B06D2"/>
    <w:multiLevelType w:val="multilevel"/>
    <w:tmpl w:val="9872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D712DE"/>
    <w:multiLevelType w:val="multilevel"/>
    <w:tmpl w:val="818436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B0872BB"/>
    <w:multiLevelType w:val="multilevel"/>
    <w:tmpl w:val="6A6E6C6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2" w15:restartNumberingAfterBreak="0">
    <w:nsid w:val="788A2502"/>
    <w:multiLevelType w:val="hybridMultilevel"/>
    <w:tmpl w:val="C002B7B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AA6E64"/>
    <w:multiLevelType w:val="multilevel"/>
    <w:tmpl w:val="A6EC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12"/>
  </w:num>
  <w:num w:numId="4">
    <w:abstractNumId w:val="4"/>
  </w:num>
  <w:num w:numId="5">
    <w:abstractNumId w:val="2"/>
  </w:num>
  <w:num w:numId="6">
    <w:abstractNumId w:val="1"/>
  </w:num>
  <w:num w:numId="7">
    <w:abstractNumId w:val="0"/>
  </w:num>
  <w:num w:numId="8">
    <w:abstractNumId w:val="9"/>
  </w:num>
  <w:num w:numId="9">
    <w:abstractNumId w:val="5"/>
  </w:num>
  <w:num w:numId="10">
    <w:abstractNumId w:val="10"/>
  </w:num>
  <w:num w:numId="11">
    <w:abstractNumId w:val="13"/>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F57"/>
    <w:rsid w:val="0004360B"/>
    <w:rsid w:val="000763AA"/>
    <w:rsid w:val="000825B8"/>
    <w:rsid w:val="00082CE4"/>
    <w:rsid w:val="00094875"/>
    <w:rsid w:val="000E1F57"/>
    <w:rsid w:val="00176E2B"/>
    <w:rsid w:val="001B632E"/>
    <w:rsid w:val="001D360E"/>
    <w:rsid w:val="001D3988"/>
    <w:rsid w:val="00253918"/>
    <w:rsid w:val="002B35EE"/>
    <w:rsid w:val="002C6CDB"/>
    <w:rsid w:val="00355AC9"/>
    <w:rsid w:val="003D49E2"/>
    <w:rsid w:val="003E6F9D"/>
    <w:rsid w:val="0054654F"/>
    <w:rsid w:val="005F1655"/>
    <w:rsid w:val="0065743B"/>
    <w:rsid w:val="00687764"/>
    <w:rsid w:val="006F0D2F"/>
    <w:rsid w:val="007448F2"/>
    <w:rsid w:val="00756553"/>
    <w:rsid w:val="007766E4"/>
    <w:rsid w:val="008051D7"/>
    <w:rsid w:val="00917539"/>
    <w:rsid w:val="009364AE"/>
    <w:rsid w:val="00940580"/>
    <w:rsid w:val="009435A0"/>
    <w:rsid w:val="00962D18"/>
    <w:rsid w:val="009C3A25"/>
    <w:rsid w:val="009F638D"/>
    <w:rsid w:val="00A17A4F"/>
    <w:rsid w:val="00A2740D"/>
    <w:rsid w:val="00A473C1"/>
    <w:rsid w:val="00A7527F"/>
    <w:rsid w:val="00A77FB3"/>
    <w:rsid w:val="00AA60C3"/>
    <w:rsid w:val="00AD750B"/>
    <w:rsid w:val="00AD7899"/>
    <w:rsid w:val="00B25F87"/>
    <w:rsid w:val="00C92000"/>
    <w:rsid w:val="00D86173"/>
    <w:rsid w:val="00DC4B79"/>
    <w:rsid w:val="00DD476D"/>
    <w:rsid w:val="00E61C31"/>
    <w:rsid w:val="00EC2180"/>
    <w:rsid w:val="00ED71B6"/>
    <w:rsid w:val="00EF6156"/>
    <w:rsid w:val="00F843CC"/>
    <w:rsid w:val="00FB6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AA3D834"/>
  <w15:chartTrackingRefBased/>
  <w15:docId w15:val="{11967403-CD04-4B91-B2F9-68CCEBEA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F57"/>
    <w:pPr>
      <w:spacing w:after="0" w:line="240" w:lineRule="auto"/>
    </w:pPr>
    <w:rPr>
      <w:rFonts w:ascii="Helvetica" w:eastAsia="Times New Roman" w:hAnsi="Helvetica" w:cs="Times New Roman"/>
      <w:sz w:val="20"/>
      <w:szCs w:val="20"/>
      <w:lang w:val="en-US"/>
    </w:rPr>
  </w:style>
  <w:style w:type="paragraph" w:styleId="Heading1">
    <w:name w:val="heading 1"/>
    <w:basedOn w:val="Normal"/>
    <w:next w:val="Normal"/>
    <w:link w:val="Heading1Char"/>
    <w:uiPriority w:val="9"/>
    <w:qFormat/>
    <w:rsid w:val="000E1F57"/>
    <w:pPr>
      <w:spacing w:after="160" w:line="360" w:lineRule="auto"/>
      <w:jc w:val="both"/>
      <w:outlineLvl w:val="0"/>
    </w:pPr>
    <w:rPr>
      <w:rFonts w:ascii="Times New Roman" w:eastAsiaTheme="minorHAnsi" w:hAnsi="Times New Roman"/>
      <w:b/>
      <w:bCs/>
      <w:sz w:val="24"/>
      <w:szCs w:val="24"/>
    </w:rPr>
  </w:style>
  <w:style w:type="paragraph" w:styleId="Heading3">
    <w:name w:val="heading 3"/>
    <w:basedOn w:val="Normal"/>
    <w:next w:val="Normal"/>
    <w:link w:val="Heading3Char"/>
    <w:uiPriority w:val="9"/>
    <w:semiHidden/>
    <w:unhideWhenUsed/>
    <w:qFormat/>
    <w:rsid w:val="002C6CDB"/>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0E1F57"/>
    <w:pPr>
      <w:spacing w:line="280" w:lineRule="exact"/>
      <w:jc w:val="right"/>
    </w:pPr>
    <w:rPr>
      <w:b/>
      <w:sz w:val="24"/>
    </w:rPr>
  </w:style>
  <w:style w:type="paragraph" w:customStyle="1" w:styleId="Affiliation">
    <w:name w:val="Affiliation"/>
    <w:basedOn w:val="Normal"/>
    <w:rsid w:val="000E1F57"/>
    <w:pPr>
      <w:spacing w:after="240" w:line="240" w:lineRule="exact"/>
      <w:jc w:val="right"/>
    </w:pPr>
  </w:style>
  <w:style w:type="paragraph" w:customStyle="1" w:styleId="Body">
    <w:name w:val="Body"/>
    <w:basedOn w:val="Normal"/>
    <w:rsid w:val="000E1F57"/>
    <w:pPr>
      <w:spacing w:after="240"/>
      <w:jc w:val="both"/>
    </w:pPr>
  </w:style>
  <w:style w:type="paragraph" w:customStyle="1" w:styleId="AbstHead">
    <w:name w:val="Abst Head"/>
    <w:basedOn w:val="Normal"/>
    <w:rsid w:val="000E1F57"/>
    <w:pPr>
      <w:keepNext/>
      <w:spacing w:after="240"/>
    </w:pPr>
    <w:rPr>
      <w:b/>
      <w:caps/>
      <w:sz w:val="22"/>
    </w:rPr>
  </w:style>
  <w:style w:type="paragraph" w:customStyle="1" w:styleId="ConcHead">
    <w:name w:val="Conc Head"/>
    <w:basedOn w:val="Normal"/>
    <w:rsid w:val="000E1F57"/>
    <w:pPr>
      <w:keepNext/>
      <w:spacing w:after="240"/>
    </w:pPr>
    <w:rPr>
      <w:b/>
      <w:caps/>
      <w:sz w:val="22"/>
    </w:rPr>
  </w:style>
  <w:style w:type="paragraph" w:customStyle="1" w:styleId="AcknHead">
    <w:name w:val="Ackn Head"/>
    <w:basedOn w:val="Normal"/>
    <w:rsid w:val="000E1F57"/>
    <w:pPr>
      <w:keepNext/>
      <w:spacing w:after="240"/>
    </w:pPr>
    <w:rPr>
      <w:b/>
      <w:caps/>
      <w:sz w:val="22"/>
    </w:rPr>
  </w:style>
  <w:style w:type="paragraph" w:customStyle="1" w:styleId="ReferHead">
    <w:name w:val="Refer Head"/>
    <w:basedOn w:val="Normal"/>
    <w:rsid w:val="000E1F57"/>
    <w:pPr>
      <w:keepNext/>
      <w:spacing w:after="240"/>
    </w:pPr>
    <w:rPr>
      <w:b/>
      <w:caps/>
      <w:sz w:val="22"/>
    </w:rPr>
  </w:style>
  <w:style w:type="paragraph" w:customStyle="1" w:styleId="DefAcrHead">
    <w:name w:val="DefAcrHead"/>
    <w:basedOn w:val="Normal"/>
    <w:rsid w:val="000E1F57"/>
    <w:pPr>
      <w:keepNext/>
      <w:spacing w:after="240"/>
    </w:pPr>
    <w:rPr>
      <w:b/>
      <w:caps/>
      <w:sz w:val="22"/>
    </w:rPr>
  </w:style>
  <w:style w:type="paragraph" w:customStyle="1" w:styleId="Copyright">
    <w:name w:val="Copyright"/>
    <w:basedOn w:val="Normal"/>
    <w:rsid w:val="000E1F57"/>
    <w:pPr>
      <w:spacing w:after="960" w:line="200" w:lineRule="exact"/>
    </w:pPr>
    <w:rPr>
      <w:sz w:val="16"/>
    </w:rPr>
  </w:style>
  <w:style w:type="paragraph" w:styleId="Title">
    <w:name w:val="Title"/>
    <w:basedOn w:val="Normal"/>
    <w:link w:val="TitleChar"/>
    <w:qFormat/>
    <w:rsid w:val="000E1F57"/>
    <w:pPr>
      <w:spacing w:after="360"/>
      <w:jc w:val="right"/>
    </w:pPr>
    <w:rPr>
      <w:b/>
      <w:kern w:val="28"/>
      <w:sz w:val="36"/>
    </w:rPr>
  </w:style>
  <w:style w:type="character" w:customStyle="1" w:styleId="TitleChar">
    <w:name w:val="Title Char"/>
    <w:basedOn w:val="DefaultParagraphFont"/>
    <w:link w:val="Title"/>
    <w:rsid w:val="000E1F57"/>
    <w:rPr>
      <w:rFonts w:ascii="Helvetica" w:eastAsia="Times New Roman" w:hAnsi="Helvetica" w:cs="Times New Roman"/>
      <w:b/>
      <w:kern w:val="28"/>
      <w:sz w:val="36"/>
      <w:szCs w:val="20"/>
      <w:lang w:val="en-US"/>
    </w:rPr>
  </w:style>
  <w:style w:type="paragraph" w:customStyle="1" w:styleId="Reference">
    <w:name w:val="Reference"/>
    <w:basedOn w:val="Body"/>
    <w:rsid w:val="000E1F57"/>
    <w:pPr>
      <w:numPr>
        <w:numId w:val="1"/>
      </w:numPr>
      <w:spacing w:after="0" w:line="240" w:lineRule="exact"/>
    </w:pPr>
  </w:style>
  <w:style w:type="paragraph" w:customStyle="1" w:styleId="Head1">
    <w:name w:val="Head1"/>
    <w:basedOn w:val="Normal"/>
    <w:rsid w:val="000E1F57"/>
    <w:pPr>
      <w:keepNext/>
      <w:spacing w:after="240"/>
    </w:pPr>
    <w:rPr>
      <w:b/>
      <w:caps/>
      <w:sz w:val="22"/>
    </w:rPr>
  </w:style>
  <w:style w:type="paragraph" w:customStyle="1" w:styleId="Appendix">
    <w:name w:val="Appendix"/>
    <w:basedOn w:val="Normal"/>
    <w:rsid w:val="000E1F57"/>
    <w:pPr>
      <w:keepNext/>
      <w:spacing w:after="240"/>
    </w:pPr>
    <w:rPr>
      <w:b/>
      <w:caps/>
      <w:sz w:val="22"/>
    </w:rPr>
  </w:style>
  <w:style w:type="paragraph" w:styleId="Footer">
    <w:name w:val="footer"/>
    <w:basedOn w:val="Normal"/>
    <w:link w:val="FooterChar"/>
    <w:uiPriority w:val="99"/>
    <w:rsid w:val="000E1F57"/>
    <w:pPr>
      <w:tabs>
        <w:tab w:val="center" w:pos="4320"/>
        <w:tab w:val="right" w:pos="8640"/>
      </w:tabs>
    </w:pPr>
  </w:style>
  <w:style w:type="character" w:customStyle="1" w:styleId="FooterChar">
    <w:name w:val="Footer Char"/>
    <w:basedOn w:val="DefaultParagraphFont"/>
    <w:link w:val="Footer"/>
    <w:uiPriority w:val="99"/>
    <w:rsid w:val="000E1F57"/>
    <w:rPr>
      <w:rFonts w:ascii="Helvetica" w:eastAsia="Times New Roman" w:hAnsi="Helvetica" w:cs="Times New Roman"/>
      <w:sz w:val="20"/>
      <w:szCs w:val="20"/>
      <w:lang w:val="en-US"/>
    </w:rPr>
  </w:style>
  <w:style w:type="paragraph" w:styleId="Header">
    <w:name w:val="header"/>
    <w:basedOn w:val="Normal"/>
    <w:link w:val="HeaderChar"/>
    <w:uiPriority w:val="99"/>
    <w:rsid w:val="000E1F57"/>
    <w:pPr>
      <w:tabs>
        <w:tab w:val="center" w:pos="4320"/>
        <w:tab w:val="right" w:pos="8640"/>
      </w:tabs>
    </w:pPr>
  </w:style>
  <w:style w:type="character" w:customStyle="1" w:styleId="HeaderChar">
    <w:name w:val="Header Char"/>
    <w:basedOn w:val="DefaultParagraphFont"/>
    <w:link w:val="Header"/>
    <w:uiPriority w:val="99"/>
    <w:rsid w:val="000E1F57"/>
    <w:rPr>
      <w:rFonts w:ascii="Helvetica" w:eastAsia="Times New Roman" w:hAnsi="Helvetica" w:cs="Times New Roman"/>
      <w:sz w:val="20"/>
      <w:szCs w:val="20"/>
      <w:lang w:val="en-US"/>
    </w:rPr>
  </w:style>
  <w:style w:type="character" w:styleId="Hyperlink">
    <w:name w:val="Hyperlink"/>
    <w:basedOn w:val="DefaultParagraphFont"/>
    <w:uiPriority w:val="99"/>
    <w:rsid w:val="000E1F57"/>
    <w:rPr>
      <w:color w:val="FF0080"/>
      <w:u w:val="single"/>
    </w:rPr>
  </w:style>
  <w:style w:type="paragraph" w:styleId="BodyText3">
    <w:name w:val="Body Text 3"/>
    <w:basedOn w:val="Normal"/>
    <w:link w:val="BodyText3Char"/>
    <w:rsid w:val="000E1F57"/>
    <w:pPr>
      <w:spacing w:after="120"/>
    </w:pPr>
    <w:rPr>
      <w:sz w:val="16"/>
      <w:szCs w:val="16"/>
    </w:rPr>
  </w:style>
  <w:style w:type="character" w:customStyle="1" w:styleId="BodyText3Char">
    <w:name w:val="Body Text 3 Char"/>
    <w:basedOn w:val="DefaultParagraphFont"/>
    <w:link w:val="BodyText3"/>
    <w:rsid w:val="000E1F57"/>
    <w:rPr>
      <w:rFonts w:ascii="Helvetica" w:eastAsia="Times New Roman" w:hAnsi="Helvetica" w:cs="Times New Roman"/>
      <w:sz w:val="16"/>
      <w:szCs w:val="16"/>
      <w:lang w:val="en-US"/>
    </w:rPr>
  </w:style>
  <w:style w:type="character" w:styleId="LineNumber">
    <w:name w:val="line number"/>
    <w:basedOn w:val="DefaultParagraphFont"/>
    <w:uiPriority w:val="99"/>
    <w:semiHidden/>
    <w:unhideWhenUsed/>
    <w:rsid w:val="000E1F57"/>
  </w:style>
  <w:style w:type="character" w:customStyle="1" w:styleId="Heading1Char">
    <w:name w:val="Heading 1 Char"/>
    <w:basedOn w:val="DefaultParagraphFont"/>
    <w:link w:val="Heading1"/>
    <w:uiPriority w:val="9"/>
    <w:rsid w:val="000E1F57"/>
    <w:rPr>
      <w:rFonts w:ascii="Times New Roman" w:hAnsi="Times New Roman" w:cs="Times New Roman"/>
      <w:b/>
      <w:bCs/>
      <w:sz w:val="24"/>
      <w:szCs w:val="24"/>
      <w:lang w:val="en-US"/>
    </w:rPr>
  </w:style>
  <w:style w:type="character" w:customStyle="1" w:styleId="katex-mathml">
    <w:name w:val="katex-mathml"/>
    <w:basedOn w:val="DefaultParagraphFont"/>
    <w:rsid w:val="000E1F57"/>
  </w:style>
  <w:style w:type="character" w:customStyle="1" w:styleId="mord">
    <w:name w:val="mord"/>
    <w:basedOn w:val="DefaultParagraphFont"/>
    <w:rsid w:val="000E1F57"/>
  </w:style>
  <w:style w:type="character" w:styleId="Emphasis">
    <w:name w:val="Emphasis"/>
    <w:basedOn w:val="DefaultParagraphFont"/>
    <w:uiPriority w:val="20"/>
    <w:qFormat/>
    <w:rsid w:val="000E1F57"/>
    <w:rPr>
      <w:i/>
      <w:iCs/>
    </w:rPr>
  </w:style>
  <w:style w:type="character" w:styleId="Strong">
    <w:name w:val="Strong"/>
    <w:basedOn w:val="DefaultParagraphFont"/>
    <w:uiPriority w:val="22"/>
    <w:qFormat/>
    <w:rsid w:val="000E1F57"/>
    <w:rPr>
      <w:b/>
      <w:bCs/>
    </w:rPr>
  </w:style>
  <w:style w:type="paragraph" w:styleId="NormalWeb">
    <w:name w:val="Normal (Web)"/>
    <w:basedOn w:val="Normal"/>
    <w:uiPriority w:val="99"/>
    <w:unhideWhenUsed/>
    <w:rsid w:val="000E1F57"/>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uiPriority w:val="9"/>
    <w:semiHidden/>
    <w:rsid w:val="002C6CDB"/>
    <w:rPr>
      <w:rFonts w:asciiTheme="majorHAnsi" w:eastAsiaTheme="majorEastAsia" w:hAnsiTheme="majorHAnsi" w:cstheme="majorBidi"/>
      <w:color w:val="1F4D78" w:themeColor="accent1" w:themeShade="7F"/>
      <w:sz w:val="24"/>
      <w:szCs w:val="24"/>
      <w:lang w:val="en-US"/>
    </w:rPr>
  </w:style>
  <w:style w:type="character" w:styleId="PlaceholderText">
    <w:name w:val="Placeholder Text"/>
    <w:basedOn w:val="DefaultParagraphFont"/>
    <w:uiPriority w:val="99"/>
    <w:semiHidden/>
    <w:rsid w:val="002C6CDB"/>
    <w:rPr>
      <w:color w:val="808080"/>
    </w:rPr>
  </w:style>
  <w:style w:type="character" w:customStyle="1" w:styleId="vlist-s">
    <w:name w:val="vlist-s"/>
    <w:basedOn w:val="DefaultParagraphFont"/>
    <w:rsid w:val="002C6CDB"/>
  </w:style>
  <w:style w:type="table" w:styleId="TableGrid">
    <w:name w:val="Table Grid"/>
    <w:basedOn w:val="TableNormal"/>
    <w:uiPriority w:val="39"/>
    <w:rsid w:val="002C6CD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C6CDB"/>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2C6CDB"/>
    <w:pPr>
      <w:spacing w:after="0" w:line="240" w:lineRule="auto"/>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2C6CDB"/>
    <w:pPr>
      <w:spacing w:after="160" w:line="259" w:lineRule="auto"/>
      <w:ind w:left="720"/>
      <w:contextualSpacing/>
    </w:pPr>
    <w:rPr>
      <w:rFonts w:asciiTheme="minorHAnsi" w:eastAsiaTheme="minorHAnsi" w:hAnsiTheme="minorHAnsi" w:cstheme="minorBidi"/>
      <w:sz w:val="22"/>
      <w:szCs w:val="22"/>
    </w:rPr>
  </w:style>
  <w:style w:type="table" w:styleId="GridTable4">
    <w:name w:val="Grid Table 4"/>
    <w:basedOn w:val="TableNormal"/>
    <w:uiPriority w:val="49"/>
    <w:rsid w:val="002C6CDB"/>
    <w:pPr>
      <w:spacing w:after="0" w:line="240" w:lineRule="auto"/>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2C6CDB"/>
    <w:pPr>
      <w:spacing w:after="0" w:line="240" w:lineRule="auto"/>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2C6CDB"/>
    <w:rPr>
      <w:color w:val="605E5C"/>
      <w:shd w:val="clear" w:color="auto" w:fill="E1DFDD"/>
    </w:rPr>
  </w:style>
  <w:style w:type="character" w:styleId="FollowedHyperlink">
    <w:name w:val="FollowedHyperlink"/>
    <w:basedOn w:val="DefaultParagraphFont"/>
    <w:uiPriority w:val="99"/>
    <w:semiHidden/>
    <w:unhideWhenUsed/>
    <w:rsid w:val="002C6CDB"/>
    <w:rPr>
      <w:color w:val="954F72" w:themeColor="followedHyperlink"/>
      <w:u w:val="single"/>
    </w:rPr>
  </w:style>
  <w:style w:type="character" w:customStyle="1" w:styleId="url">
    <w:name w:val="url"/>
    <w:basedOn w:val="DefaultParagraphFont"/>
    <w:rsid w:val="002C6CDB"/>
  </w:style>
  <w:style w:type="paragraph" w:styleId="Caption">
    <w:name w:val="caption"/>
    <w:basedOn w:val="Normal"/>
    <w:next w:val="Normal"/>
    <w:uiPriority w:val="35"/>
    <w:unhideWhenUsed/>
    <w:qFormat/>
    <w:rsid w:val="002C6CDB"/>
    <w:pPr>
      <w:spacing w:after="200"/>
    </w:pPr>
    <w:rPr>
      <w:rFonts w:asciiTheme="minorHAnsi" w:eastAsiaTheme="minorHAnsi" w:hAnsiTheme="minorHAnsi" w:cstheme="minorBidi"/>
      <w:i/>
      <w:iCs/>
      <w:color w:val="44546A" w:themeColor="text2"/>
      <w:sz w:val="18"/>
      <w:szCs w:val="18"/>
    </w:rPr>
  </w:style>
  <w:style w:type="paragraph" w:styleId="PlainText">
    <w:name w:val="Plain Text"/>
    <w:basedOn w:val="Normal"/>
    <w:link w:val="PlainTextChar"/>
    <w:uiPriority w:val="99"/>
    <w:unhideWhenUsed/>
    <w:rsid w:val="002C6CDB"/>
    <w:rPr>
      <w:rFonts w:ascii="Consolas" w:eastAsiaTheme="minorHAnsi" w:hAnsi="Consolas" w:cstheme="minorBidi"/>
      <w:sz w:val="21"/>
      <w:szCs w:val="21"/>
      <w:lang w:val="en-GB"/>
    </w:rPr>
  </w:style>
  <w:style w:type="character" w:customStyle="1" w:styleId="PlainTextChar">
    <w:name w:val="Plain Text Char"/>
    <w:basedOn w:val="DefaultParagraphFont"/>
    <w:link w:val="PlainText"/>
    <w:uiPriority w:val="99"/>
    <w:rsid w:val="002C6CDB"/>
    <w:rPr>
      <w:rFonts w:ascii="Consolas" w:hAnsi="Consolas"/>
      <w:sz w:val="21"/>
      <w:szCs w:val="21"/>
    </w:rPr>
  </w:style>
  <w:style w:type="character" w:styleId="UnresolvedMention">
    <w:name w:val="Unresolved Mention"/>
    <w:basedOn w:val="DefaultParagraphFont"/>
    <w:uiPriority w:val="99"/>
    <w:semiHidden/>
    <w:unhideWhenUsed/>
    <w:rsid w:val="00253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14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plants11010115" TargetMode="External"/><Relationship Id="rId21" Type="http://schemas.openxmlformats.org/officeDocument/2006/relationships/hyperlink" Target="https://doi.org/10.1097/00010694-196412000-00004" TargetMode="External"/><Relationship Id="rId34" Type="http://schemas.openxmlformats.org/officeDocument/2006/relationships/hyperlink" Target="https://doi.org/10.6092/issn.2281-4485/19459" TargetMode="External"/><Relationship Id="rId42" Type="http://schemas.openxmlformats.org/officeDocument/2006/relationships/hyperlink" Target="https://doi.org/10.1007/s10661-023-12255-w" TargetMode="External"/><Relationship Id="rId47" Type="http://schemas.openxmlformats.org/officeDocument/2006/relationships/hyperlink" Target="https://doi.org/10.1007/978-1-4020-4519-6_97" TargetMode="External"/><Relationship Id="rId50" Type="http://schemas.openxmlformats.org/officeDocument/2006/relationships/hyperlink" Target="https://doi.org/10.1016/S2542-5196(20)30298-9" TargetMode="External"/><Relationship Id="rId55" Type="http://schemas.openxmlformats.org/officeDocument/2006/relationships/hyperlink" Target="https://doi.org/10.1016/0038-0717(72)90064-8" TargetMode="External"/><Relationship Id="rId63" Type="http://schemas.openxmlformats.org/officeDocument/2006/relationships/header" Target="header4.xml"/><Relationship Id="rId68"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07/s11270-021-05211-2" TargetMode="External"/><Relationship Id="rId29" Type="http://schemas.openxmlformats.org/officeDocument/2006/relationships/hyperlink" Target="https://doi.org/10.1016/0043-1354(80)90143-8" TargetMode="External"/><Relationship Id="rId11" Type="http://schemas.openxmlformats.org/officeDocument/2006/relationships/header" Target="header3.xml"/><Relationship Id="rId24" Type="http://schemas.openxmlformats.org/officeDocument/2006/relationships/hyperlink" Target="https://doi.org/10.4314/ijbcs.v19i2.2" TargetMode="External"/><Relationship Id="rId32" Type="http://schemas.openxmlformats.org/officeDocument/2006/relationships/hyperlink" Target="https://doi.org/10.1007/s13201-017-0632-3" TargetMode="External"/><Relationship Id="rId37" Type="http://schemas.openxmlformats.org/officeDocument/2006/relationships/hyperlink" Target="https://doi.org/10.3389/fmicb.2025.1546852" TargetMode="External"/><Relationship Id="rId40" Type="http://schemas.openxmlformats.org/officeDocument/2006/relationships/hyperlink" Target="https://doi.org/10.1007/s11104-024-06600-2" TargetMode="External"/><Relationship Id="rId45" Type="http://schemas.openxmlformats.org/officeDocument/2006/relationships/hyperlink" Target="https://doi.org/10.1029/91wr01095" TargetMode="External"/><Relationship Id="rId53" Type="http://schemas.openxmlformats.org/officeDocument/2006/relationships/hyperlink" Target="https://doi.org/10.3389/fmicb.2024.1258934" TargetMode="External"/><Relationship Id="rId58" Type="http://schemas.openxmlformats.org/officeDocument/2006/relationships/hyperlink" Target="https://doi.org/10.4314/jagrenv.v19i1" TargetMode="External"/><Relationship Id="rId66" Type="http://schemas.openxmlformats.org/officeDocument/2006/relationships/header" Target="header6.xml"/><Relationship Id="rId5" Type="http://schemas.openxmlformats.org/officeDocument/2006/relationships/footnotes" Target="footnotes.xml"/><Relationship Id="rId61" Type="http://schemas.openxmlformats.org/officeDocument/2006/relationships/hyperlink" Target="https://doi.org/10.1097/00010694-193401000-00003" TargetMode="External"/><Relationship Id="rId19" Type="http://schemas.openxmlformats.org/officeDocument/2006/relationships/hyperlink" Target="https://doi.org/10.1186/s13717-023-00464-7" TargetMode="External"/><Relationship Id="rId14" Type="http://schemas.openxmlformats.org/officeDocument/2006/relationships/hyperlink" Target="https://doi.org/10.1007/s10499-025-02069-7" TargetMode="External"/><Relationship Id="rId22" Type="http://schemas.openxmlformats.org/officeDocument/2006/relationships/hyperlink" Target="https://doi.org/10.2136/sssaj2016.0005br" TargetMode="External"/><Relationship Id="rId27" Type="http://schemas.openxmlformats.org/officeDocument/2006/relationships/hyperlink" Target="https://doi.org/10.2903/j.efsa.2024.9106" TargetMode="External"/><Relationship Id="rId30" Type="http://schemas.openxmlformats.org/officeDocument/2006/relationships/hyperlink" Target="https://doi.org/10.1146/annurev.es.04.110173.000245" TargetMode="External"/><Relationship Id="rId35" Type="http://schemas.openxmlformats.org/officeDocument/2006/relationships/hyperlink" Target="https://doi.org/10.1002/ps.2780100304" TargetMode="External"/><Relationship Id="rId43" Type="http://schemas.openxmlformats.org/officeDocument/2006/relationships/hyperlink" Target="https://doi.org/10.1016/j.scitotenv.2013.06.064" TargetMode="External"/><Relationship Id="rId48" Type="http://schemas.openxmlformats.org/officeDocument/2006/relationships/hyperlink" Target="http://hdl.handle.net/11295/85242" TargetMode="External"/><Relationship Id="rId56" Type="http://schemas.openxmlformats.org/officeDocument/2006/relationships/hyperlink" Target="https://doi.org/10.20546/ijcmas.2019.806.101" TargetMode="External"/><Relationship Id="rId64" Type="http://schemas.openxmlformats.org/officeDocument/2006/relationships/header" Target="header5.xml"/><Relationship Id="rId8" Type="http://schemas.openxmlformats.org/officeDocument/2006/relationships/header" Target="header2.xml"/><Relationship Id="rId51" Type="http://schemas.openxmlformats.org/officeDocument/2006/relationships/hyperlink" Target="https://dx.doi.org/10.47297/wspciateWSP2633-772X04.20250601"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1186/s12870-025-06385-1" TargetMode="External"/><Relationship Id="rId25" Type="http://schemas.openxmlformats.org/officeDocument/2006/relationships/hyperlink" Target="https://doi.org/10.12691/jephh-9-2-1" TargetMode="External"/><Relationship Id="rId33" Type="http://schemas.openxmlformats.org/officeDocument/2006/relationships/hyperlink" Target="https://doi.org/10.1016/j.jneumeth.2024.110196" TargetMode="External"/><Relationship Id="rId38" Type="http://schemas.openxmlformats.org/officeDocument/2006/relationships/hyperlink" Target="https://doi.org/10.1016/j.foodchem.2021.129552" TargetMode="External"/><Relationship Id="rId46" Type="http://schemas.openxmlformats.org/officeDocument/2006/relationships/hyperlink" Target="https://doi.org/10.1016/S0003-2670(00)88444-5" TargetMode="External"/><Relationship Id="rId59" Type="http://schemas.openxmlformats.org/officeDocument/2006/relationships/hyperlink" Target="https://www.epa.gov/ncea/efh" TargetMode="External"/><Relationship Id="rId67" Type="http://schemas.openxmlformats.org/officeDocument/2006/relationships/fontTable" Target="fontTable.xml"/><Relationship Id="rId20" Type="http://schemas.openxmlformats.org/officeDocument/2006/relationships/hyperlink" Target="https://doi.org/10.2134/agronj1962.00021962005400050028x" TargetMode="External"/><Relationship Id="rId41" Type="http://schemas.openxmlformats.org/officeDocument/2006/relationships/hyperlink" Target="https://doi.org/10.1016/j.jenvman.2023.119661" TargetMode="External"/><Relationship Id="rId54" Type="http://schemas.openxmlformats.org/officeDocument/2006/relationships/hyperlink" Target="https://doi.org/10.1038/s43017-019-0005-6" TargetMode="External"/><Relationship Id="rId62" Type="http://schemas.openxmlformats.org/officeDocument/2006/relationships/hyperlink" Target="https://doi.org/10.1016/j.scitotenv.2022.15963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s10661-024-13340-4" TargetMode="External"/><Relationship Id="rId23" Type="http://schemas.openxmlformats.org/officeDocument/2006/relationships/hyperlink" Target="https://doi.org/10.3390/su9071163" TargetMode="External"/><Relationship Id="rId28" Type="http://schemas.openxmlformats.org/officeDocument/2006/relationships/hyperlink" Target="https://doi.org/10.1016/j.scitotenv.2022.160184" TargetMode="External"/><Relationship Id="rId36" Type="http://schemas.openxmlformats.org/officeDocument/2006/relationships/hyperlink" Target="https://doi.org/10.3390/toxics13010005" TargetMode="External"/><Relationship Id="rId49" Type="http://schemas.openxmlformats.org/officeDocument/2006/relationships/hyperlink" Target="https://doi.org/10.1109/SEB-SDG57117.2023.10198900" TargetMode="External"/><Relationship Id="rId57" Type="http://schemas.openxmlformats.org/officeDocument/2006/relationships/hyperlink" Target="https://doi.org/10.1007/bf02414780" TargetMode="External"/><Relationship Id="rId10" Type="http://schemas.openxmlformats.org/officeDocument/2006/relationships/footer" Target="footer2.xml"/><Relationship Id="rId31" Type="http://schemas.openxmlformats.org/officeDocument/2006/relationships/hyperlink" Target="https://doi.org/10.3389/fpls.2021.701681" TargetMode="External"/><Relationship Id="rId44" Type="http://schemas.openxmlformats.org/officeDocument/2006/relationships/hyperlink" Target="https://doi.org/10.2139/ssrn.4995798" TargetMode="External"/><Relationship Id="rId52" Type="http://schemas.openxmlformats.org/officeDocument/2006/relationships/hyperlink" Target="https://doi.org/10.1007/s10661-022-10816-z" TargetMode="External"/><Relationship Id="rId60" Type="http://schemas.openxmlformats.org/officeDocument/2006/relationships/hyperlink" Target="https://doi.org/10.31545/aagr/60000" TargetMode="External"/><Relationship Id="rId65"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chart" Target="charts/chart1.xml"/><Relationship Id="rId18" Type="http://schemas.openxmlformats.org/officeDocument/2006/relationships/hyperlink" Target="https://www.oieau.fr/eaudoc/notice/R%C3%A9glementation-sur-le-phosphore-en-agriculture-en-europe-partage-d-exp%C3%A9riences-pour-4-pays-europ%C3%A9ens" TargetMode="External"/><Relationship Id="rId39" Type="http://schemas.openxmlformats.org/officeDocument/2006/relationships/hyperlink" Target="https://doi.org/10.1016/j.ecoenv.2022.11364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Sheet1!$C$4</c:f>
              <c:strCache>
                <c:ptCount val="1"/>
                <c:pt idx="0">
                  <c:v>Control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Sheet1!$B$5:$B$7</c:f>
              <c:strCache>
                <c:ptCount val="3"/>
                <c:pt idx="0">
                  <c:v>Dehydrogenase, µgTPF/kg/h</c:v>
                </c:pt>
                <c:pt idx="1">
                  <c:v>Phosphatase, mgPNP/kg/h</c:v>
                </c:pt>
                <c:pt idx="2">
                  <c:v>Urease, mg/N.NH4/kg/h</c:v>
                </c:pt>
              </c:strCache>
            </c:strRef>
          </c:cat>
          <c:val>
            <c:numRef>
              <c:f>Sheet1!$C$5:$C$7</c:f>
              <c:numCache>
                <c:formatCode>General</c:formatCode>
                <c:ptCount val="3"/>
                <c:pt idx="0">
                  <c:v>5.09</c:v>
                </c:pt>
                <c:pt idx="1">
                  <c:v>26.17</c:v>
                </c:pt>
                <c:pt idx="2">
                  <c:v>1.1499999999999999</c:v>
                </c:pt>
              </c:numCache>
            </c:numRef>
          </c:val>
          <c:extLst>
            <c:ext xmlns:c16="http://schemas.microsoft.com/office/drawing/2014/chart" uri="{C3380CC4-5D6E-409C-BE32-E72D297353CC}">
              <c16:uniqueId val="{00000000-0759-49FC-BAFF-E2B9A341152B}"/>
            </c:ext>
          </c:extLst>
        </c:ser>
        <c:ser>
          <c:idx val="1"/>
          <c:order val="1"/>
          <c:tx>
            <c:strRef>
              <c:f>Sheet1!$D$4</c:f>
              <c:strCache>
                <c:ptCount val="1"/>
                <c:pt idx="0">
                  <c:v>Agrochemicals farm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Sheet1!$B$5:$B$7</c:f>
              <c:strCache>
                <c:ptCount val="3"/>
                <c:pt idx="0">
                  <c:v>Dehydrogenase, µgTPF/kg/h</c:v>
                </c:pt>
                <c:pt idx="1">
                  <c:v>Phosphatase, mgPNP/kg/h</c:v>
                </c:pt>
                <c:pt idx="2">
                  <c:v>Urease, mg/N.NH4/kg/h</c:v>
                </c:pt>
              </c:strCache>
            </c:strRef>
          </c:cat>
          <c:val>
            <c:numRef>
              <c:f>Sheet1!$D$5:$D$7</c:f>
              <c:numCache>
                <c:formatCode>General</c:formatCode>
                <c:ptCount val="3"/>
                <c:pt idx="0">
                  <c:v>6.12</c:v>
                </c:pt>
                <c:pt idx="1">
                  <c:v>22.14</c:v>
                </c:pt>
                <c:pt idx="2">
                  <c:v>0.91</c:v>
                </c:pt>
              </c:numCache>
            </c:numRef>
          </c:val>
          <c:extLst>
            <c:ext xmlns:c16="http://schemas.microsoft.com/office/drawing/2014/chart" uri="{C3380CC4-5D6E-409C-BE32-E72D297353CC}">
              <c16:uniqueId val="{00000001-0759-49FC-BAFF-E2B9A341152B}"/>
            </c:ext>
          </c:extLst>
        </c:ser>
        <c:dLbls>
          <c:showLegendKey val="0"/>
          <c:showVal val="0"/>
          <c:showCatName val="0"/>
          <c:showSerName val="0"/>
          <c:showPercent val="0"/>
          <c:showBubbleSize val="0"/>
        </c:dLbls>
        <c:gapWidth val="100"/>
        <c:overlap val="-24"/>
        <c:axId val="599904592"/>
        <c:axId val="599898608"/>
        <c:extLst>
          <c:ext xmlns:c15="http://schemas.microsoft.com/office/drawing/2012/chart" uri="{02D57815-91ED-43cb-92C2-25804820EDAC}">
            <c15:filteredBarSeries>
              <c15:ser>
                <c:idx val="2"/>
                <c:order val="2"/>
                <c:tx>
                  <c:strRef>
                    <c:extLst>
                      <c:ext uri="{02D57815-91ED-43cb-92C2-25804820EDAC}">
                        <c15:formulaRef>
                          <c15:sqref>Sheet1!$E$4</c15:sqref>
                        </c15:formulaRef>
                      </c:ext>
                    </c:extLst>
                    <c:strCache>
                      <c:ptCount val="1"/>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extLst>
                      <c:ext uri="{02D57815-91ED-43cb-92C2-25804820EDAC}">
                        <c15:formulaRef>
                          <c15:sqref>Sheet1!$B$5:$B$7</c15:sqref>
                        </c15:formulaRef>
                      </c:ext>
                    </c:extLst>
                    <c:strCache>
                      <c:ptCount val="3"/>
                      <c:pt idx="0">
                        <c:v>Dehydrogenase, µgTPF/kg/h</c:v>
                      </c:pt>
                      <c:pt idx="1">
                        <c:v>Phosphatase, mgPNP/kg/h</c:v>
                      </c:pt>
                      <c:pt idx="2">
                        <c:v>Urease, mg/N.NH4/kg/h</c:v>
                      </c:pt>
                    </c:strCache>
                  </c:strRef>
                </c:cat>
                <c:val>
                  <c:numRef>
                    <c:extLst>
                      <c:ext uri="{02D57815-91ED-43cb-92C2-25804820EDAC}">
                        <c15:formulaRef>
                          <c15:sqref>Sheet1!$E$5:$E$7</c15:sqref>
                        </c15:formulaRef>
                      </c:ext>
                    </c:extLst>
                    <c:numCache>
                      <c:formatCode>General</c:formatCode>
                      <c:ptCount val="3"/>
                    </c:numCache>
                  </c:numRef>
                </c:val>
                <c:extLst>
                  <c:ext xmlns:c16="http://schemas.microsoft.com/office/drawing/2014/chart" uri="{C3380CC4-5D6E-409C-BE32-E72D297353CC}">
                    <c16:uniqueId val="{00000002-0759-49FC-BAFF-E2B9A341152B}"/>
                  </c:ext>
                </c:extLst>
              </c15:ser>
            </c15:filteredBarSeries>
          </c:ext>
        </c:extLst>
      </c:barChart>
      <c:catAx>
        <c:axId val="599904592"/>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b="0"/>
                  <a:t>Soil enzymes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599898608"/>
        <c:crosses val="autoZero"/>
        <c:auto val="1"/>
        <c:lblAlgn val="ctr"/>
        <c:lblOffset val="100"/>
        <c:noMultiLvlLbl val="0"/>
      </c:catAx>
      <c:valAx>
        <c:axId val="599898608"/>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b="0"/>
                  <a:t>Concentration</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5999045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18</Pages>
  <Words>8854</Words>
  <Characters>50473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1180</cp:lastModifiedBy>
  <cp:revision>25</cp:revision>
  <dcterms:created xsi:type="dcterms:W3CDTF">2025-12-19T22:17:00Z</dcterms:created>
  <dcterms:modified xsi:type="dcterms:W3CDTF">2025-12-20T11:37:00Z</dcterms:modified>
</cp:coreProperties>
</file>