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60DDC" w14:textId="77777777" w:rsidR="000512EA" w:rsidRPr="000512EA" w:rsidRDefault="000512EA" w:rsidP="000512EA">
      <w:pPr>
        <w:pStyle w:val="Title"/>
        <w:jc w:val="both"/>
        <w:rPr>
          <w:rFonts w:ascii="Arial" w:hAnsi="Arial" w:cs="Arial"/>
          <w:bCs/>
          <w:i/>
          <w:iCs/>
          <w:u w:val="single"/>
        </w:rPr>
      </w:pPr>
      <w:r w:rsidRPr="000512EA">
        <w:rPr>
          <w:rFonts w:ascii="Arial" w:hAnsi="Arial" w:cs="Arial"/>
          <w:bCs/>
          <w:i/>
          <w:iCs/>
          <w:u w:val="single"/>
        </w:rPr>
        <w:t>Original Research Article</w:t>
      </w:r>
    </w:p>
    <w:p w14:paraId="53AA7990" w14:textId="77777777" w:rsidR="00754C9A" w:rsidRDefault="00754C9A" w:rsidP="00441B6F">
      <w:pPr>
        <w:pStyle w:val="Title"/>
        <w:spacing w:after="0"/>
        <w:jc w:val="both"/>
        <w:rPr>
          <w:rFonts w:ascii="Arial" w:hAnsi="Arial" w:cs="Arial"/>
        </w:rPr>
      </w:pPr>
    </w:p>
    <w:p w14:paraId="63C3C8EA" w14:textId="77777777" w:rsidR="00F37D6A" w:rsidRPr="006D15FD" w:rsidRDefault="00F37D6A" w:rsidP="00F37D6A">
      <w:pPr>
        <w:spacing w:line="276" w:lineRule="auto"/>
        <w:jc w:val="center"/>
        <w:rPr>
          <w:rFonts w:ascii="Arial" w:hAnsi="Arial" w:cs="Arial"/>
          <w:b/>
          <w:bCs/>
          <w:sz w:val="22"/>
          <w:szCs w:val="22"/>
        </w:rPr>
      </w:pPr>
      <w:r w:rsidRPr="006D15FD">
        <w:rPr>
          <w:rFonts w:ascii="Arial" w:hAnsi="Arial" w:cs="Arial"/>
          <w:b/>
          <w:bCs/>
          <w:sz w:val="22"/>
          <w:szCs w:val="22"/>
        </w:rPr>
        <w:t xml:space="preserve">In vitro efficacy of two synthetic fungicides and two essential oils against </w:t>
      </w:r>
      <w:proofErr w:type="spellStart"/>
      <w:r w:rsidRPr="006D15FD">
        <w:rPr>
          <w:rFonts w:ascii="Arial" w:hAnsi="Arial" w:cs="Arial"/>
          <w:b/>
          <w:bCs/>
          <w:i/>
          <w:iCs/>
          <w:sz w:val="22"/>
          <w:szCs w:val="22"/>
        </w:rPr>
        <w:t>Mycosphaerella</w:t>
      </w:r>
      <w:proofErr w:type="spellEnd"/>
      <w:r w:rsidRPr="006D15FD">
        <w:rPr>
          <w:rFonts w:ascii="Arial" w:hAnsi="Arial" w:cs="Arial"/>
          <w:b/>
          <w:bCs/>
          <w:i/>
          <w:iCs/>
          <w:sz w:val="22"/>
          <w:szCs w:val="22"/>
        </w:rPr>
        <w:t xml:space="preserve"> </w:t>
      </w:r>
      <w:proofErr w:type="spellStart"/>
      <w:r w:rsidRPr="006D15FD">
        <w:rPr>
          <w:rFonts w:ascii="Arial" w:hAnsi="Arial" w:cs="Arial"/>
          <w:b/>
          <w:bCs/>
          <w:i/>
          <w:iCs/>
          <w:sz w:val="22"/>
          <w:szCs w:val="22"/>
        </w:rPr>
        <w:t>fijiensis</w:t>
      </w:r>
      <w:proofErr w:type="spellEnd"/>
      <w:r w:rsidRPr="006D15FD">
        <w:rPr>
          <w:rFonts w:ascii="Arial" w:hAnsi="Arial" w:cs="Arial"/>
          <w:b/>
          <w:bCs/>
          <w:sz w:val="22"/>
          <w:szCs w:val="22"/>
        </w:rPr>
        <w:t>, the agent of black Sigatoka disease in banana</w:t>
      </w:r>
    </w:p>
    <w:p w14:paraId="68FF9DEF" w14:textId="77777777" w:rsidR="00F37D6A" w:rsidRPr="006D15FD" w:rsidRDefault="00F37D6A" w:rsidP="00F37D6A">
      <w:pPr>
        <w:spacing w:line="276" w:lineRule="auto"/>
        <w:jc w:val="center"/>
        <w:rPr>
          <w:rFonts w:ascii="Arial" w:hAnsi="Arial" w:cs="Arial"/>
          <w:b/>
          <w:bCs/>
          <w:sz w:val="22"/>
          <w:szCs w:val="22"/>
        </w:rPr>
      </w:pPr>
      <w:r w:rsidRPr="006D15FD">
        <w:rPr>
          <w:rFonts w:ascii="Arial" w:hAnsi="Arial" w:cs="Arial"/>
          <w:b/>
          <w:bCs/>
          <w:sz w:val="22"/>
          <w:szCs w:val="22"/>
        </w:rPr>
        <w:t>(</w:t>
      </w:r>
      <w:r w:rsidRPr="006D15FD">
        <w:rPr>
          <w:rFonts w:ascii="Arial" w:hAnsi="Arial" w:cs="Arial"/>
          <w:b/>
          <w:bCs/>
          <w:i/>
          <w:iCs/>
          <w:sz w:val="22"/>
          <w:szCs w:val="22"/>
        </w:rPr>
        <w:t>Musa</w:t>
      </w:r>
      <w:r w:rsidRPr="006D15FD">
        <w:rPr>
          <w:rFonts w:ascii="Arial" w:hAnsi="Arial" w:cs="Arial"/>
          <w:b/>
          <w:bCs/>
          <w:sz w:val="22"/>
          <w:szCs w:val="22"/>
        </w:rPr>
        <w:t xml:space="preserve"> spp.)</w:t>
      </w:r>
    </w:p>
    <w:p w14:paraId="676411D6" w14:textId="77777777" w:rsidR="00A258C3" w:rsidRPr="00790ADA" w:rsidRDefault="00A258C3" w:rsidP="00441B6F">
      <w:pPr>
        <w:pStyle w:val="Author"/>
        <w:spacing w:line="240" w:lineRule="auto"/>
        <w:jc w:val="both"/>
        <w:rPr>
          <w:rFonts w:ascii="Arial" w:hAnsi="Arial" w:cs="Arial"/>
          <w:sz w:val="36"/>
        </w:rPr>
      </w:pPr>
    </w:p>
    <w:p w14:paraId="657CFAE1" w14:textId="77777777" w:rsidR="00790ADA" w:rsidRPr="00F37D6A" w:rsidRDefault="00790ADA" w:rsidP="00441B6F">
      <w:pPr>
        <w:pStyle w:val="Author"/>
        <w:spacing w:line="240" w:lineRule="auto"/>
        <w:rPr>
          <w:rFonts w:ascii="Arial" w:hAnsi="Arial" w:cs="Arial"/>
          <w:lang w:val="fr-FR"/>
        </w:rPr>
      </w:pPr>
    </w:p>
    <w:p w14:paraId="1F5F2881" w14:textId="77777777" w:rsidR="002C57D2" w:rsidRPr="00FB3A86" w:rsidRDefault="002C57D2" w:rsidP="00441B6F">
      <w:pPr>
        <w:pStyle w:val="Affiliation"/>
        <w:spacing w:after="0" w:line="240" w:lineRule="auto"/>
        <w:jc w:val="both"/>
        <w:rPr>
          <w:rFonts w:ascii="Arial" w:hAnsi="Arial" w:cs="Arial"/>
        </w:rPr>
      </w:pPr>
    </w:p>
    <w:p w14:paraId="70CC4F8B" w14:textId="2FE438C9" w:rsidR="00B01FCD" w:rsidRDefault="00FE340B" w:rsidP="00141DF7">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03F4141B" wp14:editId="4CE8E2CB">
                <wp:extent cx="5303520" cy="635"/>
                <wp:effectExtent l="17145" t="17145" r="13335" b="11430"/>
                <wp:docPr id="3403409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D4610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roofErr w:type="gramStart"/>
      <w:r w:rsidR="00FB3A86">
        <w:rPr>
          <w:rFonts w:ascii="Arial" w:hAnsi="Arial" w:cs="Arial"/>
        </w:rPr>
        <w:t>.</w:t>
      </w:r>
      <w:r w:rsidR="00B01FCD" w:rsidRPr="00FB3A86">
        <w:rPr>
          <w:rFonts w:ascii="Arial" w:hAnsi="Arial" w:cs="Arial"/>
        </w:rPr>
        <w:t>ABSTRACT</w:t>
      </w:r>
      <w:proofErr w:type="gramEnd"/>
      <w:r w:rsidR="0066510A">
        <w:rPr>
          <w:rFonts w:ascii="Arial" w:hAnsi="Arial" w:cs="Arial"/>
        </w:rPr>
        <w:t xml:space="preserve"> </w:t>
      </w:r>
    </w:p>
    <w:p w14:paraId="691475C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918"/>
      </w:tblGrid>
      <w:tr w:rsidR="00296529" w:rsidRPr="001E44FE" w14:paraId="107DBB9A" w14:textId="77777777" w:rsidTr="001E44FE">
        <w:tc>
          <w:tcPr>
            <w:tcW w:w="9576" w:type="dxa"/>
            <w:shd w:val="clear" w:color="auto" w:fill="F2F2F2"/>
          </w:tcPr>
          <w:p w14:paraId="51BAE77D" w14:textId="77777777" w:rsidR="00F37D6A" w:rsidRPr="005A59E1" w:rsidRDefault="00F37D6A" w:rsidP="00F37D6A">
            <w:pPr>
              <w:spacing w:line="276" w:lineRule="auto"/>
              <w:jc w:val="both"/>
              <w:rPr>
                <w:rFonts w:ascii="Arial" w:hAnsi="Arial" w:cs="Arial"/>
                <w:sz w:val="22"/>
                <w:szCs w:val="22"/>
                <w:lang w:eastAsia="fr-FR"/>
              </w:rPr>
            </w:pPr>
            <w:r w:rsidRPr="005A59E1">
              <w:rPr>
                <w:rFonts w:ascii="Arial" w:hAnsi="Arial" w:cs="Arial"/>
                <w:sz w:val="22"/>
                <w:szCs w:val="22"/>
                <w:lang w:eastAsia="fr-FR"/>
              </w:rPr>
              <w:t xml:space="preserve">Black Sigatoka, caused by </w:t>
            </w:r>
            <w:proofErr w:type="spellStart"/>
            <w:r w:rsidRPr="005A59E1">
              <w:rPr>
                <w:rFonts w:ascii="Arial" w:hAnsi="Arial" w:cs="Arial"/>
                <w:i/>
                <w:iCs/>
                <w:sz w:val="22"/>
                <w:szCs w:val="22"/>
                <w:lang w:eastAsia="fr-FR"/>
              </w:rPr>
              <w:t>Mycosphaerella</w:t>
            </w:r>
            <w:proofErr w:type="spellEnd"/>
            <w:r w:rsidRPr="005A59E1">
              <w:rPr>
                <w:rFonts w:ascii="Arial" w:hAnsi="Arial" w:cs="Arial"/>
                <w:i/>
                <w:iCs/>
                <w:sz w:val="22"/>
                <w:szCs w:val="22"/>
                <w:lang w:eastAsia="fr-FR"/>
              </w:rPr>
              <w:t xml:space="preserve"> </w:t>
            </w:r>
            <w:proofErr w:type="spellStart"/>
            <w:r w:rsidRPr="005A59E1">
              <w:rPr>
                <w:rFonts w:ascii="Arial" w:hAnsi="Arial" w:cs="Arial"/>
                <w:i/>
                <w:iCs/>
                <w:sz w:val="22"/>
                <w:szCs w:val="22"/>
                <w:lang w:eastAsia="fr-FR"/>
              </w:rPr>
              <w:t>fijiensis</w:t>
            </w:r>
            <w:proofErr w:type="spellEnd"/>
            <w:r w:rsidRPr="005A59E1">
              <w:rPr>
                <w:rFonts w:ascii="Arial" w:hAnsi="Arial" w:cs="Arial"/>
                <w:sz w:val="22"/>
                <w:szCs w:val="22"/>
                <w:lang w:eastAsia="fr-FR"/>
              </w:rPr>
              <w:t xml:space="preserve">, is a fungal disease reported in several banana plantations in Burkina Faso, leading to significant reductions in yield and fruit quality. This study aims to enhance banana productivity in Burkina Faso. The experimental design involved a factorial block arranged in Petri dishes with two factors. The first factor included treatment products (Copper hydroxide, Mancozeb, </w:t>
            </w:r>
            <w:proofErr w:type="spellStart"/>
            <w:r w:rsidRPr="005A59E1">
              <w:rPr>
                <w:rFonts w:ascii="Arial" w:hAnsi="Arial" w:cs="Arial"/>
                <w:i/>
                <w:iCs/>
                <w:sz w:val="22"/>
                <w:szCs w:val="22"/>
                <w:lang w:eastAsia="fr-FR"/>
              </w:rPr>
              <w:t>Ocimum</w:t>
            </w:r>
            <w:proofErr w:type="spellEnd"/>
            <w:r w:rsidRPr="005A59E1">
              <w:rPr>
                <w:rFonts w:ascii="Arial" w:hAnsi="Arial" w:cs="Arial"/>
                <w:i/>
                <w:iCs/>
                <w:sz w:val="22"/>
                <w:szCs w:val="22"/>
                <w:lang w:eastAsia="fr-FR"/>
              </w:rPr>
              <w:t xml:space="preserve"> </w:t>
            </w:r>
            <w:proofErr w:type="spellStart"/>
            <w:r w:rsidRPr="005A59E1">
              <w:rPr>
                <w:rFonts w:ascii="Arial" w:hAnsi="Arial" w:cs="Arial"/>
                <w:i/>
                <w:iCs/>
                <w:sz w:val="22"/>
                <w:szCs w:val="22"/>
                <w:lang w:eastAsia="fr-FR"/>
              </w:rPr>
              <w:t>gratissimum</w:t>
            </w:r>
            <w:proofErr w:type="spellEnd"/>
            <w:r w:rsidRPr="005A59E1">
              <w:rPr>
                <w:rFonts w:ascii="Arial" w:hAnsi="Arial" w:cs="Arial"/>
                <w:sz w:val="22"/>
                <w:szCs w:val="22"/>
                <w:lang w:eastAsia="fr-FR"/>
              </w:rPr>
              <w:t xml:space="preserve">, </w:t>
            </w:r>
            <w:proofErr w:type="spellStart"/>
            <w:r w:rsidRPr="005A59E1">
              <w:rPr>
                <w:rFonts w:ascii="Arial" w:hAnsi="Arial" w:cs="Arial"/>
                <w:i/>
                <w:iCs/>
                <w:sz w:val="22"/>
                <w:szCs w:val="22"/>
                <w:lang w:eastAsia="fr-FR"/>
              </w:rPr>
              <w:t>Lippia</w:t>
            </w:r>
            <w:proofErr w:type="spellEnd"/>
            <w:r w:rsidRPr="005A59E1">
              <w:rPr>
                <w:rFonts w:ascii="Arial" w:hAnsi="Arial" w:cs="Arial"/>
                <w:i/>
                <w:iCs/>
                <w:sz w:val="22"/>
                <w:szCs w:val="22"/>
                <w:lang w:eastAsia="fr-FR"/>
              </w:rPr>
              <w:t xml:space="preserve"> multiflora</w:t>
            </w:r>
            <w:r w:rsidRPr="005A59E1">
              <w:rPr>
                <w:rFonts w:ascii="Arial" w:hAnsi="Arial" w:cs="Arial"/>
                <w:sz w:val="22"/>
                <w:szCs w:val="22"/>
                <w:lang w:eastAsia="fr-FR"/>
              </w:rPr>
              <w:t xml:space="preserve">). The second factor consisted of three application doses, alongside an untreated control. The fungal isolate used was the BH isolate of </w:t>
            </w:r>
            <w:r w:rsidRPr="005A59E1">
              <w:rPr>
                <w:rFonts w:ascii="Arial" w:hAnsi="Arial" w:cs="Arial"/>
                <w:i/>
                <w:iCs/>
                <w:sz w:val="22"/>
                <w:szCs w:val="22"/>
                <w:lang w:eastAsia="fr-FR"/>
              </w:rPr>
              <w:t xml:space="preserve">M. </w:t>
            </w:r>
            <w:proofErr w:type="spellStart"/>
            <w:r w:rsidRPr="005A59E1">
              <w:rPr>
                <w:rFonts w:ascii="Arial" w:hAnsi="Arial" w:cs="Arial"/>
                <w:i/>
                <w:iCs/>
                <w:sz w:val="22"/>
                <w:szCs w:val="22"/>
                <w:lang w:eastAsia="fr-FR"/>
              </w:rPr>
              <w:t>fijiensis</w:t>
            </w:r>
            <w:proofErr w:type="spellEnd"/>
            <w:r w:rsidRPr="005A59E1">
              <w:rPr>
                <w:rFonts w:ascii="Arial" w:hAnsi="Arial" w:cs="Arial"/>
                <w:sz w:val="22"/>
                <w:szCs w:val="22"/>
                <w:lang w:eastAsia="fr-FR"/>
              </w:rPr>
              <w:t xml:space="preserve">. In vitro tests showed that Mancozeb was highly effective against various life stages of the pathogen (Inhibition Percentage, IP &gt; 75%) from the lowest dose, as was the essential oil of </w:t>
            </w:r>
            <w:r w:rsidRPr="005A59E1">
              <w:rPr>
                <w:rFonts w:ascii="Arial" w:hAnsi="Arial" w:cs="Arial"/>
                <w:i/>
                <w:iCs/>
                <w:sz w:val="22"/>
                <w:szCs w:val="22"/>
                <w:lang w:eastAsia="fr-FR"/>
              </w:rPr>
              <w:t xml:space="preserve">O. </w:t>
            </w:r>
            <w:proofErr w:type="spellStart"/>
            <w:r w:rsidRPr="005A59E1">
              <w:rPr>
                <w:rFonts w:ascii="Arial" w:hAnsi="Arial" w:cs="Arial"/>
                <w:i/>
                <w:iCs/>
                <w:sz w:val="22"/>
                <w:szCs w:val="22"/>
                <w:lang w:eastAsia="fr-FR"/>
              </w:rPr>
              <w:t>gratissimum</w:t>
            </w:r>
            <w:proofErr w:type="spellEnd"/>
            <w:r w:rsidRPr="005A59E1">
              <w:rPr>
                <w:rFonts w:ascii="Arial" w:hAnsi="Arial" w:cs="Arial"/>
                <w:sz w:val="22"/>
                <w:szCs w:val="22"/>
                <w:lang w:eastAsia="fr-FR"/>
              </w:rPr>
              <w:t xml:space="preserve"> at the medium dose (1000 ppm), and that of </w:t>
            </w:r>
            <w:r w:rsidRPr="005A59E1">
              <w:rPr>
                <w:rFonts w:ascii="Arial" w:hAnsi="Arial" w:cs="Arial"/>
                <w:i/>
                <w:iCs/>
                <w:sz w:val="22"/>
                <w:szCs w:val="22"/>
                <w:lang w:eastAsia="fr-FR"/>
              </w:rPr>
              <w:t>L. multiflora</w:t>
            </w:r>
            <w:r w:rsidRPr="005A59E1">
              <w:rPr>
                <w:rFonts w:ascii="Arial" w:hAnsi="Arial" w:cs="Arial"/>
                <w:sz w:val="22"/>
                <w:szCs w:val="22"/>
                <w:lang w:eastAsia="fr-FR"/>
              </w:rPr>
              <w:t xml:space="preserve"> at the highest dose (4000 ppm). Copper hydroxide was effective on radial growth, sporulation, and germination (50% &lt; IP ≤ 75%) at the highest dose (12,500 ppm). These findings highlight the potential of </w:t>
            </w:r>
            <w:r w:rsidRPr="005A59E1">
              <w:rPr>
                <w:rFonts w:ascii="Arial" w:hAnsi="Arial" w:cs="Arial"/>
                <w:i/>
                <w:iCs/>
                <w:sz w:val="22"/>
                <w:szCs w:val="22"/>
                <w:lang w:eastAsia="fr-FR"/>
              </w:rPr>
              <w:t xml:space="preserve">O. </w:t>
            </w:r>
            <w:proofErr w:type="spellStart"/>
            <w:r w:rsidRPr="005A59E1">
              <w:rPr>
                <w:rFonts w:ascii="Arial" w:hAnsi="Arial" w:cs="Arial"/>
                <w:i/>
                <w:iCs/>
                <w:sz w:val="22"/>
                <w:szCs w:val="22"/>
                <w:lang w:eastAsia="fr-FR"/>
              </w:rPr>
              <w:t>gratissimum</w:t>
            </w:r>
            <w:proofErr w:type="spellEnd"/>
            <w:r w:rsidRPr="005A59E1">
              <w:rPr>
                <w:rFonts w:ascii="Arial" w:hAnsi="Arial" w:cs="Arial"/>
                <w:sz w:val="22"/>
                <w:szCs w:val="22"/>
                <w:lang w:eastAsia="fr-FR"/>
              </w:rPr>
              <w:t xml:space="preserve"> essential oil as a biological control agent or as part of an integrated management approach with Mancozeb.</w:t>
            </w:r>
          </w:p>
          <w:p w14:paraId="4C3B0D65" w14:textId="51D41F20" w:rsidR="00505F06" w:rsidRPr="00BA1B01" w:rsidRDefault="00505F06" w:rsidP="00F37D6A">
            <w:pPr>
              <w:spacing w:line="276" w:lineRule="auto"/>
              <w:rPr>
                <w:rFonts w:ascii="Arial" w:eastAsia="Calibri" w:hAnsi="Arial" w:cs="Arial"/>
                <w:szCs w:val="22"/>
              </w:rPr>
            </w:pPr>
          </w:p>
        </w:tc>
      </w:tr>
    </w:tbl>
    <w:p w14:paraId="4292C99A" w14:textId="77777777" w:rsidR="00636EB2" w:rsidRDefault="00636EB2" w:rsidP="00441B6F">
      <w:pPr>
        <w:pStyle w:val="Body"/>
        <w:spacing w:after="0"/>
        <w:rPr>
          <w:rFonts w:ascii="Arial" w:hAnsi="Arial" w:cs="Arial"/>
          <w:i/>
        </w:rPr>
      </w:pPr>
    </w:p>
    <w:p w14:paraId="144CFDCD" w14:textId="249819D9" w:rsidR="00A24E7E" w:rsidRPr="008E6208" w:rsidRDefault="00A24E7E" w:rsidP="008E6208">
      <w:pPr>
        <w:spacing w:line="276" w:lineRule="auto"/>
        <w:jc w:val="both"/>
        <w:rPr>
          <w:rFonts w:ascii="Times New Roman" w:hAnsi="Times New Roman"/>
          <w:sz w:val="24"/>
          <w:szCs w:val="24"/>
          <w:lang w:eastAsia="fr-FR"/>
        </w:rPr>
      </w:pPr>
      <w:r>
        <w:rPr>
          <w:rFonts w:ascii="Arial" w:hAnsi="Arial" w:cs="Arial"/>
          <w:i/>
        </w:rPr>
        <w:t>Keywords:</w:t>
      </w:r>
      <w:r w:rsidR="008E6208">
        <w:rPr>
          <w:rFonts w:ascii="Arial" w:hAnsi="Arial" w:cs="Arial"/>
          <w:i/>
        </w:rPr>
        <w:t xml:space="preserve"> </w:t>
      </w:r>
      <w:r>
        <w:rPr>
          <w:rFonts w:ascii="Arial" w:hAnsi="Arial" w:cs="Arial"/>
          <w:i/>
        </w:rPr>
        <w:t>[</w:t>
      </w:r>
      <w:r w:rsidR="00F37D6A" w:rsidRPr="00866946">
        <w:rPr>
          <w:rFonts w:ascii="Arial" w:hAnsi="Arial" w:cs="Arial"/>
          <w:i/>
          <w:iCs/>
          <w:lang w:eastAsia="fr-FR"/>
        </w:rPr>
        <w:t>Banana, Black Sigatoka, Fungicides, Essential oils, Management, Burkina Faso</w:t>
      </w:r>
      <w:r w:rsidR="00F37D6A" w:rsidRPr="00BD5A8B">
        <w:rPr>
          <w:rFonts w:ascii="Times New Roman" w:hAnsi="Times New Roman"/>
          <w:sz w:val="24"/>
          <w:szCs w:val="24"/>
          <w:lang w:eastAsia="fr-FR"/>
        </w:rPr>
        <w:t>.</w:t>
      </w:r>
    </w:p>
    <w:p w14:paraId="4B3DA034" w14:textId="77777777" w:rsidR="0024282C" w:rsidRDefault="0024282C" w:rsidP="00441B6F">
      <w:pPr>
        <w:pStyle w:val="Body"/>
        <w:spacing w:after="0"/>
        <w:rPr>
          <w:rFonts w:ascii="Arial" w:hAnsi="Arial" w:cs="Arial"/>
          <w:i/>
          <w:sz w:val="18"/>
        </w:rPr>
      </w:pPr>
    </w:p>
    <w:p w14:paraId="1637CE79" w14:textId="77777777" w:rsidR="00505F06" w:rsidRPr="00A24E7E" w:rsidRDefault="00505F06" w:rsidP="00441B6F">
      <w:pPr>
        <w:pStyle w:val="Body"/>
        <w:spacing w:after="0"/>
        <w:rPr>
          <w:rFonts w:ascii="Arial" w:hAnsi="Arial" w:cs="Arial"/>
          <w:i/>
        </w:rPr>
      </w:pPr>
    </w:p>
    <w:p w14:paraId="75F8BACA" w14:textId="765D6F2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CCAAF31" w14:textId="09B70A7D" w:rsidR="00866946" w:rsidRPr="00866946" w:rsidRDefault="00866946" w:rsidP="00866946">
      <w:pPr>
        <w:spacing w:line="276" w:lineRule="auto"/>
        <w:rPr>
          <w:rFonts w:ascii="Arial" w:hAnsi="Arial" w:cs="Arial"/>
          <w:b/>
          <w:bCs/>
        </w:rPr>
      </w:pPr>
      <w:r w:rsidRPr="00866946">
        <w:rPr>
          <w:rFonts w:ascii="Arial" w:hAnsi="Arial" w:cs="Arial"/>
          <w:b/>
          <w:bCs/>
        </w:rPr>
        <w:t xml:space="preserve"> </w:t>
      </w:r>
    </w:p>
    <w:p w14:paraId="16AFD055" w14:textId="77777777" w:rsidR="00866946" w:rsidRPr="00866946" w:rsidRDefault="00866946" w:rsidP="00866946">
      <w:pPr>
        <w:spacing w:line="276" w:lineRule="auto"/>
        <w:jc w:val="both"/>
        <w:rPr>
          <w:rFonts w:ascii="Arial" w:hAnsi="Arial" w:cs="Arial"/>
        </w:rPr>
      </w:pPr>
      <w:r w:rsidRPr="00866946">
        <w:rPr>
          <w:rFonts w:ascii="Arial" w:hAnsi="Arial" w:cs="Arial"/>
        </w:rPr>
        <w:t>In Burkina Faso, bananas are among the most consumed fruits and the third most produced, after mangoes and citrus fruits (MAAH, 2016). Between 2009 and 2021, banana production nearly tripled, from 18,606 to 46,033 tons (FAOSTAT, 2022). Although banana production has increased over the past ten years, the supply of bananas only partially meets local demand, leading to imports estimated at over 5,410 tons, valued at approximately 93.8 million CFA francs per year (FAO, 2021). Indeed, the development of the banana sector is limited by numerous parasitic threats, the most significant of which are caused by fungi [</w:t>
      </w:r>
      <w:proofErr w:type="spellStart"/>
      <w:r w:rsidRPr="00866946">
        <w:rPr>
          <w:rFonts w:ascii="Arial" w:hAnsi="Arial" w:cs="Arial"/>
          <w:i/>
          <w:iCs/>
        </w:rPr>
        <w:t>Mycosphaerella</w:t>
      </w:r>
      <w:proofErr w:type="spellEnd"/>
      <w:r w:rsidRPr="00866946">
        <w:rPr>
          <w:rFonts w:ascii="Arial" w:hAnsi="Arial" w:cs="Arial"/>
          <w:i/>
          <w:iCs/>
        </w:rPr>
        <w:t xml:space="preserve"> </w:t>
      </w:r>
      <w:proofErr w:type="spellStart"/>
      <w:r w:rsidRPr="00866946">
        <w:rPr>
          <w:rFonts w:ascii="Arial" w:hAnsi="Arial" w:cs="Arial"/>
          <w:i/>
          <w:iCs/>
        </w:rPr>
        <w:t>fijiensis</w:t>
      </w:r>
      <w:proofErr w:type="spellEnd"/>
      <w:r w:rsidRPr="00866946">
        <w:rPr>
          <w:rFonts w:ascii="Arial" w:hAnsi="Arial" w:cs="Arial"/>
        </w:rPr>
        <w:t xml:space="preserve"> (</w:t>
      </w:r>
      <w:proofErr w:type="spellStart"/>
      <w:r w:rsidRPr="00866946">
        <w:rPr>
          <w:rFonts w:ascii="Arial" w:hAnsi="Arial" w:cs="Arial"/>
        </w:rPr>
        <w:t>Morelet</w:t>
      </w:r>
      <w:proofErr w:type="spellEnd"/>
      <w:r w:rsidRPr="00866946">
        <w:rPr>
          <w:rFonts w:ascii="Arial" w:hAnsi="Arial" w:cs="Arial"/>
        </w:rPr>
        <w:t xml:space="preserve">, 1969), </w:t>
      </w:r>
      <w:r w:rsidRPr="00866946">
        <w:rPr>
          <w:rFonts w:ascii="Arial" w:hAnsi="Arial" w:cs="Arial"/>
          <w:i/>
          <w:iCs/>
        </w:rPr>
        <w:t xml:space="preserve">M. </w:t>
      </w:r>
      <w:proofErr w:type="spellStart"/>
      <w:r w:rsidRPr="00866946">
        <w:rPr>
          <w:rFonts w:ascii="Arial" w:hAnsi="Arial" w:cs="Arial"/>
          <w:i/>
          <w:iCs/>
        </w:rPr>
        <w:t>musicola</w:t>
      </w:r>
      <w:proofErr w:type="spellEnd"/>
      <w:r w:rsidRPr="00866946">
        <w:rPr>
          <w:rFonts w:ascii="Arial" w:hAnsi="Arial" w:cs="Arial"/>
        </w:rPr>
        <w:t xml:space="preserve"> (Leach and Mulder), </w:t>
      </w:r>
      <w:r w:rsidRPr="00866946">
        <w:rPr>
          <w:rFonts w:ascii="Arial" w:hAnsi="Arial" w:cs="Arial"/>
          <w:i/>
          <w:iCs/>
        </w:rPr>
        <w:t xml:space="preserve">M. </w:t>
      </w:r>
      <w:proofErr w:type="spellStart"/>
      <w:r w:rsidRPr="00866946">
        <w:rPr>
          <w:rFonts w:ascii="Arial" w:hAnsi="Arial" w:cs="Arial"/>
          <w:i/>
          <w:iCs/>
        </w:rPr>
        <w:t>musae</w:t>
      </w:r>
      <w:proofErr w:type="spellEnd"/>
      <w:r w:rsidRPr="00866946">
        <w:rPr>
          <w:rFonts w:ascii="Arial" w:hAnsi="Arial" w:cs="Arial"/>
        </w:rPr>
        <w:t xml:space="preserve"> (</w:t>
      </w:r>
      <w:proofErr w:type="spellStart"/>
      <w:r w:rsidRPr="00866946">
        <w:rPr>
          <w:rFonts w:ascii="Arial" w:hAnsi="Arial" w:cs="Arial"/>
        </w:rPr>
        <w:t>Spegazzini</w:t>
      </w:r>
      <w:proofErr w:type="spellEnd"/>
      <w:r w:rsidRPr="00866946">
        <w:rPr>
          <w:rFonts w:ascii="Arial" w:hAnsi="Arial" w:cs="Arial"/>
        </w:rPr>
        <w:t xml:space="preserve">), </w:t>
      </w:r>
      <w:r w:rsidRPr="00866946">
        <w:rPr>
          <w:rFonts w:ascii="Arial" w:hAnsi="Arial" w:cs="Arial"/>
          <w:i/>
          <w:iCs/>
        </w:rPr>
        <w:t xml:space="preserve">M. </w:t>
      </w:r>
      <w:proofErr w:type="spellStart"/>
      <w:r w:rsidRPr="00866946">
        <w:rPr>
          <w:rFonts w:ascii="Arial" w:hAnsi="Arial" w:cs="Arial"/>
          <w:i/>
          <w:iCs/>
        </w:rPr>
        <w:t>eumusae</w:t>
      </w:r>
      <w:proofErr w:type="spellEnd"/>
      <w:r w:rsidRPr="00866946">
        <w:rPr>
          <w:rFonts w:ascii="Arial" w:hAnsi="Arial" w:cs="Arial"/>
        </w:rPr>
        <w:t xml:space="preserve"> (</w:t>
      </w:r>
      <w:proofErr w:type="spellStart"/>
      <w:r w:rsidRPr="00866946">
        <w:rPr>
          <w:rFonts w:ascii="Arial" w:hAnsi="Arial" w:cs="Arial"/>
        </w:rPr>
        <w:t>Zandjanakou</w:t>
      </w:r>
      <w:proofErr w:type="spellEnd"/>
      <w:r w:rsidRPr="00866946">
        <w:rPr>
          <w:rFonts w:ascii="Arial" w:hAnsi="Arial" w:cs="Arial"/>
        </w:rPr>
        <w:t xml:space="preserve"> et al. 2013)] and </w:t>
      </w:r>
      <w:r w:rsidRPr="00866946">
        <w:rPr>
          <w:rFonts w:ascii="Arial" w:hAnsi="Arial" w:cs="Arial"/>
          <w:i/>
          <w:iCs/>
        </w:rPr>
        <w:t xml:space="preserve">Fusarium </w:t>
      </w:r>
      <w:proofErr w:type="spellStart"/>
      <w:r w:rsidRPr="00866946">
        <w:rPr>
          <w:rFonts w:ascii="Arial" w:hAnsi="Arial" w:cs="Arial"/>
          <w:i/>
          <w:iCs/>
        </w:rPr>
        <w:t>oxysporum</w:t>
      </w:r>
      <w:proofErr w:type="spellEnd"/>
      <w:r w:rsidRPr="00866946">
        <w:rPr>
          <w:rFonts w:ascii="Arial" w:hAnsi="Arial" w:cs="Arial"/>
        </w:rPr>
        <w:t xml:space="preserve"> f. sp. </w:t>
      </w:r>
      <w:proofErr w:type="spellStart"/>
      <w:r w:rsidRPr="00866946">
        <w:rPr>
          <w:rFonts w:ascii="Arial" w:hAnsi="Arial" w:cs="Arial"/>
          <w:i/>
          <w:iCs/>
        </w:rPr>
        <w:t>cubense</w:t>
      </w:r>
      <w:proofErr w:type="spellEnd"/>
      <w:r w:rsidRPr="00866946">
        <w:rPr>
          <w:rFonts w:ascii="Arial" w:hAnsi="Arial" w:cs="Arial"/>
        </w:rPr>
        <w:t>, nematodes (</w:t>
      </w:r>
      <w:proofErr w:type="spellStart"/>
      <w:r w:rsidRPr="00866946">
        <w:rPr>
          <w:rFonts w:ascii="Arial" w:hAnsi="Arial" w:cs="Arial"/>
          <w:i/>
          <w:iCs/>
        </w:rPr>
        <w:t>Radopholus</w:t>
      </w:r>
      <w:proofErr w:type="spellEnd"/>
      <w:r w:rsidRPr="00866946">
        <w:rPr>
          <w:rFonts w:ascii="Arial" w:hAnsi="Arial" w:cs="Arial"/>
          <w:i/>
          <w:iCs/>
        </w:rPr>
        <w:t xml:space="preserve"> </w:t>
      </w:r>
      <w:proofErr w:type="spellStart"/>
      <w:r w:rsidRPr="00866946">
        <w:rPr>
          <w:rFonts w:ascii="Arial" w:hAnsi="Arial" w:cs="Arial"/>
          <w:i/>
          <w:iCs/>
        </w:rPr>
        <w:t>similis</w:t>
      </w:r>
      <w:proofErr w:type="spellEnd"/>
      <w:r w:rsidRPr="00866946">
        <w:rPr>
          <w:rFonts w:ascii="Arial" w:hAnsi="Arial" w:cs="Arial"/>
        </w:rPr>
        <w:t xml:space="preserve">, </w:t>
      </w:r>
      <w:proofErr w:type="spellStart"/>
      <w:r w:rsidRPr="00866946">
        <w:rPr>
          <w:rFonts w:ascii="Arial" w:hAnsi="Arial" w:cs="Arial"/>
          <w:i/>
          <w:iCs/>
        </w:rPr>
        <w:t>Helicotylenchus</w:t>
      </w:r>
      <w:proofErr w:type="spellEnd"/>
      <w:r w:rsidRPr="00866946">
        <w:rPr>
          <w:rFonts w:ascii="Arial" w:hAnsi="Arial" w:cs="Arial"/>
          <w:i/>
          <w:iCs/>
        </w:rPr>
        <w:t xml:space="preserve"> </w:t>
      </w:r>
      <w:proofErr w:type="spellStart"/>
      <w:r w:rsidRPr="00866946">
        <w:rPr>
          <w:rFonts w:ascii="Arial" w:hAnsi="Arial" w:cs="Arial"/>
          <w:i/>
          <w:iCs/>
        </w:rPr>
        <w:t>multicinctus</w:t>
      </w:r>
      <w:proofErr w:type="spellEnd"/>
      <w:r w:rsidRPr="00866946">
        <w:rPr>
          <w:rFonts w:ascii="Arial" w:hAnsi="Arial" w:cs="Arial"/>
        </w:rPr>
        <w:t xml:space="preserve">, </w:t>
      </w:r>
      <w:proofErr w:type="spellStart"/>
      <w:r w:rsidRPr="00866946">
        <w:rPr>
          <w:rFonts w:ascii="Arial" w:hAnsi="Arial" w:cs="Arial"/>
          <w:i/>
          <w:iCs/>
        </w:rPr>
        <w:t>Pratylenchus</w:t>
      </w:r>
      <w:proofErr w:type="spellEnd"/>
      <w:r w:rsidRPr="00866946">
        <w:rPr>
          <w:rFonts w:ascii="Arial" w:hAnsi="Arial" w:cs="Arial"/>
        </w:rPr>
        <w:t xml:space="preserve"> spp., and </w:t>
      </w:r>
      <w:r w:rsidRPr="00866946">
        <w:rPr>
          <w:rFonts w:ascii="Arial" w:hAnsi="Arial" w:cs="Arial"/>
          <w:i/>
          <w:iCs/>
        </w:rPr>
        <w:t>Meloidogyne</w:t>
      </w:r>
      <w:r w:rsidRPr="00866946">
        <w:rPr>
          <w:rFonts w:ascii="Arial" w:hAnsi="Arial" w:cs="Arial"/>
        </w:rPr>
        <w:t xml:space="preserve"> spp.), viruses (bunchy top), bacteria (</w:t>
      </w:r>
      <w:proofErr w:type="spellStart"/>
      <w:r w:rsidRPr="00866946">
        <w:rPr>
          <w:rFonts w:ascii="Arial" w:hAnsi="Arial" w:cs="Arial"/>
          <w:i/>
          <w:iCs/>
        </w:rPr>
        <w:t>Ralstonia</w:t>
      </w:r>
      <w:proofErr w:type="spellEnd"/>
      <w:r w:rsidRPr="00866946">
        <w:rPr>
          <w:rFonts w:ascii="Arial" w:hAnsi="Arial" w:cs="Arial"/>
          <w:i/>
          <w:iCs/>
        </w:rPr>
        <w:t xml:space="preserve"> solanacearum</w:t>
      </w:r>
      <w:r w:rsidRPr="00866946">
        <w:rPr>
          <w:rFonts w:ascii="Arial" w:hAnsi="Arial" w:cs="Arial"/>
        </w:rPr>
        <w:t xml:space="preserve">, </w:t>
      </w:r>
      <w:r w:rsidRPr="00866946">
        <w:rPr>
          <w:rFonts w:ascii="Arial" w:hAnsi="Arial" w:cs="Arial"/>
          <w:i/>
          <w:iCs/>
        </w:rPr>
        <w:t>Xanthomonas campestris</w:t>
      </w:r>
      <w:r w:rsidRPr="00866946">
        <w:rPr>
          <w:rFonts w:ascii="Arial" w:hAnsi="Arial" w:cs="Arial"/>
        </w:rPr>
        <w:t xml:space="preserve"> </w:t>
      </w:r>
      <w:proofErr w:type="spellStart"/>
      <w:r w:rsidRPr="00866946">
        <w:rPr>
          <w:rFonts w:ascii="Arial" w:hAnsi="Arial" w:cs="Arial"/>
        </w:rPr>
        <w:t>pv</w:t>
      </w:r>
      <w:proofErr w:type="spellEnd"/>
      <w:r w:rsidRPr="00866946">
        <w:rPr>
          <w:rFonts w:ascii="Arial" w:hAnsi="Arial" w:cs="Arial"/>
        </w:rPr>
        <w:t xml:space="preserve">. </w:t>
      </w:r>
      <w:proofErr w:type="spellStart"/>
      <w:r w:rsidRPr="00866946">
        <w:rPr>
          <w:rFonts w:ascii="Arial" w:hAnsi="Arial" w:cs="Arial"/>
          <w:i/>
          <w:iCs/>
        </w:rPr>
        <w:t>musacearum</w:t>
      </w:r>
      <w:proofErr w:type="spellEnd"/>
      <w:r w:rsidRPr="00866946">
        <w:rPr>
          <w:rFonts w:ascii="Arial" w:hAnsi="Arial" w:cs="Arial"/>
        </w:rPr>
        <w:t>), or insects (the banana weevil Cosmopolites sordidus) (</w:t>
      </w:r>
      <w:proofErr w:type="spellStart"/>
      <w:r w:rsidRPr="00866946">
        <w:rPr>
          <w:rFonts w:ascii="Arial" w:hAnsi="Arial" w:cs="Arial"/>
        </w:rPr>
        <w:t>Mourichon</w:t>
      </w:r>
      <w:proofErr w:type="spellEnd"/>
      <w:r w:rsidRPr="00866946">
        <w:rPr>
          <w:rFonts w:ascii="Arial" w:hAnsi="Arial" w:cs="Arial"/>
        </w:rPr>
        <w:t xml:space="preserve">, 2003). Black Sigatoka, or black leaf streak disease (BLSD), caused by the fungus </w:t>
      </w:r>
      <w:proofErr w:type="spellStart"/>
      <w:r w:rsidRPr="00866946">
        <w:rPr>
          <w:rFonts w:ascii="Arial" w:hAnsi="Arial" w:cs="Arial"/>
          <w:i/>
          <w:iCs/>
        </w:rPr>
        <w:t>Mycosphaerella</w:t>
      </w:r>
      <w:proofErr w:type="spellEnd"/>
      <w:r w:rsidRPr="00866946">
        <w:rPr>
          <w:rFonts w:ascii="Arial" w:hAnsi="Arial" w:cs="Arial"/>
          <w:i/>
          <w:iCs/>
        </w:rPr>
        <w:t xml:space="preserve"> </w:t>
      </w:r>
      <w:proofErr w:type="spellStart"/>
      <w:r w:rsidRPr="00866946">
        <w:rPr>
          <w:rFonts w:ascii="Arial" w:hAnsi="Arial" w:cs="Arial"/>
          <w:i/>
          <w:iCs/>
        </w:rPr>
        <w:t>fijiensis</w:t>
      </w:r>
      <w:proofErr w:type="spellEnd"/>
      <w:r w:rsidRPr="00866946">
        <w:rPr>
          <w:rFonts w:ascii="Arial" w:hAnsi="Arial" w:cs="Arial"/>
        </w:rPr>
        <w:t xml:space="preserve"> </w:t>
      </w:r>
      <w:proofErr w:type="spellStart"/>
      <w:r w:rsidRPr="00866946">
        <w:rPr>
          <w:rFonts w:ascii="Arial" w:hAnsi="Arial" w:cs="Arial"/>
        </w:rPr>
        <w:t>Morelet</w:t>
      </w:r>
      <w:proofErr w:type="spellEnd"/>
      <w:r w:rsidRPr="00866946">
        <w:rPr>
          <w:rFonts w:ascii="Arial" w:hAnsi="Arial" w:cs="Arial"/>
        </w:rPr>
        <w:t xml:space="preserve">, is the main foliar disease of bananas due to its virulence and its impact on a large number of cultivars </w:t>
      </w:r>
      <w:r w:rsidRPr="00866946">
        <w:rPr>
          <w:rFonts w:ascii="Arial" w:hAnsi="Arial" w:cs="Arial"/>
        </w:rPr>
        <w:lastRenderedPageBreak/>
        <w:t>(Carlier et al. 2003). In the absence of control, direct yield losses are estimated at 50% (Tuo et al. 2021) and can reach 100% starting from the second crop cycle (</w:t>
      </w:r>
      <w:proofErr w:type="spellStart"/>
      <w:r w:rsidRPr="00866946">
        <w:rPr>
          <w:rFonts w:ascii="Arial" w:hAnsi="Arial" w:cs="Arial"/>
        </w:rPr>
        <w:t>Chillet</w:t>
      </w:r>
      <w:proofErr w:type="spellEnd"/>
      <w:r w:rsidRPr="00866946">
        <w:rPr>
          <w:rFonts w:ascii="Arial" w:hAnsi="Arial" w:cs="Arial"/>
        </w:rPr>
        <w:t xml:space="preserve"> et al. 2009). </w:t>
      </w:r>
    </w:p>
    <w:p w14:paraId="6A40A000" w14:textId="7A24503A" w:rsidR="00866946" w:rsidRDefault="00866946" w:rsidP="008E6208">
      <w:pPr>
        <w:spacing w:line="276" w:lineRule="auto"/>
        <w:jc w:val="both"/>
        <w:rPr>
          <w:rFonts w:ascii="Arial" w:hAnsi="Arial" w:cs="Arial"/>
          <w:lang w:eastAsia="fr-FR"/>
        </w:rPr>
      </w:pPr>
      <w:r w:rsidRPr="00866946">
        <w:rPr>
          <w:rFonts w:ascii="Arial" w:hAnsi="Arial" w:cs="Arial"/>
        </w:rPr>
        <w:t xml:space="preserve">Despite these phytosanitary treatments, production losses caused by this pathogen remain. Sustainable banana production depends on the choice of effective active ingredients and adherence to recommended doses. Contact or systemic fungicides significantly reduce disease attacks and improve yield (Camara et al. 2010). Additionally, the use of biological products, such as essential oils, presents a promising alternative against phytopathogenic fungi. Therefore, it is necessary to continuously and carefully test different synthetic fungicides (mancozeb, copper hydroxide) as well as essential oils from </w:t>
      </w:r>
      <w:proofErr w:type="spellStart"/>
      <w:r w:rsidRPr="00866946">
        <w:rPr>
          <w:rFonts w:ascii="Arial" w:hAnsi="Arial" w:cs="Arial"/>
          <w:i/>
          <w:iCs/>
        </w:rPr>
        <w:t>Ocimum</w:t>
      </w:r>
      <w:proofErr w:type="spellEnd"/>
      <w:r w:rsidRPr="00866946">
        <w:rPr>
          <w:rFonts w:ascii="Arial" w:hAnsi="Arial" w:cs="Arial"/>
          <w:i/>
          <w:iCs/>
        </w:rPr>
        <w:t xml:space="preserve"> </w:t>
      </w:r>
      <w:proofErr w:type="spellStart"/>
      <w:r w:rsidRPr="00866946">
        <w:rPr>
          <w:rFonts w:ascii="Arial" w:hAnsi="Arial" w:cs="Arial"/>
          <w:i/>
          <w:iCs/>
        </w:rPr>
        <w:t>gratissimum</w:t>
      </w:r>
      <w:proofErr w:type="spellEnd"/>
      <w:r w:rsidRPr="00866946">
        <w:rPr>
          <w:rFonts w:ascii="Arial" w:hAnsi="Arial" w:cs="Arial"/>
        </w:rPr>
        <w:t xml:space="preserve"> and </w:t>
      </w:r>
      <w:proofErr w:type="spellStart"/>
      <w:r w:rsidRPr="00866946">
        <w:rPr>
          <w:rFonts w:ascii="Arial" w:hAnsi="Arial" w:cs="Arial"/>
          <w:i/>
          <w:iCs/>
        </w:rPr>
        <w:t>Lippia</w:t>
      </w:r>
      <w:proofErr w:type="spellEnd"/>
      <w:r w:rsidRPr="00866946">
        <w:rPr>
          <w:rFonts w:ascii="Arial" w:hAnsi="Arial" w:cs="Arial"/>
          <w:i/>
          <w:iCs/>
        </w:rPr>
        <w:t xml:space="preserve"> multiflora</w:t>
      </w:r>
      <w:r w:rsidRPr="00866946">
        <w:rPr>
          <w:rFonts w:ascii="Arial" w:hAnsi="Arial" w:cs="Arial"/>
        </w:rPr>
        <w:t xml:space="preserve">. This justifies the theme: “In vitro efficacy of two synthetic fungicides and two essential oils against </w:t>
      </w:r>
      <w:proofErr w:type="spellStart"/>
      <w:r w:rsidRPr="00866946">
        <w:rPr>
          <w:rFonts w:ascii="Arial" w:hAnsi="Arial" w:cs="Arial"/>
          <w:i/>
          <w:iCs/>
        </w:rPr>
        <w:t>Mycosphaerella</w:t>
      </w:r>
      <w:proofErr w:type="spellEnd"/>
      <w:r w:rsidRPr="00866946">
        <w:rPr>
          <w:rFonts w:ascii="Arial" w:hAnsi="Arial" w:cs="Arial"/>
          <w:i/>
          <w:iCs/>
        </w:rPr>
        <w:t xml:space="preserve"> </w:t>
      </w:r>
      <w:proofErr w:type="spellStart"/>
      <w:r w:rsidRPr="00866946">
        <w:rPr>
          <w:rFonts w:ascii="Arial" w:hAnsi="Arial" w:cs="Arial"/>
          <w:i/>
          <w:iCs/>
        </w:rPr>
        <w:t>fijiensis</w:t>
      </w:r>
      <w:proofErr w:type="spellEnd"/>
      <w:r w:rsidRPr="00866946">
        <w:rPr>
          <w:rFonts w:ascii="Arial" w:hAnsi="Arial" w:cs="Arial"/>
        </w:rPr>
        <w:t>, the agent of black Sigatoka in banana (</w:t>
      </w:r>
      <w:r w:rsidRPr="00866946">
        <w:rPr>
          <w:rFonts w:ascii="Arial" w:hAnsi="Arial" w:cs="Arial"/>
          <w:i/>
          <w:iCs/>
        </w:rPr>
        <w:t>Musa</w:t>
      </w:r>
      <w:r w:rsidRPr="00866946">
        <w:rPr>
          <w:rFonts w:ascii="Arial" w:hAnsi="Arial" w:cs="Arial"/>
        </w:rPr>
        <w:t xml:space="preserve"> spp.).” The specific objective is to evaluate, in vitro, the antifungal activity of these essential oils and fungicides on the growth of mycelium, sporulation, and germination of </w:t>
      </w:r>
      <w:r w:rsidRPr="00866946">
        <w:rPr>
          <w:rFonts w:ascii="Arial" w:hAnsi="Arial" w:cs="Arial"/>
          <w:i/>
          <w:iCs/>
        </w:rPr>
        <w:t xml:space="preserve">M. </w:t>
      </w:r>
      <w:proofErr w:type="spellStart"/>
      <w:r w:rsidRPr="00866946">
        <w:rPr>
          <w:rFonts w:ascii="Arial" w:hAnsi="Arial" w:cs="Arial"/>
          <w:i/>
          <w:iCs/>
        </w:rPr>
        <w:t>fijiensis</w:t>
      </w:r>
      <w:proofErr w:type="spellEnd"/>
      <w:r w:rsidRPr="00866946">
        <w:rPr>
          <w:rFonts w:ascii="Arial" w:hAnsi="Arial" w:cs="Arial"/>
        </w:rPr>
        <w:t>. The hypothesis formulated is that there is a difference in effectiveness among the tested products in vitro.</w:t>
      </w:r>
    </w:p>
    <w:p w14:paraId="641FD287" w14:textId="77777777" w:rsidR="00790ADA" w:rsidRPr="00FB3A86" w:rsidRDefault="00790ADA" w:rsidP="00441B6F">
      <w:pPr>
        <w:pStyle w:val="Body"/>
        <w:spacing w:after="0"/>
        <w:rPr>
          <w:rFonts w:ascii="Arial" w:hAnsi="Arial" w:cs="Arial"/>
        </w:rPr>
      </w:pPr>
    </w:p>
    <w:p w14:paraId="33DC80E7" w14:textId="32E4206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D49DB10" w14:textId="77777777" w:rsidR="00790ADA" w:rsidRPr="00FB3A86" w:rsidRDefault="00790ADA" w:rsidP="00441B6F">
      <w:pPr>
        <w:pStyle w:val="AbstHead"/>
        <w:spacing w:after="0"/>
        <w:jc w:val="both"/>
        <w:rPr>
          <w:rFonts w:ascii="Arial" w:hAnsi="Arial" w:cs="Arial"/>
        </w:rPr>
      </w:pPr>
    </w:p>
    <w:p w14:paraId="102FB16C" w14:textId="75D3C2EC" w:rsidR="00080D8F" w:rsidRPr="00080D8F" w:rsidRDefault="00080D8F" w:rsidP="00080D8F">
      <w:pPr>
        <w:pStyle w:val="Body"/>
        <w:rPr>
          <w:rFonts w:ascii="Arial" w:hAnsi="Arial" w:cs="Arial"/>
          <w:b/>
          <w:bCs/>
          <w:sz w:val="22"/>
          <w:szCs w:val="22"/>
        </w:rPr>
      </w:pPr>
      <w:r w:rsidRPr="00080D8F">
        <w:rPr>
          <w:rFonts w:ascii="Arial" w:hAnsi="Arial" w:cs="Arial"/>
          <w:b/>
          <w:bCs/>
          <w:sz w:val="22"/>
          <w:szCs w:val="22"/>
        </w:rPr>
        <w:t>2.1. Isolation and inoculation in a poisoned environment</w:t>
      </w:r>
    </w:p>
    <w:p w14:paraId="4BDF027B" w14:textId="71E3864E" w:rsidR="00080D8F" w:rsidRPr="00595B34" w:rsidRDefault="00080D8F" w:rsidP="00080D8F">
      <w:pPr>
        <w:pStyle w:val="Body"/>
        <w:rPr>
          <w:rFonts w:ascii="Arial" w:hAnsi="Arial" w:cs="Arial"/>
        </w:rPr>
      </w:pPr>
      <w:r w:rsidRPr="00080D8F">
        <w:rPr>
          <w:rFonts w:ascii="Arial" w:hAnsi="Arial" w:cs="Arial"/>
        </w:rPr>
        <w:t xml:space="preserve">The culture medium based on rice flour and Potato Dextrose Agar (PDA), according to Kassankogno et al. (2016), was used to promote good development of the fungus. The BF5Mf isolates of </w:t>
      </w:r>
      <w:proofErr w:type="spellStart"/>
      <w:r w:rsidRPr="00080D8F">
        <w:rPr>
          <w:rFonts w:ascii="Arial" w:hAnsi="Arial" w:cs="Arial"/>
        </w:rPr>
        <w:t>Mycosphaerella</w:t>
      </w:r>
      <w:proofErr w:type="spellEnd"/>
      <w:r w:rsidRPr="00080D8F">
        <w:rPr>
          <w:rFonts w:ascii="Arial" w:hAnsi="Arial" w:cs="Arial"/>
        </w:rPr>
        <w:t xml:space="preserve"> </w:t>
      </w:r>
      <w:proofErr w:type="spellStart"/>
      <w:r w:rsidRPr="00080D8F">
        <w:rPr>
          <w:rFonts w:ascii="Arial" w:hAnsi="Arial" w:cs="Arial"/>
        </w:rPr>
        <w:t>fijiensis</w:t>
      </w:r>
      <w:proofErr w:type="spellEnd"/>
      <w:r w:rsidRPr="00080D8F">
        <w:rPr>
          <w:rFonts w:ascii="Arial" w:hAnsi="Arial" w:cs="Arial"/>
        </w:rPr>
        <w:t xml:space="preserve">, obtained from the phytopathology laboratory at the </w:t>
      </w:r>
      <w:proofErr w:type="spellStart"/>
      <w:r w:rsidRPr="00080D8F">
        <w:rPr>
          <w:rFonts w:ascii="Arial" w:hAnsi="Arial" w:cs="Arial"/>
        </w:rPr>
        <w:t>Farako-Bâ</w:t>
      </w:r>
      <w:proofErr w:type="spellEnd"/>
      <w:r w:rsidRPr="00080D8F">
        <w:rPr>
          <w:rFonts w:ascii="Arial" w:hAnsi="Arial" w:cs="Arial"/>
        </w:rPr>
        <w:t xml:space="preserve"> research station of the </w:t>
      </w:r>
      <w:proofErr w:type="spellStart"/>
      <w:r w:rsidRPr="00080D8F">
        <w:rPr>
          <w:rFonts w:ascii="Arial" w:hAnsi="Arial" w:cs="Arial"/>
        </w:rPr>
        <w:t>Institut</w:t>
      </w:r>
      <w:proofErr w:type="spellEnd"/>
      <w:r w:rsidRPr="00080D8F">
        <w:rPr>
          <w:rFonts w:ascii="Arial" w:hAnsi="Arial" w:cs="Arial"/>
        </w:rPr>
        <w:t xml:space="preserve"> de </w:t>
      </w:r>
      <w:proofErr w:type="spellStart"/>
      <w:r w:rsidRPr="00080D8F">
        <w:rPr>
          <w:rFonts w:ascii="Arial" w:hAnsi="Arial" w:cs="Arial"/>
        </w:rPr>
        <w:t>l’Environnement</w:t>
      </w:r>
      <w:proofErr w:type="spellEnd"/>
      <w:r w:rsidRPr="00080D8F">
        <w:rPr>
          <w:rFonts w:ascii="Arial" w:hAnsi="Arial" w:cs="Arial"/>
        </w:rPr>
        <w:t xml:space="preserve"> et de </w:t>
      </w:r>
      <w:proofErr w:type="spellStart"/>
      <w:r w:rsidRPr="00080D8F">
        <w:rPr>
          <w:rFonts w:ascii="Arial" w:hAnsi="Arial" w:cs="Arial"/>
        </w:rPr>
        <w:t>Recherches</w:t>
      </w:r>
      <w:proofErr w:type="spellEnd"/>
      <w:r w:rsidRPr="00080D8F">
        <w:rPr>
          <w:rFonts w:ascii="Arial" w:hAnsi="Arial" w:cs="Arial"/>
        </w:rPr>
        <w:t xml:space="preserve"> </w:t>
      </w:r>
      <w:proofErr w:type="spellStart"/>
      <w:r w:rsidRPr="00080D8F">
        <w:rPr>
          <w:rFonts w:ascii="Arial" w:hAnsi="Arial" w:cs="Arial"/>
        </w:rPr>
        <w:t>Agricoles</w:t>
      </w:r>
      <w:proofErr w:type="spellEnd"/>
      <w:r w:rsidRPr="00080D8F">
        <w:rPr>
          <w:rFonts w:ascii="Arial" w:hAnsi="Arial" w:cs="Arial"/>
        </w:rPr>
        <w:t xml:space="preserve"> (INERA), were used. Two fungicides based on copper hydroxide (65.5% copper hydroxide, WP) and mancozeb (800 g/kg of mancozeb, WP) were employed. The essential oils (EO) used in the study were extracted from the plant species </w:t>
      </w:r>
      <w:proofErr w:type="spellStart"/>
      <w:r w:rsidRPr="00080D8F">
        <w:rPr>
          <w:rFonts w:ascii="Arial" w:hAnsi="Arial" w:cs="Arial"/>
        </w:rPr>
        <w:t>Ocimum</w:t>
      </w:r>
      <w:proofErr w:type="spellEnd"/>
      <w:r w:rsidRPr="00080D8F">
        <w:rPr>
          <w:rFonts w:ascii="Arial" w:hAnsi="Arial" w:cs="Arial"/>
        </w:rPr>
        <w:t xml:space="preserve"> </w:t>
      </w:r>
      <w:proofErr w:type="spellStart"/>
      <w:r w:rsidRPr="00080D8F">
        <w:rPr>
          <w:rFonts w:ascii="Arial" w:hAnsi="Arial" w:cs="Arial"/>
        </w:rPr>
        <w:t>gratissimum</w:t>
      </w:r>
      <w:proofErr w:type="spellEnd"/>
      <w:r w:rsidRPr="00080D8F">
        <w:rPr>
          <w:rFonts w:ascii="Arial" w:hAnsi="Arial" w:cs="Arial"/>
        </w:rPr>
        <w:t xml:space="preserve"> (thymol: 29.5%; γ-</w:t>
      </w:r>
      <w:proofErr w:type="spellStart"/>
      <w:r w:rsidRPr="00080D8F">
        <w:rPr>
          <w:rFonts w:ascii="Arial" w:hAnsi="Arial" w:cs="Arial"/>
        </w:rPr>
        <w:t>terpinene</w:t>
      </w:r>
      <w:proofErr w:type="spellEnd"/>
      <w:r w:rsidRPr="00080D8F">
        <w:rPr>
          <w:rFonts w:ascii="Arial" w:hAnsi="Arial" w:cs="Arial"/>
        </w:rPr>
        <w:t xml:space="preserve">: 20.5%; p-cymene: 12.9%) and </w:t>
      </w:r>
      <w:proofErr w:type="spellStart"/>
      <w:r w:rsidRPr="00080D8F">
        <w:rPr>
          <w:rFonts w:ascii="Arial" w:hAnsi="Arial" w:cs="Arial"/>
        </w:rPr>
        <w:t>Lippia</w:t>
      </w:r>
      <w:proofErr w:type="spellEnd"/>
      <w:r w:rsidRPr="00080D8F">
        <w:rPr>
          <w:rFonts w:ascii="Arial" w:hAnsi="Arial" w:cs="Arial"/>
        </w:rPr>
        <w:t xml:space="preserve"> multiflora (30.8% thymol, 20.8% acetate, and 3.1% γ-terpinene), by the Natural Substances Laboratory of the Institute of Research in Applied Sciences and Technologies (IRSAT). </w:t>
      </w:r>
    </w:p>
    <w:p w14:paraId="456F085E" w14:textId="35CF3035" w:rsidR="00080D8F" w:rsidRPr="008E6208" w:rsidRDefault="00595B34" w:rsidP="00080D8F">
      <w:pPr>
        <w:pStyle w:val="Body"/>
        <w:rPr>
          <w:rFonts w:ascii="Arial" w:hAnsi="Arial" w:cs="Arial"/>
          <w:b/>
          <w:bCs/>
          <w:sz w:val="22"/>
          <w:szCs w:val="22"/>
        </w:rPr>
      </w:pPr>
      <w:r w:rsidRPr="008E6208">
        <w:rPr>
          <w:rFonts w:ascii="Arial" w:hAnsi="Arial" w:cs="Arial"/>
          <w:b/>
          <w:bCs/>
          <w:sz w:val="22"/>
          <w:szCs w:val="22"/>
        </w:rPr>
        <w:t xml:space="preserve">2.2. </w:t>
      </w:r>
      <w:r w:rsidR="00080D8F" w:rsidRPr="008E6208">
        <w:rPr>
          <w:rFonts w:ascii="Arial" w:hAnsi="Arial" w:cs="Arial"/>
          <w:b/>
          <w:bCs/>
          <w:sz w:val="22"/>
          <w:szCs w:val="22"/>
        </w:rPr>
        <w:t xml:space="preserve">Isolation and characterization of </w:t>
      </w:r>
      <w:proofErr w:type="spellStart"/>
      <w:r w:rsidR="00080D8F" w:rsidRPr="008E6208">
        <w:rPr>
          <w:rFonts w:ascii="Arial" w:hAnsi="Arial" w:cs="Arial"/>
          <w:b/>
          <w:bCs/>
          <w:sz w:val="22"/>
          <w:szCs w:val="22"/>
        </w:rPr>
        <w:t>Mycosphaerella</w:t>
      </w:r>
      <w:proofErr w:type="spellEnd"/>
      <w:r w:rsidR="00080D8F" w:rsidRPr="008E6208">
        <w:rPr>
          <w:rFonts w:ascii="Arial" w:hAnsi="Arial" w:cs="Arial"/>
          <w:b/>
          <w:bCs/>
          <w:sz w:val="22"/>
          <w:szCs w:val="22"/>
        </w:rPr>
        <w:t xml:space="preserve"> </w:t>
      </w:r>
      <w:proofErr w:type="spellStart"/>
      <w:r w:rsidR="00080D8F" w:rsidRPr="008E6208">
        <w:rPr>
          <w:rFonts w:ascii="Arial" w:hAnsi="Arial" w:cs="Arial"/>
          <w:b/>
          <w:bCs/>
          <w:sz w:val="22"/>
          <w:szCs w:val="22"/>
        </w:rPr>
        <w:t>fijiensis</w:t>
      </w:r>
      <w:proofErr w:type="spellEnd"/>
    </w:p>
    <w:p w14:paraId="6848B98E" w14:textId="7FC12596" w:rsidR="00080D8F" w:rsidRDefault="00080D8F" w:rsidP="00080D8F">
      <w:pPr>
        <w:pStyle w:val="Body"/>
        <w:rPr>
          <w:rFonts w:ascii="Arial" w:hAnsi="Arial" w:cs="Arial"/>
        </w:rPr>
      </w:pPr>
      <w:r w:rsidRPr="00080D8F">
        <w:rPr>
          <w:rFonts w:ascii="Arial" w:hAnsi="Arial" w:cs="Arial"/>
        </w:rPr>
        <w:t xml:space="preserve">In 2021, symptomatic leaf samples were collected from banana plantations in </w:t>
      </w:r>
      <w:proofErr w:type="spellStart"/>
      <w:r w:rsidRPr="00080D8F">
        <w:rPr>
          <w:rFonts w:ascii="Arial" w:hAnsi="Arial" w:cs="Arial"/>
        </w:rPr>
        <w:t>Banakélédaga</w:t>
      </w:r>
      <w:proofErr w:type="spellEnd"/>
      <w:r w:rsidRPr="00080D8F">
        <w:rPr>
          <w:rFonts w:ascii="Arial" w:hAnsi="Arial" w:cs="Arial"/>
        </w:rPr>
        <w:t xml:space="preserve"> (GPS: 11°21’40’’N and 4°22’45’’W) for the isolation of the fungus according to the method described by Koné (1998). A morphological characterization, based on coloration on the upper and lower surfaces, the appearance and color of the mycelium, the number of septa per conidium and conidiophore, the dimensions of conidia and conidiophores, the color and shape of spores, was performed (Fig. 1) and compared with existing data in the identification key of Mathur and Kongsdal (2003), as well as in the bibliographic review.</w:t>
      </w:r>
    </w:p>
    <w:p w14:paraId="1F5941BF" w14:textId="77777777" w:rsidR="002451A8" w:rsidRPr="00BD5A8B" w:rsidRDefault="002451A8" w:rsidP="002451A8">
      <w:pPr>
        <w:spacing w:line="276" w:lineRule="auto"/>
        <w:rPr>
          <w:rFonts w:ascii="Times New Roman" w:hAnsi="Times New Roman"/>
          <w:sz w:val="24"/>
          <w:szCs w:val="24"/>
        </w:rPr>
      </w:pPr>
      <w:r w:rsidRPr="00BD5A8B">
        <w:rPr>
          <w:rFonts w:ascii="Times New Roman" w:hAnsi="Times New Roman"/>
          <w:noProof/>
          <w:sz w:val="24"/>
          <w:szCs w:val="24"/>
          <w:lang w:eastAsia="fr-FR"/>
        </w:rPr>
        <w:drawing>
          <wp:inline distT="0" distB="0" distL="0" distR="0" wp14:anchorId="371C5A95" wp14:editId="393DD388">
            <wp:extent cx="5340350" cy="248740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1650"/>
                    <a:stretch/>
                  </pic:blipFill>
                  <pic:spPr bwMode="auto">
                    <a:xfrm>
                      <a:off x="0" y="0"/>
                      <a:ext cx="5393459" cy="2512145"/>
                    </a:xfrm>
                    <a:prstGeom prst="rect">
                      <a:avLst/>
                    </a:prstGeom>
                    <a:noFill/>
                    <a:ln>
                      <a:noFill/>
                    </a:ln>
                    <a:extLst>
                      <a:ext uri="{53640926-AAD7-44D8-BBD7-CCE9431645EC}">
                        <a14:shadowObscured xmlns:a14="http://schemas.microsoft.com/office/drawing/2010/main"/>
                      </a:ext>
                    </a:extLst>
                  </pic:spPr>
                </pic:pic>
              </a:graphicData>
            </a:graphic>
          </wp:inline>
        </w:drawing>
      </w:r>
    </w:p>
    <w:p w14:paraId="3E3C0F42" w14:textId="77777777" w:rsidR="002451A8" w:rsidRPr="002451A8" w:rsidRDefault="002451A8" w:rsidP="002451A8">
      <w:pPr>
        <w:spacing w:line="276" w:lineRule="auto"/>
        <w:rPr>
          <w:rFonts w:ascii="Arial" w:hAnsi="Arial" w:cs="Arial"/>
        </w:rPr>
      </w:pPr>
      <w:r w:rsidRPr="002451A8">
        <w:rPr>
          <w:rFonts w:ascii="Arial" w:hAnsi="Arial" w:cs="Arial"/>
          <w:b/>
          <w:bCs/>
        </w:rPr>
        <w:t>Fig 1</w:t>
      </w:r>
      <w:r w:rsidRPr="002451A8">
        <w:rPr>
          <w:rFonts w:ascii="Arial" w:hAnsi="Arial" w:cs="Arial"/>
        </w:rPr>
        <w:t xml:space="preserve">. The different steps of isolation and identification of M. </w:t>
      </w:r>
      <w:proofErr w:type="spellStart"/>
      <w:r w:rsidRPr="002451A8">
        <w:rPr>
          <w:rFonts w:ascii="Arial" w:hAnsi="Arial" w:cs="Arial"/>
        </w:rPr>
        <w:t>fijiensis</w:t>
      </w:r>
      <w:proofErr w:type="spellEnd"/>
    </w:p>
    <w:p w14:paraId="21222CC6" w14:textId="77777777" w:rsidR="002451A8" w:rsidRPr="002451A8" w:rsidRDefault="002451A8" w:rsidP="002451A8">
      <w:pPr>
        <w:spacing w:line="276" w:lineRule="auto"/>
        <w:rPr>
          <w:rFonts w:ascii="Arial" w:hAnsi="Arial" w:cs="Arial"/>
        </w:rPr>
      </w:pPr>
      <w:r w:rsidRPr="002451A8">
        <w:rPr>
          <w:rFonts w:ascii="Arial" w:hAnsi="Arial" w:cs="Arial"/>
          <w:b/>
          <w:bCs/>
        </w:rPr>
        <w:lastRenderedPageBreak/>
        <w:t>Legend:</w:t>
      </w:r>
      <w:r w:rsidRPr="002451A8">
        <w:rPr>
          <w:rFonts w:ascii="Arial" w:hAnsi="Arial" w:cs="Arial"/>
        </w:rPr>
        <w:t xml:space="preserve"> (a) Typical symptoms of black leaf spot at stages 2 and 3; (b) Incubation of samples on agar medium (3%); (c) Transfer of conidia onto PDA medium; (d) Grayish mycelium on the upper surface; (e) Observation of microscopic characteristics; (f) Conidia viewed under the microscope (40x) between the slide and cover slip.</w:t>
      </w:r>
    </w:p>
    <w:p w14:paraId="14C6A27F" w14:textId="77777777" w:rsidR="002451A8" w:rsidRPr="00080D8F" w:rsidRDefault="002451A8" w:rsidP="00080D8F">
      <w:pPr>
        <w:pStyle w:val="Body"/>
        <w:rPr>
          <w:rFonts w:ascii="Arial" w:hAnsi="Arial" w:cs="Arial"/>
        </w:rPr>
      </w:pPr>
    </w:p>
    <w:p w14:paraId="49036808" w14:textId="173364B4" w:rsidR="00080D8F" w:rsidRPr="008E6208" w:rsidRDefault="00595B34" w:rsidP="00080D8F">
      <w:pPr>
        <w:pStyle w:val="Body"/>
        <w:rPr>
          <w:rFonts w:ascii="Arial" w:hAnsi="Arial" w:cs="Arial"/>
          <w:b/>
          <w:bCs/>
          <w:sz w:val="22"/>
          <w:szCs w:val="22"/>
        </w:rPr>
      </w:pPr>
      <w:r w:rsidRPr="008E6208">
        <w:rPr>
          <w:rFonts w:ascii="Arial" w:hAnsi="Arial" w:cs="Arial"/>
          <w:b/>
          <w:bCs/>
          <w:sz w:val="22"/>
          <w:szCs w:val="22"/>
        </w:rPr>
        <w:t xml:space="preserve">2.3. </w:t>
      </w:r>
      <w:r w:rsidR="00080D8F" w:rsidRPr="008E6208">
        <w:rPr>
          <w:rFonts w:ascii="Arial" w:hAnsi="Arial" w:cs="Arial"/>
          <w:b/>
          <w:bCs/>
          <w:sz w:val="22"/>
          <w:szCs w:val="22"/>
        </w:rPr>
        <w:t xml:space="preserve">Preparation of poisoned media and inoculation </w:t>
      </w:r>
    </w:p>
    <w:p w14:paraId="43117A7C" w14:textId="0BC108F3" w:rsidR="002451A8" w:rsidRPr="002451A8" w:rsidRDefault="00080D8F" w:rsidP="002451A8">
      <w:pPr>
        <w:pStyle w:val="Body"/>
        <w:rPr>
          <w:rFonts w:ascii="Arial" w:hAnsi="Arial" w:cs="Arial"/>
        </w:rPr>
      </w:pPr>
      <w:r w:rsidRPr="00080D8F">
        <w:rPr>
          <w:rFonts w:ascii="Arial" w:hAnsi="Arial" w:cs="Arial"/>
        </w:rPr>
        <w:t xml:space="preserve">The culture medium based on rice flour (20 g of rice flour, 15 g of agar, 2.5 g of yeast) in 1 liter of distilled water, autoclaved at 121°C for 30 minutes (Kassankogno et al. 2021), was used as a substrate amended with fungicides or essential oils according to the doses </w:t>
      </w:r>
      <w:r w:rsidRPr="002451A8">
        <w:rPr>
          <w:rFonts w:ascii="Arial" w:hAnsi="Arial" w:cs="Arial"/>
          <w:b/>
          <w:bCs/>
        </w:rPr>
        <w:t>(Table. I)</w:t>
      </w:r>
      <w:r w:rsidRPr="00080D8F">
        <w:rPr>
          <w:rFonts w:ascii="Arial" w:hAnsi="Arial" w:cs="Arial"/>
        </w:rPr>
        <w:t xml:space="preserve">. The different media amended with fungicides or essential oils were homogenized and distributed into 9 cm diameter Petri dishes, at a rate of 25 mL per dish, under aseptic conditions, in a laminar flow hood. A three-repetition factorial block device in the laboratory, using Petri dishes, was employed in this study. For each treatment, three (03) Petri dishes were used, and the experiment was repeated three (03) times. A control without fungicide or essential oil was prepared under the same culture conditions. </w:t>
      </w:r>
    </w:p>
    <w:p w14:paraId="1094B127" w14:textId="77777777" w:rsidR="002451A8" w:rsidRPr="002451A8" w:rsidRDefault="002451A8" w:rsidP="002451A8">
      <w:pPr>
        <w:spacing w:line="276" w:lineRule="auto"/>
        <w:rPr>
          <w:rFonts w:ascii="Arial" w:hAnsi="Arial" w:cs="Arial"/>
        </w:rPr>
      </w:pPr>
      <w:r w:rsidRPr="002451A8">
        <w:rPr>
          <w:rFonts w:ascii="Arial" w:hAnsi="Arial" w:cs="Arial"/>
          <w:b/>
          <w:bCs/>
        </w:rPr>
        <w:t>Table I</w:t>
      </w:r>
      <w:r w:rsidRPr="002451A8">
        <w:rPr>
          <w:rFonts w:ascii="Arial" w:hAnsi="Arial" w:cs="Arial"/>
        </w:rPr>
        <w:t>. Characteristics of the treatments used in the study</w:t>
      </w:r>
    </w:p>
    <w:tbl>
      <w:tblPr>
        <w:tblStyle w:val="Tableausimple21"/>
        <w:tblW w:w="8928" w:type="dxa"/>
        <w:tblBorders>
          <w:top w:val="single" w:sz="12" w:space="0" w:color="auto"/>
          <w:bottom w:val="single" w:sz="12" w:space="0" w:color="auto"/>
          <w:insideH w:val="single" w:sz="4" w:space="0" w:color="7F7F7F"/>
        </w:tblBorders>
        <w:tblLook w:val="04A0" w:firstRow="1" w:lastRow="0" w:firstColumn="1" w:lastColumn="0" w:noHBand="0" w:noVBand="1"/>
      </w:tblPr>
      <w:tblGrid>
        <w:gridCol w:w="1826"/>
        <w:gridCol w:w="2924"/>
        <w:gridCol w:w="1196"/>
        <w:gridCol w:w="1851"/>
        <w:gridCol w:w="1131"/>
      </w:tblGrid>
      <w:tr w:rsidR="002451A8" w:rsidRPr="002451A8" w14:paraId="4A458D74" w14:textId="77777777" w:rsidTr="00A76C67">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750" w:type="dxa"/>
            <w:gridSpan w:val="2"/>
            <w:tcBorders>
              <w:top w:val="single" w:sz="12" w:space="0" w:color="auto"/>
              <w:bottom w:val="single" w:sz="8" w:space="0" w:color="auto"/>
              <w:right w:val="single" w:sz="8" w:space="0" w:color="auto"/>
            </w:tcBorders>
            <w:noWrap/>
            <w:hideMark/>
          </w:tcPr>
          <w:p w14:paraId="335CF14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Factor 1</w:t>
            </w:r>
          </w:p>
        </w:tc>
        <w:tc>
          <w:tcPr>
            <w:tcW w:w="4178" w:type="dxa"/>
            <w:gridSpan w:val="3"/>
            <w:tcBorders>
              <w:top w:val="single" w:sz="12" w:space="0" w:color="auto"/>
              <w:left w:val="single" w:sz="8" w:space="0" w:color="auto"/>
              <w:bottom w:val="single" w:sz="8" w:space="0" w:color="auto"/>
            </w:tcBorders>
            <w:noWrap/>
            <w:hideMark/>
          </w:tcPr>
          <w:p w14:paraId="0FA1B911"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Facteur 2 (Doses)</w:t>
            </w:r>
          </w:p>
        </w:tc>
      </w:tr>
      <w:tr w:rsidR="002451A8" w:rsidRPr="002451A8" w14:paraId="2DFA8FAE" w14:textId="77777777" w:rsidTr="00A76C6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26" w:type="dxa"/>
            <w:tcBorders>
              <w:top w:val="single" w:sz="8" w:space="0" w:color="auto"/>
              <w:bottom w:val="single" w:sz="12" w:space="0" w:color="auto"/>
            </w:tcBorders>
            <w:noWrap/>
            <w:hideMark/>
          </w:tcPr>
          <w:p w14:paraId="69507188"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 xml:space="preserve">Fungicides/HE </w:t>
            </w:r>
          </w:p>
        </w:tc>
        <w:tc>
          <w:tcPr>
            <w:tcW w:w="2924" w:type="dxa"/>
            <w:tcBorders>
              <w:top w:val="single" w:sz="8" w:space="0" w:color="auto"/>
              <w:bottom w:val="single" w:sz="12" w:space="0" w:color="auto"/>
              <w:right w:val="single" w:sz="8" w:space="0" w:color="auto"/>
            </w:tcBorders>
            <w:noWrap/>
            <w:hideMark/>
          </w:tcPr>
          <w:p w14:paraId="4E2058CE"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Composition</w:t>
            </w:r>
          </w:p>
        </w:tc>
        <w:tc>
          <w:tcPr>
            <w:tcW w:w="1196" w:type="dxa"/>
            <w:tcBorders>
              <w:top w:val="single" w:sz="8" w:space="0" w:color="auto"/>
              <w:left w:val="single" w:sz="8" w:space="0" w:color="auto"/>
              <w:bottom w:val="single" w:sz="12" w:space="0" w:color="auto"/>
            </w:tcBorders>
            <w:noWrap/>
            <w:hideMark/>
          </w:tcPr>
          <w:p w14:paraId="49FBADF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 xml:space="preserve">Lower dose </w:t>
            </w:r>
          </w:p>
        </w:tc>
        <w:tc>
          <w:tcPr>
            <w:tcW w:w="1851" w:type="dxa"/>
            <w:tcBorders>
              <w:top w:val="single" w:sz="8" w:space="0" w:color="auto"/>
              <w:bottom w:val="single" w:sz="12" w:space="0" w:color="auto"/>
            </w:tcBorders>
            <w:noWrap/>
            <w:hideMark/>
          </w:tcPr>
          <w:p w14:paraId="574E332D"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Recommended dose</w:t>
            </w:r>
          </w:p>
        </w:tc>
        <w:tc>
          <w:tcPr>
            <w:tcW w:w="1131" w:type="dxa"/>
            <w:tcBorders>
              <w:top w:val="single" w:sz="8" w:space="0" w:color="auto"/>
              <w:bottom w:val="single" w:sz="12" w:space="0" w:color="auto"/>
            </w:tcBorders>
            <w:noWrap/>
            <w:hideMark/>
          </w:tcPr>
          <w:p w14:paraId="6E0E19A4"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Higher dose</w:t>
            </w:r>
          </w:p>
        </w:tc>
      </w:tr>
      <w:tr w:rsidR="002451A8" w:rsidRPr="002451A8" w14:paraId="72540921" w14:textId="77777777" w:rsidTr="00A76C67">
        <w:trPr>
          <w:trHeight w:val="517"/>
        </w:trPr>
        <w:tc>
          <w:tcPr>
            <w:cnfStyle w:val="001000000000" w:firstRow="0" w:lastRow="0" w:firstColumn="1" w:lastColumn="0" w:oddVBand="0" w:evenVBand="0" w:oddHBand="0" w:evenHBand="0" w:firstRowFirstColumn="0" w:firstRowLastColumn="0" w:lastRowFirstColumn="0" w:lastRowLastColumn="0"/>
            <w:tcW w:w="1826" w:type="dxa"/>
            <w:tcBorders>
              <w:top w:val="single" w:sz="12" w:space="0" w:color="auto"/>
              <w:bottom w:val="nil"/>
            </w:tcBorders>
            <w:noWrap/>
            <w:hideMark/>
          </w:tcPr>
          <w:p w14:paraId="0066DDA8"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Control</w:t>
            </w:r>
          </w:p>
        </w:tc>
        <w:tc>
          <w:tcPr>
            <w:tcW w:w="2924" w:type="dxa"/>
            <w:tcBorders>
              <w:top w:val="single" w:sz="12" w:space="0" w:color="auto"/>
              <w:bottom w:val="nil"/>
              <w:right w:val="single" w:sz="8" w:space="0" w:color="auto"/>
            </w:tcBorders>
            <w:noWrap/>
            <w:hideMark/>
          </w:tcPr>
          <w:p w14:paraId="05522889"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Sterile distilled water</w:t>
            </w:r>
          </w:p>
        </w:tc>
        <w:tc>
          <w:tcPr>
            <w:tcW w:w="1196" w:type="dxa"/>
            <w:tcBorders>
              <w:top w:val="single" w:sz="12" w:space="0" w:color="auto"/>
              <w:left w:val="single" w:sz="8" w:space="0" w:color="auto"/>
              <w:bottom w:val="nil"/>
            </w:tcBorders>
            <w:noWrap/>
            <w:hideMark/>
          </w:tcPr>
          <w:p w14:paraId="3BE9D395"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w:t>
            </w:r>
          </w:p>
        </w:tc>
        <w:tc>
          <w:tcPr>
            <w:tcW w:w="1851" w:type="dxa"/>
            <w:tcBorders>
              <w:top w:val="single" w:sz="12" w:space="0" w:color="auto"/>
              <w:bottom w:val="nil"/>
            </w:tcBorders>
            <w:noWrap/>
            <w:hideMark/>
          </w:tcPr>
          <w:p w14:paraId="1466CBBE"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w:t>
            </w:r>
          </w:p>
        </w:tc>
        <w:tc>
          <w:tcPr>
            <w:tcW w:w="1131" w:type="dxa"/>
            <w:tcBorders>
              <w:top w:val="single" w:sz="12" w:space="0" w:color="auto"/>
              <w:bottom w:val="nil"/>
            </w:tcBorders>
            <w:noWrap/>
            <w:hideMark/>
          </w:tcPr>
          <w:p w14:paraId="46A2E5BB"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w:t>
            </w:r>
          </w:p>
        </w:tc>
      </w:tr>
      <w:tr w:rsidR="002451A8" w:rsidRPr="002451A8" w14:paraId="1842FBD4" w14:textId="77777777" w:rsidTr="00A76C67">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826" w:type="dxa"/>
            <w:tcBorders>
              <w:top w:val="nil"/>
              <w:bottom w:val="nil"/>
            </w:tcBorders>
            <w:noWrap/>
            <w:hideMark/>
          </w:tcPr>
          <w:p w14:paraId="1CEF1AC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 xml:space="preserve">HE of </w:t>
            </w:r>
            <w:proofErr w:type="spellStart"/>
            <w:proofErr w:type="gramStart"/>
            <w:r w:rsidRPr="002451A8">
              <w:rPr>
                <w:rFonts w:ascii="Arial" w:eastAsia="Times New Roman" w:hAnsi="Arial" w:cs="Arial"/>
                <w:b w:val="0"/>
                <w:bCs w:val="0"/>
                <w:sz w:val="20"/>
                <w:szCs w:val="20"/>
                <w:lang w:val="en-US"/>
              </w:rPr>
              <w:t>L.multiflora</w:t>
            </w:r>
            <w:proofErr w:type="spellEnd"/>
            <w:proofErr w:type="gramEnd"/>
          </w:p>
        </w:tc>
        <w:tc>
          <w:tcPr>
            <w:tcW w:w="2924" w:type="dxa"/>
            <w:tcBorders>
              <w:top w:val="nil"/>
              <w:bottom w:val="nil"/>
              <w:right w:val="single" w:sz="8" w:space="0" w:color="auto"/>
            </w:tcBorders>
            <w:noWrap/>
            <w:hideMark/>
          </w:tcPr>
          <w:p w14:paraId="1BE3B57D"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Thymol (30,8%) et acetate (20,8%), ƴ-Terpinene (3,1%)</w:t>
            </w:r>
          </w:p>
        </w:tc>
        <w:tc>
          <w:tcPr>
            <w:tcW w:w="1196" w:type="dxa"/>
            <w:tcBorders>
              <w:top w:val="nil"/>
              <w:left w:val="single" w:sz="8" w:space="0" w:color="auto"/>
              <w:bottom w:val="nil"/>
            </w:tcBorders>
            <w:noWrap/>
            <w:hideMark/>
          </w:tcPr>
          <w:p w14:paraId="09B64AC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500 ppm</w:t>
            </w:r>
          </w:p>
        </w:tc>
        <w:tc>
          <w:tcPr>
            <w:tcW w:w="1851" w:type="dxa"/>
            <w:tcBorders>
              <w:top w:val="nil"/>
              <w:bottom w:val="nil"/>
            </w:tcBorders>
            <w:noWrap/>
            <w:hideMark/>
          </w:tcPr>
          <w:p w14:paraId="315FDAB6"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1000 ppm</w:t>
            </w:r>
          </w:p>
        </w:tc>
        <w:tc>
          <w:tcPr>
            <w:tcW w:w="1131" w:type="dxa"/>
            <w:tcBorders>
              <w:top w:val="nil"/>
              <w:bottom w:val="nil"/>
            </w:tcBorders>
            <w:noWrap/>
            <w:hideMark/>
          </w:tcPr>
          <w:p w14:paraId="45563BD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4000 ppm</w:t>
            </w:r>
          </w:p>
        </w:tc>
      </w:tr>
      <w:tr w:rsidR="002451A8" w:rsidRPr="002451A8" w14:paraId="65BF3D56" w14:textId="77777777" w:rsidTr="00A76C67">
        <w:trPr>
          <w:trHeight w:val="696"/>
        </w:trPr>
        <w:tc>
          <w:tcPr>
            <w:cnfStyle w:val="001000000000" w:firstRow="0" w:lastRow="0" w:firstColumn="1" w:lastColumn="0" w:oddVBand="0" w:evenVBand="0" w:oddHBand="0" w:evenHBand="0" w:firstRowFirstColumn="0" w:firstRowLastColumn="0" w:lastRowFirstColumn="0" w:lastRowLastColumn="0"/>
            <w:tcW w:w="1826" w:type="dxa"/>
            <w:tcBorders>
              <w:top w:val="nil"/>
              <w:bottom w:val="nil"/>
            </w:tcBorders>
            <w:noWrap/>
            <w:hideMark/>
          </w:tcPr>
          <w:p w14:paraId="5CC3C17D"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 xml:space="preserve">HE of O. </w:t>
            </w:r>
            <w:proofErr w:type="spellStart"/>
            <w:r w:rsidRPr="002451A8">
              <w:rPr>
                <w:rFonts w:ascii="Arial" w:eastAsia="Times New Roman" w:hAnsi="Arial" w:cs="Arial"/>
                <w:b w:val="0"/>
                <w:bCs w:val="0"/>
                <w:sz w:val="20"/>
                <w:szCs w:val="20"/>
                <w:lang w:val="en-US"/>
              </w:rPr>
              <w:t>gratissimum</w:t>
            </w:r>
            <w:proofErr w:type="spellEnd"/>
          </w:p>
        </w:tc>
        <w:tc>
          <w:tcPr>
            <w:tcW w:w="2924" w:type="dxa"/>
            <w:tcBorders>
              <w:top w:val="nil"/>
              <w:bottom w:val="nil"/>
              <w:right w:val="single" w:sz="8" w:space="0" w:color="auto"/>
            </w:tcBorders>
            <w:noWrap/>
            <w:hideMark/>
          </w:tcPr>
          <w:p w14:paraId="5CE2D191"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Thymol (29,5%), ƴ-terpinene (20,5%) et p-cymene (12,9%)</w:t>
            </w:r>
          </w:p>
        </w:tc>
        <w:tc>
          <w:tcPr>
            <w:tcW w:w="1196" w:type="dxa"/>
            <w:tcBorders>
              <w:top w:val="nil"/>
              <w:left w:val="single" w:sz="8" w:space="0" w:color="auto"/>
              <w:bottom w:val="nil"/>
            </w:tcBorders>
            <w:noWrap/>
            <w:hideMark/>
          </w:tcPr>
          <w:p w14:paraId="048E9CDE"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500 ppm</w:t>
            </w:r>
          </w:p>
        </w:tc>
        <w:tc>
          <w:tcPr>
            <w:tcW w:w="1851" w:type="dxa"/>
            <w:tcBorders>
              <w:top w:val="nil"/>
              <w:bottom w:val="nil"/>
            </w:tcBorders>
            <w:noWrap/>
            <w:hideMark/>
          </w:tcPr>
          <w:p w14:paraId="6E24A76B"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1000 ppm</w:t>
            </w:r>
          </w:p>
        </w:tc>
        <w:tc>
          <w:tcPr>
            <w:tcW w:w="1131" w:type="dxa"/>
            <w:tcBorders>
              <w:top w:val="nil"/>
              <w:bottom w:val="nil"/>
            </w:tcBorders>
            <w:noWrap/>
            <w:hideMark/>
          </w:tcPr>
          <w:p w14:paraId="0F37AB9C"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4000 ppm</w:t>
            </w:r>
          </w:p>
        </w:tc>
      </w:tr>
      <w:tr w:rsidR="002451A8" w:rsidRPr="002451A8" w14:paraId="361E4C2B" w14:textId="77777777" w:rsidTr="00A76C6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826" w:type="dxa"/>
            <w:tcBorders>
              <w:top w:val="nil"/>
              <w:bottom w:val="nil"/>
            </w:tcBorders>
            <w:noWrap/>
            <w:hideMark/>
          </w:tcPr>
          <w:p w14:paraId="74A0F8E3"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Copper hydroxide</w:t>
            </w:r>
          </w:p>
        </w:tc>
        <w:tc>
          <w:tcPr>
            <w:tcW w:w="2924" w:type="dxa"/>
            <w:tcBorders>
              <w:top w:val="nil"/>
              <w:bottom w:val="nil"/>
              <w:right w:val="single" w:sz="8" w:space="0" w:color="auto"/>
            </w:tcBorders>
            <w:noWrap/>
            <w:hideMark/>
          </w:tcPr>
          <w:p w14:paraId="5E7904D7"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65,5 % Copper hydroxide, WP</w:t>
            </w:r>
          </w:p>
        </w:tc>
        <w:tc>
          <w:tcPr>
            <w:tcW w:w="1196" w:type="dxa"/>
            <w:tcBorders>
              <w:top w:val="nil"/>
              <w:left w:val="single" w:sz="8" w:space="0" w:color="auto"/>
              <w:bottom w:val="nil"/>
            </w:tcBorders>
            <w:noWrap/>
            <w:hideMark/>
          </w:tcPr>
          <w:p w14:paraId="63BB86FE"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7500 ppm</w:t>
            </w:r>
          </w:p>
        </w:tc>
        <w:tc>
          <w:tcPr>
            <w:tcW w:w="1851" w:type="dxa"/>
            <w:tcBorders>
              <w:top w:val="nil"/>
              <w:bottom w:val="nil"/>
            </w:tcBorders>
            <w:noWrap/>
            <w:hideMark/>
          </w:tcPr>
          <w:p w14:paraId="2C36A4C7"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10000 ppm</w:t>
            </w:r>
          </w:p>
        </w:tc>
        <w:tc>
          <w:tcPr>
            <w:tcW w:w="1131" w:type="dxa"/>
            <w:tcBorders>
              <w:top w:val="nil"/>
              <w:bottom w:val="nil"/>
            </w:tcBorders>
            <w:noWrap/>
            <w:hideMark/>
          </w:tcPr>
          <w:p w14:paraId="475C2C5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12500 ppm</w:t>
            </w:r>
          </w:p>
        </w:tc>
      </w:tr>
      <w:tr w:rsidR="002451A8" w:rsidRPr="002451A8" w14:paraId="4BBDA2F6" w14:textId="77777777" w:rsidTr="00A76C67">
        <w:trPr>
          <w:trHeight w:val="331"/>
        </w:trPr>
        <w:tc>
          <w:tcPr>
            <w:cnfStyle w:val="001000000000" w:firstRow="0" w:lastRow="0" w:firstColumn="1" w:lastColumn="0" w:oddVBand="0" w:evenVBand="0" w:oddHBand="0" w:evenHBand="0" w:firstRowFirstColumn="0" w:firstRowLastColumn="0" w:lastRowFirstColumn="0" w:lastRowLastColumn="0"/>
            <w:tcW w:w="1826" w:type="dxa"/>
            <w:tcBorders>
              <w:top w:val="nil"/>
              <w:bottom w:val="single" w:sz="12" w:space="0" w:color="auto"/>
            </w:tcBorders>
            <w:noWrap/>
            <w:hideMark/>
          </w:tcPr>
          <w:p w14:paraId="435CCE6F"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Mancozeb</w:t>
            </w:r>
          </w:p>
          <w:p w14:paraId="5A6856BC" w14:textId="77777777" w:rsidR="002451A8" w:rsidRPr="002451A8" w:rsidRDefault="002451A8" w:rsidP="00A76C67">
            <w:pPr>
              <w:spacing w:line="276" w:lineRule="auto"/>
              <w:rPr>
                <w:rFonts w:ascii="Arial" w:eastAsia="Times New Roman" w:hAnsi="Arial" w:cs="Arial"/>
                <w:b w:val="0"/>
                <w:bCs w:val="0"/>
                <w:sz w:val="20"/>
                <w:szCs w:val="20"/>
                <w:lang w:val="en-US"/>
              </w:rPr>
            </w:pPr>
          </w:p>
        </w:tc>
        <w:tc>
          <w:tcPr>
            <w:tcW w:w="2924" w:type="dxa"/>
            <w:tcBorders>
              <w:top w:val="nil"/>
              <w:bottom w:val="single" w:sz="12" w:space="0" w:color="auto"/>
              <w:right w:val="single" w:sz="8" w:space="0" w:color="auto"/>
            </w:tcBorders>
            <w:noWrap/>
            <w:hideMark/>
          </w:tcPr>
          <w:p w14:paraId="6FD43F0A"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Mancozeb, 800g/Kg, WP</w:t>
            </w:r>
          </w:p>
        </w:tc>
        <w:tc>
          <w:tcPr>
            <w:tcW w:w="1196" w:type="dxa"/>
            <w:tcBorders>
              <w:top w:val="nil"/>
              <w:left w:val="single" w:sz="8" w:space="0" w:color="auto"/>
              <w:bottom w:val="single" w:sz="12" w:space="0" w:color="auto"/>
            </w:tcBorders>
            <w:noWrap/>
            <w:hideMark/>
          </w:tcPr>
          <w:p w14:paraId="3C834D2E"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5000 ppm</w:t>
            </w:r>
          </w:p>
        </w:tc>
        <w:tc>
          <w:tcPr>
            <w:tcW w:w="1851" w:type="dxa"/>
            <w:tcBorders>
              <w:top w:val="nil"/>
              <w:bottom w:val="single" w:sz="12" w:space="0" w:color="auto"/>
            </w:tcBorders>
            <w:noWrap/>
            <w:hideMark/>
          </w:tcPr>
          <w:p w14:paraId="1434C2F1"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6700 ppm</w:t>
            </w:r>
          </w:p>
        </w:tc>
        <w:tc>
          <w:tcPr>
            <w:tcW w:w="1131" w:type="dxa"/>
            <w:tcBorders>
              <w:top w:val="nil"/>
              <w:bottom w:val="single" w:sz="12" w:space="0" w:color="auto"/>
            </w:tcBorders>
            <w:noWrap/>
            <w:hideMark/>
          </w:tcPr>
          <w:p w14:paraId="47275A3D"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8400 ppm</w:t>
            </w:r>
          </w:p>
        </w:tc>
      </w:tr>
    </w:tbl>
    <w:p w14:paraId="4521982D" w14:textId="77777777" w:rsidR="002451A8" w:rsidRPr="002451A8" w:rsidRDefault="002451A8" w:rsidP="002451A8">
      <w:pPr>
        <w:spacing w:line="276" w:lineRule="auto"/>
        <w:rPr>
          <w:rFonts w:ascii="Arial" w:hAnsi="Arial" w:cs="Arial"/>
        </w:rPr>
      </w:pPr>
      <w:bookmarkStart w:id="0" w:name="_Toc149127412"/>
      <w:r w:rsidRPr="002451A8">
        <w:rPr>
          <w:rFonts w:ascii="Arial" w:hAnsi="Arial" w:cs="Arial"/>
          <w:b/>
          <w:bCs/>
        </w:rPr>
        <w:t>Legend:</w:t>
      </w:r>
      <w:r w:rsidRPr="002451A8">
        <w:rPr>
          <w:rFonts w:ascii="Arial" w:hAnsi="Arial" w:cs="Arial"/>
        </w:rPr>
        <w:t xml:space="preserve"> Control: untreated indicator; ppm: parts per million; HE: essential oil.</w:t>
      </w:r>
    </w:p>
    <w:bookmarkEnd w:id="0"/>
    <w:p w14:paraId="185FA3B5" w14:textId="77777777" w:rsidR="002451A8" w:rsidRPr="008E6208" w:rsidRDefault="002451A8" w:rsidP="00080D8F">
      <w:pPr>
        <w:pStyle w:val="Body"/>
        <w:rPr>
          <w:rFonts w:ascii="Arial" w:hAnsi="Arial" w:cs="Arial"/>
          <w:sz w:val="22"/>
          <w:szCs w:val="22"/>
        </w:rPr>
      </w:pPr>
    </w:p>
    <w:p w14:paraId="773815C2" w14:textId="461E65C7" w:rsidR="00080D8F" w:rsidRPr="008E6208" w:rsidRDefault="00595B34" w:rsidP="00080D8F">
      <w:pPr>
        <w:pStyle w:val="Body"/>
        <w:rPr>
          <w:rFonts w:ascii="Arial" w:hAnsi="Arial" w:cs="Arial"/>
          <w:b/>
          <w:bCs/>
          <w:sz w:val="22"/>
          <w:szCs w:val="22"/>
        </w:rPr>
      </w:pPr>
      <w:r w:rsidRPr="008E6208">
        <w:rPr>
          <w:rFonts w:ascii="Arial" w:hAnsi="Arial" w:cs="Arial"/>
          <w:b/>
          <w:bCs/>
          <w:sz w:val="22"/>
          <w:szCs w:val="22"/>
        </w:rPr>
        <w:t xml:space="preserve">2.4. </w:t>
      </w:r>
      <w:r w:rsidR="00080D8F" w:rsidRPr="008E6208">
        <w:rPr>
          <w:rFonts w:ascii="Arial" w:hAnsi="Arial" w:cs="Arial"/>
          <w:b/>
          <w:bCs/>
          <w:sz w:val="22"/>
          <w:szCs w:val="22"/>
        </w:rPr>
        <w:t>Seeding and incubation of cultures</w:t>
      </w:r>
    </w:p>
    <w:p w14:paraId="3DA7B361" w14:textId="77777777" w:rsidR="00080D8F" w:rsidRPr="00080D8F" w:rsidRDefault="00080D8F" w:rsidP="00080D8F">
      <w:pPr>
        <w:pStyle w:val="Body"/>
        <w:rPr>
          <w:rFonts w:ascii="Arial" w:hAnsi="Arial" w:cs="Arial"/>
        </w:rPr>
      </w:pPr>
      <w:r w:rsidRPr="00080D8F">
        <w:rPr>
          <w:rFonts w:ascii="Arial" w:hAnsi="Arial" w:cs="Arial"/>
        </w:rPr>
        <w:t xml:space="preserve">The inoculation was performed under a hood, by taking eight-day-old mycelial discs of </w:t>
      </w:r>
      <w:proofErr w:type="spellStart"/>
      <w:r w:rsidRPr="00080D8F">
        <w:rPr>
          <w:rFonts w:ascii="Arial" w:hAnsi="Arial" w:cs="Arial"/>
        </w:rPr>
        <w:t>Mycosphaerella</w:t>
      </w:r>
      <w:proofErr w:type="spellEnd"/>
      <w:r w:rsidRPr="00080D8F">
        <w:rPr>
          <w:rFonts w:ascii="Arial" w:hAnsi="Arial" w:cs="Arial"/>
        </w:rPr>
        <w:t xml:space="preserve"> </w:t>
      </w:r>
      <w:proofErr w:type="spellStart"/>
      <w:r w:rsidRPr="00080D8F">
        <w:rPr>
          <w:rFonts w:ascii="Arial" w:hAnsi="Arial" w:cs="Arial"/>
        </w:rPr>
        <w:t>fijiensis</w:t>
      </w:r>
      <w:proofErr w:type="spellEnd"/>
      <w:r w:rsidRPr="00080D8F">
        <w:rPr>
          <w:rFonts w:ascii="Arial" w:hAnsi="Arial" w:cs="Arial"/>
        </w:rPr>
        <w:t xml:space="preserve">, 5 mm in diameter, using a punch, and then placing them in the center of Petri dishes containing media poisoned with essential oil or a fungicide. The cultures were incubated in a growth chamber at 25°C, under alternating white light and darkness (12 h/12 h), conditions favorable for the development of M. </w:t>
      </w:r>
      <w:proofErr w:type="spellStart"/>
      <w:r w:rsidRPr="00080D8F">
        <w:rPr>
          <w:rFonts w:ascii="Arial" w:hAnsi="Arial" w:cs="Arial"/>
        </w:rPr>
        <w:t>fijiensis</w:t>
      </w:r>
      <w:proofErr w:type="spellEnd"/>
      <w:r w:rsidRPr="00080D8F">
        <w:rPr>
          <w:rFonts w:ascii="Arial" w:hAnsi="Arial" w:cs="Arial"/>
        </w:rPr>
        <w:t xml:space="preserve"> (</w:t>
      </w:r>
      <w:proofErr w:type="spellStart"/>
      <w:r w:rsidRPr="00080D8F">
        <w:rPr>
          <w:rFonts w:ascii="Arial" w:hAnsi="Arial" w:cs="Arial"/>
        </w:rPr>
        <w:t>Carlier</w:t>
      </w:r>
      <w:proofErr w:type="spellEnd"/>
      <w:r w:rsidRPr="00080D8F">
        <w:rPr>
          <w:rFonts w:ascii="Arial" w:hAnsi="Arial" w:cs="Arial"/>
        </w:rPr>
        <w:t xml:space="preserve"> et al., 2003). </w:t>
      </w:r>
    </w:p>
    <w:p w14:paraId="65996C79" w14:textId="355C902B" w:rsidR="00080D8F" w:rsidRPr="008E6208" w:rsidRDefault="00595B34" w:rsidP="00080D8F">
      <w:pPr>
        <w:pStyle w:val="Body"/>
        <w:rPr>
          <w:rFonts w:ascii="Arial" w:hAnsi="Arial" w:cs="Arial"/>
          <w:b/>
          <w:bCs/>
          <w:sz w:val="22"/>
          <w:szCs w:val="22"/>
        </w:rPr>
      </w:pPr>
      <w:r w:rsidRPr="008E6208">
        <w:rPr>
          <w:rFonts w:ascii="Arial" w:hAnsi="Arial" w:cs="Arial"/>
          <w:b/>
          <w:bCs/>
          <w:sz w:val="22"/>
          <w:szCs w:val="22"/>
        </w:rPr>
        <w:t xml:space="preserve">2.5. </w:t>
      </w:r>
      <w:r w:rsidR="00080D8F" w:rsidRPr="008E6208">
        <w:rPr>
          <w:rFonts w:ascii="Arial" w:hAnsi="Arial" w:cs="Arial"/>
          <w:b/>
          <w:bCs/>
          <w:sz w:val="22"/>
          <w:szCs w:val="22"/>
        </w:rPr>
        <w:t>Assessment of mycelial radial growth and sporulation based on treatments</w:t>
      </w:r>
    </w:p>
    <w:p w14:paraId="49E34ECC" w14:textId="77777777" w:rsidR="00080D8F" w:rsidRPr="00080D8F" w:rsidRDefault="00080D8F" w:rsidP="00080D8F">
      <w:pPr>
        <w:pStyle w:val="Body"/>
        <w:rPr>
          <w:rFonts w:ascii="Arial" w:hAnsi="Arial" w:cs="Arial"/>
        </w:rPr>
      </w:pPr>
      <w:r w:rsidRPr="00080D8F">
        <w:rPr>
          <w:rFonts w:ascii="Arial" w:hAnsi="Arial" w:cs="Arial"/>
        </w:rPr>
        <w:t>The radial growth of fungal colony mycelium was assessed every two (02) days until the complete coverage of the culture medium surface in the control Petri dish, which was eight (08) days after inoculation. The measurements of the mycelial radial growth were performed using two perpendicular lines drawn on each Petri dish that intersect at a point at the center of the mycelial disk. The effect of fungicides/essential oils on the radial growth of the fungus was determined based on the inhibition rate (</w:t>
      </w:r>
      <w:proofErr w:type="spellStart"/>
      <w:r w:rsidRPr="00080D8F">
        <w:rPr>
          <w:rFonts w:ascii="Arial" w:hAnsi="Arial" w:cs="Arial"/>
        </w:rPr>
        <w:t>TIc</w:t>
      </w:r>
      <w:proofErr w:type="spellEnd"/>
      <w:r w:rsidRPr="00080D8F">
        <w:rPr>
          <w:rFonts w:ascii="Arial" w:hAnsi="Arial" w:cs="Arial"/>
        </w:rPr>
        <w:t>) of mycelial growth using the following equation (Koné et al., 2009):</w:t>
      </w:r>
    </w:p>
    <w:p w14:paraId="3052D714" w14:textId="77777777" w:rsidR="00080D8F" w:rsidRPr="00080D8F" w:rsidRDefault="00080D8F" w:rsidP="00080D8F">
      <w:pPr>
        <w:pStyle w:val="Body"/>
        <w:rPr>
          <w:rFonts w:ascii="Arial" w:hAnsi="Arial" w:cs="Arial"/>
        </w:rPr>
      </w:pPr>
      <w:r w:rsidRPr="00080D8F">
        <w:rPr>
          <w:rFonts w:ascii="Arial" w:hAnsi="Arial" w:cs="Arial"/>
        </w:rPr>
        <w:t xml:space="preserve"> </w:t>
      </w:r>
      <w:proofErr w:type="spellStart"/>
      <w:r w:rsidRPr="00080D8F">
        <w:rPr>
          <w:rFonts w:ascii="Arial" w:hAnsi="Arial" w:cs="Arial"/>
        </w:rPr>
        <w:t>TIc</w:t>
      </w:r>
      <w:proofErr w:type="spellEnd"/>
      <w:r w:rsidRPr="00080D8F">
        <w:rPr>
          <w:rFonts w:ascii="Arial" w:hAnsi="Arial" w:cs="Arial"/>
        </w:rPr>
        <w:t xml:space="preserve"> (</w:t>
      </w:r>
      <w:proofErr w:type="gramStart"/>
      <w:r w:rsidRPr="00080D8F">
        <w:rPr>
          <w:rFonts w:ascii="Arial" w:hAnsi="Arial" w:cs="Arial"/>
        </w:rPr>
        <w:t>%)=</w:t>
      </w:r>
      <w:proofErr w:type="gramEnd"/>
      <w:r w:rsidRPr="00080D8F">
        <w:rPr>
          <w:rFonts w:ascii="Arial" w:hAnsi="Arial" w:cs="Arial"/>
        </w:rPr>
        <w:t xml:space="preserve">((D0-Dc))/D0 x 100 ; with: D0: radial growth in the culture medium without fungicide (in cm); Dc: radial growth in the culture medium with fungicides or essential oils (in cm). </w:t>
      </w:r>
    </w:p>
    <w:p w14:paraId="7511F47A" w14:textId="77777777" w:rsidR="00080D8F" w:rsidRPr="00080D8F" w:rsidRDefault="00080D8F" w:rsidP="00080D8F">
      <w:pPr>
        <w:pStyle w:val="Body"/>
        <w:rPr>
          <w:rFonts w:ascii="Arial" w:hAnsi="Arial" w:cs="Arial"/>
        </w:rPr>
      </w:pPr>
      <w:r w:rsidRPr="00080D8F">
        <w:rPr>
          <w:rFonts w:ascii="Arial" w:hAnsi="Arial" w:cs="Arial"/>
        </w:rPr>
        <w:lastRenderedPageBreak/>
        <w:t xml:space="preserve">At the end of the radial mycelial growth measurements, the anti-sporulating activity of essential oils and synthetic fungicides was evaluated on 14-day-old fungal colonies. To do this, 10 mL of sterile distilled water was added to each Petri dish, and the spores were gently scraped from the surface with a brush. The resulting spore suspension was placed in a tube and vortexed for 30 seconds to detach the spores from the conidiophores. The suspension was then filtered to remove mycelial debris. The total spore count was performed using a </w:t>
      </w:r>
      <w:proofErr w:type="spellStart"/>
      <w:r w:rsidRPr="00080D8F">
        <w:rPr>
          <w:rFonts w:ascii="Arial" w:hAnsi="Arial" w:cs="Arial"/>
        </w:rPr>
        <w:t>Malassez</w:t>
      </w:r>
      <w:proofErr w:type="spellEnd"/>
      <w:r w:rsidRPr="00080D8F">
        <w:rPr>
          <w:rFonts w:ascii="Arial" w:hAnsi="Arial" w:cs="Arial"/>
        </w:rPr>
        <w:t xml:space="preserve"> cell under a '</w:t>
      </w:r>
      <w:proofErr w:type="spellStart"/>
      <w:r w:rsidRPr="00080D8F">
        <w:rPr>
          <w:rFonts w:ascii="Arial" w:hAnsi="Arial" w:cs="Arial"/>
        </w:rPr>
        <w:t>Euromex</w:t>
      </w:r>
      <w:proofErr w:type="spellEnd"/>
      <w:r w:rsidRPr="00080D8F">
        <w:rPr>
          <w:rFonts w:ascii="Arial" w:hAnsi="Arial" w:cs="Arial"/>
        </w:rPr>
        <w:t>' brand photon microscope. Ten (10) counts were carried out in 10 squares of the cell for each suspension. The spore concentration (Cs), number of spores per milliliter, was calculated according to the formula used by Kassankogno et al. (2021).</w:t>
      </w:r>
    </w:p>
    <w:p w14:paraId="4CDCE0D5" w14:textId="77777777" w:rsidR="00080D8F" w:rsidRPr="00080D8F" w:rsidRDefault="00080D8F" w:rsidP="00080D8F">
      <w:pPr>
        <w:pStyle w:val="Body"/>
        <w:rPr>
          <w:rFonts w:ascii="Arial" w:hAnsi="Arial" w:cs="Arial"/>
        </w:rPr>
      </w:pPr>
      <w:r w:rsidRPr="00080D8F">
        <w:rPr>
          <w:rFonts w:ascii="Arial" w:hAnsi="Arial" w:cs="Arial"/>
        </w:rPr>
        <w:t xml:space="preserve">  Cs</w:t>
      </w:r>
      <w:proofErr w:type="gramStart"/>
      <w:r w:rsidRPr="00080D8F">
        <w:rPr>
          <w:rFonts w:ascii="Arial" w:hAnsi="Arial" w:cs="Arial"/>
        </w:rPr>
        <w:t>=(</w:t>
      </w:r>
      <w:proofErr w:type="gramEnd"/>
      <w:r w:rsidRPr="00080D8F">
        <w:rPr>
          <w:rFonts w:ascii="Arial" w:hAnsi="Arial" w:cs="Arial"/>
        </w:rPr>
        <w:t>Number of spores in 10 squares X 10000)/10</w:t>
      </w:r>
    </w:p>
    <w:p w14:paraId="157E147B" w14:textId="0C8B2BAD" w:rsidR="00080D8F" w:rsidRPr="00080D8F" w:rsidRDefault="00080D8F" w:rsidP="00080D8F">
      <w:pPr>
        <w:pStyle w:val="Body"/>
        <w:rPr>
          <w:rFonts w:ascii="Arial" w:hAnsi="Arial" w:cs="Arial"/>
        </w:rPr>
      </w:pPr>
      <w:r w:rsidRPr="00080D8F">
        <w:rPr>
          <w:rFonts w:ascii="Arial" w:hAnsi="Arial" w:cs="Arial"/>
        </w:rPr>
        <w:t>The sporulation inhibition rate (TIs) was calculated using the formula employed by Doumbouya et al. (2012</w:t>
      </w:r>
      <w:proofErr w:type="gramStart"/>
      <w:r w:rsidRPr="00080D8F">
        <w:rPr>
          <w:rFonts w:ascii="Arial" w:hAnsi="Arial" w:cs="Arial"/>
        </w:rPr>
        <w:t>) :</w:t>
      </w:r>
      <w:proofErr w:type="gramEnd"/>
      <w:r w:rsidRPr="00080D8F">
        <w:rPr>
          <w:rFonts w:ascii="Arial" w:hAnsi="Arial" w:cs="Arial"/>
        </w:rPr>
        <w:t xml:space="preserve"> TIs (%)=((</w:t>
      </w:r>
      <w:proofErr w:type="spellStart"/>
      <w:r w:rsidRPr="00080D8F">
        <w:rPr>
          <w:rFonts w:ascii="Arial" w:hAnsi="Arial" w:cs="Arial"/>
        </w:rPr>
        <w:t>NSo-NSt</w:t>
      </w:r>
      <w:proofErr w:type="spellEnd"/>
      <w:r w:rsidRPr="00080D8F">
        <w:rPr>
          <w:rFonts w:ascii="Arial" w:hAnsi="Arial" w:cs="Arial"/>
        </w:rPr>
        <w:t>))/</w:t>
      </w:r>
      <w:proofErr w:type="spellStart"/>
      <w:r w:rsidRPr="00080D8F">
        <w:rPr>
          <w:rFonts w:ascii="Arial" w:hAnsi="Arial" w:cs="Arial"/>
        </w:rPr>
        <w:t>NSo</w:t>
      </w:r>
      <w:proofErr w:type="spellEnd"/>
      <w:r w:rsidRPr="00080D8F">
        <w:rPr>
          <w:rFonts w:ascii="Arial" w:hAnsi="Arial" w:cs="Arial"/>
        </w:rPr>
        <w:t xml:space="preserve"> x 100 ;with </w:t>
      </w:r>
      <w:proofErr w:type="spellStart"/>
      <w:r w:rsidRPr="00080D8F">
        <w:rPr>
          <w:rFonts w:ascii="Arial" w:hAnsi="Arial" w:cs="Arial"/>
        </w:rPr>
        <w:t>NSo</w:t>
      </w:r>
      <w:proofErr w:type="spellEnd"/>
      <w:r w:rsidRPr="00080D8F">
        <w:rPr>
          <w:rFonts w:ascii="Arial" w:hAnsi="Arial" w:cs="Arial"/>
        </w:rPr>
        <w:t xml:space="preserve">: estimated number of spores in the control; </w:t>
      </w:r>
      <w:proofErr w:type="spellStart"/>
      <w:r w:rsidRPr="00080D8F">
        <w:rPr>
          <w:rFonts w:ascii="Arial" w:hAnsi="Arial" w:cs="Arial"/>
        </w:rPr>
        <w:t>NSt</w:t>
      </w:r>
      <w:proofErr w:type="spellEnd"/>
      <w:r w:rsidRPr="00080D8F">
        <w:rPr>
          <w:rFonts w:ascii="Arial" w:hAnsi="Arial" w:cs="Arial"/>
        </w:rPr>
        <w:t>: estimated number of spores in the presence of the fungicide or essential oil.</w:t>
      </w:r>
    </w:p>
    <w:p w14:paraId="20E464BD" w14:textId="6D989CFC" w:rsidR="00080D8F" w:rsidRPr="00B459F4" w:rsidRDefault="00595B34" w:rsidP="00080D8F">
      <w:pPr>
        <w:pStyle w:val="Body"/>
        <w:rPr>
          <w:rFonts w:ascii="Arial" w:hAnsi="Arial" w:cs="Arial"/>
          <w:b/>
          <w:bCs/>
          <w:sz w:val="22"/>
          <w:szCs w:val="22"/>
        </w:rPr>
      </w:pPr>
      <w:r w:rsidRPr="00B459F4">
        <w:rPr>
          <w:rFonts w:ascii="Arial" w:hAnsi="Arial" w:cs="Arial"/>
          <w:b/>
          <w:bCs/>
          <w:sz w:val="22"/>
          <w:szCs w:val="22"/>
        </w:rPr>
        <w:t>2.6.</w:t>
      </w:r>
      <w:r w:rsidR="00080D8F" w:rsidRPr="00B459F4">
        <w:rPr>
          <w:rFonts w:ascii="Arial" w:hAnsi="Arial" w:cs="Arial"/>
          <w:b/>
          <w:bCs/>
          <w:sz w:val="22"/>
          <w:szCs w:val="22"/>
        </w:rPr>
        <w:t xml:space="preserve"> Assessment of the germinative power of spores based on treatments</w:t>
      </w:r>
    </w:p>
    <w:p w14:paraId="74F96705" w14:textId="77777777" w:rsidR="00080D8F" w:rsidRPr="00080D8F" w:rsidRDefault="00080D8F" w:rsidP="00080D8F">
      <w:pPr>
        <w:pStyle w:val="Body"/>
        <w:rPr>
          <w:rFonts w:ascii="Arial" w:hAnsi="Arial" w:cs="Arial"/>
        </w:rPr>
      </w:pPr>
      <w:r w:rsidRPr="00080D8F">
        <w:rPr>
          <w:rFonts w:ascii="Arial" w:hAnsi="Arial" w:cs="Arial"/>
        </w:rPr>
        <w:t xml:space="preserve">The anti-germination activity of essential oils and synthetic fungicides on </w:t>
      </w:r>
      <w:proofErr w:type="spellStart"/>
      <w:r w:rsidRPr="00080D8F">
        <w:rPr>
          <w:rFonts w:ascii="Arial" w:hAnsi="Arial" w:cs="Arial"/>
        </w:rPr>
        <w:t>Mycosphaerella</w:t>
      </w:r>
      <w:proofErr w:type="spellEnd"/>
      <w:r w:rsidRPr="00080D8F">
        <w:rPr>
          <w:rFonts w:ascii="Arial" w:hAnsi="Arial" w:cs="Arial"/>
        </w:rPr>
        <w:t xml:space="preserve"> </w:t>
      </w:r>
      <w:proofErr w:type="spellStart"/>
      <w:r w:rsidRPr="00080D8F">
        <w:rPr>
          <w:rFonts w:ascii="Arial" w:hAnsi="Arial" w:cs="Arial"/>
        </w:rPr>
        <w:t>fijiensis</w:t>
      </w:r>
      <w:proofErr w:type="spellEnd"/>
      <w:r w:rsidRPr="00080D8F">
        <w:rPr>
          <w:rFonts w:ascii="Arial" w:hAnsi="Arial" w:cs="Arial"/>
        </w:rPr>
        <w:t xml:space="preserve"> is studied by measuring the germination inhibition rate, compared to control batches. Fungal colonies grown on a normal medium without treatment were sampled from young cultures of 14 days and placed in a tube containing 10 mL of sterile distilled water. The spores released after agitation were counted using a </w:t>
      </w:r>
      <w:proofErr w:type="spellStart"/>
      <w:r w:rsidRPr="00080D8F">
        <w:rPr>
          <w:rFonts w:ascii="Arial" w:hAnsi="Arial" w:cs="Arial"/>
        </w:rPr>
        <w:t>Malassez</w:t>
      </w:r>
      <w:proofErr w:type="spellEnd"/>
      <w:r w:rsidRPr="00080D8F">
        <w:rPr>
          <w:rFonts w:ascii="Arial" w:hAnsi="Arial" w:cs="Arial"/>
        </w:rPr>
        <w:t xml:space="preserve"> cell to determine the initial density, which was then adjusted to 105 spores/mL after dilution. Suspensions of 0.4 mL were spread onto Petri dishes containing PDA medium, supplemented with different doses of fungicides and essential oils (figures b and c). Three replicates per concentration were performed. Control plates without fungicides or essential oils were also prepared. These plates were then incubated at 26°C with a 12-hour light/12-hour dark photoperiod. For each dose level, 100 spores were observed using an </w:t>
      </w:r>
      <w:proofErr w:type="spellStart"/>
      <w:r w:rsidRPr="00080D8F">
        <w:rPr>
          <w:rFonts w:ascii="Arial" w:hAnsi="Arial" w:cs="Arial"/>
        </w:rPr>
        <w:t>Euromex</w:t>
      </w:r>
      <w:proofErr w:type="spellEnd"/>
      <w:r w:rsidRPr="00080D8F">
        <w:rPr>
          <w:rFonts w:ascii="Arial" w:hAnsi="Arial" w:cs="Arial"/>
        </w:rPr>
        <w:t xml:space="preserve"> microscope equipped with a camera at 12 and 24 hours after incubation. A spore is considered germinated if the germ tube length appears. The percentage of spore germination inhibition compared to the control was calculated using the data from the last assessment (24 hours after incubation) according to the formula used by Doumbouya et al. (2012).</w:t>
      </w:r>
    </w:p>
    <w:p w14:paraId="1EF22C25" w14:textId="77777777" w:rsidR="00080D8F" w:rsidRPr="00080D8F" w:rsidRDefault="00080D8F" w:rsidP="00080D8F">
      <w:pPr>
        <w:pStyle w:val="Body"/>
        <w:rPr>
          <w:rFonts w:ascii="Arial" w:hAnsi="Arial" w:cs="Arial"/>
        </w:rPr>
      </w:pPr>
      <w:r w:rsidRPr="00080D8F">
        <w:rPr>
          <w:rFonts w:ascii="Arial" w:hAnsi="Arial" w:cs="Arial"/>
        </w:rPr>
        <w:t xml:space="preserve"> </w:t>
      </w:r>
      <w:proofErr w:type="spellStart"/>
      <w:r w:rsidRPr="00080D8F">
        <w:rPr>
          <w:rFonts w:ascii="Arial" w:hAnsi="Arial" w:cs="Arial"/>
        </w:rPr>
        <w:t>TIg</w:t>
      </w:r>
      <w:proofErr w:type="spellEnd"/>
      <w:r w:rsidRPr="00080D8F">
        <w:rPr>
          <w:rFonts w:ascii="Arial" w:hAnsi="Arial" w:cs="Arial"/>
        </w:rPr>
        <w:t xml:space="preserve"> (</w:t>
      </w:r>
      <w:proofErr w:type="gramStart"/>
      <w:r w:rsidRPr="00080D8F">
        <w:rPr>
          <w:rFonts w:ascii="Arial" w:hAnsi="Arial" w:cs="Arial"/>
        </w:rPr>
        <w:t>%)=</w:t>
      </w:r>
      <w:proofErr w:type="gramEnd"/>
      <w:r w:rsidRPr="00080D8F">
        <w:rPr>
          <w:rFonts w:ascii="Arial" w:hAnsi="Arial" w:cs="Arial"/>
        </w:rPr>
        <w:t>((</w:t>
      </w:r>
      <w:proofErr w:type="spellStart"/>
      <w:r w:rsidRPr="00080D8F">
        <w:rPr>
          <w:rFonts w:ascii="Arial" w:hAnsi="Arial" w:cs="Arial"/>
        </w:rPr>
        <w:t>NSGo-NSGt</w:t>
      </w:r>
      <w:proofErr w:type="spellEnd"/>
      <w:r w:rsidRPr="00080D8F">
        <w:rPr>
          <w:rFonts w:ascii="Arial" w:hAnsi="Arial" w:cs="Arial"/>
        </w:rPr>
        <w:t>))/</w:t>
      </w:r>
      <w:proofErr w:type="spellStart"/>
      <w:r w:rsidRPr="00080D8F">
        <w:rPr>
          <w:rFonts w:ascii="Arial" w:hAnsi="Arial" w:cs="Arial"/>
        </w:rPr>
        <w:t>NSGo</w:t>
      </w:r>
      <w:proofErr w:type="spellEnd"/>
      <w:r w:rsidRPr="00080D8F">
        <w:rPr>
          <w:rFonts w:ascii="Arial" w:hAnsi="Arial" w:cs="Arial"/>
        </w:rPr>
        <w:t xml:space="preserve"> x 100 ; with : </w:t>
      </w:r>
      <w:proofErr w:type="spellStart"/>
      <w:r w:rsidRPr="00080D8F">
        <w:rPr>
          <w:rFonts w:ascii="Arial" w:hAnsi="Arial" w:cs="Arial"/>
        </w:rPr>
        <w:t>NSGo</w:t>
      </w:r>
      <w:proofErr w:type="spellEnd"/>
      <w:r w:rsidRPr="00080D8F">
        <w:rPr>
          <w:rFonts w:ascii="Arial" w:hAnsi="Arial" w:cs="Arial"/>
        </w:rPr>
        <w:t xml:space="preserve">: number of spores germinated in the culture medium without fungicide or oils, </w:t>
      </w:r>
      <w:proofErr w:type="spellStart"/>
      <w:r w:rsidRPr="00080D8F">
        <w:rPr>
          <w:rFonts w:ascii="Arial" w:hAnsi="Arial" w:cs="Arial"/>
        </w:rPr>
        <w:t>NSGt</w:t>
      </w:r>
      <w:proofErr w:type="spellEnd"/>
      <w:r w:rsidRPr="00080D8F">
        <w:rPr>
          <w:rFonts w:ascii="Arial" w:hAnsi="Arial" w:cs="Arial"/>
        </w:rPr>
        <w:t>: number of spores germinated in the medium supplemented with fungicides and oils.</w:t>
      </w:r>
    </w:p>
    <w:p w14:paraId="4B944EB3" w14:textId="547A7A12" w:rsidR="00080D8F" w:rsidRPr="00B459F4" w:rsidRDefault="00595B34" w:rsidP="00080D8F">
      <w:pPr>
        <w:pStyle w:val="Body"/>
        <w:rPr>
          <w:rFonts w:ascii="Arial" w:hAnsi="Arial" w:cs="Arial"/>
          <w:b/>
          <w:bCs/>
          <w:sz w:val="22"/>
          <w:szCs w:val="22"/>
        </w:rPr>
      </w:pPr>
      <w:r w:rsidRPr="00B459F4">
        <w:rPr>
          <w:rFonts w:ascii="Arial" w:hAnsi="Arial" w:cs="Arial"/>
          <w:b/>
          <w:bCs/>
          <w:sz w:val="22"/>
          <w:szCs w:val="22"/>
        </w:rPr>
        <w:t xml:space="preserve">2.7. </w:t>
      </w:r>
      <w:r w:rsidR="00080D8F" w:rsidRPr="00B459F4">
        <w:rPr>
          <w:rFonts w:ascii="Arial" w:hAnsi="Arial" w:cs="Arial"/>
          <w:b/>
          <w:bCs/>
          <w:sz w:val="22"/>
          <w:szCs w:val="22"/>
        </w:rPr>
        <w:t xml:space="preserve">Determination of the effectiveness level of synthetic fungicides and essential oils </w:t>
      </w:r>
    </w:p>
    <w:p w14:paraId="242E8D7E" w14:textId="5A11C91F" w:rsidR="002451A8" w:rsidRPr="002451A8" w:rsidRDefault="00080D8F" w:rsidP="002451A8">
      <w:pPr>
        <w:pStyle w:val="Body"/>
        <w:rPr>
          <w:rFonts w:ascii="Arial" w:hAnsi="Arial" w:cs="Arial"/>
        </w:rPr>
      </w:pPr>
      <w:r w:rsidRPr="00080D8F">
        <w:rPr>
          <w:rFonts w:ascii="Arial" w:hAnsi="Arial" w:cs="Arial"/>
        </w:rPr>
        <w:t xml:space="preserve">The level of sensitivity or resistance of the fungus to synthetic fungicides and essential oils was determined according to the </w:t>
      </w:r>
      <w:proofErr w:type="spellStart"/>
      <w:r w:rsidRPr="00080D8F">
        <w:rPr>
          <w:rFonts w:ascii="Arial" w:hAnsi="Arial" w:cs="Arial"/>
        </w:rPr>
        <w:t>Paranagama</w:t>
      </w:r>
      <w:proofErr w:type="spellEnd"/>
      <w:r w:rsidRPr="00080D8F">
        <w:rPr>
          <w:rFonts w:ascii="Arial" w:hAnsi="Arial" w:cs="Arial"/>
        </w:rPr>
        <w:t xml:space="preserve"> et al. (2003) scale (</w:t>
      </w:r>
      <w:r w:rsidRPr="002451A8">
        <w:rPr>
          <w:rFonts w:ascii="Arial" w:hAnsi="Arial" w:cs="Arial"/>
          <w:b/>
          <w:bCs/>
        </w:rPr>
        <w:t>Table. II).</w:t>
      </w:r>
      <w:r w:rsidRPr="00080D8F">
        <w:rPr>
          <w:rFonts w:ascii="Arial" w:hAnsi="Arial" w:cs="Arial"/>
        </w:rPr>
        <w:t xml:space="preserve"> The assessment of the effectiveness of synthetic fungicides and essential oils was based on the percentage of overall inhibition, with the mean inhibition percentage calculated for each dose.</w:t>
      </w:r>
      <w:r w:rsidRPr="00080D8F">
        <w:rPr>
          <w:rFonts w:ascii="Arial" w:hAnsi="Arial" w:cs="Arial"/>
        </w:rPr>
        <w:tab/>
      </w:r>
    </w:p>
    <w:p w14:paraId="28F6EB9F" w14:textId="77777777" w:rsidR="002451A8" w:rsidRPr="002451A8" w:rsidRDefault="002451A8" w:rsidP="002451A8">
      <w:pPr>
        <w:spacing w:line="276" w:lineRule="auto"/>
        <w:rPr>
          <w:rFonts w:ascii="Arial" w:hAnsi="Arial" w:cs="Arial"/>
        </w:rPr>
      </w:pPr>
      <w:bookmarkStart w:id="1" w:name="_Hlk217434531"/>
      <w:r w:rsidRPr="002451A8">
        <w:rPr>
          <w:rFonts w:ascii="Arial" w:hAnsi="Arial" w:cs="Arial"/>
          <w:b/>
          <w:bCs/>
        </w:rPr>
        <w:t>Table II</w:t>
      </w:r>
      <w:r w:rsidRPr="002451A8">
        <w:rPr>
          <w:rFonts w:ascii="Arial" w:hAnsi="Arial" w:cs="Arial"/>
        </w:rPr>
        <w:t xml:space="preserve">. Level of effectiveness of synthetic fungicides and essential oils based on the scale used by </w:t>
      </w:r>
      <w:proofErr w:type="spellStart"/>
      <w:r w:rsidRPr="002451A8">
        <w:rPr>
          <w:rFonts w:ascii="Arial" w:hAnsi="Arial" w:cs="Arial"/>
        </w:rPr>
        <w:t>Paranagama</w:t>
      </w:r>
      <w:proofErr w:type="spellEnd"/>
      <w:r w:rsidRPr="002451A8">
        <w:rPr>
          <w:rFonts w:ascii="Arial" w:hAnsi="Arial" w:cs="Arial"/>
        </w:rPr>
        <w:t xml:space="preserve"> et al. (2003)</w:t>
      </w:r>
    </w:p>
    <w:tbl>
      <w:tblPr>
        <w:tblStyle w:val="PlainTable2"/>
        <w:tblW w:w="9120" w:type="dxa"/>
        <w:tblBorders>
          <w:top w:val="single" w:sz="12" w:space="0" w:color="000000" w:themeColor="text1"/>
          <w:bottom w:val="single" w:sz="12" w:space="0" w:color="000000" w:themeColor="text1"/>
        </w:tblBorders>
        <w:tblLook w:val="04A0" w:firstRow="1" w:lastRow="0" w:firstColumn="1" w:lastColumn="0" w:noHBand="0" w:noVBand="1"/>
      </w:tblPr>
      <w:tblGrid>
        <w:gridCol w:w="1018"/>
        <w:gridCol w:w="2051"/>
        <w:gridCol w:w="2784"/>
        <w:gridCol w:w="3267"/>
      </w:tblGrid>
      <w:tr w:rsidR="002451A8" w:rsidRPr="002451A8" w14:paraId="235B1585" w14:textId="77777777" w:rsidTr="00A76C67">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018" w:type="dxa"/>
            <w:tcBorders>
              <w:top w:val="single" w:sz="12" w:space="0" w:color="000000" w:themeColor="text1"/>
              <w:bottom w:val="single" w:sz="12" w:space="0" w:color="000000" w:themeColor="text1"/>
            </w:tcBorders>
          </w:tcPr>
          <w:p w14:paraId="23BA0C3A"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Scale</w:t>
            </w:r>
          </w:p>
          <w:p w14:paraId="3373E244" w14:textId="77777777" w:rsidR="002451A8" w:rsidRPr="002451A8" w:rsidRDefault="002451A8" w:rsidP="00A76C67">
            <w:pPr>
              <w:spacing w:line="276" w:lineRule="auto"/>
              <w:rPr>
                <w:rFonts w:ascii="Arial" w:eastAsia="Times New Roman" w:hAnsi="Arial" w:cs="Arial"/>
                <w:b w:val="0"/>
                <w:bCs w:val="0"/>
                <w:sz w:val="20"/>
                <w:szCs w:val="20"/>
                <w:lang w:val="en-US"/>
              </w:rPr>
            </w:pPr>
          </w:p>
        </w:tc>
        <w:tc>
          <w:tcPr>
            <w:tcW w:w="2051" w:type="dxa"/>
            <w:tcBorders>
              <w:top w:val="single" w:sz="12" w:space="0" w:color="000000" w:themeColor="text1"/>
              <w:bottom w:val="single" w:sz="12" w:space="0" w:color="000000" w:themeColor="text1"/>
            </w:tcBorders>
          </w:tcPr>
          <w:p w14:paraId="7FBC1255"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Mycelial inhibition rate class I (%)</w:t>
            </w:r>
          </w:p>
          <w:p w14:paraId="6D183997"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p>
        </w:tc>
        <w:tc>
          <w:tcPr>
            <w:tcW w:w="2784" w:type="dxa"/>
            <w:tcBorders>
              <w:top w:val="single" w:sz="12" w:space="0" w:color="000000" w:themeColor="text1"/>
              <w:bottom w:val="single" w:sz="12" w:space="0" w:color="000000" w:themeColor="text1"/>
            </w:tcBorders>
          </w:tcPr>
          <w:p w14:paraId="556659A7"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Fungal sensitivity/resistance level</w:t>
            </w:r>
          </w:p>
          <w:p w14:paraId="528A48FD"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p>
        </w:tc>
        <w:tc>
          <w:tcPr>
            <w:tcW w:w="3267" w:type="dxa"/>
            <w:tcBorders>
              <w:top w:val="single" w:sz="12" w:space="0" w:color="000000" w:themeColor="text1"/>
              <w:bottom w:val="single" w:sz="12" w:space="0" w:color="000000" w:themeColor="text1"/>
            </w:tcBorders>
          </w:tcPr>
          <w:p w14:paraId="1E1EEC47" w14:textId="77777777" w:rsidR="002451A8" w:rsidRPr="002451A8" w:rsidRDefault="002451A8"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Fungicide/essential oil efficacy level</w:t>
            </w:r>
          </w:p>
        </w:tc>
      </w:tr>
      <w:tr w:rsidR="002451A8" w:rsidRPr="002451A8" w14:paraId="02FE98D8" w14:textId="77777777" w:rsidTr="00A76C6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18" w:type="dxa"/>
            <w:tcBorders>
              <w:top w:val="single" w:sz="12" w:space="0" w:color="000000" w:themeColor="text1"/>
              <w:bottom w:val="none" w:sz="0" w:space="0" w:color="auto"/>
            </w:tcBorders>
          </w:tcPr>
          <w:p w14:paraId="78554BDB"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1</w:t>
            </w:r>
          </w:p>
        </w:tc>
        <w:tc>
          <w:tcPr>
            <w:tcW w:w="2051" w:type="dxa"/>
            <w:tcBorders>
              <w:top w:val="single" w:sz="12" w:space="0" w:color="000000" w:themeColor="text1"/>
              <w:bottom w:val="none" w:sz="0" w:space="0" w:color="auto"/>
            </w:tcBorders>
          </w:tcPr>
          <w:p w14:paraId="7B4C07C4"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75 % ˂ I ≤ 100 %</w:t>
            </w:r>
          </w:p>
        </w:tc>
        <w:tc>
          <w:tcPr>
            <w:tcW w:w="2784" w:type="dxa"/>
            <w:tcBorders>
              <w:top w:val="single" w:sz="12" w:space="0" w:color="000000" w:themeColor="text1"/>
              <w:bottom w:val="none" w:sz="0" w:space="0" w:color="auto"/>
            </w:tcBorders>
          </w:tcPr>
          <w:p w14:paraId="2ED2EA1B"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Very Sensitive</w:t>
            </w:r>
          </w:p>
        </w:tc>
        <w:tc>
          <w:tcPr>
            <w:tcW w:w="3267" w:type="dxa"/>
            <w:tcBorders>
              <w:top w:val="single" w:sz="12" w:space="0" w:color="000000" w:themeColor="text1"/>
              <w:bottom w:val="none" w:sz="0" w:space="0" w:color="auto"/>
            </w:tcBorders>
          </w:tcPr>
          <w:p w14:paraId="6C6BEA0B"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Very effective (VE)</w:t>
            </w:r>
          </w:p>
        </w:tc>
      </w:tr>
      <w:tr w:rsidR="002451A8" w:rsidRPr="002451A8" w14:paraId="2C62A176" w14:textId="77777777" w:rsidTr="00A76C67">
        <w:trPr>
          <w:trHeight w:val="371"/>
        </w:trPr>
        <w:tc>
          <w:tcPr>
            <w:cnfStyle w:val="001000000000" w:firstRow="0" w:lastRow="0" w:firstColumn="1" w:lastColumn="0" w:oddVBand="0" w:evenVBand="0" w:oddHBand="0" w:evenHBand="0" w:firstRowFirstColumn="0" w:firstRowLastColumn="0" w:lastRowFirstColumn="0" w:lastRowLastColumn="0"/>
            <w:tcW w:w="1018" w:type="dxa"/>
          </w:tcPr>
          <w:p w14:paraId="7C3A38D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2</w:t>
            </w:r>
          </w:p>
        </w:tc>
        <w:tc>
          <w:tcPr>
            <w:tcW w:w="2051" w:type="dxa"/>
          </w:tcPr>
          <w:p w14:paraId="60A43813"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50 % ˂ I ≤ 75 %</w:t>
            </w:r>
          </w:p>
        </w:tc>
        <w:tc>
          <w:tcPr>
            <w:tcW w:w="2784" w:type="dxa"/>
          </w:tcPr>
          <w:p w14:paraId="17080DE4"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Sensitive</w:t>
            </w:r>
          </w:p>
        </w:tc>
        <w:tc>
          <w:tcPr>
            <w:tcW w:w="3267" w:type="dxa"/>
          </w:tcPr>
          <w:p w14:paraId="2B09A744"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Effective (E)</w:t>
            </w:r>
          </w:p>
        </w:tc>
      </w:tr>
      <w:tr w:rsidR="002451A8" w:rsidRPr="002451A8" w14:paraId="567C0FC3" w14:textId="77777777" w:rsidTr="00A76C67">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018" w:type="dxa"/>
            <w:tcBorders>
              <w:top w:val="none" w:sz="0" w:space="0" w:color="auto"/>
              <w:bottom w:val="none" w:sz="0" w:space="0" w:color="auto"/>
            </w:tcBorders>
          </w:tcPr>
          <w:p w14:paraId="5ED909D3"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3</w:t>
            </w:r>
          </w:p>
        </w:tc>
        <w:tc>
          <w:tcPr>
            <w:tcW w:w="2051" w:type="dxa"/>
            <w:tcBorders>
              <w:top w:val="none" w:sz="0" w:space="0" w:color="auto"/>
              <w:bottom w:val="none" w:sz="0" w:space="0" w:color="auto"/>
            </w:tcBorders>
          </w:tcPr>
          <w:p w14:paraId="475ADB50"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25 % ≤ I ≤ 50 %</w:t>
            </w:r>
          </w:p>
        </w:tc>
        <w:tc>
          <w:tcPr>
            <w:tcW w:w="2784" w:type="dxa"/>
            <w:tcBorders>
              <w:top w:val="none" w:sz="0" w:space="0" w:color="auto"/>
              <w:bottom w:val="none" w:sz="0" w:space="0" w:color="auto"/>
            </w:tcBorders>
          </w:tcPr>
          <w:p w14:paraId="039C68F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Moderately Resistant</w:t>
            </w:r>
          </w:p>
        </w:tc>
        <w:tc>
          <w:tcPr>
            <w:tcW w:w="3267" w:type="dxa"/>
            <w:tcBorders>
              <w:top w:val="none" w:sz="0" w:space="0" w:color="auto"/>
              <w:bottom w:val="none" w:sz="0" w:space="0" w:color="auto"/>
            </w:tcBorders>
          </w:tcPr>
          <w:p w14:paraId="2273FB4A" w14:textId="77777777" w:rsidR="002451A8" w:rsidRPr="002451A8" w:rsidRDefault="002451A8"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Moderately effective (ME)</w:t>
            </w:r>
          </w:p>
        </w:tc>
      </w:tr>
      <w:tr w:rsidR="002451A8" w:rsidRPr="002451A8" w14:paraId="61398433" w14:textId="77777777" w:rsidTr="00A76C67">
        <w:trPr>
          <w:trHeight w:val="371"/>
        </w:trPr>
        <w:tc>
          <w:tcPr>
            <w:cnfStyle w:val="001000000000" w:firstRow="0" w:lastRow="0" w:firstColumn="1" w:lastColumn="0" w:oddVBand="0" w:evenVBand="0" w:oddHBand="0" w:evenHBand="0" w:firstRowFirstColumn="0" w:firstRowLastColumn="0" w:lastRowFirstColumn="0" w:lastRowLastColumn="0"/>
            <w:tcW w:w="1018" w:type="dxa"/>
          </w:tcPr>
          <w:p w14:paraId="7075896C" w14:textId="77777777" w:rsidR="002451A8" w:rsidRPr="002451A8" w:rsidRDefault="002451A8" w:rsidP="00A76C67">
            <w:pPr>
              <w:spacing w:line="276" w:lineRule="auto"/>
              <w:rPr>
                <w:rFonts w:ascii="Arial" w:eastAsia="Times New Roman" w:hAnsi="Arial" w:cs="Arial"/>
                <w:b w:val="0"/>
                <w:bCs w:val="0"/>
                <w:sz w:val="20"/>
                <w:szCs w:val="20"/>
                <w:lang w:val="en-US"/>
              </w:rPr>
            </w:pPr>
            <w:r w:rsidRPr="002451A8">
              <w:rPr>
                <w:rFonts w:ascii="Arial" w:eastAsia="Times New Roman" w:hAnsi="Arial" w:cs="Arial"/>
                <w:b w:val="0"/>
                <w:bCs w:val="0"/>
                <w:sz w:val="20"/>
                <w:szCs w:val="20"/>
                <w:lang w:val="en-US"/>
              </w:rPr>
              <w:t>4</w:t>
            </w:r>
          </w:p>
        </w:tc>
        <w:tc>
          <w:tcPr>
            <w:tcW w:w="2051" w:type="dxa"/>
          </w:tcPr>
          <w:p w14:paraId="6825EF6A"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0% ≤ I ≤ 25 %</w:t>
            </w:r>
          </w:p>
        </w:tc>
        <w:tc>
          <w:tcPr>
            <w:tcW w:w="2784" w:type="dxa"/>
          </w:tcPr>
          <w:p w14:paraId="125EA707"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Resistant</w:t>
            </w:r>
          </w:p>
        </w:tc>
        <w:tc>
          <w:tcPr>
            <w:tcW w:w="3267" w:type="dxa"/>
          </w:tcPr>
          <w:p w14:paraId="543A7223" w14:textId="77777777" w:rsidR="002451A8" w:rsidRPr="002451A8" w:rsidRDefault="002451A8"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2451A8">
              <w:rPr>
                <w:rFonts w:ascii="Arial" w:eastAsia="Times New Roman" w:hAnsi="Arial" w:cs="Arial"/>
                <w:sz w:val="20"/>
                <w:szCs w:val="20"/>
                <w:lang w:val="en-US"/>
              </w:rPr>
              <w:t>Not effective (NE)</w:t>
            </w:r>
          </w:p>
        </w:tc>
      </w:tr>
    </w:tbl>
    <w:p w14:paraId="400AA0AF" w14:textId="5E26BC53" w:rsidR="002451A8" w:rsidRPr="00080D8F" w:rsidRDefault="002451A8" w:rsidP="008E6208">
      <w:pPr>
        <w:spacing w:line="276" w:lineRule="auto"/>
        <w:rPr>
          <w:rFonts w:ascii="Arial" w:hAnsi="Arial" w:cs="Arial"/>
        </w:rPr>
      </w:pPr>
      <w:bookmarkStart w:id="2" w:name="_Toc101436992"/>
      <w:bookmarkStart w:id="3" w:name="_Toc118478412"/>
      <w:bookmarkEnd w:id="1"/>
      <w:r w:rsidRPr="002451A8">
        <w:rPr>
          <w:rFonts w:ascii="Arial" w:hAnsi="Arial" w:cs="Arial"/>
        </w:rPr>
        <w:tab/>
      </w:r>
      <w:bookmarkEnd w:id="2"/>
      <w:bookmarkEnd w:id="3"/>
    </w:p>
    <w:p w14:paraId="61A88185" w14:textId="2847C0B6" w:rsidR="00080D8F" w:rsidRPr="00B459F4" w:rsidRDefault="00595B34" w:rsidP="00080D8F">
      <w:pPr>
        <w:pStyle w:val="Body"/>
        <w:rPr>
          <w:rFonts w:ascii="Arial" w:hAnsi="Arial" w:cs="Arial"/>
          <w:b/>
          <w:bCs/>
          <w:sz w:val="22"/>
          <w:szCs w:val="22"/>
        </w:rPr>
      </w:pPr>
      <w:r w:rsidRPr="00B459F4">
        <w:rPr>
          <w:rFonts w:ascii="Arial" w:hAnsi="Arial" w:cs="Arial"/>
          <w:b/>
          <w:bCs/>
          <w:sz w:val="22"/>
          <w:szCs w:val="22"/>
        </w:rPr>
        <w:t xml:space="preserve">2.8. </w:t>
      </w:r>
      <w:r w:rsidR="00080D8F" w:rsidRPr="00B459F4">
        <w:rPr>
          <w:rFonts w:ascii="Arial" w:hAnsi="Arial" w:cs="Arial"/>
          <w:b/>
          <w:bCs/>
          <w:sz w:val="22"/>
          <w:szCs w:val="22"/>
        </w:rPr>
        <w:t>Data processing and analysis</w:t>
      </w:r>
    </w:p>
    <w:p w14:paraId="669B5451" w14:textId="187DAFB9" w:rsidR="00080D8F" w:rsidRDefault="00080D8F" w:rsidP="00080D8F">
      <w:pPr>
        <w:pStyle w:val="Body"/>
        <w:spacing w:after="0"/>
        <w:rPr>
          <w:rFonts w:ascii="Arial" w:hAnsi="Arial" w:cs="Arial"/>
        </w:rPr>
      </w:pPr>
      <w:r w:rsidRPr="00080D8F">
        <w:rPr>
          <w:rFonts w:ascii="Arial" w:hAnsi="Arial" w:cs="Arial"/>
        </w:rPr>
        <w:lastRenderedPageBreak/>
        <w:t>The data were entered and processed using Excel 2016. The XLSTAT 2016.02.27444-ANOVA software was used for variance analysis, followed by mean comparison using the Newman-Keuls (SNK) statistical test at a 5% significance level.</w:t>
      </w:r>
    </w:p>
    <w:p w14:paraId="5012C655" w14:textId="77777777" w:rsidR="00080D8F" w:rsidRDefault="00080D8F" w:rsidP="00441B6F">
      <w:pPr>
        <w:pStyle w:val="Body"/>
        <w:spacing w:after="0"/>
        <w:rPr>
          <w:rFonts w:ascii="Arial" w:hAnsi="Arial" w:cs="Arial"/>
        </w:rPr>
      </w:pPr>
    </w:p>
    <w:p w14:paraId="22631BB1" w14:textId="77777777" w:rsidR="00790ADA" w:rsidRPr="00FB3A86" w:rsidRDefault="00790ADA" w:rsidP="00441B6F">
      <w:pPr>
        <w:pStyle w:val="Body"/>
        <w:spacing w:after="0"/>
        <w:rPr>
          <w:rFonts w:ascii="Arial" w:hAnsi="Arial" w:cs="Arial"/>
        </w:rPr>
      </w:pPr>
    </w:p>
    <w:p w14:paraId="4F2A101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2A7496D" w14:textId="77777777" w:rsidR="009E5F17" w:rsidRDefault="009E5F17" w:rsidP="00441B6F">
      <w:pPr>
        <w:pStyle w:val="Head1"/>
        <w:spacing w:after="0"/>
        <w:jc w:val="both"/>
        <w:rPr>
          <w:rFonts w:ascii="Arial" w:hAnsi="Arial" w:cs="Arial"/>
        </w:rPr>
      </w:pPr>
    </w:p>
    <w:p w14:paraId="63CF9D40" w14:textId="0037AC01" w:rsidR="009E5F17" w:rsidRPr="00B459F4" w:rsidRDefault="008A5574" w:rsidP="009E5F17">
      <w:pPr>
        <w:spacing w:line="276" w:lineRule="auto"/>
        <w:rPr>
          <w:rFonts w:ascii="Arial" w:hAnsi="Arial" w:cs="Arial"/>
          <w:sz w:val="22"/>
          <w:szCs w:val="22"/>
        </w:rPr>
      </w:pPr>
      <w:r w:rsidRPr="00B459F4">
        <w:rPr>
          <w:rFonts w:ascii="Arial" w:hAnsi="Arial" w:cs="Arial"/>
          <w:b/>
          <w:bCs/>
          <w:sz w:val="22"/>
          <w:szCs w:val="22"/>
        </w:rPr>
        <w:t xml:space="preserve">3.1. </w:t>
      </w:r>
      <w:r w:rsidR="009E5F17" w:rsidRPr="00B459F4">
        <w:rPr>
          <w:rFonts w:ascii="Arial" w:hAnsi="Arial" w:cs="Arial"/>
          <w:b/>
          <w:bCs/>
          <w:sz w:val="22"/>
          <w:szCs w:val="22"/>
        </w:rPr>
        <w:t>Results</w:t>
      </w:r>
    </w:p>
    <w:p w14:paraId="2ED0828F" w14:textId="79D3FBB3" w:rsidR="009E5F17" w:rsidRPr="003263A3" w:rsidRDefault="008A5574" w:rsidP="009E5F17">
      <w:pPr>
        <w:spacing w:line="276" w:lineRule="auto"/>
        <w:rPr>
          <w:rFonts w:ascii="Arial" w:hAnsi="Arial" w:cs="Arial"/>
          <w:b/>
          <w:bCs/>
        </w:rPr>
      </w:pPr>
      <w:r>
        <w:rPr>
          <w:rFonts w:ascii="Arial" w:hAnsi="Arial" w:cs="Arial"/>
          <w:b/>
          <w:bCs/>
        </w:rPr>
        <w:t xml:space="preserve">3.1.1. </w:t>
      </w:r>
      <w:r w:rsidR="009E5F17" w:rsidRPr="003263A3">
        <w:rPr>
          <w:rFonts w:ascii="Arial" w:hAnsi="Arial" w:cs="Arial"/>
          <w:b/>
          <w:bCs/>
        </w:rPr>
        <w:t xml:space="preserve">In vitro effect of essential oils and synthetic fungicides on the radial mycelial growth of </w:t>
      </w:r>
      <w:proofErr w:type="spellStart"/>
      <w:r w:rsidR="009E5F17" w:rsidRPr="003263A3">
        <w:rPr>
          <w:rFonts w:ascii="Arial" w:hAnsi="Arial" w:cs="Arial"/>
          <w:b/>
          <w:bCs/>
          <w:i/>
          <w:iCs/>
        </w:rPr>
        <w:t>Mycosphaerella</w:t>
      </w:r>
      <w:proofErr w:type="spellEnd"/>
      <w:r w:rsidR="009E5F17" w:rsidRPr="003263A3">
        <w:rPr>
          <w:rFonts w:ascii="Arial" w:hAnsi="Arial" w:cs="Arial"/>
          <w:b/>
          <w:bCs/>
          <w:i/>
          <w:iCs/>
        </w:rPr>
        <w:t xml:space="preserve"> </w:t>
      </w:r>
      <w:proofErr w:type="spellStart"/>
      <w:r w:rsidR="009E5F17" w:rsidRPr="003263A3">
        <w:rPr>
          <w:rFonts w:ascii="Arial" w:hAnsi="Arial" w:cs="Arial"/>
          <w:b/>
          <w:bCs/>
          <w:i/>
          <w:iCs/>
        </w:rPr>
        <w:t>fijiensis</w:t>
      </w:r>
      <w:proofErr w:type="spellEnd"/>
      <w:r w:rsidR="009E5F17" w:rsidRPr="003263A3">
        <w:rPr>
          <w:rFonts w:ascii="Arial" w:hAnsi="Arial" w:cs="Arial"/>
          <w:b/>
          <w:bCs/>
        </w:rPr>
        <w:t xml:space="preserve">. </w:t>
      </w:r>
    </w:p>
    <w:p w14:paraId="102D676B" w14:textId="20D9DE42" w:rsidR="009E5F17" w:rsidRDefault="009E5F17" w:rsidP="009E5F17">
      <w:pPr>
        <w:spacing w:line="276" w:lineRule="auto"/>
        <w:jc w:val="both"/>
        <w:rPr>
          <w:rFonts w:ascii="Arial" w:hAnsi="Arial" w:cs="Arial"/>
        </w:rPr>
      </w:pPr>
      <w:r w:rsidRPr="003263A3">
        <w:rPr>
          <w:rFonts w:ascii="Arial" w:hAnsi="Arial" w:cs="Arial"/>
        </w:rPr>
        <w:t>The effects of essential oils and fungicides on mycelial growth vary with product type and the dose, with highly significant differences (P &lt; 0.001). From the 2nd to the 8th day after inoculation, all treatments, except for the control, caused partial or complete growth inhibition (</w:t>
      </w:r>
      <w:r w:rsidRPr="003263A3">
        <w:rPr>
          <w:rFonts w:ascii="Arial" w:hAnsi="Arial" w:cs="Arial"/>
          <w:b/>
          <w:bCs/>
        </w:rPr>
        <w:t>Fig. 2</w:t>
      </w:r>
      <w:r w:rsidRPr="003263A3">
        <w:rPr>
          <w:rFonts w:ascii="Arial" w:hAnsi="Arial" w:cs="Arial"/>
        </w:rPr>
        <w:t xml:space="preserve">). On the eighth day, the low-dose treatment showed the highest growth in the control (8.5 cm), followed by the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treatment (6.5 cm). In comparison, Mancozeb, copper hydroxide, and </w:t>
      </w:r>
      <w:proofErr w:type="spellStart"/>
      <w:r w:rsidRPr="003263A3">
        <w:rPr>
          <w:rFonts w:ascii="Arial" w:hAnsi="Arial" w:cs="Arial"/>
          <w:i/>
          <w:iCs/>
        </w:rPr>
        <w:t>Ocimum</w:t>
      </w:r>
      <w:proofErr w:type="spellEnd"/>
      <w:r w:rsidRPr="003263A3">
        <w:rPr>
          <w:rFonts w:ascii="Arial" w:hAnsi="Arial" w:cs="Arial"/>
          <w:i/>
          <w:iCs/>
        </w:rPr>
        <w:t xml:space="preserve"> </w:t>
      </w:r>
      <w:proofErr w:type="spellStart"/>
      <w:r w:rsidRPr="003263A3">
        <w:rPr>
          <w:rFonts w:ascii="Arial" w:hAnsi="Arial" w:cs="Arial"/>
          <w:i/>
          <w:iCs/>
        </w:rPr>
        <w:t>gratissimum</w:t>
      </w:r>
      <w:proofErr w:type="spellEnd"/>
      <w:r w:rsidRPr="003263A3">
        <w:rPr>
          <w:rFonts w:ascii="Arial" w:hAnsi="Arial" w:cs="Arial"/>
        </w:rPr>
        <w:t xml:space="preserve"> showed significantly reduced growth (0 cm, 1.05 cm, and 3.2 cm, respectively). The inhibitory power of essential oils increases with the dose, while Mancozeb completely inhibits growth even at the lowest dose, unlike copper hydroxide.</w:t>
      </w:r>
    </w:p>
    <w:p w14:paraId="40A331CA" w14:textId="77777777" w:rsidR="0010450C" w:rsidRPr="00444226" w:rsidRDefault="0010450C" w:rsidP="0010450C">
      <w:pPr>
        <w:spacing w:line="276" w:lineRule="auto"/>
        <w:rPr>
          <w:rFonts w:ascii="Times New Roman" w:hAnsi="Times New Roman"/>
          <w:sz w:val="26"/>
          <w:szCs w:val="26"/>
        </w:rPr>
      </w:pPr>
    </w:p>
    <w:p w14:paraId="4FB9FBF5" w14:textId="77777777" w:rsidR="0010450C" w:rsidRPr="00444226" w:rsidRDefault="0010450C" w:rsidP="0010450C">
      <w:pPr>
        <w:spacing w:line="276" w:lineRule="auto"/>
        <w:rPr>
          <w:rStyle w:val="fontstyle01"/>
          <w:rFonts w:ascii="Times New Roman" w:hAnsi="Times New Roman"/>
          <w:sz w:val="26"/>
          <w:szCs w:val="26"/>
        </w:rPr>
      </w:pPr>
      <w:r w:rsidRPr="00444226">
        <w:rPr>
          <w:rStyle w:val="fontstyle01"/>
          <w:rFonts w:ascii="Times New Roman" w:hAnsi="Times New Roman"/>
          <w:noProof/>
          <w:sz w:val="26"/>
          <w:szCs w:val="26"/>
          <w:lang w:eastAsia="fr-FR"/>
        </w:rPr>
        <w:drawing>
          <wp:inline distT="0" distB="0" distL="0" distR="0" wp14:anchorId="70B9C3B8" wp14:editId="2E34C387">
            <wp:extent cx="5594350" cy="12518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49896" cy="1264270"/>
                    </a:xfrm>
                    <a:prstGeom prst="rect">
                      <a:avLst/>
                    </a:prstGeom>
                    <a:noFill/>
                  </pic:spPr>
                </pic:pic>
              </a:graphicData>
            </a:graphic>
          </wp:inline>
        </w:drawing>
      </w:r>
    </w:p>
    <w:p w14:paraId="2D03BD39" w14:textId="77777777" w:rsidR="0010450C" w:rsidRPr="0010450C" w:rsidRDefault="0010450C" w:rsidP="0010450C">
      <w:pPr>
        <w:spacing w:line="276" w:lineRule="auto"/>
        <w:rPr>
          <w:rFonts w:ascii="Arial" w:hAnsi="Arial" w:cs="Arial"/>
        </w:rPr>
      </w:pPr>
      <w:r w:rsidRPr="00B459F4">
        <w:rPr>
          <w:rFonts w:ascii="Arial" w:hAnsi="Arial" w:cs="Arial"/>
          <w:b/>
          <w:bCs/>
        </w:rPr>
        <w:t>Fig 2.</w:t>
      </w:r>
      <w:r w:rsidRPr="0010450C">
        <w:rPr>
          <w:rFonts w:ascii="Arial" w:hAnsi="Arial" w:cs="Arial"/>
        </w:rPr>
        <w:t xml:space="preserve"> Mycelial radial growth according to treatments at 8 days after emergence</w:t>
      </w:r>
    </w:p>
    <w:p w14:paraId="037EF7AC" w14:textId="77777777" w:rsidR="0010450C" w:rsidRPr="0010450C" w:rsidRDefault="0010450C" w:rsidP="0010450C">
      <w:pPr>
        <w:spacing w:line="276" w:lineRule="auto"/>
        <w:rPr>
          <w:rFonts w:ascii="Arial" w:hAnsi="Arial" w:cs="Arial"/>
        </w:rPr>
      </w:pPr>
      <w:r w:rsidRPr="0010450C">
        <w:rPr>
          <w:rFonts w:ascii="Arial" w:hAnsi="Arial" w:cs="Arial"/>
        </w:rPr>
        <w:t xml:space="preserve">Legend. (a) Radial growth on treatment with </w:t>
      </w:r>
      <w:proofErr w:type="spellStart"/>
      <w:r w:rsidRPr="0010450C">
        <w:rPr>
          <w:rFonts w:ascii="Arial" w:hAnsi="Arial" w:cs="Arial"/>
        </w:rPr>
        <w:t>Lippia</w:t>
      </w:r>
      <w:proofErr w:type="spellEnd"/>
      <w:r w:rsidRPr="0010450C">
        <w:rPr>
          <w:rFonts w:ascii="Arial" w:hAnsi="Arial" w:cs="Arial"/>
        </w:rPr>
        <w:t xml:space="preserve"> multiflora; (b) Radial growth on treatment with Copper Hydroxide; (c) Radial growth on treatment with Mancozeb; (d) Radial growth on treatment with </w:t>
      </w:r>
      <w:proofErr w:type="spellStart"/>
      <w:r w:rsidRPr="0010450C">
        <w:rPr>
          <w:rFonts w:ascii="Arial" w:hAnsi="Arial" w:cs="Arial"/>
        </w:rPr>
        <w:t>Ocimum</w:t>
      </w:r>
      <w:proofErr w:type="spellEnd"/>
      <w:r w:rsidRPr="0010450C">
        <w:rPr>
          <w:rFonts w:ascii="Arial" w:hAnsi="Arial" w:cs="Arial"/>
        </w:rPr>
        <w:t xml:space="preserve"> </w:t>
      </w:r>
      <w:proofErr w:type="spellStart"/>
      <w:r w:rsidRPr="0010450C">
        <w:rPr>
          <w:rFonts w:ascii="Arial" w:hAnsi="Arial" w:cs="Arial"/>
        </w:rPr>
        <w:t>gratissimum</w:t>
      </w:r>
      <w:proofErr w:type="spellEnd"/>
      <w:r w:rsidRPr="0010450C">
        <w:rPr>
          <w:rFonts w:ascii="Arial" w:hAnsi="Arial" w:cs="Arial"/>
        </w:rPr>
        <w:t xml:space="preserve"> </w:t>
      </w:r>
    </w:p>
    <w:p w14:paraId="29A52C5A" w14:textId="77777777" w:rsidR="0010450C" w:rsidRPr="003263A3" w:rsidRDefault="0010450C" w:rsidP="009E5F17">
      <w:pPr>
        <w:spacing w:line="276" w:lineRule="auto"/>
        <w:jc w:val="both"/>
        <w:rPr>
          <w:rFonts w:ascii="Arial" w:hAnsi="Arial" w:cs="Arial"/>
        </w:rPr>
      </w:pPr>
    </w:p>
    <w:p w14:paraId="6C99C2B7" w14:textId="61305F51" w:rsidR="009E5F17" w:rsidRDefault="009E5F17" w:rsidP="009E5F17">
      <w:pPr>
        <w:spacing w:line="276" w:lineRule="auto"/>
        <w:jc w:val="both"/>
        <w:rPr>
          <w:rFonts w:ascii="Arial" w:hAnsi="Arial" w:cs="Arial"/>
          <w:iCs/>
        </w:rPr>
      </w:pPr>
      <w:r w:rsidRPr="003263A3">
        <w:rPr>
          <w:rFonts w:ascii="Arial" w:hAnsi="Arial" w:cs="Arial"/>
          <w:iCs/>
        </w:rPr>
        <w:t>Analysis of radial growth inhibition rates by treatments (</w:t>
      </w:r>
      <w:r w:rsidRPr="003263A3">
        <w:rPr>
          <w:rFonts w:ascii="Arial" w:hAnsi="Arial" w:cs="Arial"/>
          <w:b/>
          <w:bCs/>
          <w:iCs/>
        </w:rPr>
        <w:t>Table. III</w:t>
      </w:r>
      <w:r w:rsidRPr="003263A3">
        <w:rPr>
          <w:rFonts w:ascii="Arial" w:hAnsi="Arial" w:cs="Arial"/>
          <w:iCs/>
        </w:rPr>
        <w:t xml:space="preserve">) reveals highly significant differences (P &lt; 0.001). On the 8th day, Mancozeb shows complete inhibition (100%) at all doses. The essential oil of </w:t>
      </w:r>
      <w:proofErr w:type="spellStart"/>
      <w:r w:rsidRPr="003263A3">
        <w:rPr>
          <w:rFonts w:ascii="Arial" w:hAnsi="Arial" w:cs="Arial"/>
          <w:i/>
        </w:rPr>
        <w:t>Ocimum</w:t>
      </w:r>
      <w:proofErr w:type="spellEnd"/>
      <w:r w:rsidRPr="003263A3">
        <w:rPr>
          <w:rFonts w:ascii="Arial" w:hAnsi="Arial" w:cs="Arial"/>
          <w:i/>
        </w:rPr>
        <w:t xml:space="preserve"> </w:t>
      </w:r>
      <w:proofErr w:type="spellStart"/>
      <w:r w:rsidRPr="003263A3">
        <w:rPr>
          <w:rFonts w:ascii="Arial" w:hAnsi="Arial" w:cs="Arial"/>
          <w:i/>
        </w:rPr>
        <w:t>gratissimum</w:t>
      </w:r>
      <w:proofErr w:type="spellEnd"/>
      <w:r w:rsidRPr="003263A3">
        <w:rPr>
          <w:rFonts w:ascii="Arial" w:hAnsi="Arial" w:cs="Arial"/>
          <w:iCs/>
        </w:rPr>
        <w:t xml:space="preserve"> reduces growth by 62.35% at a low dose and by 100% at medium and high doses. Copper hydroxide shows relatively consistent inhibition rates (85–87%) regardless of the dose level, while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exhibits 23%, 62%, and 100% inhibition at low, medium, and high doses, respectively. Overall, Mancozeb appears to be the most fungitoxic product (100%), followed by the essential oil of </w:t>
      </w:r>
      <w:r w:rsidRPr="003263A3">
        <w:rPr>
          <w:rFonts w:ascii="Arial" w:hAnsi="Arial" w:cs="Arial"/>
          <w:i/>
        </w:rPr>
        <w:t xml:space="preserve">O. </w:t>
      </w:r>
      <w:proofErr w:type="spellStart"/>
      <w:r w:rsidRPr="003263A3">
        <w:rPr>
          <w:rFonts w:ascii="Arial" w:hAnsi="Arial" w:cs="Arial"/>
          <w:i/>
        </w:rPr>
        <w:t>gratissimum</w:t>
      </w:r>
      <w:proofErr w:type="spellEnd"/>
      <w:r w:rsidRPr="003263A3">
        <w:rPr>
          <w:rFonts w:ascii="Arial" w:hAnsi="Arial" w:cs="Arial"/>
          <w:iCs/>
        </w:rPr>
        <w:t xml:space="preserve"> (87.45%), copper hydroxide (86.34%), and the essential oil of L. multiflora (61.76%). Dose analysis confirms that Mancozeb and copper hydroxide are highly effective at all concentrations. The essential oil of </w:t>
      </w:r>
      <w:r w:rsidRPr="003263A3">
        <w:rPr>
          <w:rFonts w:ascii="Arial" w:hAnsi="Arial" w:cs="Arial"/>
          <w:i/>
        </w:rPr>
        <w:t xml:space="preserve">O. </w:t>
      </w:r>
      <w:proofErr w:type="spellStart"/>
      <w:r w:rsidRPr="003263A3">
        <w:rPr>
          <w:rFonts w:ascii="Arial" w:hAnsi="Arial" w:cs="Arial"/>
          <w:i/>
        </w:rPr>
        <w:t>gratissimum</w:t>
      </w:r>
      <w:proofErr w:type="spellEnd"/>
      <w:r w:rsidRPr="003263A3">
        <w:rPr>
          <w:rFonts w:ascii="Arial" w:hAnsi="Arial" w:cs="Arial"/>
          <w:iCs/>
        </w:rPr>
        <w:t xml:space="preserve"> becomes very effective starting at the medium dose, while L. multiflora is only effective from the medium dose onward and becomes very effective at the high dose (</w:t>
      </w:r>
      <w:r w:rsidRPr="003263A3">
        <w:rPr>
          <w:rFonts w:ascii="Arial" w:hAnsi="Arial" w:cs="Arial"/>
          <w:b/>
          <w:bCs/>
          <w:iCs/>
        </w:rPr>
        <w:t>Fig. 3</w:t>
      </w:r>
      <w:r w:rsidRPr="003263A3">
        <w:rPr>
          <w:rFonts w:ascii="Arial" w:hAnsi="Arial" w:cs="Arial"/>
          <w:iCs/>
        </w:rPr>
        <w:t>).</w:t>
      </w:r>
    </w:p>
    <w:p w14:paraId="773276F3" w14:textId="77777777" w:rsidR="00AB20BB" w:rsidRPr="003C6DFD" w:rsidRDefault="00AB20BB" w:rsidP="00AB20BB">
      <w:pPr>
        <w:spacing w:line="276" w:lineRule="auto"/>
        <w:rPr>
          <w:rFonts w:ascii="Times New Roman" w:hAnsi="Times New Roman"/>
          <w:b/>
          <w:bCs/>
          <w:sz w:val="26"/>
          <w:szCs w:val="26"/>
        </w:rPr>
      </w:pPr>
    </w:p>
    <w:p w14:paraId="660A446E" w14:textId="77777777" w:rsidR="00AB20BB" w:rsidRPr="00AB20BB" w:rsidRDefault="00AB20BB" w:rsidP="00AB20BB">
      <w:pPr>
        <w:spacing w:line="276" w:lineRule="auto"/>
        <w:rPr>
          <w:rFonts w:ascii="Arial" w:hAnsi="Arial" w:cs="Arial"/>
          <w:iCs/>
        </w:rPr>
      </w:pPr>
      <w:r w:rsidRPr="00AB20BB">
        <w:rPr>
          <w:rFonts w:ascii="Arial" w:hAnsi="Arial" w:cs="Arial"/>
          <w:b/>
          <w:bCs/>
          <w:iCs/>
        </w:rPr>
        <w:t>Table III.</w:t>
      </w:r>
      <w:r w:rsidRPr="00AB20BB">
        <w:rPr>
          <w:rFonts w:ascii="Arial" w:hAnsi="Arial" w:cs="Arial"/>
          <w:iCs/>
        </w:rPr>
        <w:t xml:space="preserve"> Effects of treatments and doses on the radial growth of </w:t>
      </w:r>
      <w:proofErr w:type="spellStart"/>
      <w:r w:rsidRPr="00AB20BB">
        <w:rPr>
          <w:rFonts w:ascii="Arial" w:hAnsi="Arial" w:cs="Arial"/>
          <w:iCs/>
        </w:rPr>
        <w:t>Mycosphaerella</w:t>
      </w:r>
      <w:proofErr w:type="spellEnd"/>
      <w:r w:rsidRPr="00AB20BB">
        <w:rPr>
          <w:rFonts w:ascii="Arial" w:hAnsi="Arial" w:cs="Arial"/>
          <w:iCs/>
        </w:rPr>
        <w:t xml:space="preserve"> </w:t>
      </w:r>
      <w:proofErr w:type="spellStart"/>
      <w:r w:rsidRPr="00AB20BB">
        <w:rPr>
          <w:rFonts w:ascii="Arial" w:hAnsi="Arial" w:cs="Arial"/>
          <w:iCs/>
        </w:rPr>
        <w:t>fijiensis</w:t>
      </w:r>
      <w:proofErr w:type="spellEnd"/>
      <w:r w:rsidRPr="00AB20BB">
        <w:rPr>
          <w:rFonts w:ascii="Arial" w:hAnsi="Arial" w:cs="Arial"/>
          <w:iCs/>
        </w:rPr>
        <w:t xml:space="preserve"> mycelium.</w:t>
      </w:r>
    </w:p>
    <w:p w14:paraId="32F02F6A" w14:textId="77777777" w:rsidR="00AB20BB" w:rsidRPr="00AB20BB" w:rsidRDefault="00AB20BB" w:rsidP="00AB20BB">
      <w:pPr>
        <w:spacing w:line="276" w:lineRule="auto"/>
        <w:rPr>
          <w:rFonts w:ascii="Arial" w:hAnsi="Arial" w:cs="Arial"/>
          <w:iCs/>
        </w:rPr>
      </w:pPr>
    </w:p>
    <w:tbl>
      <w:tblPr>
        <w:tblStyle w:val="Tableausimple21"/>
        <w:tblW w:w="0" w:type="auto"/>
        <w:tblBorders>
          <w:top w:val="single" w:sz="4" w:space="0" w:color="auto"/>
          <w:bottom w:val="single" w:sz="4" w:space="0" w:color="auto"/>
          <w:insideH w:val="single" w:sz="4" w:space="0" w:color="7F7F7F"/>
        </w:tblBorders>
        <w:tblLook w:val="04A0" w:firstRow="1" w:lastRow="0" w:firstColumn="1" w:lastColumn="0" w:noHBand="0" w:noVBand="1"/>
      </w:tblPr>
      <w:tblGrid>
        <w:gridCol w:w="1755"/>
        <w:gridCol w:w="597"/>
        <w:gridCol w:w="597"/>
        <w:gridCol w:w="597"/>
        <w:gridCol w:w="598"/>
        <w:gridCol w:w="598"/>
        <w:gridCol w:w="598"/>
        <w:gridCol w:w="598"/>
        <w:gridCol w:w="598"/>
        <w:gridCol w:w="598"/>
        <w:gridCol w:w="598"/>
        <w:gridCol w:w="598"/>
        <w:gridCol w:w="598"/>
      </w:tblGrid>
      <w:tr w:rsidR="00AB20BB" w:rsidRPr="00AB20BB" w14:paraId="7BA4C6D2" w14:textId="77777777" w:rsidTr="00183529">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auto"/>
            </w:tcBorders>
            <w:noWrap/>
            <w:vAlign w:val="center"/>
            <w:hideMark/>
          </w:tcPr>
          <w:p w14:paraId="4357CE39" w14:textId="77777777" w:rsidR="00AB20BB" w:rsidRPr="00AB20BB" w:rsidRDefault="00AB20BB" w:rsidP="00A76C67">
            <w:pPr>
              <w:spacing w:line="276" w:lineRule="auto"/>
              <w:rPr>
                <w:rFonts w:ascii="Arial" w:eastAsia="Times New Roman" w:hAnsi="Arial" w:cs="Arial"/>
                <w:b w:val="0"/>
                <w:bCs w:val="0"/>
                <w:iCs/>
                <w:sz w:val="20"/>
                <w:szCs w:val="20"/>
                <w:lang w:val="en-US"/>
              </w:rPr>
            </w:pPr>
            <w:proofErr w:type="spellStart"/>
            <w:r w:rsidRPr="00AB20BB">
              <w:rPr>
                <w:rFonts w:ascii="Arial" w:eastAsia="Times New Roman" w:hAnsi="Arial" w:cs="Arial"/>
                <w:b w:val="0"/>
                <w:bCs w:val="0"/>
                <w:iCs/>
                <w:sz w:val="20"/>
                <w:szCs w:val="20"/>
                <w:lang w:val="en-US"/>
              </w:rPr>
              <w:t>Fongicides</w:t>
            </w:r>
            <w:proofErr w:type="spellEnd"/>
            <w:r w:rsidRPr="00AB20BB">
              <w:rPr>
                <w:rFonts w:ascii="Arial" w:eastAsia="Times New Roman" w:hAnsi="Arial" w:cs="Arial"/>
                <w:b w:val="0"/>
                <w:bCs w:val="0"/>
                <w:iCs/>
                <w:sz w:val="20"/>
                <w:szCs w:val="20"/>
                <w:lang w:val="en-US"/>
              </w:rPr>
              <w:t>/HE</w:t>
            </w:r>
          </w:p>
        </w:tc>
        <w:tc>
          <w:tcPr>
            <w:tcW w:w="0" w:type="auto"/>
            <w:gridSpan w:val="4"/>
            <w:tcBorders>
              <w:top w:val="single" w:sz="12" w:space="0" w:color="auto"/>
              <w:bottom w:val="nil"/>
            </w:tcBorders>
            <w:noWrap/>
            <w:hideMark/>
          </w:tcPr>
          <w:p w14:paraId="1A8F3CF2" w14:textId="77777777" w:rsidR="00AB20BB" w:rsidRPr="00AB20BB" w:rsidRDefault="00AB20BB"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 xml:space="preserve">Lower dose </w:t>
            </w:r>
          </w:p>
        </w:tc>
        <w:tc>
          <w:tcPr>
            <w:tcW w:w="0" w:type="auto"/>
            <w:gridSpan w:val="4"/>
            <w:tcBorders>
              <w:top w:val="single" w:sz="12" w:space="0" w:color="auto"/>
              <w:bottom w:val="nil"/>
            </w:tcBorders>
            <w:noWrap/>
            <w:hideMark/>
          </w:tcPr>
          <w:p w14:paraId="0421DA66" w14:textId="77777777" w:rsidR="00AB20BB" w:rsidRPr="00AB20BB" w:rsidRDefault="00AB20BB"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Recommended dose</w:t>
            </w:r>
          </w:p>
        </w:tc>
        <w:tc>
          <w:tcPr>
            <w:tcW w:w="0" w:type="auto"/>
            <w:gridSpan w:val="4"/>
            <w:tcBorders>
              <w:top w:val="single" w:sz="12" w:space="0" w:color="auto"/>
              <w:bottom w:val="nil"/>
            </w:tcBorders>
            <w:noWrap/>
            <w:hideMark/>
          </w:tcPr>
          <w:p w14:paraId="21C41D4D" w14:textId="77777777" w:rsidR="00AB20BB" w:rsidRPr="00AB20BB" w:rsidRDefault="00AB20BB"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Higher dose</w:t>
            </w:r>
          </w:p>
        </w:tc>
      </w:tr>
      <w:tr w:rsidR="009C370A" w:rsidRPr="00D2185F" w14:paraId="216A1384"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2" w:space="0" w:color="auto"/>
            </w:tcBorders>
            <w:hideMark/>
          </w:tcPr>
          <w:p w14:paraId="7B6C5ACD" w14:textId="77777777" w:rsidR="00AB20BB" w:rsidRPr="00AB20BB" w:rsidRDefault="00AB20BB" w:rsidP="00A76C67">
            <w:pPr>
              <w:spacing w:line="276" w:lineRule="auto"/>
              <w:rPr>
                <w:rFonts w:ascii="Arial" w:eastAsia="Times New Roman" w:hAnsi="Arial" w:cs="Arial"/>
                <w:b w:val="0"/>
                <w:bCs w:val="0"/>
                <w:iCs/>
                <w:sz w:val="20"/>
                <w:szCs w:val="20"/>
                <w:lang w:val="en-US"/>
              </w:rPr>
            </w:pPr>
          </w:p>
        </w:tc>
        <w:tc>
          <w:tcPr>
            <w:tcW w:w="0" w:type="auto"/>
            <w:tcBorders>
              <w:top w:val="single" w:sz="6" w:space="0" w:color="000000" w:themeColor="text1"/>
              <w:bottom w:val="single" w:sz="12" w:space="0" w:color="auto"/>
            </w:tcBorders>
            <w:noWrap/>
            <w:hideMark/>
          </w:tcPr>
          <w:p w14:paraId="06E455B3"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2</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6" w:space="0" w:color="000000" w:themeColor="text1"/>
              <w:bottom w:val="single" w:sz="12" w:space="0" w:color="auto"/>
            </w:tcBorders>
            <w:noWrap/>
            <w:hideMark/>
          </w:tcPr>
          <w:p w14:paraId="00B864CF"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4</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6" w:space="0" w:color="000000" w:themeColor="text1"/>
              <w:bottom w:val="single" w:sz="12" w:space="0" w:color="auto"/>
            </w:tcBorders>
            <w:noWrap/>
            <w:hideMark/>
          </w:tcPr>
          <w:p w14:paraId="3D001631"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 xml:space="preserve">6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7602A19"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8</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F3BCD49"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2</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43F38F2"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4</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8786412"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 xml:space="preserve">6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4DA3DD4E"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8</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226DE037"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2</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6C3F6084"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4</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56668D2E"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 xml:space="preserve">6 </w:t>
            </w:r>
            <w:r w:rsidRPr="00D2185F">
              <w:rPr>
                <w:rFonts w:ascii="Arial" w:eastAsia="Times New Roman" w:hAnsi="Arial" w:cs="Arial"/>
                <w:iCs/>
                <w:sz w:val="14"/>
                <w:szCs w:val="14"/>
              </w:rPr>
              <w:t>DAS</w:t>
            </w:r>
          </w:p>
        </w:tc>
        <w:tc>
          <w:tcPr>
            <w:tcW w:w="0" w:type="auto"/>
            <w:tcBorders>
              <w:top w:val="single" w:sz="4" w:space="0" w:color="auto"/>
              <w:bottom w:val="single" w:sz="12" w:space="0" w:color="auto"/>
            </w:tcBorders>
            <w:noWrap/>
            <w:hideMark/>
          </w:tcPr>
          <w:p w14:paraId="374306D6" w14:textId="7777777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8</w:t>
            </w:r>
            <w:r w:rsidRPr="00D2185F">
              <w:rPr>
                <w:rFonts w:ascii="Arial" w:eastAsia="Times New Roman" w:hAnsi="Arial" w:cs="Arial"/>
                <w:b/>
                <w:iCs/>
                <w:sz w:val="14"/>
                <w:szCs w:val="14"/>
              </w:rPr>
              <w:t xml:space="preserve"> </w:t>
            </w:r>
            <w:r w:rsidRPr="00D2185F">
              <w:rPr>
                <w:rFonts w:ascii="Arial" w:eastAsia="Times New Roman" w:hAnsi="Arial" w:cs="Arial"/>
                <w:iCs/>
                <w:sz w:val="14"/>
                <w:szCs w:val="14"/>
              </w:rPr>
              <w:t>DAS</w:t>
            </w:r>
          </w:p>
        </w:tc>
      </w:tr>
      <w:tr w:rsidR="00183529" w:rsidRPr="00AB20BB" w14:paraId="7423D145" w14:textId="77777777" w:rsidTr="00183529">
        <w:trPr>
          <w:trHeight w:val="329"/>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noWrap/>
            <w:hideMark/>
          </w:tcPr>
          <w:p w14:paraId="7D7B6546"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Control</w:t>
            </w:r>
          </w:p>
        </w:tc>
        <w:tc>
          <w:tcPr>
            <w:tcW w:w="0" w:type="auto"/>
            <w:tcBorders>
              <w:top w:val="single" w:sz="12" w:space="0" w:color="auto"/>
              <w:bottom w:val="nil"/>
            </w:tcBorders>
            <w:noWrap/>
            <w:hideMark/>
          </w:tcPr>
          <w:p w14:paraId="01E922B9" w14:textId="47207D3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3,00 d</w:t>
            </w:r>
          </w:p>
        </w:tc>
        <w:tc>
          <w:tcPr>
            <w:tcW w:w="0" w:type="auto"/>
            <w:tcBorders>
              <w:top w:val="single" w:sz="12" w:space="0" w:color="auto"/>
              <w:bottom w:val="nil"/>
            </w:tcBorders>
            <w:noWrap/>
            <w:hideMark/>
          </w:tcPr>
          <w:p w14:paraId="67E5C316" w14:textId="4470325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4,03 c</w:t>
            </w:r>
          </w:p>
        </w:tc>
        <w:tc>
          <w:tcPr>
            <w:tcW w:w="0" w:type="auto"/>
            <w:tcBorders>
              <w:top w:val="single" w:sz="12" w:space="0" w:color="auto"/>
              <w:bottom w:val="nil"/>
            </w:tcBorders>
            <w:noWrap/>
            <w:hideMark/>
          </w:tcPr>
          <w:p w14:paraId="7479FF74" w14:textId="1F49485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5,46 d</w:t>
            </w:r>
          </w:p>
        </w:tc>
        <w:tc>
          <w:tcPr>
            <w:tcW w:w="0" w:type="auto"/>
            <w:tcBorders>
              <w:top w:val="single" w:sz="12" w:space="0" w:color="auto"/>
              <w:bottom w:val="nil"/>
            </w:tcBorders>
            <w:noWrap/>
            <w:hideMark/>
          </w:tcPr>
          <w:p w14:paraId="0749FB88" w14:textId="596A208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8,50 e</w:t>
            </w:r>
          </w:p>
        </w:tc>
        <w:tc>
          <w:tcPr>
            <w:tcW w:w="0" w:type="auto"/>
            <w:tcBorders>
              <w:top w:val="single" w:sz="12" w:space="0" w:color="auto"/>
              <w:bottom w:val="nil"/>
            </w:tcBorders>
            <w:noWrap/>
            <w:hideMark/>
          </w:tcPr>
          <w:p w14:paraId="3C434395" w14:textId="576EC7D6"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3,00 b</w:t>
            </w:r>
          </w:p>
        </w:tc>
        <w:tc>
          <w:tcPr>
            <w:tcW w:w="0" w:type="auto"/>
            <w:tcBorders>
              <w:top w:val="single" w:sz="12" w:space="0" w:color="auto"/>
              <w:bottom w:val="nil"/>
            </w:tcBorders>
            <w:noWrap/>
            <w:hideMark/>
          </w:tcPr>
          <w:p w14:paraId="7B84874A" w14:textId="4FF5530E"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4,033c</w:t>
            </w:r>
          </w:p>
        </w:tc>
        <w:tc>
          <w:tcPr>
            <w:tcW w:w="0" w:type="auto"/>
            <w:tcBorders>
              <w:top w:val="single" w:sz="12" w:space="0" w:color="auto"/>
              <w:bottom w:val="nil"/>
            </w:tcBorders>
            <w:noWrap/>
            <w:hideMark/>
          </w:tcPr>
          <w:p w14:paraId="26470BC2" w14:textId="118012A9"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5,46 c</w:t>
            </w:r>
          </w:p>
        </w:tc>
        <w:tc>
          <w:tcPr>
            <w:tcW w:w="0" w:type="auto"/>
            <w:tcBorders>
              <w:top w:val="single" w:sz="12" w:space="0" w:color="auto"/>
              <w:bottom w:val="nil"/>
            </w:tcBorders>
            <w:noWrap/>
            <w:hideMark/>
          </w:tcPr>
          <w:p w14:paraId="0E9ADE48" w14:textId="7958975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8,50 d</w:t>
            </w:r>
          </w:p>
        </w:tc>
        <w:tc>
          <w:tcPr>
            <w:tcW w:w="0" w:type="auto"/>
            <w:tcBorders>
              <w:top w:val="single" w:sz="12" w:space="0" w:color="auto"/>
              <w:bottom w:val="nil"/>
            </w:tcBorders>
            <w:noWrap/>
            <w:hideMark/>
          </w:tcPr>
          <w:p w14:paraId="664E2A99" w14:textId="7C5B818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3,00b</w:t>
            </w:r>
          </w:p>
        </w:tc>
        <w:tc>
          <w:tcPr>
            <w:tcW w:w="0" w:type="auto"/>
            <w:tcBorders>
              <w:top w:val="single" w:sz="12" w:space="0" w:color="auto"/>
              <w:bottom w:val="nil"/>
            </w:tcBorders>
            <w:noWrap/>
            <w:hideMark/>
          </w:tcPr>
          <w:p w14:paraId="5FC5237F" w14:textId="5D86396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4,03 b</w:t>
            </w:r>
          </w:p>
        </w:tc>
        <w:tc>
          <w:tcPr>
            <w:tcW w:w="0" w:type="auto"/>
            <w:tcBorders>
              <w:top w:val="single" w:sz="12" w:space="0" w:color="auto"/>
              <w:bottom w:val="nil"/>
            </w:tcBorders>
            <w:noWrap/>
            <w:hideMark/>
          </w:tcPr>
          <w:p w14:paraId="28EF98E7" w14:textId="0154A7A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5,46 c</w:t>
            </w:r>
          </w:p>
        </w:tc>
        <w:tc>
          <w:tcPr>
            <w:tcW w:w="0" w:type="auto"/>
            <w:tcBorders>
              <w:top w:val="single" w:sz="12" w:space="0" w:color="auto"/>
              <w:bottom w:val="nil"/>
            </w:tcBorders>
            <w:noWrap/>
            <w:hideMark/>
          </w:tcPr>
          <w:p w14:paraId="0AC9A0A0" w14:textId="27B0112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8,50 c</w:t>
            </w:r>
          </w:p>
        </w:tc>
      </w:tr>
      <w:tr w:rsidR="00183529" w:rsidRPr="00AB20BB" w14:paraId="13306F0A"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D203848"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 xml:space="preserve">HE of </w:t>
            </w:r>
            <w:proofErr w:type="spellStart"/>
            <w:proofErr w:type="gramStart"/>
            <w:r w:rsidRPr="00AB20BB">
              <w:rPr>
                <w:rFonts w:ascii="Arial" w:eastAsia="Times New Roman" w:hAnsi="Arial" w:cs="Arial"/>
                <w:b w:val="0"/>
                <w:bCs w:val="0"/>
                <w:iCs/>
                <w:sz w:val="20"/>
                <w:szCs w:val="20"/>
                <w:lang w:val="en-US"/>
              </w:rPr>
              <w:t>L.multiflora</w:t>
            </w:r>
            <w:proofErr w:type="spellEnd"/>
            <w:proofErr w:type="gramEnd"/>
          </w:p>
        </w:tc>
        <w:tc>
          <w:tcPr>
            <w:tcW w:w="0" w:type="auto"/>
            <w:tcBorders>
              <w:top w:val="nil"/>
              <w:bottom w:val="nil"/>
            </w:tcBorders>
            <w:noWrap/>
            <w:hideMark/>
          </w:tcPr>
          <w:p w14:paraId="781BF181" w14:textId="288EBF17"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2,06 c</w:t>
            </w:r>
          </w:p>
        </w:tc>
        <w:tc>
          <w:tcPr>
            <w:tcW w:w="0" w:type="auto"/>
            <w:tcBorders>
              <w:top w:val="nil"/>
              <w:bottom w:val="nil"/>
            </w:tcBorders>
            <w:noWrap/>
            <w:hideMark/>
          </w:tcPr>
          <w:p w14:paraId="630CC96A" w14:textId="0745A3FF"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3,36 c</w:t>
            </w:r>
          </w:p>
        </w:tc>
        <w:tc>
          <w:tcPr>
            <w:tcW w:w="0" w:type="auto"/>
            <w:tcBorders>
              <w:top w:val="nil"/>
              <w:bottom w:val="nil"/>
            </w:tcBorders>
            <w:noWrap/>
            <w:hideMark/>
          </w:tcPr>
          <w:p w14:paraId="7C97C28B" w14:textId="15B1262C"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4,33 c</w:t>
            </w:r>
          </w:p>
        </w:tc>
        <w:tc>
          <w:tcPr>
            <w:tcW w:w="0" w:type="auto"/>
            <w:tcBorders>
              <w:top w:val="nil"/>
              <w:bottom w:val="nil"/>
            </w:tcBorders>
            <w:noWrap/>
            <w:hideMark/>
          </w:tcPr>
          <w:p w14:paraId="650F42EF" w14:textId="48122E7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6,50 d</w:t>
            </w:r>
          </w:p>
        </w:tc>
        <w:tc>
          <w:tcPr>
            <w:tcW w:w="0" w:type="auto"/>
            <w:tcBorders>
              <w:top w:val="nil"/>
              <w:bottom w:val="nil"/>
            </w:tcBorders>
            <w:noWrap/>
            <w:hideMark/>
          </w:tcPr>
          <w:p w14:paraId="1587AF28" w14:textId="7C8DE142"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11574D54" w14:textId="6A07AEE3"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1,11 b</w:t>
            </w:r>
          </w:p>
        </w:tc>
        <w:tc>
          <w:tcPr>
            <w:tcW w:w="0" w:type="auto"/>
            <w:tcBorders>
              <w:top w:val="nil"/>
              <w:bottom w:val="nil"/>
            </w:tcBorders>
            <w:noWrap/>
            <w:hideMark/>
          </w:tcPr>
          <w:p w14:paraId="5D3E410B" w14:textId="43CD3BDE"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1,73 b</w:t>
            </w:r>
          </w:p>
        </w:tc>
        <w:tc>
          <w:tcPr>
            <w:tcW w:w="0" w:type="auto"/>
            <w:tcBorders>
              <w:top w:val="nil"/>
              <w:bottom w:val="nil"/>
            </w:tcBorders>
            <w:noWrap/>
            <w:hideMark/>
          </w:tcPr>
          <w:p w14:paraId="38521F4F" w14:textId="337E81B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3,25 c</w:t>
            </w:r>
          </w:p>
        </w:tc>
        <w:tc>
          <w:tcPr>
            <w:tcW w:w="0" w:type="auto"/>
            <w:tcBorders>
              <w:top w:val="nil"/>
              <w:bottom w:val="nil"/>
            </w:tcBorders>
            <w:noWrap/>
            <w:hideMark/>
          </w:tcPr>
          <w:p w14:paraId="4187EB26" w14:textId="12BAFC30"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0,00a</w:t>
            </w:r>
          </w:p>
        </w:tc>
        <w:tc>
          <w:tcPr>
            <w:tcW w:w="0" w:type="auto"/>
            <w:tcBorders>
              <w:top w:val="nil"/>
              <w:bottom w:val="nil"/>
            </w:tcBorders>
            <w:noWrap/>
            <w:hideMark/>
          </w:tcPr>
          <w:p w14:paraId="1654D54B" w14:textId="2A697735"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4F875278" w14:textId="2B0F07D1"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1573B697" w14:textId="7AABB56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r>
      <w:tr w:rsidR="00183529" w:rsidRPr="00AB20BB" w14:paraId="2EB88F90" w14:textId="77777777" w:rsidTr="00183529">
        <w:trPr>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44207E3E"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lastRenderedPageBreak/>
              <w:t xml:space="preserve">HE of O. </w:t>
            </w:r>
            <w:proofErr w:type="spellStart"/>
            <w:r w:rsidRPr="00AB20BB">
              <w:rPr>
                <w:rFonts w:ascii="Arial" w:eastAsia="Times New Roman" w:hAnsi="Arial" w:cs="Arial"/>
                <w:b w:val="0"/>
                <w:bCs w:val="0"/>
                <w:iCs/>
                <w:sz w:val="20"/>
                <w:szCs w:val="20"/>
                <w:lang w:val="en-US"/>
              </w:rPr>
              <w:t>gratissimum</w:t>
            </w:r>
            <w:proofErr w:type="spellEnd"/>
          </w:p>
        </w:tc>
        <w:tc>
          <w:tcPr>
            <w:tcW w:w="0" w:type="auto"/>
            <w:tcBorders>
              <w:top w:val="nil"/>
              <w:bottom w:val="nil"/>
            </w:tcBorders>
            <w:noWrap/>
            <w:hideMark/>
          </w:tcPr>
          <w:p w14:paraId="2D97DF6D" w14:textId="285B913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0,86 b</w:t>
            </w:r>
          </w:p>
        </w:tc>
        <w:tc>
          <w:tcPr>
            <w:tcW w:w="0" w:type="auto"/>
            <w:tcBorders>
              <w:top w:val="nil"/>
              <w:bottom w:val="nil"/>
            </w:tcBorders>
            <w:noWrap/>
            <w:hideMark/>
          </w:tcPr>
          <w:p w14:paraId="36631657" w14:textId="7A7F49C6"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1,60b</w:t>
            </w:r>
          </w:p>
        </w:tc>
        <w:tc>
          <w:tcPr>
            <w:tcW w:w="0" w:type="auto"/>
            <w:tcBorders>
              <w:top w:val="nil"/>
              <w:bottom w:val="nil"/>
            </w:tcBorders>
            <w:noWrap/>
            <w:hideMark/>
          </w:tcPr>
          <w:p w14:paraId="125CD4DC" w14:textId="003E3C13"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2,36 b</w:t>
            </w:r>
          </w:p>
        </w:tc>
        <w:tc>
          <w:tcPr>
            <w:tcW w:w="0" w:type="auto"/>
            <w:tcBorders>
              <w:top w:val="nil"/>
              <w:bottom w:val="nil"/>
            </w:tcBorders>
            <w:noWrap/>
            <w:hideMark/>
          </w:tcPr>
          <w:p w14:paraId="0E5EB9D1" w14:textId="6E93643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3,20 c</w:t>
            </w:r>
          </w:p>
        </w:tc>
        <w:tc>
          <w:tcPr>
            <w:tcW w:w="0" w:type="auto"/>
            <w:tcBorders>
              <w:top w:val="nil"/>
              <w:bottom w:val="nil"/>
            </w:tcBorders>
            <w:noWrap/>
            <w:hideMark/>
          </w:tcPr>
          <w:p w14:paraId="630B3BC0" w14:textId="27787E7B"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410010C3" w14:textId="5498F72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3A8FE4C7" w14:textId="0B4E24B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3D487B43" w14:textId="4FE2D432"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20AD926F" w14:textId="4BF374F4"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3DD75EAD" w14:textId="55DA98F8"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0A57EF17" w14:textId="3E2B444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6A7BE978" w14:textId="1CE62325"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r>
      <w:tr w:rsidR="00183529" w:rsidRPr="00AB20BB" w14:paraId="6D8B83A8"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9686186"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Copper hydroxide</w:t>
            </w:r>
          </w:p>
        </w:tc>
        <w:tc>
          <w:tcPr>
            <w:tcW w:w="0" w:type="auto"/>
            <w:tcBorders>
              <w:top w:val="nil"/>
              <w:bottom w:val="nil"/>
            </w:tcBorders>
            <w:noWrap/>
            <w:hideMark/>
          </w:tcPr>
          <w:p w14:paraId="34724632" w14:textId="43DEF864"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1EFBB107" w14:textId="5BEBE5C6"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0,36 a</w:t>
            </w:r>
          </w:p>
        </w:tc>
        <w:tc>
          <w:tcPr>
            <w:tcW w:w="0" w:type="auto"/>
            <w:tcBorders>
              <w:top w:val="nil"/>
              <w:bottom w:val="nil"/>
            </w:tcBorders>
            <w:noWrap/>
            <w:hideMark/>
          </w:tcPr>
          <w:p w14:paraId="38C30A3F" w14:textId="03DAC7C8"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0,56 a</w:t>
            </w:r>
          </w:p>
        </w:tc>
        <w:tc>
          <w:tcPr>
            <w:tcW w:w="0" w:type="auto"/>
            <w:tcBorders>
              <w:top w:val="nil"/>
              <w:bottom w:val="nil"/>
            </w:tcBorders>
            <w:noWrap/>
            <w:hideMark/>
          </w:tcPr>
          <w:p w14:paraId="2D6CEF46" w14:textId="53E863BB"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1,05b</w:t>
            </w:r>
          </w:p>
        </w:tc>
        <w:tc>
          <w:tcPr>
            <w:tcW w:w="0" w:type="auto"/>
            <w:tcBorders>
              <w:top w:val="nil"/>
              <w:bottom w:val="nil"/>
            </w:tcBorders>
            <w:noWrap/>
            <w:hideMark/>
          </w:tcPr>
          <w:p w14:paraId="472428D8" w14:textId="1546D37B"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513FCD32" w14:textId="592BC14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0,48 a</w:t>
            </w:r>
          </w:p>
        </w:tc>
        <w:tc>
          <w:tcPr>
            <w:tcW w:w="0" w:type="auto"/>
            <w:tcBorders>
              <w:top w:val="nil"/>
              <w:bottom w:val="nil"/>
            </w:tcBorders>
            <w:noWrap/>
            <w:hideMark/>
          </w:tcPr>
          <w:p w14:paraId="17AFD221" w14:textId="7EA32924"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0,58 a</w:t>
            </w:r>
          </w:p>
        </w:tc>
        <w:tc>
          <w:tcPr>
            <w:tcW w:w="0" w:type="auto"/>
            <w:tcBorders>
              <w:top w:val="nil"/>
              <w:bottom w:val="nil"/>
            </w:tcBorders>
            <w:noWrap/>
            <w:hideMark/>
          </w:tcPr>
          <w:p w14:paraId="4F1D0318" w14:textId="546E548B"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1,25 b</w:t>
            </w:r>
          </w:p>
        </w:tc>
        <w:tc>
          <w:tcPr>
            <w:tcW w:w="0" w:type="auto"/>
            <w:tcBorders>
              <w:top w:val="nil"/>
              <w:bottom w:val="nil"/>
            </w:tcBorders>
            <w:noWrap/>
            <w:hideMark/>
          </w:tcPr>
          <w:p w14:paraId="270C9805" w14:textId="27AE4C1D"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nil"/>
            </w:tcBorders>
            <w:noWrap/>
            <w:hideMark/>
          </w:tcPr>
          <w:p w14:paraId="2930CBAA" w14:textId="64AAB26D"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0,53 a</w:t>
            </w:r>
          </w:p>
        </w:tc>
        <w:tc>
          <w:tcPr>
            <w:tcW w:w="0" w:type="auto"/>
            <w:tcBorders>
              <w:top w:val="nil"/>
              <w:bottom w:val="nil"/>
            </w:tcBorders>
            <w:noWrap/>
            <w:hideMark/>
          </w:tcPr>
          <w:p w14:paraId="5001F60C" w14:textId="038BDACA"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0,80 b</w:t>
            </w:r>
          </w:p>
        </w:tc>
        <w:tc>
          <w:tcPr>
            <w:tcW w:w="0" w:type="auto"/>
            <w:tcBorders>
              <w:top w:val="nil"/>
              <w:bottom w:val="nil"/>
            </w:tcBorders>
            <w:noWrap/>
            <w:hideMark/>
          </w:tcPr>
          <w:p w14:paraId="76491A86" w14:textId="27552D09" w:rsidR="00AB20BB" w:rsidRPr="005A59E1"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1,18 b</w:t>
            </w:r>
          </w:p>
        </w:tc>
      </w:tr>
      <w:tr w:rsidR="00183529" w:rsidRPr="00AB20BB" w14:paraId="65B8B21E" w14:textId="77777777" w:rsidTr="00183529">
        <w:trPr>
          <w:trHeight w:val="329"/>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noWrap/>
            <w:hideMark/>
          </w:tcPr>
          <w:p w14:paraId="1C46C356" w14:textId="77777777" w:rsidR="00AB20BB" w:rsidRPr="00AB20BB" w:rsidRDefault="00AB20BB" w:rsidP="00A76C67">
            <w:pPr>
              <w:spacing w:line="276" w:lineRule="auto"/>
              <w:rPr>
                <w:rFonts w:ascii="Arial" w:eastAsia="Times New Roman" w:hAnsi="Arial" w:cs="Arial"/>
                <w:b w:val="0"/>
                <w:bCs w:val="0"/>
                <w:iCs/>
                <w:sz w:val="20"/>
                <w:szCs w:val="20"/>
                <w:lang w:val="en-US"/>
              </w:rPr>
            </w:pPr>
            <w:r w:rsidRPr="00AB20BB">
              <w:rPr>
                <w:rFonts w:ascii="Arial" w:eastAsia="Times New Roman" w:hAnsi="Arial" w:cs="Arial"/>
                <w:b w:val="0"/>
                <w:bCs w:val="0"/>
                <w:iCs/>
                <w:sz w:val="20"/>
                <w:szCs w:val="20"/>
                <w:lang w:val="en-US"/>
              </w:rPr>
              <w:t>Mancozeb</w:t>
            </w:r>
          </w:p>
          <w:p w14:paraId="61C08518" w14:textId="77777777" w:rsidR="00AB20BB" w:rsidRPr="00AB20BB" w:rsidRDefault="00AB20BB" w:rsidP="00A76C67">
            <w:pPr>
              <w:spacing w:line="276" w:lineRule="auto"/>
              <w:rPr>
                <w:rFonts w:ascii="Arial" w:eastAsia="Times New Roman" w:hAnsi="Arial" w:cs="Arial"/>
                <w:b w:val="0"/>
                <w:bCs w:val="0"/>
                <w:iCs/>
                <w:sz w:val="20"/>
                <w:szCs w:val="20"/>
                <w:lang w:val="en-US"/>
              </w:rPr>
            </w:pPr>
          </w:p>
        </w:tc>
        <w:tc>
          <w:tcPr>
            <w:tcW w:w="0" w:type="auto"/>
            <w:tcBorders>
              <w:top w:val="nil"/>
              <w:bottom w:val="single" w:sz="12" w:space="0" w:color="auto"/>
            </w:tcBorders>
            <w:noWrap/>
            <w:hideMark/>
          </w:tcPr>
          <w:p w14:paraId="31BED52B" w14:textId="09AD67D9"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0104983C" w14:textId="5C759E7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2850DF75" w14:textId="274C07C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4199650B" w14:textId="2AD33602"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34C63EA9" w14:textId="03CBC6F8"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345EAB84" w14:textId="3B9CBC36"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2EE6C3CA" w14:textId="06ED2C3A"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65F1F83E" w14:textId="53C660EB"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0ECD56E4" w14:textId="7C810BE2"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768B1FAC" w14:textId="7DB1C83F"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524B0830" w14:textId="285C0F80"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c>
          <w:tcPr>
            <w:tcW w:w="0" w:type="auto"/>
            <w:tcBorders>
              <w:top w:val="nil"/>
              <w:bottom w:val="single" w:sz="12" w:space="0" w:color="auto"/>
            </w:tcBorders>
            <w:noWrap/>
            <w:hideMark/>
          </w:tcPr>
          <w:p w14:paraId="2385F946" w14:textId="6ECB69A7" w:rsidR="00AB20BB" w:rsidRPr="005A59E1" w:rsidRDefault="00AB20BB"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sidRPr="005A59E1">
              <w:rPr>
                <w:rFonts w:ascii="Arial" w:eastAsia="Times New Roman" w:hAnsi="Arial" w:cs="Arial"/>
                <w:iCs/>
                <w:sz w:val="14"/>
                <w:szCs w:val="14"/>
                <w:lang w:val="en-US"/>
              </w:rPr>
              <w:t>0,00 a</w:t>
            </w:r>
          </w:p>
        </w:tc>
      </w:tr>
      <w:tr w:rsidR="00183529" w:rsidRPr="00C271F3" w14:paraId="46C09425" w14:textId="77777777" w:rsidTr="0018352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noWrap/>
          </w:tcPr>
          <w:p w14:paraId="799611DF" w14:textId="79A7B9AC" w:rsidR="00AB20BB" w:rsidRPr="00D2185F" w:rsidRDefault="00AB20BB" w:rsidP="00A76C67">
            <w:pPr>
              <w:spacing w:line="276" w:lineRule="auto"/>
              <w:rPr>
                <w:rFonts w:ascii="Arial" w:eastAsia="Times New Roman" w:hAnsi="Arial" w:cs="Arial"/>
                <w:b w:val="0"/>
                <w:bCs w:val="0"/>
                <w:iCs/>
                <w:sz w:val="14"/>
                <w:szCs w:val="14"/>
                <w:lang w:val="en-US"/>
              </w:rPr>
            </w:pPr>
            <w:proofErr w:type="spellStart"/>
            <w:r w:rsidRPr="00D2185F">
              <w:rPr>
                <w:rFonts w:ascii="Arial" w:eastAsia="Times New Roman" w:hAnsi="Arial" w:cs="Arial"/>
                <w:b w:val="0"/>
                <w:bCs w:val="0"/>
                <w:iCs/>
                <w:sz w:val="14"/>
                <w:szCs w:val="14"/>
                <w:lang w:val="en-US"/>
              </w:rPr>
              <w:t>Pr</w:t>
            </w:r>
            <w:proofErr w:type="spellEnd"/>
            <w:r w:rsidRPr="00D2185F">
              <w:rPr>
                <w:rFonts w:ascii="Arial" w:eastAsia="Times New Roman" w:hAnsi="Arial" w:cs="Arial"/>
                <w:b w:val="0"/>
                <w:bCs w:val="0"/>
                <w:iCs/>
                <w:sz w:val="14"/>
                <w:szCs w:val="14"/>
                <w:lang w:val="en-US"/>
              </w:rPr>
              <w:t xml:space="preserve"> &gt; F</w:t>
            </w:r>
          </w:p>
        </w:tc>
        <w:tc>
          <w:tcPr>
            <w:tcW w:w="0" w:type="auto"/>
            <w:tcBorders>
              <w:top w:val="single" w:sz="12" w:space="0" w:color="auto"/>
              <w:bottom w:val="nil"/>
            </w:tcBorders>
            <w:noWrap/>
          </w:tcPr>
          <w:p w14:paraId="0D388436" w14:textId="52046DC2"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4C34CA2F" w14:textId="0EF3938E"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203D3A41" w14:textId="31706D8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67F08689" w14:textId="41269DB3"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11661515" w14:textId="017CA4B6"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14437BE8" w14:textId="25C794F0"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7BF52C60" w14:textId="74A98537"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07B44874" w14:textId="26688602"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2A4C3B12" w14:textId="12E9AFB4"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4982EC78" w14:textId="2A064FFA"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3EB683A5" w14:textId="4F36FD84"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c>
          <w:tcPr>
            <w:tcW w:w="0" w:type="auto"/>
            <w:tcBorders>
              <w:top w:val="single" w:sz="12" w:space="0" w:color="auto"/>
              <w:bottom w:val="nil"/>
            </w:tcBorders>
            <w:noWrap/>
          </w:tcPr>
          <w:p w14:paraId="7AE538CA" w14:textId="0BA886AD" w:rsidR="00AB20BB" w:rsidRPr="00D2185F" w:rsidRDefault="00AB20BB"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14"/>
                <w:szCs w:val="14"/>
                <w:lang w:val="en-US"/>
              </w:rPr>
            </w:pPr>
            <w:r w:rsidRPr="00D2185F">
              <w:rPr>
                <w:rFonts w:ascii="Arial" w:eastAsia="Times New Roman" w:hAnsi="Arial" w:cs="Arial"/>
                <w:iCs/>
                <w:sz w:val="14"/>
                <w:szCs w:val="14"/>
                <w:lang w:val="en-US"/>
              </w:rPr>
              <w:t>&lt; 0</w:t>
            </w:r>
            <w:r w:rsidR="00D2185F">
              <w:rPr>
                <w:rFonts w:ascii="Arial" w:eastAsia="Times New Roman" w:hAnsi="Arial" w:cs="Arial"/>
                <w:iCs/>
                <w:sz w:val="14"/>
                <w:szCs w:val="14"/>
                <w:lang w:val="en-US"/>
              </w:rPr>
              <w:t>.</w:t>
            </w:r>
            <w:r w:rsidRPr="00D2185F">
              <w:rPr>
                <w:rFonts w:ascii="Arial" w:eastAsia="Times New Roman" w:hAnsi="Arial" w:cs="Arial"/>
                <w:iCs/>
                <w:sz w:val="14"/>
                <w:szCs w:val="14"/>
                <w:lang w:val="en-US"/>
              </w:rPr>
              <w:t>001</w:t>
            </w:r>
          </w:p>
        </w:tc>
      </w:tr>
      <w:tr w:rsidR="00183529" w:rsidRPr="00C271F3" w14:paraId="5090584E" w14:textId="77777777" w:rsidTr="00183529">
        <w:trPr>
          <w:trHeight w:val="195"/>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noWrap/>
          </w:tcPr>
          <w:p w14:paraId="65002588" w14:textId="77777777" w:rsidR="009C370A" w:rsidRPr="00D2185F" w:rsidRDefault="009C370A" w:rsidP="009C370A">
            <w:pPr>
              <w:spacing w:line="276" w:lineRule="auto"/>
              <w:rPr>
                <w:rFonts w:ascii="Arial" w:eastAsia="Times New Roman" w:hAnsi="Arial" w:cs="Arial"/>
                <w:b w:val="0"/>
                <w:bCs w:val="0"/>
                <w:iCs/>
                <w:sz w:val="14"/>
                <w:szCs w:val="14"/>
                <w:lang w:val="en-US"/>
              </w:rPr>
            </w:pPr>
            <w:r w:rsidRPr="00D2185F">
              <w:rPr>
                <w:rFonts w:ascii="Arial" w:eastAsia="Times New Roman" w:hAnsi="Arial" w:cs="Arial"/>
                <w:b w:val="0"/>
                <w:bCs w:val="0"/>
                <w:iCs/>
                <w:sz w:val="14"/>
                <w:szCs w:val="14"/>
                <w:lang w:val="en-US"/>
              </w:rPr>
              <w:t>Significance</w:t>
            </w:r>
          </w:p>
        </w:tc>
        <w:tc>
          <w:tcPr>
            <w:tcW w:w="0" w:type="auto"/>
            <w:tcBorders>
              <w:top w:val="nil"/>
              <w:bottom w:val="single" w:sz="12" w:space="0" w:color="auto"/>
            </w:tcBorders>
            <w:noWrap/>
          </w:tcPr>
          <w:p w14:paraId="51ACC74B" w14:textId="173016EC"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C666FDF" w14:textId="40E7700F"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0DE9FDF" w14:textId="1220DD01"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7A7EA2D" w14:textId="3A631400"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2FCFBB15" w14:textId="3FF01A8A"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4F48DC56" w14:textId="49DEFCA2"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939A290" w14:textId="1F52CAAA"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731E478D" w14:textId="113A71A9"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BABD2DF" w14:textId="1854A222"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9C5AF85" w14:textId="0CD79964"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6FEB5A8E" w14:textId="7B7E5852"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c>
          <w:tcPr>
            <w:tcW w:w="0" w:type="auto"/>
            <w:tcBorders>
              <w:top w:val="nil"/>
              <w:bottom w:val="single" w:sz="12" w:space="0" w:color="auto"/>
            </w:tcBorders>
            <w:noWrap/>
          </w:tcPr>
          <w:p w14:paraId="32FDE03D" w14:textId="1A29D606" w:rsidR="009C370A" w:rsidRPr="00D2185F"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4"/>
                <w:szCs w:val="14"/>
                <w:lang w:val="en-US"/>
              </w:rPr>
            </w:pPr>
            <w:r>
              <w:rPr>
                <w:rFonts w:ascii="Arial" w:hAnsi="Arial" w:cs="Arial"/>
              </w:rPr>
              <w:t>***</w:t>
            </w:r>
          </w:p>
        </w:tc>
      </w:tr>
    </w:tbl>
    <w:p w14:paraId="0EB0AC1D" w14:textId="52579181" w:rsidR="00AB20BB" w:rsidRDefault="00AB20BB" w:rsidP="005A59E1">
      <w:pPr>
        <w:spacing w:line="276" w:lineRule="auto"/>
        <w:rPr>
          <w:rFonts w:ascii="Arial" w:hAnsi="Arial" w:cs="Arial"/>
          <w:iCs/>
        </w:rPr>
      </w:pPr>
      <w:r w:rsidRPr="00D2185F">
        <w:rPr>
          <w:rFonts w:ascii="Arial" w:hAnsi="Arial" w:cs="Arial"/>
          <w:b/>
          <w:bCs/>
          <w:iCs/>
        </w:rPr>
        <w:t>Legend</w:t>
      </w:r>
      <w:r w:rsidRPr="00AB20BB">
        <w:rPr>
          <w:rFonts w:ascii="Arial" w:hAnsi="Arial" w:cs="Arial"/>
          <w:iCs/>
        </w:rPr>
        <w:t>. DAS: Day after sowing; Control: Untreated control; NB: In the same column, means assigned the same letter are not significantly different at the 5% level (Newman-Keuls test</w:t>
      </w:r>
      <w:proofErr w:type="gramStart"/>
      <w:r w:rsidRPr="00AB20BB">
        <w:rPr>
          <w:rFonts w:ascii="Arial" w:hAnsi="Arial" w:cs="Arial"/>
          <w:iCs/>
        </w:rPr>
        <w:t>)</w:t>
      </w:r>
      <w:r w:rsidR="005A59E1">
        <w:rPr>
          <w:rFonts w:ascii="Arial" w:hAnsi="Arial" w:cs="Arial"/>
          <w:iCs/>
        </w:rPr>
        <w:t xml:space="preserve"> </w:t>
      </w:r>
      <w:r w:rsidR="00D2185F">
        <w:rPr>
          <w:rFonts w:ascii="Arial" w:hAnsi="Arial" w:cs="Arial"/>
          <w:i/>
          <w:iCs/>
        </w:rPr>
        <w:t>,</w:t>
      </w:r>
      <w:r w:rsidR="005A59E1" w:rsidRPr="005A59E1">
        <w:rPr>
          <w:rFonts w:ascii="Arial" w:hAnsi="Arial" w:cs="Arial"/>
          <w:i/>
          <w:iCs/>
        </w:rPr>
        <w:t>P</w:t>
      </w:r>
      <w:proofErr w:type="gramEnd"/>
      <w:r w:rsidR="005A59E1" w:rsidRPr="005A59E1">
        <w:rPr>
          <w:rFonts w:ascii="Arial" w:hAnsi="Arial" w:cs="Arial"/>
          <w:i/>
          <w:iCs/>
        </w:rPr>
        <w:t xml:space="preserve"> &lt; 0.001 (highly significant</w:t>
      </w:r>
      <w:r w:rsidR="005A59E1" w:rsidRPr="005A59E1">
        <w:rPr>
          <w:rFonts w:ascii="Arial" w:hAnsi="Arial" w:cs="Arial"/>
          <w:b/>
          <w:bCs/>
          <w:i/>
          <w:iCs/>
        </w:rPr>
        <w:t>)</w:t>
      </w:r>
      <w:r w:rsidR="00D2185F">
        <w:rPr>
          <w:rFonts w:ascii="Arial" w:hAnsi="Arial" w:cs="Arial"/>
          <w:b/>
          <w:bCs/>
          <w:i/>
          <w:iCs/>
        </w:rPr>
        <w:t>.</w:t>
      </w:r>
      <w:r w:rsidR="005A59E1" w:rsidRPr="005A59E1">
        <w:rPr>
          <w:rFonts w:ascii="Arial" w:hAnsi="Arial" w:cs="Arial"/>
          <w:b/>
          <w:bCs/>
          <w:i/>
          <w:iCs/>
        </w:rPr>
        <w:t xml:space="preserve"> </w:t>
      </w:r>
    </w:p>
    <w:p w14:paraId="4720A593" w14:textId="77777777" w:rsidR="00AB20BB" w:rsidRDefault="00AB20BB" w:rsidP="00AB20BB">
      <w:pPr>
        <w:rPr>
          <w:rFonts w:ascii="Arial" w:hAnsi="Arial" w:cs="Arial"/>
          <w:iCs/>
        </w:rPr>
      </w:pPr>
    </w:p>
    <w:p w14:paraId="35C871DA" w14:textId="77777777" w:rsidR="00AB20BB" w:rsidRPr="00AB20BB" w:rsidRDefault="00AB20BB" w:rsidP="00AB20BB">
      <w:pPr>
        <w:spacing w:line="276" w:lineRule="auto"/>
        <w:rPr>
          <w:rFonts w:ascii="Arial" w:hAnsi="Arial" w:cs="Arial"/>
          <w:iCs/>
        </w:rPr>
      </w:pPr>
      <w:bookmarkStart w:id="4" w:name="_Hlk217486411"/>
      <w:bookmarkStart w:id="5" w:name="_Hlk217434769"/>
      <w:r w:rsidRPr="00AB20BB">
        <w:rPr>
          <w:rFonts w:ascii="Arial" w:hAnsi="Arial" w:cs="Arial"/>
          <w:iCs/>
          <w:noProof/>
        </w:rPr>
        <w:drawing>
          <wp:inline distT="0" distB="0" distL="0" distR="0" wp14:anchorId="45B8507C" wp14:editId="4AF47FC9">
            <wp:extent cx="5669280" cy="3428365"/>
            <wp:effectExtent l="0" t="0" r="7620" b="635"/>
            <wp:docPr id="477822777" name="Graphique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C48CDD" w14:textId="0492A1B6" w:rsidR="00AB20BB" w:rsidRPr="00AB20BB" w:rsidRDefault="006D15FD" w:rsidP="00AB20BB">
      <w:pPr>
        <w:spacing w:line="276" w:lineRule="auto"/>
        <w:rPr>
          <w:rFonts w:ascii="Arial" w:hAnsi="Arial" w:cs="Arial"/>
          <w:iCs/>
        </w:rPr>
      </w:pPr>
      <w:r>
        <w:rPr>
          <w:rFonts w:ascii="Arial" w:hAnsi="Arial" w:cs="Arial"/>
          <w:b/>
          <w:bCs/>
          <w:iCs/>
        </w:rPr>
        <w:t>Fig</w:t>
      </w:r>
      <w:r w:rsidR="00AB20BB" w:rsidRPr="00B459F4">
        <w:rPr>
          <w:rFonts w:ascii="Arial" w:hAnsi="Arial" w:cs="Arial"/>
          <w:b/>
          <w:bCs/>
          <w:iCs/>
        </w:rPr>
        <w:t xml:space="preserve">. </w:t>
      </w:r>
      <w:r>
        <w:rPr>
          <w:rFonts w:ascii="Arial" w:hAnsi="Arial" w:cs="Arial"/>
          <w:b/>
          <w:bCs/>
          <w:iCs/>
        </w:rPr>
        <w:t>3</w:t>
      </w:r>
      <w:r w:rsidR="00AB20BB" w:rsidRPr="00AB20BB">
        <w:rPr>
          <w:rFonts w:ascii="Arial" w:hAnsi="Arial" w:cs="Arial"/>
          <w:iCs/>
        </w:rPr>
        <w:t xml:space="preserve">: Radial mycelial growth inhibition rate of </w:t>
      </w:r>
      <w:proofErr w:type="spellStart"/>
      <w:r w:rsidR="00AB20BB" w:rsidRPr="00AB20BB">
        <w:rPr>
          <w:rFonts w:ascii="Arial" w:hAnsi="Arial" w:cs="Arial"/>
          <w:iCs/>
        </w:rPr>
        <w:t>Mycosphaerella</w:t>
      </w:r>
      <w:proofErr w:type="spellEnd"/>
      <w:r w:rsidR="00AB20BB" w:rsidRPr="00AB20BB">
        <w:rPr>
          <w:rFonts w:ascii="Arial" w:hAnsi="Arial" w:cs="Arial"/>
          <w:iCs/>
        </w:rPr>
        <w:t xml:space="preserve"> </w:t>
      </w:r>
      <w:proofErr w:type="spellStart"/>
      <w:r w:rsidR="00AB20BB" w:rsidRPr="00AB20BB">
        <w:rPr>
          <w:rFonts w:ascii="Arial" w:hAnsi="Arial" w:cs="Arial"/>
          <w:iCs/>
        </w:rPr>
        <w:t>fijiensis</w:t>
      </w:r>
      <w:proofErr w:type="spellEnd"/>
      <w:r w:rsidR="00AB20BB" w:rsidRPr="00AB20BB">
        <w:rPr>
          <w:rFonts w:ascii="Arial" w:hAnsi="Arial" w:cs="Arial"/>
          <w:iCs/>
        </w:rPr>
        <w:t xml:space="preserve"> depending on products and doses</w:t>
      </w:r>
    </w:p>
    <w:p w14:paraId="43379C39" w14:textId="345680D3" w:rsidR="006D15FD" w:rsidRDefault="00AB20BB" w:rsidP="00AB20BB">
      <w:pPr>
        <w:spacing w:line="276" w:lineRule="auto"/>
        <w:rPr>
          <w:rFonts w:ascii="Arial" w:hAnsi="Arial" w:cs="Arial"/>
          <w:iCs/>
        </w:rPr>
      </w:pPr>
      <w:bookmarkStart w:id="6" w:name="_Hlk217486428"/>
      <w:bookmarkEnd w:id="4"/>
      <w:r w:rsidRPr="00D2185F">
        <w:rPr>
          <w:rFonts w:ascii="Arial" w:hAnsi="Arial" w:cs="Arial"/>
          <w:b/>
          <w:bCs/>
          <w:iCs/>
        </w:rPr>
        <w:t>Legend</w:t>
      </w:r>
      <w:r w:rsidRPr="00AB20BB">
        <w:rPr>
          <w:rFonts w:ascii="Arial" w:hAnsi="Arial" w:cs="Arial"/>
          <w:iCs/>
        </w:rPr>
        <w:t xml:space="preserve">. PIG: Overall inhibition percentage; </w:t>
      </w:r>
      <w:r w:rsidR="00770A6A">
        <w:rPr>
          <w:rFonts w:ascii="Arial" w:hAnsi="Arial" w:cs="Arial"/>
          <w:iCs/>
        </w:rPr>
        <w:t>***P</w:t>
      </w:r>
      <w:r w:rsidRPr="00AB20BB">
        <w:rPr>
          <w:rFonts w:ascii="Arial" w:hAnsi="Arial" w:cs="Arial"/>
          <w:iCs/>
        </w:rPr>
        <w:t xml:space="preserve"> significant (P&lt;0.001)</w:t>
      </w:r>
    </w:p>
    <w:p w14:paraId="080ED09F" w14:textId="77777777" w:rsidR="00BA6EF2" w:rsidRDefault="00BA6EF2" w:rsidP="00AB20BB">
      <w:pPr>
        <w:spacing w:line="276" w:lineRule="auto"/>
        <w:rPr>
          <w:rFonts w:ascii="Arial" w:hAnsi="Arial" w:cs="Arial"/>
          <w:iCs/>
        </w:rPr>
      </w:pPr>
    </w:p>
    <w:p w14:paraId="1E9C4B0B" w14:textId="77777777" w:rsidR="006D15FD" w:rsidRPr="003263A3" w:rsidRDefault="006D15FD" w:rsidP="006D15FD">
      <w:pPr>
        <w:spacing w:line="276" w:lineRule="auto"/>
        <w:rPr>
          <w:rFonts w:ascii="Arial" w:hAnsi="Arial" w:cs="Arial"/>
          <w:b/>
          <w:bCs/>
          <w:iCs/>
        </w:rPr>
      </w:pPr>
      <w:r>
        <w:rPr>
          <w:rFonts w:ascii="Arial" w:hAnsi="Arial" w:cs="Arial"/>
          <w:b/>
          <w:bCs/>
          <w:iCs/>
        </w:rPr>
        <w:t xml:space="preserve">3.1.2. </w:t>
      </w:r>
      <w:r w:rsidRPr="003263A3">
        <w:rPr>
          <w:rFonts w:ascii="Arial" w:hAnsi="Arial" w:cs="Arial"/>
          <w:b/>
          <w:bCs/>
          <w:iCs/>
        </w:rPr>
        <w:t xml:space="preserve">In vitro effects of treatments on the sporulation of </w:t>
      </w:r>
      <w:proofErr w:type="spellStart"/>
      <w:r w:rsidRPr="003263A3">
        <w:rPr>
          <w:rFonts w:ascii="Arial" w:hAnsi="Arial" w:cs="Arial"/>
          <w:b/>
          <w:bCs/>
          <w:i/>
        </w:rPr>
        <w:t>Mycosphaerella</w:t>
      </w:r>
      <w:proofErr w:type="spellEnd"/>
      <w:r w:rsidRPr="003263A3">
        <w:rPr>
          <w:rFonts w:ascii="Arial" w:hAnsi="Arial" w:cs="Arial"/>
          <w:b/>
          <w:bCs/>
          <w:i/>
        </w:rPr>
        <w:t xml:space="preserve"> </w:t>
      </w:r>
      <w:proofErr w:type="spellStart"/>
      <w:r w:rsidRPr="003263A3">
        <w:rPr>
          <w:rFonts w:ascii="Arial" w:hAnsi="Arial" w:cs="Arial"/>
          <w:b/>
          <w:bCs/>
          <w:i/>
        </w:rPr>
        <w:t>fijiensis</w:t>
      </w:r>
      <w:proofErr w:type="spellEnd"/>
    </w:p>
    <w:p w14:paraId="6CF794F3" w14:textId="77777777" w:rsidR="006D15FD" w:rsidRDefault="006D15FD" w:rsidP="006D15FD">
      <w:pPr>
        <w:spacing w:line="276" w:lineRule="auto"/>
        <w:jc w:val="both"/>
        <w:rPr>
          <w:rFonts w:ascii="Arial" w:hAnsi="Arial" w:cs="Arial"/>
          <w:iCs/>
        </w:rPr>
      </w:pPr>
      <w:r w:rsidRPr="003263A3">
        <w:rPr>
          <w:rFonts w:ascii="Arial" w:hAnsi="Arial" w:cs="Arial"/>
          <w:iCs/>
        </w:rPr>
        <w:t xml:space="preserve">The analysis of the results related to sporulation highlights highly significant effects (P&lt;0.0001) of all the factors studied, namely the fungicides/HE and their doses. Sporulation varied with dose and product. The sporulation of </w:t>
      </w:r>
      <w:proofErr w:type="spellStart"/>
      <w:r w:rsidRPr="003263A3">
        <w:rPr>
          <w:rFonts w:ascii="Arial" w:hAnsi="Arial" w:cs="Arial"/>
          <w:i/>
        </w:rPr>
        <w:t>Mycosphaerella</w:t>
      </w:r>
      <w:proofErr w:type="spellEnd"/>
      <w:r w:rsidRPr="003263A3">
        <w:rPr>
          <w:rFonts w:ascii="Arial" w:hAnsi="Arial" w:cs="Arial"/>
          <w:i/>
        </w:rPr>
        <w:t xml:space="preserve"> </w:t>
      </w:r>
      <w:proofErr w:type="spellStart"/>
      <w:r w:rsidRPr="003263A3">
        <w:rPr>
          <w:rFonts w:ascii="Arial" w:hAnsi="Arial" w:cs="Arial"/>
          <w:i/>
        </w:rPr>
        <w:t>fijiensis</w:t>
      </w:r>
      <w:proofErr w:type="spellEnd"/>
      <w:r w:rsidRPr="003263A3">
        <w:rPr>
          <w:rFonts w:ascii="Arial" w:hAnsi="Arial" w:cs="Arial"/>
          <w:iCs/>
        </w:rPr>
        <w:t xml:space="preserve"> was inhibited by treatment with Mancozeb, copper hydroxide, and the essential oil of </w:t>
      </w:r>
      <w:proofErr w:type="spellStart"/>
      <w:r w:rsidRPr="003263A3">
        <w:rPr>
          <w:rFonts w:ascii="Arial" w:hAnsi="Arial" w:cs="Arial"/>
          <w:i/>
        </w:rPr>
        <w:t>Ocimum</w:t>
      </w:r>
      <w:proofErr w:type="spellEnd"/>
      <w:r w:rsidRPr="003263A3">
        <w:rPr>
          <w:rFonts w:ascii="Arial" w:hAnsi="Arial" w:cs="Arial"/>
          <w:i/>
        </w:rPr>
        <w:t xml:space="preserve"> </w:t>
      </w:r>
      <w:proofErr w:type="spellStart"/>
      <w:r w:rsidRPr="003263A3">
        <w:rPr>
          <w:rFonts w:ascii="Arial" w:hAnsi="Arial" w:cs="Arial"/>
          <w:i/>
        </w:rPr>
        <w:t>gratissimum</w:t>
      </w:r>
      <w:proofErr w:type="spellEnd"/>
      <w:r w:rsidRPr="003263A3">
        <w:rPr>
          <w:rFonts w:ascii="Arial" w:hAnsi="Arial" w:cs="Arial"/>
          <w:iCs/>
        </w:rPr>
        <w:t xml:space="preserve"> compared to treatment with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oil (2.77 × 10</w:t>
      </w:r>
      <w:r w:rsidRPr="003263A3">
        <w:rPr>
          <w:rFonts w:ascii="Arial" w:hAnsi="Arial" w:cs="Arial"/>
          <w:iCs/>
          <w:vertAlign w:val="superscript"/>
        </w:rPr>
        <w:t xml:space="preserve">5 </w:t>
      </w:r>
      <w:r w:rsidRPr="003263A3">
        <w:rPr>
          <w:rFonts w:ascii="Arial" w:hAnsi="Arial" w:cs="Arial"/>
          <w:iCs/>
        </w:rPr>
        <w:t>spores/mL) and the control treatment (4.38 × 10</w:t>
      </w:r>
      <w:r w:rsidRPr="003263A3">
        <w:rPr>
          <w:rFonts w:ascii="Arial" w:hAnsi="Arial" w:cs="Arial"/>
          <w:iCs/>
          <w:vertAlign w:val="superscript"/>
        </w:rPr>
        <w:t xml:space="preserve">5 </w:t>
      </w:r>
      <w:r w:rsidRPr="003263A3">
        <w:rPr>
          <w:rFonts w:ascii="Arial" w:hAnsi="Arial" w:cs="Arial"/>
          <w:iCs/>
        </w:rPr>
        <w:t xml:space="preserve">spores/mL). Furthermore, the essential oil of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inhibited sporulation at the high dose (</w:t>
      </w:r>
      <w:r w:rsidRPr="003263A3">
        <w:rPr>
          <w:rFonts w:ascii="Arial" w:hAnsi="Arial" w:cs="Arial"/>
          <w:b/>
          <w:bCs/>
          <w:iCs/>
        </w:rPr>
        <w:t>Table. IV</w:t>
      </w:r>
      <w:r w:rsidRPr="003263A3">
        <w:rPr>
          <w:rFonts w:ascii="Arial" w:hAnsi="Arial" w:cs="Arial"/>
          <w:iCs/>
        </w:rPr>
        <w:t xml:space="preserve">). </w:t>
      </w:r>
    </w:p>
    <w:p w14:paraId="405CDDDD" w14:textId="49FB47BB" w:rsidR="00AB20BB" w:rsidRPr="00AB20BB" w:rsidRDefault="00AB20BB" w:rsidP="00AB20BB">
      <w:pPr>
        <w:spacing w:line="276" w:lineRule="auto"/>
        <w:rPr>
          <w:rFonts w:ascii="Arial" w:hAnsi="Arial" w:cs="Arial"/>
          <w:iCs/>
        </w:rPr>
      </w:pPr>
      <w:r w:rsidRPr="00AB20BB">
        <w:rPr>
          <w:rFonts w:ascii="Arial" w:hAnsi="Arial" w:cs="Arial"/>
          <w:iCs/>
        </w:rPr>
        <w:t> </w:t>
      </w:r>
    </w:p>
    <w:bookmarkEnd w:id="5"/>
    <w:bookmarkEnd w:id="6"/>
    <w:p w14:paraId="38E52194" w14:textId="2C8ADEF0" w:rsidR="00AB20BB" w:rsidRPr="00AB20BB" w:rsidRDefault="00AB20BB" w:rsidP="00AB20BB">
      <w:pPr>
        <w:rPr>
          <w:rFonts w:ascii="Arial" w:hAnsi="Arial" w:cs="Arial"/>
        </w:rPr>
        <w:sectPr w:rsidR="00AB20BB" w:rsidRPr="00AB20BB" w:rsidSect="009E5F17">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18" w:bottom="1418" w:left="1560" w:header="709" w:footer="709" w:gutter="0"/>
          <w:pgNumType w:start="1"/>
          <w:cols w:space="708"/>
          <w:titlePg/>
          <w:docGrid w:linePitch="360"/>
        </w:sectPr>
      </w:pPr>
    </w:p>
    <w:p w14:paraId="0A489EE2" w14:textId="77777777" w:rsidR="00C86AC7" w:rsidRDefault="00C86AC7" w:rsidP="009E5F17">
      <w:pPr>
        <w:spacing w:line="276" w:lineRule="auto"/>
        <w:jc w:val="both"/>
        <w:rPr>
          <w:rFonts w:ascii="Arial" w:hAnsi="Arial" w:cs="Arial"/>
          <w:iCs/>
        </w:rPr>
      </w:pPr>
    </w:p>
    <w:p w14:paraId="13780514" w14:textId="77777777" w:rsidR="00C86AC7" w:rsidRPr="00C86AC7" w:rsidRDefault="00C86AC7" w:rsidP="00C86AC7">
      <w:pPr>
        <w:spacing w:line="276" w:lineRule="auto"/>
        <w:rPr>
          <w:rFonts w:ascii="Arial" w:hAnsi="Arial" w:cs="Arial"/>
          <w:iCs/>
        </w:rPr>
      </w:pPr>
    </w:p>
    <w:p w14:paraId="7E678730" w14:textId="77777777" w:rsidR="00C86AC7" w:rsidRPr="00C86AC7" w:rsidRDefault="00C86AC7" w:rsidP="00C86AC7">
      <w:pPr>
        <w:spacing w:line="276" w:lineRule="auto"/>
        <w:rPr>
          <w:rFonts w:ascii="Arial" w:hAnsi="Arial" w:cs="Arial"/>
          <w:iCs/>
        </w:rPr>
      </w:pPr>
      <w:r w:rsidRPr="008A5574">
        <w:rPr>
          <w:rFonts w:ascii="Arial" w:hAnsi="Arial" w:cs="Arial"/>
          <w:b/>
          <w:bCs/>
          <w:iCs/>
        </w:rPr>
        <w:t>Table IV.</w:t>
      </w:r>
      <w:r w:rsidRPr="00C86AC7">
        <w:rPr>
          <w:rFonts w:ascii="Arial" w:hAnsi="Arial" w:cs="Arial"/>
          <w:iCs/>
        </w:rPr>
        <w:t xml:space="preserve"> Effects of different treatments on the sporulation of </w:t>
      </w:r>
      <w:proofErr w:type="spellStart"/>
      <w:r w:rsidRPr="00C86AC7">
        <w:rPr>
          <w:rFonts w:ascii="Arial" w:hAnsi="Arial" w:cs="Arial"/>
          <w:iCs/>
        </w:rPr>
        <w:t>Mycosphaerella</w:t>
      </w:r>
      <w:proofErr w:type="spellEnd"/>
      <w:r w:rsidRPr="00C86AC7">
        <w:rPr>
          <w:rFonts w:ascii="Arial" w:hAnsi="Arial" w:cs="Arial"/>
          <w:iCs/>
        </w:rPr>
        <w:t xml:space="preserve"> </w:t>
      </w:r>
      <w:proofErr w:type="spellStart"/>
      <w:r w:rsidRPr="00C86AC7">
        <w:rPr>
          <w:rFonts w:ascii="Arial" w:hAnsi="Arial" w:cs="Arial"/>
          <w:iCs/>
        </w:rPr>
        <w:t>fijiensis</w:t>
      </w:r>
      <w:proofErr w:type="spellEnd"/>
    </w:p>
    <w:p w14:paraId="64BA273F" w14:textId="77777777" w:rsidR="00C86AC7" w:rsidRPr="00C86AC7" w:rsidRDefault="00C86AC7" w:rsidP="00C86AC7">
      <w:pPr>
        <w:spacing w:line="276" w:lineRule="auto"/>
        <w:rPr>
          <w:rFonts w:ascii="Arial" w:hAnsi="Arial" w:cs="Arial"/>
          <w:iCs/>
        </w:rPr>
      </w:pPr>
    </w:p>
    <w:tbl>
      <w:tblPr>
        <w:tblStyle w:val="Tableausimple21"/>
        <w:tblW w:w="8876" w:type="dxa"/>
        <w:tblBorders>
          <w:top w:val="single" w:sz="12" w:space="0" w:color="auto"/>
          <w:bottom w:val="single" w:sz="12" w:space="0" w:color="auto"/>
        </w:tblBorders>
        <w:tblLook w:val="04A0" w:firstRow="1" w:lastRow="0" w:firstColumn="1" w:lastColumn="0" w:noHBand="0" w:noVBand="1"/>
      </w:tblPr>
      <w:tblGrid>
        <w:gridCol w:w="2117"/>
        <w:gridCol w:w="2268"/>
        <w:gridCol w:w="2268"/>
        <w:gridCol w:w="2223"/>
      </w:tblGrid>
      <w:tr w:rsidR="00C86AC7" w:rsidRPr="00C86AC7" w14:paraId="030B56BC" w14:textId="77777777" w:rsidTr="00A76C67">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117" w:type="dxa"/>
            <w:vMerge w:val="restart"/>
            <w:tcBorders>
              <w:top w:val="single" w:sz="12" w:space="0" w:color="auto"/>
              <w:bottom w:val="nil"/>
            </w:tcBorders>
            <w:noWrap/>
            <w:vAlign w:val="center"/>
            <w:hideMark/>
          </w:tcPr>
          <w:p w14:paraId="54808636"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Fongicides/HE</w:t>
            </w:r>
          </w:p>
        </w:tc>
        <w:tc>
          <w:tcPr>
            <w:tcW w:w="2268" w:type="dxa"/>
            <w:tcBorders>
              <w:top w:val="single" w:sz="12" w:space="0" w:color="auto"/>
              <w:bottom w:val="single" w:sz="8" w:space="0" w:color="auto"/>
            </w:tcBorders>
            <w:noWrap/>
            <w:hideMark/>
          </w:tcPr>
          <w:p w14:paraId="61A995CA" w14:textId="77777777" w:rsidR="00C86AC7" w:rsidRPr="00C86AC7" w:rsidRDefault="00C86AC7"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 xml:space="preserve">Lower dose </w:t>
            </w:r>
          </w:p>
        </w:tc>
        <w:tc>
          <w:tcPr>
            <w:tcW w:w="2268" w:type="dxa"/>
            <w:tcBorders>
              <w:top w:val="single" w:sz="12" w:space="0" w:color="auto"/>
              <w:bottom w:val="single" w:sz="8" w:space="0" w:color="auto"/>
            </w:tcBorders>
            <w:noWrap/>
            <w:hideMark/>
          </w:tcPr>
          <w:p w14:paraId="41E44DDC" w14:textId="77777777" w:rsidR="00C86AC7" w:rsidRPr="00C86AC7" w:rsidRDefault="00C86AC7"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Recommended dose</w:t>
            </w:r>
          </w:p>
        </w:tc>
        <w:tc>
          <w:tcPr>
            <w:tcW w:w="2223" w:type="dxa"/>
            <w:tcBorders>
              <w:top w:val="single" w:sz="12" w:space="0" w:color="auto"/>
              <w:bottom w:val="single" w:sz="8" w:space="0" w:color="auto"/>
            </w:tcBorders>
            <w:noWrap/>
            <w:hideMark/>
          </w:tcPr>
          <w:p w14:paraId="6E8BC4D7" w14:textId="77777777" w:rsidR="00C86AC7" w:rsidRPr="00C86AC7" w:rsidRDefault="00C86AC7"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Higher dose</w:t>
            </w:r>
          </w:p>
        </w:tc>
      </w:tr>
      <w:tr w:rsidR="00C86AC7" w:rsidRPr="00C86AC7" w14:paraId="6B20ED77" w14:textId="77777777" w:rsidTr="00A76C67">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117" w:type="dxa"/>
            <w:vMerge/>
            <w:tcBorders>
              <w:top w:val="nil"/>
              <w:bottom w:val="single" w:sz="12" w:space="0" w:color="auto"/>
            </w:tcBorders>
            <w:hideMark/>
          </w:tcPr>
          <w:p w14:paraId="650B09B1" w14:textId="77777777" w:rsidR="00C86AC7" w:rsidRPr="00C86AC7" w:rsidRDefault="00C86AC7" w:rsidP="00A76C67">
            <w:pPr>
              <w:spacing w:line="276" w:lineRule="auto"/>
              <w:rPr>
                <w:rFonts w:ascii="Arial" w:eastAsia="Times New Roman" w:hAnsi="Arial" w:cs="Arial"/>
                <w:b w:val="0"/>
                <w:bCs w:val="0"/>
                <w:iCs/>
                <w:sz w:val="20"/>
                <w:szCs w:val="20"/>
                <w:lang w:val="en-US"/>
              </w:rPr>
            </w:pPr>
          </w:p>
        </w:tc>
        <w:tc>
          <w:tcPr>
            <w:tcW w:w="2268" w:type="dxa"/>
            <w:tcBorders>
              <w:top w:val="single" w:sz="8" w:space="0" w:color="auto"/>
              <w:bottom w:val="single" w:sz="12" w:space="0" w:color="auto"/>
            </w:tcBorders>
            <w:noWrap/>
            <w:hideMark/>
          </w:tcPr>
          <w:p w14:paraId="737FA943"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Number of spores per ml 14DAS</w:t>
            </w:r>
          </w:p>
          <w:p w14:paraId="038D57A5"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p>
        </w:tc>
        <w:tc>
          <w:tcPr>
            <w:tcW w:w="2268" w:type="dxa"/>
            <w:tcBorders>
              <w:top w:val="single" w:sz="8" w:space="0" w:color="auto"/>
              <w:bottom w:val="single" w:sz="12" w:space="0" w:color="auto"/>
            </w:tcBorders>
            <w:noWrap/>
            <w:hideMark/>
          </w:tcPr>
          <w:p w14:paraId="6068026C"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Number of spores per ml 14DAS</w:t>
            </w:r>
          </w:p>
          <w:p w14:paraId="1131CCE4"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p>
        </w:tc>
        <w:tc>
          <w:tcPr>
            <w:tcW w:w="2223" w:type="dxa"/>
            <w:tcBorders>
              <w:top w:val="single" w:sz="8" w:space="0" w:color="auto"/>
              <w:bottom w:val="single" w:sz="12" w:space="0" w:color="auto"/>
            </w:tcBorders>
            <w:noWrap/>
            <w:hideMark/>
          </w:tcPr>
          <w:p w14:paraId="3E8E10A2"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Number of spores per ml 14DAS</w:t>
            </w:r>
          </w:p>
        </w:tc>
      </w:tr>
      <w:tr w:rsidR="00C86AC7" w:rsidRPr="00C86AC7" w14:paraId="1F09D819"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single" w:sz="12" w:space="0" w:color="auto"/>
            </w:tcBorders>
            <w:noWrap/>
            <w:hideMark/>
          </w:tcPr>
          <w:p w14:paraId="6942ED88"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Control</w:t>
            </w:r>
          </w:p>
        </w:tc>
        <w:tc>
          <w:tcPr>
            <w:tcW w:w="2268" w:type="dxa"/>
            <w:tcBorders>
              <w:top w:val="single" w:sz="12" w:space="0" w:color="auto"/>
            </w:tcBorders>
            <w:noWrap/>
            <w:hideMark/>
          </w:tcPr>
          <w:p w14:paraId="479F6B9F"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4,38 105 c</w:t>
            </w:r>
          </w:p>
        </w:tc>
        <w:tc>
          <w:tcPr>
            <w:tcW w:w="2268" w:type="dxa"/>
            <w:tcBorders>
              <w:top w:val="single" w:sz="12" w:space="0" w:color="auto"/>
            </w:tcBorders>
            <w:noWrap/>
            <w:hideMark/>
          </w:tcPr>
          <w:p w14:paraId="49F09E35"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4,38 105 c</w:t>
            </w:r>
          </w:p>
        </w:tc>
        <w:tc>
          <w:tcPr>
            <w:tcW w:w="2223" w:type="dxa"/>
            <w:tcBorders>
              <w:top w:val="single" w:sz="12" w:space="0" w:color="auto"/>
            </w:tcBorders>
            <w:noWrap/>
            <w:hideMark/>
          </w:tcPr>
          <w:p w14:paraId="2EF2433A"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4,38 105 b</w:t>
            </w:r>
          </w:p>
        </w:tc>
      </w:tr>
      <w:tr w:rsidR="00C86AC7" w:rsidRPr="00C86AC7" w14:paraId="0472F8F9" w14:textId="77777777" w:rsidTr="00A76C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bottom w:val="none" w:sz="0" w:space="0" w:color="auto"/>
            </w:tcBorders>
            <w:noWrap/>
            <w:hideMark/>
          </w:tcPr>
          <w:p w14:paraId="57B3EA42"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 xml:space="preserve">HE of </w:t>
            </w:r>
            <w:proofErr w:type="spellStart"/>
            <w:proofErr w:type="gramStart"/>
            <w:r w:rsidRPr="00C86AC7">
              <w:rPr>
                <w:rFonts w:ascii="Arial" w:eastAsia="Times New Roman" w:hAnsi="Arial" w:cs="Arial"/>
                <w:b w:val="0"/>
                <w:bCs w:val="0"/>
                <w:iCs/>
                <w:sz w:val="20"/>
                <w:szCs w:val="20"/>
                <w:lang w:val="en-US"/>
              </w:rPr>
              <w:t>L.multiflora</w:t>
            </w:r>
            <w:proofErr w:type="spellEnd"/>
            <w:proofErr w:type="gramEnd"/>
          </w:p>
        </w:tc>
        <w:tc>
          <w:tcPr>
            <w:tcW w:w="2268" w:type="dxa"/>
            <w:tcBorders>
              <w:top w:val="none" w:sz="0" w:space="0" w:color="auto"/>
              <w:bottom w:val="none" w:sz="0" w:space="0" w:color="auto"/>
            </w:tcBorders>
            <w:noWrap/>
            <w:hideMark/>
          </w:tcPr>
          <w:p w14:paraId="2C2EC224"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2,77.105 b</w:t>
            </w:r>
          </w:p>
        </w:tc>
        <w:tc>
          <w:tcPr>
            <w:tcW w:w="2268" w:type="dxa"/>
            <w:tcBorders>
              <w:top w:val="none" w:sz="0" w:space="0" w:color="auto"/>
              <w:bottom w:val="none" w:sz="0" w:space="0" w:color="auto"/>
            </w:tcBorders>
            <w:noWrap/>
            <w:hideMark/>
          </w:tcPr>
          <w:p w14:paraId="18DAA297"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0,84 105 b</w:t>
            </w:r>
          </w:p>
        </w:tc>
        <w:tc>
          <w:tcPr>
            <w:tcW w:w="2223" w:type="dxa"/>
            <w:tcBorders>
              <w:top w:val="none" w:sz="0" w:space="0" w:color="auto"/>
              <w:bottom w:val="none" w:sz="0" w:space="0" w:color="auto"/>
            </w:tcBorders>
            <w:noWrap/>
            <w:hideMark/>
          </w:tcPr>
          <w:p w14:paraId="169C4796"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1B32929A"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noWrap/>
            <w:hideMark/>
          </w:tcPr>
          <w:p w14:paraId="49C613C4"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 xml:space="preserve">HE of O. </w:t>
            </w:r>
            <w:proofErr w:type="spellStart"/>
            <w:r w:rsidRPr="00C86AC7">
              <w:rPr>
                <w:rFonts w:ascii="Arial" w:eastAsia="Times New Roman" w:hAnsi="Arial" w:cs="Arial"/>
                <w:b w:val="0"/>
                <w:bCs w:val="0"/>
                <w:iCs/>
                <w:sz w:val="20"/>
                <w:szCs w:val="20"/>
                <w:lang w:val="en-US"/>
              </w:rPr>
              <w:t>gratissimum</w:t>
            </w:r>
            <w:proofErr w:type="spellEnd"/>
          </w:p>
        </w:tc>
        <w:tc>
          <w:tcPr>
            <w:tcW w:w="2268" w:type="dxa"/>
            <w:noWrap/>
            <w:hideMark/>
          </w:tcPr>
          <w:p w14:paraId="4EF11F98"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68" w:type="dxa"/>
            <w:noWrap/>
            <w:hideMark/>
          </w:tcPr>
          <w:p w14:paraId="1355D872"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23" w:type="dxa"/>
            <w:noWrap/>
            <w:hideMark/>
          </w:tcPr>
          <w:p w14:paraId="5F5D592A"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6D5ED08E" w14:textId="77777777" w:rsidTr="00A76C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bottom w:val="none" w:sz="0" w:space="0" w:color="auto"/>
            </w:tcBorders>
            <w:noWrap/>
            <w:hideMark/>
          </w:tcPr>
          <w:p w14:paraId="7E2ED876"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Copper hydroxide</w:t>
            </w:r>
          </w:p>
        </w:tc>
        <w:tc>
          <w:tcPr>
            <w:tcW w:w="2268" w:type="dxa"/>
            <w:tcBorders>
              <w:top w:val="none" w:sz="0" w:space="0" w:color="auto"/>
              <w:bottom w:val="none" w:sz="0" w:space="0" w:color="auto"/>
            </w:tcBorders>
            <w:noWrap/>
            <w:hideMark/>
          </w:tcPr>
          <w:p w14:paraId="663321BF"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68" w:type="dxa"/>
            <w:tcBorders>
              <w:top w:val="none" w:sz="0" w:space="0" w:color="auto"/>
              <w:bottom w:val="none" w:sz="0" w:space="0" w:color="auto"/>
            </w:tcBorders>
            <w:noWrap/>
            <w:hideMark/>
          </w:tcPr>
          <w:p w14:paraId="52A29864"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23" w:type="dxa"/>
            <w:tcBorders>
              <w:top w:val="none" w:sz="0" w:space="0" w:color="auto"/>
              <w:bottom w:val="none" w:sz="0" w:space="0" w:color="auto"/>
            </w:tcBorders>
            <w:noWrap/>
            <w:hideMark/>
          </w:tcPr>
          <w:p w14:paraId="42BD25C5" w14:textId="77777777"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7F9B62B5"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tcBorders>
              <w:bottom w:val="single" w:sz="12" w:space="0" w:color="auto"/>
            </w:tcBorders>
            <w:noWrap/>
            <w:hideMark/>
          </w:tcPr>
          <w:p w14:paraId="6973B731" w14:textId="77777777" w:rsidR="00C86AC7" w:rsidRPr="00C86AC7" w:rsidRDefault="00C86AC7" w:rsidP="00A76C67">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Mancozeb</w:t>
            </w:r>
          </w:p>
          <w:p w14:paraId="1747CA50" w14:textId="77777777" w:rsidR="00C86AC7" w:rsidRPr="00C86AC7" w:rsidRDefault="00C86AC7" w:rsidP="00A76C67">
            <w:pPr>
              <w:spacing w:line="276" w:lineRule="auto"/>
              <w:rPr>
                <w:rFonts w:ascii="Arial" w:eastAsia="Times New Roman" w:hAnsi="Arial" w:cs="Arial"/>
                <w:b w:val="0"/>
                <w:bCs w:val="0"/>
                <w:iCs/>
                <w:sz w:val="20"/>
                <w:szCs w:val="20"/>
                <w:lang w:val="en-US"/>
              </w:rPr>
            </w:pPr>
          </w:p>
        </w:tc>
        <w:tc>
          <w:tcPr>
            <w:tcW w:w="2268" w:type="dxa"/>
            <w:tcBorders>
              <w:bottom w:val="single" w:sz="12" w:space="0" w:color="auto"/>
            </w:tcBorders>
            <w:noWrap/>
            <w:hideMark/>
          </w:tcPr>
          <w:p w14:paraId="38292E0A"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68" w:type="dxa"/>
            <w:tcBorders>
              <w:bottom w:val="single" w:sz="12" w:space="0" w:color="auto"/>
            </w:tcBorders>
            <w:noWrap/>
            <w:hideMark/>
          </w:tcPr>
          <w:p w14:paraId="1ED7FA58"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c>
          <w:tcPr>
            <w:tcW w:w="2223" w:type="dxa"/>
            <w:tcBorders>
              <w:bottom w:val="single" w:sz="12" w:space="0" w:color="auto"/>
            </w:tcBorders>
            <w:noWrap/>
            <w:hideMark/>
          </w:tcPr>
          <w:p w14:paraId="5EABCB19" w14:textId="77777777" w:rsidR="00C86AC7" w:rsidRPr="00C86AC7" w:rsidRDefault="00C86AC7"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0,000 a</w:t>
            </w:r>
          </w:p>
        </w:tc>
      </w:tr>
      <w:tr w:rsidR="00C86AC7" w:rsidRPr="00C86AC7" w14:paraId="0349AD2B" w14:textId="77777777" w:rsidTr="00A76C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single" w:sz="12" w:space="0" w:color="auto"/>
              <w:bottom w:val="nil"/>
            </w:tcBorders>
            <w:noWrap/>
          </w:tcPr>
          <w:p w14:paraId="0726B7C9" w14:textId="0EB63EC7" w:rsidR="00C86AC7" w:rsidRPr="00C86AC7" w:rsidRDefault="00C86AC7" w:rsidP="00A76C67">
            <w:pPr>
              <w:spacing w:line="276" w:lineRule="auto"/>
              <w:rPr>
                <w:rFonts w:ascii="Arial" w:eastAsia="Times New Roman" w:hAnsi="Arial" w:cs="Arial"/>
                <w:b w:val="0"/>
                <w:bCs w:val="0"/>
                <w:iCs/>
                <w:sz w:val="20"/>
                <w:szCs w:val="20"/>
                <w:lang w:val="en-US"/>
              </w:rPr>
            </w:pPr>
            <w:proofErr w:type="spellStart"/>
            <w:r w:rsidRPr="00C86AC7">
              <w:rPr>
                <w:rFonts w:ascii="Arial" w:eastAsia="Times New Roman" w:hAnsi="Arial" w:cs="Arial"/>
                <w:b w:val="0"/>
                <w:bCs w:val="0"/>
                <w:iCs/>
                <w:sz w:val="20"/>
                <w:szCs w:val="20"/>
                <w:lang w:val="en-US"/>
              </w:rPr>
              <w:t>Pr</w:t>
            </w:r>
            <w:proofErr w:type="spellEnd"/>
            <w:r w:rsidRPr="00C86AC7">
              <w:rPr>
                <w:rFonts w:ascii="Arial" w:eastAsia="Times New Roman" w:hAnsi="Arial" w:cs="Arial"/>
                <w:b w:val="0"/>
                <w:bCs w:val="0"/>
                <w:iCs/>
                <w:sz w:val="20"/>
                <w:szCs w:val="20"/>
                <w:lang w:val="en-US"/>
              </w:rPr>
              <w:t xml:space="preserve"> &gt; F</w:t>
            </w:r>
          </w:p>
        </w:tc>
        <w:tc>
          <w:tcPr>
            <w:tcW w:w="2268" w:type="dxa"/>
            <w:tcBorders>
              <w:top w:val="single" w:sz="12" w:space="0" w:color="auto"/>
              <w:bottom w:val="nil"/>
            </w:tcBorders>
            <w:noWrap/>
          </w:tcPr>
          <w:p w14:paraId="73656193" w14:textId="1F54D65A"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&lt; 0</w:t>
            </w:r>
            <w:r w:rsidR="00D2185F">
              <w:rPr>
                <w:rFonts w:ascii="Arial" w:eastAsia="Times New Roman" w:hAnsi="Arial" w:cs="Arial"/>
                <w:iCs/>
                <w:sz w:val="20"/>
                <w:szCs w:val="20"/>
                <w:lang w:val="en-US"/>
              </w:rPr>
              <w:t>.</w:t>
            </w:r>
            <w:r w:rsidRPr="00C86AC7">
              <w:rPr>
                <w:rFonts w:ascii="Arial" w:eastAsia="Times New Roman" w:hAnsi="Arial" w:cs="Arial"/>
                <w:iCs/>
                <w:sz w:val="20"/>
                <w:szCs w:val="20"/>
                <w:lang w:val="en-US"/>
              </w:rPr>
              <w:t>001</w:t>
            </w:r>
          </w:p>
        </w:tc>
        <w:tc>
          <w:tcPr>
            <w:tcW w:w="2268" w:type="dxa"/>
            <w:tcBorders>
              <w:top w:val="single" w:sz="12" w:space="0" w:color="auto"/>
              <w:bottom w:val="nil"/>
            </w:tcBorders>
            <w:noWrap/>
          </w:tcPr>
          <w:p w14:paraId="135D3027" w14:textId="14AFF092"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&lt; 0</w:t>
            </w:r>
            <w:r w:rsidR="00D2185F">
              <w:rPr>
                <w:rFonts w:ascii="Arial" w:eastAsia="Times New Roman" w:hAnsi="Arial" w:cs="Arial"/>
                <w:iCs/>
                <w:sz w:val="20"/>
                <w:szCs w:val="20"/>
                <w:lang w:val="en-US"/>
              </w:rPr>
              <w:t>.</w:t>
            </w:r>
            <w:r w:rsidRPr="00C86AC7">
              <w:rPr>
                <w:rFonts w:ascii="Arial" w:eastAsia="Times New Roman" w:hAnsi="Arial" w:cs="Arial"/>
                <w:iCs/>
                <w:sz w:val="20"/>
                <w:szCs w:val="20"/>
                <w:lang w:val="en-US"/>
              </w:rPr>
              <w:t>001</w:t>
            </w:r>
          </w:p>
        </w:tc>
        <w:tc>
          <w:tcPr>
            <w:tcW w:w="2223" w:type="dxa"/>
            <w:tcBorders>
              <w:top w:val="single" w:sz="12" w:space="0" w:color="auto"/>
              <w:bottom w:val="nil"/>
            </w:tcBorders>
            <w:noWrap/>
          </w:tcPr>
          <w:p w14:paraId="790D036F" w14:textId="3CACDB85" w:rsidR="00C86AC7" w:rsidRPr="00C86AC7" w:rsidRDefault="00C86AC7"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lang w:val="en-US"/>
              </w:rPr>
            </w:pPr>
            <w:r w:rsidRPr="00C86AC7">
              <w:rPr>
                <w:rFonts w:ascii="Arial" w:eastAsia="Times New Roman" w:hAnsi="Arial" w:cs="Arial"/>
                <w:iCs/>
                <w:sz w:val="20"/>
                <w:szCs w:val="20"/>
                <w:lang w:val="en-US"/>
              </w:rPr>
              <w:t>&lt; 0</w:t>
            </w:r>
            <w:r w:rsidR="00D2185F">
              <w:rPr>
                <w:rFonts w:ascii="Arial" w:eastAsia="Times New Roman" w:hAnsi="Arial" w:cs="Arial"/>
                <w:iCs/>
                <w:sz w:val="20"/>
                <w:szCs w:val="20"/>
                <w:lang w:val="en-US"/>
              </w:rPr>
              <w:t>.</w:t>
            </w:r>
            <w:r w:rsidRPr="00C86AC7">
              <w:rPr>
                <w:rFonts w:ascii="Arial" w:eastAsia="Times New Roman" w:hAnsi="Arial" w:cs="Arial"/>
                <w:iCs/>
                <w:sz w:val="20"/>
                <w:szCs w:val="20"/>
                <w:lang w:val="en-US"/>
              </w:rPr>
              <w:t>001</w:t>
            </w:r>
          </w:p>
        </w:tc>
      </w:tr>
      <w:tr w:rsidR="009C370A" w:rsidRPr="00C86AC7" w14:paraId="0F6766AC" w14:textId="77777777" w:rsidTr="00A76C67">
        <w:trPr>
          <w:trHeight w:val="323"/>
        </w:trPr>
        <w:tc>
          <w:tcPr>
            <w:cnfStyle w:val="001000000000" w:firstRow="0" w:lastRow="0" w:firstColumn="1" w:lastColumn="0" w:oddVBand="0" w:evenVBand="0" w:oddHBand="0" w:evenHBand="0" w:firstRowFirstColumn="0" w:firstRowLastColumn="0" w:lastRowFirstColumn="0" w:lastRowLastColumn="0"/>
            <w:tcW w:w="2117" w:type="dxa"/>
            <w:tcBorders>
              <w:top w:val="nil"/>
              <w:bottom w:val="single" w:sz="12" w:space="0" w:color="auto"/>
            </w:tcBorders>
            <w:noWrap/>
          </w:tcPr>
          <w:p w14:paraId="3C84F734" w14:textId="77777777" w:rsidR="009C370A" w:rsidRPr="00C86AC7" w:rsidRDefault="009C370A" w:rsidP="009C370A">
            <w:pPr>
              <w:spacing w:line="276" w:lineRule="auto"/>
              <w:rPr>
                <w:rFonts w:ascii="Arial" w:eastAsia="Times New Roman" w:hAnsi="Arial" w:cs="Arial"/>
                <w:b w:val="0"/>
                <w:bCs w:val="0"/>
                <w:iCs/>
                <w:sz w:val="20"/>
                <w:szCs w:val="20"/>
                <w:lang w:val="en-US"/>
              </w:rPr>
            </w:pPr>
            <w:r w:rsidRPr="00C86AC7">
              <w:rPr>
                <w:rFonts w:ascii="Arial" w:eastAsia="Times New Roman" w:hAnsi="Arial" w:cs="Arial"/>
                <w:b w:val="0"/>
                <w:bCs w:val="0"/>
                <w:iCs/>
                <w:sz w:val="20"/>
                <w:szCs w:val="20"/>
                <w:lang w:val="en-US"/>
              </w:rPr>
              <w:t>Significance</w:t>
            </w:r>
          </w:p>
        </w:tc>
        <w:tc>
          <w:tcPr>
            <w:tcW w:w="2268" w:type="dxa"/>
            <w:tcBorders>
              <w:top w:val="nil"/>
              <w:bottom w:val="single" w:sz="12" w:space="0" w:color="auto"/>
            </w:tcBorders>
            <w:noWrap/>
          </w:tcPr>
          <w:p w14:paraId="540C62A7" w14:textId="4887C997" w:rsidR="009C370A" w:rsidRPr="00C86AC7"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Pr>
                <w:rFonts w:ascii="Arial" w:hAnsi="Arial" w:cs="Arial"/>
              </w:rPr>
              <w:t>***</w:t>
            </w:r>
          </w:p>
        </w:tc>
        <w:tc>
          <w:tcPr>
            <w:tcW w:w="2268" w:type="dxa"/>
            <w:tcBorders>
              <w:top w:val="nil"/>
              <w:bottom w:val="single" w:sz="12" w:space="0" w:color="auto"/>
            </w:tcBorders>
            <w:noWrap/>
          </w:tcPr>
          <w:p w14:paraId="7A318C90" w14:textId="63B5A682" w:rsidR="009C370A" w:rsidRPr="00C86AC7"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Pr>
                <w:rFonts w:ascii="Arial" w:hAnsi="Arial" w:cs="Arial"/>
              </w:rPr>
              <w:t>***</w:t>
            </w:r>
          </w:p>
        </w:tc>
        <w:tc>
          <w:tcPr>
            <w:tcW w:w="2223" w:type="dxa"/>
            <w:tcBorders>
              <w:top w:val="nil"/>
              <w:bottom w:val="single" w:sz="12" w:space="0" w:color="auto"/>
            </w:tcBorders>
            <w:noWrap/>
          </w:tcPr>
          <w:p w14:paraId="59EA5FBB" w14:textId="033D41F8" w:rsidR="009C370A" w:rsidRPr="00C86AC7" w:rsidRDefault="009C370A" w:rsidP="009C370A">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lang w:val="en-US"/>
              </w:rPr>
            </w:pPr>
            <w:r>
              <w:rPr>
                <w:rFonts w:ascii="Arial" w:hAnsi="Arial" w:cs="Arial"/>
              </w:rPr>
              <w:t>***</w:t>
            </w:r>
          </w:p>
        </w:tc>
      </w:tr>
    </w:tbl>
    <w:p w14:paraId="0CDA90E1" w14:textId="6D6C9499" w:rsidR="00C86AC7" w:rsidRPr="00C86AC7" w:rsidRDefault="00C86AC7" w:rsidP="00C86AC7">
      <w:pPr>
        <w:spacing w:line="276" w:lineRule="auto"/>
        <w:rPr>
          <w:rFonts w:ascii="Arial" w:hAnsi="Arial" w:cs="Arial"/>
          <w:iCs/>
        </w:rPr>
      </w:pPr>
      <w:r w:rsidRPr="00C86AC7">
        <w:rPr>
          <w:rFonts w:ascii="Arial" w:hAnsi="Arial" w:cs="Arial"/>
          <w:b/>
          <w:bCs/>
          <w:iCs/>
        </w:rPr>
        <w:t>Legend</w:t>
      </w:r>
      <w:r w:rsidRPr="00C86AC7">
        <w:rPr>
          <w:rFonts w:ascii="Arial" w:hAnsi="Arial" w:cs="Arial"/>
          <w:iCs/>
        </w:rPr>
        <w:t xml:space="preserve">. DAS: Day after sowing; </w:t>
      </w:r>
      <w:r w:rsidR="00A36275">
        <w:rPr>
          <w:rFonts w:ascii="Arial" w:hAnsi="Arial" w:cs="Arial"/>
          <w:iCs/>
        </w:rPr>
        <w:t xml:space="preserve">***P </w:t>
      </w:r>
      <w:r w:rsidRPr="00C86AC7">
        <w:rPr>
          <w:rFonts w:ascii="Arial" w:hAnsi="Arial" w:cs="Arial"/>
          <w:iCs/>
        </w:rPr>
        <w:t>significant; 14DAS: 14th Day after sowing; Control: Untreated control.</w:t>
      </w:r>
    </w:p>
    <w:p w14:paraId="5AEBA91A" w14:textId="77777777" w:rsidR="00C86AC7" w:rsidRDefault="00C86AC7" w:rsidP="009E5F17">
      <w:pPr>
        <w:spacing w:line="276" w:lineRule="auto"/>
        <w:jc w:val="both"/>
        <w:rPr>
          <w:rFonts w:ascii="Arial" w:hAnsi="Arial" w:cs="Arial"/>
          <w:iCs/>
        </w:rPr>
      </w:pPr>
    </w:p>
    <w:p w14:paraId="15CB68BA" w14:textId="1B3BA9BE" w:rsidR="009E5F17" w:rsidRDefault="009E5F17" w:rsidP="009E5F17">
      <w:pPr>
        <w:spacing w:line="276" w:lineRule="auto"/>
        <w:jc w:val="both"/>
        <w:rPr>
          <w:rFonts w:ascii="Arial" w:hAnsi="Arial" w:cs="Arial"/>
          <w:iCs/>
        </w:rPr>
      </w:pPr>
      <w:r w:rsidRPr="003263A3">
        <w:rPr>
          <w:rFonts w:ascii="Arial" w:hAnsi="Arial" w:cs="Arial"/>
          <w:iCs/>
        </w:rPr>
        <w:t xml:space="preserve">The essential oil of </w:t>
      </w:r>
      <w:proofErr w:type="spellStart"/>
      <w:r w:rsidRPr="003263A3">
        <w:rPr>
          <w:rFonts w:ascii="Arial" w:hAnsi="Arial" w:cs="Arial"/>
          <w:i/>
        </w:rPr>
        <w:t>Lippia</w:t>
      </w:r>
      <w:proofErr w:type="spellEnd"/>
      <w:r w:rsidRPr="003263A3">
        <w:rPr>
          <w:rFonts w:ascii="Arial" w:hAnsi="Arial" w:cs="Arial"/>
          <w:i/>
        </w:rPr>
        <w:t xml:space="preserve"> multiflora</w:t>
      </w:r>
      <w:r w:rsidRPr="003263A3">
        <w:rPr>
          <w:rFonts w:ascii="Arial" w:hAnsi="Arial" w:cs="Arial"/>
          <w:iCs/>
        </w:rPr>
        <w:t xml:space="preserve">, in turn, inhibited sporulation by 36.73%, 80.76%, and 100% at low, medium, and high doses, respectively. Thus, </w:t>
      </w:r>
      <w:r w:rsidRPr="003263A3">
        <w:rPr>
          <w:rFonts w:ascii="Arial" w:hAnsi="Arial" w:cs="Arial"/>
          <w:i/>
        </w:rPr>
        <w:t>L. multiflora</w:t>
      </w:r>
      <w:r w:rsidRPr="003263A3">
        <w:rPr>
          <w:rFonts w:ascii="Arial" w:hAnsi="Arial" w:cs="Arial"/>
          <w:iCs/>
        </w:rPr>
        <w:t xml:space="preserve"> proved to be moderately effective at low doses and highly effective at medium and high doses (</w:t>
      </w:r>
      <w:r w:rsidRPr="003263A3">
        <w:rPr>
          <w:rFonts w:ascii="Arial" w:hAnsi="Arial" w:cs="Arial"/>
          <w:b/>
          <w:bCs/>
          <w:iCs/>
        </w:rPr>
        <w:t>Fig. 4</w:t>
      </w:r>
      <w:r w:rsidRPr="003263A3">
        <w:rPr>
          <w:rFonts w:ascii="Arial" w:hAnsi="Arial" w:cs="Arial"/>
          <w:iCs/>
        </w:rPr>
        <w:t>).</w:t>
      </w:r>
    </w:p>
    <w:p w14:paraId="6C2A6133" w14:textId="77777777" w:rsidR="00C86AC7" w:rsidRDefault="00C86AC7" w:rsidP="00C86AC7">
      <w:pPr>
        <w:spacing w:line="276" w:lineRule="auto"/>
        <w:rPr>
          <w:rFonts w:ascii="Times New Roman" w:hAnsi="Times New Roman"/>
          <w:iCs/>
          <w:sz w:val="26"/>
          <w:szCs w:val="26"/>
        </w:rPr>
      </w:pPr>
    </w:p>
    <w:p w14:paraId="30DFE34E" w14:textId="77777777" w:rsidR="00C86AC7" w:rsidRPr="00D35FAE" w:rsidRDefault="00C86AC7" w:rsidP="00C86AC7">
      <w:pPr>
        <w:spacing w:line="276" w:lineRule="auto"/>
        <w:rPr>
          <w:rFonts w:ascii="Times New Roman" w:hAnsi="Times New Roman"/>
          <w:iCs/>
          <w:sz w:val="26"/>
          <w:szCs w:val="26"/>
        </w:rPr>
      </w:pPr>
    </w:p>
    <w:p w14:paraId="181FF1E4" w14:textId="77777777" w:rsidR="00C86AC7" w:rsidRPr="00C86AC7" w:rsidRDefault="00C86AC7" w:rsidP="00C86AC7">
      <w:pPr>
        <w:spacing w:line="276" w:lineRule="auto"/>
        <w:rPr>
          <w:rFonts w:ascii="Arial" w:hAnsi="Arial" w:cs="Arial"/>
          <w:iCs/>
        </w:rPr>
      </w:pPr>
      <w:r w:rsidRPr="00C86AC7">
        <w:rPr>
          <w:rFonts w:ascii="Arial" w:hAnsi="Arial" w:cs="Arial"/>
          <w:iCs/>
          <w:noProof/>
        </w:rPr>
        <w:drawing>
          <wp:inline distT="0" distB="0" distL="0" distR="0" wp14:anchorId="494A5083" wp14:editId="63A08E29">
            <wp:extent cx="5403850" cy="3162300"/>
            <wp:effectExtent l="0" t="0" r="0" b="0"/>
            <wp:docPr id="916700645" name="Graphique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8F8768" w14:textId="77777777" w:rsidR="00C86AC7" w:rsidRPr="00C86AC7" w:rsidRDefault="00C86AC7" w:rsidP="00C86AC7">
      <w:pPr>
        <w:spacing w:line="276" w:lineRule="auto"/>
        <w:rPr>
          <w:rFonts w:ascii="Arial" w:hAnsi="Arial" w:cs="Arial"/>
          <w:iCs/>
        </w:rPr>
      </w:pPr>
      <w:r w:rsidRPr="00C86AC7">
        <w:rPr>
          <w:rFonts w:ascii="Arial" w:hAnsi="Arial" w:cs="Arial"/>
          <w:b/>
          <w:bCs/>
          <w:iCs/>
        </w:rPr>
        <w:t>Fig 4</w:t>
      </w:r>
      <w:r w:rsidRPr="00C86AC7">
        <w:rPr>
          <w:rFonts w:ascii="Arial" w:hAnsi="Arial" w:cs="Arial"/>
          <w:iCs/>
        </w:rPr>
        <w:t>. Inhibition rate of sporulation depending on products and doses</w:t>
      </w:r>
    </w:p>
    <w:p w14:paraId="7FF68E9B" w14:textId="77777777" w:rsidR="00C86AC7" w:rsidRPr="003263A3" w:rsidRDefault="00C86AC7" w:rsidP="009E5F17">
      <w:pPr>
        <w:spacing w:line="276" w:lineRule="auto"/>
        <w:jc w:val="both"/>
        <w:rPr>
          <w:rFonts w:ascii="Arial" w:hAnsi="Arial" w:cs="Arial"/>
          <w:lang w:eastAsia="fr-FR"/>
        </w:rPr>
      </w:pPr>
    </w:p>
    <w:p w14:paraId="377D75F2" w14:textId="77777777" w:rsidR="009E5F17" w:rsidRPr="003263A3" w:rsidRDefault="009E5F17" w:rsidP="009E5F17">
      <w:pPr>
        <w:spacing w:line="276" w:lineRule="auto"/>
        <w:rPr>
          <w:rFonts w:ascii="Arial" w:hAnsi="Arial" w:cs="Arial"/>
          <w:lang w:eastAsia="fr-FR"/>
        </w:rPr>
      </w:pPr>
    </w:p>
    <w:p w14:paraId="63229E9A" w14:textId="7312330A" w:rsidR="009E5F17" w:rsidRPr="003263A3" w:rsidRDefault="00AE69EA" w:rsidP="009E5F17">
      <w:pPr>
        <w:spacing w:line="276" w:lineRule="auto"/>
        <w:rPr>
          <w:rFonts w:ascii="Arial" w:hAnsi="Arial" w:cs="Arial"/>
          <w:b/>
          <w:bCs/>
        </w:rPr>
      </w:pPr>
      <w:r>
        <w:rPr>
          <w:rFonts w:ascii="Arial" w:hAnsi="Arial" w:cs="Arial"/>
          <w:b/>
          <w:bCs/>
          <w:iCs/>
        </w:rPr>
        <w:t xml:space="preserve">3.1.3. </w:t>
      </w:r>
      <w:r w:rsidR="009E5F17" w:rsidRPr="003263A3">
        <w:rPr>
          <w:rFonts w:ascii="Arial" w:hAnsi="Arial" w:cs="Arial"/>
          <w:b/>
          <w:bCs/>
        </w:rPr>
        <w:t xml:space="preserve">In vitro effect of essential oils and synthetic fungicides on germination </w:t>
      </w:r>
      <w:proofErr w:type="spellStart"/>
      <w:r w:rsidR="009E5F17" w:rsidRPr="003263A3">
        <w:rPr>
          <w:rFonts w:ascii="Arial" w:hAnsi="Arial" w:cs="Arial"/>
          <w:b/>
          <w:bCs/>
          <w:i/>
          <w:iCs/>
        </w:rPr>
        <w:t>Mycosphaerella</w:t>
      </w:r>
      <w:proofErr w:type="spellEnd"/>
      <w:r w:rsidR="009E5F17" w:rsidRPr="003263A3">
        <w:rPr>
          <w:rFonts w:ascii="Arial" w:hAnsi="Arial" w:cs="Arial"/>
          <w:b/>
          <w:bCs/>
          <w:i/>
          <w:iCs/>
        </w:rPr>
        <w:t xml:space="preserve"> </w:t>
      </w:r>
      <w:proofErr w:type="spellStart"/>
      <w:r w:rsidR="009E5F17" w:rsidRPr="003263A3">
        <w:rPr>
          <w:rFonts w:ascii="Arial" w:hAnsi="Arial" w:cs="Arial"/>
          <w:b/>
          <w:bCs/>
          <w:i/>
          <w:iCs/>
        </w:rPr>
        <w:t>fijiensis</w:t>
      </w:r>
      <w:proofErr w:type="spellEnd"/>
    </w:p>
    <w:p w14:paraId="422B640B" w14:textId="77777777" w:rsidR="009E5F17" w:rsidRDefault="009E5F17" w:rsidP="009E5F17">
      <w:pPr>
        <w:spacing w:line="276" w:lineRule="auto"/>
        <w:jc w:val="both"/>
        <w:rPr>
          <w:rFonts w:ascii="Arial" w:hAnsi="Arial" w:cs="Arial"/>
        </w:rPr>
      </w:pPr>
      <w:r w:rsidRPr="003263A3">
        <w:rPr>
          <w:rFonts w:ascii="Arial" w:hAnsi="Arial" w:cs="Arial"/>
        </w:rPr>
        <w:t>The effect of different treatments on the germination capacity of spores was evaluated using the germination inhibition rate (</w:t>
      </w:r>
      <w:proofErr w:type="spellStart"/>
      <w:r w:rsidRPr="003263A3">
        <w:rPr>
          <w:rFonts w:ascii="Arial" w:hAnsi="Arial" w:cs="Arial"/>
        </w:rPr>
        <w:t>TIg</w:t>
      </w:r>
      <w:proofErr w:type="spellEnd"/>
      <w:r w:rsidRPr="003263A3">
        <w:rPr>
          <w:rFonts w:ascii="Arial" w:hAnsi="Arial" w:cs="Arial"/>
        </w:rPr>
        <w:t>). Under the microscope, we observe the non-germinated spores 10x at 24 HAS on effective treatment (a) and germinated spores 10x at 24 HAS on ineffective treatment or control (b) (</w:t>
      </w:r>
      <w:r w:rsidRPr="003263A3">
        <w:rPr>
          <w:rFonts w:ascii="Arial" w:hAnsi="Arial" w:cs="Arial"/>
          <w:b/>
          <w:bCs/>
        </w:rPr>
        <w:t>Fig. 5</w:t>
      </w:r>
      <w:r w:rsidRPr="003263A3">
        <w:rPr>
          <w:rFonts w:ascii="Arial" w:hAnsi="Arial" w:cs="Arial"/>
        </w:rPr>
        <w:t>)</w:t>
      </w:r>
    </w:p>
    <w:p w14:paraId="381755B8" w14:textId="77777777" w:rsidR="00C86AC7" w:rsidRDefault="00C86AC7" w:rsidP="009E5F17">
      <w:pPr>
        <w:spacing w:line="276" w:lineRule="auto"/>
        <w:jc w:val="both"/>
        <w:rPr>
          <w:rFonts w:ascii="Arial" w:hAnsi="Arial" w:cs="Arial"/>
        </w:rPr>
      </w:pPr>
    </w:p>
    <w:p w14:paraId="1CB654EF" w14:textId="77777777" w:rsidR="00C86AC7" w:rsidRPr="00C86AC7" w:rsidRDefault="00C86AC7" w:rsidP="00C86AC7">
      <w:pPr>
        <w:spacing w:line="276" w:lineRule="auto"/>
        <w:rPr>
          <w:rFonts w:ascii="Arial" w:hAnsi="Arial" w:cs="Arial"/>
        </w:rPr>
      </w:pPr>
    </w:p>
    <w:p w14:paraId="19E504C8" w14:textId="77777777" w:rsidR="00C86AC7" w:rsidRPr="00C86AC7" w:rsidRDefault="00C86AC7" w:rsidP="00C86AC7">
      <w:pPr>
        <w:spacing w:line="276" w:lineRule="auto"/>
        <w:rPr>
          <w:rFonts w:ascii="Arial" w:hAnsi="Arial" w:cs="Arial"/>
        </w:rPr>
      </w:pPr>
    </w:p>
    <w:p w14:paraId="01F529BA" w14:textId="77777777" w:rsidR="00C86AC7" w:rsidRPr="00C86AC7" w:rsidRDefault="00C86AC7" w:rsidP="00C86AC7">
      <w:pPr>
        <w:spacing w:line="276" w:lineRule="auto"/>
        <w:rPr>
          <w:rFonts w:ascii="Arial" w:hAnsi="Arial" w:cs="Arial"/>
        </w:rPr>
      </w:pPr>
      <w:r w:rsidRPr="00C86AC7">
        <w:rPr>
          <w:rFonts w:ascii="Arial" w:hAnsi="Arial" w:cs="Arial"/>
          <w:noProof/>
        </w:rPr>
        <w:drawing>
          <wp:inline distT="0" distB="0" distL="0" distR="0" wp14:anchorId="1B3F9D39" wp14:editId="196A9453">
            <wp:extent cx="5194300" cy="146156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31380" cy="1500136"/>
                    </a:xfrm>
                    <a:prstGeom prst="rect">
                      <a:avLst/>
                    </a:prstGeom>
                    <a:noFill/>
                  </pic:spPr>
                </pic:pic>
              </a:graphicData>
            </a:graphic>
          </wp:inline>
        </w:drawing>
      </w:r>
    </w:p>
    <w:p w14:paraId="2973E5BC" w14:textId="00D14142" w:rsidR="00C86AC7" w:rsidRDefault="00C86AC7" w:rsidP="00C53997">
      <w:pPr>
        <w:spacing w:line="276" w:lineRule="auto"/>
        <w:rPr>
          <w:rFonts w:ascii="Arial" w:hAnsi="Arial" w:cs="Arial"/>
        </w:rPr>
      </w:pPr>
      <w:r w:rsidRPr="00C86AC7">
        <w:rPr>
          <w:rFonts w:ascii="Arial" w:hAnsi="Arial" w:cs="Arial"/>
          <w:b/>
          <w:bCs/>
        </w:rPr>
        <w:t>Fig 5</w:t>
      </w:r>
      <w:r w:rsidRPr="00C86AC7">
        <w:rPr>
          <w:rFonts w:ascii="Arial" w:hAnsi="Arial" w:cs="Arial"/>
        </w:rPr>
        <w:t xml:space="preserve">. Non-germinated spores 10x at 24 HAS on effective treatment (a) and germinated spores 10x at 24 HAS on ineffective treatment or control (b) </w:t>
      </w:r>
    </w:p>
    <w:p w14:paraId="5784BAF0" w14:textId="77777777" w:rsidR="00C53997" w:rsidRPr="003263A3" w:rsidRDefault="00C53997" w:rsidP="00C53997">
      <w:pPr>
        <w:spacing w:line="276" w:lineRule="auto"/>
        <w:rPr>
          <w:rFonts w:ascii="Arial" w:hAnsi="Arial" w:cs="Arial"/>
        </w:rPr>
      </w:pPr>
    </w:p>
    <w:p w14:paraId="15A9DBA1" w14:textId="77777777" w:rsidR="009E5F17" w:rsidRDefault="009E5F17" w:rsidP="009E5F17">
      <w:pPr>
        <w:spacing w:line="276" w:lineRule="auto"/>
        <w:jc w:val="both"/>
        <w:rPr>
          <w:rFonts w:ascii="Arial" w:hAnsi="Arial" w:cs="Arial"/>
        </w:rPr>
      </w:pPr>
      <w:r w:rsidRPr="003263A3">
        <w:rPr>
          <w:rFonts w:ascii="Arial" w:hAnsi="Arial" w:cs="Arial"/>
        </w:rPr>
        <w:t xml:space="preserve">It appears that the anti-germination activity of spores from the four tested products in vitro on </w:t>
      </w:r>
      <w:proofErr w:type="spellStart"/>
      <w:r w:rsidRPr="003263A3">
        <w:rPr>
          <w:rFonts w:ascii="Arial" w:hAnsi="Arial" w:cs="Arial"/>
          <w:i/>
          <w:iCs/>
        </w:rPr>
        <w:t>Mycosphaerella</w:t>
      </w:r>
      <w:proofErr w:type="spellEnd"/>
      <w:r w:rsidRPr="003263A3">
        <w:rPr>
          <w:rFonts w:ascii="Arial" w:hAnsi="Arial" w:cs="Arial"/>
          <w:i/>
          <w:iCs/>
        </w:rPr>
        <w:t xml:space="preserve"> </w:t>
      </w:r>
      <w:proofErr w:type="spellStart"/>
      <w:r w:rsidRPr="003263A3">
        <w:rPr>
          <w:rFonts w:ascii="Arial" w:hAnsi="Arial" w:cs="Arial"/>
          <w:i/>
          <w:iCs/>
        </w:rPr>
        <w:t>fijiensis</w:t>
      </w:r>
      <w:proofErr w:type="spellEnd"/>
      <w:r w:rsidRPr="003263A3">
        <w:rPr>
          <w:rFonts w:ascii="Arial" w:hAnsi="Arial" w:cs="Arial"/>
        </w:rPr>
        <w:t xml:space="preserve"> varies depending on the product and dose. Statistical analysis reveals a highly significant difference between the factors studied (P &lt; 0.0001). The control treatment recorded the highest number of germinated spores (100%) compared to the other treatments 24 hours after inoculation (</w:t>
      </w:r>
      <w:r w:rsidRPr="003263A3">
        <w:rPr>
          <w:rFonts w:ascii="Arial" w:hAnsi="Arial" w:cs="Arial"/>
          <w:b/>
          <w:bCs/>
        </w:rPr>
        <w:t>Table. V</w:t>
      </w:r>
      <w:r w:rsidRPr="003263A3">
        <w:rPr>
          <w:rFonts w:ascii="Arial" w:hAnsi="Arial" w:cs="Arial"/>
        </w:rPr>
        <w:t xml:space="preserve">). </w:t>
      </w:r>
    </w:p>
    <w:p w14:paraId="19AD233F" w14:textId="77777777" w:rsidR="00306AC5" w:rsidRDefault="00306AC5" w:rsidP="00306AC5">
      <w:pPr>
        <w:rPr>
          <w:rFonts w:ascii="Arial" w:hAnsi="Arial" w:cs="Arial"/>
        </w:rPr>
      </w:pPr>
    </w:p>
    <w:p w14:paraId="56BAD422" w14:textId="77777777" w:rsidR="00306AC5" w:rsidRPr="00306AC5" w:rsidRDefault="00306AC5" w:rsidP="00306AC5">
      <w:pPr>
        <w:spacing w:line="276" w:lineRule="auto"/>
        <w:rPr>
          <w:rFonts w:ascii="Arial" w:hAnsi="Arial" w:cs="Arial"/>
        </w:rPr>
      </w:pPr>
      <w:bookmarkStart w:id="7" w:name="_Hlk216484719"/>
      <w:r w:rsidRPr="00306AC5">
        <w:rPr>
          <w:rFonts w:ascii="Arial" w:hAnsi="Arial" w:cs="Arial"/>
          <w:b/>
          <w:bCs/>
        </w:rPr>
        <w:t>Table V</w:t>
      </w:r>
      <w:r w:rsidRPr="00306AC5">
        <w:rPr>
          <w:rFonts w:ascii="Arial" w:hAnsi="Arial" w:cs="Arial"/>
        </w:rPr>
        <w:t xml:space="preserve">. Effects of treatments on the germination of </w:t>
      </w:r>
      <w:proofErr w:type="spellStart"/>
      <w:r w:rsidRPr="00306AC5">
        <w:rPr>
          <w:rFonts w:ascii="Arial" w:hAnsi="Arial" w:cs="Arial"/>
        </w:rPr>
        <w:t>Mycosphaerella</w:t>
      </w:r>
      <w:proofErr w:type="spellEnd"/>
      <w:r w:rsidRPr="00306AC5">
        <w:rPr>
          <w:rFonts w:ascii="Arial" w:hAnsi="Arial" w:cs="Arial"/>
        </w:rPr>
        <w:t xml:space="preserve"> </w:t>
      </w:r>
      <w:proofErr w:type="spellStart"/>
      <w:r w:rsidRPr="00306AC5">
        <w:rPr>
          <w:rFonts w:ascii="Arial" w:hAnsi="Arial" w:cs="Arial"/>
        </w:rPr>
        <w:t>fijiensis</w:t>
      </w:r>
      <w:proofErr w:type="spellEnd"/>
      <w:r w:rsidRPr="00306AC5">
        <w:rPr>
          <w:rFonts w:ascii="Arial" w:hAnsi="Arial" w:cs="Arial"/>
        </w:rPr>
        <w:t xml:space="preserve"> spores</w:t>
      </w:r>
    </w:p>
    <w:p w14:paraId="586907F3" w14:textId="77777777" w:rsidR="00306AC5" w:rsidRPr="00306AC5" w:rsidRDefault="00306AC5" w:rsidP="00306AC5">
      <w:pPr>
        <w:spacing w:line="276" w:lineRule="auto"/>
        <w:rPr>
          <w:rFonts w:ascii="Arial" w:hAnsi="Arial" w:cs="Arial"/>
        </w:rPr>
      </w:pPr>
    </w:p>
    <w:tbl>
      <w:tblPr>
        <w:tblStyle w:val="Tableausimple22"/>
        <w:tblW w:w="5000" w:type="pct"/>
        <w:tblBorders>
          <w:top w:val="single" w:sz="12" w:space="0" w:color="auto"/>
          <w:bottom w:val="single" w:sz="12" w:space="0" w:color="auto"/>
        </w:tblBorders>
        <w:tblLook w:val="04A0" w:firstRow="1" w:lastRow="0" w:firstColumn="1" w:lastColumn="0" w:noHBand="0" w:noVBand="1"/>
      </w:tblPr>
      <w:tblGrid>
        <w:gridCol w:w="2340"/>
        <w:gridCol w:w="1411"/>
        <w:gridCol w:w="1411"/>
        <w:gridCol w:w="1410"/>
        <w:gridCol w:w="1410"/>
        <w:gridCol w:w="1410"/>
        <w:gridCol w:w="1408"/>
      </w:tblGrid>
      <w:tr w:rsidR="00306AC5" w:rsidRPr="00306AC5" w14:paraId="1850AD11" w14:textId="77777777" w:rsidTr="00535889">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83" w:type="pct"/>
            <w:vMerge w:val="restart"/>
            <w:tcBorders>
              <w:top w:val="single" w:sz="12" w:space="0" w:color="auto"/>
              <w:bottom w:val="nil"/>
            </w:tcBorders>
            <w:noWrap/>
            <w:vAlign w:val="center"/>
            <w:hideMark/>
          </w:tcPr>
          <w:bookmarkEnd w:id="7"/>
          <w:p w14:paraId="5062C8D2" w14:textId="77777777" w:rsidR="00306AC5" w:rsidRPr="00306AC5" w:rsidRDefault="00306AC5" w:rsidP="00A76C67">
            <w:pPr>
              <w:spacing w:line="276" w:lineRule="auto"/>
              <w:rPr>
                <w:rFonts w:ascii="Arial" w:eastAsia="Times New Roman" w:hAnsi="Arial" w:cs="Arial"/>
                <w:b w:val="0"/>
                <w:bCs w:val="0"/>
                <w:sz w:val="20"/>
                <w:szCs w:val="20"/>
                <w:lang w:val="en-US"/>
              </w:rPr>
            </w:pPr>
            <w:proofErr w:type="spellStart"/>
            <w:r w:rsidRPr="00306AC5">
              <w:rPr>
                <w:rFonts w:ascii="Arial" w:eastAsia="Times New Roman" w:hAnsi="Arial" w:cs="Arial"/>
                <w:b w:val="0"/>
                <w:bCs w:val="0"/>
                <w:sz w:val="20"/>
                <w:szCs w:val="20"/>
                <w:lang w:val="en-US"/>
              </w:rPr>
              <w:t>Fongicides</w:t>
            </w:r>
            <w:proofErr w:type="spellEnd"/>
            <w:r w:rsidRPr="00306AC5">
              <w:rPr>
                <w:rFonts w:ascii="Arial" w:eastAsia="Times New Roman" w:hAnsi="Arial" w:cs="Arial"/>
                <w:b w:val="0"/>
                <w:bCs w:val="0"/>
                <w:sz w:val="20"/>
                <w:szCs w:val="20"/>
                <w:lang w:val="en-US"/>
              </w:rPr>
              <w:t>/HE</w:t>
            </w:r>
          </w:p>
        </w:tc>
        <w:tc>
          <w:tcPr>
            <w:tcW w:w="1306" w:type="pct"/>
            <w:gridSpan w:val="2"/>
            <w:tcBorders>
              <w:top w:val="single" w:sz="12" w:space="0" w:color="auto"/>
              <w:bottom w:val="single" w:sz="8" w:space="0" w:color="auto"/>
            </w:tcBorders>
            <w:noWrap/>
            <w:hideMark/>
          </w:tcPr>
          <w:p w14:paraId="78BF0E6E" w14:textId="77777777" w:rsidR="00306AC5" w:rsidRPr="00306AC5" w:rsidRDefault="00306AC5"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Lower dose</w:t>
            </w:r>
          </w:p>
        </w:tc>
        <w:tc>
          <w:tcPr>
            <w:tcW w:w="1306" w:type="pct"/>
            <w:gridSpan w:val="2"/>
            <w:tcBorders>
              <w:top w:val="single" w:sz="12" w:space="0" w:color="auto"/>
              <w:bottom w:val="single" w:sz="8" w:space="0" w:color="auto"/>
            </w:tcBorders>
            <w:noWrap/>
            <w:hideMark/>
          </w:tcPr>
          <w:p w14:paraId="5499929D" w14:textId="77777777" w:rsidR="00306AC5" w:rsidRPr="00306AC5" w:rsidRDefault="00306AC5"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Recommended dose</w:t>
            </w:r>
          </w:p>
        </w:tc>
        <w:tc>
          <w:tcPr>
            <w:tcW w:w="1306" w:type="pct"/>
            <w:gridSpan w:val="2"/>
            <w:tcBorders>
              <w:top w:val="single" w:sz="12" w:space="0" w:color="auto"/>
              <w:bottom w:val="single" w:sz="8" w:space="0" w:color="auto"/>
            </w:tcBorders>
            <w:noWrap/>
            <w:hideMark/>
          </w:tcPr>
          <w:p w14:paraId="229A663B" w14:textId="77777777" w:rsidR="00306AC5" w:rsidRPr="00306AC5" w:rsidRDefault="00306AC5" w:rsidP="00A76C67">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Higher dose</w:t>
            </w:r>
          </w:p>
        </w:tc>
      </w:tr>
      <w:tr w:rsidR="00306AC5" w:rsidRPr="00306AC5" w14:paraId="39FED5F2" w14:textId="77777777" w:rsidTr="005358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83" w:type="pct"/>
            <w:vMerge/>
            <w:tcBorders>
              <w:top w:val="nil"/>
              <w:bottom w:val="single" w:sz="12" w:space="0" w:color="auto"/>
            </w:tcBorders>
            <w:hideMark/>
          </w:tcPr>
          <w:p w14:paraId="6A0C3187" w14:textId="77777777" w:rsidR="00306AC5" w:rsidRPr="00306AC5" w:rsidRDefault="00306AC5" w:rsidP="00A76C67">
            <w:pPr>
              <w:spacing w:line="276" w:lineRule="auto"/>
              <w:rPr>
                <w:rFonts w:ascii="Arial" w:eastAsia="Times New Roman" w:hAnsi="Arial" w:cs="Arial"/>
                <w:b w:val="0"/>
                <w:bCs w:val="0"/>
                <w:sz w:val="20"/>
                <w:szCs w:val="20"/>
                <w:lang w:val="en-US"/>
              </w:rPr>
            </w:pPr>
          </w:p>
        </w:tc>
        <w:tc>
          <w:tcPr>
            <w:tcW w:w="653" w:type="pct"/>
            <w:tcBorders>
              <w:top w:val="single" w:sz="8" w:space="0" w:color="auto"/>
              <w:bottom w:val="single" w:sz="12" w:space="0" w:color="auto"/>
            </w:tcBorders>
            <w:noWrap/>
            <w:hideMark/>
          </w:tcPr>
          <w:p w14:paraId="70D4E567"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12</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327186B2"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24</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48493241"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12</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3B19CE6A"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24</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68109A70"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12</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c>
          <w:tcPr>
            <w:tcW w:w="653" w:type="pct"/>
            <w:tcBorders>
              <w:top w:val="single" w:sz="8" w:space="0" w:color="auto"/>
              <w:bottom w:val="single" w:sz="12" w:space="0" w:color="auto"/>
            </w:tcBorders>
            <w:noWrap/>
            <w:hideMark/>
          </w:tcPr>
          <w:p w14:paraId="6001A409"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24</w:t>
            </w:r>
            <w:r w:rsidRPr="00306AC5">
              <w:rPr>
                <w:rFonts w:ascii="Arial" w:eastAsia="Times New Roman" w:hAnsi="Arial" w:cs="Arial"/>
                <w:b/>
                <w:sz w:val="20"/>
                <w:szCs w:val="20"/>
              </w:rPr>
              <w:t xml:space="preserve"> </w:t>
            </w:r>
            <w:r w:rsidRPr="00306AC5">
              <w:rPr>
                <w:rFonts w:ascii="Arial" w:eastAsia="Times New Roman" w:hAnsi="Arial" w:cs="Arial"/>
                <w:sz w:val="20"/>
                <w:szCs w:val="20"/>
              </w:rPr>
              <w:t>HAS</w:t>
            </w:r>
            <w:r w:rsidRPr="00306AC5">
              <w:rPr>
                <w:rFonts w:ascii="Arial" w:eastAsia="Times New Roman" w:hAnsi="Arial" w:cs="Arial"/>
                <w:sz w:val="20"/>
                <w:szCs w:val="20"/>
                <w:lang w:val="en-US"/>
              </w:rPr>
              <w:t xml:space="preserve"> /Sg</w:t>
            </w:r>
          </w:p>
        </w:tc>
      </w:tr>
      <w:tr w:rsidR="00306AC5" w:rsidRPr="00306AC5" w14:paraId="4FC93021" w14:textId="77777777" w:rsidTr="00535889">
        <w:trPr>
          <w:trHeight w:val="360"/>
        </w:trPr>
        <w:tc>
          <w:tcPr>
            <w:cnfStyle w:val="001000000000" w:firstRow="0" w:lastRow="0" w:firstColumn="1" w:lastColumn="0" w:oddVBand="0" w:evenVBand="0" w:oddHBand="0" w:evenHBand="0" w:firstRowFirstColumn="0" w:firstRowLastColumn="0" w:lastRowFirstColumn="0" w:lastRowLastColumn="0"/>
            <w:tcW w:w="1083" w:type="pct"/>
            <w:tcBorders>
              <w:top w:val="single" w:sz="12" w:space="0" w:color="auto"/>
            </w:tcBorders>
            <w:noWrap/>
            <w:hideMark/>
          </w:tcPr>
          <w:p w14:paraId="0062753E"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Control</w:t>
            </w:r>
          </w:p>
        </w:tc>
        <w:tc>
          <w:tcPr>
            <w:tcW w:w="653" w:type="pct"/>
            <w:tcBorders>
              <w:top w:val="single" w:sz="12" w:space="0" w:color="auto"/>
            </w:tcBorders>
            <w:noWrap/>
            <w:hideMark/>
          </w:tcPr>
          <w:p w14:paraId="5C387435"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c>
          <w:tcPr>
            <w:tcW w:w="653" w:type="pct"/>
            <w:tcBorders>
              <w:top w:val="single" w:sz="12" w:space="0" w:color="auto"/>
            </w:tcBorders>
            <w:noWrap/>
            <w:hideMark/>
          </w:tcPr>
          <w:p w14:paraId="7CCF074B"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c>
          <w:tcPr>
            <w:tcW w:w="653" w:type="pct"/>
            <w:tcBorders>
              <w:top w:val="single" w:sz="12" w:space="0" w:color="auto"/>
            </w:tcBorders>
            <w:noWrap/>
            <w:hideMark/>
          </w:tcPr>
          <w:p w14:paraId="2D57C202"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c>
          <w:tcPr>
            <w:tcW w:w="653" w:type="pct"/>
            <w:tcBorders>
              <w:top w:val="single" w:sz="12" w:space="0" w:color="auto"/>
            </w:tcBorders>
            <w:noWrap/>
            <w:hideMark/>
          </w:tcPr>
          <w:p w14:paraId="1ABA80A6"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d</w:t>
            </w:r>
          </w:p>
        </w:tc>
        <w:tc>
          <w:tcPr>
            <w:tcW w:w="653" w:type="pct"/>
            <w:tcBorders>
              <w:top w:val="single" w:sz="12" w:space="0" w:color="auto"/>
            </w:tcBorders>
            <w:noWrap/>
            <w:hideMark/>
          </w:tcPr>
          <w:p w14:paraId="7FE62370"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b</w:t>
            </w:r>
          </w:p>
        </w:tc>
        <w:tc>
          <w:tcPr>
            <w:tcW w:w="653" w:type="pct"/>
            <w:tcBorders>
              <w:top w:val="single" w:sz="12" w:space="0" w:color="auto"/>
            </w:tcBorders>
            <w:noWrap/>
            <w:hideMark/>
          </w:tcPr>
          <w:p w14:paraId="3AEA764D"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100 c</w:t>
            </w:r>
          </w:p>
        </w:tc>
      </w:tr>
      <w:tr w:rsidR="00306AC5" w:rsidRPr="00306AC5" w14:paraId="4F3712EE" w14:textId="77777777" w:rsidTr="00535889">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083" w:type="pct"/>
            <w:tcBorders>
              <w:top w:val="none" w:sz="0" w:space="0" w:color="auto"/>
              <w:bottom w:val="none" w:sz="0" w:space="0" w:color="auto"/>
            </w:tcBorders>
            <w:noWrap/>
            <w:hideMark/>
          </w:tcPr>
          <w:p w14:paraId="744838C1"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 xml:space="preserve">HE of </w:t>
            </w:r>
            <w:proofErr w:type="spellStart"/>
            <w:proofErr w:type="gramStart"/>
            <w:r w:rsidRPr="00306AC5">
              <w:rPr>
                <w:rFonts w:ascii="Arial" w:eastAsia="Times New Roman" w:hAnsi="Arial" w:cs="Arial"/>
                <w:b w:val="0"/>
                <w:bCs w:val="0"/>
                <w:sz w:val="20"/>
                <w:szCs w:val="20"/>
                <w:lang w:val="en-US"/>
              </w:rPr>
              <w:t>L.multiflora</w:t>
            </w:r>
            <w:proofErr w:type="spellEnd"/>
            <w:proofErr w:type="gramEnd"/>
          </w:p>
        </w:tc>
        <w:tc>
          <w:tcPr>
            <w:tcW w:w="653" w:type="pct"/>
            <w:tcBorders>
              <w:top w:val="none" w:sz="0" w:space="0" w:color="auto"/>
              <w:bottom w:val="none" w:sz="0" w:space="0" w:color="auto"/>
            </w:tcBorders>
            <w:noWrap/>
            <w:hideMark/>
          </w:tcPr>
          <w:p w14:paraId="11B62AFE"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96,33 c</w:t>
            </w:r>
          </w:p>
        </w:tc>
        <w:tc>
          <w:tcPr>
            <w:tcW w:w="653" w:type="pct"/>
            <w:tcBorders>
              <w:top w:val="none" w:sz="0" w:space="0" w:color="auto"/>
              <w:bottom w:val="none" w:sz="0" w:space="0" w:color="auto"/>
            </w:tcBorders>
            <w:noWrap/>
            <w:hideMark/>
          </w:tcPr>
          <w:p w14:paraId="149C14E3"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97,66 c</w:t>
            </w:r>
          </w:p>
        </w:tc>
        <w:tc>
          <w:tcPr>
            <w:tcW w:w="653" w:type="pct"/>
            <w:tcBorders>
              <w:top w:val="none" w:sz="0" w:space="0" w:color="auto"/>
              <w:bottom w:val="none" w:sz="0" w:space="0" w:color="auto"/>
            </w:tcBorders>
            <w:noWrap/>
            <w:hideMark/>
          </w:tcPr>
          <w:p w14:paraId="42DA0E4C"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67,66 b</w:t>
            </w:r>
          </w:p>
        </w:tc>
        <w:tc>
          <w:tcPr>
            <w:tcW w:w="653" w:type="pct"/>
            <w:tcBorders>
              <w:top w:val="none" w:sz="0" w:space="0" w:color="auto"/>
              <w:bottom w:val="none" w:sz="0" w:space="0" w:color="auto"/>
            </w:tcBorders>
            <w:noWrap/>
            <w:hideMark/>
          </w:tcPr>
          <w:p w14:paraId="42635E8A"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77,33 b</w:t>
            </w:r>
          </w:p>
        </w:tc>
        <w:tc>
          <w:tcPr>
            <w:tcW w:w="653" w:type="pct"/>
            <w:tcBorders>
              <w:top w:val="none" w:sz="0" w:space="0" w:color="auto"/>
              <w:bottom w:val="none" w:sz="0" w:space="0" w:color="auto"/>
            </w:tcBorders>
            <w:noWrap/>
            <w:hideMark/>
          </w:tcPr>
          <w:p w14:paraId="792EA14E"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top w:val="none" w:sz="0" w:space="0" w:color="auto"/>
              <w:bottom w:val="none" w:sz="0" w:space="0" w:color="auto"/>
            </w:tcBorders>
            <w:noWrap/>
            <w:hideMark/>
          </w:tcPr>
          <w:p w14:paraId="0CEF30FD"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r>
      <w:tr w:rsidR="00306AC5" w:rsidRPr="00306AC5" w14:paraId="72EF4BD5" w14:textId="77777777" w:rsidTr="00535889">
        <w:trPr>
          <w:trHeight w:val="323"/>
        </w:trPr>
        <w:tc>
          <w:tcPr>
            <w:cnfStyle w:val="001000000000" w:firstRow="0" w:lastRow="0" w:firstColumn="1" w:lastColumn="0" w:oddVBand="0" w:evenVBand="0" w:oddHBand="0" w:evenHBand="0" w:firstRowFirstColumn="0" w:firstRowLastColumn="0" w:lastRowFirstColumn="0" w:lastRowLastColumn="0"/>
            <w:tcW w:w="1083" w:type="pct"/>
            <w:noWrap/>
            <w:hideMark/>
          </w:tcPr>
          <w:p w14:paraId="0EDE1712"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 xml:space="preserve">HE of O. </w:t>
            </w:r>
            <w:proofErr w:type="spellStart"/>
            <w:r w:rsidRPr="00306AC5">
              <w:rPr>
                <w:rFonts w:ascii="Arial" w:eastAsia="Times New Roman" w:hAnsi="Arial" w:cs="Arial"/>
                <w:b w:val="0"/>
                <w:bCs w:val="0"/>
                <w:sz w:val="20"/>
                <w:szCs w:val="20"/>
                <w:lang w:val="en-US"/>
              </w:rPr>
              <w:t>gratissimum</w:t>
            </w:r>
            <w:proofErr w:type="spellEnd"/>
          </w:p>
        </w:tc>
        <w:tc>
          <w:tcPr>
            <w:tcW w:w="653" w:type="pct"/>
            <w:noWrap/>
            <w:hideMark/>
          </w:tcPr>
          <w:p w14:paraId="7927C283"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54 b</w:t>
            </w:r>
          </w:p>
        </w:tc>
        <w:tc>
          <w:tcPr>
            <w:tcW w:w="653" w:type="pct"/>
            <w:noWrap/>
            <w:hideMark/>
          </w:tcPr>
          <w:p w14:paraId="055E058B"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56,66 b</w:t>
            </w:r>
          </w:p>
        </w:tc>
        <w:tc>
          <w:tcPr>
            <w:tcW w:w="653" w:type="pct"/>
            <w:noWrap/>
            <w:hideMark/>
          </w:tcPr>
          <w:p w14:paraId="030752FB"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noWrap/>
            <w:hideMark/>
          </w:tcPr>
          <w:p w14:paraId="4B072479"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noWrap/>
            <w:hideMark/>
          </w:tcPr>
          <w:p w14:paraId="6C0F2620"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noWrap/>
            <w:hideMark/>
          </w:tcPr>
          <w:p w14:paraId="1C36873F"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r>
      <w:tr w:rsidR="00306AC5" w:rsidRPr="00306AC5" w14:paraId="596D906B" w14:textId="77777777" w:rsidTr="005358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83" w:type="pct"/>
            <w:tcBorders>
              <w:top w:val="none" w:sz="0" w:space="0" w:color="auto"/>
              <w:bottom w:val="none" w:sz="0" w:space="0" w:color="auto"/>
            </w:tcBorders>
            <w:noWrap/>
            <w:hideMark/>
          </w:tcPr>
          <w:p w14:paraId="613D2350"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Copper hydroxide</w:t>
            </w:r>
          </w:p>
        </w:tc>
        <w:tc>
          <w:tcPr>
            <w:tcW w:w="653" w:type="pct"/>
            <w:tcBorders>
              <w:top w:val="none" w:sz="0" w:space="0" w:color="auto"/>
              <w:bottom w:val="none" w:sz="0" w:space="0" w:color="auto"/>
            </w:tcBorders>
            <w:noWrap/>
            <w:hideMark/>
          </w:tcPr>
          <w:p w14:paraId="01809480"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56 b</w:t>
            </w:r>
          </w:p>
        </w:tc>
        <w:tc>
          <w:tcPr>
            <w:tcW w:w="653" w:type="pct"/>
            <w:tcBorders>
              <w:top w:val="none" w:sz="0" w:space="0" w:color="auto"/>
              <w:bottom w:val="none" w:sz="0" w:space="0" w:color="auto"/>
            </w:tcBorders>
            <w:noWrap/>
            <w:hideMark/>
          </w:tcPr>
          <w:p w14:paraId="3CCD9D36"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60,66 b</w:t>
            </w:r>
          </w:p>
        </w:tc>
        <w:tc>
          <w:tcPr>
            <w:tcW w:w="653" w:type="pct"/>
            <w:tcBorders>
              <w:top w:val="none" w:sz="0" w:space="0" w:color="auto"/>
              <w:bottom w:val="none" w:sz="0" w:space="0" w:color="auto"/>
            </w:tcBorders>
            <w:noWrap/>
            <w:hideMark/>
          </w:tcPr>
          <w:p w14:paraId="3714E8A0"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62,66 b</w:t>
            </w:r>
          </w:p>
        </w:tc>
        <w:tc>
          <w:tcPr>
            <w:tcW w:w="653" w:type="pct"/>
            <w:tcBorders>
              <w:top w:val="none" w:sz="0" w:space="0" w:color="auto"/>
              <w:bottom w:val="none" w:sz="0" w:space="0" w:color="auto"/>
            </w:tcBorders>
            <w:noWrap/>
            <w:hideMark/>
          </w:tcPr>
          <w:p w14:paraId="382D166C"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64,33 c</w:t>
            </w:r>
          </w:p>
        </w:tc>
        <w:tc>
          <w:tcPr>
            <w:tcW w:w="653" w:type="pct"/>
            <w:tcBorders>
              <w:top w:val="none" w:sz="0" w:space="0" w:color="auto"/>
              <w:bottom w:val="none" w:sz="0" w:space="0" w:color="auto"/>
            </w:tcBorders>
            <w:noWrap/>
            <w:hideMark/>
          </w:tcPr>
          <w:p w14:paraId="34C1EDF9"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2,00 a</w:t>
            </w:r>
          </w:p>
        </w:tc>
        <w:tc>
          <w:tcPr>
            <w:tcW w:w="653" w:type="pct"/>
            <w:tcBorders>
              <w:top w:val="none" w:sz="0" w:space="0" w:color="auto"/>
              <w:bottom w:val="none" w:sz="0" w:space="0" w:color="auto"/>
            </w:tcBorders>
            <w:noWrap/>
            <w:hideMark/>
          </w:tcPr>
          <w:p w14:paraId="0ED340E7" w14:textId="77777777" w:rsidR="00306AC5" w:rsidRPr="00306AC5" w:rsidRDefault="00306AC5"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28,49 b</w:t>
            </w:r>
          </w:p>
        </w:tc>
      </w:tr>
      <w:tr w:rsidR="00306AC5" w:rsidRPr="00306AC5" w14:paraId="5CDFE8CF" w14:textId="77777777" w:rsidTr="00535889">
        <w:trPr>
          <w:trHeight w:val="323"/>
        </w:trPr>
        <w:tc>
          <w:tcPr>
            <w:cnfStyle w:val="001000000000" w:firstRow="0" w:lastRow="0" w:firstColumn="1" w:lastColumn="0" w:oddVBand="0" w:evenVBand="0" w:oddHBand="0" w:evenHBand="0" w:firstRowFirstColumn="0" w:firstRowLastColumn="0" w:lastRowFirstColumn="0" w:lastRowLastColumn="0"/>
            <w:tcW w:w="1083" w:type="pct"/>
            <w:tcBorders>
              <w:bottom w:val="single" w:sz="12" w:space="0" w:color="auto"/>
            </w:tcBorders>
            <w:noWrap/>
            <w:hideMark/>
          </w:tcPr>
          <w:p w14:paraId="5B4A430B" w14:textId="77777777" w:rsidR="00306AC5" w:rsidRPr="00306AC5" w:rsidRDefault="00306AC5" w:rsidP="00A76C67">
            <w:pPr>
              <w:spacing w:line="276" w:lineRule="auto"/>
              <w:rPr>
                <w:rFonts w:ascii="Arial" w:eastAsia="Times New Roman" w:hAnsi="Arial" w:cs="Arial"/>
                <w:b w:val="0"/>
                <w:bCs w:val="0"/>
                <w:sz w:val="20"/>
                <w:szCs w:val="20"/>
                <w:lang w:val="en-US"/>
              </w:rPr>
            </w:pPr>
            <w:r w:rsidRPr="00306AC5">
              <w:rPr>
                <w:rFonts w:ascii="Arial" w:eastAsia="Times New Roman" w:hAnsi="Arial" w:cs="Arial"/>
                <w:b w:val="0"/>
                <w:bCs w:val="0"/>
                <w:sz w:val="20"/>
                <w:szCs w:val="20"/>
                <w:lang w:val="en-US"/>
              </w:rPr>
              <w:t>Mancozeb</w:t>
            </w:r>
          </w:p>
          <w:p w14:paraId="4AFAE598" w14:textId="77777777" w:rsidR="00306AC5" w:rsidRPr="00306AC5" w:rsidRDefault="00306AC5" w:rsidP="00A76C67">
            <w:pPr>
              <w:spacing w:line="276" w:lineRule="auto"/>
              <w:rPr>
                <w:rFonts w:ascii="Arial" w:eastAsia="Times New Roman" w:hAnsi="Arial" w:cs="Arial"/>
                <w:b w:val="0"/>
                <w:bCs w:val="0"/>
                <w:sz w:val="20"/>
                <w:szCs w:val="20"/>
                <w:lang w:val="en-US"/>
              </w:rPr>
            </w:pPr>
          </w:p>
        </w:tc>
        <w:tc>
          <w:tcPr>
            <w:tcW w:w="653" w:type="pct"/>
            <w:tcBorders>
              <w:bottom w:val="single" w:sz="12" w:space="0" w:color="auto"/>
            </w:tcBorders>
            <w:noWrap/>
            <w:hideMark/>
          </w:tcPr>
          <w:p w14:paraId="1646E7F1"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393CB55C"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690655B9"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3313891A"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0F7F7DB2"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c>
          <w:tcPr>
            <w:tcW w:w="653" w:type="pct"/>
            <w:tcBorders>
              <w:bottom w:val="single" w:sz="12" w:space="0" w:color="auto"/>
            </w:tcBorders>
            <w:noWrap/>
            <w:hideMark/>
          </w:tcPr>
          <w:p w14:paraId="2905C193" w14:textId="77777777" w:rsidR="00306AC5" w:rsidRPr="00306AC5" w:rsidRDefault="00306AC5"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306AC5">
              <w:rPr>
                <w:rFonts w:ascii="Arial" w:eastAsia="Times New Roman" w:hAnsi="Arial" w:cs="Arial"/>
                <w:sz w:val="20"/>
                <w:szCs w:val="20"/>
                <w:lang w:val="en-US"/>
              </w:rPr>
              <w:t>0,00 a</w:t>
            </w:r>
          </w:p>
        </w:tc>
      </w:tr>
      <w:tr w:rsidR="00535889" w:rsidRPr="00535889" w14:paraId="067F9AE8" w14:textId="77777777" w:rsidTr="00C5399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83" w:type="pct"/>
            <w:tcBorders>
              <w:top w:val="single" w:sz="12" w:space="0" w:color="auto"/>
              <w:bottom w:val="single" w:sz="12" w:space="0" w:color="auto"/>
            </w:tcBorders>
            <w:noWrap/>
          </w:tcPr>
          <w:p w14:paraId="14F3472F" w14:textId="708312C4" w:rsidR="00535889" w:rsidRPr="00535889" w:rsidRDefault="00535889" w:rsidP="00A76C67">
            <w:pPr>
              <w:spacing w:line="276" w:lineRule="auto"/>
              <w:rPr>
                <w:rFonts w:ascii="Arial" w:eastAsia="Times New Roman" w:hAnsi="Arial" w:cs="Arial"/>
                <w:sz w:val="20"/>
                <w:szCs w:val="20"/>
                <w:lang w:val="en-US"/>
              </w:rPr>
            </w:pPr>
            <w:proofErr w:type="spellStart"/>
            <w:r w:rsidRPr="00535889">
              <w:rPr>
                <w:rFonts w:ascii="Arial" w:eastAsia="Times New Roman" w:hAnsi="Arial" w:cs="Arial"/>
                <w:b w:val="0"/>
                <w:bCs w:val="0"/>
                <w:sz w:val="20"/>
                <w:szCs w:val="20"/>
                <w:lang w:val="en-US"/>
              </w:rPr>
              <w:t>Pr</w:t>
            </w:r>
            <w:proofErr w:type="spellEnd"/>
            <w:r w:rsidRPr="00535889">
              <w:rPr>
                <w:rFonts w:ascii="Arial" w:eastAsia="Times New Roman" w:hAnsi="Arial" w:cs="Arial"/>
                <w:b w:val="0"/>
                <w:bCs w:val="0"/>
                <w:sz w:val="20"/>
                <w:szCs w:val="20"/>
                <w:lang w:val="en-US"/>
              </w:rPr>
              <w:t>&gt; F</w:t>
            </w:r>
          </w:p>
        </w:tc>
        <w:tc>
          <w:tcPr>
            <w:tcW w:w="653" w:type="pct"/>
            <w:tcBorders>
              <w:top w:val="single" w:sz="12" w:space="0" w:color="auto"/>
              <w:bottom w:val="single" w:sz="12" w:space="0" w:color="auto"/>
            </w:tcBorders>
            <w:noWrap/>
          </w:tcPr>
          <w:p w14:paraId="53FEA4D3" w14:textId="585D7BE2"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6B0608D1" w14:textId="5CA5FD99"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618D35C8" w14:textId="4A067BEE"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01551D3D" w14:textId="18D81938" w:rsidR="00535889" w:rsidRPr="00535889" w:rsidRDefault="00535889" w:rsidP="00A76C6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394F6FFF" w14:textId="0E8CC6D1" w:rsidR="00535889" w:rsidRPr="00535889" w:rsidRDefault="00535889" w:rsidP="00535889">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c>
          <w:tcPr>
            <w:tcW w:w="653" w:type="pct"/>
            <w:tcBorders>
              <w:top w:val="single" w:sz="12" w:space="0" w:color="auto"/>
              <w:bottom w:val="single" w:sz="12" w:space="0" w:color="auto"/>
            </w:tcBorders>
            <w:noWrap/>
          </w:tcPr>
          <w:p w14:paraId="37886460" w14:textId="33397150" w:rsidR="00535889" w:rsidRPr="00535889" w:rsidRDefault="00535889" w:rsidP="00535889">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35889">
              <w:rPr>
                <w:rFonts w:ascii="Arial" w:eastAsia="Times New Roman" w:hAnsi="Arial" w:cs="Arial"/>
                <w:sz w:val="20"/>
                <w:szCs w:val="20"/>
                <w:lang w:val="en-US"/>
              </w:rPr>
              <w:t>&lt; 0.001</w:t>
            </w:r>
          </w:p>
        </w:tc>
      </w:tr>
      <w:tr w:rsidR="00C53997" w:rsidRPr="00535889" w14:paraId="3D0E714E" w14:textId="77777777" w:rsidTr="00535889">
        <w:trPr>
          <w:trHeight w:val="292"/>
        </w:trPr>
        <w:tc>
          <w:tcPr>
            <w:cnfStyle w:val="001000000000" w:firstRow="0" w:lastRow="0" w:firstColumn="1" w:lastColumn="0" w:oddVBand="0" w:evenVBand="0" w:oddHBand="0" w:evenHBand="0" w:firstRowFirstColumn="0" w:firstRowLastColumn="0" w:lastRowFirstColumn="0" w:lastRowLastColumn="0"/>
            <w:tcW w:w="1083" w:type="pct"/>
            <w:tcBorders>
              <w:top w:val="single" w:sz="12" w:space="0" w:color="auto"/>
              <w:bottom w:val="single" w:sz="4" w:space="0" w:color="auto"/>
            </w:tcBorders>
            <w:noWrap/>
          </w:tcPr>
          <w:p w14:paraId="181ED394" w14:textId="3C9E7515" w:rsidR="00C53997" w:rsidRPr="009C370A" w:rsidRDefault="009C370A" w:rsidP="00A76C67">
            <w:pPr>
              <w:spacing w:line="276" w:lineRule="auto"/>
              <w:rPr>
                <w:rFonts w:ascii="Arial" w:hAnsi="Arial" w:cs="Arial"/>
                <w:b w:val="0"/>
                <w:bCs w:val="0"/>
              </w:rPr>
            </w:pPr>
            <w:proofErr w:type="spellStart"/>
            <w:r>
              <w:rPr>
                <w:rFonts w:ascii="Arial" w:hAnsi="Arial" w:cs="Arial"/>
                <w:b w:val="0"/>
                <w:bCs w:val="0"/>
                <w:i/>
                <w:iCs/>
              </w:rPr>
              <w:t>S</w:t>
            </w:r>
            <w:r w:rsidRPr="009C370A">
              <w:rPr>
                <w:rFonts w:ascii="Arial" w:hAnsi="Arial" w:cs="Arial"/>
                <w:b w:val="0"/>
                <w:bCs w:val="0"/>
                <w:i/>
                <w:iCs/>
              </w:rPr>
              <w:t>ignifican</w:t>
            </w:r>
            <w:r>
              <w:rPr>
                <w:rFonts w:ascii="Arial" w:hAnsi="Arial" w:cs="Arial"/>
                <w:b w:val="0"/>
                <w:bCs w:val="0"/>
                <w:i/>
                <w:iCs/>
              </w:rPr>
              <w:t>ce</w:t>
            </w:r>
            <w:proofErr w:type="spellEnd"/>
          </w:p>
        </w:tc>
        <w:tc>
          <w:tcPr>
            <w:tcW w:w="653" w:type="pct"/>
            <w:tcBorders>
              <w:top w:val="single" w:sz="12" w:space="0" w:color="auto"/>
              <w:bottom w:val="single" w:sz="4" w:space="0" w:color="auto"/>
            </w:tcBorders>
            <w:noWrap/>
          </w:tcPr>
          <w:p w14:paraId="71A7A4DC" w14:textId="66C70156"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476C92CB" w14:textId="48639321"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2B484DCA" w14:textId="43A77E7C"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0FDD0245" w14:textId="68DA559C" w:rsidR="00C53997" w:rsidRPr="00535889" w:rsidRDefault="009C370A" w:rsidP="00A76C6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2CACDA46" w14:textId="472B007D" w:rsidR="00C53997" w:rsidRPr="00535889" w:rsidRDefault="009C370A" w:rsidP="0053588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653" w:type="pct"/>
            <w:tcBorders>
              <w:top w:val="single" w:sz="12" w:space="0" w:color="auto"/>
              <w:bottom w:val="single" w:sz="4" w:space="0" w:color="auto"/>
            </w:tcBorders>
            <w:noWrap/>
          </w:tcPr>
          <w:p w14:paraId="7E3E74A9" w14:textId="1612F9DA" w:rsidR="00C53997" w:rsidRPr="00535889" w:rsidRDefault="009C370A" w:rsidP="0053588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bl>
    <w:p w14:paraId="32A6B2D4" w14:textId="11F1FC1D" w:rsidR="00535889" w:rsidRPr="004B78FE" w:rsidRDefault="004B78FE" w:rsidP="00306AC5">
      <w:pPr>
        <w:spacing w:line="276" w:lineRule="auto"/>
        <w:rPr>
          <w:rFonts w:ascii="Arial" w:hAnsi="Arial" w:cs="Arial"/>
        </w:rPr>
      </w:pPr>
      <w:proofErr w:type="spellStart"/>
      <w:r w:rsidRPr="004B78FE">
        <w:rPr>
          <w:rFonts w:ascii="Arial" w:hAnsi="Arial" w:cs="Arial"/>
          <w:i/>
          <w:iCs/>
        </w:rPr>
        <w:t>Pr</w:t>
      </w:r>
      <w:proofErr w:type="spellEnd"/>
      <w:r w:rsidRPr="004B78FE">
        <w:rPr>
          <w:rFonts w:ascii="Arial" w:hAnsi="Arial" w:cs="Arial"/>
          <w:i/>
          <w:iCs/>
        </w:rPr>
        <w:t>(&gt;F): critical probability; F: variability between factors; Significance: ***P &lt; 0.001 (highly significant</w:t>
      </w:r>
      <w:proofErr w:type="gramStart"/>
      <w:r w:rsidRPr="004B78FE">
        <w:rPr>
          <w:rFonts w:ascii="Arial" w:hAnsi="Arial" w:cs="Arial"/>
          <w:i/>
          <w:iCs/>
        </w:rPr>
        <w:t>) ;</w:t>
      </w:r>
      <w:proofErr w:type="gramEnd"/>
      <w:r w:rsidRPr="004B78FE">
        <w:rPr>
          <w:rFonts w:ascii="Arial" w:hAnsi="Arial" w:cs="Arial"/>
          <w:i/>
          <w:iCs/>
        </w:rPr>
        <w:t xml:space="preserve"> **P &lt; 0.01 (very significant difference); </w:t>
      </w:r>
      <w:proofErr w:type="spellStart"/>
      <w:r w:rsidRPr="004B78FE">
        <w:rPr>
          <w:rFonts w:ascii="Arial" w:hAnsi="Arial" w:cs="Arial"/>
          <w:i/>
          <w:iCs/>
        </w:rPr>
        <w:t>nsP</w:t>
      </w:r>
      <w:proofErr w:type="spellEnd"/>
      <w:r w:rsidRPr="004B78FE">
        <w:rPr>
          <w:rFonts w:ascii="Arial" w:hAnsi="Arial" w:cs="Arial"/>
          <w:i/>
          <w:iCs/>
        </w:rPr>
        <w:t xml:space="preserve"> &gt; 0.05 (non-significant)</w:t>
      </w:r>
    </w:p>
    <w:p w14:paraId="253646B0" w14:textId="176A0B76" w:rsidR="00306AC5" w:rsidRPr="00306AC5" w:rsidRDefault="00306AC5" w:rsidP="00306AC5">
      <w:pPr>
        <w:spacing w:line="276" w:lineRule="auto"/>
        <w:rPr>
          <w:rFonts w:ascii="Arial" w:hAnsi="Arial" w:cs="Arial"/>
        </w:rPr>
      </w:pPr>
      <w:r w:rsidRPr="00306AC5">
        <w:rPr>
          <w:rFonts w:ascii="Arial" w:hAnsi="Arial" w:cs="Arial"/>
          <w:b/>
          <w:bCs/>
        </w:rPr>
        <w:t>Legend</w:t>
      </w:r>
      <w:r w:rsidRPr="00306AC5">
        <w:rPr>
          <w:rFonts w:ascii="Arial" w:hAnsi="Arial" w:cs="Arial"/>
        </w:rPr>
        <w:t xml:space="preserve">. HAS: Hour after seeding; Sg: Germinated spores; </w:t>
      </w:r>
      <w:r w:rsidR="004B78FE">
        <w:rPr>
          <w:rFonts w:ascii="Arial" w:hAnsi="Arial" w:cs="Arial"/>
        </w:rPr>
        <w:t>Control</w:t>
      </w:r>
      <w:r w:rsidRPr="00306AC5">
        <w:rPr>
          <w:rFonts w:ascii="Arial" w:hAnsi="Arial" w:cs="Arial"/>
        </w:rPr>
        <w:t>: Untreated control.</w:t>
      </w:r>
    </w:p>
    <w:p w14:paraId="2C0BDDAC" w14:textId="77777777" w:rsidR="00306AC5" w:rsidRPr="003263A3" w:rsidRDefault="00306AC5" w:rsidP="009E5F17">
      <w:pPr>
        <w:spacing w:line="276" w:lineRule="auto"/>
        <w:jc w:val="both"/>
        <w:rPr>
          <w:rFonts w:ascii="Arial" w:hAnsi="Arial" w:cs="Arial"/>
        </w:rPr>
      </w:pPr>
    </w:p>
    <w:p w14:paraId="305B7CF7" w14:textId="77777777" w:rsidR="009E5F17" w:rsidRPr="003263A3" w:rsidRDefault="009E5F17" w:rsidP="009E5F17">
      <w:pPr>
        <w:spacing w:line="276" w:lineRule="auto"/>
        <w:jc w:val="both"/>
        <w:rPr>
          <w:rFonts w:ascii="Arial" w:hAnsi="Arial" w:cs="Arial"/>
        </w:rPr>
      </w:pPr>
      <w:r w:rsidRPr="003263A3">
        <w:rPr>
          <w:rFonts w:ascii="Arial" w:hAnsi="Arial" w:cs="Arial"/>
        </w:rPr>
        <w:t xml:space="preserve">Germination percentages based on doses are as follows: for the low dose of copper hydroxide (60%),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(97%), and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(56%). At higher doses, a complete absence of spore germination was observed for treatments with Mancozeb,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and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compared to the copper hydroxide treatment (28.49%). The anti-germination activity varied depending on the treatments and doses applied. At low doses, inhibition rates were 43.33% for </w:t>
      </w:r>
      <w:proofErr w:type="spellStart"/>
      <w:r w:rsidRPr="003263A3">
        <w:rPr>
          <w:rFonts w:ascii="Arial" w:hAnsi="Arial" w:cs="Arial"/>
          <w:i/>
          <w:iCs/>
        </w:rPr>
        <w:t>Ocimum</w:t>
      </w:r>
      <w:proofErr w:type="spellEnd"/>
      <w:r w:rsidRPr="003263A3">
        <w:rPr>
          <w:rFonts w:ascii="Arial" w:hAnsi="Arial" w:cs="Arial"/>
          <w:i/>
          <w:iCs/>
        </w:rPr>
        <w:t xml:space="preserve"> </w:t>
      </w:r>
      <w:proofErr w:type="spellStart"/>
      <w:r w:rsidRPr="003263A3">
        <w:rPr>
          <w:rFonts w:ascii="Arial" w:hAnsi="Arial" w:cs="Arial"/>
          <w:i/>
          <w:iCs/>
        </w:rPr>
        <w:t>gratissimum</w:t>
      </w:r>
      <w:proofErr w:type="spellEnd"/>
      <w:r w:rsidRPr="003263A3">
        <w:rPr>
          <w:rFonts w:ascii="Arial" w:hAnsi="Arial" w:cs="Arial"/>
        </w:rPr>
        <w:t xml:space="preserve">, 2.33% for </w:t>
      </w:r>
      <w:proofErr w:type="spellStart"/>
      <w:r w:rsidRPr="003263A3">
        <w:rPr>
          <w:rFonts w:ascii="Arial" w:hAnsi="Arial" w:cs="Arial"/>
          <w:i/>
          <w:iCs/>
        </w:rPr>
        <w:t>Lippia</w:t>
      </w:r>
      <w:proofErr w:type="spellEnd"/>
      <w:r w:rsidRPr="003263A3">
        <w:rPr>
          <w:rFonts w:ascii="Arial" w:hAnsi="Arial" w:cs="Arial"/>
          <w:i/>
          <w:iCs/>
        </w:rPr>
        <w:t xml:space="preserve"> multiflora</w:t>
      </w:r>
      <w:r w:rsidRPr="003263A3">
        <w:rPr>
          <w:rFonts w:ascii="Arial" w:hAnsi="Arial" w:cs="Arial"/>
        </w:rPr>
        <w:t xml:space="preserve">, and 39.33% for copper hydroxide. At medium doses,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showed complete inhibition (100%), compared to 22.66% for L. multiflora and 35.67% for copper hydroxide. At high doses,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and </w:t>
      </w:r>
      <w:r w:rsidRPr="003263A3">
        <w:rPr>
          <w:rFonts w:ascii="Arial" w:hAnsi="Arial" w:cs="Arial"/>
          <w:i/>
          <w:iCs/>
        </w:rPr>
        <w:t>L. multiflora</w:t>
      </w:r>
      <w:r w:rsidRPr="003263A3">
        <w:rPr>
          <w:rFonts w:ascii="Arial" w:hAnsi="Arial" w:cs="Arial"/>
        </w:rPr>
        <w:t xml:space="preserve"> reached 100% inhibition, while copper hydroxide reached 71.5%. The overall effectiveness assessment distinguished two groups: (</w:t>
      </w:r>
      <w:proofErr w:type="spellStart"/>
      <w:r w:rsidRPr="003263A3">
        <w:rPr>
          <w:rFonts w:ascii="Arial" w:hAnsi="Arial" w:cs="Arial"/>
        </w:rPr>
        <w:t>i</w:t>
      </w:r>
      <w:proofErr w:type="spellEnd"/>
      <w:r w:rsidRPr="003263A3">
        <w:rPr>
          <w:rFonts w:ascii="Arial" w:hAnsi="Arial" w:cs="Arial"/>
        </w:rPr>
        <w:t xml:space="preserve">) highly effective treatments, including Mancozeb (100%) and </w:t>
      </w:r>
      <w:r w:rsidRPr="003263A3">
        <w:rPr>
          <w:rFonts w:ascii="Arial" w:hAnsi="Arial" w:cs="Arial"/>
          <w:i/>
          <w:iCs/>
        </w:rPr>
        <w:t xml:space="preserve">O. </w:t>
      </w:r>
      <w:proofErr w:type="spellStart"/>
      <w:r w:rsidRPr="003263A3">
        <w:rPr>
          <w:rFonts w:ascii="Arial" w:hAnsi="Arial" w:cs="Arial"/>
          <w:i/>
          <w:iCs/>
        </w:rPr>
        <w:t>gratissimum</w:t>
      </w:r>
      <w:proofErr w:type="spellEnd"/>
      <w:r w:rsidRPr="003263A3">
        <w:rPr>
          <w:rFonts w:ascii="Arial" w:hAnsi="Arial" w:cs="Arial"/>
        </w:rPr>
        <w:t xml:space="preserve"> essential oil (81.11%), and (ii) moderately effective treatments, represented by copper hydroxide (48.83%) and </w:t>
      </w:r>
      <w:r w:rsidRPr="003263A3">
        <w:rPr>
          <w:rFonts w:ascii="Arial" w:hAnsi="Arial" w:cs="Arial"/>
          <w:i/>
          <w:iCs/>
        </w:rPr>
        <w:t>L. multiflora</w:t>
      </w:r>
      <w:r w:rsidRPr="003263A3">
        <w:rPr>
          <w:rFonts w:ascii="Arial" w:hAnsi="Arial" w:cs="Arial"/>
        </w:rPr>
        <w:t xml:space="preserve"> (41.66%). (</w:t>
      </w:r>
      <w:r w:rsidRPr="003263A3">
        <w:rPr>
          <w:rFonts w:ascii="Arial" w:hAnsi="Arial" w:cs="Arial"/>
          <w:b/>
          <w:bCs/>
        </w:rPr>
        <w:t>Fig. 6</w:t>
      </w:r>
      <w:r w:rsidRPr="003263A3">
        <w:rPr>
          <w:rFonts w:ascii="Arial" w:hAnsi="Arial" w:cs="Arial"/>
        </w:rPr>
        <w:t>).</w:t>
      </w:r>
    </w:p>
    <w:p w14:paraId="58A91007" w14:textId="77777777" w:rsidR="00306AC5" w:rsidRPr="00306AC5" w:rsidRDefault="00306AC5" w:rsidP="00306AC5">
      <w:pPr>
        <w:spacing w:line="276" w:lineRule="auto"/>
        <w:rPr>
          <w:rFonts w:ascii="Arial" w:hAnsi="Arial" w:cs="Arial"/>
        </w:rPr>
      </w:pPr>
    </w:p>
    <w:p w14:paraId="68D8BAE0" w14:textId="77777777" w:rsidR="00306AC5" w:rsidRPr="00306AC5" w:rsidRDefault="00306AC5" w:rsidP="00306AC5">
      <w:pPr>
        <w:spacing w:line="276" w:lineRule="auto"/>
        <w:rPr>
          <w:rFonts w:ascii="Arial" w:hAnsi="Arial" w:cs="Arial"/>
        </w:rPr>
      </w:pPr>
      <w:r w:rsidRPr="00306AC5">
        <w:rPr>
          <w:rFonts w:ascii="Arial" w:hAnsi="Arial" w:cs="Arial"/>
          <w:noProof/>
        </w:rPr>
        <w:lastRenderedPageBreak/>
        <w:drawing>
          <wp:inline distT="0" distB="0" distL="0" distR="0" wp14:anchorId="25951CD9" wp14:editId="207FDB3E">
            <wp:extent cx="5213350" cy="3816350"/>
            <wp:effectExtent l="0" t="0" r="0" b="0"/>
            <wp:docPr id="1021708015" name="Graphique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861783" w14:textId="77777777" w:rsidR="00306AC5" w:rsidRPr="00306AC5" w:rsidRDefault="00306AC5" w:rsidP="00306AC5">
      <w:pPr>
        <w:spacing w:line="276" w:lineRule="auto"/>
        <w:rPr>
          <w:rFonts w:ascii="Arial" w:hAnsi="Arial" w:cs="Arial"/>
        </w:rPr>
      </w:pPr>
      <w:r w:rsidRPr="00306AC5">
        <w:rPr>
          <w:rFonts w:ascii="Arial" w:hAnsi="Arial" w:cs="Arial"/>
          <w:b/>
          <w:bCs/>
        </w:rPr>
        <w:t>Fig 6</w:t>
      </w:r>
      <w:r w:rsidRPr="00306AC5">
        <w:rPr>
          <w:rFonts w:ascii="Arial" w:hAnsi="Arial" w:cs="Arial"/>
        </w:rPr>
        <w:t>. Inhibition rate of spore germination depending on products and doses</w:t>
      </w:r>
    </w:p>
    <w:p w14:paraId="7C40EB41" w14:textId="645C4B4D" w:rsidR="00306AC5" w:rsidRPr="00306AC5" w:rsidRDefault="00306AC5" w:rsidP="00306AC5">
      <w:pPr>
        <w:spacing w:line="276" w:lineRule="auto"/>
        <w:rPr>
          <w:rFonts w:ascii="Arial" w:hAnsi="Arial" w:cs="Arial"/>
        </w:rPr>
      </w:pPr>
      <w:r w:rsidRPr="00306AC5">
        <w:rPr>
          <w:rFonts w:ascii="Arial" w:hAnsi="Arial" w:cs="Arial"/>
        </w:rPr>
        <w:t xml:space="preserve">Legend. PIG: Overall inhibition percentage; </w:t>
      </w:r>
    </w:p>
    <w:p w14:paraId="618E27AE" w14:textId="77777777" w:rsidR="00306AC5" w:rsidRPr="001A2859" w:rsidRDefault="00306AC5" w:rsidP="00306AC5"/>
    <w:p w14:paraId="031AC068" w14:textId="3A6EEFAF" w:rsidR="00AE69EA" w:rsidRPr="00B459F4" w:rsidRDefault="00B459F4" w:rsidP="00AE69EA">
      <w:pPr>
        <w:spacing w:line="276" w:lineRule="auto"/>
        <w:rPr>
          <w:rFonts w:ascii="Arial" w:hAnsi="Arial" w:cs="Arial"/>
          <w:b/>
          <w:bCs/>
          <w:sz w:val="22"/>
          <w:szCs w:val="22"/>
        </w:rPr>
      </w:pPr>
      <w:bookmarkStart w:id="8" w:name="_Hlk219097880"/>
      <w:r>
        <w:rPr>
          <w:rFonts w:ascii="Arial" w:hAnsi="Arial" w:cs="Arial"/>
          <w:b/>
          <w:bCs/>
          <w:sz w:val="22"/>
          <w:szCs w:val="22"/>
        </w:rPr>
        <w:t xml:space="preserve">3.2. </w:t>
      </w:r>
      <w:r w:rsidR="00AE69EA" w:rsidRPr="00B459F4">
        <w:rPr>
          <w:rFonts w:ascii="Arial" w:hAnsi="Arial" w:cs="Arial"/>
          <w:b/>
          <w:bCs/>
          <w:sz w:val="22"/>
          <w:szCs w:val="22"/>
        </w:rPr>
        <w:t>Discussion</w:t>
      </w:r>
    </w:p>
    <w:p w14:paraId="34541865" w14:textId="77777777" w:rsidR="00AE69EA" w:rsidRPr="0084756A" w:rsidRDefault="00AE69EA" w:rsidP="00AE69EA">
      <w:pPr>
        <w:spacing w:line="276" w:lineRule="auto"/>
        <w:jc w:val="both"/>
        <w:rPr>
          <w:rFonts w:ascii="Arial" w:hAnsi="Arial" w:cs="Arial"/>
        </w:rPr>
      </w:pPr>
      <w:r w:rsidRPr="00AE69EA">
        <w:rPr>
          <w:rFonts w:ascii="Arial" w:hAnsi="Arial" w:cs="Arial"/>
        </w:rPr>
        <w:t xml:space="preserve">The study of the effectiveness of essential oils, compared to that of synthetic fungicides, constitutes a promising approach for integrated management of </w:t>
      </w:r>
      <w:proofErr w:type="spellStart"/>
      <w:r w:rsidRPr="00AE69EA">
        <w:rPr>
          <w:rFonts w:ascii="Arial" w:hAnsi="Arial" w:cs="Arial"/>
        </w:rPr>
        <w:t>bioaggressors</w:t>
      </w:r>
      <w:proofErr w:type="spellEnd"/>
      <w:r w:rsidRPr="00AE69EA">
        <w:rPr>
          <w:rFonts w:ascii="Arial" w:hAnsi="Arial" w:cs="Arial"/>
        </w:rPr>
        <w:t xml:space="preserve">. Given the results obtained, synthetic fungicides and essential oils acted differently on the measured biological parameters, depending on the type of product and the dose, relative to the neutral control. The most effective products on radial growth, sporulation, and spore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AE69EA">
        <w:rPr>
          <w:rFonts w:ascii="Arial" w:hAnsi="Arial" w:cs="Arial"/>
        </w:rPr>
        <w:t xml:space="preserve"> come from Mancozeb and the essential oil of </w:t>
      </w:r>
      <w:proofErr w:type="spellStart"/>
      <w:r w:rsidRPr="00AE69EA">
        <w:rPr>
          <w:rFonts w:ascii="Arial" w:hAnsi="Arial" w:cs="Arial"/>
        </w:rPr>
        <w:t>Ocimum</w:t>
      </w:r>
      <w:proofErr w:type="spellEnd"/>
      <w:r w:rsidRPr="00AE69EA">
        <w:rPr>
          <w:rFonts w:ascii="Arial" w:hAnsi="Arial" w:cs="Arial"/>
        </w:rPr>
        <w:t xml:space="preserve"> </w:t>
      </w:r>
      <w:proofErr w:type="spellStart"/>
      <w:r w:rsidRPr="00AE69EA">
        <w:rPr>
          <w:rFonts w:ascii="Arial" w:hAnsi="Arial" w:cs="Arial"/>
        </w:rPr>
        <w:t>gratissimum</w:t>
      </w:r>
      <w:proofErr w:type="spellEnd"/>
      <w:r w:rsidRPr="00AE69EA">
        <w:rPr>
          <w:rFonts w:ascii="Arial" w:hAnsi="Arial" w:cs="Arial"/>
        </w:rPr>
        <w:t xml:space="preserve">. Indeed, radial growth, sporulation, and germination were completely inhibited by Mancozeb. This result supports those of Essis et al. (2023), who showed that Mancozeb had very good efficacy against symptoms induced by the fungus, similar to </w:t>
      </w:r>
      <w:proofErr w:type="spellStart"/>
      <w:r w:rsidRPr="00AE69EA">
        <w:rPr>
          <w:rFonts w:ascii="Arial" w:hAnsi="Arial" w:cs="Arial"/>
        </w:rPr>
        <w:t>trifloxystrobin</w:t>
      </w:r>
      <w:proofErr w:type="spellEnd"/>
      <w:r w:rsidRPr="00AE69EA">
        <w:rPr>
          <w:rFonts w:ascii="Arial" w:hAnsi="Arial" w:cs="Arial"/>
        </w:rPr>
        <w:t>, propiconazole, and methyl thiophanate.</w:t>
      </w:r>
    </w:p>
    <w:p w14:paraId="1938A088" w14:textId="77777777" w:rsidR="00AE69EA" w:rsidRPr="0084756A" w:rsidRDefault="00AE69EA" w:rsidP="00AE69EA">
      <w:pPr>
        <w:spacing w:line="276" w:lineRule="auto"/>
        <w:jc w:val="both"/>
        <w:rPr>
          <w:rFonts w:ascii="Arial" w:hAnsi="Arial" w:cs="Arial"/>
        </w:rPr>
      </w:pPr>
      <w:r w:rsidRPr="0084756A">
        <w:rPr>
          <w:rFonts w:ascii="Arial" w:hAnsi="Arial" w:cs="Arial"/>
        </w:rPr>
        <w:t xml:space="preserve">Just like this fungicide, the essential oil of </w:t>
      </w:r>
      <w:r w:rsidRPr="00AE69EA">
        <w:rPr>
          <w:rFonts w:ascii="Arial" w:hAnsi="Arial" w:cs="Arial"/>
        </w:rPr>
        <w:t xml:space="preserve">O. </w:t>
      </w:r>
      <w:proofErr w:type="spellStart"/>
      <w:r w:rsidRPr="00AE69EA">
        <w:rPr>
          <w:rFonts w:ascii="Arial" w:hAnsi="Arial" w:cs="Arial"/>
        </w:rPr>
        <w:t>gratissimum</w:t>
      </w:r>
      <w:proofErr w:type="spellEnd"/>
      <w:r w:rsidRPr="0084756A">
        <w:rPr>
          <w:rFonts w:ascii="Arial" w:hAnsi="Arial" w:cs="Arial"/>
        </w:rPr>
        <w:t xml:space="preserve"> strongly inhibited radial growth (87.45%), sporulation (100%), and germination (81.11%) of the studied fungus. Furthermore, it was more fungitoxic on the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compared to the copper hydroxide fungicide, which was moderately effective with an inhibition rate of 48.83%. Overall, the essential oil based on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was effective on radial growth (61.76%), sporulation (72.5%), and moderately effective on germination (41.66%). Several reasons could explain the observed differences in the products' actions on the three measured parameters. For Mancozeb, its effectiveness is attributed to its multi-site mode of action. Multi-site fungicides act on multiple primary action sites, leading to the blocking of respiration and selective permeability of the plasma membrane. According to </w:t>
      </w:r>
      <w:proofErr w:type="spellStart"/>
      <w:r w:rsidRPr="0084756A">
        <w:rPr>
          <w:rFonts w:ascii="Arial" w:hAnsi="Arial" w:cs="Arial"/>
        </w:rPr>
        <w:t>Onautshu</w:t>
      </w:r>
      <w:proofErr w:type="spellEnd"/>
      <w:r w:rsidRPr="0084756A">
        <w:rPr>
          <w:rFonts w:ascii="Arial" w:hAnsi="Arial" w:cs="Arial"/>
        </w:rPr>
        <w:t xml:space="preserve"> (2013) and </w:t>
      </w:r>
      <w:proofErr w:type="spellStart"/>
      <w:r w:rsidRPr="0084756A">
        <w:rPr>
          <w:rFonts w:ascii="Arial" w:hAnsi="Arial" w:cs="Arial"/>
        </w:rPr>
        <w:t>Ngando</w:t>
      </w:r>
      <w:proofErr w:type="spellEnd"/>
      <w:r w:rsidRPr="0084756A">
        <w:rPr>
          <w:rFonts w:ascii="Arial" w:hAnsi="Arial" w:cs="Arial"/>
        </w:rPr>
        <w:t xml:space="preserve"> (2014), they interact with numerous enzymatic systems, including mechanisms involved in energy production, oxygen consumption, and the catabolism of reserve substances in spores. Similarly, Ngoh et al. (2021) reported that Mancozeb 80 WP had an inhibitory effect on radial growth, sporulation, and germination of </w:t>
      </w:r>
      <w:r w:rsidRPr="00AE69EA">
        <w:rPr>
          <w:rFonts w:ascii="Arial" w:hAnsi="Arial" w:cs="Arial"/>
        </w:rPr>
        <w:t xml:space="preserve">Colletotrichum </w:t>
      </w:r>
      <w:proofErr w:type="spellStart"/>
      <w:r w:rsidRPr="00AE69EA">
        <w:rPr>
          <w:rFonts w:ascii="Arial" w:hAnsi="Arial" w:cs="Arial"/>
        </w:rPr>
        <w:t>gloeosporioides</w:t>
      </w:r>
      <w:proofErr w:type="spellEnd"/>
      <w:r w:rsidRPr="0084756A">
        <w:rPr>
          <w:rFonts w:ascii="Arial" w:hAnsi="Arial" w:cs="Arial"/>
        </w:rPr>
        <w:t xml:space="preserve">, the agent responsible for anthracnose of cashew. Similar results were reported by Kassankogno et al. (2022) following in vitro efficacy tests of three fungicides. Their study found that Mancozeb and copper hydroxide induced 100% and 90% inhibition, respectively, on the radial growth, sporulation, and germination of </w:t>
      </w:r>
      <w:proofErr w:type="spellStart"/>
      <w:r w:rsidRPr="00AE69EA">
        <w:rPr>
          <w:rFonts w:ascii="Arial" w:hAnsi="Arial" w:cs="Arial"/>
        </w:rPr>
        <w:t>Curvularia</w:t>
      </w:r>
      <w:proofErr w:type="spellEnd"/>
      <w:r w:rsidRPr="00AE69EA">
        <w:rPr>
          <w:rFonts w:ascii="Arial" w:hAnsi="Arial" w:cs="Arial"/>
        </w:rPr>
        <w:t xml:space="preserve"> </w:t>
      </w:r>
      <w:proofErr w:type="spellStart"/>
      <w:r w:rsidRPr="00AE69EA">
        <w:rPr>
          <w:rFonts w:ascii="Arial" w:hAnsi="Arial" w:cs="Arial"/>
        </w:rPr>
        <w:t>lunata</w:t>
      </w:r>
      <w:proofErr w:type="spellEnd"/>
      <w:r w:rsidRPr="0084756A">
        <w:rPr>
          <w:rFonts w:ascii="Arial" w:hAnsi="Arial" w:cs="Arial"/>
        </w:rPr>
        <w:t xml:space="preserve">. Additionally, the low fungicidal activity of copper hydroxide on the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aligns with the work of Obanor et al. (2005), suggesting that copper hydroxide and copper sulfates were weakly effective in inhibiting spore germination in </w:t>
      </w:r>
      <w:proofErr w:type="spellStart"/>
      <w:r w:rsidRPr="00AE69EA">
        <w:rPr>
          <w:rFonts w:ascii="Arial" w:hAnsi="Arial" w:cs="Arial"/>
        </w:rPr>
        <w:t>Spilocaea</w:t>
      </w:r>
      <w:proofErr w:type="spellEnd"/>
      <w:r w:rsidRPr="00AE69EA">
        <w:rPr>
          <w:rFonts w:ascii="Arial" w:hAnsi="Arial" w:cs="Arial"/>
        </w:rPr>
        <w:t xml:space="preserve"> </w:t>
      </w:r>
      <w:proofErr w:type="spellStart"/>
      <w:r w:rsidRPr="00AE69EA">
        <w:rPr>
          <w:rFonts w:ascii="Arial" w:hAnsi="Arial" w:cs="Arial"/>
        </w:rPr>
        <w:t>oleagina</w:t>
      </w:r>
      <w:proofErr w:type="spellEnd"/>
      <w:r w:rsidRPr="0084756A">
        <w:rPr>
          <w:rFonts w:ascii="Arial" w:hAnsi="Arial" w:cs="Arial"/>
        </w:rPr>
        <w:t>.</w:t>
      </w:r>
    </w:p>
    <w:p w14:paraId="2C73309D" w14:textId="77777777" w:rsidR="00AE69EA" w:rsidRPr="00AE69EA" w:rsidRDefault="00AE69EA" w:rsidP="00AE69EA">
      <w:pPr>
        <w:spacing w:line="276" w:lineRule="auto"/>
        <w:jc w:val="both"/>
        <w:rPr>
          <w:rFonts w:ascii="Arial" w:hAnsi="Arial" w:cs="Arial"/>
        </w:rPr>
      </w:pPr>
      <w:r w:rsidRPr="0084756A">
        <w:rPr>
          <w:rFonts w:ascii="Arial" w:hAnsi="Arial" w:cs="Arial"/>
        </w:rPr>
        <w:t xml:space="preserve">Regarding essential oils, the differences in effectiveness observed are likely because these plant species belong to different botanical families. Extracts from different plants probably have varied phytochemical profiles, particularly in terms of structure, composition, and levels of bioactive substances. As a result, there is a significant reduction in radial growth, </w:t>
      </w:r>
      <w:r w:rsidRPr="0084756A">
        <w:rPr>
          <w:rFonts w:ascii="Arial" w:hAnsi="Arial" w:cs="Arial"/>
        </w:rPr>
        <w:lastRenderedPageBreak/>
        <w:t xml:space="preserve">sporulation, and germination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AE69EA">
        <w:rPr>
          <w:rFonts w:ascii="Arial" w:hAnsi="Arial" w:cs="Arial"/>
        </w:rPr>
        <w:t xml:space="preserve"> </w:t>
      </w:r>
      <w:r w:rsidRPr="0084756A">
        <w:rPr>
          <w:rFonts w:ascii="Arial" w:hAnsi="Arial" w:cs="Arial"/>
        </w:rPr>
        <w:t xml:space="preserve">following treatment with essential oil. Variability in the effect of the products is observed during the three life stages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depending on the dose. In our view, adding the fungicide/EO to the fungus culture medium at different doses would directly affect the concentrations of these substances, which we could attribute to the differences observed from one dose to another in terms of effectiveness levels. The essential oil of </w:t>
      </w:r>
      <w:proofErr w:type="spellStart"/>
      <w:r w:rsidRPr="00AE69EA">
        <w:rPr>
          <w:rFonts w:ascii="Arial" w:hAnsi="Arial" w:cs="Arial"/>
        </w:rPr>
        <w:t>Ocimum</w:t>
      </w:r>
      <w:proofErr w:type="spellEnd"/>
      <w:r w:rsidRPr="00AE69EA">
        <w:rPr>
          <w:rFonts w:ascii="Arial" w:hAnsi="Arial" w:cs="Arial"/>
        </w:rPr>
        <w:t xml:space="preserve"> </w:t>
      </w:r>
      <w:proofErr w:type="spellStart"/>
      <w:r w:rsidRPr="00AE69EA">
        <w:rPr>
          <w:rFonts w:ascii="Arial" w:hAnsi="Arial" w:cs="Arial"/>
        </w:rPr>
        <w:t>gratissimum</w:t>
      </w:r>
      <w:proofErr w:type="spellEnd"/>
      <w:r w:rsidRPr="0084756A">
        <w:rPr>
          <w:rFonts w:ascii="Arial" w:hAnsi="Arial" w:cs="Arial"/>
        </w:rPr>
        <w:t xml:space="preserve"> was highly effective starting from the average dose (1000 ppm) on radial growth, sporulation, and germination. Our results align with those of Kouame et al. (2015), who reported very good efficacy of </w:t>
      </w:r>
      <w:r w:rsidRPr="00AE69EA">
        <w:rPr>
          <w:rFonts w:ascii="Arial" w:hAnsi="Arial" w:cs="Arial"/>
        </w:rPr>
        <w:t xml:space="preserve">O. </w:t>
      </w:r>
      <w:proofErr w:type="spellStart"/>
      <w:r w:rsidRPr="00AE69EA">
        <w:rPr>
          <w:rFonts w:ascii="Arial" w:hAnsi="Arial" w:cs="Arial"/>
        </w:rPr>
        <w:t>gratissimum</w:t>
      </w:r>
      <w:proofErr w:type="spellEnd"/>
      <w:r w:rsidRPr="0084756A">
        <w:rPr>
          <w:rFonts w:ascii="Arial" w:hAnsi="Arial" w:cs="Arial"/>
        </w:rPr>
        <w:t xml:space="preserve"> essential oil on radial growth, sporulation, and germination of </w:t>
      </w:r>
      <w:r w:rsidRPr="00AE69EA">
        <w:rPr>
          <w:rFonts w:ascii="Arial" w:hAnsi="Arial" w:cs="Arial"/>
        </w:rPr>
        <w:t xml:space="preserve">C. </w:t>
      </w:r>
      <w:proofErr w:type="spellStart"/>
      <w:r w:rsidRPr="00AE69EA">
        <w:rPr>
          <w:rFonts w:ascii="Arial" w:hAnsi="Arial" w:cs="Arial"/>
        </w:rPr>
        <w:t>gloeosporioides</w:t>
      </w:r>
      <w:proofErr w:type="spellEnd"/>
      <w:r w:rsidRPr="0084756A">
        <w:rPr>
          <w:rFonts w:ascii="Arial" w:hAnsi="Arial" w:cs="Arial"/>
        </w:rPr>
        <w:t xml:space="preserve"> at 1000 ppm. The essential oil of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was effective at the high dose of 4000 ppm. These results are consistent with those of Doumbouya et al. (2021), who demonstrated that applying a high dose of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essential oil inhibits the growth and development of </w:t>
      </w:r>
      <w:r w:rsidRPr="00AE69EA">
        <w:rPr>
          <w:rFonts w:ascii="Arial" w:hAnsi="Arial" w:cs="Arial"/>
        </w:rPr>
        <w:t xml:space="preserve">F. </w:t>
      </w:r>
      <w:proofErr w:type="spellStart"/>
      <w:r w:rsidRPr="00AE69EA">
        <w:rPr>
          <w:rFonts w:ascii="Arial" w:hAnsi="Arial" w:cs="Arial"/>
        </w:rPr>
        <w:t>oxysporum</w:t>
      </w:r>
      <w:proofErr w:type="spellEnd"/>
      <w:r w:rsidRPr="0084756A">
        <w:rPr>
          <w:rFonts w:ascii="Arial" w:hAnsi="Arial" w:cs="Arial"/>
        </w:rPr>
        <w:t xml:space="preserve"> f. sp. </w:t>
      </w:r>
      <w:proofErr w:type="spellStart"/>
      <w:r w:rsidRPr="00AE69EA">
        <w:rPr>
          <w:rFonts w:ascii="Arial" w:hAnsi="Arial" w:cs="Arial"/>
        </w:rPr>
        <w:t>radicis</w:t>
      </w:r>
      <w:proofErr w:type="spellEnd"/>
      <w:r w:rsidRPr="00AE69EA">
        <w:rPr>
          <w:rFonts w:ascii="Arial" w:hAnsi="Arial" w:cs="Arial"/>
        </w:rPr>
        <w:t xml:space="preserve"> </w:t>
      </w:r>
      <w:proofErr w:type="spellStart"/>
      <w:r w:rsidRPr="00AE69EA">
        <w:rPr>
          <w:rFonts w:ascii="Arial" w:hAnsi="Arial" w:cs="Arial"/>
        </w:rPr>
        <w:t>lycopersici</w:t>
      </w:r>
      <w:proofErr w:type="spellEnd"/>
      <w:r w:rsidRPr="0084756A">
        <w:rPr>
          <w:rFonts w:ascii="Arial" w:hAnsi="Arial" w:cs="Arial"/>
        </w:rPr>
        <w:t xml:space="preserve">. Additionally, </w:t>
      </w:r>
      <w:proofErr w:type="spellStart"/>
      <w:r w:rsidRPr="0084756A">
        <w:rPr>
          <w:rFonts w:ascii="Arial" w:hAnsi="Arial" w:cs="Arial"/>
        </w:rPr>
        <w:t>Tiendrébeogo</w:t>
      </w:r>
      <w:proofErr w:type="spellEnd"/>
      <w:r w:rsidRPr="0084756A">
        <w:rPr>
          <w:rFonts w:ascii="Arial" w:hAnsi="Arial" w:cs="Arial"/>
        </w:rPr>
        <w:t xml:space="preserve"> et al. (2017) did not highlight complete inhibition of mycelial growth by </w:t>
      </w:r>
      <w:proofErr w:type="spellStart"/>
      <w:r w:rsidRPr="00AE69EA">
        <w:rPr>
          <w:rFonts w:ascii="Arial" w:hAnsi="Arial" w:cs="Arial"/>
        </w:rPr>
        <w:t>Lippia</w:t>
      </w:r>
      <w:proofErr w:type="spellEnd"/>
      <w:r w:rsidRPr="00AE69EA">
        <w:rPr>
          <w:rFonts w:ascii="Arial" w:hAnsi="Arial" w:cs="Arial"/>
        </w:rPr>
        <w:t xml:space="preserve"> multiflora</w:t>
      </w:r>
      <w:r w:rsidRPr="0084756A">
        <w:rPr>
          <w:rFonts w:ascii="Arial" w:hAnsi="Arial" w:cs="Arial"/>
        </w:rPr>
        <w:t xml:space="preserve"> essential oil on </w:t>
      </w:r>
      <w:r w:rsidRPr="00AE69EA">
        <w:rPr>
          <w:rFonts w:ascii="Arial" w:hAnsi="Arial" w:cs="Arial"/>
        </w:rPr>
        <w:t xml:space="preserve">Fusarium </w:t>
      </w:r>
      <w:proofErr w:type="spellStart"/>
      <w:r w:rsidRPr="00AE69EA">
        <w:rPr>
          <w:rFonts w:ascii="Arial" w:hAnsi="Arial" w:cs="Arial"/>
        </w:rPr>
        <w:t>moniliforme</w:t>
      </w:r>
      <w:proofErr w:type="spellEnd"/>
      <w:r w:rsidRPr="0084756A">
        <w:rPr>
          <w:rFonts w:ascii="Arial" w:hAnsi="Arial" w:cs="Arial"/>
        </w:rPr>
        <w:t xml:space="preserve">, even at 100 ppm, nor on </w:t>
      </w:r>
      <w:proofErr w:type="spellStart"/>
      <w:r w:rsidRPr="00AE69EA">
        <w:rPr>
          <w:rFonts w:ascii="Arial" w:hAnsi="Arial" w:cs="Arial"/>
        </w:rPr>
        <w:t>Bipolaris</w:t>
      </w:r>
      <w:proofErr w:type="spellEnd"/>
      <w:r w:rsidRPr="00AE69EA">
        <w:rPr>
          <w:rFonts w:ascii="Arial" w:hAnsi="Arial" w:cs="Arial"/>
        </w:rPr>
        <w:t xml:space="preserve"> </w:t>
      </w:r>
      <w:proofErr w:type="spellStart"/>
      <w:r w:rsidRPr="00AE69EA">
        <w:rPr>
          <w:rFonts w:ascii="Arial" w:hAnsi="Arial" w:cs="Arial"/>
        </w:rPr>
        <w:t>oryzae</w:t>
      </w:r>
      <w:proofErr w:type="spellEnd"/>
      <w:r w:rsidRPr="0084756A">
        <w:rPr>
          <w:rFonts w:ascii="Arial" w:hAnsi="Arial" w:cs="Arial"/>
        </w:rPr>
        <w:t xml:space="preserve"> and </w:t>
      </w:r>
      <w:proofErr w:type="spellStart"/>
      <w:r w:rsidRPr="00AE69EA">
        <w:rPr>
          <w:rFonts w:ascii="Arial" w:hAnsi="Arial" w:cs="Arial"/>
        </w:rPr>
        <w:t>Pyricularia</w:t>
      </w:r>
      <w:proofErr w:type="spellEnd"/>
      <w:r w:rsidRPr="00AE69EA">
        <w:rPr>
          <w:rFonts w:ascii="Arial" w:hAnsi="Arial" w:cs="Arial"/>
        </w:rPr>
        <w:t xml:space="preserve"> oryzae</w:t>
      </w:r>
      <w:r w:rsidRPr="0084756A">
        <w:rPr>
          <w:rFonts w:ascii="Arial" w:hAnsi="Arial" w:cs="Arial"/>
        </w:rPr>
        <w:t xml:space="preserve"> at 400 ppm. Synthetic fungicides at high doses caused highly significant inhibition across all three stages of the fungus's life cycle compared with the control. However, not all of them would be effective. Indeed, the effectiveness of a fungicide depends on its ability to inhibit fungal development at relatively low doses, and the effective dose is the one at which inhibition is total (Sharma and Mohanan, 1991). Mancozeb induced total inhibition at the lowest dose (5000 ppm), revealing the extreme sensitivity of </w:t>
      </w:r>
      <w:proofErr w:type="spellStart"/>
      <w:r w:rsidRPr="00AE69EA">
        <w:rPr>
          <w:rFonts w:ascii="Arial" w:hAnsi="Arial" w:cs="Arial"/>
        </w:rPr>
        <w:t>Mycosphaerella</w:t>
      </w:r>
      <w:proofErr w:type="spellEnd"/>
      <w:r w:rsidRPr="00AE69EA">
        <w:rPr>
          <w:rFonts w:ascii="Arial" w:hAnsi="Arial" w:cs="Arial"/>
        </w:rPr>
        <w:t xml:space="preserve"> </w:t>
      </w:r>
      <w:proofErr w:type="spellStart"/>
      <w:r w:rsidRPr="00AE69EA">
        <w:rPr>
          <w:rFonts w:ascii="Arial" w:hAnsi="Arial" w:cs="Arial"/>
        </w:rPr>
        <w:t>fijiensis</w:t>
      </w:r>
      <w:proofErr w:type="spellEnd"/>
      <w:r w:rsidRPr="0084756A">
        <w:rPr>
          <w:rFonts w:ascii="Arial" w:hAnsi="Arial" w:cs="Arial"/>
        </w:rPr>
        <w:t xml:space="preserve"> to this fungicide. This result is similar to that of Berber et al. (2006), who reported that Mancozeb at low doses inhibited the radial growth, sporulation, and germination of </w:t>
      </w:r>
      <w:proofErr w:type="spellStart"/>
      <w:r w:rsidRPr="00AE69EA">
        <w:rPr>
          <w:rFonts w:ascii="Arial" w:hAnsi="Arial" w:cs="Arial"/>
        </w:rPr>
        <w:t>Bipolaris</w:t>
      </w:r>
      <w:proofErr w:type="spellEnd"/>
      <w:r w:rsidRPr="00AE69EA">
        <w:rPr>
          <w:rFonts w:ascii="Arial" w:hAnsi="Arial" w:cs="Arial"/>
        </w:rPr>
        <w:t xml:space="preserve"> maydis</w:t>
      </w:r>
      <w:r w:rsidRPr="0084756A">
        <w:rPr>
          <w:rFonts w:ascii="Arial" w:hAnsi="Arial" w:cs="Arial"/>
        </w:rPr>
        <w:t xml:space="preserve">, </w:t>
      </w:r>
      <w:r w:rsidRPr="00AE69EA">
        <w:rPr>
          <w:rFonts w:ascii="Arial" w:hAnsi="Arial" w:cs="Arial"/>
        </w:rPr>
        <w:t xml:space="preserve">B. </w:t>
      </w:r>
      <w:proofErr w:type="spellStart"/>
      <w:r w:rsidRPr="00AE69EA">
        <w:rPr>
          <w:rFonts w:ascii="Arial" w:hAnsi="Arial" w:cs="Arial"/>
        </w:rPr>
        <w:t>sorghicola</w:t>
      </w:r>
      <w:proofErr w:type="spellEnd"/>
      <w:r w:rsidRPr="0084756A">
        <w:rPr>
          <w:rFonts w:ascii="Arial" w:hAnsi="Arial" w:cs="Arial"/>
        </w:rPr>
        <w:t xml:space="preserve">, and </w:t>
      </w:r>
      <w:proofErr w:type="spellStart"/>
      <w:r w:rsidRPr="00AE69EA">
        <w:rPr>
          <w:rFonts w:ascii="Arial" w:hAnsi="Arial" w:cs="Arial"/>
        </w:rPr>
        <w:t>Curvularia</w:t>
      </w:r>
      <w:proofErr w:type="spellEnd"/>
      <w:r w:rsidRPr="00AE69EA">
        <w:rPr>
          <w:rFonts w:ascii="Arial" w:hAnsi="Arial" w:cs="Arial"/>
        </w:rPr>
        <w:t xml:space="preserve"> </w:t>
      </w:r>
      <w:proofErr w:type="spellStart"/>
      <w:r w:rsidRPr="00AE69EA">
        <w:rPr>
          <w:rFonts w:ascii="Arial" w:hAnsi="Arial" w:cs="Arial"/>
        </w:rPr>
        <w:t>lunata</w:t>
      </w:r>
      <w:proofErr w:type="spellEnd"/>
      <w:r w:rsidRPr="0084756A">
        <w:rPr>
          <w:rFonts w:ascii="Arial" w:hAnsi="Arial" w:cs="Arial"/>
        </w:rPr>
        <w:t>. However, the study by Aguilar-Barragan et al. (2014) shows that the fungus adapts to synthetic products with decreased sensitivity, highlighting the need to adopt alternatives or combine strategies.</w:t>
      </w:r>
      <w:bookmarkEnd w:id="8"/>
      <w:r w:rsidRPr="00AE69EA">
        <w:rPr>
          <w:rFonts w:ascii="Arial" w:hAnsi="Arial" w:cs="Arial"/>
        </w:rPr>
        <w:t xml:space="preserve">  </w:t>
      </w:r>
    </w:p>
    <w:p w14:paraId="3A1B5D92" w14:textId="77777777" w:rsidR="009E5F17" w:rsidRDefault="009E5F17" w:rsidP="00441B6F">
      <w:pPr>
        <w:pStyle w:val="Head1"/>
        <w:spacing w:after="0"/>
        <w:jc w:val="both"/>
        <w:rPr>
          <w:rFonts w:ascii="Arial" w:hAnsi="Arial" w:cs="Arial"/>
        </w:rPr>
      </w:pPr>
    </w:p>
    <w:p w14:paraId="0212C558" w14:textId="5772E97E" w:rsidR="00303D7E" w:rsidRPr="0048629F" w:rsidRDefault="0048629F" w:rsidP="00303D7E">
      <w:pPr>
        <w:spacing w:line="276" w:lineRule="auto"/>
        <w:rPr>
          <w:rStyle w:val="fontstyle01"/>
          <w:rFonts w:ascii="Arial" w:hAnsi="Arial" w:cs="Arial"/>
          <w:b/>
          <w:bCs/>
          <w:sz w:val="22"/>
          <w:szCs w:val="22"/>
        </w:rPr>
      </w:pPr>
      <w:r w:rsidRPr="0048629F">
        <w:rPr>
          <w:rStyle w:val="fontstyle01"/>
          <w:rFonts w:ascii="Arial" w:hAnsi="Arial" w:cs="Arial"/>
          <w:b/>
          <w:bCs/>
          <w:sz w:val="22"/>
          <w:szCs w:val="22"/>
        </w:rPr>
        <w:t xml:space="preserve">4. CONCLUSION </w:t>
      </w:r>
    </w:p>
    <w:p w14:paraId="25297725" w14:textId="77777777" w:rsidR="00303D7E" w:rsidRDefault="00303D7E" w:rsidP="00303D7E">
      <w:pPr>
        <w:spacing w:line="276" w:lineRule="auto"/>
        <w:jc w:val="both"/>
        <w:rPr>
          <w:rStyle w:val="fontstyle01"/>
          <w:rFonts w:ascii="Arial" w:hAnsi="Arial" w:cs="Arial"/>
          <w:sz w:val="20"/>
          <w:szCs w:val="20"/>
        </w:rPr>
      </w:pPr>
      <w:r w:rsidRPr="002252AC">
        <w:rPr>
          <w:rStyle w:val="fontstyle01"/>
          <w:rFonts w:ascii="Arial" w:hAnsi="Arial" w:cs="Arial"/>
          <w:sz w:val="20"/>
          <w:szCs w:val="20"/>
        </w:rPr>
        <w:t xml:space="preserve">This study aimed to determine the effectiveness of Mancozeb, copper hydroxide, </w:t>
      </w:r>
      <w:proofErr w:type="spellStart"/>
      <w:r w:rsidRPr="002252AC">
        <w:rPr>
          <w:rStyle w:val="fontstyle01"/>
          <w:rFonts w:ascii="Arial" w:hAnsi="Arial" w:cs="Arial"/>
          <w:i/>
          <w:iCs/>
          <w:sz w:val="20"/>
          <w:szCs w:val="20"/>
        </w:rPr>
        <w:t>Ocimum</w:t>
      </w:r>
      <w:proofErr w:type="spellEnd"/>
      <w:r w:rsidRPr="002252AC">
        <w:rPr>
          <w:rStyle w:val="fontstyle01"/>
          <w:rFonts w:ascii="Arial" w:hAnsi="Arial" w:cs="Arial"/>
          <w:i/>
          <w:iCs/>
          <w:sz w:val="20"/>
          <w:szCs w:val="20"/>
        </w:rPr>
        <w:t xml:space="preserve">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and </w:t>
      </w:r>
      <w:proofErr w:type="spellStart"/>
      <w:r w:rsidRPr="002252AC">
        <w:rPr>
          <w:rStyle w:val="fontstyle01"/>
          <w:rFonts w:ascii="Arial" w:hAnsi="Arial" w:cs="Arial"/>
          <w:i/>
          <w:iCs/>
          <w:sz w:val="20"/>
          <w:szCs w:val="20"/>
        </w:rPr>
        <w:t>Lippia</w:t>
      </w:r>
      <w:proofErr w:type="spellEnd"/>
      <w:r w:rsidRPr="002252AC">
        <w:rPr>
          <w:rStyle w:val="fontstyle01"/>
          <w:rFonts w:ascii="Arial" w:hAnsi="Arial" w:cs="Arial"/>
          <w:i/>
          <w:iCs/>
          <w:sz w:val="20"/>
          <w:szCs w:val="20"/>
        </w:rPr>
        <w:t xml:space="preserve"> multiflora</w:t>
      </w:r>
      <w:r w:rsidRPr="002252AC">
        <w:rPr>
          <w:rStyle w:val="fontstyle01"/>
          <w:rFonts w:ascii="Arial" w:hAnsi="Arial" w:cs="Arial"/>
          <w:sz w:val="20"/>
          <w:szCs w:val="20"/>
        </w:rPr>
        <w:t xml:space="preserve"> against </w:t>
      </w:r>
      <w:proofErr w:type="spellStart"/>
      <w:r w:rsidRPr="002252AC">
        <w:rPr>
          <w:rStyle w:val="fontstyle01"/>
          <w:rFonts w:ascii="Arial" w:hAnsi="Arial" w:cs="Arial"/>
          <w:i/>
          <w:iCs/>
          <w:sz w:val="20"/>
          <w:szCs w:val="20"/>
        </w:rPr>
        <w:t>Mycosphaerella</w:t>
      </w:r>
      <w:proofErr w:type="spellEnd"/>
      <w:r w:rsidRPr="002252AC">
        <w:rPr>
          <w:rStyle w:val="fontstyle01"/>
          <w:rFonts w:ascii="Arial" w:hAnsi="Arial" w:cs="Arial"/>
          <w:i/>
          <w:iCs/>
          <w:sz w:val="20"/>
          <w:szCs w:val="20"/>
        </w:rPr>
        <w:t xml:space="preserve"> </w:t>
      </w:r>
      <w:proofErr w:type="spellStart"/>
      <w:r w:rsidRPr="002252AC">
        <w:rPr>
          <w:rStyle w:val="fontstyle01"/>
          <w:rFonts w:ascii="Arial" w:hAnsi="Arial" w:cs="Arial"/>
          <w:i/>
          <w:iCs/>
          <w:sz w:val="20"/>
          <w:szCs w:val="20"/>
        </w:rPr>
        <w:t>fijiensis</w:t>
      </w:r>
      <w:proofErr w:type="spellEnd"/>
      <w:r w:rsidRPr="002252AC">
        <w:rPr>
          <w:rStyle w:val="fontstyle01"/>
          <w:rFonts w:ascii="Arial" w:hAnsi="Arial" w:cs="Arial"/>
          <w:sz w:val="20"/>
          <w:szCs w:val="20"/>
        </w:rPr>
        <w:t xml:space="preserve">. In the laboratory, the results showed that Mancozeb and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were highly effective on radial growth, sporulation, and germination. The treatment based on copper hydroxide, although showing good activity on radial growth and sporulation, was moderately effective for spore germination of </w:t>
      </w:r>
      <w:r w:rsidRPr="002252AC">
        <w:rPr>
          <w:rStyle w:val="fontstyle01"/>
          <w:rFonts w:ascii="Arial" w:hAnsi="Arial" w:cs="Arial"/>
          <w:i/>
          <w:iCs/>
          <w:sz w:val="20"/>
          <w:szCs w:val="20"/>
        </w:rPr>
        <w:t xml:space="preserve">M. </w:t>
      </w:r>
      <w:proofErr w:type="spellStart"/>
      <w:r w:rsidRPr="002252AC">
        <w:rPr>
          <w:rStyle w:val="fontstyle01"/>
          <w:rFonts w:ascii="Arial" w:hAnsi="Arial" w:cs="Arial"/>
          <w:i/>
          <w:iCs/>
          <w:sz w:val="20"/>
          <w:szCs w:val="20"/>
        </w:rPr>
        <w:t>fijiensis</w:t>
      </w:r>
      <w:proofErr w:type="spellEnd"/>
      <w:r w:rsidRPr="002252AC">
        <w:rPr>
          <w:rStyle w:val="fontstyle01"/>
          <w:rFonts w:ascii="Arial" w:hAnsi="Arial" w:cs="Arial"/>
          <w:sz w:val="20"/>
          <w:szCs w:val="20"/>
        </w:rPr>
        <w:t xml:space="preserve">. Even though the essential oil of </w:t>
      </w:r>
      <w:proofErr w:type="spellStart"/>
      <w:r w:rsidRPr="002252AC">
        <w:rPr>
          <w:rStyle w:val="fontstyle01"/>
          <w:rFonts w:ascii="Arial" w:hAnsi="Arial" w:cs="Arial"/>
          <w:i/>
          <w:iCs/>
          <w:sz w:val="20"/>
          <w:szCs w:val="20"/>
        </w:rPr>
        <w:t>Lippia</w:t>
      </w:r>
      <w:proofErr w:type="spellEnd"/>
      <w:r w:rsidRPr="002252AC">
        <w:rPr>
          <w:rStyle w:val="fontstyle01"/>
          <w:rFonts w:ascii="Arial" w:hAnsi="Arial" w:cs="Arial"/>
          <w:i/>
          <w:iCs/>
          <w:sz w:val="20"/>
          <w:szCs w:val="20"/>
        </w:rPr>
        <w:t xml:space="preserve"> multiflora</w:t>
      </w:r>
      <w:r w:rsidRPr="002252AC">
        <w:rPr>
          <w:rStyle w:val="fontstyle01"/>
          <w:rFonts w:ascii="Arial" w:hAnsi="Arial" w:cs="Arial"/>
          <w:sz w:val="20"/>
          <w:szCs w:val="20"/>
        </w:rPr>
        <w:t xml:space="preserve"> appeared to have inhibitory effects on the three life stages of the fungus, its efficacy was moderate. Mancozeb was very effective starting at the minimum dose (5000 ppm).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was very effective from the medium dose (1000 ppm), and that of </w:t>
      </w:r>
      <w:proofErr w:type="spellStart"/>
      <w:r w:rsidRPr="002252AC">
        <w:rPr>
          <w:rStyle w:val="fontstyle01"/>
          <w:rFonts w:ascii="Arial" w:hAnsi="Arial" w:cs="Arial"/>
          <w:i/>
          <w:iCs/>
          <w:sz w:val="20"/>
          <w:szCs w:val="20"/>
        </w:rPr>
        <w:t>Lippia</w:t>
      </w:r>
      <w:proofErr w:type="spellEnd"/>
      <w:r w:rsidRPr="002252AC">
        <w:rPr>
          <w:rStyle w:val="fontstyle01"/>
          <w:rFonts w:ascii="Arial" w:hAnsi="Arial" w:cs="Arial"/>
          <w:i/>
          <w:iCs/>
          <w:sz w:val="20"/>
          <w:szCs w:val="20"/>
        </w:rPr>
        <w:t xml:space="preserve"> multiflora</w:t>
      </w:r>
      <w:r w:rsidRPr="002252AC">
        <w:rPr>
          <w:rStyle w:val="fontstyle01"/>
          <w:rFonts w:ascii="Arial" w:hAnsi="Arial" w:cs="Arial"/>
          <w:sz w:val="20"/>
          <w:szCs w:val="20"/>
        </w:rPr>
        <w:t xml:space="preserve"> at the high dose (4000 ppm). The copper hydroxide-based fungicide was effective at the high dose of 12500 ppm. Based on these results, Mancozeb and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proved to be the most effective. The lower dose of Mancozeb (5000 ppm) and the medium dose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(1000 ppm) were the most efficient. The study results are interesting as they highlight the possibility of using the essential oil of </w:t>
      </w:r>
      <w:r w:rsidRPr="002252AC">
        <w:rPr>
          <w:rStyle w:val="fontstyle01"/>
          <w:rFonts w:ascii="Arial" w:hAnsi="Arial" w:cs="Arial"/>
          <w:i/>
          <w:iCs/>
          <w:sz w:val="20"/>
          <w:szCs w:val="20"/>
        </w:rPr>
        <w:t xml:space="preserve">O. </w:t>
      </w:r>
      <w:proofErr w:type="spellStart"/>
      <w:r w:rsidRPr="002252AC">
        <w:rPr>
          <w:rStyle w:val="fontstyle01"/>
          <w:rFonts w:ascii="Arial" w:hAnsi="Arial" w:cs="Arial"/>
          <w:i/>
          <w:iCs/>
          <w:sz w:val="20"/>
          <w:szCs w:val="20"/>
        </w:rPr>
        <w:t>gratissimum</w:t>
      </w:r>
      <w:proofErr w:type="spellEnd"/>
      <w:r w:rsidRPr="002252AC">
        <w:rPr>
          <w:rStyle w:val="fontstyle01"/>
          <w:rFonts w:ascii="Arial" w:hAnsi="Arial" w:cs="Arial"/>
          <w:sz w:val="20"/>
          <w:szCs w:val="20"/>
        </w:rPr>
        <w:t xml:space="preserve"> as a biological control method or within an integrated pest management system with Mancozeb. However, further field studies are necessary to evaluate its effectiveness against black Sigatoka disease of banana plants.</w:t>
      </w:r>
    </w:p>
    <w:p w14:paraId="6B0E4160" w14:textId="77777777" w:rsidR="00303D7E" w:rsidRPr="002252AC" w:rsidRDefault="00303D7E" w:rsidP="00303D7E">
      <w:pPr>
        <w:spacing w:line="276" w:lineRule="auto"/>
        <w:jc w:val="both"/>
        <w:rPr>
          <w:rStyle w:val="fontstyle01"/>
          <w:rFonts w:ascii="Arial" w:hAnsi="Arial" w:cs="Arial"/>
          <w:sz w:val="20"/>
          <w:szCs w:val="20"/>
        </w:rPr>
      </w:pPr>
    </w:p>
    <w:p w14:paraId="5523851C" w14:textId="77777777" w:rsidR="0048629F" w:rsidRPr="0048629F" w:rsidRDefault="0048629F" w:rsidP="0048629F">
      <w:pPr>
        <w:spacing w:line="276" w:lineRule="auto"/>
        <w:rPr>
          <w:rFonts w:ascii="Arial" w:hAnsi="Arial" w:cs="Arial"/>
          <w:b/>
          <w:bCs/>
        </w:rPr>
      </w:pPr>
      <w:r w:rsidRPr="0048629F">
        <w:rPr>
          <w:rFonts w:ascii="Arial" w:hAnsi="Arial" w:cs="Arial"/>
          <w:b/>
          <w:bCs/>
        </w:rPr>
        <w:t xml:space="preserve">Acknowledgements:  </w:t>
      </w:r>
    </w:p>
    <w:p w14:paraId="4EB65D03" w14:textId="77777777" w:rsidR="0048629F" w:rsidRPr="0048629F" w:rsidRDefault="0048629F" w:rsidP="0048629F">
      <w:pPr>
        <w:rPr>
          <w:rFonts w:ascii="Arial" w:hAnsi="Arial" w:cs="Arial"/>
          <w:lang w:eastAsia="fr-FR"/>
        </w:rPr>
      </w:pPr>
      <w:r w:rsidRPr="0048629F">
        <w:rPr>
          <w:rFonts w:ascii="Arial" w:hAnsi="Arial" w:cs="Arial"/>
        </w:rPr>
        <w:t xml:space="preserve">Our sincere thanks to the team of the Plant Pathology Laboratory at the Institute of Environment and Agricultural Research of </w:t>
      </w:r>
      <w:proofErr w:type="spellStart"/>
      <w:r w:rsidRPr="0048629F">
        <w:rPr>
          <w:rFonts w:ascii="Arial" w:hAnsi="Arial" w:cs="Arial"/>
        </w:rPr>
        <w:t>Farako</w:t>
      </w:r>
      <w:proofErr w:type="spellEnd"/>
      <w:r w:rsidRPr="0048629F">
        <w:rPr>
          <w:rFonts w:ascii="Arial" w:hAnsi="Arial" w:cs="Arial"/>
        </w:rPr>
        <w:t xml:space="preserve"> </w:t>
      </w:r>
      <w:proofErr w:type="spellStart"/>
      <w:r w:rsidRPr="0048629F">
        <w:rPr>
          <w:rFonts w:ascii="Arial" w:hAnsi="Arial" w:cs="Arial"/>
        </w:rPr>
        <w:t>Bâ</w:t>
      </w:r>
      <w:proofErr w:type="spellEnd"/>
      <w:r w:rsidRPr="0048629F">
        <w:rPr>
          <w:rFonts w:ascii="Arial" w:hAnsi="Arial" w:cs="Arial"/>
        </w:rPr>
        <w:t>.</w:t>
      </w:r>
      <w:r w:rsidRPr="0048629F">
        <w:rPr>
          <w:rFonts w:ascii="Arial" w:hAnsi="Arial" w:cs="Arial"/>
          <w:lang w:eastAsia="fr-FR"/>
        </w:rPr>
        <w:t xml:space="preserve"> </w:t>
      </w:r>
    </w:p>
    <w:p w14:paraId="451B0DC3" w14:textId="77777777" w:rsidR="0048629F" w:rsidRPr="0048629F" w:rsidRDefault="0048629F" w:rsidP="0048629F">
      <w:pPr>
        <w:rPr>
          <w:rFonts w:ascii="Arial" w:hAnsi="Arial" w:cs="Arial"/>
          <w:lang w:eastAsia="fr-FR"/>
        </w:rPr>
      </w:pPr>
    </w:p>
    <w:p w14:paraId="0D45679D" w14:textId="77777777" w:rsidR="00371FB6" w:rsidRDefault="00371FB6" w:rsidP="00441B6F">
      <w:pPr>
        <w:pStyle w:val="ReferHead"/>
        <w:spacing w:after="0"/>
        <w:jc w:val="both"/>
        <w:rPr>
          <w:rFonts w:ascii="Arial" w:hAnsi="Arial" w:cs="Arial"/>
          <w:bCs/>
        </w:rPr>
      </w:pPr>
      <w:bookmarkStart w:id="9" w:name="_GoBack"/>
      <w:bookmarkEnd w:id="9"/>
    </w:p>
    <w:p w14:paraId="1FBC9BBC" w14:textId="77777777" w:rsidR="0048629F" w:rsidRDefault="0048629F" w:rsidP="00441B6F">
      <w:pPr>
        <w:pStyle w:val="ReferHead"/>
        <w:spacing w:after="0"/>
        <w:jc w:val="both"/>
        <w:rPr>
          <w:rFonts w:ascii="Arial" w:hAnsi="Arial" w:cs="Arial"/>
          <w:bCs/>
        </w:rPr>
      </w:pPr>
    </w:p>
    <w:p w14:paraId="161BBA5A" w14:textId="77777777" w:rsidR="0048629F" w:rsidRDefault="0048629F" w:rsidP="00441B6F">
      <w:pPr>
        <w:pStyle w:val="ReferHead"/>
        <w:spacing w:after="0"/>
        <w:jc w:val="both"/>
        <w:rPr>
          <w:rFonts w:ascii="Arial" w:hAnsi="Arial" w:cs="Arial"/>
          <w:bCs/>
        </w:rPr>
      </w:pPr>
    </w:p>
    <w:p w14:paraId="019327DC" w14:textId="77777777" w:rsidR="00860000" w:rsidRDefault="00860000" w:rsidP="00441B6F">
      <w:pPr>
        <w:pStyle w:val="ReferHead"/>
        <w:spacing w:after="0"/>
        <w:jc w:val="both"/>
        <w:rPr>
          <w:rFonts w:ascii="Arial" w:hAnsi="Arial" w:cs="Arial"/>
        </w:rPr>
      </w:pPr>
    </w:p>
    <w:p w14:paraId="056CD49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5A868BF"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Aguilar-Barragan A., García-Torres A E., Odriozola-Casas Olga., Macedo-Raygoza G, Ogura T., Manzo-Sánchez G., James C. A., Islas-Flores I., Beltrán-García J. M. 2014. Chemical management in fungicide sensitivity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xml:space="preserve"> collected from banana fields in Mexico, Brazilian Journal of Microbiology 45, 1, 359–364. 2014. Copyright © 2014, </w:t>
      </w:r>
      <w:proofErr w:type="spellStart"/>
      <w:r w:rsidRPr="00D867A0">
        <w:rPr>
          <w:rFonts w:ascii="Arial" w:hAnsi="Arial" w:cs="Arial"/>
          <w:i/>
          <w:iCs/>
        </w:rPr>
        <w:t>Sociedade</w:t>
      </w:r>
      <w:proofErr w:type="spellEnd"/>
      <w:r w:rsidRPr="00D867A0">
        <w:rPr>
          <w:rFonts w:ascii="Arial" w:hAnsi="Arial" w:cs="Arial"/>
          <w:i/>
          <w:iCs/>
        </w:rPr>
        <w:t xml:space="preserve"> </w:t>
      </w:r>
      <w:proofErr w:type="spellStart"/>
      <w:r w:rsidRPr="00D867A0">
        <w:rPr>
          <w:rFonts w:ascii="Arial" w:hAnsi="Arial" w:cs="Arial"/>
          <w:i/>
          <w:iCs/>
        </w:rPr>
        <w:t>Brasileira</w:t>
      </w:r>
      <w:proofErr w:type="spellEnd"/>
      <w:r w:rsidRPr="00D867A0">
        <w:rPr>
          <w:rFonts w:ascii="Arial" w:hAnsi="Arial" w:cs="Arial"/>
          <w:i/>
          <w:iCs/>
        </w:rPr>
        <w:t xml:space="preserve"> de </w:t>
      </w:r>
      <w:proofErr w:type="spellStart"/>
      <w:r w:rsidRPr="00D867A0">
        <w:rPr>
          <w:rFonts w:ascii="Arial" w:hAnsi="Arial" w:cs="Arial"/>
          <w:i/>
          <w:iCs/>
        </w:rPr>
        <w:t>Microbiologia</w:t>
      </w:r>
      <w:proofErr w:type="spellEnd"/>
      <w:r w:rsidRPr="00D867A0">
        <w:rPr>
          <w:rFonts w:ascii="Arial" w:hAnsi="Arial" w:cs="Arial"/>
          <w:i/>
          <w:iCs/>
        </w:rPr>
        <w:t xml:space="preserve"> ISSN 1678-4405.</w:t>
      </w:r>
    </w:p>
    <w:p w14:paraId="18C736AA" w14:textId="77777777" w:rsidR="00D867A0" w:rsidRPr="00D867A0" w:rsidRDefault="00D867A0" w:rsidP="00D867A0">
      <w:pPr>
        <w:pStyle w:val="Affiliation"/>
        <w:jc w:val="both"/>
        <w:rPr>
          <w:rFonts w:ascii="Arial" w:hAnsi="Arial" w:cs="Arial"/>
          <w:i/>
          <w:iCs/>
        </w:rPr>
      </w:pPr>
    </w:p>
    <w:p w14:paraId="2D88D1FB" w14:textId="77777777" w:rsidR="00D867A0" w:rsidRPr="00D867A0" w:rsidRDefault="00D867A0" w:rsidP="00D867A0">
      <w:pPr>
        <w:pStyle w:val="Affiliation"/>
        <w:jc w:val="both"/>
        <w:rPr>
          <w:rFonts w:ascii="Arial" w:hAnsi="Arial" w:cs="Arial"/>
          <w:i/>
          <w:iCs/>
        </w:rPr>
      </w:pPr>
      <w:r w:rsidRPr="00D867A0">
        <w:rPr>
          <w:rFonts w:ascii="Arial" w:hAnsi="Arial" w:cs="Arial"/>
          <w:i/>
          <w:iCs/>
        </w:rPr>
        <w:lastRenderedPageBreak/>
        <w:t xml:space="preserve">Berber F., Ouazzani T., </w:t>
      </w:r>
      <w:proofErr w:type="spellStart"/>
      <w:r w:rsidRPr="00D867A0">
        <w:rPr>
          <w:rFonts w:ascii="Arial" w:hAnsi="Arial" w:cs="Arial"/>
          <w:i/>
          <w:iCs/>
        </w:rPr>
        <w:t>Douira</w:t>
      </w:r>
      <w:proofErr w:type="spellEnd"/>
      <w:r w:rsidRPr="00D867A0">
        <w:rPr>
          <w:rFonts w:ascii="Arial" w:hAnsi="Arial" w:cs="Arial"/>
          <w:i/>
          <w:iCs/>
        </w:rPr>
        <w:t xml:space="preserve"> A. 2006. In vitro and in vivo effects of some fungicides on different species of dematiaceous fungi pathogenic to Sorghum bicolor (L.) </w:t>
      </w:r>
      <w:proofErr w:type="spellStart"/>
      <w:r w:rsidRPr="00D867A0">
        <w:rPr>
          <w:rFonts w:ascii="Arial" w:hAnsi="Arial" w:cs="Arial"/>
          <w:i/>
          <w:iCs/>
        </w:rPr>
        <w:t>Moench</w:t>
      </w:r>
      <w:proofErr w:type="spellEnd"/>
      <w:r w:rsidRPr="00D867A0">
        <w:rPr>
          <w:rFonts w:ascii="Arial" w:hAnsi="Arial" w:cs="Arial"/>
          <w:i/>
          <w:iCs/>
        </w:rPr>
        <w:t xml:space="preserve">, </w:t>
      </w:r>
      <w:proofErr w:type="gramStart"/>
      <w:r w:rsidRPr="00D867A0">
        <w:rPr>
          <w:rFonts w:ascii="Arial" w:hAnsi="Arial" w:cs="Arial"/>
          <w:i/>
          <w:iCs/>
        </w:rPr>
        <w:t>Bulletin</w:t>
      </w:r>
      <w:proofErr w:type="gramEnd"/>
      <w:r w:rsidRPr="00D867A0">
        <w:rPr>
          <w:rFonts w:ascii="Arial" w:hAnsi="Arial" w:cs="Arial"/>
          <w:i/>
          <w:iCs/>
        </w:rPr>
        <w:t xml:space="preserve"> de </w:t>
      </w:r>
      <w:proofErr w:type="spellStart"/>
      <w:r w:rsidRPr="00D867A0">
        <w:rPr>
          <w:rFonts w:ascii="Arial" w:hAnsi="Arial" w:cs="Arial"/>
          <w:i/>
          <w:iCs/>
        </w:rPr>
        <w:t>l’Institut</w:t>
      </w:r>
      <w:proofErr w:type="spellEnd"/>
      <w:r w:rsidRPr="00D867A0">
        <w:rPr>
          <w:rFonts w:ascii="Arial" w:hAnsi="Arial" w:cs="Arial"/>
          <w:i/>
          <w:iCs/>
        </w:rPr>
        <w:t xml:space="preserve"> </w:t>
      </w:r>
      <w:proofErr w:type="spellStart"/>
      <w:r w:rsidRPr="00D867A0">
        <w:rPr>
          <w:rFonts w:ascii="Arial" w:hAnsi="Arial" w:cs="Arial"/>
          <w:i/>
          <w:iCs/>
        </w:rPr>
        <w:t>Scientifique</w:t>
      </w:r>
      <w:proofErr w:type="spellEnd"/>
      <w:r w:rsidRPr="00D867A0">
        <w:rPr>
          <w:rFonts w:ascii="Arial" w:hAnsi="Arial" w:cs="Arial"/>
          <w:i/>
          <w:iCs/>
        </w:rPr>
        <w:t>, Rabat, section Sciences de la Vie, 2008, n°30, 5-11.</w:t>
      </w:r>
    </w:p>
    <w:p w14:paraId="74EC42D4" w14:textId="77777777" w:rsidR="00D867A0" w:rsidRPr="00D867A0" w:rsidRDefault="00D867A0" w:rsidP="00D867A0">
      <w:pPr>
        <w:pStyle w:val="Affiliation"/>
        <w:jc w:val="both"/>
        <w:rPr>
          <w:rFonts w:ascii="Arial" w:hAnsi="Arial" w:cs="Arial"/>
          <w:i/>
          <w:iCs/>
        </w:rPr>
      </w:pPr>
    </w:p>
    <w:p w14:paraId="26CCA525"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Essis B. S., Kouadio D. L. M., Coulibaly K., Traoré S., Dibi K. E. B. 2023. Evaluation of the effectiveness of the main fungicides used against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xml:space="preserve"> of banana plantations in Côte d’Ivoire. World Journal of Advanced Research and Reviews, 2023, 18(01), 1080–1086 </w:t>
      </w:r>
      <w:proofErr w:type="spellStart"/>
      <w:r w:rsidRPr="00D867A0">
        <w:rPr>
          <w:rFonts w:ascii="Arial" w:hAnsi="Arial" w:cs="Arial"/>
          <w:i/>
          <w:iCs/>
        </w:rPr>
        <w:t>doi</w:t>
      </w:r>
      <w:proofErr w:type="spellEnd"/>
      <w:r w:rsidRPr="00D867A0">
        <w:rPr>
          <w:rFonts w:ascii="Arial" w:hAnsi="Arial" w:cs="Arial"/>
          <w:i/>
          <w:iCs/>
        </w:rPr>
        <w:t>: 10.30574/wjarr.2023.18.1.0726 Volume 18 - Issue 1 (April 2023). https://wjarr.com/ArchiveIssue-2023-Vol18-Issue1</w:t>
      </w:r>
    </w:p>
    <w:p w14:paraId="13E84619" w14:textId="77777777" w:rsidR="00D867A0" w:rsidRPr="00D867A0" w:rsidRDefault="00D867A0" w:rsidP="00D867A0">
      <w:pPr>
        <w:pStyle w:val="Affiliation"/>
        <w:jc w:val="both"/>
        <w:rPr>
          <w:rFonts w:ascii="Arial" w:hAnsi="Arial" w:cs="Arial"/>
          <w:i/>
          <w:iCs/>
        </w:rPr>
      </w:pPr>
    </w:p>
    <w:p w14:paraId="3B421B06" w14:textId="3EBFFE5E" w:rsidR="00D867A0" w:rsidRPr="00D867A0" w:rsidRDefault="00D867A0" w:rsidP="00D867A0">
      <w:pPr>
        <w:pStyle w:val="Affiliation"/>
        <w:jc w:val="both"/>
        <w:rPr>
          <w:rFonts w:ascii="Arial" w:hAnsi="Arial" w:cs="Arial"/>
          <w:i/>
          <w:iCs/>
        </w:rPr>
      </w:pPr>
      <w:r w:rsidRPr="00D867A0">
        <w:rPr>
          <w:rFonts w:ascii="Arial" w:hAnsi="Arial" w:cs="Arial"/>
          <w:i/>
          <w:iCs/>
        </w:rPr>
        <w:t xml:space="preserve">Camara B., Koné D., Kanko C. 2010. Antifungal activity of the essential oils of </w:t>
      </w:r>
      <w:proofErr w:type="spellStart"/>
      <w:r w:rsidRPr="00D867A0">
        <w:rPr>
          <w:rFonts w:ascii="Arial" w:hAnsi="Arial" w:cs="Arial"/>
          <w:i/>
          <w:iCs/>
        </w:rPr>
        <w:t>Ocimum</w:t>
      </w:r>
      <w:proofErr w:type="spellEnd"/>
      <w:r w:rsidRPr="00D867A0">
        <w:rPr>
          <w:rFonts w:ascii="Arial" w:hAnsi="Arial" w:cs="Arial"/>
          <w:i/>
          <w:iCs/>
        </w:rPr>
        <w:t xml:space="preserve"> </w:t>
      </w:r>
      <w:proofErr w:type="spellStart"/>
      <w:r w:rsidRPr="00D867A0">
        <w:rPr>
          <w:rFonts w:ascii="Arial" w:hAnsi="Arial" w:cs="Arial"/>
          <w:i/>
          <w:iCs/>
        </w:rPr>
        <w:t>gratissimum</w:t>
      </w:r>
      <w:proofErr w:type="spellEnd"/>
      <w:r w:rsidRPr="00D867A0">
        <w:rPr>
          <w:rFonts w:ascii="Arial" w:hAnsi="Arial" w:cs="Arial"/>
          <w:i/>
          <w:iCs/>
        </w:rPr>
        <w:t xml:space="preserve"> L., </w:t>
      </w:r>
      <w:proofErr w:type="spellStart"/>
      <w:r w:rsidRPr="00D867A0">
        <w:rPr>
          <w:rFonts w:ascii="Arial" w:hAnsi="Arial" w:cs="Arial"/>
          <w:i/>
          <w:iCs/>
        </w:rPr>
        <w:t>Monodora</w:t>
      </w:r>
      <w:proofErr w:type="spellEnd"/>
      <w:r w:rsidRPr="00D867A0">
        <w:rPr>
          <w:rFonts w:ascii="Arial" w:hAnsi="Arial" w:cs="Arial"/>
          <w:i/>
          <w:iCs/>
        </w:rPr>
        <w:t xml:space="preserve"> </w:t>
      </w:r>
      <w:proofErr w:type="spellStart"/>
      <w:r w:rsidRPr="00D867A0">
        <w:rPr>
          <w:rFonts w:ascii="Arial" w:hAnsi="Arial" w:cs="Arial"/>
          <w:i/>
          <w:iCs/>
        </w:rPr>
        <w:t>myristica</w:t>
      </w:r>
      <w:proofErr w:type="spellEnd"/>
      <w:r w:rsidRPr="00D867A0">
        <w:rPr>
          <w:rFonts w:ascii="Arial" w:hAnsi="Arial" w:cs="Arial"/>
          <w:i/>
          <w:iCs/>
        </w:rPr>
        <w:t xml:space="preserve"> (</w:t>
      </w:r>
      <w:proofErr w:type="spellStart"/>
      <w:r w:rsidRPr="00D867A0">
        <w:rPr>
          <w:rFonts w:ascii="Arial" w:hAnsi="Arial" w:cs="Arial"/>
          <w:i/>
          <w:iCs/>
        </w:rPr>
        <w:t>Gaaertn</w:t>
      </w:r>
      <w:proofErr w:type="spellEnd"/>
      <w:r w:rsidRPr="00D867A0">
        <w:rPr>
          <w:rFonts w:ascii="Arial" w:hAnsi="Arial" w:cs="Arial"/>
          <w:i/>
          <w:iCs/>
        </w:rPr>
        <w:t xml:space="preserve">) </w:t>
      </w:r>
      <w:proofErr w:type="spellStart"/>
      <w:r w:rsidRPr="00D867A0">
        <w:rPr>
          <w:rFonts w:ascii="Arial" w:hAnsi="Arial" w:cs="Arial"/>
          <w:i/>
          <w:iCs/>
        </w:rPr>
        <w:t>Dunal</w:t>
      </w:r>
      <w:proofErr w:type="spellEnd"/>
      <w:r w:rsidRPr="00D867A0">
        <w:rPr>
          <w:rFonts w:ascii="Arial" w:hAnsi="Arial" w:cs="Arial"/>
          <w:i/>
          <w:iCs/>
        </w:rPr>
        <w:t xml:space="preserve"> and of two synthesizer products (Impulse® and </w:t>
      </w:r>
      <w:proofErr w:type="spellStart"/>
      <w:r w:rsidRPr="00D867A0">
        <w:rPr>
          <w:rFonts w:ascii="Arial" w:hAnsi="Arial" w:cs="Arial"/>
          <w:i/>
          <w:iCs/>
        </w:rPr>
        <w:t>Folicur</w:t>
      </w:r>
      <w:proofErr w:type="spellEnd"/>
      <w:r w:rsidRPr="00D867A0">
        <w:rPr>
          <w:rFonts w:ascii="Arial" w:hAnsi="Arial" w:cs="Arial"/>
          <w:i/>
          <w:iCs/>
        </w:rPr>
        <w:t xml:space="preserve">) on mycelial growth and in vitro spore production of </w:t>
      </w:r>
      <w:proofErr w:type="spellStart"/>
      <w:r w:rsidRPr="00D867A0">
        <w:rPr>
          <w:rFonts w:ascii="Arial" w:hAnsi="Arial" w:cs="Arial"/>
          <w:i/>
          <w:iCs/>
        </w:rPr>
        <w:t>Deightoniella</w:t>
      </w:r>
      <w:proofErr w:type="spellEnd"/>
      <w:r w:rsidRPr="00D867A0">
        <w:rPr>
          <w:rFonts w:ascii="Arial" w:hAnsi="Arial" w:cs="Arial"/>
          <w:i/>
          <w:iCs/>
        </w:rPr>
        <w:t xml:space="preserve"> </w:t>
      </w:r>
      <w:proofErr w:type="spellStart"/>
      <w:r w:rsidRPr="00D867A0">
        <w:rPr>
          <w:rFonts w:ascii="Arial" w:hAnsi="Arial" w:cs="Arial"/>
          <w:i/>
          <w:iCs/>
        </w:rPr>
        <w:t>torulosa</w:t>
      </w:r>
      <w:proofErr w:type="spellEnd"/>
      <w:r w:rsidRPr="00D867A0">
        <w:rPr>
          <w:rFonts w:ascii="Arial" w:hAnsi="Arial" w:cs="Arial"/>
          <w:i/>
          <w:iCs/>
        </w:rPr>
        <w:t xml:space="preserve"> (Syd.). Sci Technol 9: 187–201p.</w:t>
      </w:r>
    </w:p>
    <w:p w14:paraId="52C5CC8D"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Carlier J., De </w:t>
      </w:r>
      <w:proofErr w:type="spellStart"/>
      <w:r w:rsidRPr="00D867A0">
        <w:rPr>
          <w:rFonts w:ascii="Arial" w:hAnsi="Arial" w:cs="Arial"/>
          <w:i/>
          <w:iCs/>
        </w:rPr>
        <w:t>Waele</w:t>
      </w:r>
      <w:proofErr w:type="spellEnd"/>
      <w:r w:rsidRPr="00D867A0">
        <w:rPr>
          <w:rFonts w:ascii="Arial" w:hAnsi="Arial" w:cs="Arial"/>
          <w:i/>
          <w:iCs/>
        </w:rPr>
        <w:t xml:space="preserve"> D., </w:t>
      </w:r>
      <w:proofErr w:type="spellStart"/>
      <w:r w:rsidRPr="00D867A0">
        <w:rPr>
          <w:rFonts w:ascii="Arial" w:hAnsi="Arial" w:cs="Arial"/>
          <w:i/>
          <w:iCs/>
        </w:rPr>
        <w:t>Escalant</w:t>
      </w:r>
      <w:proofErr w:type="spellEnd"/>
      <w:r w:rsidRPr="00D867A0">
        <w:rPr>
          <w:rFonts w:ascii="Arial" w:hAnsi="Arial" w:cs="Arial"/>
          <w:i/>
          <w:iCs/>
        </w:rPr>
        <w:t xml:space="preserve"> J.V. 2003. Global evaluation of the resistance of banana trees to Fusarium wilt, foliar diseases caused by </w:t>
      </w:r>
      <w:proofErr w:type="spellStart"/>
      <w:r w:rsidRPr="00D867A0">
        <w:rPr>
          <w:rFonts w:ascii="Arial" w:hAnsi="Arial" w:cs="Arial"/>
          <w:i/>
          <w:iCs/>
        </w:rPr>
        <w:t>Mycosphaerella</w:t>
      </w:r>
      <w:proofErr w:type="spellEnd"/>
      <w:r w:rsidRPr="00D867A0">
        <w:rPr>
          <w:rFonts w:ascii="Arial" w:hAnsi="Arial" w:cs="Arial"/>
          <w:i/>
          <w:iCs/>
        </w:rPr>
        <w:t xml:space="preserve"> spp., and nematodes. International Network for the Improvement of Banana and Plantain, Montpellier, France. INIBAP. 62 p.</w:t>
      </w:r>
    </w:p>
    <w:p w14:paraId="09450E99" w14:textId="77777777" w:rsidR="00D867A0" w:rsidRPr="00D867A0" w:rsidRDefault="00D867A0" w:rsidP="00D867A0">
      <w:pPr>
        <w:pStyle w:val="Affiliation"/>
        <w:jc w:val="both"/>
        <w:rPr>
          <w:rFonts w:ascii="Arial" w:hAnsi="Arial" w:cs="Arial"/>
          <w:i/>
          <w:iCs/>
        </w:rPr>
      </w:pPr>
    </w:p>
    <w:p w14:paraId="394DC119"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Chillet</w:t>
      </w:r>
      <w:proofErr w:type="spellEnd"/>
      <w:r w:rsidRPr="00D867A0">
        <w:rPr>
          <w:rFonts w:ascii="Arial" w:hAnsi="Arial" w:cs="Arial"/>
          <w:i/>
          <w:iCs/>
        </w:rPr>
        <w:t xml:space="preserve"> M., Abadie C., Hubert O., Chilin-Charles Y., De Lapeyre De Bellaire. 2009. Sigatoka disease reduces the green life of bananas. Crop Protection 28(1): 41-45. https://doi.org/10.1016/j.cropro.2008.08.008.</w:t>
      </w:r>
    </w:p>
    <w:p w14:paraId="76F5BACA" w14:textId="77777777" w:rsidR="00D867A0" w:rsidRPr="00D867A0" w:rsidRDefault="00D867A0" w:rsidP="00D867A0">
      <w:pPr>
        <w:pStyle w:val="Affiliation"/>
        <w:jc w:val="both"/>
        <w:rPr>
          <w:rFonts w:ascii="Arial" w:hAnsi="Arial" w:cs="Arial"/>
          <w:i/>
          <w:iCs/>
        </w:rPr>
      </w:pPr>
    </w:p>
    <w:p w14:paraId="4C0BC800"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Doumbouya M., Abo K., </w:t>
      </w:r>
      <w:proofErr w:type="spellStart"/>
      <w:r w:rsidRPr="00D867A0">
        <w:rPr>
          <w:rFonts w:ascii="Arial" w:hAnsi="Arial" w:cs="Arial"/>
          <w:i/>
          <w:iCs/>
        </w:rPr>
        <w:t>Lepengue</w:t>
      </w:r>
      <w:proofErr w:type="spellEnd"/>
      <w:r w:rsidRPr="00D867A0">
        <w:rPr>
          <w:rFonts w:ascii="Arial" w:hAnsi="Arial" w:cs="Arial"/>
          <w:i/>
          <w:iCs/>
        </w:rPr>
        <w:t xml:space="preserve"> A.N., </w:t>
      </w:r>
      <w:proofErr w:type="spellStart"/>
      <w:r w:rsidRPr="00D867A0">
        <w:rPr>
          <w:rFonts w:ascii="Arial" w:hAnsi="Arial" w:cs="Arial"/>
          <w:i/>
          <w:iCs/>
        </w:rPr>
        <w:t>Camara</w:t>
      </w:r>
      <w:proofErr w:type="spellEnd"/>
      <w:r w:rsidRPr="00D867A0">
        <w:rPr>
          <w:rFonts w:ascii="Arial" w:hAnsi="Arial" w:cs="Arial"/>
          <w:i/>
          <w:iCs/>
        </w:rPr>
        <w:t xml:space="preserve"> B., Kanko K., Aidara D., Koné D. 2012. Comparative in vitro activities of two synthetic fungicides and two essential oils on soilborne fungi of vegetable crops in Côte d'Ivoire. Journal of Applied Biosciences 50: 3520–3532 ISSN 1997–5902.</w:t>
      </w:r>
    </w:p>
    <w:p w14:paraId="7B048223" w14:textId="77777777" w:rsidR="00D867A0" w:rsidRPr="00D867A0" w:rsidRDefault="00D867A0" w:rsidP="00D867A0">
      <w:pPr>
        <w:pStyle w:val="Affiliation"/>
        <w:jc w:val="both"/>
        <w:rPr>
          <w:rFonts w:ascii="Arial" w:hAnsi="Arial" w:cs="Arial"/>
          <w:i/>
          <w:iCs/>
        </w:rPr>
      </w:pPr>
    </w:p>
    <w:p w14:paraId="77016642"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Doumbouya M., Kouame K.G., Brou K.G., N’Guessan A.C., Kone D., </w:t>
      </w:r>
      <w:proofErr w:type="spellStart"/>
      <w:r w:rsidRPr="00D867A0">
        <w:rPr>
          <w:rFonts w:ascii="Arial" w:hAnsi="Arial" w:cs="Arial"/>
          <w:i/>
          <w:iCs/>
        </w:rPr>
        <w:t>Tiépé</w:t>
      </w:r>
      <w:proofErr w:type="spellEnd"/>
      <w:r w:rsidRPr="00D867A0">
        <w:rPr>
          <w:rFonts w:ascii="Arial" w:hAnsi="Arial" w:cs="Arial"/>
          <w:i/>
          <w:iCs/>
        </w:rPr>
        <w:t xml:space="preserve"> A., Koné D. 2021. Efficacy of four essential oils on Fusarium head blight caused by Fusarium </w:t>
      </w:r>
      <w:proofErr w:type="spellStart"/>
      <w:r w:rsidRPr="00D867A0">
        <w:rPr>
          <w:rFonts w:ascii="Arial" w:hAnsi="Arial" w:cs="Arial"/>
          <w:i/>
          <w:iCs/>
        </w:rPr>
        <w:t>oxysporum</w:t>
      </w:r>
      <w:proofErr w:type="spellEnd"/>
      <w:r w:rsidRPr="00D867A0">
        <w:rPr>
          <w:rFonts w:ascii="Arial" w:hAnsi="Arial" w:cs="Arial"/>
          <w:i/>
          <w:iCs/>
        </w:rPr>
        <w:t xml:space="preserve"> f. sp. </w:t>
      </w:r>
      <w:proofErr w:type="spellStart"/>
      <w:r w:rsidRPr="00D867A0">
        <w:rPr>
          <w:rFonts w:ascii="Arial" w:hAnsi="Arial" w:cs="Arial"/>
          <w:i/>
          <w:iCs/>
        </w:rPr>
        <w:t>radicis</w:t>
      </w:r>
      <w:proofErr w:type="spellEnd"/>
      <w:r w:rsidRPr="00D867A0">
        <w:rPr>
          <w:rFonts w:ascii="Arial" w:hAnsi="Arial" w:cs="Arial"/>
          <w:i/>
          <w:iCs/>
        </w:rPr>
        <w:t xml:space="preserve"> </w:t>
      </w:r>
      <w:proofErr w:type="spellStart"/>
      <w:r w:rsidRPr="00D867A0">
        <w:rPr>
          <w:rFonts w:ascii="Arial" w:hAnsi="Arial" w:cs="Arial"/>
          <w:i/>
          <w:iCs/>
        </w:rPr>
        <w:t>lycopersici</w:t>
      </w:r>
      <w:proofErr w:type="spellEnd"/>
      <w:r w:rsidRPr="00D867A0">
        <w:rPr>
          <w:rFonts w:ascii="Arial" w:hAnsi="Arial" w:cs="Arial"/>
          <w:i/>
          <w:iCs/>
        </w:rPr>
        <w:t xml:space="preserve"> (FORL), a soilborne fungal pathogen of tomato grown under cover. Vol. 9, No. 11, 13 p. International Journal of Advanced Research.</w:t>
      </w:r>
    </w:p>
    <w:p w14:paraId="0BBCE166" w14:textId="77777777" w:rsidR="00D867A0" w:rsidRPr="00D867A0" w:rsidRDefault="00D867A0" w:rsidP="00D867A0">
      <w:pPr>
        <w:pStyle w:val="Affiliation"/>
        <w:jc w:val="both"/>
        <w:rPr>
          <w:rFonts w:ascii="Arial" w:hAnsi="Arial" w:cs="Arial"/>
          <w:i/>
          <w:iCs/>
        </w:rPr>
      </w:pPr>
    </w:p>
    <w:p w14:paraId="681FBD6D" w14:textId="77777777" w:rsidR="00D867A0" w:rsidRPr="00D867A0" w:rsidRDefault="00D867A0" w:rsidP="00D867A0">
      <w:pPr>
        <w:pStyle w:val="Affiliation"/>
        <w:jc w:val="both"/>
        <w:rPr>
          <w:rFonts w:ascii="Arial" w:hAnsi="Arial" w:cs="Arial"/>
          <w:i/>
          <w:iCs/>
        </w:rPr>
      </w:pPr>
      <w:r w:rsidRPr="00D867A0">
        <w:rPr>
          <w:rFonts w:ascii="Arial" w:hAnsi="Arial" w:cs="Arial"/>
          <w:i/>
          <w:iCs/>
        </w:rPr>
        <w:t>FAO, 2022. Banana Market Review 2019. Rome.</w:t>
      </w:r>
    </w:p>
    <w:p w14:paraId="24B2E15B" w14:textId="77777777" w:rsidR="00D867A0" w:rsidRPr="00D867A0" w:rsidRDefault="00D867A0" w:rsidP="00D867A0">
      <w:pPr>
        <w:pStyle w:val="Affiliation"/>
        <w:jc w:val="both"/>
        <w:rPr>
          <w:rFonts w:ascii="Arial" w:hAnsi="Arial" w:cs="Arial"/>
          <w:i/>
          <w:iCs/>
        </w:rPr>
      </w:pPr>
    </w:p>
    <w:p w14:paraId="0EBC2734" w14:textId="7D7C22F7" w:rsidR="00D867A0" w:rsidRPr="00D867A0" w:rsidRDefault="00D867A0" w:rsidP="00D867A0">
      <w:pPr>
        <w:pStyle w:val="Affiliation"/>
        <w:jc w:val="both"/>
        <w:rPr>
          <w:rFonts w:ascii="Arial" w:hAnsi="Arial" w:cs="Arial"/>
          <w:i/>
          <w:iCs/>
        </w:rPr>
      </w:pPr>
      <w:r w:rsidRPr="00D867A0">
        <w:rPr>
          <w:rFonts w:ascii="Arial" w:hAnsi="Arial" w:cs="Arial"/>
          <w:i/>
          <w:iCs/>
        </w:rPr>
        <w:t>FAO, 2021. Banana Market Review 2019. Rome.</w:t>
      </w:r>
    </w:p>
    <w:p w14:paraId="6338B188" w14:textId="77777777" w:rsidR="00D867A0" w:rsidRPr="00D867A0" w:rsidRDefault="00D867A0" w:rsidP="00D867A0">
      <w:pPr>
        <w:pStyle w:val="Affiliation"/>
        <w:jc w:val="both"/>
        <w:rPr>
          <w:rFonts w:ascii="Arial" w:hAnsi="Arial" w:cs="Arial"/>
          <w:i/>
          <w:iCs/>
        </w:rPr>
      </w:pPr>
      <w:r w:rsidRPr="00D867A0">
        <w:rPr>
          <w:rFonts w:ascii="Arial" w:hAnsi="Arial" w:cs="Arial"/>
          <w:i/>
          <w:iCs/>
        </w:rPr>
        <w:t>FAOSTAT, 2022. Production, Food and agriculture organization of the united nation.</w:t>
      </w:r>
    </w:p>
    <w:p w14:paraId="10FF9EBA" w14:textId="77777777" w:rsidR="00D867A0" w:rsidRPr="00D867A0" w:rsidRDefault="00D867A0" w:rsidP="00D867A0">
      <w:pPr>
        <w:pStyle w:val="Affiliation"/>
        <w:jc w:val="both"/>
        <w:rPr>
          <w:rFonts w:ascii="Arial" w:hAnsi="Arial" w:cs="Arial"/>
          <w:i/>
          <w:iCs/>
        </w:rPr>
      </w:pPr>
    </w:p>
    <w:p w14:paraId="397903C3"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Kassankogno</w:t>
      </w:r>
      <w:proofErr w:type="spellEnd"/>
      <w:r w:rsidRPr="00D867A0">
        <w:rPr>
          <w:rFonts w:ascii="Arial" w:hAnsi="Arial" w:cs="Arial"/>
          <w:i/>
          <w:iCs/>
        </w:rPr>
        <w:t xml:space="preserve"> A.I., Sidibe G., Guigma A.K., Nikiema B.C., Nana A., Koita K.2021. Characterization of foliar symptoms and evaluation of the potential pathology of those isolates of </w:t>
      </w:r>
      <w:proofErr w:type="spellStart"/>
      <w:r w:rsidRPr="00D867A0">
        <w:rPr>
          <w:rFonts w:ascii="Arial" w:hAnsi="Arial" w:cs="Arial"/>
          <w:i/>
          <w:iCs/>
        </w:rPr>
        <w:t>Curvularia</w:t>
      </w:r>
      <w:proofErr w:type="spellEnd"/>
      <w:r w:rsidRPr="00D867A0">
        <w:rPr>
          <w:rFonts w:ascii="Arial" w:hAnsi="Arial" w:cs="Arial"/>
          <w:i/>
          <w:iCs/>
        </w:rPr>
        <w:t xml:space="preserve"> </w:t>
      </w:r>
      <w:proofErr w:type="spellStart"/>
      <w:r w:rsidRPr="00D867A0">
        <w:rPr>
          <w:rFonts w:ascii="Arial" w:hAnsi="Arial" w:cs="Arial"/>
          <w:i/>
          <w:iCs/>
        </w:rPr>
        <w:t>lunata</w:t>
      </w:r>
      <w:proofErr w:type="spellEnd"/>
      <w:r w:rsidRPr="00D867A0">
        <w:rPr>
          <w:rFonts w:ascii="Arial" w:hAnsi="Arial" w:cs="Arial"/>
          <w:i/>
          <w:iCs/>
        </w:rPr>
        <w:t xml:space="preserve"> on three varieties of rice (Oryza sativa L.) produced in Burkina Faso. Afrique Science 19(4) (2021) 106-117.</w:t>
      </w:r>
    </w:p>
    <w:p w14:paraId="72922089" w14:textId="77777777" w:rsidR="00D867A0" w:rsidRPr="00D867A0" w:rsidRDefault="00D867A0" w:rsidP="00D867A0">
      <w:pPr>
        <w:pStyle w:val="Affiliation"/>
        <w:jc w:val="both"/>
        <w:rPr>
          <w:rFonts w:ascii="Arial" w:hAnsi="Arial" w:cs="Arial"/>
          <w:i/>
          <w:iCs/>
        </w:rPr>
      </w:pPr>
    </w:p>
    <w:p w14:paraId="6AF719A9"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lastRenderedPageBreak/>
        <w:t>Kassankogno</w:t>
      </w:r>
      <w:proofErr w:type="spellEnd"/>
      <w:r w:rsidRPr="00D867A0">
        <w:rPr>
          <w:rFonts w:ascii="Arial" w:hAnsi="Arial" w:cs="Arial"/>
          <w:i/>
          <w:iCs/>
        </w:rPr>
        <w:t xml:space="preserve"> A.I., </w:t>
      </w:r>
      <w:proofErr w:type="spellStart"/>
      <w:r w:rsidRPr="00D867A0">
        <w:rPr>
          <w:rFonts w:ascii="Arial" w:hAnsi="Arial" w:cs="Arial"/>
          <w:i/>
          <w:iCs/>
        </w:rPr>
        <w:t>Wonni</w:t>
      </w:r>
      <w:proofErr w:type="spellEnd"/>
      <w:r w:rsidRPr="00D867A0">
        <w:rPr>
          <w:rFonts w:ascii="Arial" w:hAnsi="Arial" w:cs="Arial"/>
          <w:i/>
          <w:iCs/>
        </w:rPr>
        <w:t xml:space="preserve"> I., Guigma A.K., Koita K .2022. Evaluation of the efficiency of three fungicides on radial mycelial growth, sporulation and germination of </w:t>
      </w:r>
      <w:proofErr w:type="spellStart"/>
      <w:r w:rsidRPr="00D867A0">
        <w:rPr>
          <w:rFonts w:ascii="Arial" w:hAnsi="Arial" w:cs="Arial"/>
          <w:i/>
          <w:iCs/>
        </w:rPr>
        <w:t>Curvularia</w:t>
      </w:r>
      <w:proofErr w:type="spellEnd"/>
      <w:r w:rsidRPr="00D867A0">
        <w:rPr>
          <w:rFonts w:ascii="Arial" w:hAnsi="Arial" w:cs="Arial"/>
          <w:i/>
          <w:iCs/>
        </w:rPr>
        <w:t xml:space="preserve"> </w:t>
      </w:r>
      <w:proofErr w:type="spellStart"/>
      <w:r w:rsidRPr="00D867A0">
        <w:rPr>
          <w:rFonts w:ascii="Arial" w:hAnsi="Arial" w:cs="Arial"/>
          <w:i/>
          <w:iCs/>
        </w:rPr>
        <w:t>lunata</w:t>
      </w:r>
      <w:proofErr w:type="spellEnd"/>
      <w:r w:rsidRPr="00D867A0">
        <w:rPr>
          <w:rFonts w:ascii="Arial" w:hAnsi="Arial" w:cs="Arial"/>
          <w:i/>
          <w:iCs/>
        </w:rPr>
        <w:t xml:space="preserve">, a rice </w:t>
      </w:r>
      <w:proofErr w:type="spellStart"/>
      <w:r w:rsidRPr="00D867A0">
        <w:rPr>
          <w:rFonts w:ascii="Arial" w:hAnsi="Arial" w:cs="Arial"/>
          <w:i/>
          <w:iCs/>
        </w:rPr>
        <w:t>curvulariosis</w:t>
      </w:r>
      <w:proofErr w:type="spellEnd"/>
      <w:r w:rsidRPr="00D867A0">
        <w:rPr>
          <w:rFonts w:ascii="Arial" w:hAnsi="Arial" w:cs="Arial"/>
          <w:i/>
          <w:iCs/>
        </w:rPr>
        <w:t xml:space="preserve"> disease in Burkina Faso, Vol. 19(4), pp. 437-</w:t>
      </w:r>
      <w:proofErr w:type="gramStart"/>
      <w:r w:rsidRPr="00D867A0">
        <w:rPr>
          <w:rFonts w:ascii="Arial" w:hAnsi="Arial" w:cs="Arial"/>
          <w:i/>
          <w:iCs/>
        </w:rPr>
        <w:t>443,DOI</w:t>
      </w:r>
      <w:proofErr w:type="gramEnd"/>
      <w:r w:rsidRPr="00D867A0">
        <w:rPr>
          <w:rFonts w:ascii="Arial" w:hAnsi="Arial" w:cs="Arial"/>
          <w:i/>
          <w:iCs/>
        </w:rPr>
        <w:t>: 10.5897/AJAR2022.16308.</w:t>
      </w:r>
    </w:p>
    <w:p w14:paraId="24A045D5" w14:textId="77777777" w:rsidR="00D867A0" w:rsidRPr="00D867A0" w:rsidRDefault="00D867A0" w:rsidP="00D867A0">
      <w:pPr>
        <w:pStyle w:val="Affiliation"/>
        <w:jc w:val="both"/>
        <w:rPr>
          <w:rFonts w:ascii="Arial" w:hAnsi="Arial" w:cs="Arial"/>
          <w:i/>
          <w:iCs/>
        </w:rPr>
      </w:pPr>
    </w:p>
    <w:p w14:paraId="33A3C356"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Kassankogno</w:t>
      </w:r>
      <w:proofErr w:type="spellEnd"/>
      <w:r w:rsidRPr="00D867A0">
        <w:rPr>
          <w:rFonts w:ascii="Arial" w:hAnsi="Arial" w:cs="Arial"/>
          <w:i/>
          <w:iCs/>
        </w:rPr>
        <w:t xml:space="preserve"> A I., </w:t>
      </w:r>
      <w:proofErr w:type="spellStart"/>
      <w:r w:rsidRPr="00D867A0">
        <w:rPr>
          <w:rFonts w:ascii="Arial" w:hAnsi="Arial" w:cs="Arial"/>
          <w:i/>
          <w:iCs/>
        </w:rPr>
        <w:t>Ouedraogo</w:t>
      </w:r>
      <w:proofErr w:type="spellEnd"/>
      <w:r w:rsidRPr="00D867A0">
        <w:rPr>
          <w:rFonts w:ascii="Arial" w:hAnsi="Arial" w:cs="Arial"/>
          <w:i/>
          <w:iCs/>
        </w:rPr>
        <w:t xml:space="preserve">., </w:t>
      </w:r>
      <w:proofErr w:type="spellStart"/>
      <w:r w:rsidRPr="00D867A0">
        <w:rPr>
          <w:rFonts w:ascii="Arial" w:hAnsi="Arial" w:cs="Arial"/>
          <w:i/>
          <w:iCs/>
        </w:rPr>
        <w:t>Adreit</w:t>
      </w:r>
      <w:proofErr w:type="spellEnd"/>
      <w:r w:rsidRPr="00D867A0">
        <w:rPr>
          <w:rFonts w:ascii="Arial" w:hAnsi="Arial" w:cs="Arial"/>
          <w:i/>
          <w:iCs/>
        </w:rPr>
        <w:t xml:space="preserve"> H., Milazzo J., Ouedraogo L S., </w:t>
      </w:r>
      <w:proofErr w:type="spellStart"/>
      <w:r w:rsidRPr="00D867A0">
        <w:rPr>
          <w:rFonts w:ascii="Arial" w:hAnsi="Arial" w:cs="Arial"/>
          <w:i/>
          <w:iCs/>
        </w:rPr>
        <w:t>Sankara</w:t>
      </w:r>
      <w:proofErr w:type="spellEnd"/>
      <w:r w:rsidRPr="00D867A0">
        <w:rPr>
          <w:rFonts w:ascii="Arial" w:hAnsi="Arial" w:cs="Arial"/>
          <w:i/>
          <w:iCs/>
        </w:rPr>
        <w:t xml:space="preserve"> P et </w:t>
      </w:r>
      <w:proofErr w:type="spellStart"/>
      <w:r w:rsidRPr="00D867A0">
        <w:rPr>
          <w:rFonts w:ascii="Arial" w:hAnsi="Arial" w:cs="Arial"/>
          <w:i/>
          <w:iCs/>
        </w:rPr>
        <w:t>Tharreau</w:t>
      </w:r>
      <w:proofErr w:type="spellEnd"/>
      <w:r w:rsidRPr="00D867A0">
        <w:rPr>
          <w:rFonts w:ascii="Arial" w:hAnsi="Arial" w:cs="Arial"/>
          <w:i/>
          <w:iCs/>
        </w:rPr>
        <w:t xml:space="preserve"> D .2016. Analyze the genetic diversity of the islands of </w:t>
      </w:r>
      <w:proofErr w:type="spellStart"/>
      <w:r w:rsidRPr="00D867A0">
        <w:rPr>
          <w:rFonts w:ascii="Arial" w:hAnsi="Arial" w:cs="Arial"/>
          <w:i/>
          <w:iCs/>
        </w:rPr>
        <w:t>Magnaporthe</w:t>
      </w:r>
      <w:proofErr w:type="spellEnd"/>
      <w:r w:rsidRPr="00D867A0">
        <w:rPr>
          <w:rFonts w:ascii="Arial" w:hAnsi="Arial" w:cs="Arial"/>
          <w:i/>
          <w:iCs/>
        </w:rPr>
        <w:t xml:space="preserve"> </w:t>
      </w:r>
      <w:proofErr w:type="spellStart"/>
      <w:r w:rsidRPr="00D867A0">
        <w:rPr>
          <w:rFonts w:ascii="Arial" w:hAnsi="Arial" w:cs="Arial"/>
          <w:i/>
          <w:iCs/>
        </w:rPr>
        <w:t>oryzae</w:t>
      </w:r>
      <w:proofErr w:type="spellEnd"/>
      <w:r w:rsidRPr="00D867A0">
        <w:rPr>
          <w:rFonts w:ascii="Arial" w:hAnsi="Arial" w:cs="Arial"/>
          <w:i/>
          <w:iCs/>
        </w:rPr>
        <w:t xml:space="preserve"> of Burkina Faso and Togo by the microsatellite markers (SSRs). Int. J. Biol. Chem. Sci. 10(5): 2259-2267, October 2016 ISSN 1997-342X (Online), ISSN 1991-8631 (Print)</w:t>
      </w:r>
    </w:p>
    <w:p w14:paraId="2C89949B" w14:textId="77777777" w:rsidR="00D867A0" w:rsidRPr="00D867A0" w:rsidRDefault="00D867A0" w:rsidP="00D867A0">
      <w:pPr>
        <w:pStyle w:val="Affiliation"/>
        <w:jc w:val="both"/>
        <w:rPr>
          <w:rFonts w:ascii="Arial" w:hAnsi="Arial" w:cs="Arial"/>
          <w:i/>
          <w:iCs/>
        </w:rPr>
      </w:pPr>
    </w:p>
    <w:p w14:paraId="3516DA65"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Koné D., Badou O.J., Bomisso E.L., Camara B., Ake S .2009. In vitro activities of different fungicides on the </w:t>
      </w:r>
      <w:proofErr w:type="spellStart"/>
      <w:r w:rsidRPr="00D867A0">
        <w:rPr>
          <w:rFonts w:ascii="Arial" w:hAnsi="Arial" w:cs="Arial"/>
          <w:i/>
          <w:iCs/>
        </w:rPr>
        <w:t>croissance</w:t>
      </w:r>
      <w:proofErr w:type="spellEnd"/>
      <w:r w:rsidRPr="00D867A0">
        <w:rPr>
          <w:rFonts w:ascii="Arial" w:hAnsi="Arial" w:cs="Arial"/>
          <w:i/>
          <w:iCs/>
        </w:rPr>
        <w:t xml:space="preserve">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xml:space="preserve"> var. </w:t>
      </w:r>
      <w:proofErr w:type="spellStart"/>
      <w:r w:rsidRPr="00D867A0">
        <w:rPr>
          <w:rFonts w:ascii="Arial" w:hAnsi="Arial" w:cs="Arial"/>
          <w:i/>
          <w:iCs/>
        </w:rPr>
        <w:t>difformis</w:t>
      </w:r>
      <w:proofErr w:type="spellEnd"/>
      <w:r w:rsidRPr="00D867A0">
        <w:rPr>
          <w:rFonts w:ascii="Arial" w:hAnsi="Arial" w:cs="Arial"/>
          <w:i/>
          <w:iCs/>
        </w:rPr>
        <w:t xml:space="preserve"> Stover et Dickson, Cladosporium </w:t>
      </w:r>
      <w:proofErr w:type="spellStart"/>
      <w:r w:rsidRPr="00D867A0">
        <w:rPr>
          <w:rFonts w:ascii="Arial" w:hAnsi="Arial" w:cs="Arial"/>
          <w:i/>
          <w:iCs/>
        </w:rPr>
        <w:t>musae</w:t>
      </w:r>
      <w:proofErr w:type="spellEnd"/>
      <w:r w:rsidRPr="00D867A0">
        <w:rPr>
          <w:rFonts w:ascii="Arial" w:hAnsi="Arial" w:cs="Arial"/>
          <w:i/>
          <w:iCs/>
        </w:rPr>
        <w:t xml:space="preserve"> </w:t>
      </w:r>
      <w:proofErr w:type="spellStart"/>
      <w:r w:rsidRPr="00D867A0">
        <w:rPr>
          <w:rFonts w:ascii="Arial" w:hAnsi="Arial" w:cs="Arial"/>
          <w:i/>
          <w:iCs/>
        </w:rPr>
        <w:t>Morelet</w:t>
      </w:r>
      <w:proofErr w:type="spellEnd"/>
      <w:r w:rsidRPr="00D867A0">
        <w:rPr>
          <w:rFonts w:ascii="Arial" w:hAnsi="Arial" w:cs="Arial"/>
          <w:i/>
          <w:iCs/>
        </w:rPr>
        <w:t xml:space="preserve"> et </w:t>
      </w:r>
      <w:proofErr w:type="spellStart"/>
      <w:r w:rsidRPr="00D867A0">
        <w:rPr>
          <w:rFonts w:ascii="Arial" w:hAnsi="Arial" w:cs="Arial"/>
          <w:i/>
          <w:iCs/>
        </w:rPr>
        <w:t>Deightoniella</w:t>
      </w:r>
      <w:proofErr w:type="spellEnd"/>
      <w:r w:rsidRPr="00D867A0">
        <w:rPr>
          <w:rFonts w:ascii="Arial" w:hAnsi="Arial" w:cs="Arial"/>
          <w:i/>
          <w:iCs/>
        </w:rPr>
        <w:t xml:space="preserve"> </w:t>
      </w:r>
      <w:proofErr w:type="spellStart"/>
      <w:r w:rsidRPr="00D867A0">
        <w:rPr>
          <w:rFonts w:ascii="Arial" w:hAnsi="Arial" w:cs="Arial"/>
          <w:i/>
          <w:iCs/>
        </w:rPr>
        <w:t>torulosa</w:t>
      </w:r>
      <w:proofErr w:type="spellEnd"/>
      <w:r w:rsidRPr="00D867A0">
        <w:rPr>
          <w:rFonts w:ascii="Arial" w:hAnsi="Arial" w:cs="Arial"/>
          <w:i/>
          <w:iCs/>
        </w:rPr>
        <w:t xml:space="preserve"> (Syd.) Ellis, parasites islands of the </w:t>
      </w:r>
      <w:proofErr w:type="spellStart"/>
      <w:r w:rsidRPr="00D867A0">
        <w:rPr>
          <w:rFonts w:ascii="Arial" w:hAnsi="Arial" w:cs="Arial"/>
          <w:i/>
          <w:iCs/>
        </w:rPr>
        <w:t>phyllosphère</w:t>
      </w:r>
      <w:proofErr w:type="spellEnd"/>
      <w:r w:rsidRPr="00D867A0">
        <w:rPr>
          <w:rFonts w:ascii="Arial" w:hAnsi="Arial" w:cs="Arial"/>
          <w:i/>
          <w:iCs/>
        </w:rPr>
        <w:t xml:space="preserve"> of bananas in Côte-d'Ivoire. C. R. Biol. 332, 448–455p. https://doi.org/10.1016/j.crvi.2008.03.013</w:t>
      </w:r>
    </w:p>
    <w:p w14:paraId="48C53799" w14:textId="77777777" w:rsidR="00D867A0" w:rsidRPr="00D867A0" w:rsidRDefault="00D867A0" w:rsidP="00D867A0">
      <w:pPr>
        <w:pStyle w:val="Affiliation"/>
        <w:jc w:val="both"/>
        <w:rPr>
          <w:rFonts w:ascii="Arial" w:hAnsi="Arial" w:cs="Arial"/>
          <w:i/>
          <w:iCs/>
        </w:rPr>
      </w:pPr>
    </w:p>
    <w:p w14:paraId="5E9971A3" w14:textId="77777777" w:rsidR="00D867A0" w:rsidRPr="00D867A0" w:rsidRDefault="00D867A0" w:rsidP="00D867A0">
      <w:pPr>
        <w:pStyle w:val="Affiliation"/>
        <w:jc w:val="both"/>
        <w:rPr>
          <w:rFonts w:ascii="Arial" w:hAnsi="Arial" w:cs="Arial"/>
          <w:i/>
          <w:iCs/>
        </w:rPr>
      </w:pPr>
      <w:r w:rsidRPr="00D867A0">
        <w:rPr>
          <w:rFonts w:ascii="Arial" w:hAnsi="Arial" w:cs="Arial"/>
          <w:i/>
          <w:iCs/>
        </w:rPr>
        <w:t>MAAH, 2016. Preliminary draft of the National Banana Sector Revitalization Program (PN-REDYFBANANE). Burkina Faso.14p.</w:t>
      </w:r>
    </w:p>
    <w:p w14:paraId="3FA96357" w14:textId="77777777" w:rsidR="00D867A0" w:rsidRPr="00D867A0" w:rsidRDefault="00D867A0" w:rsidP="00D867A0">
      <w:pPr>
        <w:pStyle w:val="Affiliation"/>
        <w:jc w:val="both"/>
        <w:rPr>
          <w:rFonts w:ascii="Arial" w:hAnsi="Arial" w:cs="Arial"/>
          <w:i/>
          <w:iCs/>
        </w:rPr>
      </w:pPr>
      <w:r w:rsidRPr="00D867A0">
        <w:rPr>
          <w:rFonts w:ascii="Arial" w:hAnsi="Arial" w:cs="Arial"/>
          <w:i/>
          <w:iCs/>
        </w:rPr>
        <w:t>Mathur S B., and Olga Kongsdal. (2003). « Common laboratory seed health testing methods for detecting fungi ». Danish Institute of Seed Pathology for Developing Countries, Copenhagen 425 p.</w:t>
      </w:r>
    </w:p>
    <w:p w14:paraId="6054D460" w14:textId="77777777" w:rsidR="00D867A0" w:rsidRPr="00D867A0" w:rsidRDefault="00D867A0" w:rsidP="00D867A0">
      <w:pPr>
        <w:pStyle w:val="Affiliation"/>
        <w:jc w:val="both"/>
        <w:rPr>
          <w:rFonts w:ascii="Arial" w:hAnsi="Arial" w:cs="Arial"/>
          <w:i/>
          <w:iCs/>
        </w:rPr>
      </w:pPr>
    </w:p>
    <w:p w14:paraId="31644390"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Ngando J.E., 2014. Selection and evolution of systemic fungicide resistance in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fijiensis</w:t>
      </w:r>
      <w:proofErr w:type="spellEnd"/>
      <w:r w:rsidRPr="00D867A0">
        <w:rPr>
          <w:rFonts w:ascii="Arial" w:hAnsi="Arial" w:cs="Arial"/>
          <w:i/>
          <w:iCs/>
        </w:rPr>
        <w:t>, causal agent of black spot disease of bananas, 144 p.</w:t>
      </w:r>
    </w:p>
    <w:p w14:paraId="6E80B93C" w14:textId="77777777" w:rsidR="00D867A0" w:rsidRPr="00D867A0" w:rsidRDefault="00D867A0" w:rsidP="00D867A0">
      <w:pPr>
        <w:pStyle w:val="Affiliation"/>
        <w:jc w:val="both"/>
        <w:rPr>
          <w:rFonts w:ascii="Arial" w:hAnsi="Arial" w:cs="Arial"/>
          <w:i/>
          <w:iCs/>
        </w:rPr>
      </w:pPr>
    </w:p>
    <w:p w14:paraId="5B4F2F67"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Ngoh</w:t>
      </w:r>
      <w:proofErr w:type="spellEnd"/>
      <w:r w:rsidRPr="00D867A0">
        <w:rPr>
          <w:rFonts w:ascii="Arial" w:hAnsi="Arial" w:cs="Arial"/>
          <w:i/>
          <w:iCs/>
        </w:rPr>
        <w:t xml:space="preserve"> D.J.P., </w:t>
      </w:r>
      <w:proofErr w:type="spellStart"/>
      <w:r w:rsidRPr="00D867A0">
        <w:rPr>
          <w:rFonts w:ascii="Arial" w:hAnsi="Arial" w:cs="Arial"/>
          <w:i/>
          <w:iCs/>
        </w:rPr>
        <w:t>Deurnaye</w:t>
      </w:r>
      <w:proofErr w:type="spellEnd"/>
      <w:r w:rsidRPr="00D867A0">
        <w:rPr>
          <w:rFonts w:ascii="Arial" w:hAnsi="Arial" w:cs="Arial"/>
          <w:i/>
          <w:iCs/>
        </w:rPr>
        <w:t xml:space="preserve"> P., </w:t>
      </w:r>
      <w:proofErr w:type="spellStart"/>
      <w:r w:rsidRPr="00D867A0">
        <w:rPr>
          <w:rFonts w:ascii="Arial" w:hAnsi="Arial" w:cs="Arial"/>
          <w:i/>
          <w:iCs/>
        </w:rPr>
        <w:t>Madjerembe</w:t>
      </w:r>
      <w:proofErr w:type="spellEnd"/>
      <w:r w:rsidRPr="00D867A0">
        <w:rPr>
          <w:rFonts w:ascii="Arial" w:hAnsi="Arial" w:cs="Arial"/>
          <w:i/>
          <w:iCs/>
        </w:rPr>
        <w:t xml:space="preserve"> A., </w:t>
      </w:r>
      <w:proofErr w:type="spellStart"/>
      <w:r w:rsidRPr="00D867A0">
        <w:rPr>
          <w:rFonts w:ascii="Arial" w:hAnsi="Arial" w:cs="Arial"/>
          <w:i/>
          <w:iCs/>
        </w:rPr>
        <w:t>Mbou</w:t>
      </w:r>
      <w:proofErr w:type="spellEnd"/>
      <w:r w:rsidRPr="00D867A0">
        <w:rPr>
          <w:rFonts w:ascii="Arial" w:hAnsi="Arial" w:cs="Arial"/>
          <w:i/>
          <w:iCs/>
        </w:rPr>
        <w:t xml:space="preserve"> T.P.R., </w:t>
      </w:r>
      <w:proofErr w:type="spellStart"/>
      <w:r w:rsidRPr="00D867A0">
        <w:rPr>
          <w:rFonts w:ascii="Arial" w:hAnsi="Arial" w:cs="Arial"/>
          <w:i/>
          <w:iCs/>
        </w:rPr>
        <w:t>Djongnang</w:t>
      </w:r>
      <w:proofErr w:type="spellEnd"/>
      <w:r w:rsidRPr="00D867A0">
        <w:rPr>
          <w:rFonts w:ascii="Arial" w:hAnsi="Arial" w:cs="Arial"/>
          <w:i/>
          <w:iCs/>
        </w:rPr>
        <w:t xml:space="preserve"> G., </w:t>
      </w:r>
      <w:proofErr w:type="spellStart"/>
      <w:r w:rsidRPr="00D867A0">
        <w:rPr>
          <w:rFonts w:ascii="Arial" w:hAnsi="Arial" w:cs="Arial"/>
          <w:i/>
          <w:iCs/>
        </w:rPr>
        <w:t>Boydoul</w:t>
      </w:r>
      <w:proofErr w:type="spellEnd"/>
      <w:r w:rsidRPr="00D867A0">
        <w:rPr>
          <w:rFonts w:ascii="Arial" w:hAnsi="Arial" w:cs="Arial"/>
          <w:i/>
          <w:iCs/>
        </w:rPr>
        <w:t xml:space="preserve"> F. Ulrich Djile B., </w:t>
      </w:r>
      <w:proofErr w:type="spellStart"/>
      <w:r w:rsidRPr="00D867A0">
        <w:rPr>
          <w:rFonts w:ascii="Arial" w:hAnsi="Arial" w:cs="Arial"/>
          <w:i/>
          <w:iCs/>
        </w:rPr>
        <w:t>Ambang</w:t>
      </w:r>
      <w:proofErr w:type="spellEnd"/>
      <w:r w:rsidRPr="00D867A0">
        <w:rPr>
          <w:rFonts w:ascii="Arial" w:hAnsi="Arial" w:cs="Arial"/>
          <w:i/>
          <w:iCs/>
        </w:rPr>
        <w:t xml:space="preserve"> Z .2021. In vitro, in vivo and in situ, Effect of Mancozeb 80 WP on Colletotrichum </w:t>
      </w:r>
      <w:proofErr w:type="spellStart"/>
      <w:r w:rsidRPr="00D867A0">
        <w:rPr>
          <w:rFonts w:ascii="Arial" w:hAnsi="Arial" w:cs="Arial"/>
          <w:i/>
          <w:iCs/>
        </w:rPr>
        <w:t>gloeosporioides</w:t>
      </w:r>
      <w:proofErr w:type="spellEnd"/>
      <w:r w:rsidRPr="00D867A0">
        <w:rPr>
          <w:rFonts w:ascii="Arial" w:hAnsi="Arial" w:cs="Arial"/>
          <w:i/>
          <w:iCs/>
        </w:rPr>
        <w:t xml:space="preserve"> (</w:t>
      </w:r>
      <w:proofErr w:type="spellStart"/>
      <w:r w:rsidRPr="00D867A0">
        <w:rPr>
          <w:rFonts w:ascii="Arial" w:hAnsi="Arial" w:cs="Arial"/>
          <w:i/>
          <w:iCs/>
        </w:rPr>
        <w:t>Penz</w:t>
      </w:r>
      <w:proofErr w:type="spellEnd"/>
      <w:r w:rsidRPr="00D867A0">
        <w:rPr>
          <w:rFonts w:ascii="Arial" w:hAnsi="Arial" w:cs="Arial"/>
          <w:i/>
          <w:iCs/>
        </w:rPr>
        <w:t xml:space="preserve">.) Penz. and </w:t>
      </w:r>
      <w:proofErr w:type="spellStart"/>
      <w:r w:rsidRPr="00D867A0">
        <w:rPr>
          <w:rFonts w:ascii="Arial" w:hAnsi="Arial" w:cs="Arial"/>
          <w:i/>
          <w:iCs/>
        </w:rPr>
        <w:t>Sacc</w:t>
      </w:r>
      <w:proofErr w:type="spellEnd"/>
      <w:r w:rsidRPr="00D867A0">
        <w:rPr>
          <w:rFonts w:ascii="Arial" w:hAnsi="Arial" w:cs="Arial"/>
          <w:i/>
          <w:iCs/>
        </w:rPr>
        <w:t>., Causative Agent of Anthracnose of Cashew (Anacardium Occidentale L.) in Chad and Cameroon, 14p.</w:t>
      </w:r>
    </w:p>
    <w:p w14:paraId="07DA5EF5" w14:textId="77777777" w:rsidR="00D867A0" w:rsidRPr="00D867A0" w:rsidRDefault="00D867A0" w:rsidP="00D867A0">
      <w:pPr>
        <w:pStyle w:val="Affiliation"/>
        <w:jc w:val="both"/>
        <w:rPr>
          <w:rFonts w:ascii="Arial" w:hAnsi="Arial" w:cs="Arial"/>
          <w:i/>
          <w:iCs/>
        </w:rPr>
      </w:pPr>
    </w:p>
    <w:p w14:paraId="5F799CFE"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Obanor F.O., Walter M., Jones E.E., Jaspers M.V .2005. In vitro effects of fungicides on conidium germination of </w:t>
      </w:r>
      <w:proofErr w:type="spellStart"/>
      <w:r w:rsidRPr="00D867A0">
        <w:rPr>
          <w:rFonts w:ascii="Arial" w:hAnsi="Arial" w:cs="Arial"/>
          <w:i/>
          <w:iCs/>
        </w:rPr>
        <w:t>Spilocaea</w:t>
      </w:r>
      <w:proofErr w:type="spellEnd"/>
      <w:r w:rsidRPr="00D867A0">
        <w:rPr>
          <w:rFonts w:ascii="Arial" w:hAnsi="Arial" w:cs="Arial"/>
          <w:i/>
          <w:iCs/>
        </w:rPr>
        <w:t xml:space="preserve"> </w:t>
      </w:r>
      <w:proofErr w:type="spellStart"/>
      <w:r w:rsidRPr="00D867A0">
        <w:rPr>
          <w:rFonts w:ascii="Arial" w:hAnsi="Arial" w:cs="Arial"/>
          <w:i/>
          <w:iCs/>
        </w:rPr>
        <w:t>oleagina</w:t>
      </w:r>
      <w:proofErr w:type="spellEnd"/>
      <w:r w:rsidRPr="00D867A0">
        <w:rPr>
          <w:rFonts w:ascii="Arial" w:hAnsi="Arial" w:cs="Arial"/>
          <w:i/>
          <w:iCs/>
        </w:rPr>
        <w:t xml:space="preserve">, the cause of Olive leaf </w:t>
      </w:r>
      <w:proofErr w:type="spellStart"/>
      <w:r w:rsidRPr="00D867A0">
        <w:rPr>
          <w:rFonts w:ascii="Arial" w:hAnsi="Arial" w:cs="Arial"/>
          <w:i/>
          <w:iCs/>
        </w:rPr>
        <w:t>spot.NZ.Plant</w:t>
      </w:r>
      <w:proofErr w:type="spellEnd"/>
      <w:r w:rsidRPr="00D867A0">
        <w:rPr>
          <w:rFonts w:ascii="Arial" w:hAnsi="Arial" w:cs="Arial"/>
          <w:i/>
          <w:iCs/>
        </w:rPr>
        <w:t xml:space="preserve"> Prot.58, 278-282. 5p.</w:t>
      </w:r>
    </w:p>
    <w:p w14:paraId="57889AC2" w14:textId="77777777" w:rsidR="00D867A0" w:rsidRPr="00D867A0" w:rsidRDefault="00D867A0" w:rsidP="00D867A0">
      <w:pPr>
        <w:pStyle w:val="Affiliation"/>
        <w:jc w:val="both"/>
        <w:rPr>
          <w:rFonts w:ascii="Arial" w:hAnsi="Arial" w:cs="Arial"/>
          <w:i/>
          <w:iCs/>
        </w:rPr>
      </w:pPr>
    </w:p>
    <w:p w14:paraId="2EA5E031"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Onautshu</w:t>
      </w:r>
      <w:proofErr w:type="spellEnd"/>
      <w:r w:rsidRPr="00D867A0">
        <w:rPr>
          <w:rFonts w:ascii="Arial" w:hAnsi="Arial" w:cs="Arial"/>
          <w:i/>
          <w:iCs/>
        </w:rPr>
        <w:t xml:space="preserve"> O., </w:t>
      </w:r>
      <w:proofErr w:type="spellStart"/>
      <w:r w:rsidRPr="00D867A0">
        <w:rPr>
          <w:rFonts w:ascii="Arial" w:hAnsi="Arial" w:cs="Arial"/>
          <w:i/>
          <w:iCs/>
        </w:rPr>
        <w:t>Legreve</w:t>
      </w:r>
      <w:proofErr w:type="spellEnd"/>
      <w:r w:rsidRPr="00D867A0">
        <w:rPr>
          <w:rFonts w:ascii="Arial" w:hAnsi="Arial" w:cs="Arial"/>
          <w:i/>
          <w:iCs/>
        </w:rPr>
        <w:t xml:space="preserve"> A., </w:t>
      </w:r>
      <w:proofErr w:type="spellStart"/>
      <w:r w:rsidRPr="00D867A0">
        <w:rPr>
          <w:rFonts w:ascii="Arial" w:hAnsi="Arial" w:cs="Arial"/>
          <w:i/>
          <w:iCs/>
        </w:rPr>
        <w:t>Dhed’A</w:t>
      </w:r>
      <w:proofErr w:type="spellEnd"/>
      <w:r w:rsidRPr="00D867A0">
        <w:rPr>
          <w:rFonts w:ascii="Arial" w:hAnsi="Arial" w:cs="Arial"/>
          <w:i/>
          <w:iCs/>
        </w:rPr>
        <w:t xml:space="preserve"> D .2013. Characterization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spp</w:t>
      </w:r>
      <w:proofErr w:type="spellEnd"/>
      <w:r w:rsidRPr="00D867A0">
        <w:rPr>
          <w:rFonts w:ascii="Arial" w:hAnsi="Arial" w:cs="Arial"/>
          <w:i/>
          <w:iCs/>
        </w:rPr>
        <w:t xml:space="preserve"> populations and epidemiology of black Sigatoka of bananas in the Kisangani region, Life Sciences, DRC. Catholic University of Louvain, 309p.</w:t>
      </w:r>
    </w:p>
    <w:p w14:paraId="2C9677DE" w14:textId="77777777" w:rsidR="00D867A0" w:rsidRPr="00D867A0" w:rsidRDefault="00D867A0" w:rsidP="00D867A0">
      <w:pPr>
        <w:pStyle w:val="Affiliation"/>
        <w:jc w:val="both"/>
        <w:rPr>
          <w:rFonts w:ascii="Arial" w:hAnsi="Arial" w:cs="Arial"/>
          <w:i/>
          <w:iCs/>
        </w:rPr>
      </w:pPr>
    </w:p>
    <w:p w14:paraId="23813EBD"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Paranagama</w:t>
      </w:r>
      <w:proofErr w:type="spellEnd"/>
      <w:r w:rsidRPr="00D867A0">
        <w:rPr>
          <w:rFonts w:ascii="Arial" w:hAnsi="Arial" w:cs="Arial"/>
          <w:i/>
          <w:iCs/>
        </w:rPr>
        <w:t xml:space="preserve"> P.A., </w:t>
      </w:r>
      <w:proofErr w:type="spellStart"/>
      <w:r w:rsidRPr="00D867A0">
        <w:rPr>
          <w:rFonts w:ascii="Arial" w:hAnsi="Arial" w:cs="Arial"/>
          <w:i/>
          <w:iCs/>
        </w:rPr>
        <w:t>Abeysekera</w:t>
      </w:r>
      <w:proofErr w:type="spellEnd"/>
      <w:r w:rsidRPr="00D867A0">
        <w:rPr>
          <w:rFonts w:ascii="Arial" w:hAnsi="Arial" w:cs="Arial"/>
          <w:i/>
          <w:iCs/>
        </w:rPr>
        <w:t xml:space="preserve"> K.H.T., Abeywickrama K., </w:t>
      </w:r>
      <w:proofErr w:type="spellStart"/>
      <w:r w:rsidRPr="00D867A0">
        <w:rPr>
          <w:rFonts w:ascii="Arial" w:hAnsi="Arial" w:cs="Arial"/>
          <w:i/>
          <w:iCs/>
        </w:rPr>
        <w:t>Nugaliyadde</w:t>
      </w:r>
      <w:proofErr w:type="spellEnd"/>
      <w:r w:rsidRPr="00D867A0">
        <w:rPr>
          <w:rFonts w:ascii="Arial" w:hAnsi="Arial" w:cs="Arial"/>
          <w:i/>
          <w:iCs/>
        </w:rPr>
        <w:t xml:space="preserve"> L.2003. Fungicidal and anti-aflatoxigenic effects of the essential oil of Cymbopogon </w:t>
      </w:r>
      <w:proofErr w:type="spellStart"/>
      <w:r w:rsidRPr="00D867A0">
        <w:rPr>
          <w:rFonts w:ascii="Arial" w:hAnsi="Arial" w:cs="Arial"/>
          <w:i/>
          <w:iCs/>
        </w:rPr>
        <w:t>citratus</w:t>
      </w:r>
      <w:proofErr w:type="spellEnd"/>
      <w:r w:rsidRPr="00D867A0">
        <w:rPr>
          <w:rFonts w:ascii="Arial" w:hAnsi="Arial" w:cs="Arial"/>
          <w:i/>
          <w:iCs/>
        </w:rPr>
        <w:t xml:space="preserve"> (DC.) Stapf. (lemongrass) against Aspergillus flavus Link. Isolated from stored rice. Letters in Applied Microbio.37(1):86-90. </w:t>
      </w:r>
      <w:proofErr w:type="spellStart"/>
      <w:r w:rsidRPr="00D867A0">
        <w:rPr>
          <w:rFonts w:ascii="Arial" w:hAnsi="Arial" w:cs="Arial"/>
          <w:i/>
          <w:iCs/>
        </w:rPr>
        <w:t>doi</w:t>
      </w:r>
      <w:proofErr w:type="spellEnd"/>
      <w:r w:rsidRPr="00D867A0">
        <w:rPr>
          <w:rFonts w:ascii="Arial" w:hAnsi="Arial" w:cs="Arial"/>
          <w:i/>
          <w:iCs/>
        </w:rPr>
        <w:t>: 10.1046/j.1472-765x.2003.</w:t>
      </w:r>
      <w:proofErr w:type="gramStart"/>
      <w:r w:rsidRPr="00D867A0">
        <w:rPr>
          <w:rFonts w:ascii="Arial" w:hAnsi="Arial" w:cs="Arial"/>
          <w:i/>
          <w:iCs/>
        </w:rPr>
        <w:t>01351.x.</w:t>
      </w:r>
      <w:proofErr w:type="gramEnd"/>
    </w:p>
    <w:p w14:paraId="3050B041" w14:textId="77777777" w:rsidR="00D867A0" w:rsidRPr="00D867A0" w:rsidRDefault="00D867A0" w:rsidP="00D867A0">
      <w:pPr>
        <w:pStyle w:val="Affiliation"/>
        <w:jc w:val="both"/>
        <w:rPr>
          <w:rFonts w:ascii="Arial" w:hAnsi="Arial" w:cs="Arial"/>
          <w:i/>
          <w:iCs/>
        </w:rPr>
      </w:pPr>
    </w:p>
    <w:p w14:paraId="22866E0E" w14:textId="77777777" w:rsidR="00D867A0" w:rsidRPr="00D867A0" w:rsidRDefault="00D867A0" w:rsidP="00D867A0">
      <w:pPr>
        <w:pStyle w:val="Affiliation"/>
        <w:jc w:val="both"/>
        <w:rPr>
          <w:rFonts w:ascii="Arial" w:hAnsi="Arial" w:cs="Arial"/>
          <w:i/>
          <w:iCs/>
        </w:rPr>
      </w:pPr>
      <w:r w:rsidRPr="00D867A0">
        <w:rPr>
          <w:rFonts w:ascii="Arial" w:hAnsi="Arial" w:cs="Arial"/>
          <w:i/>
          <w:iCs/>
        </w:rPr>
        <w:t xml:space="preserve">Sharma J.K., Mohanan, C.1991. In vitro evaluation of fungicide against </w:t>
      </w:r>
      <w:proofErr w:type="spellStart"/>
      <w:r w:rsidRPr="00D867A0">
        <w:rPr>
          <w:rFonts w:ascii="Arial" w:hAnsi="Arial" w:cs="Arial"/>
          <w:i/>
          <w:iCs/>
        </w:rPr>
        <w:t>Cylindrocladium</w:t>
      </w:r>
      <w:proofErr w:type="spellEnd"/>
      <w:r w:rsidRPr="00D867A0">
        <w:rPr>
          <w:rFonts w:ascii="Arial" w:hAnsi="Arial" w:cs="Arial"/>
          <w:i/>
          <w:iCs/>
        </w:rPr>
        <w:t xml:space="preserve"> spp. causing diseases of Eucalyptus in Kerela, India. European Journal of Forest Pathology, 21:17-26 https://doi.org/10.1111/j.1439-0329.1991.tb00298.</w:t>
      </w:r>
    </w:p>
    <w:p w14:paraId="1A38CAA8" w14:textId="77777777" w:rsidR="00D867A0" w:rsidRPr="00D867A0" w:rsidRDefault="00D867A0" w:rsidP="00D867A0">
      <w:pPr>
        <w:pStyle w:val="Affiliation"/>
        <w:jc w:val="both"/>
        <w:rPr>
          <w:rFonts w:ascii="Arial" w:hAnsi="Arial" w:cs="Arial"/>
          <w:i/>
          <w:iCs/>
        </w:rPr>
      </w:pPr>
    </w:p>
    <w:p w14:paraId="0FC35205" w14:textId="77777777" w:rsidR="00D867A0" w:rsidRPr="00D867A0" w:rsidRDefault="00D867A0" w:rsidP="00D867A0">
      <w:pPr>
        <w:pStyle w:val="Affiliation"/>
        <w:jc w:val="both"/>
        <w:rPr>
          <w:rFonts w:ascii="Arial" w:hAnsi="Arial" w:cs="Arial"/>
          <w:i/>
          <w:iCs/>
        </w:rPr>
      </w:pPr>
      <w:proofErr w:type="spellStart"/>
      <w:r w:rsidRPr="00D867A0">
        <w:rPr>
          <w:rFonts w:ascii="Arial" w:hAnsi="Arial" w:cs="Arial"/>
          <w:i/>
          <w:iCs/>
        </w:rPr>
        <w:t>Tiendrébeogo</w:t>
      </w:r>
      <w:proofErr w:type="spellEnd"/>
      <w:r w:rsidRPr="00D867A0">
        <w:rPr>
          <w:rFonts w:ascii="Arial" w:hAnsi="Arial" w:cs="Arial"/>
          <w:i/>
          <w:iCs/>
        </w:rPr>
        <w:t xml:space="preserve"> A., Ouédraogo I., Bonzi S., </w:t>
      </w:r>
      <w:proofErr w:type="spellStart"/>
      <w:r w:rsidRPr="00D867A0">
        <w:rPr>
          <w:rFonts w:ascii="Arial" w:hAnsi="Arial" w:cs="Arial"/>
          <w:i/>
          <w:iCs/>
        </w:rPr>
        <w:t>Kassankogno</w:t>
      </w:r>
      <w:proofErr w:type="spellEnd"/>
      <w:r w:rsidRPr="00D867A0">
        <w:rPr>
          <w:rFonts w:ascii="Arial" w:hAnsi="Arial" w:cs="Arial"/>
          <w:i/>
          <w:iCs/>
        </w:rPr>
        <w:t xml:space="preserve"> A.I.2017. Study of the antifungal activity of extracts of </w:t>
      </w:r>
      <w:proofErr w:type="spellStart"/>
      <w:r w:rsidRPr="00D867A0">
        <w:rPr>
          <w:rFonts w:ascii="Arial" w:hAnsi="Arial" w:cs="Arial"/>
          <w:i/>
          <w:iCs/>
        </w:rPr>
        <w:t>Cymbogon</w:t>
      </w:r>
      <w:proofErr w:type="spellEnd"/>
      <w:r w:rsidRPr="00D867A0">
        <w:rPr>
          <w:rFonts w:ascii="Arial" w:hAnsi="Arial" w:cs="Arial"/>
          <w:i/>
          <w:iCs/>
        </w:rPr>
        <w:t xml:space="preserve"> </w:t>
      </w:r>
      <w:proofErr w:type="spellStart"/>
      <w:r w:rsidRPr="00D867A0">
        <w:rPr>
          <w:rFonts w:ascii="Arial" w:hAnsi="Arial" w:cs="Arial"/>
          <w:i/>
          <w:iCs/>
        </w:rPr>
        <w:t>citratus</w:t>
      </w:r>
      <w:proofErr w:type="spellEnd"/>
      <w:r w:rsidRPr="00D867A0">
        <w:rPr>
          <w:rFonts w:ascii="Arial" w:hAnsi="Arial" w:cs="Arial"/>
          <w:i/>
          <w:iCs/>
        </w:rPr>
        <w:t xml:space="preserve"> (DC) </w:t>
      </w:r>
      <w:proofErr w:type="spellStart"/>
      <w:r w:rsidRPr="00D867A0">
        <w:rPr>
          <w:rFonts w:ascii="Arial" w:hAnsi="Arial" w:cs="Arial"/>
          <w:i/>
          <w:iCs/>
        </w:rPr>
        <w:t>stap</w:t>
      </w:r>
      <w:proofErr w:type="spellEnd"/>
      <w:r w:rsidRPr="00D867A0">
        <w:rPr>
          <w:rFonts w:ascii="Arial" w:hAnsi="Arial" w:cs="Arial"/>
          <w:i/>
          <w:iCs/>
        </w:rPr>
        <w:t xml:space="preserve">, </w:t>
      </w:r>
      <w:proofErr w:type="spellStart"/>
      <w:r w:rsidRPr="00D867A0">
        <w:rPr>
          <w:rFonts w:ascii="Arial" w:hAnsi="Arial" w:cs="Arial"/>
          <w:i/>
          <w:iCs/>
        </w:rPr>
        <w:t>Eclipta</w:t>
      </w:r>
      <w:proofErr w:type="spellEnd"/>
      <w:r w:rsidRPr="00D867A0">
        <w:rPr>
          <w:rFonts w:ascii="Arial" w:hAnsi="Arial" w:cs="Arial"/>
          <w:i/>
          <w:iCs/>
        </w:rPr>
        <w:t xml:space="preserve"> alba L., </w:t>
      </w:r>
      <w:proofErr w:type="spellStart"/>
      <w:r w:rsidRPr="00D867A0">
        <w:rPr>
          <w:rFonts w:ascii="Arial" w:hAnsi="Arial" w:cs="Arial"/>
          <w:i/>
          <w:iCs/>
        </w:rPr>
        <w:t>Lippia</w:t>
      </w:r>
      <w:proofErr w:type="spellEnd"/>
      <w:r w:rsidRPr="00D867A0">
        <w:rPr>
          <w:rFonts w:ascii="Arial" w:hAnsi="Arial" w:cs="Arial"/>
          <w:i/>
          <w:iCs/>
        </w:rPr>
        <w:t xml:space="preserve"> multiflora M. and Agave sisalana, 10p International Journal of Biological and Chemical Sciences DOI: https://dx.doi.org/10.4314/ijbcs.v112.2.</w:t>
      </w:r>
    </w:p>
    <w:p w14:paraId="532E4C21" w14:textId="77777777" w:rsidR="00D867A0" w:rsidRPr="00D867A0" w:rsidRDefault="00D867A0" w:rsidP="00D867A0">
      <w:pPr>
        <w:pStyle w:val="Affiliation"/>
        <w:jc w:val="both"/>
        <w:rPr>
          <w:rFonts w:ascii="Arial" w:hAnsi="Arial" w:cs="Arial"/>
          <w:i/>
          <w:iCs/>
        </w:rPr>
      </w:pPr>
    </w:p>
    <w:p w14:paraId="67B41E1C" w14:textId="322B5E50" w:rsidR="00B01FCD" w:rsidRPr="0048629F" w:rsidRDefault="00D867A0" w:rsidP="00D867A0">
      <w:pPr>
        <w:pStyle w:val="Affiliation"/>
        <w:jc w:val="both"/>
        <w:rPr>
          <w:rFonts w:ascii="Arial" w:hAnsi="Arial" w:cs="Arial"/>
          <w:i/>
          <w:iCs/>
        </w:rPr>
      </w:pPr>
      <w:r w:rsidRPr="00D867A0">
        <w:rPr>
          <w:rFonts w:ascii="Arial" w:hAnsi="Arial" w:cs="Arial"/>
          <w:i/>
          <w:iCs/>
        </w:rPr>
        <w:t xml:space="preserve">Tuo S., Kassi K.J.M., Camara B., Ouédraogo S.L., Koné D.2021. Biocontrol of </w:t>
      </w:r>
      <w:proofErr w:type="spellStart"/>
      <w:r w:rsidRPr="00D867A0">
        <w:rPr>
          <w:rFonts w:ascii="Arial" w:hAnsi="Arial" w:cs="Arial"/>
          <w:i/>
          <w:iCs/>
        </w:rPr>
        <w:t>Mycosphaerella</w:t>
      </w:r>
      <w:proofErr w:type="spellEnd"/>
      <w:r w:rsidRPr="00D867A0">
        <w:rPr>
          <w:rFonts w:ascii="Arial" w:hAnsi="Arial" w:cs="Arial"/>
          <w:i/>
          <w:iCs/>
        </w:rPr>
        <w:t xml:space="preserve"> </w:t>
      </w:r>
      <w:proofErr w:type="spellStart"/>
      <w:r w:rsidRPr="00D867A0">
        <w:rPr>
          <w:rFonts w:ascii="Arial" w:hAnsi="Arial" w:cs="Arial"/>
          <w:i/>
          <w:iCs/>
        </w:rPr>
        <w:t>spp</w:t>
      </w:r>
      <w:proofErr w:type="spellEnd"/>
      <w:r w:rsidRPr="00D867A0">
        <w:rPr>
          <w:rFonts w:ascii="Arial" w:hAnsi="Arial" w:cs="Arial"/>
          <w:i/>
          <w:iCs/>
        </w:rPr>
        <w:t xml:space="preserve"> </w:t>
      </w:r>
      <w:proofErr w:type="spellStart"/>
      <w:r w:rsidRPr="00D867A0">
        <w:rPr>
          <w:rFonts w:ascii="Arial" w:hAnsi="Arial" w:cs="Arial"/>
          <w:i/>
          <w:iCs/>
        </w:rPr>
        <w:t>Morelet</w:t>
      </w:r>
      <w:proofErr w:type="spellEnd"/>
      <w:r w:rsidRPr="00D867A0">
        <w:rPr>
          <w:rFonts w:ascii="Arial" w:hAnsi="Arial" w:cs="Arial"/>
          <w:i/>
          <w:iCs/>
        </w:rPr>
        <w:t>, the Causal Agent of Black Sigatoka of Banana Tree (Musa spp.) Using Biopesticides in Côte d’Ivoire. Advances in Bioscience and Bioengineering. Flight. 9, no. 4, pp. 111–123. https://doi.org/10.11648/j.abb.20210904.13p.</w:t>
      </w:r>
    </w:p>
    <w:sectPr w:rsidR="00B01FCD" w:rsidRPr="0048629F" w:rsidSect="00412475">
      <w:headerReference w:type="even" r:id="rId23"/>
      <w:headerReference w:type="default" r:id="rId24"/>
      <w:footerReference w:type="default" r:id="rId25"/>
      <w:headerReference w:type="first" r:id="rId26"/>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93235" w14:textId="77777777" w:rsidR="00AD34F2" w:rsidRDefault="00AD34F2" w:rsidP="00C37E61">
      <w:r>
        <w:separator/>
      </w:r>
    </w:p>
  </w:endnote>
  <w:endnote w:type="continuationSeparator" w:id="0">
    <w:p w14:paraId="079D23C8" w14:textId="77777777" w:rsidR="00AD34F2" w:rsidRDefault="00AD34F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68F7C" w14:textId="77777777" w:rsidR="0099413C" w:rsidRDefault="00994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6F82D" w14:textId="77777777" w:rsidR="0099413C" w:rsidRDefault="00994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789B" w14:textId="77777777" w:rsidR="009E048A" w:rsidRDefault="009E048A">
    <w:pPr>
      <w:pStyle w:val="Footer"/>
      <w:rPr>
        <w:rFonts w:ascii="Arial" w:hAnsi="Arial" w:cs="Arial"/>
        <w:sz w:val="16"/>
      </w:rPr>
    </w:pPr>
  </w:p>
  <w:p w14:paraId="1CB8C9D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8234C43" w14:textId="77777777" w:rsidR="009E048A" w:rsidRDefault="009E048A">
    <w:pPr>
      <w:pStyle w:val="Footer"/>
      <w:rPr>
        <w:rFonts w:ascii="Arial" w:hAnsi="Arial" w:cs="Arial"/>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C29C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66CA3" w14:textId="77777777" w:rsidR="00AD34F2" w:rsidRDefault="00AD34F2" w:rsidP="00C37E61">
      <w:r>
        <w:separator/>
      </w:r>
    </w:p>
  </w:footnote>
  <w:footnote w:type="continuationSeparator" w:id="0">
    <w:p w14:paraId="6BBABBFF" w14:textId="77777777" w:rsidR="00AD34F2" w:rsidRDefault="00AD34F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4D0BD" w14:textId="10DB58CE" w:rsidR="0099413C" w:rsidRDefault="0099413C">
    <w:pPr>
      <w:pStyle w:val="Header"/>
    </w:pPr>
    <w:r>
      <w:rPr>
        <w:noProof/>
      </w:rPr>
      <w:pict w14:anchorId="0601D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88" o:spid="_x0000_s2050" type="#_x0000_t136" style="position:absolute;margin-left:0;margin-top:0;width:566.45pt;height:62.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5345F" w14:textId="4890DCF0" w:rsidR="0099413C" w:rsidRDefault="0099413C">
    <w:pPr>
      <w:pStyle w:val="Header"/>
    </w:pPr>
    <w:r>
      <w:rPr>
        <w:noProof/>
      </w:rPr>
      <w:pict w14:anchorId="6EDDA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89" o:spid="_x0000_s2051" type="#_x0000_t136" style="position:absolute;margin-left:0;margin-top:0;width:566.45pt;height:62.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FE81" w14:textId="1CC11E2A" w:rsidR="00296529" w:rsidRPr="00296529" w:rsidRDefault="0099413C" w:rsidP="00296529">
    <w:pPr>
      <w:ind w:left="2160"/>
      <w:jc w:val="center"/>
      <w:rPr>
        <w:rFonts w:ascii="Times New Roman" w:eastAsia="Calibri" w:hAnsi="Times New Roman"/>
        <w:i/>
        <w:sz w:val="18"/>
        <w:szCs w:val="22"/>
      </w:rPr>
    </w:pPr>
    <w:r>
      <w:rPr>
        <w:noProof/>
      </w:rPr>
      <w:pict w14:anchorId="3EF37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87" o:spid="_x0000_s2049" type="#_x0000_t136" style="position:absolute;left:0;text-align:left;margin-left:0;margin-top:0;width:566.45pt;height:62.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46A94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7E002E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DCBB6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0E239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77B15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DB48D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51476" w14:textId="39467941" w:rsidR="0099413C" w:rsidRDefault="0099413C">
    <w:pPr>
      <w:pStyle w:val="Header"/>
    </w:pPr>
    <w:r>
      <w:rPr>
        <w:noProof/>
      </w:rPr>
      <w:pict w14:anchorId="7E6D1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91" o:spid="_x0000_s2053" type="#_x0000_t136" style="position:absolute;margin-left:0;margin-top:0;width:566.45pt;height:62.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8E43" w14:textId="281F7607" w:rsidR="0099413C" w:rsidRDefault="0099413C">
    <w:pPr>
      <w:pStyle w:val="Header"/>
    </w:pPr>
    <w:r>
      <w:rPr>
        <w:noProof/>
      </w:rPr>
      <w:pict w14:anchorId="20F9B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92" o:spid="_x0000_s2054" type="#_x0000_t136" style="position:absolute;margin-left:0;margin-top:0;width:566.45pt;height:62.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67645" w14:textId="6C18B44C" w:rsidR="0099413C" w:rsidRDefault="0099413C">
    <w:pPr>
      <w:pStyle w:val="Header"/>
    </w:pPr>
    <w:r>
      <w:rPr>
        <w:noProof/>
      </w:rPr>
      <w:pict w14:anchorId="7BF11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76190" o:spid="_x0000_s2052" type="#_x0000_t136" style="position:absolute;margin-left:0;margin-top:0;width:566.45pt;height:62.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12EA"/>
    <w:rsid w:val="00080D8F"/>
    <w:rsid w:val="000A47FA"/>
    <w:rsid w:val="000A65D3"/>
    <w:rsid w:val="000B1E33"/>
    <w:rsid w:val="000D689F"/>
    <w:rsid w:val="000E7B7B"/>
    <w:rsid w:val="000E7D62"/>
    <w:rsid w:val="00103357"/>
    <w:rsid w:val="0010450C"/>
    <w:rsid w:val="00110491"/>
    <w:rsid w:val="00116E94"/>
    <w:rsid w:val="00123C9F"/>
    <w:rsid w:val="00123F6B"/>
    <w:rsid w:val="00126190"/>
    <w:rsid w:val="00130F17"/>
    <w:rsid w:val="001320BF"/>
    <w:rsid w:val="00141DF7"/>
    <w:rsid w:val="00163BC4"/>
    <w:rsid w:val="00183529"/>
    <w:rsid w:val="00191062"/>
    <w:rsid w:val="00192B72"/>
    <w:rsid w:val="001A29D8"/>
    <w:rsid w:val="001A5CAA"/>
    <w:rsid w:val="001B0427"/>
    <w:rsid w:val="001D3A51"/>
    <w:rsid w:val="001E10D2"/>
    <w:rsid w:val="001E25B4"/>
    <w:rsid w:val="001E44FE"/>
    <w:rsid w:val="001E5FA5"/>
    <w:rsid w:val="00200595"/>
    <w:rsid w:val="00204835"/>
    <w:rsid w:val="00231920"/>
    <w:rsid w:val="0023195C"/>
    <w:rsid w:val="0024282C"/>
    <w:rsid w:val="002451A8"/>
    <w:rsid w:val="002460DC"/>
    <w:rsid w:val="00250985"/>
    <w:rsid w:val="002556F6"/>
    <w:rsid w:val="00283105"/>
    <w:rsid w:val="00284C4C"/>
    <w:rsid w:val="00287E68"/>
    <w:rsid w:val="00296529"/>
    <w:rsid w:val="002A4C4B"/>
    <w:rsid w:val="002B27FB"/>
    <w:rsid w:val="002B685A"/>
    <w:rsid w:val="002C57D2"/>
    <w:rsid w:val="002E0D56"/>
    <w:rsid w:val="00303D7E"/>
    <w:rsid w:val="00306AC5"/>
    <w:rsid w:val="00315186"/>
    <w:rsid w:val="00331D70"/>
    <w:rsid w:val="0033343E"/>
    <w:rsid w:val="003512C2"/>
    <w:rsid w:val="00371FB6"/>
    <w:rsid w:val="003763C1"/>
    <w:rsid w:val="00376BBE"/>
    <w:rsid w:val="0039224F"/>
    <w:rsid w:val="003A43A4"/>
    <w:rsid w:val="003A7E18"/>
    <w:rsid w:val="003C4C86"/>
    <w:rsid w:val="003C6258"/>
    <w:rsid w:val="003E2904"/>
    <w:rsid w:val="00401927"/>
    <w:rsid w:val="00403C45"/>
    <w:rsid w:val="0041027F"/>
    <w:rsid w:val="00412475"/>
    <w:rsid w:val="00423789"/>
    <w:rsid w:val="0042536B"/>
    <w:rsid w:val="00440F43"/>
    <w:rsid w:val="00441B6F"/>
    <w:rsid w:val="00446221"/>
    <w:rsid w:val="00450E62"/>
    <w:rsid w:val="004539DB"/>
    <w:rsid w:val="004636FE"/>
    <w:rsid w:val="00471A80"/>
    <w:rsid w:val="00484BFF"/>
    <w:rsid w:val="0048629F"/>
    <w:rsid w:val="004B78FE"/>
    <w:rsid w:val="004D305E"/>
    <w:rsid w:val="004D4277"/>
    <w:rsid w:val="00502516"/>
    <w:rsid w:val="00505F06"/>
    <w:rsid w:val="00506828"/>
    <w:rsid w:val="0053056E"/>
    <w:rsid w:val="00535889"/>
    <w:rsid w:val="00554FDA"/>
    <w:rsid w:val="00573F01"/>
    <w:rsid w:val="00595B34"/>
    <w:rsid w:val="005A59E1"/>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3049"/>
    <w:rsid w:val="006B57D0"/>
    <w:rsid w:val="006D15FD"/>
    <w:rsid w:val="006D30FF"/>
    <w:rsid w:val="006D6940"/>
    <w:rsid w:val="006E3B70"/>
    <w:rsid w:val="006F11EC"/>
    <w:rsid w:val="007007B7"/>
    <w:rsid w:val="0070082C"/>
    <w:rsid w:val="007369E6"/>
    <w:rsid w:val="00746E59"/>
    <w:rsid w:val="00747645"/>
    <w:rsid w:val="00754C9A"/>
    <w:rsid w:val="0075599A"/>
    <w:rsid w:val="00757A6F"/>
    <w:rsid w:val="00761D52"/>
    <w:rsid w:val="00770A6A"/>
    <w:rsid w:val="0077749E"/>
    <w:rsid w:val="00790ADA"/>
    <w:rsid w:val="007D2288"/>
    <w:rsid w:val="007E088F"/>
    <w:rsid w:val="007F289D"/>
    <w:rsid w:val="007F7B32"/>
    <w:rsid w:val="00804BC2"/>
    <w:rsid w:val="0081431A"/>
    <w:rsid w:val="0083216F"/>
    <w:rsid w:val="00860000"/>
    <w:rsid w:val="00863BD3"/>
    <w:rsid w:val="008641ED"/>
    <w:rsid w:val="00866946"/>
    <w:rsid w:val="00866D66"/>
    <w:rsid w:val="008671C6"/>
    <w:rsid w:val="00875803"/>
    <w:rsid w:val="008A5574"/>
    <w:rsid w:val="008B459E"/>
    <w:rsid w:val="008D507E"/>
    <w:rsid w:val="008E13AE"/>
    <w:rsid w:val="008E1506"/>
    <w:rsid w:val="008E6208"/>
    <w:rsid w:val="008E710C"/>
    <w:rsid w:val="008F69D6"/>
    <w:rsid w:val="00902823"/>
    <w:rsid w:val="00915CA6"/>
    <w:rsid w:val="00927834"/>
    <w:rsid w:val="00946CC8"/>
    <w:rsid w:val="009500A6"/>
    <w:rsid w:val="00957C18"/>
    <w:rsid w:val="009659BA"/>
    <w:rsid w:val="00983040"/>
    <w:rsid w:val="0099413C"/>
    <w:rsid w:val="009B3FB9"/>
    <w:rsid w:val="009C2465"/>
    <w:rsid w:val="009C370A"/>
    <w:rsid w:val="009D35A0"/>
    <w:rsid w:val="009D7EB7"/>
    <w:rsid w:val="009E048A"/>
    <w:rsid w:val="009E08E9"/>
    <w:rsid w:val="009E3DB9"/>
    <w:rsid w:val="009E5F17"/>
    <w:rsid w:val="009E6E35"/>
    <w:rsid w:val="009F0EDA"/>
    <w:rsid w:val="00A03B96"/>
    <w:rsid w:val="00A05B19"/>
    <w:rsid w:val="00A1134E"/>
    <w:rsid w:val="00A24E7E"/>
    <w:rsid w:val="00A258C3"/>
    <w:rsid w:val="00A347C0"/>
    <w:rsid w:val="00A36275"/>
    <w:rsid w:val="00A51431"/>
    <w:rsid w:val="00A539AD"/>
    <w:rsid w:val="00A93B16"/>
    <w:rsid w:val="00A94063"/>
    <w:rsid w:val="00AA6219"/>
    <w:rsid w:val="00AA74E0"/>
    <w:rsid w:val="00AA7DC2"/>
    <w:rsid w:val="00AB20BB"/>
    <w:rsid w:val="00AB703F"/>
    <w:rsid w:val="00AC6119"/>
    <w:rsid w:val="00AC6BB8"/>
    <w:rsid w:val="00AC7DB1"/>
    <w:rsid w:val="00AD34F2"/>
    <w:rsid w:val="00AE008F"/>
    <w:rsid w:val="00AE69EA"/>
    <w:rsid w:val="00B01FCD"/>
    <w:rsid w:val="00B143D5"/>
    <w:rsid w:val="00B1776C"/>
    <w:rsid w:val="00B459F4"/>
    <w:rsid w:val="00B52583"/>
    <w:rsid w:val="00B52896"/>
    <w:rsid w:val="00B724DC"/>
    <w:rsid w:val="00B93BAE"/>
    <w:rsid w:val="00B95236"/>
    <w:rsid w:val="00B96BD9"/>
    <w:rsid w:val="00BA1B01"/>
    <w:rsid w:val="00BA2641"/>
    <w:rsid w:val="00BA6EF2"/>
    <w:rsid w:val="00BA78B3"/>
    <w:rsid w:val="00BB37AA"/>
    <w:rsid w:val="00BC53A0"/>
    <w:rsid w:val="00BE62AD"/>
    <w:rsid w:val="00BF121F"/>
    <w:rsid w:val="00BF1F80"/>
    <w:rsid w:val="00C166EF"/>
    <w:rsid w:val="00C17EB0"/>
    <w:rsid w:val="00C271F3"/>
    <w:rsid w:val="00C27F5F"/>
    <w:rsid w:val="00C30A0F"/>
    <w:rsid w:val="00C37E61"/>
    <w:rsid w:val="00C53997"/>
    <w:rsid w:val="00C70F1B"/>
    <w:rsid w:val="00C71A47"/>
    <w:rsid w:val="00C7464C"/>
    <w:rsid w:val="00C85588"/>
    <w:rsid w:val="00C86AC7"/>
    <w:rsid w:val="00CD6755"/>
    <w:rsid w:val="00CD6856"/>
    <w:rsid w:val="00CE0089"/>
    <w:rsid w:val="00CE37E6"/>
    <w:rsid w:val="00CE793C"/>
    <w:rsid w:val="00CF193C"/>
    <w:rsid w:val="00D173F1"/>
    <w:rsid w:val="00D2185F"/>
    <w:rsid w:val="00D50715"/>
    <w:rsid w:val="00D74CB0"/>
    <w:rsid w:val="00D8295D"/>
    <w:rsid w:val="00D867A0"/>
    <w:rsid w:val="00DC2A65"/>
    <w:rsid w:val="00DC5E9C"/>
    <w:rsid w:val="00DE15F0"/>
    <w:rsid w:val="00DE5663"/>
    <w:rsid w:val="00DE78AA"/>
    <w:rsid w:val="00E053D0"/>
    <w:rsid w:val="00E1442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7D6A"/>
    <w:rsid w:val="00F469F0"/>
    <w:rsid w:val="00F53273"/>
    <w:rsid w:val="00F755E4"/>
    <w:rsid w:val="00F77D02"/>
    <w:rsid w:val="00FB3A86"/>
    <w:rsid w:val="00FD36C8"/>
    <w:rsid w:val="00FE3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4ABFAB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ntstyle01">
    <w:name w:val="fontstyle01"/>
    <w:basedOn w:val="DefaultParagraphFont"/>
    <w:rsid w:val="002451A8"/>
    <w:rPr>
      <w:rFonts w:ascii="Tw Cen MT Condensed" w:hAnsi="Tw Cen MT Condensed" w:hint="default"/>
      <w:b w:val="0"/>
      <w:bCs w:val="0"/>
      <w:i w:val="0"/>
      <w:iCs w:val="0"/>
      <w:color w:val="000000"/>
      <w:sz w:val="28"/>
      <w:szCs w:val="28"/>
    </w:rPr>
  </w:style>
  <w:style w:type="table" w:customStyle="1" w:styleId="Tableausimple21">
    <w:name w:val="Tableau simple 21"/>
    <w:basedOn w:val="TableNormal"/>
    <w:next w:val="TableNormal"/>
    <w:uiPriority w:val="42"/>
    <w:rsid w:val="002451A8"/>
    <w:rPr>
      <w:rFonts w:ascii="Calibri" w:eastAsia="Calibri" w:hAnsi="Calibri" w:cs="SimSun"/>
      <w:sz w:val="22"/>
      <w:szCs w:val="22"/>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2451A8"/>
    <w:rPr>
      <w:rFonts w:eastAsia="Calibri" w:cs="SimSun"/>
      <w:sz w:val="22"/>
      <w:szCs w:val="22"/>
      <w:lang w:val="fr-FR"/>
    </w:rPr>
    <w:tblPr>
      <w:tblStyleRowBandSize w:val="1"/>
      <w:tblStyleColBandSize w:val="1"/>
      <w:tblBorders>
        <w:top w:val="single" w:sz="4" w:space="0" w:color="auto"/>
        <w:bottom w:val="single" w:sz="4" w:space="0" w:color="auto"/>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B20BB"/>
    <w:rPr>
      <w:rFonts w:ascii="Arial" w:hAnsi="Arial"/>
      <w:b/>
      <w:kern w:val="28"/>
      <w:sz w:val="28"/>
    </w:rPr>
  </w:style>
  <w:style w:type="table" w:customStyle="1" w:styleId="Tableausimple22">
    <w:name w:val="Tableau simple 22"/>
    <w:basedOn w:val="TableNormal"/>
    <w:uiPriority w:val="42"/>
    <w:rsid w:val="00306AC5"/>
    <w:rPr>
      <w:rFonts w:ascii="Calibri" w:eastAsia="Calibri" w:hAnsi="Calibri" w:cs="SimSun"/>
      <w:sz w:val="22"/>
      <w:szCs w:val="22"/>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oussim\Desktop\Article%202026\Donn&#233;es%20Cerco%202023%20in%20vitro%20Version%20finale.%20kaixls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oussim\Desktop\Article%202026\Donn&#233;es%20Cerco%202023%20in%20vitro%20Version%20finale.%20kaixls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oussim\Desktop\Article%202026\Donn&#233;es%20Cerco%202023%20in%20vitro%20Version%20finale.%20kaixlsx.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600" b="1" i="0" u="none" strike="noStrike" cap="none" normalizeH="0" baseline="0"/>
              <a:t>Rate of radial growth inhibition </a:t>
            </a:r>
            <a:endParaRPr lang="fr-F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'Taux d''inbition_croissance '!$M$56</c:f>
              <c:strCache>
                <c:ptCount val="1"/>
                <c:pt idx="0">
                  <c:v>Control</c:v>
                </c:pt>
              </c:strCache>
            </c:strRef>
          </c:tx>
          <c:spPr>
            <a:pattFill prst="pct70">
              <a:fgClr>
                <a:schemeClr val="tx1"/>
              </a:fgClr>
              <a:bgClr>
                <a:schemeClr val="bg1"/>
              </a:bgClr>
            </a:pattFill>
            <a:ln>
              <a:noFill/>
            </a:ln>
            <a:effectLst/>
          </c:spPr>
          <c:invertIfNegative val="0"/>
          <c:dLbls>
            <c:spPr>
              <a:pattFill prst="pct50">
                <a:fgClr>
                  <a:schemeClr val="tx1"/>
                </a:fgClr>
                <a:bgClr>
                  <a:schemeClr val="bg1"/>
                </a:bgClr>
              </a:pattFill>
              <a:ln cap="sq">
                <a:solidFill>
                  <a:schemeClr val="accent1"/>
                </a:solidFill>
                <a:prstDash val="dash"/>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'!$M$57:$M$60</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C5CF-4E27-8FFD-61C83E0CE866}"/>
            </c:ext>
          </c:extLst>
        </c:ser>
        <c:ser>
          <c:idx val="1"/>
          <c:order val="1"/>
          <c:tx>
            <c:strRef>
              <c:f>'Taux d''inbition_croissance '!$N$56</c:f>
              <c:strCache>
                <c:ptCount val="1"/>
                <c:pt idx="0">
                  <c:v>L.multiflora</c:v>
                </c:pt>
              </c:strCache>
            </c:strRef>
          </c:tx>
          <c:spPr>
            <a:pattFill prst="lgCheck">
              <a:fgClr>
                <a:schemeClr val="tx1"/>
              </a:fgClr>
              <a:bgClr>
                <a:schemeClr val="bg1"/>
              </a:bgClr>
            </a:pattFill>
            <a:ln cap="sq">
              <a:gradFill>
                <a:gsLst>
                  <a:gs pos="20000">
                    <a:schemeClr val="accent1">
                      <a:lumMod val="3000"/>
                      <a:lumOff val="9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'!$N$57:$N$60</c:f>
              <c:numCache>
                <c:formatCode>0.00</c:formatCode>
                <c:ptCount val="4"/>
                <c:pt idx="0">
                  <c:v>23.53</c:v>
                </c:pt>
                <c:pt idx="1">
                  <c:v>61.762999999999998</c:v>
                </c:pt>
                <c:pt idx="2" formatCode="0">
                  <c:v>100</c:v>
                </c:pt>
                <c:pt idx="3">
                  <c:v>61.764333333333333</c:v>
                </c:pt>
              </c:numCache>
            </c:numRef>
          </c:val>
          <c:extLst>
            <c:ext xmlns:c16="http://schemas.microsoft.com/office/drawing/2014/chart" uri="{C3380CC4-5D6E-409C-BE32-E72D297353CC}">
              <c16:uniqueId val="{00000001-C5CF-4E27-8FFD-61C83E0CE866}"/>
            </c:ext>
          </c:extLst>
        </c:ser>
        <c:ser>
          <c:idx val="2"/>
          <c:order val="2"/>
          <c:tx>
            <c:strRef>
              <c:f>'Taux d''inbition_croissance '!$O$56</c:f>
              <c:strCache>
                <c:ptCount val="1"/>
                <c:pt idx="0">
                  <c:v>O. gratissimum</c:v>
                </c:pt>
              </c:strCache>
            </c:strRef>
          </c:tx>
          <c:spPr>
            <a:pattFill prst="pct80">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'!$O$57:$O$60</c:f>
              <c:numCache>
                <c:formatCode>0</c:formatCode>
                <c:ptCount val="4"/>
                <c:pt idx="0" formatCode="0.00">
                  <c:v>62.353000000000002</c:v>
                </c:pt>
                <c:pt idx="1">
                  <c:v>100</c:v>
                </c:pt>
                <c:pt idx="2">
                  <c:v>100</c:v>
                </c:pt>
                <c:pt idx="3" formatCode="0.00">
                  <c:v>87.451000000000008</c:v>
                </c:pt>
              </c:numCache>
            </c:numRef>
          </c:val>
          <c:extLst>
            <c:ext xmlns:c16="http://schemas.microsoft.com/office/drawing/2014/chart" uri="{C3380CC4-5D6E-409C-BE32-E72D297353CC}">
              <c16:uniqueId val="{00000002-C5CF-4E27-8FFD-61C83E0CE866}"/>
            </c:ext>
          </c:extLst>
        </c:ser>
        <c:ser>
          <c:idx val="3"/>
          <c:order val="3"/>
          <c:tx>
            <c:strRef>
              <c:f>'Taux d''inbition_croissance '!$P$56</c:f>
              <c:strCache>
                <c:ptCount val="1"/>
                <c:pt idx="0">
                  <c:v>Mancozeb</c:v>
                </c:pt>
              </c:strCache>
            </c:strRef>
          </c:tx>
          <c:spPr>
            <a:pattFill prst="openDmn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'!$P$57:$P$60</c:f>
              <c:numCache>
                <c:formatCode>0</c:formatCode>
                <c:ptCount val="4"/>
                <c:pt idx="0">
                  <c:v>100</c:v>
                </c:pt>
                <c:pt idx="1">
                  <c:v>100</c:v>
                </c:pt>
                <c:pt idx="2">
                  <c:v>100</c:v>
                </c:pt>
                <c:pt idx="3">
                  <c:v>100</c:v>
                </c:pt>
              </c:numCache>
            </c:numRef>
          </c:val>
          <c:extLst>
            <c:ext xmlns:c16="http://schemas.microsoft.com/office/drawing/2014/chart" uri="{C3380CC4-5D6E-409C-BE32-E72D297353CC}">
              <c16:uniqueId val="{00000003-C5CF-4E27-8FFD-61C83E0CE866}"/>
            </c:ext>
          </c:extLst>
        </c:ser>
        <c:ser>
          <c:idx val="4"/>
          <c:order val="4"/>
          <c:tx>
            <c:strRef>
              <c:f>'Taux d''inbition_croissance '!$Q$56</c:f>
              <c:strCache>
                <c:ptCount val="1"/>
                <c:pt idx="0">
                  <c:v>copper hydroxide </c:v>
                </c:pt>
              </c:strCache>
            </c:strRef>
          </c:tx>
          <c:spPr>
            <a:pattFill prst="smGri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'Taux d''inbition_croissance '!$J$57:$L$60</c:f>
              <c:strCache>
                <c:ptCount val="4"/>
                <c:pt idx="0">
                  <c:v>Lower dose </c:v>
                </c:pt>
                <c:pt idx="1">
                  <c:v>Recommended dose</c:v>
                </c:pt>
                <c:pt idx="2">
                  <c:v>Higher dose</c:v>
                </c:pt>
                <c:pt idx="3">
                  <c:v>PIG</c:v>
                </c:pt>
              </c:strCache>
            </c:strRef>
          </c:cat>
          <c:val>
            <c:numRef>
              <c:f>'Taux d''inbition_croissance '!$Q$57:$Q$60</c:f>
              <c:numCache>
                <c:formatCode>0.00</c:formatCode>
                <c:ptCount val="4"/>
                <c:pt idx="0">
                  <c:v>87.647000000000006</c:v>
                </c:pt>
                <c:pt idx="1">
                  <c:v>85.293000000000006</c:v>
                </c:pt>
                <c:pt idx="2">
                  <c:v>86.08</c:v>
                </c:pt>
                <c:pt idx="3">
                  <c:v>86.339999999999989</c:v>
                </c:pt>
              </c:numCache>
            </c:numRef>
          </c:val>
          <c:extLst>
            <c:ext xmlns:c16="http://schemas.microsoft.com/office/drawing/2014/chart" uri="{C3380CC4-5D6E-409C-BE32-E72D297353CC}">
              <c16:uniqueId val="{00000004-C5CF-4E27-8FFD-61C83E0CE866}"/>
            </c:ext>
          </c:extLst>
        </c:ser>
        <c:dLbls>
          <c:showLegendKey val="0"/>
          <c:showVal val="1"/>
          <c:showCatName val="0"/>
          <c:showSerName val="0"/>
          <c:showPercent val="0"/>
          <c:showBubbleSize val="0"/>
        </c:dLbls>
        <c:gapWidth val="267"/>
        <c:overlap val="-43"/>
        <c:axId val="1735218832"/>
        <c:axId val="1735228624"/>
      </c:barChart>
      <c:catAx>
        <c:axId val="1735218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735228624"/>
        <c:crosses val="autoZero"/>
        <c:auto val="1"/>
        <c:lblAlgn val="ctr"/>
        <c:lblOffset val="100"/>
        <c:noMultiLvlLbl val="0"/>
      </c:catAx>
      <c:valAx>
        <c:axId val="17352286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baseline="0"/>
                  <a:t>% inhibition (TIc) </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735218832"/>
        <c:crosses val="autoZero"/>
        <c:crossBetween val="between"/>
      </c:valAx>
      <c:spPr>
        <a:noFill/>
        <a:ln>
          <a:noFill/>
        </a:ln>
        <a:effectLst/>
      </c:spPr>
    </c:plotArea>
    <c:legend>
      <c:legendPos val="b"/>
      <c:layout>
        <c:manualLayout>
          <c:xMode val="edge"/>
          <c:yMode val="edge"/>
          <c:x val="0.16119020619379981"/>
          <c:y val="0.90097651753779162"/>
          <c:w val="0.68776157544201499"/>
          <c:h val="9.90235434323496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of sporulation inhibition</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'Taux d''inbition_sporulation'!$B$15</c:f>
              <c:strCache>
                <c:ptCount val="1"/>
                <c:pt idx="0">
                  <c:v>Mancozeb</c:v>
                </c:pt>
              </c:strCache>
            </c:strRef>
          </c:tx>
          <c:spPr>
            <a:pattFill prst="openDmn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d''inbition_sporulation'!$C$15:$F$15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B505-4155-802F-E38885D47745}"/>
            </c:ext>
          </c:extLst>
        </c:ser>
        <c:ser>
          <c:idx val="1"/>
          <c:order val="1"/>
          <c:tx>
            <c:strRef>
              <c:f>'Taux d''inbition_sporulation'!$B$16</c:f>
              <c:strCache>
                <c:ptCount val="1"/>
                <c:pt idx="0">
                  <c:v>Copper hydroxide </c:v>
                </c:pt>
              </c:strCache>
            </c:strRef>
          </c:tx>
          <c:spPr>
            <a:pattFill prst="smGri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d''inbition_sporulation'!$C$16:$F$16</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1-B505-4155-802F-E38885D47745}"/>
            </c:ext>
          </c:extLst>
        </c:ser>
        <c:ser>
          <c:idx val="2"/>
          <c:order val="2"/>
          <c:tx>
            <c:strRef>
              <c:f>'Taux d''inbition_sporulation'!$B$17</c:f>
              <c:strCache>
                <c:ptCount val="1"/>
                <c:pt idx="0">
                  <c:v>O. Gratissimum</c:v>
                </c:pt>
              </c:strCache>
            </c:strRef>
          </c:tx>
          <c:spPr>
            <a:pattFill prst="pct80">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d''inbition_sporulation'!$C$17:$F$17</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2-B505-4155-802F-E38885D47745}"/>
            </c:ext>
          </c:extLst>
        </c:ser>
        <c:ser>
          <c:idx val="3"/>
          <c:order val="3"/>
          <c:tx>
            <c:strRef>
              <c:f>'Taux d''inbition_sporulation'!$B$18</c:f>
              <c:strCache>
                <c:ptCount val="1"/>
                <c:pt idx="0">
                  <c:v>L.Multiflora</c:v>
                </c:pt>
              </c:strCache>
            </c:strRef>
          </c:tx>
          <c:spPr>
            <a:pattFill prst="lgCheck">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d''inbition_sporulation'!$C$18:$F$18</c:f>
              <c:numCache>
                <c:formatCode>General</c:formatCode>
                <c:ptCount val="4"/>
                <c:pt idx="0">
                  <c:v>36.729999999999997</c:v>
                </c:pt>
                <c:pt idx="1">
                  <c:v>80.760000000000005</c:v>
                </c:pt>
                <c:pt idx="2">
                  <c:v>100</c:v>
                </c:pt>
                <c:pt idx="3">
                  <c:v>72.49666666666667</c:v>
                </c:pt>
              </c:numCache>
            </c:numRef>
          </c:val>
          <c:extLst>
            <c:ext xmlns:c16="http://schemas.microsoft.com/office/drawing/2014/chart" uri="{C3380CC4-5D6E-409C-BE32-E72D297353CC}">
              <c16:uniqueId val="{00000003-B505-4155-802F-E38885D47745}"/>
            </c:ext>
          </c:extLst>
        </c:ser>
        <c:ser>
          <c:idx val="4"/>
          <c:order val="4"/>
          <c:tx>
            <c:strRef>
              <c:f>'Taux d''inbition_sporulation'!$B$19</c:f>
              <c:strCache>
                <c:ptCount val="1"/>
                <c:pt idx="0">
                  <c:v>Control</c:v>
                </c:pt>
              </c:strCache>
            </c:strRef>
          </c:tx>
          <c:spPr>
            <a:solidFill>
              <a:schemeClr val="accent5"/>
            </a:solidFill>
            <a:ln>
              <a:noFill/>
            </a:ln>
            <a:effectLst/>
          </c:spPr>
          <c:invertIfNegative val="0"/>
          <c:dLbls>
            <c:spPr>
              <a:pattFill prst="pct50">
                <a:fgClr>
                  <a:schemeClr val="tx1"/>
                </a:fgClr>
                <a:bgClr>
                  <a:schemeClr val="bg1"/>
                </a:bgClr>
              </a:patt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'Taux d''inbition_sporulation'!$C$14:$F$14</c:f>
              <c:strCache>
                <c:ptCount val="4"/>
                <c:pt idx="0">
                  <c:v>Lower dose</c:v>
                </c:pt>
                <c:pt idx="1">
                  <c:v>Recommended dose</c:v>
                </c:pt>
                <c:pt idx="2">
                  <c:v>	Higher dose</c:v>
                </c:pt>
                <c:pt idx="3">
                  <c:v>PIG</c:v>
                </c:pt>
              </c:strCache>
            </c:strRef>
          </c:cat>
          <c:val>
            <c:numRef>
              <c:f>'Taux d''inbition_sporulation'!$C$19:$F$19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B505-4155-802F-E38885D47745}"/>
            </c:ext>
          </c:extLst>
        </c:ser>
        <c:dLbls>
          <c:dLblPos val="outEnd"/>
          <c:showLegendKey val="0"/>
          <c:showVal val="1"/>
          <c:showCatName val="0"/>
          <c:showSerName val="0"/>
          <c:showPercent val="0"/>
          <c:showBubbleSize val="0"/>
        </c:dLbls>
        <c:gapWidth val="219"/>
        <c:overlap val="-27"/>
        <c:axId val="1735219376"/>
        <c:axId val="1735219920"/>
      </c:barChart>
      <c:catAx>
        <c:axId val="173521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19920"/>
        <c:crosses val="autoZero"/>
        <c:auto val="1"/>
        <c:lblAlgn val="ctr"/>
        <c:lblOffset val="100"/>
        <c:noMultiLvlLbl val="0"/>
      </c:catAx>
      <c:valAx>
        <c:axId val="173521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inhibition</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1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Germination inhibition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36564267416034E-2"/>
          <c:y val="0.19179635804947887"/>
          <c:w val="0.88593168517273857"/>
          <c:h val="0.631170161379495"/>
        </c:manualLayout>
      </c:layout>
      <c:barChart>
        <c:barDir val="col"/>
        <c:grouping val="clustered"/>
        <c:varyColors val="0"/>
        <c:ser>
          <c:idx val="0"/>
          <c:order val="0"/>
          <c:tx>
            <c:strRef>
              <c:f>'Spores germés_inhibition'!$E$18</c:f>
              <c:strCache>
                <c:ptCount val="1"/>
                <c:pt idx="0">
                  <c:v>Control</c:v>
                </c:pt>
              </c:strCache>
            </c:strRef>
          </c:tx>
          <c:spPr>
            <a:pattFill prst="pct50">
              <a:fgClr>
                <a:schemeClr val="tx1"/>
              </a:fgClr>
              <a:bgClr>
                <a:schemeClr val="bg1"/>
              </a:bgClr>
            </a:pattFill>
            <a:ln>
              <a:noFill/>
            </a:ln>
            <a:effectLst/>
          </c:spPr>
          <c:invertIfNegative val="0"/>
          <c:dLbls>
            <c:spPr>
              <a:pattFill prst="pct50">
                <a:fgClr>
                  <a:schemeClr val="tx1"/>
                </a:fgClr>
                <a:bgClr>
                  <a:schemeClr val="bg1"/>
                </a:bgClr>
              </a:patt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germés_inhibition'!$E$19:$E$22</c:f>
              <c:numCache>
                <c:formatCode>0</c:formatCode>
                <c:ptCount val="4"/>
                <c:pt idx="0">
                  <c:v>0</c:v>
                </c:pt>
                <c:pt idx="1">
                  <c:v>0</c:v>
                </c:pt>
                <c:pt idx="2">
                  <c:v>0</c:v>
                </c:pt>
                <c:pt idx="3">
                  <c:v>0</c:v>
                </c:pt>
              </c:numCache>
            </c:numRef>
          </c:val>
          <c:extLst>
            <c:ext xmlns:c16="http://schemas.microsoft.com/office/drawing/2014/chart" uri="{C3380CC4-5D6E-409C-BE32-E72D297353CC}">
              <c16:uniqueId val="{00000000-76AB-441A-BA51-30A3993F972C}"/>
            </c:ext>
          </c:extLst>
        </c:ser>
        <c:ser>
          <c:idx val="1"/>
          <c:order val="1"/>
          <c:tx>
            <c:strRef>
              <c:f>'Spores germés_inhibition'!$F$18</c:f>
              <c:strCache>
                <c:ptCount val="1"/>
                <c:pt idx="0">
                  <c:v>L. multiflora</c:v>
                </c:pt>
              </c:strCache>
            </c:strRef>
          </c:tx>
          <c:spPr>
            <a:pattFill prst="lgCheck">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germés_inhibition'!$F$19:$F$22</c:f>
              <c:numCache>
                <c:formatCode>0.00</c:formatCode>
                <c:ptCount val="4"/>
                <c:pt idx="0">
                  <c:v>2.3330000000000002</c:v>
                </c:pt>
                <c:pt idx="1">
                  <c:v>22.66</c:v>
                </c:pt>
                <c:pt idx="2">
                  <c:v>100</c:v>
                </c:pt>
                <c:pt idx="3">
                  <c:v>41.664333333333332</c:v>
                </c:pt>
              </c:numCache>
            </c:numRef>
          </c:val>
          <c:extLst>
            <c:ext xmlns:c16="http://schemas.microsoft.com/office/drawing/2014/chart" uri="{C3380CC4-5D6E-409C-BE32-E72D297353CC}">
              <c16:uniqueId val="{00000001-76AB-441A-BA51-30A3993F972C}"/>
            </c:ext>
          </c:extLst>
        </c:ser>
        <c:ser>
          <c:idx val="2"/>
          <c:order val="2"/>
          <c:tx>
            <c:strRef>
              <c:f>'Spores germés_inhibition'!$G$18</c:f>
              <c:strCache>
                <c:ptCount val="1"/>
                <c:pt idx="0">
                  <c:v>O. Gratissimum</c:v>
                </c:pt>
              </c:strCache>
            </c:strRef>
          </c:tx>
          <c:spPr>
            <a:pattFill prst="pct80">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germés_inhibition'!$G$19:$G$22</c:f>
              <c:numCache>
                <c:formatCode>0.00</c:formatCode>
                <c:ptCount val="4"/>
                <c:pt idx="0">
                  <c:v>43.332999999999998</c:v>
                </c:pt>
                <c:pt idx="1">
                  <c:v>100</c:v>
                </c:pt>
                <c:pt idx="2">
                  <c:v>100</c:v>
                </c:pt>
                <c:pt idx="3">
                  <c:v>81.111000000000004</c:v>
                </c:pt>
              </c:numCache>
            </c:numRef>
          </c:val>
          <c:extLst>
            <c:ext xmlns:c16="http://schemas.microsoft.com/office/drawing/2014/chart" uri="{C3380CC4-5D6E-409C-BE32-E72D297353CC}">
              <c16:uniqueId val="{00000002-76AB-441A-BA51-30A3993F972C}"/>
            </c:ext>
          </c:extLst>
        </c:ser>
        <c:ser>
          <c:idx val="3"/>
          <c:order val="3"/>
          <c:tx>
            <c:strRef>
              <c:f>'Spores germés_inhibition'!$H$18</c:f>
              <c:strCache>
                <c:ptCount val="1"/>
                <c:pt idx="0">
                  <c:v>Copper hydroxide</c:v>
                </c:pt>
              </c:strCache>
            </c:strRef>
          </c:tx>
          <c:spPr>
            <a:pattFill prst="smGri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germés_inhibition'!$H$19:$H$22</c:f>
              <c:numCache>
                <c:formatCode>0.00</c:formatCode>
                <c:ptCount val="4"/>
                <c:pt idx="0">
                  <c:v>39.332999999999998</c:v>
                </c:pt>
                <c:pt idx="1">
                  <c:v>35.659999999999997</c:v>
                </c:pt>
                <c:pt idx="2">
                  <c:v>71.5</c:v>
                </c:pt>
                <c:pt idx="3">
                  <c:v>48.830999999999996</c:v>
                </c:pt>
              </c:numCache>
            </c:numRef>
          </c:val>
          <c:extLst>
            <c:ext xmlns:c16="http://schemas.microsoft.com/office/drawing/2014/chart" uri="{C3380CC4-5D6E-409C-BE32-E72D297353CC}">
              <c16:uniqueId val="{00000003-76AB-441A-BA51-30A3993F972C}"/>
            </c:ext>
          </c:extLst>
        </c:ser>
        <c:ser>
          <c:idx val="4"/>
          <c:order val="4"/>
          <c:tx>
            <c:strRef>
              <c:f>'Spores germés_inhibition'!$I$18</c:f>
              <c:strCache>
                <c:ptCount val="1"/>
                <c:pt idx="0">
                  <c:v>Mancozeb</c:v>
                </c:pt>
              </c:strCache>
            </c:strRef>
          </c:tx>
          <c:spPr>
            <a:pattFill prst="openDmnd">
              <a:fgClr>
                <a:schemeClr val="tx1"/>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'Spores germés_inhibition'!$C$19:$D$22</c:f>
              <c:multiLvlStrCache>
                <c:ptCount val="4"/>
                <c:lvl>
                  <c:pt idx="0">
                    <c:v>24HAS/PIg</c:v>
                  </c:pt>
                  <c:pt idx="1">
                    <c:v>24HAS/PIg</c:v>
                  </c:pt>
                  <c:pt idx="2">
                    <c:v>24HAS/PIg</c:v>
                  </c:pt>
                </c:lvl>
                <c:lvl>
                  <c:pt idx="0">
                    <c:v>Lower dose</c:v>
                  </c:pt>
                  <c:pt idx="1">
                    <c:v>Recommended dose</c:v>
                  </c:pt>
                  <c:pt idx="2">
                    <c:v>Higher dose</c:v>
                  </c:pt>
                  <c:pt idx="3">
                    <c:v>PIG</c:v>
                  </c:pt>
                </c:lvl>
              </c:multiLvlStrCache>
            </c:multiLvlStrRef>
          </c:cat>
          <c:val>
            <c:numRef>
              <c:f>'Spores germés_inhibition'!$I$19:$I$22</c:f>
              <c:numCache>
                <c:formatCode>0.00</c:formatCode>
                <c:ptCount val="4"/>
                <c:pt idx="0">
                  <c:v>100</c:v>
                </c:pt>
                <c:pt idx="1">
                  <c:v>100</c:v>
                </c:pt>
                <c:pt idx="2">
                  <c:v>100</c:v>
                </c:pt>
                <c:pt idx="3">
                  <c:v>100</c:v>
                </c:pt>
              </c:numCache>
            </c:numRef>
          </c:val>
          <c:extLst>
            <c:ext xmlns:c16="http://schemas.microsoft.com/office/drawing/2014/chart" uri="{C3380CC4-5D6E-409C-BE32-E72D297353CC}">
              <c16:uniqueId val="{00000004-76AB-441A-BA51-30A3993F972C}"/>
            </c:ext>
          </c:extLst>
        </c:ser>
        <c:dLbls>
          <c:dLblPos val="outEnd"/>
          <c:showLegendKey val="0"/>
          <c:showVal val="1"/>
          <c:showCatName val="0"/>
          <c:showSerName val="0"/>
          <c:showPercent val="0"/>
          <c:showBubbleSize val="0"/>
        </c:dLbls>
        <c:gapWidth val="219"/>
        <c:overlap val="-27"/>
        <c:axId val="1735215568"/>
        <c:axId val="1735220464"/>
      </c:barChart>
      <c:catAx>
        <c:axId val="173521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20464"/>
        <c:crosses val="autoZero"/>
        <c:auto val="1"/>
        <c:lblAlgn val="ctr"/>
        <c:lblOffset val="100"/>
        <c:noMultiLvlLbl val="0"/>
      </c:catAx>
      <c:valAx>
        <c:axId val="17352204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   inhibition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215568"/>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3EE2E-4164-4DB8-816F-737184158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13</Pages>
  <Words>5159</Words>
  <Characters>29412</Characters>
  <Application>Microsoft Office Word</Application>
  <DocSecurity>0</DocSecurity>
  <Lines>245</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34502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22</cp:revision>
  <cp:lastPrinted>1999-07-06T11:00:00Z</cp:lastPrinted>
  <dcterms:created xsi:type="dcterms:W3CDTF">2026-01-13T02:26:00Z</dcterms:created>
  <dcterms:modified xsi:type="dcterms:W3CDTF">2026-01-13T11:27:00Z</dcterms:modified>
</cp:coreProperties>
</file>