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3B441" w14:textId="77777777" w:rsidR="00F53337" w:rsidRPr="00F53337" w:rsidRDefault="00F53337" w:rsidP="00F53337">
      <w:pPr>
        <w:jc w:val="center"/>
        <w:rPr>
          <w:rFonts w:ascii="Arial" w:hAnsi="Arial" w:cs="Arial"/>
          <w:b/>
          <w:bCs/>
          <w:i/>
          <w:iCs/>
          <w:sz w:val="36"/>
          <w:szCs w:val="36"/>
          <w:u w:val="single"/>
          <w:lang w:val="en-US"/>
        </w:rPr>
      </w:pPr>
      <w:r w:rsidRPr="00F53337">
        <w:rPr>
          <w:rFonts w:ascii="Arial" w:hAnsi="Arial" w:cs="Arial"/>
          <w:b/>
          <w:bCs/>
          <w:i/>
          <w:iCs/>
          <w:sz w:val="36"/>
          <w:szCs w:val="36"/>
          <w:u w:val="single"/>
          <w:lang w:val="en-US"/>
        </w:rPr>
        <w:t>Original Research Article</w:t>
      </w:r>
    </w:p>
    <w:p w14:paraId="713834BE" w14:textId="08658AF7" w:rsidR="00185286" w:rsidRPr="00AC5D91" w:rsidRDefault="00AC5D91" w:rsidP="007960AD">
      <w:pPr>
        <w:jc w:val="center"/>
        <w:rPr>
          <w:rFonts w:ascii="Arial" w:hAnsi="Arial" w:cs="Arial"/>
          <w:sz w:val="36"/>
          <w:szCs w:val="36"/>
        </w:rPr>
      </w:pPr>
      <w:r w:rsidRPr="00AC5D91">
        <w:rPr>
          <w:rFonts w:ascii="Arial" w:hAnsi="Arial" w:cs="Arial"/>
          <w:b/>
          <w:bCs/>
          <w:sz w:val="36"/>
          <w:szCs w:val="36"/>
        </w:rPr>
        <w:t>Profile of hepatic enzymes in rabbits (</w:t>
      </w:r>
      <w:r w:rsidRPr="00AC5D91">
        <w:rPr>
          <w:rFonts w:ascii="Arial" w:hAnsi="Arial" w:cs="Arial"/>
          <w:b/>
          <w:bCs/>
          <w:i/>
          <w:iCs/>
          <w:sz w:val="36"/>
          <w:szCs w:val="36"/>
        </w:rPr>
        <w:t>oryctolagus cuniculus</w:t>
      </w:r>
      <w:r w:rsidRPr="00AC5D91">
        <w:rPr>
          <w:rFonts w:ascii="Arial" w:hAnsi="Arial" w:cs="Arial"/>
          <w:b/>
          <w:bCs/>
          <w:sz w:val="36"/>
          <w:szCs w:val="36"/>
        </w:rPr>
        <w:t>) treated with spirulina of ivoirian origin</w:t>
      </w:r>
    </w:p>
    <w:p w14:paraId="2CD0366B" w14:textId="77777777" w:rsidR="00BC0C06" w:rsidRPr="00AC5D91" w:rsidRDefault="00BC0C06" w:rsidP="00185286">
      <w:pPr>
        <w:rPr>
          <w:rFonts w:ascii="Arial" w:hAnsi="Arial" w:cs="Arial"/>
          <w:sz w:val="24"/>
          <w:szCs w:val="24"/>
        </w:rPr>
      </w:pPr>
    </w:p>
    <w:p w14:paraId="6F11B0D8" w14:textId="77777777" w:rsidR="00607E1D" w:rsidRPr="00AC5D91" w:rsidRDefault="00607E1D" w:rsidP="00185286">
      <w:pPr>
        <w:spacing w:before="240" w:after="0" w:line="276" w:lineRule="auto"/>
        <w:jc w:val="both"/>
        <w:rPr>
          <w:rFonts w:ascii="Arial" w:hAnsi="Arial" w:cs="Arial"/>
          <w:b/>
          <w:bCs/>
          <w:sz w:val="24"/>
          <w:szCs w:val="24"/>
          <w:lang w:val="en-US"/>
        </w:rPr>
      </w:pPr>
    </w:p>
    <w:p w14:paraId="0E647B13" w14:textId="14BA4083" w:rsidR="00185286" w:rsidRPr="00AC5D91" w:rsidRDefault="00185286" w:rsidP="00185286">
      <w:pPr>
        <w:spacing w:before="240" w:after="0" w:line="276" w:lineRule="auto"/>
        <w:jc w:val="both"/>
        <w:rPr>
          <w:rFonts w:ascii="Arial" w:hAnsi="Arial" w:cs="Arial"/>
          <w:b/>
          <w:bCs/>
          <w:lang w:val="en-US"/>
        </w:rPr>
      </w:pPr>
      <w:r w:rsidRPr="00AC5D91">
        <w:rPr>
          <w:rFonts w:ascii="Arial" w:hAnsi="Arial" w:cs="Arial"/>
          <w:b/>
          <w:bCs/>
          <w:lang w:val="en-US"/>
        </w:rPr>
        <w:t>ABSTRACT</w:t>
      </w:r>
    </w:p>
    <w:p w14:paraId="3FD2438C" w14:textId="09B97BFB" w:rsidR="00185286" w:rsidRPr="00AC5D91" w:rsidRDefault="000110D6" w:rsidP="00185286">
      <w:pPr>
        <w:spacing w:after="0" w:line="276" w:lineRule="auto"/>
        <w:jc w:val="both"/>
        <w:rPr>
          <w:rFonts w:ascii="Arial" w:hAnsi="Arial" w:cs="Arial"/>
          <w:sz w:val="20"/>
          <w:szCs w:val="20"/>
          <w:lang w:val="en-US"/>
        </w:rPr>
      </w:pPr>
      <w:r w:rsidRPr="00AC5D91">
        <w:rPr>
          <w:rFonts w:ascii="Arial" w:hAnsi="Arial" w:cs="Arial"/>
          <w:sz w:val="20"/>
          <w:szCs w:val="20"/>
        </w:rPr>
        <w:t>Spirulina is among the most widely used dietary supplements worldwide. However, its safety regarding certain organs has not been sufficiently documented. This study aimed to evaluate the influence of spirulina produced in Côte d’Ivoire on selected hepatic enzymes in rabbits. Different daily doses of spirulina extract (100, 250, and 700 mg/kg body weight) were administered intraperitoneally to three groups of rabbits (</w:t>
      </w:r>
      <w:r w:rsidRPr="00AC5D91">
        <w:rPr>
          <w:rFonts w:ascii="Arial" w:hAnsi="Arial" w:cs="Arial"/>
          <w:i/>
          <w:iCs/>
          <w:sz w:val="20"/>
          <w:szCs w:val="20"/>
        </w:rPr>
        <w:t>Oryctolagus cuniculus</w:t>
      </w:r>
      <w:r w:rsidRPr="00AC5D91">
        <w:rPr>
          <w:rFonts w:ascii="Arial" w:hAnsi="Arial" w:cs="Arial"/>
          <w:sz w:val="20"/>
          <w:szCs w:val="20"/>
        </w:rPr>
        <w:t xml:space="preserve">) for three consecutive days and compared with a control group. Blood samples collected at the beginning of the experiment and weekly for three weeks were used to determine the activities of five enzymes, namely transaminases (alanine aminotransferase and aspartate aminotransferase), gamma-glutamyl transferase, alkaline phosphatase, and lactate dehydrogenase, using conventional methods. </w:t>
      </w:r>
      <w:r w:rsidR="000D7E0B" w:rsidRPr="00AC5D91">
        <w:rPr>
          <w:rFonts w:ascii="Arial" w:hAnsi="Arial" w:cs="Arial"/>
          <w:sz w:val="20"/>
          <w:szCs w:val="20"/>
        </w:rPr>
        <w:t>The results showed that the mean AL</w:t>
      </w:r>
      <w:r w:rsidR="000838A2" w:rsidRPr="00AC5D91">
        <w:rPr>
          <w:rFonts w:ascii="Arial" w:hAnsi="Arial" w:cs="Arial"/>
          <w:sz w:val="20"/>
          <w:szCs w:val="20"/>
        </w:rPr>
        <w:t>A</w:t>
      </w:r>
      <w:r w:rsidR="000D7E0B" w:rsidRPr="00AC5D91">
        <w:rPr>
          <w:rFonts w:ascii="Arial" w:hAnsi="Arial" w:cs="Arial"/>
          <w:sz w:val="20"/>
          <w:szCs w:val="20"/>
        </w:rPr>
        <w:t>T activities in all groups, initially ranging between 57 and 75.66 IU/L, did not vary significantly during the experiment, regardless of the dose of spirulina administered</w:t>
      </w:r>
      <w:r w:rsidRPr="00AC5D91">
        <w:rPr>
          <w:rFonts w:ascii="Arial" w:hAnsi="Arial" w:cs="Arial"/>
          <w:sz w:val="20"/>
          <w:szCs w:val="20"/>
        </w:rPr>
        <w:t xml:space="preserve">. Similar findings were observed for the other enzymes. This study reports that daily intake of spirulina of Ivorian origin does not increase hepatic enzyme </w:t>
      </w:r>
      <w:r w:rsidR="00ED5C3A" w:rsidRPr="00AC5D91">
        <w:rPr>
          <w:rFonts w:ascii="Arial" w:hAnsi="Arial" w:cs="Arial"/>
          <w:sz w:val="20"/>
          <w:szCs w:val="20"/>
        </w:rPr>
        <w:t>profiles ;</w:t>
      </w:r>
      <w:r w:rsidRPr="00AC5D91">
        <w:rPr>
          <w:rFonts w:ascii="Arial" w:hAnsi="Arial" w:cs="Arial"/>
          <w:sz w:val="20"/>
          <w:szCs w:val="20"/>
        </w:rPr>
        <w:t xml:space="preserve"> on the contrary, it may protect organs involved in their excretion, which could contribute to its nutritional properties.</w:t>
      </w:r>
    </w:p>
    <w:p w14:paraId="00761BD1" w14:textId="17953729" w:rsidR="00185286" w:rsidRPr="00AC5D91" w:rsidRDefault="00185286" w:rsidP="00185286">
      <w:pPr>
        <w:spacing w:line="276" w:lineRule="auto"/>
        <w:ind w:left="1247" w:hanging="1247"/>
        <w:jc w:val="both"/>
        <w:rPr>
          <w:rFonts w:ascii="Arial" w:hAnsi="Arial" w:cs="Arial"/>
          <w:sz w:val="20"/>
          <w:szCs w:val="20"/>
        </w:rPr>
      </w:pPr>
      <w:r w:rsidRPr="00AC5D91">
        <w:rPr>
          <w:rFonts w:ascii="Arial" w:hAnsi="Arial" w:cs="Arial"/>
          <w:b/>
          <w:sz w:val="20"/>
          <w:szCs w:val="20"/>
          <w:u w:val="single"/>
        </w:rPr>
        <w:t>Keywords</w:t>
      </w:r>
      <w:r w:rsidRPr="00AC5D91">
        <w:rPr>
          <w:rFonts w:ascii="Arial" w:hAnsi="Arial" w:cs="Arial"/>
          <w:sz w:val="20"/>
          <w:szCs w:val="20"/>
        </w:rPr>
        <w:t xml:space="preserve"> : </w:t>
      </w:r>
      <w:r w:rsidRPr="00AC5D91">
        <w:rPr>
          <w:rFonts w:ascii="Arial" w:hAnsi="Arial" w:cs="Arial"/>
          <w:i/>
          <w:sz w:val="20"/>
          <w:szCs w:val="20"/>
        </w:rPr>
        <w:t>Spirulina platensis</w:t>
      </w:r>
      <w:r w:rsidRPr="00AC5D91">
        <w:rPr>
          <w:rFonts w:ascii="Arial" w:hAnsi="Arial" w:cs="Arial"/>
          <w:sz w:val="20"/>
          <w:szCs w:val="20"/>
        </w:rPr>
        <w:t>, transaminases, ɣ-glutamyl transferase, alkaline phosphatase, lactate dehydrogenase</w:t>
      </w:r>
      <w:r w:rsidR="00BC0C06" w:rsidRPr="00AC5D91">
        <w:rPr>
          <w:rFonts w:ascii="Arial" w:hAnsi="Arial" w:cs="Arial"/>
          <w:sz w:val="20"/>
          <w:szCs w:val="20"/>
        </w:rPr>
        <w:t>, Côte d’Ivoire</w:t>
      </w:r>
    </w:p>
    <w:p w14:paraId="780FDD88" w14:textId="77777777" w:rsidR="00185286" w:rsidRPr="00AC5D91" w:rsidRDefault="00185286" w:rsidP="00185286">
      <w:pPr>
        <w:rPr>
          <w:rFonts w:ascii="Arial" w:hAnsi="Arial" w:cs="Arial"/>
          <w:sz w:val="24"/>
          <w:szCs w:val="24"/>
        </w:rPr>
      </w:pPr>
    </w:p>
    <w:p w14:paraId="4D851DD8" w14:textId="2BA3209E" w:rsidR="00185286" w:rsidRPr="00F8620B" w:rsidRDefault="00EE3F59" w:rsidP="00185286">
      <w:pPr>
        <w:rPr>
          <w:rFonts w:ascii="Arial" w:hAnsi="Arial" w:cs="Arial"/>
          <w:b/>
          <w:bCs/>
        </w:rPr>
      </w:pPr>
      <w:r w:rsidRPr="00F8620B">
        <w:rPr>
          <w:rFonts w:ascii="Arial" w:hAnsi="Arial" w:cs="Arial"/>
          <w:b/>
          <w:bCs/>
        </w:rPr>
        <w:t xml:space="preserve">1. </w:t>
      </w:r>
      <w:r w:rsidR="00185286" w:rsidRPr="00F8620B">
        <w:rPr>
          <w:rFonts w:ascii="Arial" w:hAnsi="Arial" w:cs="Arial"/>
          <w:b/>
          <w:bCs/>
        </w:rPr>
        <w:t>INTRODUCTION</w:t>
      </w:r>
    </w:p>
    <w:p w14:paraId="06D6B553" w14:textId="104B8355" w:rsidR="00185286" w:rsidRPr="00F8620B" w:rsidRDefault="00185286" w:rsidP="00185286">
      <w:pPr>
        <w:jc w:val="both"/>
        <w:rPr>
          <w:rFonts w:ascii="Arial" w:hAnsi="Arial" w:cs="Arial"/>
          <w:sz w:val="20"/>
          <w:szCs w:val="20"/>
        </w:rPr>
      </w:pPr>
      <w:r w:rsidRPr="00F8620B">
        <w:rPr>
          <w:rFonts w:ascii="Arial" w:hAnsi="Arial" w:cs="Arial"/>
          <w:sz w:val="20"/>
          <w:szCs w:val="20"/>
        </w:rPr>
        <w:t xml:space="preserve">Spirulina, or </w:t>
      </w:r>
      <w:r w:rsidRPr="00F8620B">
        <w:rPr>
          <w:rFonts w:ascii="Arial" w:hAnsi="Arial" w:cs="Arial"/>
          <w:i/>
          <w:iCs/>
          <w:sz w:val="20"/>
          <w:szCs w:val="20"/>
        </w:rPr>
        <w:t>Spirulina platensis</w:t>
      </w:r>
      <w:r w:rsidRPr="00F8620B">
        <w:rPr>
          <w:rFonts w:ascii="Arial" w:hAnsi="Arial" w:cs="Arial"/>
          <w:sz w:val="20"/>
          <w:szCs w:val="20"/>
        </w:rPr>
        <w:t xml:space="preserve"> (Oscillatoriaceae), is a cyanobacterium commonly </w:t>
      </w:r>
      <w:r w:rsidR="007A0CAB" w:rsidRPr="00F8620B">
        <w:rPr>
          <w:rFonts w:ascii="Arial" w:hAnsi="Arial" w:cs="Arial"/>
          <w:sz w:val="20"/>
          <w:szCs w:val="20"/>
        </w:rPr>
        <w:t>known</w:t>
      </w:r>
      <w:r w:rsidRPr="00F8620B">
        <w:rPr>
          <w:rFonts w:ascii="Arial" w:hAnsi="Arial" w:cs="Arial"/>
          <w:sz w:val="20"/>
          <w:szCs w:val="20"/>
        </w:rPr>
        <w:t xml:space="preserve"> as blue-green algae. It has been traditionally used for centuries because of its nutritional benefits, particularly its high protein content (60–70% of its dry matter), as well as its polysaccharides, fibers, vitamins, and minerals (Matha, </w:t>
      </w:r>
      <w:proofErr w:type="gramStart"/>
      <w:r w:rsidRPr="00F8620B">
        <w:rPr>
          <w:rFonts w:ascii="Arial" w:hAnsi="Arial" w:cs="Arial"/>
          <w:sz w:val="20"/>
          <w:szCs w:val="20"/>
        </w:rPr>
        <w:t>2024;</w:t>
      </w:r>
      <w:proofErr w:type="gramEnd"/>
      <w:r w:rsidRPr="00F8620B">
        <w:rPr>
          <w:rFonts w:ascii="Arial" w:hAnsi="Arial" w:cs="Arial"/>
          <w:sz w:val="20"/>
          <w:szCs w:val="20"/>
        </w:rPr>
        <w:t xml:space="preserve"> Marjanović et al., 2024). In developed countries, </w:t>
      </w:r>
      <w:r w:rsidRPr="00F8620B">
        <w:rPr>
          <w:rFonts w:ascii="Arial" w:hAnsi="Arial" w:cs="Arial"/>
          <w:i/>
          <w:iCs/>
          <w:sz w:val="20"/>
          <w:szCs w:val="20"/>
        </w:rPr>
        <w:t>Spirulina platensis</w:t>
      </w:r>
      <w:r w:rsidRPr="00F8620B">
        <w:rPr>
          <w:rFonts w:ascii="Arial" w:hAnsi="Arial" w:cs="Arial"/>
          <w:sz w:val="20"/>
          <w:szCs w:val="20"/>
        </w:rPr>
        <w:t xml:space="preserve"> is consumed as a health-promoting dietary supplement and is marketed within the so-called organic food sector (Matha, </w:t>
      </w:r>
      <w:proofErr w:type="gramStart"/>
      <w:r w:rsidRPr="00F8620B">
        <w:rPr>
          <w:rFonts w:ascii="Arial" w:hAnsi="Arial" w:cs="Arial"/>
          <w:sz w:val="20"/>
          <w:szCs w:val="20"/>
        </w:rPr>
        <w:t>2024;</w:t>
      </w:r>
      <w:proofErr w:type="gramEnd"/>
      <w:r w:rsidRPr="00F8620B">
        <w:rPr>
          <w:rFonts w:ascii="Arial" w:hAnsi="Arial" w:cs="Arial"/>
          <w:sz w:val="20"/>
          <w:szCs w:val="20"/>
        </w:rPr>
        <w:t xml:space="preserve"> Vieira et al., 2025).</w:t>
      </w:r>
    </w:p>
    <w:p w14:paraId="75F6DA0F" w14:textId="77777777" w:rsidR="00185286" w:rsidRPr="00F8620B" w:rsidRDefault="00185286" w:rsidP="00185286">
      <w:pPr>
        <w:jc w:val="both"/>
        <w:rPr>
          <w:rFonts w:ascii="Arial" w:hAnsi="Arial" w:cs="Arial"/>
          <w:sz w:val="20"/>
          <w:szCs w:val="20"/>
        </w:rPr>
      </w:pPr>
      <w:r w:rsidRPr="00F8620B">
        <w:rPr>
          <w:rFonts w:ascii="Arial" w:hAnsi="Arial" w:cs="Arial"/>
          <w:sz w:val="20"/>
          <w:szCs w:val="20"/>
        </w:rPr>
        <w:t xml:space="preserve">The protein content of </w:t>
      </w:r>
      <w:r w:rsidRPr="00F8620B">
        <w:rPr>
          <w:rFonts w:ascii="Arial" w:hAnsi="Arial" w:cs="Arial"/>
          <w:i/>
          <w:iCs/>
          <w:sz w:val="20"/>
          <w:szCs w:val="20"/>
        </w:rPr>
        <w:t>Spirulina platensis</w:t>
      </w:r>
      <w:r w:rsidRPr="00F8620B">
        <w:rPr>
          <w:rFonts w:ascii="Arial" w:hAnsi="Arial" w:cs="Arial"/>
          <w:sz w:val="20"/>
          <w:szCs w:val="20"/>
        </w:rPr>
        <w:t xml:space="preserve"> is considerably higher than that of fish (25%), soybeans (35%), milk powder (35%), and cereals (14%) (Marjanović et al., 2024). In addition, </w:t>
      </w:r>
      <w:r w:rsidRPr="00F8620B">
        <w:rPr>
          <w:rFonts w:ascii="Arial" w:hAnsi="Arial" w:cs="Arial"/>
          <w:i/>
          <w:iCs/>
          <w:sz w:val="20"/>
          <w:szCs w:val="20"/>
        </w:rPr>
        <w:t>Spirulina platensis</w:t>
      </w:r>
      <w:r w:rsidRPr="00F8620B">
        <w:rPr>
          <w:rFonts w:ascii="Arial" w:hAnsi="Arial" w:cs="Arial"/>
          <w:sz w:val="20"/>
          <w:szCs w:val="20"/>
        </w:rPr>
        <w:t xml:space="preserve"> contains most essential amino acids, including isoleucine, leucine, lysine, methionine, phenylalanine, threonine, tryptophan, and valine (Ramírez-Rodrigues et al., 2021), with leucine, valine, and isoleucine being the most abundant. The total lipid composition of </w:t>
      </w:r>
      <w:r w:rsidRPr="00F8620B">
        <w:rPr>
          <w:rFonts w:ascii="Arial" w:hAnsi="Arial" w:cs="Arial"/>
          <w:i/>
          <w:iCs/>
          <w:sz w:val="20"/>
          <w:szCs w:val="20"/>
        </w:rPr>
        <w:t>Spirulina platensis</w:t>
      </w:r>
      <w:r w:rsidRPr="00F8620B">
        <w:rPr>
          <w:rFonts w:ascii="Arial" w:hAnsi="Arial" w:cs="Arial"/>
          <w:sz w:val="20"/>
          <w:szCs w:val="20"/>
        </w:rPr>
        <w:t xml:space="preserve"> is characterized by a good balance between saturated and polyunsaturated fatty acids (Senila et al., 2025), while carbohydrates account for 13.6–25% of its dry matter (Shekharam et al., 1987; Marjanović et al., 2024). Spirulina also contains a wide range of vitamins, minerals, carotenoids—particularly β-carotene—and phycobiliproteins (phycocyanin and phycoerythrin) (Marjanović et al., 2024).</w:t>
      </w:r>
    </w:p>
    <w:p w14:paraId="1A187866" w14:textId="77777777" w:rsidR="00185286" w:rsidRPr="00F8620B" w:rsidRDefault="00185286" w:rsidP="00185286">
      <w:pPr>
        <w:jc w:val="both"/>
        <w:rPr>
          <w:rFonts w:ascii="Arial" w:hAnsi="Arial" w:cs="Arial"/>
          <w:sz w:val="20"/>
          <w:szCs w:val="20"/>
        </w:rPr>
      </w:pPr>
      <w:r w:rsidRPr="00F8620B">
        <w:rPr>
          <w:rFonts w:ascii="Arial" w:hAnsi="Arial" w:cs="Arial"/>
          <w:sz w:val="20"/>
          <w:szCs w:val="20"/>
        </w:rPr>
        <w:t xml:space="preserve">According to several studies, antioxidants such as β-carotene (Marjanović et al., 2024), as well as tetrapyrrolic compounds (Koníčková et al., 2014) found in </w:t>
      </w:r>
      <w:r w:rsidRPr="00F8620B">
        <w:rPr>
          <w:rFonts w:ascii="Arial" w:hAnsi="Arial" w:cs="Arial"/>
          <w:i/>
          <w:iCs/>
          <w:sz w:val="20"/>
          <w:szCs w:val="20"/>
        </w:rPr>
        <w:t>Spirulina platensis</w:t>
      </w:r>
      <w:r w:rsidRPr="00F8620B">
        <w:rPr>
          <w:rFonts w:ascii="Arial" w:hAnsi="Arial" w:cs="Arial"/>
          <w:sz w:val="20"/>
          <w:szCs w:val="20"/>
        </w:rPr>
        <w:t xml:space="preserve">, may inhibit both mutagenic and regulatory effects induced by free radicals, thereby helping to preserve human tissues. In aquaculture, </w:t>
      </w:r>
      <w:r w:rsidRPr="00F8620B">
        <w:rPr>
          <w:rFonts w:ascii="Arial" w:hAnsi="Arial" w:cs="Arial"/>
          <w:i/>
          <w:iCs/>
          <w:sz w:val="20"/>
          <w:szCs w:val="20"/>
        </w:rPr>
        <w:t>Spirulina platensis</w:t>
      </w:r>
      <w:r w:rsidRPr="00F8620B">
        <w:rPr>
          <w:rFonts w:ascii="Arial" w:hAnsi="Arial" w:cs="Arial"/>
          <w:sz w:val="20"/>
          <w:szCs w:val="20"/>
        </w:rPr>
        <w:t xml:space="preserve"> is added to fish feed pellets to prevent viral and/or bacterial infections commonly encountered in farmed fish. Cai et al. (2022) also demonstrated the immunostimulatory and </w:t>
      </w:r>
      <w:r w:rsidRPr="00F8620B">
        <w:rPr>
          <w:rFonts w:ascii="Arial" w:hAnsi="Arial" w:cs="Arial"/>
          <w:sz w:val="20"/>
          <w:szCs w:val="20"/>
        </w:rPr>
        <w:lastRenderedPageBreak/>
        <w:t xml:space="preserve">antitumor effects of an acidic polysaccharide extracted from </w:t>
      </w:r>
      <w:r w:rsidRPr="00F8620B">
        <w:rPr>
          <w:rFonts w:ascii="Arial" w:hAnsi="Arial" w:cs="Arial"/>
          <w:i/>
          <w:iCs/>
          <w:sz w:val="20"/>
          <w:szCs w:val="20"/>
        </w:rPr>
        <w:t>Spirulina platensis</w:t>
      </w:r>
      <w:r w:rsidRPr="00F8620B">
        <w:rPr>
          <w:rFonts w:ascii="Arial" w:hAnsi="Arial" w:cs="Arial"/>
          <w:sz w:val="20"/>
          <w:szCs w:val="20"/>
        </w:rPr>
        <w:t xml:space="preserve"> on RAW264.7 cells and KRAS-mutant A549 cells.</w:t>
      </w:r>
    </w:p>
    <w:p w14:paraId="37CF99C7" w14:textId="77777777" w:rsidR="00185286" w:rsidRPr="00F8620B" w:rsidRDefault="00185286" w:rsidP="00185286">
      <w:pPr>
        <w:jc w:val="both"/>
        <w:rPr>
          <w:rFonts w:ascii="Arial" w:hAnsi="Arial" w:cs="Arial"/>
          <w:sz w:val="20"/>
          <w:szCs w:val="20"/>
        </w:rPr>
      </w:pPr>
      <w:r w:rsidRPr="00F8620B">
        <w:rPr>
          <w:rFonts w:ascii="Arial" w:hAnsi="Arial" w:cs="Arial"/>
          <w:sz w:val="20"/>
          <w:szCs w:val="20"/>
        </w:rPr>
        <w:t>Furthermore, Nguedia et al. (2019) showed that the inclusion of spirulina in the diet of guinea pigs improved their fertility. In Burkina Faso, Ouédraogo et al. (2013) reported that spirulina supplementation in the diet of HIV-infected individuals had no significant deleterious effects on biochemical and hematological parameters.</w:t>
      </w:r>
    </w:p>
    <w:p w14:paraId="324B2E07" w14:textId="77777777" w:rsidR="00185286" w:rsidRPr="00F8620B" w:rsidRDefault="00185286" w:rsidP="00185286">
      <w:pPr>
        <w:jc w:val="both"/>
        <w:rPr>
          <w:rFonts w:ascii="Arial" w:hAnsi="Arial" w:cs="Arial"/>
          <w:sz w:val="20"/>
          <w:szCs w:val="20"/>
        </w:rPr>
      </w:pPr>
      <w:r w:rsidRPr="00F8620B">
        <w:rPr>
          <w:rFonts w:ascii="Arial" w:hAnsi="Arial" w:cs="Arial"/>
          <w:sz w:val="20"/>
          <w:szCs w:val="20"/>
        </w:rPr>
        <w:t>Overall, literature reviews conducted by several authors have highlighted the proven therapeutic effects of this cyanobacterium (Barry et al., 2015). However, it is essential to note that many natural products may also have side effects, requiring prescribers to limit their use (Djyh, 2003). In Côte d’Ivoire, previous studies have confirmed the nutritional (Kambou et al., 2018) and pharmacological (Kambou et al., 2015) properties of spirulina produced by the Agro-Piscicultural Company (SAP) of Lamé, located in the Adzopé region. This may justify its marketing in the pharmaceutical industry and its consumption by a significant proportion of the population. Nevertheless, the direct relationship between spirulina supplementation and its safety on certain organs remains poorly understood. Questions regarding its administration and potential short- and long-term adverse effects therefore remain crucial. In this context, the objective of the present study was to evaluate the effect of spirulina on five enzymatic hepatic markers in rabbits.</w:t>
      </w:r>
    </w:p>
    <w:p w14:paraId="0DB5848A" w14:textId="1168DB98" w:rsidR="00185286" w:rsidRPr="00F8620B" w:rsidRDefault="00EE3F59" w:rsidP="00185286">
      <w:pPr>
        <w:jc w:val="both"/>
        <w:rPr>
          <w:rFonts w:ascii="Arial" w:hAnsi="Arial" w:cs="Arial"/>
          <w:b/>
          <w:bCs/>
        </w:rPr>
      </w:pPr>
      <w:r w:rsidRPr="00F8620B">
        <w:rPr>
          <w:rFonts w:ascii="Arial" w:hAnsi="Arial" w:cs="Arial"/>
          <w:b/>
          <w:bCs/>
        </w:rPr>
        <w:t xml:space="preserve">2. </w:t>
      </w:r>
      <w:r w:rsidR="00185286" w:rsidRPr="00F8620B">
        <w:rPr>
          <w:rFonts w:ascii="Arial" w:hAnsi="Arial" w:cs="Arial"/>
          <w:b/>
          <w:bCs/>
        </w:rPr>
        <w:t>MATERIAL AND METHODS</w:t>
      </w:r>
    </w:p>
    <w:p w14:paraId="07AA5A42" w14:textId="3533B916" w:rsidR="00185286" w:rsidRPr="0072082C" w:rsidRDefault="00EE3F59" w:rsidP="00185286">
      <w:pPr>
        <w:jc w:val="both"/>
        <w:rPr>
          <w:rFonts w:ascii="Arial" w:hAnsi="Arial" w:cs="Arial"/>
          <w:b/>
          <w:bCs/>
        </w:rPr>
      </w:pPr>
      <w:r w:rsidRPr="0072082C">
        <w:rPr>
          <w:rFonts w:ascii="Arial" w:hAnsi="Arial" w:cs="Arial"/>
          <w:b/>
          <w:bCs/>
        </w:rPr>
        <w:t xml:space="preserve">2.1. </w:t>
      </w:r>
      <w:r w:rsidR="00185286" w:rsidRPr="0072082C">
        <w:rPr>
          <w:rFonts w:ascii="Arial" w:hAnsi="Arial" w:cs="Arial"/>
          <w:b/>
          <w:bCs/>
        </w:rPr>
        <w:t>Material</w:t>
      </w:r>
    </w:p>
    <w:p w14:paraId="2D554B54" w14:textId="0B0907F9"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2.1.1. </w:t>
      </w:r>
      <w:r w:rsidR="00185286" w:rsidRPr="0072082C">
        <w:rPr>
          <w:rFonts w:ascii="Arial" w:hAnsi="Arial" w:cs="Arial"/>
          <w:b/>
          <w:bCs/>
          <w:sz w:val="20"/>
          <w:szCs w:val="20"/>
        </w:rPr>
        <w:t>Plant material</w:t>
      </w:r>
    </w:p>
    <w:p w14:paraId="3C379594"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The plant material consisted of dried spirulina powder supplied by the SAP (Agro-Piscicultural Company; approximately 6.10° N, −3.86° W), located in Lamé, in the Adzopé Department (Côte d’Ivoire), where the production unit is established. Spirulina is produced in ponds covered with greenhouses. Harvesting involves filtering part of the culture through a linen cloth (mesh size: 40 μm) after opening the valves connecting the ponds to the laboratory (Matha, 2024). The resulting biomass is drained, dehydrated, pressed, weighed, extruded, and then dried in a dehumidifier at 45°C. Once dried, the spirulina is ground into a fine powder, which is used for the manufacture of tablets and capsules.</w:t>
      </w:r>
    </w:p>
    <w:p w14:paraId="3B723438" w14:textId="67D5CAB0"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2.1.2. </w:t>
      </w:r>
      <w:r w:rsidR="00185286" w:rsidRPr="0072082C">
        <w:rPr>
          <w:rFonts w:ascii="Arial" w:hAnsi="Arial" w:cs="Arial"/>
          <w:b/>
          <w:bCs/>
          <w:sz w:val="20"/>
          <w:szCs w:val="20"/>
        </w:rPr>
        <w:t>Animal material</w:t>
      </w:r>
    </w:p>
    <w:p w14:paraId="274A1FF0"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 xml:space="preserve">For this study, the experimental procedures and protocols were approved by the Ethics Committee of Félix Houphouët-Boigny University, in accordance with Directive 2010/63/EU of the European Parliament and of the Council on the protection of animals used for scientific purposes (2025), as well as OECD guidelines (2025). Young rabbits aged 2 to 3 months, with a mean body weight of 1.65 ± 0.14 kg, of both sexes, and belonging to the species </w:t>
      </w:r>
      <w:r w:rsidRPr="0072082C">
        <w:rPr>
          <w:rFonts w:ascii="Arial" w:hAnsi="Arial" w:cs="Arial"/>
          <w:i/>
          <w:iCs/>
          <w:sz w:val="20"/>
          <w:szCs w:val="20"/>
        </w:rPr>
        <w:t>Oryctolagus cuniculus</w:t>
      </w:r>
      <w:r w:rsidRPr="0072082C">
        <w:rPr>
          <w:rFonts w:ascii="Arial" w:hAnsi="Arial" w:cs="Arial"/>
          <w:sz w:val="20"/>
          <w:szCs w:val="20"/>
        </w:rPr>
        <w:t xml:space="preserve"> (family Leporidae), were used.</w:t>
      </w:r>
    </w:p>
    <w:p w14:paraId="61B7FAA0" w14:textId="004B72B9" w:rsidR="00185286" w:rsidRPr="0072082C" w:rsidRDefault="00EE3F59" w:rsidP="00185286">
      <w:pPr>
        <w:jc w:val="both"/>
        <w:rPr>
          <w:rFonts w:ascii="Arial" w:hAnsi="Arial" w:cs="Arial"/>
          <w:b/>
          <w:bCs/>
        </w:rPr>
      </w:pPr>
      <w:r w:rsidRPr="0072082C">
        <w:rPr>
          <w:rFonts w:ascii="Arial" w:hAnsi="Arial" w:cs="Arial"/>
          <w:b/>
          <w:bCs/>
        </w:rPr>
        <w:t xml:space="preserve">2.2. </w:t>
      </w:r>
      <w:r w:rsidR="00185286" w:rsidRPr="0072082C">
        <w:rPr>
          <w:rFonts w:ascii="Arial" w:hAnsi="Arial" w:cs="Arial"/>
          <w:b/>
          <w:bCs/>
        </w:rPr>
        <w:t>Methods</w:t>
      </w:r>
    </w:p>
    <w:p w14:paraId="6A16AE0E" w14:textId="656C644D"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2 .2.1. </w:t>
      </w:r>
      <w:r w:rsidR="00185286" w:rsidRPr="0072082C">
        <w:rPr>
          <w:rFonts w:ascii="Arial" w:hAnsi="Arial" w:cs="Arial"/>
          <w:b/>
          <w:bCs/>
          <w:sz w:val="20"/>
          <w:szCs w:val="20"/>
        </w:rPr>
        <w:t>Animal acclimatization</w:t>
      </w:r>
    </w:p>
    <w:p w14:paraId="03203870"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The animals were fed pellets supplied by Ivograin®, with free access to tap water. They received no medication and were acclimatized for one week in the animal facility of the Faculty of Pharmaceutical and Biological Sciences, Félix Houphouët-Boigny University, Côte d’Ivoire (Kambou et al., 2015).</w:t>
      </w:r>
    </w:p>
    <w:p w14:paraId="0621E301" w14:textId="2EAA2B9C"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2.2.2. </w:t>
      </w:r>
      <w:r w:rsidR="00185286" w:rsidRPr="0072082C">
        <w:rPr>
          <w:rFonts w:ascii="Arial" w:hAnsi="Arial" w:cs="Arial"/>
          <w:b/>
          <w:bCs/>
          <w:sz w:val="20"/>
          <w:szCs w:val="20"/>
        </w:rPr>
        <w:t>Experimental group design</w:t>
      </w:r>
    </w:p>
    <w:p w14:paraId="5D0E4753"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According to the experimental procedures described by Fofana et al. (2005) and Kambou et al. (2015), four groups of three rabbits each were formed: one control group and three test groups.</w:t>
      </w:r>
    </w:p>
    <w:p w14:paraId="07D32133" w14:textId="546EF680"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2.2.3. </w:t>
      </w:r>
      <w:r w:rsidR="00185286" w:rsidRPr="0072082C">
        <w:rPr>
          <w:rFonts w:ascii="Arial" w:hAnsi="Arial" w:cs="Arial"/>
          <w:b/>
          <w:bCs/>
          <w:sz w:val="20"/>
          <w:szCs w:val="20"/>
        </w:rPr>
        <w:t>Preparation of solutions and administered doses</w:t>
      </w:r>
    </w:p>
    <w:p w14:paraId="49AD54DA"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The test groups received different doses of spirulina (100, 250, and 700 mg/kg body weight), prepared in physiological saline solution (0.9% NaCl).</w:t>
      </w:r>
    </w:p>
    <w:p w14:paraId="199D194C" w14:textId="6C582D3F"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2.2.4. </w:t>
      </w:r>
      <w:r w:rsidR="00185286" w:rsidRPr="0072082C">
        <w:rPr>
          <w:rFonts w:ascii="Arial" w:hAnsi="Arial" w:cs="Arial"/>
          <w:b/>
          <w:bCs/>
          <w:sz w:val="20"/>
          <w:szCs w:val="20"/>
        </w:rPr>
        <w:t>Administration of treatments</w:t>
      </w:r>
    </w:p>
    <w:p w14:paraId="3AE033E1"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lastRenderedPageBreak/>
        <w:t>For three consecutive days, each group received a single daily dose of 1 mL of spirulina solution administered via the intraperitoneal route. The control group received only physiological saline solution.</w:t>
      </w:r>
    </w:p>
    <w:p w14:paraId="46330C37" w14:textId="17DB36A1"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2.2.5. </w:t>
      </w:r>
      <w:r w:rsidR="00185286" w:rsidRPr="0072082C">
        <w:rPr>
          <w:rFonts w:ascii="Arial" w:hAnsi="Arial" w:cs="Arial"/>
          <w:b/>
          <w:bCs/>
          <w:sz w:val="20"/>
          <w:szCs w:val="20"/>
        </w:rPr>
        <w:t>Blood sampling</w:t>
      </w:r>
      <w:r w:rsidRPr="0072082C">
        <w:rPr>
          <w:rFonts w:ascii="Arial" w:hAnsi="Arial" w:cs="Arial"/>
          <w:b/>
          <w:bCs/>
          <w:sz w:val="20"/>
          <w:szCs w:val="20"/>
        </w:rPr>
        <w:t xml:space="preserve"> </w:t>
      </w:r>
    </w:p>
    <w:p w14:paraId="2F686CC7"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Blood sampling was performed in accordance with Directive 2010/63/EU of the European Parliament and of the Council on the protection of animals used for scientific purposes, as well as OECD guidelines (2025). Two to three milliliters of fasting whole blood were collected in the morning from the marginal ear vein using a winged needle into a dry tube. Sampling was carried out before the experiment (Day 0) and weekly for 21 days. Blood samples were centrifuged at 3,000 rpm for 5 minutes, serum aliquots were obtained, and stored at −20°C prior to biomarker analysis.</w:t>
      </w:r>
    </w:p>
    <w:p w14:paraId="5421DD1E" w14:textId="6012D0B7"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2.2.6. </w:t>
      </w:r>
      <w:r w:rsidR="00185286" w:rsidRPr="0072082C">
        <w:rPr>
          <w:rFonts w:ascii="Arial" w:hAnsi="Arial" w:cs="Arial"/>
          <w:b/>
          <w:bCs/>
          <w:sz w:val="20"/>
          <w:szCs w:val="20"/>
        </w:rPr>
        <w:t>Determination of enzymatic parameters</w:t>
      </w:r>
    </w:p>
    <w:p w14:paraId="322CA509"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Analyses focused on hepatic markers, including aspartate aminotransferase (AST; also known as glutamate oxaloacetate transaminase, GOT), alanine aminotransferase (ALT; glutamate pyruvate transaminase, GPT), gamma-glutamyl transferase (γ-GT), alkaline phosphatase (ALP), and lactate dehydrogenase (LDH). Analyses were performed using an automated medical biochemistry analyzer, following the specific methods recommended by the reagent manufacturers. According to the principle of hepatic tolerance assessment described above, a so-called bio-tolerated dose does not induce a significant variation in the concentrations of biochemical parameters compared with normal reference values or the control group.</w:t>
      </w:r>
    </w:p>
    <w:p w14:paraId="75C41BA4" w14:textId="0D079341" w:rsidR="00185286" w:rsidRPr="0072082C" w:rsidRDefault="00EE3F59" w:rsidP="00185286">
      <w:pPr>
        <w:jc w:val="both"/>
        <w:rPr>
          <w:rFonts w:ascii="Arial" w:hAnsi="Arial" w:cs="Arial"/>
          <w:b/>
          <w:bCs/>
          <w:sz w:val="20"/>
          <w:szCs w:val="20"/>
        </w:rPr>
      </w:pPr>
      <w:r w:rsidRPr="0072082C">
        <w:rPr>
          <w:rFonts w:ascii="Arial" w:hAnsi="Arial" w:cs="Arial"/>
          <w:b/>
          <w:bCs/>
          <w:sz w:val="20"/>
          <w:szCs w:val="20"/>
        </w:rPr>
        <w:t xml:space="preserve">2.2.7. </w:t>
      </w:r>
      <w:r w:rsidR="00185286" w:rsidRPr="0072082C">
        <w:rPr>
          <w:rFonts w:ascii="Arial" w:hAnsi="Arial" w:cs="Arial"/>
          <w:b/>
          <w:bCs/>
          <w:sz w:val="20"/>
          <w:szCs w:val="20"/>
        </w:rPr>
        <w:t>Statistical analysis</w:t>
      </w:r>
    </w:p>
    <w:p w14:paraId="7F654674" w14:textId="77777777" w:rsidR="00185286" w:rsidRPr="0072082C" w:rsidRDefault="00185286" w:rsidP="00185286">
      <w:pPr>
        <w:jc w:val="both"/>
        <w:rPr>
          <w:rFonts w:ascii="Arial" w:hAnsi="Arial" w:cs="Arial"/>
          <w:sz w:val="20"/>
          <w:szCs w:val="20"/>
        </w:rPr>
      </w:pPr>
      <w:r w:rsidRPr="0072082C">
        <w:rPr>
          <w:rFonts w:ascii="Arial" w:hAnsi="Arial" w:cs="Arial"/>
          <w:sz w:val="20"/>
          <w:szCs w:val="20"/>
        </w:rPr>
        <w:t>Data are expressed as mean ± standard deviation (M ± SD), with a sample size of n = 3 animals per group. Graphical representations were generated using GraphPad Prism software. Statistical analysis was performed using analysis of variance (ANOVA). Mean values of the test groups were compared with those of the control group, and differences were considered statistically significant at p &lt; 0.05.</w:t>
      </w:r>
    </w:p>
    <w:p w14:paraId="6086BBB7" w14:textId="3CC90CE4" w:rsidR="002459AE" w:rsidRPr="0072082C" w:rsidRDefault="00EE3F59" w:rsidP="002459AE">
      <w:pPr>
        <w:jc w:val="both"/>
        <w:rPr>
          <w:rFonts w:ascii="Arial" w:hAnsi="Arial" w:cs="Arial"/>
          <w:b/>
          <w:bCs/>
        </w:rPr>
      </w:pPr>
      <w:r w:rsidRPr="0072082C">
        <w:rPr>
          <w:rFonts w:ascii="Arial" w:hAnsi="Arial" w:cs="Arial"/>
          <w:b/>
          <w:bCs/>
        </w:rPr>
        <w:t xml:space="preserve">3. </w:t>
      </w:r>
      <w:r w:rsidR="002459AE" w:rsidRPr="0072082C">
        <w:rPr>
          <w:rFonts w:ascii="Arial" w:hAnsi="Arial" w:cs="Arial"/>
          <w:b/>
          <w:bCs/>
        </w:rPr>
        <w:t>RESULTS</w:t>
      </w:r>
    </w:p>
    <w:p w14:paraId="2BDC5670" w14:textId="568C77FB" w:rsidR="002459AE" w:rsidRPr="0072082C" w:rsidRDefault="00EE3F59" w:rsidP="002459AE">
      <w:pPr>
        <w:jc w:val="both"/>
        <w:rPr>
          <w:rFonts w:ascii="Arial" w:hAnsi="Arial" w:cs="Arial"/>
          <w:b/>
          <w:bCs/>
        </w:rPr>
      </w:pPr>
      <w:r w:rsidRPr="0072082C">
        <w:rPr>
          <w:rFonts w:ascii="Arial" w:hAnsi="Arial" w:cs="Arial"/>
          <w:b/>
          <w:bCs/>
        </w:rPr>
        <w:t xml:space="preserve">3.1. </w:t>
      </w:r>
      <w:r w:rsidR="002459AE" w:rsidRPr="0072082C">
        <w:rPr>
          <w:rFonts w:ascii="Arial" w:hAnsi="Arial" w:cs="Arial"/>
          <w:b/>
          <w:bCs/>
        </w:rPr>
        <w:t>Alanine Aminotransferase</w:t>
      </w:r>
    </w:p>
    <w:p w14:paraId="3EECE34D" w14:textId="77777777" w:rsidR="002459AE" w:rsidRPr="0072082C" w:rsidRDefault="002459AE" w:rsidP="002459AE">
      <w:pPr>
        <w:jc w:val="both"/>
        <w:rPr>
          <w:rFonts w:ascii="Arial" w:hAnsi="Arial" w:cs="Arial"/>
          <w:sz w:val="20"/>
          <w:szCs w:val="20"/>
        </w:rPr>
      </w:pPr>
      <w:r w:rsidRPr="0072082C">
        <w:rPr>
          <w:rFonts w:ascii="Arial" w:hAnsi="Arial" w:cs="Arial"/>
          <w:sz w:val="20"/>
          <w:szCs w:val="20"/>
        </w:rPr>
        <w:t>Before treatment (Day 0), the mean alanine aminotransferase (ALT) values in all groups ranged from 57.00 ± 8.54 to 75.66 ± 30.08 IU/L, with no statistically significant differences (P &gt; 0.05). One week after spirulina treatment (Day 7), ALT values in the groups receiving spirulina at doses of 100, 250, and 700 mg/kg body weight (bw) did not vary significantly, ranging from 43.33 ± 9.71 to 58.66 ± 5.13 IU/L. Similarly, variations observed during the monitoring period up to Day 21 showed no significant differences (57.00 ± 27.05 to 67.00 ± 6.55 IU/L), either according to dose or over time (Figure 1).</w:t>
      </w:r>
    </w:p>
    <w:p w14:paraId="0569A491" w14:textId="167F006C" w:rsidR="002459AE" w:rsidRPr="00AC5D91" w:rsidRDefault="00C14670" w:rsidP="002459AE">
      <w:pPr>
        <w:jc w:val="both"/>
        <w:rPr>
          <w:rFonts w:ascii="Arial" w:hAnsi="Arial" w:cs="Arial"/>
          <w:sz w:val="24"/>
          <w:szCs w:val="24"/>
        </w:rPr>
      </w:pPr>
      <w:r w:rsidRPr="00AC5D91">
        <w:rPr>
          <w:rFonts w:ascii="Arial" w:hAnsi="Arial" w:cs="Arial"/>
          <w:sz w:val="24"/>
          <w:szCs w:val="24"/>
        </w:rPr>
        <w:object w:dxaOrig="9713" w:dyaOrig="6318" w14:anchorId="40DAF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15pt;height:316.1pt" o:ole="">
            <v:imagedata r:id="rId7" o:title=""/>
          </v:shape>
          <o:OLEObject Type="Embed" ProgID="Prism10.Document" ShapeID="_x0000_i1025" DrawAspect="Content" ObjectID="_1829391330" r:id="rId8"/>
        </w:object>
      </w:r>
    </w:p>
    <w:p w14:paraId="527B1493" w14:textId="077D229E" w:rsidR="00E37DB7" w:rsidRPr="0072082C" w:rsidRDefault="002459AE" w:rsidP="002459AE">
      <w:pPr>
        <w:jc w:val="both"/>
        <w:rPr>
          <w:rFonts w:ascii="Arial" w:hAnsi="Arial" w:cs="Arial"/>
          <w:b/>
          <w:bCs/>
          <w:sz w:val="20"/>
          <w:szCs w:val="20"/>
        </w:rPr>
      </w:pPr>
      <w:r w:rsidRPr="0072082C">
        <w:rPr>
          <w:rFonts w:ascii="Arial" w:hAnsi="Arial" w:cs="Arial"/>
          <w:b/>
          <w:bCs/>
          <w:sz w:val="20"/>
          <w:szCs w:val="20"/>
        </w:rPr>
        <w:t xml:space="preserve">Figure </w:t>
      </w:r>
      <w:r w:rsidR="00E37DB7" w:rsidRPr="0072082C">
        <w:rPr>
          <w:rFonts w:ascii="Arial" w:hAnsi="Arial" w:cs="Arial"/>
          <w:b/>
          <w:bCs/>
          <w:sz w:val="20"/>
          <w:szCs w:val="20"/>
        </w:rPr>
        <w:t>1 :</w:t>
      </w:r>
      <w:r w:rsidRPr="0072082C">
        <w:rPr>
          <w:rFonts w:ascii="Arial" w:hAnsi="Arial" w:cs="Arial"/>
          <w:b/>
          <w:bCs/>
          <w:sz w:val="20"/>
          <w:szCs w:val="20"/>
        </w:rPr>
        <w:t xml:space="preserve"> Changes in mean blood concentrations of alanine aminotransferase (ALT) in rabbit</w:t>
      </w:r>
      <w:r w:rsidR="00E37DB7" w:rsidRPr="0072082C">
        <w:rPr>
          <w:rFonts w:ascii="Arial" w:hAnsi="Arial" w:cs="Arial"/>
          <w:b/>
          <w:bCs/>
          <w:sz w:val="20"/>
          <w:szCs w:val="20"/>
        </w:rPr>
        <w:t xml:space="preserve"> </w:t>
      </w:r>
      <w:r w:rsidRPr="0072082C">
        <w:rPr>
          <w:rFonts w:ascii="Arial" w:hAnsi="Arial" w:cs="Arial"/>
          <w:b/>
          <w:bCs/>
          <w:sz w:val="20"/>
          <w:szCs w:val="20"/>
        </w:rPr>
        <w:t>groups during the experiment.</w:t>
      </w:r>
    </w:p>
    <w:p w14:paraId="642F45EC" w14:textId="412C846F" w:rsidR="002459AE" w:rsidRPr="00730852" w:rsidRDefault="00E37DB7" w:rsidP="002459AE">
      <w:pPr>
        <w:jc w:val="both"/>
        <w:rPr>
          <w:rFonts w:ascii="Arial" w:hAnsi="Arial" w:cs="Arial"/>
          <w:i/>
          <w:iCs/>
          <w:sz w:val="18"/>
          <w:szCs w:val="18"/>
        </w:rPr>
      </w:pPr>
      <w:bookmarkStart w:id="0" w:name="_Hlk218689248"/>
      <w:r w:rsidRPr="00730852">
        <w:rPr>
          <w:rFonts w:ascii="Arial" w:hAnsi="Arial" w:cs="Arial"/>
          <w:i/>
          <w:iCs/>
          <w:sz w:val="18"/>
          <w:szCs w:val="18"/>
        </w:rPr>
        <w:t>G</w:t>
      </w:r>
      <w:r w:rsidR="002459AE" w:rsidRPr="00730852">
        <w:rPr>
          <w:rFonts w:ascii="Arial" w:hAnsi="Arial" w:cs="Arial"/>
          <w:i/>
          <w:iCs/>
          <w:sz w:val="18"/>
          <w:szCs w:val="18"/>
        </w:rPr>
        <w:t>-D</w:t>
      </w:r>
      <w:r w:rsidR="0013633B" w:rsidRPr="00730852">
        <w:rPr>
          <w:rFonts w:ascii="Arial" w:hAnsi="Arial" w:cs="Arial"/>
          <w:i/>
          <w:iCs/>
          <w:sz w:val="18"/>
          <w:szCs w:val="18"/>
        </w:rPr>
        <w:t>0 :</w:t>
      </w:r>
      <w:r w:rsidR="002459AE" w:rsidRPr="00730852">
        <w:rPr>
          <w:rFonts w:ascii="Arial" w:hAnsi="Arial" w:cs="Arial"/>
          <w:i/>
          <w:iCs/>
          <w:sz w:val="18"/>
          <w:szCs w:val="18"/>
        </w:rPr>
        <w:t xml:space="preserve"> control group (received only physiological saline</w:t>
      </w:r>
      <w:r w:rsidR="0013633B" w:rsidRPr="00730852">
        <w:rPr>
          <w:rFonts w:ascii="Arial" w:hAnsi="Arial" w:cs="Arial"/>
          <w:i/>
          <w:iCs/>
          <w:sz w:val="18"/>
          <w:szCs w:val="18"/>
        </w:rPr>
        <w:t>) ;</w:t>
      </w:r>
      <w:r w:rsidR="002459AE" w:rsidRPr="00730852">
        <w:rPr>
          <w:rFonts w:ascii="Arial" w:hAnsi="Arial" w:cs="Arial"/>
          <w:i/>
          <w:iCs/>
          <w:sz w:val="18"/>
          <w:szCs w:val="18"/>
        </w:rPr>
        <w:t xml:space="preserve"> </w:t>
      </w:r>
      <w:r w:rsidRPr="00730852">
        <w:rPr>
          <w:rFonts w:ascii="Arial" w:hAnsi="Arial" w:cs="Arial"/>
          <w:i/>
          <w:iCs/>
          <w:sz w:val="18"/>
          <w:szCs w:val="18"/>
        </w:rPr>
        <w:t>G</w:t>
      </w:r>
      <w:r w:rsidR="002459AE" w:rsidRPr="00730852">
        <w:rPr>
          <w:rFonts w:ascii="Arial" w:hAnsi="Arial" w:cs="Arial"/>
          <w:i/>
          <w:iCs/>
          <w:sz w:val="18"/>
          <w:szCs w:val="18"/>
        </w:rPr>
        <w:t xml:space="preserve">-D100, </w:t>
      </w:r>
      <w:r w:rsidRPr="00730852">
        <w:rPr>
          <w:rFonts w:ascii="Arial" w:hAnsi="Arial" w:cs="Arial"/>
          <w:i/>
          <w:iCs/>
          <w:sz w:val="18"/>
          <w:szCs w:val="18"/>
        </w:rPr>
        <w:t>G</w:t>
      </w:r>
      <w:r w:rsidR="002459AE" w:rsidRPr="00730852">
        <w:rPr>
          <w:rFonts w:ascii="Arial" w:hAnsi="Arial" w:cs="Arial"/>
          <w:i/>
          <w:iCs/>
          <w:sz w:val="18"/>
          <w:szCs w:val="18"/>
        </w:rPr>
        <w:t xml:space="preserve">-D250, </w:t>
      </w:r>
      <w:r w:rsidRPr="00730852">
        <w:rPr>
          <w:rFonts w:ascii="Arial" w:hAnsi="Arial" w:cs="Arial"/>
          <w:i/>
          <w:iCs/>
          <w:sz w:val="18"/>
          <w:szCs w:val="18"/>
        </w:rPr>
        <w:t>G</w:t>
      </w:r>
      <w:r w:rsidR="002459AE" w:rsidRPr="00730852">
        <w:rPr>
          <w:rFonts w:ascii="Arial" w:hAnsi="Arial" w:cs="Arial"/>
          <w:i/>
          <w:iCs/>
          <w:sz w:val="18"/>
          <w:szCs w:val="18"/>
        </w:rPr>
        <w:t>-D</w:t>
      </w:r>
      <w:r w:rsidR="0013633B" w:rsidRPr="00730852">
        <w:rPr>
          <w:rFonts w:ascii="Arial" w:hAnsi="Arial" w:cs="Arial"/>
          <w:i/>
          <w:iCs/>
          <w:sz w:val="18"/>
          <w:szCs w:val="18"/>
        </w:rPr>
        <w:t>700 :</w:t>
      </w:r>
      <w:r w:rsidR="002459AE" w:rsidRPr="00730852">
        <w:rPr>
          <w:rFonts w:ascii="Arial" w:hAnsi="Arial" w:cs="Arial"/>
          <w:i/>
          <w:iCs/>
          <w:sz w:val="18"/>
          <w:szCs w:val="18"/>
        </w:rPr>
        <w:t xml:space="preserve"> groups receiving respective doses of spirulina at 100, 250, and 700 mg/kg</w:t>
      </w:r>
      <w:r w:rsidRPr="00730852">
        <w:rPr>
          <w:rFonts w:ascii="Arial" w:hAnsi="Arial" w:cs="Arial"/>
          <w:i/>
          <w:iCs/>
          <w:sz w:val="18"/>
          <w:szCs w:val="18"/>
        </w:rPr>
        <w:t xml:space="preserve"> of</w:t>
      </w:r>
      <w:r w:rsidR="002459AE" w:rsidRPr="00730852">
        <w:rPr>
          <w:rFonts w:ascii="Arial" w:hAnsi="Arial" w:cs="Arial"/>
          <w:i/>
          <w:iCs/>
          <w:sz w:val="18"/>
          <w:szCs w:val="18"/>
        </w:rPr>
        <w:t xml:space="preserve"> body weight.</w:t>
      </w:r>
    </w:p>
    <w:bookmarkEnd w:id="0"/>
    <w:p w14:paraId="20D8C7EF" w14:textId="0336BB5E" w:rsidR="002459AE" w:rsidRPr="0072082C" w:rsidRDefault="00EE3F59" w:rsidP="002459AE">
      <w:pPr>
        <w:jc w:val="both"/>
        <w:rPr>
          <w:rFonts w:ascii="Arial" w:hAnsi="Arial" w:cs="Arial"/>
          <w:b/>
          <w:bCs/>
        </w:rPr>
      </w:pPr>
      <w:r w:rsidRPr="0072082C">
        <w:rPr>
          <w:rFonts w:ascii="Arial" w:hAnsi="Arial" w:cs="Arial"/>
          <w:b/>
          <w:bCs/>
        </w:rPr>
        <w:t xml:space="preserve">3.2. </w:t>
      </w:r>
      <w:r w:rsidR="002459AE" w:rsidRPr="0072082C">
        <w:rPr>
          <w:rFonts w:ascii="Arial" w:hAnsi="Arial" w:cs="Arial"/>
          <w:b/>
          <w:bCs/>
        </w:rPr>
        <w:t>Aspartate Aminotransferase</w:t>
      </w:r>
    </w:p>
    <w:p w14:paraId="377ACFD3" w14:textId="77777777" w:rsidR="002459AE" w:rsidRPr="0072082C" w:rsidRDefault="002459AE" w:rsidP="002459AE">
      <w:pPr>
        <w:jc w:val="both"/>
        <w:rPr>
          <w:rFonts w:ascii="Arial" w:hAnsi="Arial" w:cs="Arial"/>
          <w:sz w:val="20"/>
          <w:szCs w:val="20"/>
        </w:rPr>
      </w:pPr>
      <w:r w:rsidRPr="0072082C">
        <w:rPr>
          <w:rFonts w:ascii="Arial" w:hAnsi="Arial" w:cs="Arial"/>
          <w:sz w:val="20"/>
          <w:szCs w:val="20"/>
        </w:rPr>
        <w:t>Before treatment, mean aspartate aminotransferase (AST) values ranged between 34.00 ± 10.00 and 44.66 ± 0.15 IU/L, and between 25.33 ± 4.50 and 42.00 ± 3.64 IU/L after treatment. AST values therefore did not show any statistically significant variation (P &gt; 0.05) according to dose or time (Figure 2). Overall, none of the spirulina doses induced a significant change in transaminase activity during the experiment.</w:t>
      </w:r>
    </w:p>
    <w:p w14:paraId="79745575" w14:textId="77777777" w:rsidR="00E37DB7" w:rsidRPr="0072082C" w:rsidRDefault="00E37DB7" w:rsidP="002459AE">
      <w:pPr>
        <w:jc w:val="both"/>
        <w:rPr>
          <w:rFonts w:ascii="Arial" w:hAnsi="Arial" w:cs="Arial"/>
          <w:sz w:val="20"/>
          <w:szCs w:val="20"/>
        </w:rPr>
      </w:pPr>
    </w:p>
    <w:p w14:paraId="28F705F3" w14:textId="77777777" w:rsidR="00E37DB7" w:rsidRPr="00AC5D91" w:rsidRDefault="00E37DB7" w:rsidP="002459AE">
      <w:pPr>
        <w:jc w:val="both"/>
        <w:rPr>
          <w:rFonts w:ascii="Arial" w:hAnsi="Arial" w:cs="Arial"/>
          <w:sz w:val="24"/>
          <w:szCs w:val="24"/>
        </w:rPr>
      </w:pPr>
    </w:p>
    <w:p w14:paraId="0C86592C" w14:textId="77777777" w:rsidR="00E37DB7" w:rsidRPr="00AC5D91" w:rsidRDefault="00E37DB7" w:rsidP="002459AE">
      <w:pPr>
        <w:jc w:val="both"/>
        <w:rPr>
          <w:rFonts w:ascii="Arial" w:hAnsi="Arial" w:cs="Arial"/>
          <w:sz w:val="24"/>
          <w:szCs w:val="24"/>
        </w:rPr>
      </w:pPr>
    </w:p>
    <w:p w14:paraId="09E08A0A" w14:textId="13D28818" w:rsidR="00E37DB7" w:rsidRPr="00AC5D91" w:rsidRDefault="00C14670" w:rsidP="002459AE">
      <w:pPr>
        <w:jc w:val="both"/>
        <w:rPr>
          <w:rFonts w:ascii="Arial" w:hAnsi="Arial" w:cs="Arial"/>
          <w:b/>
          <w:bCs/>
          <w:sz w:val="24"/>
          <w:szCs w:val="24"/>
        </w:rPr>
      </w:pPr>
      <w:r w:rsidRPr="00AC5D91">
        <w:rPr>
          <w:rFonts w:ascii="Arial" w:hAnsi="Arial" w:cs="Arial"/>
          <w:sz w:val="24"/>
          <w:szCs w:val="24"/>
        </w:rPr>
        <w:object w:dxaOrig="9904" w:dyaOrig="6318" w14:anchorId="061C649F">
          <v:shape id="_x0000_i1026" type="#_x0000_t75" style="width:495.1pt;height:316.1pt" o:ole="">
            <v:imagedata r:id="rId9" o:title=""/>
          </v:shape>
          <o:OLEObject Type="Embed" ProgID="Prism10.Document" ShapeID="_x0000_i1026" DrawAspect="Content" ObjectID="_1829391331" r:id="rId10"/>
        </w:object>
      </w:r>
    </w:p>
    <w:p w14:paraId="62F60F3C" w14:textId="7CBFC14D" w:rsidR="00E37DB7" w:rsidRPr="0072082C" w:rsidRDefault="00E37DB7" w:rsidP="002459AE">
      <w:pPr>
        <w:jc w:val="both"/>
        <w:rPr>
          <w:rFonts w:ascii="Arial" w:hAnsi="Arial" w:cs="Arial"/>
          <w:b/>
          <w:bCs/>
          <w:sz w:val="20"/>
          <w:szCs w:val="20"/>
        </w:rPr>
      </w:pPr>
      <w:r w:rsidRPr="0072082C">
        <w:rPr>
          <w:rFonts w:ascii="Arial" w:hAnsi="Arial" w:cs="Arial"/>
          <w:b/>
          <w:bCs/>
          <w:sz w:val="20"/>
          <w:szCs w:val="20"/>
        </w:rPr>
        <w:t xml:space="preserve">Figure </w:t>
      </w:r>
      <w:r w:rsidR="00D73158" w:rsidRPr="0072082C">
        <w:rPr>
          <w:rFonts w:ascii="Arial" w:hAnsi="Arial" w:cs="Arial"/>
          <w:b/>
          <w:bCs/>
          <w:sz w:val="20"/>
          <w:szCs w:val="20"/>
        </w:rPr>
        <w:t>2 :</w:t>
      </w:r>
      <w:r w:rsidRPr="0072082C">
        <w:rPr>
          <w:rFonts w:ascii="Arial" w:hAnsi="Arial" w:cs="Arial"/>
          <w:b/>
          <w:bCs/>
          <w:sz w:val="20"/>
          <w:szCs w:val="20"/>
        </w:rPr>
        <w:t xml:space="preserve"> Changes in mean blood concentrations of aspartate aminotransferase (AST) in rabbit groups during the experiment.</w:t>
      </w:r>
    </w:p>
    <w:p w14:paraId="2FA830BA" w14:textId="1B0DFC8B" w:rsidR="00730852" w:rsidRPr="00730852" w:rsidRDefault="00730852" w:rsidP="00730852">
      <w:pPr>
        <w:jc w:val="both"/>
        <w:rPr>
          <w:rFonts w:ascii="Arial" w:hAnsi="Arial" w:cs="Arial"/>
          <w:i/>
          <w:iCs/>
          <w:sz w:val="18"/>
          <w:szCs w:val="18"/>
        </w:rPr>
      </w:pPr>
      <w:r w:rsidRPr="00730852">
        <w:rPr>
          <w:rFonts w:ascii="Arial" w:hAnsi="Arial" w:cs="Arial"/>
          <w:i/>
          <w:iCs/>
          <w:sz w:val="18"/>
          <w:szCs w:val="18"/>
        </w:rPr>
        <w:t>G-D0 : control group (received only physiological saline) ; G-D100, G-D250, G-D700 : groups receiving respective doses of spirulina at 100, 250, and 700 mg/kg of body weight.</w:t>
      </w:r>
    </w:p>
    <w:p w14:paraId="7D83ADBC" w14:textId="204285BF" w:rsidR="002459AE" w:rsidRPr="0013633B" w:rsidRDefault="00EE3F59" w:rsidP="002459AE">
      <w:pPr>
        <w:jc w:val="both"/>
        <w:rPr>
          <w:rFonts w:ascii="Arial" w:hAnsi="Arial" w:cs="Arial"/>
          <w:b/>
          <w:bCs/>
        </w:rPr>
      </w:pPr>
      <w:r w:rsidRPr="0013633B">
        <w:rPr>
          <w:rFonts w:ascii="Arial" w:hAnsi="Arial" w:cs="Arial"/>
          <w:b/>
          <w:bCs/>
        </w:rPr>
        <w:t xml:space="preserve">3.3. </w:t>
      </w:r>
      <w:r w:rsidR="002459AE" w:rsidRPr="0013633B">
        <w:rPr>
          <w:rFonts w:ascii="Arial" w:hAnsi="Arial" w:cs="Arial"/>
          <w:b/>
          <w:bCs/>
        </w:rPr>
        <w:t>Alkaline Phosphatase</w:t>
      </w:r>
    </w:p>
    <w:p w14:paraId="3FAD0E91"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Mean alkaline phosphatase (ALP) values ranged from 188.33 ± 38.21 to 359.66 ± 53.53 IU/L before treatment. After treatment, values ranged from 140.66 ± 10.26 to 322.66 ± 176.50 IU/L. No statistically significant difference (P &gt; 0.05) was observed between treated groups and the control group, regardless of dose or duration of treatment (Figure 3).</w:t>
      </w:r>
    </w:p>
    <w:bookmarkStart w:id="1" w:name="_Toc464102946"/>
    <w:p w14:paraId="1DB27FD3" w14:textId="16651B98" w:rsidR="00E37DB7" w:rsidRPr="00AC5D91" w:rsidRDefault="00C14670" w:rsidP="002459AE">
      <w:pPr>
        <w:jc w:val="both"/>
        <w:rPr>
          <w:rFonts w:ascii="Arial" w:hAnsi="Arial" w:cs="Arial"/>
          <w:sz w:val="24"/>
          <w:szCs w:val="24"/>
        </w:rPr>
      </w:pPr>
      <w:r w:rsidRPr="00AC5D91">
        <w:rPr>
          <w:rFonts w:ascii="Arial" w:hAnsi="Arial" w:cs="Arial"/>
          <w:sz w:val="24"/>
          <w:szCs w:val="24"/>
        </w:rPr>
        <w:object w:dxaOrig="9771" w:dyaOrig="6718" w14:anchorId="63DE92B9">
          <v:shape id="_x0000_i1027" type="#_x0000_t75" style="width:489.6pt;height:336pt" o:ole="">
            <v:imagedata r:id="rId11" o:title=""/>
          </v:shape>
          <o:OLEObject Type="Embed" ProgID="Prism10.Document" ShapeID="_x0000_i1027" DrawAspect="Content" ObjectID="_1829391332" r:id="rId12"/>
        </w:object>
      </w:r>
      <w:bookmarkEnd w:id="1"/>
    </w:p>
    <w:p w14:paraId="07414131" w14:textId="15F55E0F" w:rsidR="00E37DB7" w:rsidRPr="00AC5D91" w:rsidRDefault="00E37DB7" w:rsidP="002459AE">
      <w:pPr>
        <w:jc w:val="both"/>
        <w:rPr>
          <w:rFonts w:ascii="Arial" w:hAnsi="Arial" w:cs="Arial"/>
          <w:b/>
          <w:bCs/>
          <w:sz w:val="24"/>
          <w:szCs w:val="24"/>
        </w:rPr>
      </w:pPr>
      <w:r w:rsidRPr="00AC5D91">
        <w:rPr>
          <w:rFonts w:ascii="Arial" w:hAnsi="Arial" w:cs="Arial"/>
          <w:b/>
          <w:bCs/>
          <w:sz w:val="24"/>
          <w:szCs w:val="24"/>
        </w:rPr>
        <w:t xml:space="preserve">Figure </w:t>
      </w:r>
      <w:r w:rsidR="00D73158" w:rsidRPr="00AC5D91">
        <w:rPr>
          <w:rFonts w:ascii="Arial" w:hAnsi="Arial" w:cs="Arial"/>
          <w:b/>
          <w:bCs/>
          <w:sz w:val="24"/>
          <w:szCs w:val="24"/>
        </w:rPr>
        <w:t>3 :</w:t>
      </w:r>
      <w:r w:rsidRPr="00AC5D91">
        <w:rPr>
          <w:rFonts w:ascii="Arial" w:hAnsi="Arial" w:cs="Arial"/>
          <w:b/>
          <w:bCs/>
          <w:sz w:val="24"/>
          <w:szCs w:val="24"/>
        </w:rPr>
        <w:t xml:space="preserve"> Changes in mean blood concentrations of alkaline phosphatase (ALP) in rabbit groups during the experiment.</w:t>
      </w:r>
    </w:p>
    <w:p w14:paraId="547A936E" w14:textId="320AEFBA" w:rsidR="00E37DB7" w:rsidRPr="00730852" w:rsidRDefault="00730852" w:rsidP="002459AE">
      <w:pPr>
        <w:jc w:val="both"/>
        <w:rPr>
          <w:rFonts w:ascii="Arial" w:hAnsi="Arial" w:cs="Arial"/>
          <w:i/>
          <w:iCs/>
          <w:sz w:val="18"/>
          <w:szCs w:val="18"/>
        </w:rPr>
      </w:pPr>
      <w:r w:rsidRPr="00730852">
        <w:rPr>
          <w:rFonts w:ascii="Arial" w:hAnsi="Arial" w:cs="Arial"/>
          <w:i/>
          <w:iCs/>
          <w:sz w:val="18"/>
          <w:szCs w:val="18"/>
        </w:rPr>
        <w:t>G-D</w:t>
      </w:r>
      <w:r w:rsidR="0013633B" w:rsidRPr="00730852">
        <w:rPr>
          <w:rFonts w:ascii="Arial" w:hAnsi="Arial" w:cs="Arial"/>
          <w:i/>
          <w:iCs/>
          <w:sz w:val="18"/>
          <w:szCs w:val="18"/>
        </w:rPr>
        <w:t>0 :</w:t>
      </w:r>
      <w:r w:rsidRPr="00730852">
        <w:rPr>
          <w:rFonts w:ascii="Arial" w:hAnsi="Arial" w:cs="Arial"/>
          <w:i/>
          <w:iCs/>
          <w:sz w:val="18"/>
          <w:szCs w:val="18"/>
        </w:rPr>
        <w:t xml:space="preserve"> control group (received only physiological saline</w:t>
      </w:r>
      <w:r w:rsidR="0013633B" w:rsidRPr="00730852">
        <w:rPr>
          <w:rFonts w:ascii="Arial" w:hAnsi="Arial" w:cs="Arial"/>
          <w:i/>
          <w:iCs/>
          <w:sz w:val="18"/>
          <w:szCs w:val="18"/>
        </w:rPr>
        <w:t>) ;</w:t>
      </w:r>
      <w:r w:rsidRPr="00730852">
        <w:rPr>
          <w:rFonts w:ascii="Arial" w:hAnsi="Arial" w:cs="Arial"/>
          <w:i/>
          <w:iCs/>
          <w:sz w:val="18"/>
          <w:szCs w:val="18"/>
        </w:rPr>
        <w:t xml:space="preserve"> G-D100, G-D250, G-D</w:t>
      </w:r>
      <w:r w:rsidR="0013633B" w:rsidRPr="00730852">
        <w:rPr>
          <w:rFonts w:ascii="Arial" w:hAnsi="Arial" w:cs="Arial"/>
          <w:i/>
          <w:iCs/>
          <w:sz w:val="18"/>
          <w:szCs w:val="18"/>
        </w:rPr>
        <w:t>700 :</w:t>
      </w:r>
      <w:r w:rsidRPr="00730852">
        <w:rPr>
          <w:rFonts w:ascii="Arial" w:hAnsi="Arial" w:cs="Arial"/>
          <w:i/>
          <w:iCs/>
          <w:sz w:val="18"/>
          <w:szCs w:val="18"/>
        </w:rPr>
        <w:t xml:space="preserve"> groups receiving respective doses of spirulina at 100, 250, and 700 mg/kg of body weight.</w:t>
      </w:r>
    </w:p>
    <w:p w14:paraId="6D14A185" w14:textId="226EB4D7" w:rsidR="002459AE" w:rsidRPr="0013633B" w:rsidRDefault="00EE3F59" w:rsidP="002459AE">
      <w:pPr>
        <w:jc w:val="both"/>
        <w:rPr>
          <w:rFonts w:ascii="Arial" w:hAnsi="Arial" w:cs="Arial"/>
          <w:b/>
          <w:bCs/>
        </w:rPr>
      </w:pPr>
      <w:r w:rsidRPr="0013633B">
        <w:rPr>
          <w:rFonts w:ascii="Arial" w:hAnsi="Arial" w:cs="Arial"/>
          <w:b/>
          <w:bCs/>
        </w:rPr>
        <w:t xml:space="preserve">3.4. </w:t>
      </w:r>
      <w:r w:rsidR="002459AE" w:rsidRPr="0013633B">
        <w:rPr>
          <w:rFonts w:ascii="Arial" w:hAnsi="Arial" w:cs="Arial"/>
          <w:b/>
          <w:bCs/>
        </w:rPr>
        <w:t>Gamma-Glutamyl Transferase</w:t>
      </w:r>
    </w:p>
    <w:p w14:paraId="4B856B25"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Mean gamma-glutamyl transferase (γ-GT) values in rabbit groups ranged from 7.66 ± 0.57 to 11.66 ± 2.50 IU/L before treatment and did not show any significant difference (P &gt; 0.05) throughout the experiment. One week after treatment and during the follow-up period, analysis of the results indicated that observed variations (6.23 ± 0.57 to 10.33 ± 3.21 IU/L) were not statistically significant with respect to dose or time (Table 1).</w:t>
      </w:r>
    </w:p>
    <w:p w14:paraId="1C45D43E" w14:textId="77777777" w:rsidR="00E37DB7" w:rsidRPr="00AC5D91" w:rsidRDefault="00E37DB7" w:rsidP="002459AE">
      <w:pPr>
        <w:jc w:val="both"/>
        <w:rPr>
          <w:rFonts w:ascii="Arial" w:hAnsi="Arial" w:cs="Arial"/>
          <w:b/>
          <w:bCs/>
          <w:sz w:val="24"/>
          <w:szCs w:val="24"/>
        </w:rPr>
      </w:pPr>
    </w:p>
    <w:p w14:paraId="23269F63" w14:textId="77777777" w:rsidR="00E37DB7" w:rsidRPr="00AC5D91" w:rsidRDefault="00E37DB7" w:rsidP="002459AE">
      <w:pPr>
        <w:jc w:val="both"/>
        <w:rPr>
          <w:rFonts w:ascii="Arial" w:hAnsi="Arial" w:cs="Arial"/>
          <w:b/>
          <w:bCs/>
          <w:sz w:val="24"/>
          <w:szCs w:val="24"/>
        </w:rPr>
      </w:pPr>
    </w:p>
    <w:p w14:paraId="4CAB08DD" w14:textId="77777777" w:rsidR="00E37DB7" w:rsidRPr="00AC5D91" w:rsidRDefault="00E37DB7" w:rsidP="002459AE">
      <w:pPr>
        <w:jc w:val="both"/>
        <w:rPr>
          <w:rFonts w:ascii="Arial" w:hAnsi="Arial" w:cs="Arial"/>
          <w:b/>
          <w:bCs/>
          <w:sz w:val="24"/>
          <w:szCs w:val="24"/>
        </w:rPr>
      </w:pPr>
    </w:p>
    <w:p w14:paraId="3C44A31E" w14:textId="77777777" w:rsidR="00E37DB7" w:rsidRPr="00AC5D91" w:rsidRDefault="00E37DB7" w:rsidP="002459AE">
      <w:pPr>
        <w:jc w:val="both"/>
        <w:rPr>
          <w:rFonts w:ascii="Arial" w:hAnsi="Arial" w:cs="Arial"/>
          <w:b/>
          <w:bCs/>
          <w:sz w:val="24"/>
          <w:szCs w:val="24"/>
        </w:rPr>
      </w:pPr>
    </w:p>
    <w:p w14:paraId="1DBB831A" w14:textId="77777777" w:rsidR="00E37DB7" w:rsidRPr="00AC5D91" w:rsidRDefault="00E37DB7" w:rsidP="002459AE">
      <w:pPr>
        <w:jc w:val="both"/>
        <w:rPr>
          <w:rFonts w:ascii="Arial" w:hAnsi="Arial" w:cs="Arial"/>
          <w:b/>
          <w:bCs/>
          <w:sz w:val="24"/>
          <w:szCs w:val="24"/>
        </w:rPr>
      </w:pPr>
    </w:p>
    <w:p w14:paraId="701C2FD6" w14:textId="77777777" w:rsidR="00E37DB7" w:rsidRPr="00AC5D91" w:rsidRDefault="00E37DB7" w:rsidP="002459AE">
      <w:pPr>
        <w:jc w:val="both"/>
        <w:rPr>
          <w:rFonts w:ascii="Arial" w:hAnsi="Arial" w:cs="Arial"/>
          <w:b/>
          <w:bCs/>
          <w:sz w:val="24"/>
          <w:szCs w:val="24"/>
        </w:rPr>
      </w:pPr>
    </w:p>
    <w:p w14:paraId="10D60A7F" w14:textId="77777777" w:rsidR="00E37DB7" w:rsidRPr="00AC5D91" w:rsidRDefault="00E37DB7" w:rsidP="002459AE">
      <w:pPr>
        <w:jc w:val="both"/>
        <w:rPr>
          <w:rFonts w:ascii="Arial" w:hAnsi="Arial" w:cs="Arial"/>
          <w:b/>
          <w:bCs/>
          <w:sz w:val="24"/>
          <w:szCs w:val="24"/>
        </w:rPr>
      </w:pPr>
    </w:p>
    <w:p w14:paraId="5D5ED2E8" w14:textId="77777777" w:rsidR="00E37DB7" w:rsidRPr="00AC5D91" w:rsidRDefault="00E37DB7" w:rsidP="002459AE">
      <w:pPr>
        <w:jc w:val="both"/>
        <w:rPr>
          <w:rFonts w:ascii="Arial" w:hAnsi="Arial" w:cs="Arial"/>
          <w:b/>
          <w:bCs/>
          <w:sz w:val="24"/>
          <w:szCs w:val="24"/>
        </w:rPr>
      </w:pPr>
    </w:p>
    <w:p w14:paraId="44C18CE6" w14:textId="7E5D53A5" w:rsidR="00E37DB7" w:rsidRPr="0013633B" w:rsidRDefault="00E37DB7" w:rsidP="002459AE">
      <w:pPr>
        <w:jc w:val="both"/>
        <w:rPr>
          <w:rFonts w:ascii="Arial" w:hAnsi="Arial" w:cs="Arial"/>
          <w:b/>
          <w:bCs/>
          <w:sz w:val="20"/>
          <w:szCs w:val="20"/>
        </w:rPr>
      </w:pPr>
      <w:r w:rsidRPr="0013633B">
        <w:rPr>
          <w:rFonts w:ascii="Arial" w:hAnsi="Arial" w:cs="Arial"/>
          <w:b/>
          <w:bCs/>
          <w:sz w:val="20"/>
          <w:szCs w:val="20"/>
        </w:rPr>
        <w:lastRenderedPageBreak/>
        <w:t>Table 1 : Changes in mean blood concentrations of gamma-glutamyl transferase (γ-GT) in rabbit groups during the experiment.</w:t>
      </w:r>
    </w:p>
    <w:tbl>
      <w:tblPr>
        <w:tblStyle w:val="Tableausimple41"/>
        <w:tblW w:w="9214" w:type="dxa"/>
        <w:jc w:val="center"/>
        <w:tblLayout w:type="fixed"/>
        <w:tblLook w:val="04A0" w:firstRow="1" w:lastRow="0" w:firstColumn="1" w:lastColumn="0" w:noHBand="0" w:noVBand="1"/>
      </w:tblPr>
      <w:tblGrid>
        <w:gridCol w:w="1418"/>
        <w:gridCol w:w="992"/>
        <w:gridCol w:w="1701"/>
        <w:gridCol w:w="1701"/>
        <w:gridCol w:w="1701"/>
        <w:gridCol w:w="1701"/>
      </w:tblGrid>
      <w:tr w:rsidR="00E37DB7" w:rsidRPr="00AC5D91" w14:paraId="2C981B0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28679D05" w14:textId="77777777" w:rsidR="00E37DB7" w:rsidRPr="0013633B" w:rsidRDefault="00E37DB7">
            <w:pPr>
              <w:spacing w:line="276" w:lineRule="auto"/>
              <w:jc w:val="both"/>
              <w:rPr>
                <w:rFonts w:ascii="Arial" w:hAnsi="Arial" w:cs="Arial"/>
                <w:b w:val="0"/>
                <w:bCs w:val="0"/>
              </w:rPr>
            </w:pPr>
          </w:p>
          <w:p w14:paraId="29FF99F7" w14:textId="11110ED5" w:rsidR="00E37DB7" w:rsidRPr="0013633B" w:rsidRDefault="00E37DB7">
            <w:pPr>
              <w:spacing w:line="276" w:lineRule="auto"/>
              <w:jc w:val="both"/>
              <w:rPr>
                <w:rFonts w:ascii="Arial" w:hAnsi="Arial" w:cs="Arial"/>
                <w:b w:val="0"/>
                <w:bCs w:val="0"/>
              </w:rPr>
            </w:pPr>
            <w:r w:rsidRPr="0013633B">
              <w:rPr>
                <w:rFonts w:ascii="Arial" w:hAnsi="Arial" w:cs="Arial"/>
              </w:rPr>
              <w:t>Mar</w:t>
            </w:r>
            <w:r w:rsidR="00BA3FB2" w:rsidRPr="0013633B">
              <w:rPr>
                <w:rFonts w:ascii="Arial" w:hAnsi="Arial" w:cs="Arial"/>
              </w:rPr>
              <w:t>kers</w:t>
            </w:r>
          </w:p>
        </w:tc>
        <w:tc>
          <w:tcPr>
            <w:tcW w:w="992" w:type="dxa"/>
            <w:vMerge w:val="restart"/>
            <w:tcBorders>
              <w:top w:val="single" w:sz="4" w:space="0" w:color="auto"/>
            </w:tcBorders>
          </w:tcPr>
          <w:p w14:paraId="4DC267B4" w14:textId="77777777" w:rsidR="00E37DB7" w:rsidRPr="0013633B" w:rsidRDefault="00E37DB7">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114F77" w14:textId="058E830C" w:rsidR="00E37DB7" w:rsidRPr="0013633B" w:rsidRDefault="00BA3FB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3633B">
              <w:rPr>
                <w:rFonts w:ascii="Arial" w:hAnsi="Arial" w:cs="Arial"/>
              </w:rPr>
              <w:t>Groups</w:t>
            </w:r>
            <w:r w:rsidR="00E37DB7" w:rsidRPr="0013633B">
              <w:rPr>
                <w:rFonts w:ascii="Arial" w:hAnsi="Arial" w:cs="Arial"/>
              </w:rPr>
              <w:t xml:space="preserve"> (n=3)</w:t>
            </w:r>
          </w:p>
        </w:tc>
        <w:tc>
          <w:tcPr>
            <w:tcW w:w="6804" w:type="dxa"/>
            <w:gridSpan w:val="4"/>
            <w:tcBorders>
              <w:top w:val="single" w:sz="4" w:space="0" w:color="auto"/>
              <w:bottom w:val="single" w:sz="4" w:space="0" w:color="auto"/>
            </w:tcBorders>
          </w:tcPr>
          <w:p w14:paraId="5122515C" w14:textId="449F01A6" w:rsidR="00E37DB7" w:rsidRPr="0013633B" w:rsidRDefault="00BA3FB2">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3633B">
              <w:rPr>
                <w:rFonts w:ascii="Arial" w:hAnsi="Arial" w:cs="Arial"/>
              </w:rPr>
              <w:t>Mean blood γ-GT concentration per week</w:t>
            </w:r>
            <w:r w:rsidR="00E37DB7" w:rsidRPr="0013633B">
              <w:rPr>
                <w:rFonts w:ascii="Arial" w:hAnsi="Arial" w:cs="Arial"/>
              </w:rPr>
              <w:t xml:space="preserve"> (</w:t>
            </w:r>
            <w:r w:rsidRPr="0013633B">
              <w:rPr>
                <w:rFonts w:ascii="Arial" w:hAnsi="Arial" w:cs="Arial"/>
              </w:rPr>
              <w:t>IU</w:t>
            </w:r>
            <w:r w:rsidR="00E37DB7" w:rsidRPr="0013633B">
              <w:rPr>
                <w:rFonts w:ascii="Arial" w:hAnsi="Arial" w:cs="Arial"/>
              </w:rPr>
              <w:t>/L)</w:t>
            </w:r>
          </w:p>
        </w:tc>
      </w:tr>
      <w:tr w:rsidR="00E37DB7" w:rsidRPr="00AC5D91" w14:paraId="04BF74D5"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tcPr>
          <w:p w14:paraId="62529963" w14:textId="77777777" w:rsidR="00E37DB7" w:rsidRPr="0013633B" w:rsidRDefault="00E37DB7">
            <w:pPr>
              <w:spacing w:before="240" w:line="276" w:lineRule="auto"/>
              <w:jc w:val="both"/>
              <w:rPr>
                <w:rFonts w:ascii="Arial" w:hAnsi="Arial" w:cs="Arial"/>
                <w:b w:val="0"/>
                <w:bCs w:val="0"/>
              </w:rPr>
            </w:pPr>
          </w:p>
        </w:tc>
        <w:tc>
          <w:tcPr>
            <w:tcW w:w="992" w:type="dxa"/>
            <w:vMerge/>
            <w:tcBorders>
              <w:bottom w:val="single" w:sz="4" w:space="0" w:color="auto"/>
            </w:tcBorders>
          </w:tcPr>
          <w:p w14:paraId="15D358BD" w14:textId="77777777" w:rsidR="00E37DB7" w:rsidRPr="0013633B" w:rsidRDefault="00E37DB7">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01" w:type="dxa"/>
            <w:tcBorders>
              <w:top w:val="single" w:sz="4" w:space="0" w:color="auto"/>
              <w:bottom w:val="single" w:sz="4" w:space="0" w:color="auto"/>
            </w:tcBorders>
          </w:tcPr>
          <w:p w14:paraId="6800021B" w14:textId="6409E264" w:rsidR="00E37DB7" w:rsidRPr="0013633B" w:rsidRDefault="00BA3FB2">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00E37DB7" w:rsidRPr="0013633B">
              <w:rPr>
                <w:rFonts w:ascii="Arial" w:eastAsia="Times New Roman" w:hAnsi="Arial" w:cs="Arial"/>
                <w:color w:val="000000"/>
                <w:vertAlign w:val="subscript"/>
              </w:rPr>
              <w:t>0</w:t>
            </w:r>
          </w:p>
        </w:tc>
        <w:tc>
          <w:tcPr>
            <w:tcW w:w="1701" w:type="dxa"/>
            <w:tcBorders>
              <w:top w:val="single" w:sz="4" w:space="0" w:color="auto"/>
              <w:bottom w:val="single" w:sz="4" w:space="0" w:color="auto"/>
            </w:tcBorders>
          </w:tcPr>
          <w:p w14:paraId="635DAF88" w14:textId="0DC0FA14" w:rsidR="00E37DB7" w:rsidRPr="0013633B" w:rsidRDefault="00BA3FB2">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00E37DB7" w:rsidRPr="0013633B">
              <w:rPr>
                <w:rFonts w:ascii="Arial" w:eastAsia="Times New Roman" w:hAnsi="Arial" w:cs="Arial"/>
                <w:color w:val="000000"/>
                <w:vertAlign w:val="subscript"/>
              </w:rPr>
              <w:t>7</w:t>
            </w:r>
          </w:p>
        </w:tc>
        <w:tc>
          <w:tcPr>
            <w:tcW w:w="1701" w:type="dxa"/>
            <w:tcBorders>
              <w:top w:val="single" w:sz="4" w:space="0" w:color="auto"/>
              <w:bottom w:val="single" w:sz="4" w:space="0" w:color="auto"/>
            </w:tcBorders>
          </w:tcPr>
          <w:p w14:paraId="1C23D990" w14:textId="0F9B9BFC" w:rsidR="00E37DB7" w:rsidRPr="0013633B" w:rsidRDefault="00BA3FB2">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00E37DB7" w:rsidRPr="0013633B">
              <w:rPr>
                <w:rFonts w:ascii="Arial" w:eastAsia="Times New Roman" w:hAnsi="Arial" w:cs="Arial"/>
                <w:color w:val="000000"/>
                <w:vertAlign w:val="subscript"/>
              </w:rPr>
              <w:t>14</w:t>
            </w:r>
          </w:p>
        </w:tc>
        <w:tc>
          <w:tcPr>
            <w:tcW w:w="1701" w:type="dxa"/>
            <w:tcBorders>
              <w:top w:val="single" w:sz="4" w:space="0" w:color="auto"/>
              <w:bottom w:val="single" w:sz="4" w:space="0" w:color="auto"/>
            </w:tcBorders>
          </w:tcPr>
          <w:p w14:paraId="265E2508" w14:textId="401ED792" w:rsidR="00E37DB7" w:rsidRPr="0013633B" w:rsidRDefault="00BA3FB2">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00E37DB7" w:rsidRPr="0013633B">
              <w:rPr>
                <w:rFonts w:ascii="Arial" w:eastAsia="Times New Roman" w:hAnsi="Arial" w:cs="Arial"/>
                <w:color w:val="000000"/>
                <w:vertAlign w:val="subscript"/>
              </w:rPr>
              <w:t>21</w:t>
            </w:r>
          </w:p>
        </w:tc>
      </w:tr>
      <w:tr w:rsidR="00E37DB7" w:rsidRPr="00AC5D91" w14:paraId="7010997E"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3FF1C973" w14:textId="77777777" w:rsidR="00E37DB7" w:rsidRPr="0013633B" w:rsidRDefault="00E37DB7">
            <w:pPr>
              <w:spacing w:before="240" w:line="276" w:lineRule="auto"/>
              <w:jc w:val="both"/>
              <w:rPr>
                <w:rFonts w:ascii="Arial" w:hAnsi="Arial" w:cs="Arial"/>
                <w:b w:val="0"/>
              </w:rPr>
            </w:pPr>
          </w:p>
          <w:p w14:paraId="39CA11DA" w14:textId="77777777" w:rsidR="00E37DB7" w:rsidRPr="0013633B" w:rsidRDefault="00E37DB7">
            <w:pPr>
              <w:spacing w:line="276" w:lineRule="auto"/>
              <w:jc w:val="both"/>
              <w:rPr>
                <w:rFonts w:ascii="Arial" w:hAnsi="Arial" w:cs="Arial"/>
                <w:b w:val="0"/>
                <w:bCs w:val="0"/>
              </w:rPr>
            </w:pPr>
            <w:r w:rsidRPr="0013633B">
              <w:rPr>
                <w:rFonts w:ascii="Arial" w:hAnsi="Arial" w:cs="Arial"/>
                <w:bCs w:val="0"/>
              </w:rPr>
              <w:t>ɣ-GT</w:t>
            </w:r>
          </w:p>
        </w:tc>
        <w:tc>
          <w:tcPr>
            <w:tcW w:w="992" w:type="dxa"/>
            <w:tcBorders>
              <w:top w:val="single" w:sz="4" w:space="0" w:color="auto"/>
            </w:tcBorders>
          </w:tcPr>
          <w:p w14:paraId="181BA034" w14:textId="22A7DDF1" w:rsidR="00E37DB7" w:rsidRPr="0013633B" w:rsidRDefault="00BA3F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00E37DB7" w:rsidRPr="0013633B">
              <w:rPr>
                <w:rFonts w:ascii="Arial" w:hAnsi="Arial" w:cs="Arial"/>
              </w:rPr>
              <w:t>-D</w:t>
            </w:r>
            <w:r w:rsidR="00E37DB7" w:rsidRPr="0013633B">
              <w:rPr>
                <w:rFonts w:ascii="Arial" w:hAnsi="Arial" w:cs="Arial"/>
                <w:vertAlign w:val="subscript"/>
              </w:rPr>
              <w:t>0</w:t>
            </w:r>
          </w:p>
        </w:tc>
        <w:tc>
          <w:tcPr>
            <w:tcW w:w="1701" w:type="dxa"/>
            <w:tcBorders>
              <w:top w:val="single" w:sz="4" w:space="0" w:color="auto"/>
            </w:tcBorders>
          </w:tcPr>
          <w:p w14:paraId="76DDB3B8" w14:textId="29E408E6"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10</w:t>
            </w:r>
            <w:r w:rsidR="00BA3FB2" w:rsidRPr="0013633B">
              <w:rPr>
                <w:rFonts w:ascii="Arial" w:hAnsi="Arial" w:cs="Arial"/>
              </w:rPr>
              <w:t>.</w:t>
            </w:r>
            <w:r w:rsidRPr="0013633B">
              <w:rPr>
                <w:rFonts w:ascii="Arial" w:hAnsi="Arial" w:cs="Arial"/>
              </w:rPr>
              <w:t>00 ± 1</w:t>
            </w:r>
            <w:r w:rsidR="00BA3FB2" w:rsidRPr="0013633B">
              <w:rPr>
                <w:rFonts w:ascii="Arial" w:hAnsi="Arial" w:cs="Arial"/>
              </w:rPr>
              <w:t>.</w:t>
            </w:r>
            <w:r w:rsidRPr="0013633B">
              <w:rPr>
                <w:rFonts w:ascii="Arial" w:hAnsi="Arial" w:cs="Arial"/>
              </w:rPr>
              <w:t>00</w:t>
            </w:r>
          </w:p>
        </w:tc>
        <w:tc>
          <w:tcPr>
            <w:tcW w:w="1701" w:type="dxa"/>
            <w:tcBorders>
              <w:top w:val="single" w:sz="4" w:space="0" w:color="auto"/>
            </w:tcBorders>
          </w:tcPr>
          <w:p w14:paraId="324488F7" w14:textId="23FD4360"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10</w:t>
            </w:r>
            <w:r w:rsidR="00BA3FB2" w:rsidRPr="0013633B">
              <w:rPr>
                <w:rFonts w:ascii="Arial" w:hAnsi="Arial" w:cs="Arial"/>
              </w:rPr>
              <w:t>.</w:t>
            </w:r>
            <w:r w:rsidRPr="0013633B">
              <w:rPr>
                <w:rFonts w:ascii="Arial" w:hAnsi="Arial" w:cs="Arial"/>
              </w:rPr>
              <w:t>00 ± 1</w:t>
            </w:r>
            <w:r w:rsidR="00BA3FB2" w:rsidRPr="0013633B">
              <w:rPr>
                <w:rFonts w:ascii="Arial" w:hAnsi="Arial" w:cs="Arial"/>
              </w:rPr>
              <w:t>.</w:t>
            </w:r>
            <w:r w:rsidRPr="0013633B">
              <w:rPr>
                <w:rFonts w:ascii="Arial" w:hAnsi="Arial" w:cs="Arial"/>
              </w:rPr>
              <w:t>73</w:t>
            </w:r>
          </w:p>
        </w:tc>
        <w:tc>
          <w:tcPr>
            <w:tcW w:w="1701" w:type="dxa"/>
            <w:tcBorders>
              <w:top w:val="single" w:sz="4" w:space="0" w:color="auto"/>
            </w:tcBorders>
          </w:tcPr>
          <w:p w14:paraId="0A472D99" w14:textId="41FA43D1"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8</w:t>
            </w:r>
            <w:r w:rsidR="00BA3FB2" w:rsidRPr="0013633B">
              <w:rPr>
                <w:rFonts w:ascii="Arial" w:hAnsi="Arial" w:cs="Arial"/>
              </w:rPr>
              <w:t>.</w:t>
            </w:r>
            <w:r w:rsidRPr="0013633B">
              <w:rPr>
                <w:rFonts w:ascii="Arial" w:hAnsi="Arial" w:cs="Arial"/>
              </w:rPr>
              <w:t>00 ± 1</w:t>
            </w:r>
            <w:r w:rsidR="00BA3FB2" w:rsidRPr="0013633B">
              <w:rPr>
                <w:rFonts w:ascii="Arial" w:hAnsi="Arial" w:cs="Arial"/>
              </w:rPr>
              <w:t>.</w:t>
            </w:r>
            <w:r w:rsidRPr="0013633B">
              <w:rPr>
                <w:rFonts w:ascii="Arial" w:hAnsi="Arial" w:cs="Arial"/>
              </w:rPr>
              <w:t>00</w:t>
            </w:r>
          </w:p>
        </w:tc>
        <w:tc>
          <w:tcPr>
            <w:tcW w:w="1701" w:type="dxa"/>
            <w:tcBorders>
              <w:top w:val="single" w:sz="4" w:space="0" w:color="auto"/>
            </w:tcBorders>
          </w:tcPr>
          <w:p w14:paraId="67ACED18" w14:textId="4465F671"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7</w:t>
            </w:r>
            <w:r w:rsidR="00BA3FB2" w:rsidRPr="0013633B">
              <w:rPr>
                <w:rFonts w:ascii="Arial" w:hAnsi="Arial" w:cs="Arial"/>
              </w:rPr>
              <w:t>.</w:t>
            </w:r>
            <w:r w:rsidRPr="0013633B">
              <w:rPr>
                <w:rFonts w:ascii="Arial" w:hAnsi="Arial" w:cs="Arial"/>
              </w:rPr>
              <w:t>66 ± 1</w:t>
            </w:r>
            <w:r w:rsidR="00BA3FB2" w:rsidRPr="0013633B">
              <w:rPr>
                <w:rFonts w:ascii="Arial" w:hAnsi="Arial" w:cs="Arial"/>
              </w:rPr>
              <w:t>.</w:t>
            </w:r>
            <w:r w:rsidRPr="0013633B">
              <w:rPr>
                <w:rFonts w:ascii="Arial" w:hAnsi="Arial" w:cs="Arial"/>
              </w:rPr>
              <w:t>52</w:t>
            </w:r>
          </w:p>
        </w:tc>
      </w:tr>
      <w:tr w:rsidR="00E37DB7" w:rsidRPr="00AC5D91" w14:paraId="5E4064D5"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47DD6691" w14:textId="77777777" w:rsidR="00E37DB7" w:rsidRPr="0013633B" w:rsidRDefault="00E37DB7">
            <w:pPr>
              <w:spacing w:line="276" w:lineRule="auto"/>
              <w:jc w:val="both"/>
              <w:rPr>
                <w:rFonts w:ascii="Arial" w:hAnsi="Arial" w:cs="Arial"/>
                <w:b w:val="0"/>
                <w:bCs w:val="0"/>
              </w:rPr>
            </w:pPr>
          </w:p>
        </w:tc>
        <w:tc>
          <w:tcPr>
            <w:tcW w:w="992" w:type="dxa"/>
          </w:tcPr>
          <w:p w14:paraId="13B4A2D1" w14:textId="42FBC23F" w:rsidR="00E37DB7" w:rsidRPr="0013633B" w:rsidRDefault="00BA3F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00E37DB7" w:rsidRPr="0013633B">
              <w:rPr>
                <w:rFonts w:ascii="Arial" w:eastAsia="Times New Roman" w:hAnsi="Arial" w:cs="Arial"/>
                <w:color w:val="000000"/>
              </w:rPr>
              <w:t>-D</w:t>
            </w:r>
            <w:r w:rsidR="00E37DB7" w:rsidRPr="0013633B">
              <w:rPr>
                <w:rFonts w:ascii="Arial" w:eastAsia="Times New Roman" w:hAnsi="Arial" w:cs="Arial"/>
                <w:color w:val="000000"/>
                <w:vertAlign w:val="subscript"/>
              </w:rPr>
              <w:t>100</w:t>
            </w:r>
          </w:p>
        </w:tc>
        <w:tc>
          <w:tcPr>
            <w:tcW w:w="1701" w:type="dxa"/>
          </w:tcPr>
          <w:p w14:paraId="13D6F31C" w14:textId="343C8C48"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9</w:t>
            </w:r>
            <w:r w:rsidR="00BA3FB2" w:rsidRPr="0013633B">
              <w:rPr>
                <w:rFonts w:ascii="Arial" w:hAnsi="Arial" w:cs="Arial"/>
              </w:rPr>
              <w:t>.</w:t>
            </w:r>
            <w:r w:rsidRPr="0013633B">
              <w:rPr>
                <w:rFonts w:ascii="Arial" w:hAnsi="Arial" w:cs="Arial"/>
              </w:rPr>
              <w:t>66 ± 1</w:t>
            </w:r>
            <w:r w:rsidR="00BA3FB2" w:rsidRPr="0013633B">
              <w:rPr>
                <w:rFonts w:ascii="Arial" w:hAnsi="Arial" w:cs="Arial"/>
              </w:rPr>
              <w:t>.</w:t>
            </w:r>
            <w:r w:rsidRPr="0013633B">
              <w:rPr>
                <w:rFonts w:ascii="Arial" w:hAnsi="Arial" w:cs="Arial"/>
              </w:rPr>
              <w:t>52</w:t>
            </w:r>
          </w:p>
        </w:tc>
        <w:tc>
          <w:tcPr>
            <w:tcW w:w="1701" w:type="dxa"/>
          </w:tcPr>
          <w:p w14:paraId="38394214" w14:textId="462A3421"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10</w:t>
            </w:r>
            <w:r w:rsidR="00BA3FB2" w:rsidRPr="0013633B">
              <w:rPr>
                <w:rFonts w:ascii="Arial" w:hAnsi="Arial" w:cs="Arial"/>
              </w:rPr>
              <w:t>.</w:t>
            </w:r>
            <w:r w:rsidRPr="0013633B">
              <w:rPr>
                <w:rFonts w:ascii="Arial" w:hAnsi="Arial" w:cs="Arial"/>
              </w:rPr>
              <w:t>33 ± 3</w:t>
            </w:r>
            <w:r w:rsidR="00BA3FB2" w:rsidRPr="0013633B">
              <w:rPr>
                <w:rFonts w:ascii="Arial" w:hAnsi="Arial" w:cs="Arial"/>
              </w:rPr>
              <w:t>.</w:t>
            </w:r>
            <w:r w:rsidRPr="0013633B">
              <w:rPr>
                <w:rFonts w:ascii="Arial" w:hAnsi="Arial" w:cs="Arial"/>
              </w:rPr>
              <w:t>21</w:t>
            </w:r>
          </w:p>
        </w:tc>
        <w:tc>
          <w:tcPr>
            <w:tcW w:w="1701" w:type="dxa"/>
          </w:tcPr>
          <w:p w14:paraId="07A8C8FE" w14:textId="0A49105D"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10</w:t>
            </w:r>
            <w:r w:rsidR="00BA3FB2" w:rsidRPr="0013633B">
              <w:rPr>
                <w:rFonts w:ascii="Arial" w:hAnsi="Arial" w:cs="Arial"/>
              </w:rPr>
              <w:t>.</w:t>
            </w:r>
            <w:r w:rsidRPr="0013633B">
              <w:rPr>
                <w:rFonts w:ascii="Arial" w:hAnsi="Arial" w:cs="Arial"/>
              </w:rPr>
              <w:t>66 ± 4</w:t>
            </w:r>
            <w:r w:rsidR="00BA3FB2" w:rsidRPr="0013633B">
              <w:rPr>
                <w:rFonts w:ascii="Arial" w:hAnsi="Arial" w:cs="Arial"/>
              </w:rPr>
              <w:t>.</w:t>
            </w:r>
            <w:r w:rsidRPr="0013633B">
              <w:rPr>
                <w:rFonts w:ascii="Arial" w:hAnsi="Arial" w:cs="Arial"/>
              </w:rPr>
              <w:t>72</w:t>
            </w:r>
          </w:p>
        </w:tc>
        <w:tc>
          <w:tcPr>
            <w:tcW w:w="1701" w:type="dxa"/>
          </w:tcPr>
          <w:p w14:paraId="713375F0" w14:textId="2EB830B1"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9</w:t>
            </w:r>
            <w:r w:rsidR="00BA3FB2" w:rsidRPr="0013633B">
              <w:rPr>
                <w:rFonts w:ascii="Arial" w:hAnsi="Arial" w:cs="Arial"/>
              </w:rPr>
              <w:t>.</w:t>
            </w:r>
            <w:r w:rsidRPr="0013633B">
              <w:rPr>
                <w:rFonts w:ascii="Arial" w:hAnsi="Arial" w:cs="Arial"/>
              </w:rPr>
              <w:t>33 ± 3</w:t>
            </w:r>
            <w:r w:rsidR="00BA3FB2" w:rsidRPr="0013633B">
              <w:rPr>
                <w:rFonts w:ascii="Arial" w:hAnsi="Arial" w:cs="Arial"/>
              </w:rPr>
              <w:t>.</w:t>
            </w:r>
            <w:r w:rsidRPr="0013633B">
              <w:rPr>
                <w:rFonts w:ascii="Arial" w:hAnsi="Arial" w:cs="Arial"/>
              </w:rPr>
              <w:t>21</w:t>
            </w:r>
          </w:p>
        </w:tc>
      </w:tr>
      <w:tr w:rsidR="00E37DB7" w:rsidRPr="00AC5D91" w14:paraId="1F8F1D24"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676927E7" w14:textId="77777777" w:rsidR="00E37DB7" w:rsidRPr="0013633B" w:rsidRDefault="00E37DB7">
            <w:pPr>
              <w:spacing w:line="276" w:lineRule="auto"/>
              <w:jc w:val="both"/>
              <w:rPr>
                <w:rFonts w:ascii="Arial" w:hAnsi="Arial" w:cs="Arial"/>
                <w:b w:val="0"/>
                <w:bCs w:val="0"/>
              </w:rPr>
            </w:pPr>
          </w:p>
        </w:tc>
        <w:tc>
          <w:tcPr>
            <w:tcW w:w="992" w:type="dxa"/>
          </w:tcPr>
          <w:p w14:paraId="482CB1AB" w14:textId="775C0BA2" w:rsidR="00E37DB7" w:rsidRPr="0013633B" w:rsidRDefault="00BA3F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00E37DB7" w:rsidRPr="0013633B">
              <w:rPr>
                <w:rFonts w:ascii="Arial" w:hAnsi="Arial" w:cs="Arial"/>
              </w:rPr>
              <w:t>-</w:t>
            </w:r>
            <w:r w:rsidR="00E37DB7" w:rsidRPr="0013633B">
              <w:rPr>
                <w:rFonts w:ascii="Arial" w:eastAsia="Times New Roman" w:hAnsi="Arial" w:cs="Arial"/>
                <w:color w:val="000000"/>
              </w:rPr>
              <w:t>D</w:t>
            </w:r>
            <w:r w:rsidR="00E37DB7" w:rsidRPr="0013633B">
              <w:rPr>
                <w:rFonts w:ascii="Arial" w:eastAsia="Times New Roman" w:hAnsi="Arial" w:cs="Arial"/>
                <w:color w:val="000000"/>
                <w:vertAlign w:val="subscript"/>
              </w:rPr>
              <w:t>250</w:t>
            </w:r>
          </w:p>
        </w:tc>
        <w:tc>
          <w:tcPr>
            <w:tcW w:w="1701" w:type="dxa"/>
          </w:tcPr>
          <w:p w14:paraId="75A8C469" w14:textId="1FD5ABD4"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7</w:t>
            </w:r>
            <w:r w:rsidR="00BA3FB2" w:rsidRPr="0013633B">
              <w:rPr>
                <w:rFonts w:ascii="Arial" w:hAnsi="Arial" w:cs="Arial"/>
              </w:rPr>
              <w:t>.</w:t>
            </w:r>
            <w:r w:rsidRPr="0013633B">
              <w:rPr>
                <w:rFonts w:ascii="Arial" w:hAnsi="Arial" w:cs="Arial"/>
              </w:rPr>
              <w:t>66 ± 0</w:t>
            </w:r>
            <w:r w:rsidR="00BA3FB2" w:rsidRPr="0013633B">
              <w:rPr>
                <w:rFonts w:ascii="Arial" w:hAnsi="Arial" w:cs="Arial"/>
              </w:rPr>
              <w:t>.</w:t>
            </w:r>
            <w:r w:rsidRPr="0013633B">
              <w:rPr>
                <w:rFonts w:ascii="Arial" w:hAnsi="Arial" w:cs="Arial"/>
              </w:rPr>
              <w:t>57</w:t>
            </w:r>
          </w:p>
        </w:tc>
        <w:tc>
          <w:tcPr>
            <w:tcW w:w="1701" w:type="dxa"/>
          </w:tcPr>
          <w:p w14:paraId="6683E16F" w14:textId="2AC4A643"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7</w:t>
            </w:r>
            <w:r w:rsidR="00BA3FB2" w:rsidRPr="0013633B">
              <w:rPr>
                <w:rFonts w:ascii="Arial" w:hAnsi="Arial" w:cs="Arial"/>
              </w:rPr>
              <w:t>.</w:t>
            </w:r>
            <w:r w:rsidRPr="0013633B">
              <w:rPr>
                <w:rFonts w:ascii="Arial" w:hAnsi="Arial" w:cs="Arial"/>
              </w:rPr>
              <w:t>33 ± 0</w:t>
            </w:r>
            <w:r w:rsidR="00BA3FB2" w:rsidRPr="0013633B">
              <w:rPr>
                <w:rFonts w:ascii="Arial" w:hAnsi="Arial" w:cs="Arial"/>
              </w:rPr>
              <w:t>.</w:t>
            </w:r>
            <w:r w:rsidRPr="0013633B">
              <w:rPr>
                <w:rFonts w:ascii="Arial" w:hAnsi="Arial" w:cs="Arial"/>
              </w:rPr>
              <w:t>57</w:t>
            </w:r>
          </w:p>
        </w:tc>
        <w:tc>
          <w:tcPr>
            <w:tcW w:w="1701" w:type="dxa"/>
          </w:tcPr>
          <w:p w14:paraId="6C6C51BD" w14:textId="4F2FE9A8"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6,66 ± 0</w:t>
            </w:r>
            <w:r w:rsidR="00BA3FB2" w:rsidRPr="0013633B">
              <w:rPr>
                <w:rFonts w:ascii="Arial" w:hAnsi="Arial" w:cs="Arial"/>
              </w:rPr>
              <w:t>.</w:t>
            </w:r>
            <w:r w:rsidRPr="0013633B">
              <w:rPr>
                <w:rFonts w:ascii="Arial" w:hAnsi="Arial" w:cs="Arial"/>
              </w:rPr>
              <w:t>57</w:t>
            </w:r>
          </w:p>
        </w:tc>
        <w:tc>
          <w:tcPr>
            <w:tcW w:w="1701" w:type="dxa"/>
          </w:tcPr>
          <w:p w14:paraId="1288A784" w14:textId="1BDE61FC"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10</w:t>
            </w:r>
            <w:r w:rsidR="00BA3FB2" w:rsidRPr="0013633B">
              <w:rPr>
                <w:rFonts w:ascii="Arial" w:hAnsi="Arial" w:cs="Arial"/>
              </w:rPr>
              <w:t>.</w:t>
            </w:r>
            <w:r w:rsidRPr="0013633B">
              <w:rPr>
                <w:rFonts w:ascii="Arial" w:hAnsi="Arial" w:cs="Arial"/>
              </w:rPr>
              <w:t>33 ± 3</w:t>
            </w:r>
            <w:r w:rsidR="00BA3FB2" w:rsidRPr="0013633B">
              <w:rPr>
                <w:rFonts w:ascii="Arial" w:hAnsi="Arial" w:cs="Arial"/>
              </w:rPr>
              <w:t>.</w:t>
            </w:r>
            <w:r w:rsidRPr="0013633B">
              <w:rPr>
                <w:rFonts w:ascii="Arial" w:hAnsi="Arial" w:cs="Arial"/>
              </w:rPr>
              <w:t>21</w:t>
            </w:r>
          </w:p>
        </w:tc>
      </w:tr>
      <w:tr w:rsidR="00E37DB7" w:rsidRPr="00AC5D91" w14:paraId="16F283F8"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tcPr>
          <w:p w14:paraId="505DABAB" w14:textId="77777777" w:rsidR="00E37DB7" w:rsidRPr="0013633B" w:rsidRDefault="00E37DB7">
            <w:pPr>
              <w:spacing w:line="276" w:lineRule="auto"/>
              <w:jc w:val="both"/>
              <w:rPr>
                <w:rFonts w:ascii="Arial" w:hAnsi="Arial" w:cs="Arial"/>
                <w:b w:val="0"/>
                <w:bCs w:val="0"/>
              </w:rPr>
            </w:pPr>
          </w:p>
        </w:tc>
        <w:tc>
          <w:tcPr>
            <w:tcW w:w="992" w:type="dxa"/>
            <w:tcBorders>
              <w:bottom w:val="single" w:sz="4" w:space="0" w:color="auto"/>
            </w:tcBorders>
          </w:tcPr>
          <w:p w14:paraId="348FA4CD" w14:textId="5EE96B74" w:rsidR="00E37DB7" w:rsidRPr="0013633B" w:rsidRDefault="00BA3FB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00E37DB7" w:rsidRPr="0013633B">
              <w:rPr>
                <w:rFonts w:ascii="Arial" w:hAnsi="Arial" w:cs="Arial"/>
              </w:rPr>
              <w:t>-</w:t>
            </w:r>
            <w:r w:rsidR="00E37DB7" w:rsidRPr="0013633B">
              <w:rPr>
                <w:rFonts w:ascii="Arial" w:eastAsia="Times New Roman" w:hAnsi="Arial" w:cs="Arial"/>
                <w:color w:val="000000"/>
              </w:rPr>
              <w:t>D</w:t>
            </w:r>
            <w:r w:rsidR="00E37DB7" w:rsidRPr="0013633B">
              <w:rPr>
                <w:rFonts w:ascii="Arial" w:eastAsia="Times New Roman" w:hAnsi="Arial" w:cs="Arial"/>
                <w:color w:val="000000"/>
                <w:vertAlign w:val="subscript"/>
              </w:rPr>
              <w:t>700</w:t>
            </w:r>
          </w:p>
        </w:tc>
        <w:tc>
          <w:tcPr>
            <w:tcW w:w="1701" w:type="dxa"/>
            <w:tcBorders>
              <w:bottom w:val="single" w:sz="4" w:space="0" w:color="auto"/>
            </w:tcBorders>
          </w:tcPr>
          <w:p w14:paraId="05B2129C" w14:textId="6980B2C4"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11</w:t>
            </w:r>
            <w:r w:rsidR="00BA3FB2" w:rsidRPr="0013633B">
              <w:rPr>
                <w:rFonts w:ascii="Arial" w:hAnsi="Arial" w:cs="Arial"/>
              </w:rPr>
              <w:t>.</w:t>
            </w:r>
            <w:r w:rsidRPr="0013633B">
              <w:rPr>
                <w:rFonts w:ascii="Arial" w:hAnsi="Arial" w:cs="Arial"/>
              </w:rPr>
              <w:t>66 ± 2</w:t>
            </w:r>
            <w:r w:rsidR="00BA3FB2" w:rsidRPr="0013633B">
              <w:rPr>
                <w:rFonts w:ascii="Arial" w:hAnsi="Arial" w:cs="Arial"/>
              </w:rPr>
              <w:t>.</w:t>
            </w:r>
            <w:r w:rsidRPr="0013633B">
              <w:rPr>
                <w:rFonts w:ascii="Arial" w:hAnsi="Arial" w:cs="Arial"/>
              </w:rPr>
              <w:t>50</w:t>
            </w:r>
          </w:p>
        </w:tc>
        <w:tc>
          <w:tcPr>
            <w:tcW w:w="1701" w:type="dxa"/>
            <w:tcBorders>
              <w:bottom w:val="single" w:sz="4" w:space="0" w:color="auto"/>
            </w:tcBorders>
          </w:tcPr>
          <w:p w14:paraId="1B809EC0" w14:textId="2187CC91"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8</w:t>
            </w:r>
            <w:r w:rsidR="00BA3FB2" w:rsidRPr="0013633B">
              <w:rPr>
                <w:rFonts w:ascii="Arial" w:hAnsi="Arial" w:cs="Arial"/>
              </w:rPr>
              <w:t>.</w:t>
            </w:r>
            <w:r w:rsidRPr="0013633B">
              <w:rPr>
                <w:rFonts w:ascii="Arial" w:hAnsi="Arial" w:cs="Arial"/>
              </w:rPr>
              <w:t>66 ± 1</w:t>
            </w:r>
            <w:r w:rsidR="00BA3FB2" w:rsidRPr="0013633B">
              <w:rPr>
                <w:rFonts w:ascii="Arial" w:hAnsi="Arial" w:cs="Arial"/>
              </w:rPr>
              <w:t>.</w:t>
            </w:r>
            <w:r w:rsidRPr="0013633B">
              <w:rPr>
                <w:rFonts w:ascii="Arial" w:hAnsi="Arial" w:cs="Arial"/>
              </w:rPr>
              <w:t>52</w:t>
            </w:r>
          </w:p>
        </w:tc>
        <w:tc>
          <w:tcPr>
            <w:tcW w:w="1701" w:type="dxa"/>
            <w:tcBorders>
              <w:bottom w:val="single" w:sz="4" w:space="0" w:color="auto"/>
            </w:tcBorders>
          </w:tcPr>
          <w:p w14:paraId="3056E871" w14:textId="39BF14B8"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6</w:t>
            </w:r>
            <w:r w:rsidR="00BA3FB2" w:rsidRPr="0013633B">
              <w:rPr>
                <w:rFonts w:ascii="Arial" w:hAnsi="Arial" w:cs="Arial"/>
              </w:rPr>
              <w:t>.</w:t>
            </w:r>
            <w:r w:rsidRPr="0013633B">
              <w:rPr>
                <w:rFonts w:ascii="Arial" w:hAnsi="Arial" w:cs="Arial"/>
              </w:rPr>
              <w:t>00 ± 1</w:t>
            </w:r>
            <w:r w:rsidR="00BA3FB2" w:rsidRPr="0013633B">
              <w:rPr>
                <w:rFonts w:ascii="Arial" w:hAnsi="Arial" w:cs="Arial"/>
              </w:rPr>
              <w:t>.</w:t>
            </w:r>
            <w:r w:rsidRPr="0013633B">
              <w:rPr>
                <w:rFonts w:ascii="Arial" w:hAnsi="Arial" w:cs="Arial"/>
              </w:rPr>
              <w:t>00</w:t>
            </w:r>
          </w:p>
        </w:tc>
        <w:tc>
          <w:tcPr>
            <w:tcW w:w="1701" w:type="dxa"/>
            <w:tcBorders>
              <w:bottom w:val="single" w:sz="4" w:space="0" w:color="auto"/>
            </w:tcBorders>
          </w:tcPr>
          <w:p w14:paraId="112015D7" w14:textId="2CFFC256" w:rsidR="00E37DB7" w:rsidRPr="0013633B" w:rsidRDefault="00E37D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6</w:t>
            </w:r>
            <w:r w:rsidR="00BA3FB2" w:rsidRPr="0013633B">
              <w:rPr>
                <w:rFonts w:ascii="Arial" w:hAnsi="Arial" w:cs="Arial"/>
              </w:rPr>
              <w:t>.</w:t>
            </w:r>
            <w:r w:rsidRPr="0013633B">
              <w:rPr>
                <w:rFonts w:ascii="Arial" w:hAnsi="Arial" w:cs="Arial"/>
              </w:rPr>
              <w:t>23 ± 0</w:t>
            </w:r>
            <w:r w:rsidR="00BA3FB2" w:rsidRPr="0013633B">
              <w:rPr>
                <w:rFonts w:ascii="Arial" w:hAnsi="Arial" w:cs="Arial"/>
              </w:rPr>
              <w:t>.</w:t>
            </w:r>
            <w:r w:rsidRPr="0013633B">
              <w:rPr>
                <w:rFonts w:ascii="Arial" w:hAnsi="Arial" w:cs="Arial"/>
              </w:rPr>
              <w:t>57</w:t>
            </w:r>
          </w:p>
        </w:tc>
      </w:tr>
      <w:tr w:rsidR="00E37DB7" w:rsidRPr="00AC5D91" w14:paraId="26455B58" w14:textId="77777777">
        <w:trPr>
          <w:jc w:val="center"/>
        </w:trPr>
        <w:tc>
          <w:tcPr>
            <w:cnfStyle w:val="001000000000" w:firstRow="0" w:lastRow="0" w:firstColumn="1" w:lastColumn="0" w:oddVBand="0" w:evenVBand="0" w:oddHBand="0" w:evenHBand="0" w:firstRowFirstColumn="0" w:firstRowLastColumn="0" w:lastRowFirstColumn="0" w:lastRowLastColumn="0"/>
            <w:tcW w:w="9214" w:type="dxa"/>
            <w:gridSpan w:val="6"/>
            <w:tcBorders>
              <w:top w:val="single" w:sz="4" w:space="0" w:color="auto"/>
            </w:tcBorders>
          </w:tcPr>
          <w:p w14:paraId="70BD70AC" w14:textId="77777777" w:rsidR="00E37DB7" w:rsidRPr="00730852" w:rsidRDefault="00E37DB7">
            <w:pPr>
              <w:spacing w:line="276" w:lineRule="auto"/>
              <w:jc w:val="both"/>
              <w:rPr>
                <w:rFonts w:ascii="Arial" w:hAnsi="Arial" w:cs="Arial"/>
                <w:b w:val="0"/>
                <w:i/>
                <w:iCs/>
                <w:sz w:val="18"/>
                <w:szCs w:val="18"/>
              </w:rPr>
            </w:pPr>
          </w:p>
          <w:p w14:paraId="22C27EC8" w14:textId="32C6F4AC" w:rsidR="00BA3FB2" w:rsidRPr="00730852" w:rsidRDefault="00E37DB7" w:rsidP="00BA3FB2">
            <w:pPr>
              <w:spacing w:after="160" w:line="259" w:lineRule="auto"/>
              <w:jc w:val="both"/>
              <w:rPr>
                <w:rFonts w:ascii="Arial" w:hAnsi="Arial" w:cs="Arial"/>
                <w:b w:val="0"/>
                <w:i/>
                <w:iCs/>
                <w:sz w:val="18"/>
                <w:szCs w:val="18"/>
              </w:rPr>
            </w:pPr>
            <w:r w:rsidRPr="00730852">
              <w:rPr>
                <w:rFonts w:ascii="Arial" w:hAnsi="Arial" w:cs="Arial"/>
                <w:b w:val="0"/>
                <w:i/>
                <w:iCs/>
                <w:color w:val="000000" w:themeColor="text1"/>
                <w:sz w:val="18"/>
                <w:szCs w:val="18"/>
              </w:rPr>
              <w:t>ɣ-GT : gamma-glutamyl transf</w:t>
            </w:r>
            <w:r w:rsidR="00BA3FB2" w:rsidRPr="00730852">
              <w:rPr>
                <w:rFonts w:ascii="Arial" w:hAnsi="Arial" w:cs="Arial"/>
                <w:b w:val="0"/>
                <w:i/>
                <w:iCs/>
                <w:color w:val="000000" w:themeColor="text1"/>
                <w:sz w:val="18"/>
                <w:szCs w:val="18"/>
              </w:rPr>
              <w:t>e</w:t>
            </w:r>
            <w:r w:rsidRPr="00730852">
              <w:rPr>
                <w:rFonts w:ascii="Arial" w:hAnsi="Arial" w:cs="Arial"/>
                <w:b w:val="0"/>
                <w:i/>
                <w:iCs/>
                <w:color w:val="000000" w:themeColor="text1"/>
                <w:sz w:val="18"/>
                <w:szCs w:val="18"/>
              </w:rPr>
              <w:t xml:space="preserve">rase ; </w:t>
            </w:r>
            <w:r w:rsidR="00BA3FB2" w:rsidRPr="00730852">
              <w:rPr>
                <w:rFonts w:ascii="Arial" w:hAnsi="Arial" w:cs="Arial"/>
                <w:b w:val="0"/>
                <w:i/>
                <w:iCs/>
                <w:sz w:val="18"/>
                <w:szCs w:val="18"/>
              </w:rPr>
              <w:t>G-D0 : control group (received only physiological saline); G-D100, G-D250, G-D700: groups receiving respective doses of spirulina at 100, 250, and 700 mg/kg of body weight.</w:t>
            </w:r>
          </w:p>
          <w:p w14:paraId="2E985D70" w14:textId="1A8671C3" w:rsidR="00E37DB7" w:rsidRPr="00730852" w:rsidRDefault="00E37DB7">
            <w:pPr>
              <w:spacing w:line="276" w:lineRule="auto"/>
              <w:jc w:val="both"/>
              <w:rPr>
                <w:rFonts w:ascii="Arial" w:hAnsi="Arial" w:cs="Arial"/>
                <w:b w:val="0"/>
                <w:i/>
                <w:iCs/>
                <w:color w:val="000000"/>
                <w:sz w:val="18"/>
                <w:szCs w:val="18"/>
              </w:rPr>
            </w:pPr>
          </w:p>
        </w:tc>
      </w:tr>
    </w:tbl>
    <w:p w14:paraId="586C3FC9" w14:textId="270A434F" w:rsidR="002459AE" w:rsidRPr="00AC5D91" w:rsidRDefault="00EE3F59" w:rsidP="002459AE">
      <w:pPr>
        <w:jc w:val="both"/>
        <w:rPr>
          <w:rFonts w:ascii="Arial" w:hAnsi="Arial" w:cs="Arial"/>
          <w:b/>
          <w:bCs/>
          <w:sz w:val="24"/>
          <w:szCs w:val="24"/>
        </w:rPr>
      </w:pPr>
      <w:r w:rsidRPr="00AC5D91">
        <w:rPr>
          <w:rFonts w:ascii="Arial" w:hAnsi="Arial" w:cs="Arial"/>
          <w:b/>
          <w:bCs/>
          <w:sz w:val="24"/>
          <w:szCs w:val="24"/>
        </w:rPr>
        <w:t xml:space="preserve">3.5. </w:t>
      </w:r>
      <w:r w:rsidR="002459AE" w:rsidRPr="00AC5D91">
        <w:rPr>
          <w:rFonts w:ascii="Arial" w:hAnsi="Arial" w:cs="Arial"/>
          <w:b/>
          <w:bCs/>
          <w:sz w:val="24"/>
          <w:szCs w:val="24"/>
        </w:rPr>
        <w:t>Lactate Dehydrogenase</w:t>
      </w:r>
    </w:p>
    <w:p w14:paraId="4BD7D796" w14:textId="77777777" w:rsidR="002459AE" w:rsidRPr="00AC5D91" w:rsidRDefault="002459AE" w:rsidP="002459AE">
      <w:pPr>
        <w:jc w:val="both"/>
        <w:rPr>
          <w:rFonts w:ascii="Arial" w:hAnsi="Arial" w:cs="Arial"/>
          <w:sz w:val="24"/>
          <w:szCs w:val="24"/>
        </w:rPr>
      </w:pPr>
      <w:r w:rsidRPr="00AC5D91">
        <w:rPr>
          <w:rFonts w:ascii="Arial" w:hAnsi="Arial" w:cs="Arial"/>
          <w:sz w:val="24"/>
          <w:szCs w:val="24"/>
        </w:rPr>
        <w:t>As with the other parameters, mean blood lactate dehydrogenase (LDH) concentrations in rabbit groups, which ranged from 301.57 ± 57.29 to 377.33 ± 102.71 IU/L before treatment, did not show any statistically significant differences (P &gt; 0.05) during the experiment (214.66 ± 19.42 to 282.33 ± 230.55 IU/L) (Table 2).</w:t>
      </w:r>
    </w:p>
    <w:p w14:paraId="111A8720" w14:textId="7B6C3D2B" w:rsidR="00AA43BE" w:rsidRPr="0013633B" w:rsidRDefault="00AA43BE" w:rsidP="00AA43BE">
      <w:pPr>
        <w:spacing w:before="240" w:line="276" w:lineRule="auto"/>
        <w:ind w:left="1191" w:hanging="1191"/>
        <w:rPr>
          <w:rFonts w:ascii="Arial" w:eastAsiaTheme="minorEastAsia" w:hAnsi="Arial" w:cs="Arial"/>
          <w:b/>
          <w:color w:val="000000" w:themeColor="text1"/>
          <w:sz w:val="20"/>
          <w:szCs w:val="20"/>
          <w:lang w:eastAsia="fr-FR"/>
        </w:rPr>
      </w:pPr>
      <w:r w:rsidRPr="0013633B">
        <w:rPr>
          <w:rFonts w:ascii="Arial" w:hAnsi="Arial" w:cs="Arial"/>
          <w:b/>
          <w:bCs/>
          <w:color w:val="000000" w:themeColor="text1"/>
          <w:sz w:val="20"/>
          <w:szCs w:val="20"/>
        </w:rPr>
        <w:t xml:space="preserve">Table </w:t>
      </w:r>
      <w:r w:rsidR="00EE3F59" w:rsidRPr="0013633B">
        <w:rPr>
          <w:rFonts w:ascii="Arial" w:hAnsi="Arial" w:cs="Arial"/>
          <w:b/>
          <w:bCs/>
          <w:color w:val="000000" w:themeColor="text1"/>
          <w:sz w:val="20"/>
          <w:szCs w:val="20"/>
        </w:rPr>
        <w:t>2 :</w:t>
      </w:r>
      <w:r w:rsidRPr="0013633B">
        <w:rPr>
          <w:rFonts w:ascii="Arial" w:hAnsi="Arial" w:cs="Arial"/>
          <w:b/>
          <w:color w:val="000000" w:themeColor="text1"/>
          <w:sz w:val="20"/>
          <w:szCs w:val="20"/>
        </w:rPr>
        <w:t xml:space="preserve"> Changes in mean blood concentrations of lactate dehydrogenase (LDH) in rabbit groups during the experiment (IU/L)</w:t>
      </w:r>
    </w:p>
    <w:tbl>
      <w:tblPr>
        <w:tblStyle w:val="Tableausimple41"/>
        <w:tblW w:w="9214" w:type="dxa"/>
        <w:jc w:val="center"/>
        <w:tblLayout w:type="fixed"/>
        <w:tblLook w:val="04A0" w:firstRow="1" w:lastRow="0" w:firstColumn="1" w:lastColumn="0" w:noHBand="0" w:noVBand="1"/>
      </w:tblPr>
      <w:tblGrid>
        <w:gridCol w:w="1418"/>
        <w:gridCol w:w="992"/>
        <w:gridCol w:w="1701"/>
        <w:gridCol w:w="1701"/>
        <w:gridCol w:w="1701"/>
        <w:gridCol w:w="1701"/>
      </w:tblGrid>
      <w:tr w:rsidR="00AA43BE" w:rsidRPr="00AC5D91" w14:paraId="1B18DBA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41BE8335" w14:textId="77777777" w:rsidR="00AA43BE" w:rsidRPr="0013633B" w:rsidRDefault="00AA43BE">
            <w:pPr>
              <w:spacing w:line="276" w:lineRule="auto"/>
              <w:jc w:val="both"/>
              <w:rPr>
                <w:rFonts w:ascii="Arial" w:hAnsi="Arial" w:cs="Arial"/>
                <w:b w:val="0"/>
                <w:bCs w:val="0"/>
              </w:rPr>
            </w:pPr>
          </w:p>
          <w:p w14:paraId="44BC6504" w14:textId="2B63B2DC" w:rsidR="00AA43BE" w:rsidRPr="0013633B" w:rsidRDefault="00AA43BE">
            <w:pPr>
              <w:spacing w:line="276" w:lineRule="auto"/>
              <w:jc w:val="both"/>
              <w:rPr>
                <w:rFonts w:ascii="Arial" w:hAnsi="Arial" w:cs="Arial"/>
                <w:b w:val="0"/>
                <w:bCs w:val="0"/>
              </w:rPr>
            </w:pPr>
            <w:r w:rsidRPr="0013633B">
              <w:rPr>
                <w:rFonts w:ascii="Arial" w:hAnsi="Arial" w:cs="Arial"/>
              </w:rPr>
              <w:t>Markers</w:t>
            </w:r>
          </w:p>
        </w:tc>
        <w:tc>
          <w:tcPr>
            <w:tcW w:w="992" w:type="dxa"/>
            <w:vMerge w:val="restart"/>
            <w:tcBorders>
              <w:top w:val="single" w:sz="4" w:space="0" w:color="auto"/>
            </w:tcBorders>
          </w:tcPr>
          <w:p w14:paraId="0A7C1F5A" w14:textId="77777777" w:rsidR="00AA43BE" w:rsidRPr="0013633B" w:rsidRDefault="00AA43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6CB6B74" w14:textId="1B7925B4" w:rsidR="00AA43BE" w:rsidRPr="0013633B" w:rsidRDefault="00AA43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3633B">
              <w:rPr>
                <w:rFonts w:ascii="Arial" w:hAnsi="Arial" w:cs="Arial"/>
              </w:rPr>
              <w:t>Groups (n=3)</w:t>
            </w:r>
          </w:p>
        </w:tc>
        <w:tc>
          <w:tcPr>
            <w:tcW w:w="6804" w:type="dxa"/>
            <w:gridSpan w:val="4"/>
            <w:tcBorders>
              <w:top w:val="single" w:sz="4" w:space="0" w:color="auto"/>
              <w:bottom w:val="single" w:sz="4" w:space="0" w:color="auto"/>
            </w:tcBorders>
          </w:tcPr>
          <w:p w14:paraId="54E61DFA" w14:textId="45A21985" w:rsidR="00AA43BE" w:rsidRPr="0013633B" w:rsidRDefault="00AA43BE">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3633B">
              <w:rPr>
                <w:rFonts w:ascii="Arial" w:hAnsi="Arial" w:cs="Arial"/>
              </w:rPr>
              <w:t>Mean blood LDH concentration per week (IU/L)</w:t>
            </w:r>
          </w:p>
        </w:tc>
      </w:tr>
      <w:tr w:rsidR="00AA43BE" w:rsidRPr="00AC5D91" w14:paraId="6AD93FF9"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tcPr>
          <w:p w14:paraId="23B09694" w14:textId="77777777" w:rsidR="00AA43BE" w:rsidRPr="0013633B" w:rsidRDefault="00AA43BE">
            <w:pPr>
              <w:spacing w:before="240" w:line="276" w:lineRule="auto"/>
              <w:jc w:val="both"/>
              <w:rPr>
                <w:rFonts w:ascii="Arial" w:hAnsi="Arial" w:cs="Arial"/>
                <w:b w:val="0"/>
                <w:bCs w:val="0"/>
              </w:rPr>
            </w:pPr>
          </w:p>
        </w:tc>
        <w:tc>
          <w:tcPr>
            <w:tcW w:w="992" w:type="dxa"/>
            <w:vMerge/>
            <w:tcBorders>
              <w:bottom w:val="single" w:sz="4" w:space="0" w:color="auto"/>
            </w:tcBorders>
          </w:tcPr>
          <w:p w14:paraId="488D629D" w14:textId="77777777" w:rsidR="00AA43BE" w:rsidRPr="0013633B" w:rsidRDefault="00AA43BE">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01" w:type="dxa"/>
            <w:tcBorders>
              <w:top w:val="single" w:sz="4" w:space="0" w:color="auto"/>
              <w:bottom w:val="single" w:sz="4" w:space="0" w:color="auto"/>
            </w:tcBorders>
          </w:tcPr>
          <w:p w14:paraId="730CF95F" w14:textId="79EA9B2E" w:rsidR="00AA43BE" w:rsidRPr="0013633B" w:rsidRDefault="00AA43B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Pr="0013633B">
              <w:rPr>
                <w:rFonts w:ascii="Arial" w:eastAsia="Times New Roman" w:hAnsi="Arial" w:cs="Arial"/>
                <w:color w:val="000000"/>
                <w:vertAlign w:val="subscript"/>
              </w:rPr>
              <w:t>0</w:t>
            </w:r>
          </w:p>
        </w:tc>
        <w:tc>
          <w:tcPr>
            <w:tcW w:w="1701" w:type="dxa"/>
            <w:tcBorders>
              <w:top w:val="single" w:sz="4" w:space="0" w:color="auto"/>
              <w:bottom w:val="single" w:sz="4" w:space="0" w:color="auto"/>
            </w:tcBorders>
          </w:tcPr>
          <w:p w14:paraId="53C7B7A2" w14:textId="754F477F" w:rsidR="00AA43BE" w:rsidRPr="0013633B" w:rsidRDefault="00AA43B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Pr="0013633B">
              <w:rPr>
                <w:rFonts w:ascii="Arial" w:eastAsia="Times New Roman" w:hAnsi="Arial" w:cs="Arial"/>
                <w:color w:val="000000"/>
                <w:vertAlign w:val="subscript"/>
              </w:rPr>
              <w:t>7</w:t>
            </w:r>
          </w:p>
        </w:tc>
        <w:tc>
          <w:tcPr>
            <w:tcW w:w="1701" w:type="dxa"/>
            <w:tcBorders>
              <w:top w:val="single" w:sz="4" w:space="0" w:color="auto"/>
              <w:bottom w:val="single" w:sz="4" w:space="0" w:color="auto"/>
            </w:tcBorders>
          </w:tcPr>
          <w:p w14:paraId="2FDCA116" w14:textId="51E16A6D" w:rsidR="00AA43BE" w:rsidRPr="0013633B" w:rsidRDefault="00AA43B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Pr="0013633B">
              <w:rPr>
                <w:rFonts w:ascii="Arial" w:eastAsia="Times New Roman" w:hAnsi="Arial" w:cs="Arial"/>
                <w:color w:val="000000"/>
                <w:vertAlign w:val="subscript"/>
              </w:rPr>
              <w:t>14</w:t>
            </w:r>
          </w:p>
        </w:tc>
        <w:tc>
          <w:tcPr>
            <w:tcW w:w="1701" w:type="dxa"/>
            <w:tcBorders>
              <w:top w:val="single" w:sz="4" w:space="0" w:color="auto"/>
              <w:bottom w:val="single" w:sz="4" w:space="0" w:color="auto"/>
            </w:tcBorders>
          </w:tcPr>
          <w:p w14:paraId="3E1C9DA9" w14:textId="138B7766" w:rsidR="00AA43BE" w:rsidRPr="0013633B" w:rsidRDefault="00AA43B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3633B">
              <w:rPr>
                <w:rFonts w:ascii="Arial" w:eastAsia="Times New Roman" w:hAnsi="Arial" w:cs="Arial"/>
                <w:color w:val="000000"/>
              </w:rPr>
              <w:t>D</w:t>
            </w:r>
            <w:r w:rsidRPr="0013633B">
              <w:rPr>
                <w:rFonts w:ascii="Arial" w:eastAsia="Times New Roman" w:hAnsi="Arial" w:cs="Arial"/>
                <w:color w:val="000000"/>
                <w:vertAlign w:val="subscript"/>
              </w:rPr>
              <w:t>21</w:t>
            </w:r>
          </w:p>
        </w:tc>
      </w:tr>
      <w:tr w:rsidR="00AA43BE" w:rsidRPr="00AC5D91" w14:paraId="647131E0"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tcPr>
          <w:p w14:paraId="0A2E56EE" w14:textId="77777777" w:rsidR="0013633B" w:rsidRDefault="0013633B">
            <w:pPr>
              <w:spacing w:line="276" w:lineRule="auto"/>
              <w:jc w:val="both"/>
              <w:rPr>
                <w:rFonts w:ascii="Arial" w:hAnsi="Arial" w:cs="Arial"/>
              </w:rPr>
            </w:pPr>
          </w:p>
          <w:p w14:paraId="0AA912BF" w14:textId="77777777" w:rsidR="0013633B" w:rsidRDefault="0013633B">
            <w:pPr>
              <w:spacing w:line="276" w:lineRule="auto"/>
              <w:jc w:val="both"/>
              <w:rPr>
                <w:rFonts w:ascii="Arial" w:hAnsi="Arial" w:cs="Arial"/>
              </w:rPr>
            </w:pPr>
          </w:p>
          <w:p w14:paraId="39F033C5" w14:textId="2EC9B171" w:rsidR="00AA43BE" w:rsidRPr="0013633B" w:rsidRDefault="00AA43BE">
            <w:pPr>
              <w:spacing w:line="276" w:lineRule="auto"/>
              <w:jc w:val="both"/>
              <w:rPr>
                <w:rFonts w:ascii="Arial" w:hAnsi="Arial" w:cs="Arial"/>
                <w:b w:val="0"/>
                <w:bCs w:val="0"/>
              </w:rPr>
            </w:pPr>
            <w:r w:rsidRPr="0013633B">
              <w:rPr>
                <w:rFonts w:ascii="Arial" w:hAnsi="Arial" w:cs="Arial"/>
              </w:rPr>
              <w:t>LDH</w:t>
            </w:r>
          </w:p>
        </w:tc>
        <w:tc>
          <w:tcPr>
            <w:tcW w:w="992" w:type="dxa"/>
            <w:tcBorders>
              <w:top w:val="single" w:sz="4" w:space="0" w:color="auto"/>
            </w:tcBorders>
          </w:tcPr>
          <w:p w14:paraId="4EFEE522" w14:textId="35D559A5" w:rsidR="00AA43BE" w:rsidRPr="0013633B" w:rsidRDefault="00AA43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G-D</w:t>
            </w:r>
            <w:r w:rsidRPr="0013633B">
              <w:rPr>
                <w:rFonts w:ascii="Arial" w:hAnsi="Arial" w:cs="Arial"/>
                <w:vertAlign w:val="subscript"/>
              </w:rPr>
              <w:t>0</w:t>
            </w:r>
          </w:p>
        </w:tc>
        <w:tc>
          <w:tcPr>
            <w:tcW w:w="1701" w:type="dxa"/>
            <w:tcBorders>
              <w:top w:val="single" w:sz="4" w:space="0" w:color="auto"/>
            </w:tcBorders>
          </w:tcPr>
          <w:p w14:paraId="23A917A7" w14:textId="68D6CD49"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329.00±72.02</w:t>
            </w:r>
          </w:p>
        </w:tc>
        <w:tc>
          <w:tcPr>
            <w:tcW w:w="1701" w:type="dxa"/>
            <w:tcBorders>
              <w:top w:val="single" w:sz="4" w:space="0" w:color="auto"/>
            </w:tcBorders>
          </w:tcPr>
          <w:p w14:paraId="28FD3464" w14:textId="2CD67761"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257.66±180.53</w:t>
            </w:r>
          </w:p>
        </w:tc>
        <w:tc>
          <w:tcPr>
            <w:tcW w:w="1701" w:type="dxa"/>
            <w:tcBorders>
              <w:top w:val="single" w:sz="4" w:space="0" w:color="auto"/>
            </w:tcBorders>
          </w:tcPr>
          <w:p w14:paraId="14CFA830" w14:textId="2EEE6B77"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335.33±118.36</w:t>
            </w:r>
          </w:p>
        </w:tc>
        <w:tc>
          <w:tcPr>
            <w:tcW w:w="1701" w:type="dxa"/>
            <w:tcBorders>
              <w:top w:val="single" w:sz="4" w:space="0" w:color="auto"/>
            </w:tcBorders>
          </w:tcPr>
          <w:p w14:paraId="7D73F454" w14:textId="1568F9A9"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304.00±60.09</w:t>
            </w:r>
          </w:p>
        </w:tc>
      </w:tr>
      <w:tr w:rsidR="00AA43BE" w:rsidRPr="00AC5D91" w14:paraId="3E33D1BA"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659345D9" w14:textId="77777777" w:rsidR="00AA43BE" w:rsidRPr="00AC5D91" w:rsidRDefault="00AA43BE">
            <w:pPr>
              <w:spacing w:line="276" w:lineRule="auto"/>
              <w:jc w:val="both"/>
              <w:rPr>
                <w:rFonts w:ascii="Arial" w:hAnsi="Arial" w:cs="Arial"/>
                <w:b w:val="0"/>
                <w:bCs w:val="0"/>
                <w:sz w:val="24"/>
                <w:szCs w:val="24"/>
              </w:rPr>
            </w:pPr>
          </w:p>
        </w:tc>
        <w:tc>
          <w:tcPr>
            <w:tcW w:w="992" w:type="dxa"/>
          </w:tcPr>
          <w:p w14:paraId="5DEB901D" w14:textId="39F2114B" w:rsidR="00AA43BE" w:rsidRPr="0013633B" w:rsidRDefault="00AA43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Pr="0013633B">
              <w:rPr>
                <w:rFonts w:ascii="Arial" w:eastAsia="Times New Roman" w:hAnsi="Arial" w:cs="Arial"/>
                <w:color w:val="000000"/>
              </w:rPr>
              <w:t>-D</w:t>
            </w:r>
            <w:r w:rsidRPr="0013633B">
              <w:rPr>
                <w:rFonts w:ascii="Arial" w:eastAsia="Times New Roman" w:hAnsi="Arial" w:cs="Arial"/>
                <w:color w:val="000000"/>
                <w:vertAlign w:val="subscript"/>
              </w:rPr>
              <w:t>100</w:t>
            </w:r>
          </w:p>
        </w:tc>
        <w:tc>
          <w:tcPr>
            <w:tcW w:w="1701" w:type="dxa"/>
          </w:tcPr>
          <w:p w14:paraId="31049329" w14:textId="07C8C995"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301.57±57.29</w:t>
            </w:r>
          </w:p>
        </w:tc>
        <w:tc>
          <w:tcPr>
            <w:tcW w:w="1701" w:type="dxa"/>
          </w:tcPr>
          <w:p w14:paraId="178E5195" w14:textId="02A66E1C"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209.66±88.66</w:t>
            </w:r>
          </w:p>
        </w:tc>
        <w:tc>
          <w:tcPr>
            <w:tcW w:w="1701" w:type="dxa"/>
          </w:tcPr>
          <w:p w14:paraId="49DC71C2" w14:textId="6DB07C1D"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339.00±102.82</w:t>
            </w:r>
          </w:p>
        </w:tc>
        <w:tc>
          <w:tcPr>
            <w:tcW w:w="1701" w:type="dxa"/>
          </w:tcPr>
          <w:p w14:paraId="2904F4E6" w14:textId="07F3D398"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382.33±230.55</w:t>
            </w:r>
          </w:p>
        </w:tc>
      </w:tr>
      <w:tr w:rsidR="00AA43BE" w:rsidRPr="00AC5D91" w14:paraId="4CFFBEA8"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6501B2EC" w14:textId="77777777" w:rsidR="00AA43BE" w:rsidRPr="00AC5D91" w:rsidRDefault="00AA43BE">
            <w:pPr>
              <w:spacing w:line="276" w:lineRule="auto"/>
              <w:jc w:val="both"/>
              <w:rPr>
                <w:rFonts w:ascii="Arial" w:hAnsi="Arial" w:cs="Arial"/>
                <w:b w:val="0"/>
                <w:bCs w:val="0"/>
                <w:sz w:val="24"/>
                <w:szCs w:val="24"/>
              </w:rPr>
            </w:pPr>
          </w:p>
        </w:tc>
        <w:tc>
          <w:tcPr>
            <w:tcW w:w="992" w:type="dxa"/>
          </w:tcPr>
          <w:p w14:paraId="0D39E639" w14:textId="6B948920" w:rsidR="00AA43BE" w:rsidRPr="0013633B" w:rsidRDefault="00AA43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Pr="0013633B">
              <w:rPr>
                <w:rFonts w:ascii="Arial" w:eastAsia="Times New Roman" w:hAnsi="Arial" w:cs="Arial"/>
                <w:color w:val="000000"/>
              </w:rPr>
              <w:t>D</w:t>
            </w:r>
            <w:r w:rsidRPr="0013633B">
              <w:rPr>
                <w:rFonts w:ascii="Arial" w:eastAsia="Times New Roman" w:hAnsi="Arial" w:cs="Arial"/>
                <w:color w:val="000000"/>
                <w:vertAlign w:val="subscript"/>
              </w:rPr>
              <w:t>250</w:t>
            </w:r>
          </w:p>
        </w:tc>
        <w:tc>
          <w:tcPr>
            <w:tcW w:w="1701" w:type="dxa"/>
          </w:tcPr>
          <w:p w14:paraId="0141CE0F" w14:textId="5460001A"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377.33±102.71</w:t>
            </w:r>
          </w:p>
        </w:tc>
        <w:tc>
          <w:tcPr>
            <w:tcW w:w="1701" w:type="dxa"/>
          </w:tcPr>
          <w:p w14:paraId="548AD583" w14:textId="3670FEA4"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299.00±191.44</w:t>
            </w:r>
          </w:p>
        </w:tc>
        <w:tc>
          <w:tcPr>
            <w:tcW w:w="1701" w:type="dxa"/>
          </w:tcPr>
          <w:p w14:paraId="6D2DE80B" w14:textId="601B5BEF"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453.00±52.04</w:t>
            </w:r>
          </w:p>
        </w:tc>
        <w:tc>
          <w:tcPr>
            <w:tcW w:w="1701" w:type="dxa"/>
          </w:tcPr>
          <w:p w14:paraId="152BD10E" w14:textId="6B5724A3"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344.66±128/28</w:t>
            </w:r>
          </w:p>
        </w:tc>
      </w:tr>
      <w:tr w:rsidR="00AA43BE" w:rsidRPr="00AC5D91" w14:paraId="5D57C4FD"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tcPr>
          <w:p w14:paraId="0A421232" w14:textId="77777777" w:rsidR="00AA43BE" w:rsidRPr="00AC5D91" w:rsidRDefault="00AA43BE">
            <w:pPr>
              <w:spacing w:line="276" w:lineRule="auto"/>
              <w:jc w:val="both"/>
              <w:rPr>
                <w:rFonts w:ascii="Arial" w:hAnsi="Arial" w:cs="Arial"/>
                <w:b w:val="0"/>
                <w:bCs w:val="0"/>
                <w:sz w:val="24"/>
                <w:szCs w:val="24"/>
              </w:rPr>
            </w:pPr>
          </w:p>
        </w:tc>
        <w:tc>
          <w:tcPr>
            <w:tcW w:w="992" w:type="dxa"/>
            <w:tcBorders>
              <w:bottom w:val="single" w:sz="4" w:space="0" w:color="auto"/>
            </w:tcBorders>
          </w:tcPr>
          <w:p w14:paraId="23C0AF81" w14:textId="6BF46D7C" w:rsidR="00AA43BE" w:rsidRPr="0013633B" w:rsidRDefault="00AA43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G-</w:t>
            </w:r>
            <w:r w:rsidRPr="0013633B">
              <w:rPr>
                <w:rFonts w:ascii="Arial" w:eastAsia="Times New Roman" w:hAnsi="Arial" w:cs="Arial"/>
                <w:color w:val="000000"/>
              </w:rPr>
              <w:t>D</w:t>
            </w:r>
            <w:r w:rsidRPr="0013633B">
              <w:rPr>
                <w:rFonts w:ascii="Arial" w:eastAsia="Times New Roman" w:hAnsi="Arial" w:cs="Arial"/>
                <w:color w:val="000000"/>
                <w:vertAlign w:val="subscript"/>
              </w:rPr>
              <w:t>700</w:t>
            </w:r>
          </w:p>
        </w:tc>
        <w:tc>
          <w:tcPr>
            <w:tcW w:w="1701" w:type="dxa"/>
            <w:tcBorders>
              <w:bottom w:val="single" w:sz="4" w:space="0" w:color="auto"/>
            </w:tcBorders>
          </w:tcPr>
          <w:p w14:paraId="3219A934" w14:textId="1D504F03"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371.33±170.39</w:t>
            </w:r>
          </w:p>
        </w:tc>
        <w:tc>
          <w:tcPr>
            <w:tcW w:w="1701" w:type="dxa"/>
            <w:tcBorders>
              <w:bottom w:val="single" w:sz="4" w:space="0" w:color="auto"/>
            </w:tcBorders>
          </w:tcPr>
          <w:p w14:paraId="1D7CF25B" w14:textId="49C3BDFA"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258.33±118.93</w:t>
            </w:r>
          </w:p>
        </w:tc>
        <w:tc>
          <w:tcPr>
            <w:tcW w:w="1701" w:type="dxa"/>
            <w:tcBorders>
              <w:bottom w:val="single" w:sz="4" w:space="0" w:color="auto"/>
            </w:tcBorders>
          </w:tcPr>
          <w:p w14:paraId="5D6A44F4" w14:textId="08D5897E"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241.33±96.08</w:t>
            </w:r>
          </w:p>
        </w:tc>
        <w:tc>
          <w:tcPr>
            <w:tcW w:w="1701" w:type="dxa"/>
            <w:tcBorders>
              <w:bottom w:val="single" w:sz="4" w:space="0" w:color="auto"/>
            </w:tcBorders>
          </w:tcPr>
          <w:p w14:paraId="50E431CF" w14:textId="108F59E9" w:rsidR="00AA43BE" w:rsidRPr="0013633B" w:rsidRDefault="00AA43B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33B">
              <w:rPr>
                <w:rFonts w:ascii="Arial" w:hAnsi="Arial" w:cs="Arial"/>
              </w:rPr>
              <w:t>214.66±19.42</w:t>
            </w:r>
          </w:p>
        </w:tc>
      </w:tr>
      <w:tr w:rsidR="00AA43BE" w:rsidRPr="00AC5D91" w14:paraId="35CDBB51" w14:textId="77777777">
        <w:trPr>
          <w:jc w:val="center"/>
        </w:trPr>
        <w:tc>
          <w:tcPr>
            <w:cnfStyle w:val="001000000000" w:firstRow="0" w:lastRow="0" w:firstColumn="1" w:lastColumn="0" w:oddVBand="0" w:evenVBand="0" w:oddHBand="0" w:evenHBand="0" w:firstRowFirstColumn="0" w:firstRowLastColumn="0" w:lastRowFirstColumn="0" w:lastRowLastColumn="0"/>
            <w:tcW w:w="9214" w:type="dxa"/>
            <w:gridSpan w:val="6"/>
            <w:tcBorders>
              <w:top w:val="single" w:sz="4" w:space="0" w:color="auto"/>
            </w:tcBorders>
          </w:tcPr>
          <w:p w14:paraId="0B2D023E" w14:textId="77777777" w:rsidR="00AA43BE" w:rsidRPr="00730852" w:rsidRDefault="00AA43BE">
            <w:pPr>
              <w:spacing w:line="276" w:lineRule="auto"/>
              <w:jc w:val="both"/>
              <w:rPr>
                <w:rFonts w:ascii="Arial" w:hAnsi="Arial" w:cs="Arial"/>
                <w:bCs w:val="0"/>
                <w:i/>
                <w:iCs/>
                <w:sz w:val="18"/>
                <w:szCs w:val="18"/>
              </w:rPr>
            </w:pPr>
          </w:p>
          <w:p w14:paraId="72C480A5" w14:textId="77777777" w:rsidR="00BC0C06" w:rsidRPr="00730852" w:rsidRDefault="00AA43BE" w:rsidP="00BC0C06">
            <w:pPr>
              <w:spacing w:after="160" w:line="259" w:lineRule="auto"/>
              <w:jc w:val="both"/>
              <w:rPr>
                <w:rFonts w:ascii="Arial" w:hAnsi="Arial" w:cs="Arial"/>
                <w:b w:val="0"/>
                <w:i/>
                <w:iCs/>
                <w:sz w:val="18"/>
                <w:szCs w:val="18"/>
              </w:rPr>
            </w:pPr>
            <w:r w:rsidRPr="00730852">
              <w:rPr>
                <w:rFonts w:ascii="Arial" w:hAnsi="Arial" w:cs="Arial"/>
                <w:b w:val="0"/>
                <w:i/>
                <w:iCs/>
                <w:color w:val="000000" w:themeColor="text1"/>
                <w:sz w:val="18"/>
                <w:szCs w:val="18"/>
              </w:rPr>
              <w:t>LDH : lactate d</w:t>
            </w:r>
            <w:r w:rsidR="00BC0C06" w:rsidRPr="00730852">
              <w:rPr>
                <w:rFonts w:ascii="Arial" w:hAnsi="Arial" w:cs="Arial"/>
                <w:b w:val="0"/>
                <w:i/>
                <w:iCs/>
                <w:color w:val="000000" w:themeColor="text1"/>
                <w:sz w:val="18"/>
                <w:szCs w:val="18"/>
              </w:rPr>
              <w:t>e</w:t>
            </w:r>
            <w:r w:rsidRPr="00730852">
              <w:rPr>
                <w:rFonts w:ascii="Arial" w:hAnsi="Arial" w:cs="Arial"/>
                <w:b w:val="0"/>
                <w:i/>
                <w:iCs/>
                <w:color w:val="000000" w:themeColor="text1"/>
                <w:sz w:val="18"/>
                <w:szCs w:val="18"/>
              </w:rPr>
              <w:t>shydrog</w:t>
            </w:r>
            <w:r w:rsidR="00BC0C06" w:rsidRPr="00730852">
              <w:rPr>
                <w:rFonts w:ascii="Arial" w:hAnsi="Arial" w:cs="Arial"/>
                <w:b w:val="0"/>
                <w:i/>
                <w:iCs/>
                <w:color w:val="000000" w:themeColor="text1"/>
                <w:sz w:val="18"/>
                <w:szCs w:val="18"/>
              </w:rPr>
              <w:t>e</w:t>
            </w:r>
            <w:r w:rsidRPr="00730852">
              <w:rPr>
                <w:rFonts w:ascii="Arial" w:hAnsi="Arial" w:cs="Arial"/>
                <w:b w:val="0"/>
                <w:i/>
                <w:iCs/>
                <w:color w:val="000000" w:themeColor="text1"/>
                <w:sz w:val="18"/>
                <w:szCs w:val="18"/>
              </w:rPr>
              <w:t xml:space="preserve">nase ; </w:t>
            </w:r>
            <w:r w:rsidR="00BC0C06" w:rsidRPr="00730852">
              <w:rPr>
                <w:rFonts w:ascii="Arial" w:hAnsi="Arial" w:cs="Arial"/>
                <w:b w:val="0"/>
                <w:i/>
                <w:iCs/>
                <w:sz w:val="18"/>
                <w:szCs w:val="18"/>
              </w:rPr>
              <w:t>G-D0 : control group (received only physiological saline); G-D100, G-D250, G-D700: groups receiving respective doses of spirulina at 100, 250, and 700 mg/kg of body weight.</w:t>
            </w:r>
          </w:p>
          <w:p w14:paraId="58BBC051" w14:textId="77881DAB" w:rsidR="00AA43BE" w:rsidRPr="00730852" w:rsidRDefault="00AA43BE">
            <w:pPr>
              <w:spacing w:line="276" w:lineRule="auto"/>
              <w:jc w:val="both"/>
              <w:rPr>
                <w:rFonts w:ascii="Arial" w:hAnsi="Arial" w:cs="Arial"/>
                <w:bCs w:val="0"/>
                <w:i/>
                <w:iCs/>
                <w:color w:val="000000"/>
                <w:sz w:val="18"/>
                <w:szCs w:val="18"/>
              </w:rPr>
            </w:pPr>
          </w:p>
        </w:tc>
      </w:tr>
    </w:tbl>
    <w:p w14:paraId="32767FF7" w14:textId="2D6181B3" w:rsidR="002459AE" w:rsidRPr="00AC5D91" w:rsidRDefault="002459AE" w:rsidP="002459AE">
      <w:pPr>
        <w:jc w:val="both"/>
        <w:rPr>
          <w:rFonts w:ascii="Arial" w:hAnsi="Arial" w:cs="Arial"/>
          <w:sz w:val="24"/>
          <w:szCs w:val="24"/>
        </w:rPr>
      </w:pPr>
    </w:p>
    <w:p w14:paraId="071804D8" w14:textId="3C31A523" w:rsidR="002459AE" w:rsidRPr="0013633B" w:rsidRDefault="00EE3F59" w:rsidP="002459AE">
      <w:pPr>
        <w:jc w:val="both"/>
        <w:rPr>
          <w:rFonts w:ascii="Arial" w:hAnsi="Arial" w:cs="Arial"/>
          <w:b/>
          <w:bCs/>
        </w:rPr>
      </w:pPr>
      <w:r w:rsidRPr="0013633B">
        <w:rPr>
          <w:rFonts w:ascii="Arial" w:hAnsi="Arial" w:cs="Arial"/>
          <w:b/>
          <w:bCs/>
        </w:rPr>
        <w:t xml:space="preserve">4. </w:t>
      </w:r>
      <w:r w:rsidR="002459AE" w:rsidRPr="0013633B">
        <w:rPr>
          <w:rFonts w:ascii="Arial" w:hAnsi="Arial" w:cs="Arial"/>
          <w:b/>
          <w:bCs/>
        </w:rPr>
        <w:t>DISCUSSION</w:t>
      </w:r>
    </w:p>
    <w:p w14:paraId="3F7E8B57"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 xml:space="preserve">The objective of this study was to evaluate hepatic tolerance in rabbits receiving different doses of spirulina. Mean serum aspartate aminotransferase (AST) values did not differ significantly throughout the experiment. These values are comparable to those reported by Founzégué et al. (2007) and Saihia (2014), who obtained respective values of 21.24 and 22.5 IU/L in </w:t>
      </w:r>
      <w:r w:rsidRPr="0013633B">
        <w:rPr>
          <w:rFonts w:ascii="Arial" w:hAnsi="Arial" w:cs="Arial"/>
          <w:i/>
          <w:iCs/>
          <w:sz w:val="20"/>
          <w:szCs w:val="20"/>
        </w:rPr>
        <w:t>Oryctolagus cuniculus</w:t>
      </w:r>
      <w:r w:rsidRPr="0013633B">
        <w:rPr>
          <w:rFonts w:ascii="Arial" w:hAnsi="Arial" w:cs="Arial"/>
          <w:sz w:val="20"/>
          <w:szCs w:val="20"/>
        </w:rPr>
        <w:t xml:space="preserve"> and New Zealand Cunistar rabbits. Determination of alanine aminotransferase (ALT) activity also yielded non-significant mean values (57.00 and 75.66 IU/L), which are consistent with those reported by Pamukcu et al. (2004) and Founzégué et al. (2007), whose rabbits underwent acclimatization conditions similar to those of the present study (67.9 and 45.52 IU/L, respectively).</w:t>
      </w:r>
    </w:p>
    <w:p w14:paraId="74B45D46"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 xml:space="preserve">Mean alkaline phosphatase (ALP) values were also comparable to those reported by Founzégué et al. (2007), which ranged around 432.66 ± 207.8 IU/L. Likewise, gamma-glutamyl transferase (γ-GT) values correlated with those obtained by Founzégué et al. (2007) and Atchadé et al. (2019). Differences between the mean values obtained in this study and those reported by other authors (Founzégué et al., 2007; Saihia, 2014; Atchadé et al., 2019) may be related to factors such as age, type of diet, rearing conditions, experimental protocols, rabbit species, and especially climate. Indeed, metabolite and </w:t>
      </w:r>
      <w:r w:rsidRPr="0013633B">
        <w:rPr>
          <w:rFonts w:ascii="Arial" w:hAnsi="Arial" w:cs="Arial"/>
          <w:sz w:val="20"/>
          <w:szCs w:val="20"/>
        </w:rPr>
        <w:lastRenderedPageBreak/>
        <w:t>enzyme values obtained in tropical regions are generally more consistent with each other than those reported in temperate regions (Ahemen et al., 2013; Atchadé et al., 2019).</w:t>
      </w:r>
    </w:p>
    <w:p w14:paraId="466B2A02"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Assessment of hepatic function involves the evaluation of parameters such as total and conjugated bilirubin, transaminases (AST and ALT), γ-GT, LDH, and ALP. Transaminases are enzymes with important metabolic activity within cells and play a role in energy-related reactions. An increase in their serum levels reflects cellular damage, particularly in hepatic tissue (Herrera, 1993; Kew, 2000; Jasiewicz et al., 2023), as well as in certain cardiac cells. Overall, spirulina administration did not induce any significant variation in the enzyme levels studied, regardless of dose.</w:t>
      </w:r>
    </w:p>
    <w:p w14:paraId="18377801"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An increase in ALP may be associated with pathological conditions such as renal, bone, and hepatic disorders, as well as extrahepatic infections (Sciacqua et al., 2020). Conversely, a decrease in ALP is linked to anemia, nutritional deficiencies, and exposure to certain drugs, particularly clofibrate (Eastham, 1978). Elevated γ-GT levels may indicate cardiac disorders (Ndrepepa and Kastrati, 2016) as well as hepatic, renal, and pancreatic diseases. Pathological variations are also observed with increased LDH levels, often associated with pulmonary (Eastham, 1978), cardiac, hepatic, renal, muscular, and pancreatic damage, as well as during hematopoiesis.</w:t>
      </w:r>
    </w:p>
    <w:p w14:paraId="230379B5"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 xml:space="preserve">The results of this study are consistent with those of Pérez-Juàrez et al. (2022), who demonstrated in rats that </w:t>
      </w:r>
      <w:r w:rsidRPr="0013633B">
        <w:rPr>
          <w:rFonts w:ascii="Arial" w:hAnsi="Arial" w:cs="Arial"/>
          <w:i/>
          <w:iCs/>
          <w:sz w:val="20"/>
          <w:szCs w:val="20"/>
        </w:rPr>
        <w:t>Spirulina platensis</w:t>
      </w:r>
      <w:r w:rsidRPr="0013633B">
        <w:rPr>
          <w:rFonts w:ascii="Arial" w:hAnsi="Arial" w:cs="Arial"/>
          <w:sz w:val="20"/>
          <w:szCs w:val="20"/>
        </w:rPr>
        <w:t xml:space="preserve"> plays both preventive and curative roles in liver protection. Other studies have shown that </w:t>
      </w:r>
      <w:r w:rsidRPr="0013633B">
        <w:rPr>
          <w:rFonts w:ascii="Arial" w:hAnsi="Arial" w:cs="Arial"/>
          <w:i/>
          <w:iCs/>
          <w:sz w:val="20"/>
          <w:szCs w:val="20"/>
        </w:rPr>
        <w:t>Spirulina platensis</w:t>
      </w:r>
      <w:r w:rsidRPr="0013633B">
        <w:rPr>
          <w:rFonts w:ascii="Arial" w:hAnsi="Arial" w:cs="Arial"/>
          <w:sz w:val="20"/>
          <w:szCs w:val="20"/>
        </w:rPr>
        <w:t xml:space="preserve"> inhibits the proliferation of hepatic stellate cells activated during liver injury (Wu et al., 2005). Experimental studies in laboratory rats with toxic liver diseases treated with spirulina have also revealed the hepatoprotective efficacy of this blue-green algae (Al-Hussaniy et al., 2023; Hossain et al., 2025). Some researchers, including Pereira et al. (2021), have reported that zeaxanthin, a carotenoid pigment found in </w:t>
      </w:r>
      <w:r w:rsidRPr="0013633B">
        <w:rPr>
          <w:rFonts w:ascii="Arial" w:hAnsi="Arial" w:cs="Arial"/>
          <w:i/>
          <w:iCs/>
          <w:sz w:val="20"/>
          <w:szCs w:val="20"/>
        </w:rPr>
        <w:t>Spirulina platensis</w:t>
      </w:r>
      <w:r w:rsidRPr="0013633B">
        <w:rPr>
          <w:rFonts w:ascii="Arial" w:hAnsi="Arial" w:cs="Arial"/>
          <w:sz w:val="20"/>
          <w:szCs w:val="20"/>
        </w:rPr>
        <w:t xml:space="preserve">, inhibits metastatic tumor development. The hepatoprotective properties of </w:t>
      </w:r>
      <w:r w:rsidRPr="0013633B">
        <w:rPr>
          <w:rFonts w:ascii="Arial" w:hAnsi="Arial" w:cs="Arial"/>
          <w:i/>
          <w:iCs/>
          <w:sz w:val="20"/>
          <w:szCs w:val="20"/>
        </w:rPr>
        <w:t>Spirulina platensis</w:t>
      </w:r>
      <w:r w:rsidRPr="0013633B">
        <w:rPr>
          <w:rFonts w:ascii="Arial" w:hAnsi="Arial" w:cs="Arial"/>
          <w:sz w:val="20"/>
          <w:szCs w:val="20"/>
        </w:rPr>
        <w:t xml:space="preserve">, similar to those of </w:t>
      </w:r>
      <w:r w:rsidRPr="0013633B">
        <w:rPr>
          <w:rFonts w:ascii="Arial" w:hAnsi="Arial" w:cs="Arial"/>
          <w:i/>
          <w:iCs/>
          <w:sz w:val="20"/>
          <w:szCs w:val="20"/>
        </w:rPr>
        <w:t>Cochlospermum planchonii</w:t>
      </w:r>
      <w:r w:rsidRPr="0013633B">
        <w:rPr>
          <w:rFonts w:ascii="Arial" w:hAnsi="Arial" w:cs="Arial"/>
          <w:sz w:val="20"/>
          <w:szCs w:val="20"/>
        </w:rPr>
        <w:t xml:space="preserve"> (Kanga et al., 2025), may be attributed to its anti-inflammatory, antioxidant, and immunomodulatory effects (Hossain et al., 2025).</w:t>
      </w:r>
    </w:p>
    <w:p w14:paraId="5760E932"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 xml:space="preserve">Furthermore, studies conducted on Japanese white rabbits fed a diet rich in cholesterol and </w:t>
      </w:r>
      <w:r w:rsidRPr="0013633B">
        <w:rPr>
          <w:rFonts w:ascii="Arial" w:hAnsi="Arial" w:cs="Arial"/>
          <w:i/>
          <w:iCs/>
          <w:sz w:val="20"/>
          <w:szCs w:val="20"/>
        </w:rPr>
        <w:t>Spirulina platensis</w:t>
      </w:r>
      <w:r w:rsidRPr="0013633B">
        <w:rPr>
          <w:rFonts w:ascii="Arial" w:hAnsi="Arial" w:cs="Arial"/>
          <w:sz w:val="20"/>
          <w:szCs w:val="20"/>
        </w:rPr>
        <w:t xml:space="preserve"> showed reduced exposure to aortic atheromatous lesions compared to rabbits deprived of spirulina. Huang et al. (2003) demonstrated the effect of </w:t>
      </w:r>
      <w:r w:rsidRPr="0013633B">
        <w:rPr>
          <w:rFonts w:ascii="Arial" w:hAnsi="Arial" w:cs="Arial"/>
          <w:i/>
          <w:iCs/>
          <w:sz w:val="20"/>
          <w:szCs w:val="20"/>
        </w:rPr>
        <w:t>Spirulina platensis</w:t>
      </w:r>
      <w:r w:rsidRPr="0013633B">
        <w:rPr>
          <w:rFonts w:ascii="Arial" w:hAnsi="Arial" w:cs="Arial"/>
          <w:sz w:val="20"/>
          <w:szCs w:val="20"/>
        </w:rPr>
        <w:t xml:space="preserve"> on red blood cell membrane fluidity in rats. Other studies cited by Matha (2024) report that consumption of </w:t>
      </w:r>
      <w:r w:rsidRPr="0013633B">
        <w:rPr>
          <w:rFonts w:ascii="Arial" w:hAnsi="Arial" w:cs="Arial"/>
          <w:i/>
          <w:iCs/>
          <w:sz w:val="20"/>
          <w:szCs w:val="20"/>
        </w:rPr>
        <w:t>Spirulina platensis</w:t>
      </w:r>
      <w:r w:rsidRPr="0013633B">
        <w:rPr>
          <w:rFonts w:ascii="Arial" w:hAnsi="Arial" w:cs="Arial"/>
          <w:sz w:val="20"/>
          <w:szCs w:val="20"/>
        </w:rPr>
        <w:t xml:space="preserve"> significantly reduces blood pressure in hypertensive patients.</w:t>
      </w:r>
    </w:p>
    <w:p w14:paraId="3BDF1834" w14:textId="10B987C6" w:rsidR="002459AE" w:rsidRPr="0013633B" w:rsidRDefault="002459AE" w:rsidP="002459AE">
      <w:pPr>
        <w:jc w:val="both"/>
        <w:rPr>
          <w:rFonts w:ascii="Arial" w:hAnsi="Arial" w:cs="Arial"/>
          <w:sz w:val="20"/>
          <w:szCs w:val="20"/>
        </w:rPr>
      </w:pPr>
    </w:p>
    <w:p w14:paraId="78B05216" w14:textId="311DA35B" w:rsidR="002459AE" w:rsidRPr="0013633B" w:rsidRDefault="00EE3F59" w:rsidP="002459AE">
      <w:pPr>
        <w:jc w:val="both"/>
        <w:rPr>
          <w:rFonts w:ascii="Arial" w:hAnsi="Arial" w:cs="Arial"/>
          <w:b/>
          <w:bCs/>
        </w:rPr>
      </w:pPr>
      <w:r w:rsidRPr="0013633B">
        <w:rPr>
          <w:rFonts w:ascii="Arial" w:hAnsi="Arial" w:cs="Arial"/>
          <w:b/>
          <w:bCs/>
        </w:rPr>
        <w:t xml:space="preserve">5. </w:t>
      </w:r>
      <w:r w:rsidR="002459AE" w:rsidRPr="0013633B">
        <w:rPr>
          <w:rFonts w:ascii="Arial" w:hAnsi="Arial" w:cs="Arial"/>
          <w:b/>
          <w:bCs/>
        </w:rPr>
        <w:t>CONCLUSION</w:t>
      </w:r>
    </w:p>
    <w:p w14:paraId="1F4A15F9" w14:textId="77777777" w:rsidR="002459AE" w:rsidRPr="0013633B" w:rsidRDefault="002459AE" w:rsidP="002459AE">
      <w:pPr>
        <w:jc w:val="both"/>
        <w:rPr>
          <w:rFonts w:ascii="Arial" w:hAnsi="Arial" w:cs="Arial"/>
          <w:sz w:val="20"/>
          <w:szCs w:val="20"/>
        </w:rPr>
      </w:pPr>
      <w:r w:rsidRPr="0013633B">
        <w:rPr>
          <w:rFonts w:ascii="Arial" w:hAnsi="Arial" w:cs="Arial"/>
          <w:sz w:val="20"/>
          <w:szCs w:val="20"/>
        </w:rPr>
        <w:t>The objective of this study was to investigate potential organ damage that could result from daily spirulina administration. The results indicate that, in addition to good biotolerance, daily intake of spirulina produced in Côte d’Ivoire may regulate the profile of certain hepatic biomarkers and consequently protect the organs involved in their production, thereby conferring recognized preventive and curative properties.</w:t>
      </w:r>
    </w:p>
    <w:p w14:paraId="3B4EB17B" w14:textId="77777777" w:rsidR="0013633B" w:rsidRDefault="0013633B" w:rsidP="002459AE">
      <w:pPr>
        <w:jc w:val="both"/>
        <w:rPr>
          <w:rFonts w:ascii="Arial" w:hAnsi="Arial" w:cs="Arial"/>
          <w:sz w:val="24"/>
          <w:szCs w:val="24"/>
        </w:rPr>
      </w:pPr>
    </w:p>
    <w:p w14:paraId="57DDA675" w14:textId="1340E2EF" w:rsidR="002459AE" w:rsidRPr="0013633B" w:rsidRDefault="002459AE" w:rsidP="002459AE">
      <w:pPr>
        <w:jc w:val="both"/>
        <w:rPr>
          <w:rFonts w:ascii="Arial" w:hAnsi="Arial" w:cs="Arial"/>
          <w:b/>
          <w:bCs/>
        </w:rPr>
      </w:pPr>
      <w:r w:rsidRPr="0013633B">
        <w:rPr>
          <w:rFonts w:ascii="Arial" w:hAnsi="Arial" w:cs="Arial"/>
          <w:b/>
          <w:bCs/>
        </w:rPr>
        <w:t>CONFLICT OF INTEREST</w:t>
      </w:r>
    </w:p>
    <w:p w14:paraId="6D47CA1E" w14:textId="77777777" w:rsidR="002459AE" w:rsidRPr="0013633B" w:rsidRDefault="002459AE" w:rsidP="00C24A5C">
      <w:pPr>
        <w:spacing w:after="0"/>
        <w:jc w:val="both"/>
        <w:rPr>
          <w:rFonts w:ascii="Arial" w:hAnsi="Arial" w:cs="Arial"/>
          <w:sz w:val="20"/>
          <w:szCs w:val="20"/>
        </w:rPr>
      </w:pPr>
      <w:r w:rsidRPr="0013633B">
        <w:rPr>
          <w:rFonts w:ascii="Arial" w:hAnsi="Arial" w:cs="Arial"/>
          <w:sz w:val="20"/>
          <w:szCs w:val="20"/>
        </w:rPr>
        <w:t>The authors declare that they have no conflicts of interest.</w:t>
      </w:r>
    </w:p>
    <w:p w14:paraId="11ACC43A" w14:textId="4C843776" w:rsidR="00C24A5C" w:rsidRPr="00D73158" w:rsidRDefault="00C24A5C" w:rsidP="00C24A5C">
      <w:pPr>
        <w:spacing w:before="100" w:beforeAutospacing="1" w:after="0"/>
        <w:jc w:val="both"/>
        <w:rPr>
          <w:rFonts w:ascii="Arial" w:hAnsi="Arial" w:cs="Arial"/>
          <w:b/>
          <w:bCs/>
        </w:rPr>
      </w:pPr>
      <w:r w:rsidRPr="00D73158">
        <w:rPr>
          <w:rFonts w:ascii="Arial" w:hAnsi="Arial" w:cs="Arial"/>
          <w:b/>
          <w:bCs/>
        </w:rPr>
        <w:t>DISCLAIMER (ARTIFICIAL INTELLIGENCE)</w:t>
      </w:r>
    </w:p>
    <w:p w14:paraId="5B049233" w14:textId="24BA1462" w:rsidR="00C24A5C" w:rsidRPr="00D73158" w:rsidRDefault="00C24A5C" w:rsidP="00C24A5C">
      <w:pPr>
        <w:spacing w:before="100" w:beforeAutospacing="1" w:after="0"/>
        <w:jc w:val="both"/>
        <w:rPr>
          <w:rFonts w:ascii="Arial" w:hAnsi="Arial" w:cs="Arial"/>
          <w:b/>
          <w:bCs/>
          <w:sz w:val="20"/>
          <w:szCs w:val="20"/>
        </w:rPr>
      </w:pPr>
      <w:r w:rsidRPr="00D73158">
        <w:rPr>
          <w:rFonts w:ascii="Arial" w:hAnsi="Arial" w:cs="Arial"/>
          <w:sz w:val="20"/>
          <w:szCs w:val="20"/>
        </w:rPr>
        <w:t>Author(s) hereby declare that NO generative AI technologies such as Large Language Models (ChatGPT, COPILOT, etc) and text-to-image generators have been used during writing or editing of this manuscript.</w:t>
      </w:r>
    </w:p>
    <w:p w14:paraId="7621C526" w14:textId="2F6EA09C" w:rsidR="002459AE" w:rsidRPr="00D73158" w:rsidRDefault="002459AE" w:rsidP="00C24A5C">
      <w:pPr>
        <w:spacing w:before="100" w:beforeAutospacing="1" w:after="0"/>
        <w:jc w:val="both"/>
        <w:rPr>
          <w:rFonts w:ascii="Arial" w:hAnsi="Arial" w:cs="Arial"/>
          <w:sz w:val="20"/>
          <w:szCs w:val="20"/>
        </w:rPr>
      </w:pPr>
    </w:p>
    <w:p w14:paraId="64AF0E1F" w14:textId="77777777" w:rsidR="00D22E6E" w:rsidRDefault="00D22E6E" w:rsidP="002459AE">
      <w:pPr>
        <w:jc w:val="both"/>
        <w:rPr>
          <w:rFonts w:ascii="Arial" w:hAnsi="Arial" w:cs="Arial"/>
          <w:b/>
          <w:bCs/>
        </w:rPr>
      </w:pPr>
    </w:p>
    <w:p w14:paraId="47DD935A" w14:textId="77777777" w:rsidR="002459AE" w:rsidRPr="00A717A9" w:rsidRDefault="002459AE" w:rsidP="002459AE">
      <w:pPr>
        <w:spacing w:before="240" w:after="0" w:line="276" w:lineRule="auto"/>
        <w:jc w:val="both"/>
        <w:rPr>
          <w:rStyle w:val="anchor-text"/>
          <w:rFonts w:ascii="Arial" w:hAnsi="Arial" w:cs="Arial"/>
          <w:b/>
          <w:bCs/>
        </w:rPr>
      </w:pPr>
      <w:bookmarkStart w:id="2" w:name="_GoBack"/>
      <w:bookmarkEnd w:id="2"/>
      <w:r w:rsidRPr="00A717A9">
        <w:rPr>
          <w:rFonts w:ascii="Arial" w:hAnsi="Arial" w:cs="Arial"/>
          <w:b/>
          <w:bCs/>
        </w:rPr>
        <w:lastRenderedPageBreak/>
        <w:t>REFERENCES</w:t>
      </w:r>
    </w:p>
    <w:p w14:paraId="2ECF696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Ahemen, T., Abu A.H. and Gbor V. (2013). Haematological and serum biochemical parameters of rabbits fed varying dietary levels of water spinach (Ipomoea aquatica) leaf meal. Advances in Applied Science Research, 4 (2) : 370-373.</w:t>
      </w:r>
    </w:p>
    <w:p w14:paraId="660BA88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684E0708"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Al-Hussani, H.A., Al-Tameemi Z.S., Al-Zubaidi B.A., Oraibi A.I., Naji F.A., Kilani S. (2023). Pharmacological properties of spirulina species: hepatoprotective, antioxidant and anticancer effects. Pharmacia, 71(4): 670 – 678. https://doi.org/10.31925/farmacia.2023.4.2</w:t>
      </w:r>
    </w:p>
    <w:p w14:paraId="1470A7A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40DBB0A4"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Atchadé, G.S.T., Mensah S.E.P., Houndonougbo M.F.J., Attakpa S.E. (2019). Serum biochemical parameters of rabbits (Oryctolagus cuniculus Linnaeus, 1758) fed with diets based on West African food resources: A bibliographic synthesis. Journal of Applied Biosciences, 138: 14060 - 14071. DOI: 10.4314/jab.v138i1.6</w:t>
      </w:r>
    </w:p>
    <w:p w14:paraId="471465A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748CD55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Barry, M., Ouedraogo M., Sourabie S., Guissou I. (2015). Therapeutic interest of spirulina in humans: a general review. International Journal of Biological and Chemical Sciences, 8(6), 2740–2749. https://doi.org/10.4314/ijbcs.v8i6.33</w:t>
      </w:r>
    </w:p>
    <w:p w14:paraId="59E064D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08A1D1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Cai, B., Zhao X., Luo L., Wan P., Chen H., Pan J. (2022). Structural characterization, and in vitro immunostimulatory and antitumor activity of an acid polysaccharide from Spirulina platensis,196: 46-53. DOI : https://doi.org/10.1016/j.ijbiomac.2021.12.062</w:t>
      </w:r>
    </w:p>
    <w:p w14:paraId="1D8A0A84"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53C22EA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Directive 2010/63/EU of the European Parliament and of the Council concerning the protection of animals used for scientific purposes. (2025). Official Journal of the European Union: L276/33-79. L_2010276FR.01003301.xml - EUR-Lex</w:t>
      </w:r>
    </w:p>
    <w:p w14:paraId="5B84F8E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74D011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Djyh, B.N. (2003). Study of the evolution of some biotolerance marker serum parameters of three phytomedicines. 3rd cycle thesis, UFR, Biosciences, Cocody University-Abidjan, 144 p.</w:t>
      </w:r>
    </w:p>
    <w:p w14:paraId="002FCD64"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44E7165F"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Eastham, R.D. (1978). Abbregé de constantes biologiques, Edition Masson, Paris, France, 248 p. https://www.livrenpoche.com/products/livre-abrege-de-constantes-biologiques?srsltid=AfmBOor4cDwWHC53EHOrd55r6r6hZFZCIu3wzVjnJ9J-_EfbyfyJJGcY</w:t>
      </w:r>
    </w:p>
    <w:p w14:paraId="7052185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87BF9E7"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Fofana, S. (2005). Biochemical exploration on the monogenic power of three plants in Côte d'Ivoire: Alstonia boonei (Apocynaceae), Mitragyna ciliata (Rubiaceae) and Ter minalia catappa (Combretaceae). Doctoral Thesis, Faculty of Medicine of Pharmacy and Dentistry, University of Bamako, 102 p.</w:t>
      </w:r>
    </w:p>
    <w:p w14:paraId="672ECCFC"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https://www.bibliosante.ml/handle/123456789/6813</w:t>
      </w:r>
    </w:p>
    <w:p w14:paraId="097AD6FC"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4896498E"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Founzégué, A.C., Coulibaly A., N’guessan J.D., Koffi G.K., Djaman A.J., Guédé-Guina F. (2007). Study of serum biochemical parameters: the case of rabbits (New Zealand - cunistar) of Côte d'Ivoire. Sciences &amp; Nature, 4(1): 37– 43.</w:t>
      </w:r>
    </w:p>
    <w:p w14:paraId="4890956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https://www.researchgate.net/publication/268982941</w:t>
      </w:r>
    </w:p>
    <w:p w14:paraId="6DC0F2A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E28CC47"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Herrera, J.L. (1993). Abnormal liver enzyme levels. the spectrum of causes. Postgraduate Medicine, 93(2): 113-116. DOI : 10.1080/00325481.1993.11701602.</w:t>
      </w:r>
    </w:p>
    <w:p w14:paraId="1E3185D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6CE8CFA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Hossain M.I., Sachi S., Islam P., Khatun P., Rafiq K., Islam M.Z., Miyamoto A. (2025). Hepatoprotective, anti-inflammatory, and wound healing effects of spirulina in rats. Journal of Advanced Veterinary Animal Research, 12(1):303-311. DOI : 10.5455/javar.2025.l897</w:t>
      </w:r>
    </w:p>
    <w:p w14:paraId="3A7393EF"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7EFF164E"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lastRenderedPageBreak/>
        <w:t>Huang, J.M., Bai S.M., Hu Z.X., Yang C.L., Zhu D.B., Shi J.P. (2003). Effects of Spirulina on serum liplids, erythrocyte membrane fluidity and vascular endothelial cells in tail-suspended rats. Space Medicine and Medical Engineering, 16 (3): 184 -186. PMID: 12934612</w:t>
      </w:r>
    </w:p>
    <w:p w14:paraId="1B07B06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107929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Jasiewicz, M., Siedlaczek, M., Kasprzak, M., Gorog, D.A., Jilma, B., Siller-Matula, J., Obońska, K., Dobosiewicz, R., Pstrągowski, K., and Kubica, J. (2023). Elevated serum transaminases in patients with acute coronary syndromes: Do we need a revision of exclusion criteria for clinical trials? Cardiology Journal, 30(5):747-752. doi: 10.5603/CJ.a2021.0081. PMID: 34355781; PMCID: PMC10635717.</w:t>
      </w:r>
    </w:p>
    <w:p w14:paraId="6A8ED07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DOI : 10.5603/CJ.a2021.0081</w:t>
      </w:r>
    </w:p>
    <w:p w14:paraId="03E1495E"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74C85B95"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Kambou, S.P., Bléyéré M.N., Kolia K.I., Cissé-Massara, Tiahou G.G. (2018). Nutritional Value of Spirulina platensis (Oscillatoriaceae), an Algae Produced and Consumed in Côte d’Ivoire. EC Nutrition, 13(8) : 530-539. ECNU-13-00483.pdf.</w:t>
      </w:r>
    </w:p>
    <w:p w14:paraId="456E6B6C"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381BF7A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Kambou, S.P., Bléyéré N.M., Attéméné D.S.D., Tiahou G.G., Dembélé A., Sess E.D. (2015). Antianaemic effect of spirulina in rabbits (Oryctolagus cuniculus), a made and used food supplement in Côte d’Ivoire. Scholars. Academic Journal of Biosciences, 3(9): 725-732. DOI: 10.36347/sajb.2015.v03i09.001</w:t>
      </w:r>
    </w:p>
    <w:p w14:paraId="23F8D7A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C76D40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 xml:space="preserve">Kanga Y., Ouattara H., Ambe A.S.A., Zirihi G.N. (2025). Evaluation of the hepatoprotective effect </w:t>
      </w:r>
    </w:p>
    <w:p w14:paraId="15B1C626"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of the aqueous extract of the rhizomes of Cochlospermum planchonii Hook. F (Cochlospermaceae). International Journal of Biological and Chemical Sciences, 19(4), 1361–1376. https://doi.org/10.4314/ijbcs.v19i4.4</w:t>
      </w:r>
    </w:p>
    <w:p w14:paraId="600B67F6"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30A01F2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Kew M.C. (2000). Serum aminotransferase concentration as evidence of hepatocellular damage. Lancet, 19: 355(9204) : 591-592. DOI : 10.1016/S0140-6736(99)00219-6.</w:t>
      </w:r>
    </w:p>
    <w:p w14:paraId="09D7423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32CD40ED" w14:textId="7D3AA37B"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Koníčková R., Vaňková K., Vaníková J., Váňová K., Muchová L., Subhanová I., Zadinova M., Zelenka J., Dvořák A., Kolář M., Strnad H., Rimpelová S., Ruml T., J Wong R., Vítek R. (2014). Anti-cancer effects of blue-green alga Spirulina plate</w:t>
      </w:r>
      <w:r w:rsidRPr="00385232">
        <w:t xml:space="preserve"> </w:t>
      </w:r>
      <w:r w:rsidRPr="00385232">
        <w:rPr>
          <w:rFonts w:ascii="Arial" w:hAnsi="Arial" w:cs="Arial"/>
          <w:sz w:val="20"/>
          <w:szCs w:val="20"/>
        </w:rPr>
        <w:t>nsis, a natural source of bilirubin-like tetrapyrrolic compounds. Annals of Hepatology. 13(2):273-83. PMID: 24552870.</w:t>
      </w:r>
    </w:p>
    <w:p w14:paraId="0740849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512C3D9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Marjanović B., Benković M.², Jurina T., Sokač Cvetnić T., Valinger D., Gajdoš J., Jurinjak A. (2024). Bioactive Compounds from Spirulina spp.—Nutritional Value, Extraction, and Application in Food Industry. Separations, 11(9), 257.</w:t>
      </w:r>
    </w:p>
    <w:p w14:paraId="2942EF45"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DOI: https://doi.org/10.3390/separations11090257</w:t>
      </w:r>
    </w:p>
    <w:p w14:paraId="07E1ECC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014474E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Matha M. (2024). Spirulina: Nutritional properties, therapeutic applications, adverse effects and health risks. Pharmaceutical Sciences Thesis. 122 p.</w:t>
      </w:r>
    </w:p>
    <w:p w14:paraId="3A4615D1"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https://dumas.ccsd.cnrs.fr/dumas-04989929v1</w:t>
      </w:r>
    </w:p>
    <w:p w14:paraId="2DBFC07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3047ED8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Ndrepepa G. Kastrat A. (2016). Gamma-glutamyl transferase and cardiovascular disease. Annals of Translational Medicine, 4(24): 481. DOI: 10.21037/atm.2016.12.27</w:t>
      </w:r>
    </w:p>
    <w:p w14:paraId="5270FCE8"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53A3437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Nguedia G. Miégoué E., Tendonkeng F.C., Sawa C, Ntsafack P, Djoumessi FGT, Tatsinkou SA, Pamo ET (2019). Production performance of guinea pigs (&lt;i&gt;Cavia porcellus&lt;/i&gt;) according to the level of spirulina in the diet in the West Cameroon region. International Journal of Biological and Chemical Sciences, 13(3), 1245–1260. https://doi.org/10.4314/ijbcs.v13i3</w:t>
      </w:r>
    </w:p>
    <w:p w14:paraId="395F4D3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822514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OECD. 2025. OECD Guidelines for the Testing of Chemicals, Section 4. OECD, https://www.oecd.org/en/publications/serials/oecd-guidelines-for-the-testing-of-chemicals-section-4_g1gha298.html</w:t>
      </w:r>
    </w:p>
    <w:p w14:paraId="77942ABD"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0A3885B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lastRenderedPageBreak/>
        <w:t>Ouedraogo H, Kouanda S, Bationo F, Doulougou B, Ouedraogo/Nikiema L., Lanou H, Tiendrebeogo S, Konseimbo A, Liestman B, Sipore J, Nikiema J, Sondo B. 2013. Effects of spirulina supplementation on selected anthropometric, biochemical, and hematological parameters of HIV-infected adults in Ouagadougou, Burkina Faso. International Journal of Biological and Chemical Sciences, 7(2), 607–617. https://doi.org/10.4314/ijbcs.v7i2.17</w:t>
      </w:r>
    </w:p>
    <w:p w14:paraId="356F0E28"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007EE95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Pamukcu T, Yarim GF, Kabakci N, Yarim M, Duru Ö. 2004. Experimental listeriosis in rabbits: Biochemical changes in serum and cerebrospinal fluid. Journal of Veterinary Medicine, 156 (5): 253-258.</w:t>
      </w:r>
    </w:p>
    <w:p w14:paraId="1FCAECD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46ED21C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Pereira AG, Otero P, Echave J, Carreira-Casais A, Chamorro F, Collazo N, Jaboui A, Lourenço</w:t>
      </w:r>
    </w:p>
    <w:p w14:paraId="1236296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Lopes C, Simal-Gandara J, Prieto MA. 2021. Xanthophylls from the Sea: Algae as Source of Bioactive Carotenoids. Marine Drugs, 19(4):188. doi:10.3390/md19040188. PMID: 33801636; PMCID: PMC8067268.</w:t>
      </w:r>
    </w:p>
    <w:p w14:paraId="42DE01B8"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59F4D26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2022. Effect of Spirulina (Formerly Arthrospira) Maxima against Ethanol-Induced Damage in Rat Liver. Applied Sciences, 12(17): 8626. https://doi.org/10.3390/app12178626</w:t>
      </w:r>
    </w:p>
    <w:p w14:paraId="2037813F"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0C661599"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Ramírez-Rodrigues MM, Estrada-Beristain C, Metri-Ojeda J, Pérez-Alva A, Baigts-Allende DK. 2021. Spirulina platensis Protein as Sustainable Ingredient for Nutritional Food Products Development. Sustainability, 13(12), 6849. https://doi.org/10.3390/su13126849.</w:t>
      </w:r>
    </w:p>
    <w:p w14:paraId="43573B8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0493F66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Saihia A. 2014. The effect of ethanol on hematological, biochemical and reproductive parameters in the male rabbit Oryctolagus Cuniculus. Doctoral Thesis in Reproduction and Development, Specialty: Animal and Environmental Biology. Badji-Mokhtar-Annaba University, Algeria, 125 p. http://dx.doi.org/10.13140/RG.2.2.24694.20801</w:t>
      </w:r>
    </w:p>
    <w:p w14:paraId="3B5F812A"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59EAFC40"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Sciacqua A, Tripepi G, Perticone M, Cassano V, Fiorentino TV, Pititto GN, Maio R, Miceli S, Andreozzi F, Sesti G, Perticone F. 2020. Alkaline phosphatase affects renal function in never-treated hypertensive patients: effect modification by age. Sci Rep.10(1):9847. doi:10.1038/s41598-020-66911-z. PMID: 32555235; PMCID: PMC7299930.</w:t>
      </w:r>
    </w:p>
    <w:p w14:paraId="26DC14D8"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64186407"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Senila L, Kovacs E, Roman C. 2025. Chemical Characterization, Lipid Profile, and Volatile Compounds in Chlorella sp. and Spirulina platensis: A Promising Feedstock for Various Applications. Molecules, 30(7):1499. https://doi.org/10.3390/molecules30071499</w:t>
      </w:r>
    </w:p>
    <w:p w14:paraId="16C25E47"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39A77554"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Shekharam KM, Venkataraman LV, Salimath PV. 1987. Carbohydrate composition and characterization of two unusual sugars from the blue green alga, Spirulina Platensis. Phytochemistry, 26: 2267-2269. https://doi.org/10.1016/S0031-9422(00)84698-1</w:t>
      </w:r>
    </w:p>
    <w:p w14:paraId="684CDF72"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Vieira VV, Benemann J, Vonshak A, Beley A, Ras M, Unamunzaga C, Cadoret JP, Rizzo A. 2025. Spirulina in the 21st century: Five reasons for success in Europe. Journal of Applied Phycology.</w:t>
      </w:r>
    </w:p>
    <w:p w14:paraId="682500A3"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DOI: https://doi.org/10.1007/s10811-025-03536-7</w:t>
      </w:r>
    </w:p>
    <w:p w14:paraId="6E966074"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p>
    <w:p w14:paraId="19FF29EB" w14:textId="77777777" w:rsidR="00385232" w:rsidRPr="00385232" w:rsidRDefault="00385232" w:rsidP="00385232">
      <w:pPr>
        <w:autoSpaceDE w:val="0"/>
        <w:autoSpaceDN w:val="0"/>
        <w:adjustRightInd w:val="0"/>
        <w:spacing w:after="0" w:line="276" w:lineRule="auto"/>
        <w:jc w:val="both"/>
        <w:rPr>
          <w:rFonts w:ascii="Arial" w:hAnsi="Arial" w:cs="Arial"/>
          <w:sz w:val="20"/>
          <w:szCs w:val="20"/>
        </w:rPr>
      </w:pPr>
      <w:r w:rsidRPr="00385232">
        <w:rPr>
          <w:rFonts w:ascii="Arial" w:hAnsi="Arial" w:cs="Arial"/>
          <w:sz w:val="20"/>
          <w:szCs w:val="20"/>
        </w:rPr>
        <w:t>Wu LC, Ho JA, Shieh MC, Lu IW. 2005. Antioxidant and anti-proliferative activities of Spirulina and Chorella water extracts. Journal of Agricultural and Food Chemistry, 53 (10): 4207-4212.</w:t>
      </w:r>
    </w:p>
    <w:p w14:paraId="2F56EC8D" w14:textId="6CF7E5E0" w:rsidR="00692039" w:rsidRPr="00D73158" w:rsidRDefault="00385232" w:rsidP="00385232">
      <w:pPr>
        <w:autoSpaceDE w:val="0"/>
        <w:autoSpaceDN w:val="0"/>
        <w:adjustRightInd w:val="0"/>
        <w:spacing w:after="0" w:line="276" w:lineRule="auto"/>
        <w:jc w:val="both"/>
        <w:rPr>
          <w:rFonts w:ascii="Arial" w:hAnsi="Arial" w:cs="Arial"/>
          <w:color w:val="0000FF"/>
          <w:sz w:val="20"/>
          <w:szCs w:val="20"/>
          <w:u w:val="single"/>
        </w:rPr>
      </w:pPr>
      <w:r w:rsidRPr="00385232">
        <w:rPr>
          <w:rFonts w:ascii="Arial" w:hAnsi="Arial" w:cs="Arial"/>
          <w:sz w:val="20"/>
          <w:szCs w:val="20"/>
        </w:rPr>
        <w:t>DOI: http://dx.doi.org/10.1021/jf0479517</w:t>
      </w:r>
    </w:p>
    <w:sectPr w:rsidR="00692039" w:rsidRPr="00D7315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18215" w14:textId="77777777" w:rsidR="0075652B" w:rsidRDefault="0075652B" w:rsidP="00546DF4">
      <w:pPr>
        <w:spacing w:after="0" w:line="240" w:lineRule="auto"/>
      </w:pPr>
      <w:r>
        <w:separator/>
      </w:r>
    </w:p>
  </w:endnote>
  <w:endnote w:type="continuationSeparator" w:id="0">
    <w:p w14:paraId="66FDA9A3" w14:textId="77777777" w:rsidR="0075652B" w:rsidRDefault="0075652B" w:rsidP="00546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2E8C" w14:textId="77777777" w:rsidR="00546DF4" w:rsidRDefault="00546D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8347" w14:textId="77777777" w:rsidR="00546DF4" w:rsidRDefault="00546D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0E66" w14:textId="77777777" w:rsidR="00546DF4" w:rsidRDefault="00546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FAC0D" w14:textId="77777777" w:rsidR="0075652B" w:rsidRDefault="0075652B" w:rsidP="00546DF4">
      <w:pPr>
        <w:spacing w:after="0" w:line="240" w:lineRule="auto"/>
      </w:pPr>
      <w:r>
        <w:separator/>
      </w:r>
    </w:p>
  </w:footnote>
  <w:footnote w:type="continuationSeparator" w:id="0">
    <w:p w14:paraId="2E7AE950" w14:textId="77777777" w:rsidR="0075652B" w:rsidRDefault="0075652B" w:rsidP="00546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24F1" w14:textId="64FE0A5B" w:rsidR="00546DF4" w:rsidRDefault="00546DF4">
    <w:pPr>
      <w:pStyle w:val="Header"/>
    </w:pPr>
    <w:r>
      <w:rPr>
        <w:noProof/>
      </w:rPr>
      <w:pict w14:anchorId="7F6BC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1454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90E0" w14:textId="11179C84" w:rsidR="00546DF4" w:rsidRDefault="00546DF4">
    <w:pPr>
      <w:pStyle w:val="Header"/>
    </w:pPr>
    <w:r>
      <w:rPr>
        <w:noProof/>
      </w:rPr>
      <w:pict w14:anchorId="171EB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1454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8C49" w14:textId="3FF76F0C" w:rsidR="00546DF4" w:rsidRDefault="00546DF4">
    <w:pPr>
      <w:pStyle w:val="Header"/>
    </w:pPr>
    <w:r>
      <w:rPr>
        <w:noProof/>
      </w:rPr>
      <w:pict w14:anchorId="30DA4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1454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31AAA"/>
    <w:multiLevelType w:val="multilevel"/>
    <w:tmpl w:val="2EF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7D738F"/>
    <w:multiLevelType w:val="multilevel"/>
    <w:tmpl w:val="13DA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622BE6"/>
    <w:multiLevelType w:val="multilevel"/>
    <w:tmpl w:val="8382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86"/>
    <w:rsid w:val="000110D6"/>
    <w:rsid w:val="000838A2"/>
    <w:rsid w:val="000A7E86"/>
    <w:rsid w:val="000D7E0B"/>
    <w:rsid w:val="00120730"/>
    <w:rsid w:val="0013633B"/>
    <w:rsid w:val="00185286"/>
    <w:rsid w:val="002345B3"/>
    <w:rsid w:val="002459AE"/>
    <w:rsid w:val="00307E05"/>
    <w:rsid w:val="00385232"/>
    <w:rsid w:val="0047324E"/>
    <w:rsid w:val="00511927"/>
    <w:rsid w:val="00546DF4"/>
    <w:rsid w:val="005C52A1"/>
    <w:rsid w:val="00607E1D"/>
    <w:rsid w:val="00692039"/>
    <w:rsid w:val="006B472C"/>
    <w:rsid w:val="0072082C"/>
    <w:rsid w:val="00730852"/>
    <w:rsid w:val="007308E1"/>
    <w:rsid w:val="0075652B"/>
    <w:rsid w:val="007960AD"/>
    <w:rsid w:val="007A0CAB"/>
    <w:rsid w:val="007D0E1C"/>
    <w:rsid w:val="008F7D66"/>
    <w:rsid w:val="0098493C"/>
    <w:rsid w:val="009911A7"/>
    <w:rsid w:val="009F6683"/>
    <w:rsid w:val="00A717A9"/>
    <w:rsid w:val="00A75846"/>
    <w:rsid w:val="00AA2797"/>
    <w:rsid w:val="00AA43BE"/>
    <w:rsid w:val="00AC5D91"/>
    <w:rsid w:val="00B41F33"/>
    <w:rsid w:val="00BA3FB2"/>
    <w:rsid w:val="00BC0C06"/>
    <w:rsid w:val="00BE415B"/>
    <w:rsid w:val="00BE5E61"/>
    <w:rsid w:val="00C14670"/>
    <w:rsid w:val="00C24A5C"/>
    <w:rsid w:val="00CE17FE"/>
    <w:rsid w:val="00D22E6E"/>
    <w:rsid w:val="00D67F08"/>
    <w:rsid w:val="00D73158"/>
    <w:rsid w:val="00D82CD8"/>
    <w:rsid w:val="00E13AAB"/>
    <w:rsid w:val="00E37DB7"/>
    <w:rsid w:val="00EB049C"/>
    <w:rsid w:val="00ED5C3A"/>
    <w:rsid w:val="00EE3F59"/>
    <w:rsid w:val="00F53337"/>
    <w:rsid w:val="00F8620B"/>
    <w:rsid w:val="00FC15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8092A0"/>
  <w15:chartTrackingRefBased/>
  <w15:docId w15:val="{EE9E162D-2CF3-4315-9ECA-A73B7A25C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2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52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52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52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52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5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5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5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5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2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52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52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52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52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5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5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5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5286"/>
    <w:rPr>
      <w:rFonts w:eastAsiaTheme="majorEastAsia" w:cstheme="majorBidi"/>
      <w:color w:val="272727" w:themeColor="text1" w:themeTint="D8"/>
    </w:rPr>
  </w:style>
  <w:style w:type="paragraph" w:styleId="Title">
    <w:name w:val="Title"/>
    <w:basedOn w:val="Normal"/>
    <w:next w:val="Normal"/>
    <w:link w:val="TitleChar"/>
    <w:uiPriority w:val="10"/>
    <w:qFormat/>
    <w:rsid w:val="00185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5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5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5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286"/>
    <w:pPr>
      <w:spacing w:before="160"/>
      <w:jc w:val="center"/>
    </w:pPr>
    <w:rPr>
      <w:i/>
      <w:iCs/>
      <w:color w:val="404040" w:themeColor="text1" w:themeTint="BF"/>
    </w:rPr>
  </w:style>
  <w:style w:type="character" w:customStyle="1" w:styleId="QuoteChar">
    <w:name w:val="Quote Char"/>
    <w:basedOn w:val="DefaultParagraphFont"/>
    <w:link w:val="Quote"/>
    <w:uiPriority w:val="29"/>
    <w:rsid w:val="00185286"/>
    <w:rPr>
      <w:i/>
      <w:iCs/>
      <w:color w:val="404040" w:themeColor="text1" w:themeTint="BF"/>
    </w:rPr>
  </w:style>
  <w:style w:type="paragraph" w:styleId="ListParagraph">
    <w:name w:val="List Paragraph"/>
    <w:basedOn w:val="Normal"/>
    <w:uiPriority w:val="34"/>
    <w:qFormat/>
    <w:rsid w:val="00185286"/>
    <w:pPr>
      <w:ind w:left="720"/>
      <w:contextualSpacing/>
    </w:pPr>
  </w:style>
  <w:style w:type="character" w:styleId="IntenseEmphasis">
    <w:name w:val="Intense Emphasis"/>
    <w:basedOn w:val="DefaultParagraphFont"/>
    <w:uiPriority w:val="21"/>
    <w:qFormat/>
    <w:rsid w:val="00185286"/>
    <w:rPr>
      <w:i/>
      <w:iCs/>
      <w:color w:val="2F5496" w:themeColor="accent1" w:themeShade="BF"/>
    </w:rPr>
  </w:style>
  <w:style w:type="paragraph" w:styleId="IntenseQuote">
    <w:name w:val="Intense Quote"/>
    <w:basedOn w:val="Normal"/>
    <w:next w:val="Normal"/>
    <w:link w:val="IntenseQuoteChar"/>
    <w:uiPriority w:val="30"/>
    <w:qFormat/>
    <w:rsid w:val="001852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5286"/>
    <w:rPr>
      <w:i/>
      <w:iCs/>
      <w:color w:val="2F5496" w:themeColor="accent1" w:themeShade="BF"/>
    </w:rPr>
  </w:style>
  <w:style w:type="character" w:styleId="IntenseReference">
    <w:name w:val="Intense Reference"/>
    <w:basedOn w:val="DefaultParagraphFont"/>
    <w:uiPriority w:val="32"/>
    <w:qFormat/>
    <w:rsid w:val="00185286"/>
    <w:rPr>
      <w:b/>
      <w:bCs/>
      <w:smallCaps/>
      <w:color w:val="2F5496" w:themeColor="accent1" w:themeShade="BF"/>
      <w:spacing w:val="5"/>
    </w:rPr>
  </w:style>
  <w:style w:type="character" w:styleId="Hyperlink">
    <w:name w:val="Hyperlink"/>
    <w:basedOn w:val="DefaultParagraphFont"/>
    <w:uiPriority w:val="99"/>
    <w:unhideWhenUsed/>
    <w:qFormat/>
    <w:rsid w:val="002459AE"/>
    <w:rPr>
      <w:color w:val="0000FF"/>
      <w:u w:val="single"/>
    </w:rPr>
  </w:style>
  <w:style w:type="character" w:styleId="Emphasis">
    <w:name w:val="Emphasis"/>
    <w:basedOn w:val="DefaultParagraphFont"/>
    <w:uiPriority w:val="20"/>
    <w:qFormat/>
    <w:rsid w:val="002459AE"/>
    <w:rPr>
      <w:i/>
      <w:iCs/>
    </w:rPr>
  </w:style>
  <w:style w:type="character" w:customStyle="1" w:styleId="anchor-text">
    <w:name w:val="anchor-text"/>
    <w:basedOn w:val="DefaultParagraphFont"/>
    <w:rsid w:val="002459AE"/>
  </w:style>
  <w:style w:type="character" w:customStyle="1" w:styleId="react-xocs-alternative-link">
    <w:name w:val="react-xocs-alternative-link"/>
    <w:basedOn w:val="DefaultParagraphFont"/>
    <w:rsid w:val="002459AE"/>
  </w:style>
  <w:style w:type="character" w:customStyle="1" w:styleId="text">
    <w:name w:val="text"/>
    <w:basedOn w:val="DefaultParagraphFont"/>
    <w:rsid w:val="002459AE"/>
  </w:style>
  <w:style w:type="character" w:customStyle="1" w:styleId="author-ref">
    <w:name w:val="author-ref"/>
    <w:basedOn w:val="DefaultParagraphFont"/>
    <w:rsid w:val="002459AE"/>
  </w:style>
  <w:style w:type="character" w:customStyle="1" w:styleId="title-text">
    <w:name w:val="title-text"/>
    <w:basedOn w:val="DefaultParagraphFont"/>
    <w:rsid w:val="002459AE"/>
  </w:style>
  <w:style w:type="table" w:customStyle="1" w:styleId="Tableausimple41">
    <w:name w:val="Tableau simple 41"/>
    <w:basedOn w:val="TableNormal"/>
    <w:uiPriority w:val="44"/>
    <w:rsid w:val="00E37DB7"/>
    <w:pPr>
      <w:spacing w:after="0" w:line="240" w:lineRule="auto"/>
    </w:pPr>
    <w:rPr>
      <w:rFonts w:eastAsia="SimSun"/>
      <w:kern w:val="0"/>
      <w:sz w:val="20"/>
      <w:szCs w:val="20"/>
      <w:lang w:eastAsia="fr-FR"/>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C5D91"/>
    <w:rPr>
      <w:color w:val="605E5C"/>
      <w:shd w:val="clear" w:color="auto" w:fill="E1DFDD"/>
    </w:rPr>
  </w:style>
  <w:style w:type="paragraph" w:styleId="Header">
    <w:name w:val="header"/>
    <w:basedOn w:val="Normal"/>
    <w:link w:val="HeaderChar"/>
    <w:uiPriority w:val="99"/>
    <w:unhideWhenUsed/>
    <w:rsid w:val="00546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DF4"/>
  </w:style>
  <w:style w:type="paragraph" w:styleId="Footer">
    <w:name w:val="footer"/>
    <w:basedOn w:val="Normal"/>
    <w:link w:val="FooterChar"/>
    <w:uiPriority w:val="99"/>
    <w:unhideWhenUsed/>
    <w:rsid w:val="00546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11</Pages>
  <Words>4171</Words>
  <Characters>23779</Characters>
  <Application>Microsoft Office Word</Application>
  <DocSecurity>0</DocSecurity>
  <Lines>198</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15</cp:revision>
  <dcterms:created xsi:type="dcterms:W3CDTF">2026-01-01T23:34:00Z</dcterms:created>
  <dcterms:modified xsi:type="dcterms:W3CDTF">2026-01-08T09:59:00Z</dcterms:modified>
</cp:coreProperties>
</file>