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D7397" w14:textId="77777777" w:rsidR="009D2F9D" w:rsidRDefault="009D2F9D" w:rsidP="001D40F6">
      <w:pPr>
        <w:spacing w:line="240" w:lineRule="auto"/>
        <w:jc w:val="right"/>
        <w:rPr>
          <w:rFonts w:ascii="Arial" w:hAnsi="Arial" w:cs="Arial"/>
          <w:b/>
          <w:bCs/>
          <w:color w:val="000000" w:themeColor="text1"/>
          <w:sz w:val="36"/>
          <w:szCs w:val="36"/>
        </w:rPr>
      </w:pPr>
      <w:bookmarkStart w:id="0" w:name="_Hlk212732219"/>
      <w:bookmarkEnd w:id="0"/>
      <w:r w:rsidRPr="009D2F9D">
        <w:rPr>
          <w:rFonts w:ascii="Arial" w:hAnsi="Arial" w:cs="Arial"/>
          <w:b/>
          <w:bCs/>
          <w:color w:val="000000" w:themeColor="text1"/>
          <w:sz w:val="36"/>
          <w:szCs w:val="36"/>
        </w:rPr>
        <w:t xml:space="preserve">Original Research Article </w:t>
      </w:r>
    </w:p>
    <w:p w14:paraId="2AFF32BE" w14:textId="3CC2E524" w:rsidR="001D40F6" w:rsidRPr="002E3FF2" w:rsidRDefault="001D40F6" w:rsidP="001D40F6">
      <w:pPr>
        <w:spacing w:line="240" w:lineRule="auto"/>
        <w:jc w:val="right"/>
        <w:rPr>
          <w:rFonts w:ascii="Arial" w:hAnsi="Arial" w:cs="Arial"/>
          <w:b/>
          <w:bCs/>
          <w:color w:val="000000" w:themeColor="text1"/>
          <w:sz w:val="36"/>
          <w:szCs w:val="36"/>
        </w:rPr>
      </w:pPr>
      <w:r w:rsidRPr="002E3FF2">
        <w:rPr>
          <w:rFonts w:ascii="Arial" w:hAnsi="Arial" w:cs="Arial"/>
          <w:b/>
          <w:bCs/>
          <w:color w:val="000000" w:themeColor="text1"/>
          <w:sz w:val="36"/>
          <w:szCs w:val="36"/>
        </w:rPr>
        <w:t xml:space="preserve">PHYTOCHEMICAL ANALYSIS AND DETERMINATION OF </w:t>
      </w:r>
      <w:bookmarkStart w:id="1" w:name="_Hlk218594032"/>
      <w:r w:rsidRPr="002E3FF2">
        <w:rPr>
          <w:rFonts w:ascii="Arial" w:hAnsi="Arial" w:cs="Arial"/>
          <w:b/>
          <w:bCs/>
          <w:color w:val="000000" w:themeColor="text1"/>
          <w:sz w:val="36"/>
          <w:szCs w:val="36"/>
        </w:rPr>
        <w:t xml:space="preserve">ANTI-OXIDANT AND ANTI-BACTERIAL EFFECTS OF </w:t>
      </w:r>
      <w:r w:rsidRPr="001D40F6">
        <w:rPr>
          <w:rFonts w:ascii="Arial" w:hAnsi="Arial" w:cs="Arial"/>
          <w:b/>
          <w:bCs/>
          <w:i/>
          <w:iCs/>
          <w:color w:val="000000" w:themeColor="text1"/>
          <w:sz w:val="36"/>
          <w:szCs w:val="36"/>
        </w:rPr>
        <w:t>MORINDA CITRIFOLIA</w:t>
      </w:r>
    </w:p>
    <w:bookmarkEnd w:id="1"/>
    <w:p w14:paraId="1B4A70BA" w14:textId="77777777" w:rsidR="001D40F6" w:rsidRPr="002E3FF2" w:rsidRDefault="001D40F6" w:rsidP="001D40F6">
      <w:pPr>
        <w:spacing w:line="240" w:lineRule="auto"/>
        <w:jc w:val="right"/>
        <w:rPr>
          <w:rFonts w:ascii="Arial" w:hAnsi="Arial" w:cs="Arial"/>
          <w:b/>
          <w:bCs/>
          <w:color w:val="000000" w:themeColor="text1"/>
        </w:rPr>
      </w:pPr>
    </w:p>
    <w:p w14:paraId="70B8E07E" w14:textId="77777777" w:rsidR="001D40F6" w:rsidRPr="002E3FF2" w:rsidRDefault="00E148AD" w:rsidP="00523C0C">
      <w:pPr>
        <w:spacing w:line="240" w:lineRule="auto"/>
        <w:jc w:val="right"/>
        <w:rPr>
          <w:rFonts w:ascii="Arial" w:hAnsi="Arial" w:cs="Arial"/>
          <w:i/>
          <w:iCs/>
          <w:color w:val="000000" w:themeColor="text1"/>
        </w:rPr>
      </w:pPr>
      <w:r>
        <w:rPr>
          <w:rFonts w:ascii="Arial" w:hAnsi="Arial" w:cs="Arial"/>
          <w:i/>
          <w:iCs/>
          <w:noProof/>
          <w:color w:val="000000" w:themeColor="text1"/>
        </w:rPr>
        <w:pict w14:anchorId="6341FE13">
          <v:line id="Straight Connector 10" o:spid="_x0000_s1027" style="position:absolute;left:0;text-align:left;flip:y;z-index:251660288;visibility:visible;mso-position-horizontal:right;mso-position-horizontal-relative:margin;mso-width-relative:margin;mso-height-relative:margin" from="2401.3pt,13.85pt" to="2850.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" strokecolor="black [3213]" strokeweight="1.5pt">
            <v:stroke joinstyle="miter"/>
            <w10:wrap anchorx="margin"/>
          </v:line>
        </w:pict>
      </w:r>
    </w:p>
    <w:p w14:paraId="7F89427F" w14:textId="77777777" w:rsidR="001D40F6" w:rsidRPr="002E3FF2" w:rsidRDefault="001D40F6" w:rsidP="001D40F6">
      <w:pPr>
        <w:spacing w:line="240" w:lineRule="auto"/>
        <w:jc w:val="right"/>
        <w:rPr>
          <w:rFonts w:ascii="Arial" w:hAnsi="Arial" w:cs="Arial"/>
          <w:i/>
          <w:iCs/>
          <w:color w:val="000000" w:themeColor="text1"/>
        </w:rPr>
      </w:pPr>
    </w:p>
    <w:p w14:paraId="4FC904BC" w14:textId="695BB904" w:rsidR="001D40F6" w:rsidRPr="002E3FF2" w:rsidRDefault="001D40F6" w:rsidP="001D40F6">
      <w:pPr>
        <w:spacing w:line="240" w:lineRule="auto"/>
        <w:jc w:val="left"/>
        <w:rPr>
          <w:rFonts w:ascii="Arial" w:hAnsi="Arial" w:cs="Arial"/>
          <w:b/>
          <w:bCs/>
          <w:color w:val="000000" w:themeColor="text1"/>
          <w:sz w:val="22"/>
          <w:szCs w:val="22"/>
        </w:rPr>
      </w:pPr>
      <w:r w:rsidRPr="002E3FF2">
        <w:rPr>
          <w:rFonts w:ascii="Arial" w:hAnsi="Arial" w:cs="Arial"/>
          <w:b/>
          <w:bCs/>
          <w:color w:val="000000" w:themeColor="text1"/>
          <w:sz w:val="22"/>
          <w:szCs w:val="22"/>
        </w:rPr>
        <w:t>ABSTRACT</w:t>
      </w:r>
    </w:p>
    <w:p w14:paraId="6DC79136" w14:textId="7ED5CB6E" w:rsidR="001D40F6" w:rsidRPr="002E3FF2" w:rsidRDefault="00E148AD" w:rsidP="001D40F6">
      <w:pPr>
        <w:spacing w:line="240" w:lineRule="auto"/>
        <w:jc w:val="center"/>
        <w:rPr>
          <w:rFonts w:ascii="Arial" w:hAnsi="Arial" w:cs="Arial"/>
          <w:i/>
          <w:iCs/>
          <w:color w:val="000000" w:themeColor="text1"/>
        </w:rPr>
      </w:pPr>
      <w:r>
        <w:rPr>
          <w:rFonts w:ascii="Arial" w:hAnsi="Arial" w:cs="Arial"/>
          <w:i/>
          <w:iCs/>
          <w:noProof/>
          <w:color w:val="000000" w:themeColor="text1"/>
        </w:rPr>
        <w:pict w14:anchorId="75BD01BB">
          <v:rect id="Rectangle 1" o:spid="_x0000_s1026" style="position:absolute;left:0;text-align:left;margin-left:-6.9pt;margin-top:15.7pt;width:494.6pt;height:328.6pt;z-index:251659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" filled="f" strokecolor="#030e13 [484]" strokeweight="1.5pt">
            <w10:wrap anchorx="margin"/>
          </v:rect>
        </w:pict>
      </w:r>
    </w:p>
    <w:p w14:paraId="1C1ABA8F" w14:textId="77777777" w:rsidR="001D40F6" w:rsidRPr="002E3FF2" w:rsidRDefault="001D40F6" w:rsidP="001D40F6">
      <w:pPr>
        <w:spacing w:line="240" w:lineRule="auto"/>
        <w:rPr>
          <w:rFonts w:ascii="Arial" w:hAnsi="Arial" w:cs="Arial"/>
          <w:color w:val="000000" w:themeColor="text1"/>
        </w:rPr>
      </w:pPr>
      <w:r w:rsidRPr="002E3FF2">
        <w:rPr>
          <w:rFonts w:ascii="Arial" w:hAnsi="Arial" w:cs="Arial"/>
          <w:b/>
          <w:bCs/>
          <w:color w:val="000000" w:themeColor="text1"/>
        </w:rPr>
        <w:t xml:space="preserve">  </w:t>
      </w:r>
      <w:proofErr w:type="spellStart"/>
      <w:proofErr w:type="gramStart"/>
      <w:r w:rsidRPr="002E3FF2">
        <w:rPr>
          <w:rFonts w:ascii="Arial" w:hAnsi="Arial" w:cs="Arial"/>
          <w:b/>
          <w:bCs/>
          <w:color w:val="000000" w:themeColor="text1"/>
        </w:rPr>
        <w:t>Background:</w:t>
      </w:r>
      <w:r w:rsidRPr="002E3FF2">
        <w:rPr>
          <w:rFonts w:ascii="Arial" w:hAnsi="Arial" w:cs="Arial"/>
          <w:i/>
          <w:iCs/>
          <w:color w:val="000000" w:themeColor="text1"/>
        </w:rPr>
        <w:t>Morindacitrifolia</w:t>
      </w:r>
      <w:proofErr w:type="spellEnd"/>
      <w:proofErr w:type="gramEnd"/>
      <w:r w:rsidRPr="002E3FF2">
        <w:rPr>
          <w:rFonts w:ascii="Arial" w:hAnsi="Arial" w:cs="Arial"/>
          <w:color w:val="000000" w:themeColor="text1"/>
        </w:rPr>
        <w:t xml:space="preserve"> (commonly known as Noni) is a tropical medicinal plant rich in       Phytochemicals such as flavonoids, alkaloids, tannins, and phenolic compounds. It exhibits strong antioxidant and antibacterial activities, making it valuable in traditional medicine and modern therapeutic research. Its bioactive compounds play a key role in promoting health and disease prevention.</w:t>
      </w:r>
    </w:p>
    <w:p w14:paraId="4873AFD4" w14:textId="77777777"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Objective:</w:t>
      </w:r>
      <w:r w:rsidRPr="002E3FF2">
        <w:rPr>
          <w:rFonts w:ascii="Arial" w:hAnsi="Arial" w:cs="Arial"/>
          <w:color w:val="000000" w:themeColor="text1"/>
        </w:rPr>
        <w:t xml:space="preserve"> This study focuses on the phytochemical profiling of </w:t>
      </w:r>
      <w:proofErr w:type="spellStart"/>
      <w:r w:rsidRPr="002E3FF2">
        <w:rPr>
          <w:rFonts w:ascii="Arial" w:hAnsi="Arial" w:cs="Arial"/>
          <w:i/>
          <w:iCs/>
          <w:color w:val="000000" w:themeColor="text1"/>
        </w:rPr>
        <w:t>Morindacitrifolia</w:t>
      </w:r>
      <w:proofErr w:type="spellEnd"/>
      <w:r w:rsidRPr="002E3FF2">
        <w:rPr>
          <w:rFonts w:ascii="Arial" w:hAnsi="Arial" w:cs="Arial"/>
          <w:color w:val="000000" w:themeColor="text1"/>
        </w:rPr>
        <w:t xml:space="preserve"> to identify its bioactive constituents. It further evaluates the antioxidant potential of the plant using standard assays and investigates its antibacterial activity against selected pathogens. </w:t>
      </w:r>
    </w:p>
    <w:p w14:paraId="192D347B" w14:textId="77777777"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Method</w:t>
      </w:r>
      <w:r w:rsidRPr="002E3FF2">
        <w:rPr>
          <w:rFonts w:ascii="Arial" w:hAnsi="Arial" w:cs="Arial"/>
          <w:color w:val="000000" w:themeColor="text1"/>
        </w:rPr>
        <w:t xml:space="preserve">: Fresh leaves of </w:t>
      </w:r>
      <w:proofErr w:type="spellStart"/>
      <w:r w:rsidRPr="002E3FF2">
        <w:rPr>
          <w:rFonts w:ascii="Arial" w:hAnsi="Arial" w:cs="Arial"/>
          <w:i/>
          <w:iCs/>
          <w:color w:val="000000" w:themeColor="text1"/>
        </w:rPr>
        <w:t>Morindacitrifolia</w:t>
      </w:r>
      <w:proofErr w:type="spellEnd"/>
      <w:r w:rsidRPr="002E3FF2">
        <w:rPr>
          <w:rFonts w:ascii="Arial" w:hAnsi="Arial" w:cs="Arial"/>
          <w:color w:val="000000" w:themeColor="text1"/>
        </w:rPr>
        <w:t xml:space="preserve"> were collected from Thiruvananthapuram, and the bioactive compounds were extracted using acetone. The test sample was subjected to phytochemical analysis in order to determine the physical and chemical properties of </w:t>
      </w:r>
      <w:r w:rsidRPr="001D40F6">
        <w:rPr>
          <w:rFonts w:ascii="Arial" w:hAnsi="Arial" w:cs="Arial"/>
          <w:i/>
          <w:iCs/>
          <w:color w:val="000000" w:themeColor="text1"/>
        </w:rPr>
        <w:t xml:space="preserve">M. </w:t>
      </w:r>
      <w:proofErr w:type="spellStart"/>
      <w:r w:rsidRPr="001D40F6">
        <w:rPr>
          <w:rFonts w:ascii="Arial" w:hAnsi="Arial" w:cs="Arial"/>
          <w:i/>
          <w:iCs/>
          <w:color w:val="000000" w:themeColor="text1"/>
        </w:rPr>
        <w:t>citrifolia</w:t>
      </w:r>
      <w:proofErr w:type="spellEnd"/>
      <w:r w:rsidRPr="002E3FF2">
        <w:rPr>
          <w:rFonts w:ascii="Arial" w:hAnsi="Arial" w:cs="Arial"/>
          <w:color w:val="000000" w:themeColor="text1"/>
        </w:rPr>
        <w:t xml:space="preserve">. The antimicrobial activity of </w:t>
      </w:r>
      <w:r w:rsidRPr="002E3FF2">
        <w:rPr>
          <w:rFonts w:ascii="Arial" w:hAnsi="Arial" w:cs="Arial"/>
          <w:i/>
          <w:iCs/>
          <w:color w:val="000000" w:themeColor="text1"/>
        </w:rPr>
        <w:t xml:space="preserve">M. </w:t>
      </w:r>
      <w:proofErr w:type="spellStart"/>
      <w:r w:rsidRPr="002E3FF2">
        <w:rPr>
          <w:rFonts w:ascii="Arial" w:hAnsi="Arial" w:cs="Arial"/>
          <w:i/>
          <w:iCs/>
          <w:color w:val="000000" w:themeColor="text1"/>
        </w:rPr>
        <w:t>citrifolia</w:t>
      </w:r>
      <w:proofErr w:type="spellEnd"/>
      <w:r w:rsidRPr="002E3FF2">
        <w:rPr>
          <w:rFonts w:ascii="Arial" w:hAnsi="Arial" w:cs="Arial"/>
          <w:color w:val="000000" w:themeColor="text1"/>
        </w:rPr>
        <w:t xml:space="preserve"> was assessed using the agar well diffusion method against </w:t>
      </w:r>
      <w:r w:rsidRPr="002E3FF2">
        <w:rPr>
          <w:rFonts w:ascii="Arial" w:hAnsi="Arial" w:cs="Arial"/>
          <w:i/>
          <w:iCs/>
          <w:color w:val="000000" w:themeColor="text1"/>
        </w:rPr>
        <w:t>Pseudomonas aeruginosa</w:t>
      </w:r>
      <w:r w:rsidRPr="002E3FF2">
        <w:rPr>
          <w:rFonts w:ascii="Arial" w:hAnsi="Arial" w:cs="Arial"/>
          <w:color w:val="000000" w:themeColor="text1"/>
        </w:rPr>
        <w:t xml:space="preserve"> and </w:t>
      </w:r>
      <w:r w:rsidRPr="002E3FF2">
        <w:rPr>
          <w:rFonts w:ascii="Arial" w:hAnsi="Arial" w:cs="Arial"/>
          <w:i/>
          <w:iCs/>
          <w:color w:val="000000" w:themeColor="text1"/>
        </w:rPr>
        <w:t>Salmonella typhi</w:t>
      </w:r>
      <w:r w:rsidRPr="002E3FF2">
        <w:rPr>
          <w:rFonts w:ascii="Arial" w:hAnsi="Arial" w:cs="Arial"/>
          <w:color w:val="000000" w:themeColor="text1"/>
        </w:rPr>
        <w:t>. Furthermore, the antioxidant potential of the plant was evaluated through the FRAP assay.</w:t>
      </w:r>
    </w:p>
    <w:p w14:paraId="76430BB3" w14:textId="77777777"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Result: </w:t>
      </w:r>
      <w:r w:rsidRPr="002E3FF2">
        <w:rPr>
          <w:rFonts w:ascii="Arial" w:hAnsi="Arial" w:cs="Arial"/>
          <w:color w:val="000000" w:themeColor="text1"/>
        </w:rPr>
        <w:t>The qualitative analysis confirmed the presence of phenols, alkaloids, and flavonoids, which are known for their therapeutic properties, while terpenoid were absent. The FRAP assay demonstrated a dose-dependent increase in anti-oxidant activity, indicating the extract’s potential as a natural anti-oxidant. Additionally, the anti-bacterial assay revealed significant inhibition of Pseudomonas and Salmonella, with the highest activity observed at 100µg/ml.</w:t>
      </w:r>
    </w:p>
    <w:p w14:paraId="0524DB00" w14:textId="77777777" w:rsidR="001D40F6" w:rsidRPr="002E3FF2" w:rsidRDefault="001D40F6" w:rsidP="001D40F6">
      <w:pPr>
        <w:tabs>
          <w:tab w:val="left" w:pos="984"/>
        </w:tabs>
        <w:spacing w:line="240" w:lineRule="auto"/>
        <w:rPr>
          <w:rFonts w:ascii="Arial" w:hAnsi="Arial" w:cs="Arial"/>
          <w:color w:val="000000" w:themeColor="text1"/>
        </w:rPr>
      </w:pPr>
      <w:r w:rsidRPr="002E3FF2">
        <w:rPr>
          <w:rFonts w:ascii="Arial" w:hAnsi="Arial" w:cs="Arial"/>
          <w:b/>
          <w:bCs/>
          <w:color w:val="000000" w:themeColor="text1"/>
        </w:rPr>
        <w:t xml:space="preserve">   Conclusion: </w:t>
      </w:r>
      <w:r w:rsidRPr="002E3FF2">
        <w:rPr>
          <w:rFonts w:ascii="Arial" w:hAnsi="Arial" w:cs="Arial"/>
          <w:color w:val="000000" w:themeColor="text1"/>
        </w:rPr>
        <w:t xml:space="preserve">The qualitative phytochemical analysis of </w:t>
      </w:r>
      <w:r w:rsidRPr="001D40F6">
        <w:rPr>
          <w:rFonts w:ascii="Arial" w:hAnsi="Arial" w:cs="Arial"/>
          <w:i/>
          <w:iCs/>
          <w:color w:val="000000" w:themeColor="text1"/>
        </w:rPr>
        <w:t xml:space="preserve">M. </w:t>
      </w:r>
      <w:proofErr w:type="spellStart"/>
      <w:r w:rsidRPr="001D40F6">
        <w:rPr>
          <w:rFonts w:ascii="Arial" w:hAnsi="Arial" w:cs="Arial"/>
          <w:i/>
          <w:iCs/>
          <w:color w:val="000000" w:themeColor="text1"/>
        </w:rPr>
        <w:t>citrifolia</w:t>
      </w:r>
      <w:proofErr w:type="spellEnd"/>
      <w:r w:rsidRPr="002E3FF2">
        <w:rPr>
          <w:rFonts w:ascii="Arial" w:hAnsi="Arial" w:cs="Arial"/>
          <w:color w:val="000000" w:themeColor="text1"/>
        </w:rPr>
        <w:t xml:space="preserve"> extract confirmed the presence of phenols, alkaloids, and flavonoids, while terpenoids were absent. These findings are consistent with previous studies that highlight the presence of bioactive compounds contributing to the plant’s pharmacological properties, including antioxidant and antimicrobial activities</w:t>
      </w:r>
    </w:p>
    <w:p w14:paraId="71F243F9" w14:textId="77777777" w:rsidR="001D40F6" w:rsidRDefault="001D40F6" w:rsidP="001D40F6">
      <w:pPr>
        <w:tabs>
          <w:tab w:val="left" w:pos="984"/>
        </w:tabs>
        <w:spacing w:line="240" w:lineRule="auto"/>
        <w:rPr>
          <w:rFonts w:ascii="Arial" w:hAnsi="Arial" w:cs="Arial"/>
          <w:color w:val="000000" w:themeColor="text1"/>
        </w:rPr>
      </w:pPr>
    </w:p>
    <w:p w14:paraId="76269167" w14:textId="77777777" w:rsidR="001D40F6" w:rsidRDefault="001D40F6" w:rsidP="001D40F6">
      <w:pPr>
        <w:tabs>
          <w:tab w:val="left" w:pos="984"/>
        </w:tabs>
        <w:spacing w:line="240" w:lineRule="auto"/>
        <w:rPr>
          <w:rFonts w:ascii="Arial" w:hAnsi="Arial" w:cs="Arial"/>
          <w:color w:val="000000" w:themeColor="text1"/>
        </w:rPr>
      </w:pPr>
      <w:r w:rsidRPr="002E3FF2">
        <w:rPr>
          <w:rFonts w:ascii="Arial" w:hAnsi="Arial" w:cs="Arial"/>
          <w:color w:val="000000" w:themeColor="text1"/>
        </w:rPr>
        <w:t xml:space="preserve">Keywords: </w:t>
      </w:r>
      <w:proofErr w:type="spellStart"/>
      <w:r w:rsidRPr="001D40F6">
        <w:rPr>
          <w:rFonts w:ascii="Arial" w:hAnsi="Arial" w:cs="Arial"/>
          <w:i/>
          <w:iCs/>
          <w:color w:val="000000" w:themeColor="text1"/>
        </w:rPr>
        <w:t>Morindacitrifolia</w:t>
      </w:r>
      <w:proofErr w:type="spellEnd"/>
      <w:r w:rsidRPr="002E3FF2">
        <w:rPr>
          <w:rFonts w:ascii="Arial" w:hAnsi="Arial" w:cs="Arial"/>
          <w:color w:val="000000" w:themeColor="text1"/>
        </w:rPr>
        <w:t>, FRAP, anti-oxidant,</w:t>
      </w:r>
      <w:r>
        <w:rPr>
          <w:rFonts w:ascii="Arial" w:hAnsi="Arial" w:cs="Arial"/>
          <w:color w:val="000000" w:themeColor="text1"/>
        </w:rPr>
        <w:t xml:space="preserve"> anti-bacterial.</w:t>
      </w:r>
    </w:p>
    <w:p w14:paraId="40A516A0" w14:textId="77777777" w:rsidR="001D40F6" w:rsidRDefault="001D40F6" w:rsidP="001D40F6">
      <w:pPr>
        <w:tabs>
          <w:tab w:val="left" w:pos="984"/>
        </w:tabs>
        <w:spacing w:line="240" w:lineRule="auto"/>
        <w:rPr>
          <w:rFonts w:ascii="Arial" w:hAnsi="Arial" w:cs="Arial"/>
          <w:color w:val="000000" w:themeColor="text1"/>
        </w:rPr>
      </w:pPr>
    </w:p>
    <w:p w14:paraId="1861DBDB" w14:textId="61598187" w:rsidR="001D40F6" w:rsidRDefault="001D40F6" w:rsidP="001D40F6">
      <w:pPr>
        <w:tabs>
          <w:tab w:val="left" w:pos="984"/>
        </w:tabs>
        <w:spacing w:line="240" w:lineRule="auto"/>
        <w:rPr>
          <w:rFonts w:ascii="Arial" w:hAnsi="Arial" w:cs="Arial"/>
          <w:color w:val="000000" w:themeColor="text1"/>
        </w:rPr>
      </w:pPr>
    </w:p>
    <w:p w14:paraId="41CB04EA" w14:textId="24885BED" w:rsidR="00176EBD" w:rsidRDefault="00176EBD" w:rsidP="001D40F6">
      <w:pPr>
        <w:tabs>
          <w:tab w:val="left" w:pos="984"/>
        </w:tabs>
        <w:spacing w:line="240" w:lineRule="auto"/>
        <w:rPr>
          <w:rFonts w:ascii="Arial" w:hAnsi="Arial" w:cs="Arial"/>
          <w:color w:val="000000" w:themeColor="text1"/>
        </w:rPr>
      </w:pPr>
    </w:p>
    <w:p w14:paraId="1E3B618D" w14:textId="671A1884" w:rsidR="00176EBD" w:rsidRDefault="00176EBD" w:rsidP="001D40F6">
      <w:pPr>
        <w:tabs>
          <w:tab w:val="left" w:pos="984"/>
        </w:tabs>
        <w:spacing w:line="240" w:lineRule="auto"/>
        <w:rPr>
          <w:rFonts w:ascii="Arial" w:hAnsi="Arial" w:cs="Arial"/>
          <w:color w:val="000000" w:themeColor="text1"/>
        </w:rPr>
      </w:pPr>
    </w:p>
    <w:p w14:paraId="6F2B65EE" w14:textId="77777777" w:rsidR="00176EBD" w:rsidRDefault="00176EBD" w:rsidP="001D40F6">
      <w:pPr>
        <w:tabs>
          <w:tab w:val="left" w:pos="984"/>
        </w:tabs>
        <w:spacing w:line="240" w:lineRule="auto"/>
        <w:rPr>
          <w:rFonts w:ascii="Arial" w:hAnsi="Arial" w:cs="Arial"/>
          <w:color w:val="000000" w:themeColor="text1"/>
        </w:rPr>
      </w:pPr>
    </w:p>
    <w:p w14:paraId="7D3C3154" w14:textId="77777777" w:rsidR="001D40F6" w:rsidRDefault="001D40F6" w:rsidP="001D40F6">
      <w:pPr>
        <w:tabs>
          <w:tab w:val="left" w:pos="984"/>
        </w:tabs>
        <w:spacing w:line="240" w:lineRule="auto"/>
        <w:rPr>
          <w:rFonts w:ascii="Arial" w:hAnsi="Arial" w:cs="Arial"/>
          <w:color w:val="000000" w:themeColor="text1"/>
        </w:rPr>
      </w:pPr>
    </w:p>
    <w:p w14:paraId="093D5C61" w14:textId="77777777" w:rsidR="001D40F6" w:rsidRDefault="001D40F6" w:rsidP="001D40F6">
      <w:pPr>
        <w:tabs>
          <w:tab w:val="left" w:pos="984"/>
        </w:tabs>
        <w:spacing w:line="240" w:lineRule="auto"/>
        <w:rPr>
          <w:rFonts w:ascii="Arial" w:hAnsi="Arial" w:cs="Arial"/>
          <w:color w:val="000000" w:themeColor="text1"/>
        </w:rPr>
      </w:pPr>
      <w:bookmarkStart w:id="2" w:name="_GoBack"/>
      <w:bookmarkEnd w:id="2"/>
    </w:p>
    <w:p w14:paraId="120DA845" w14:textId="77777777" w:rsidR="001D40F6" w:rsidRDefault="001D40F6" w:rsidP="001D40F6">
      <w:pPr>
        <w:tabs>
          <w:tab w:val="left" w:pos="984"/>
        </w:tabs>
        <w:spacing w:line="240" w:lineRule="auto"/>
        <w:rPr>
          <w:rFonts w:ascii="Arial" w:hAnsi="Arial" w:cs="Arial"/>
          <w:b/>
          <w:bCs/>
          <w:color w:val="000000" w:themeColor="text1"/>
          <w:sz w:val="22"/>
          <w:szCs w:val="22"/>
        </w:rPr>
        <w:sectPr w:rsidR="001D40F6" w:rsidSect="001D40F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30FD06EE" w14:textId="77777777" w:rsidR="001D40F6" w:rsidRDefault="001D40F6" w:rsidP="001D40F6">
      <w:pPr>
        <w:tabs>
          <w:tab w:val="left" w:pos="984"/>
        </w:tabs>
        <w:spacing w:line="240" w:lineRule="auto"/>
        <w:rPr>
          <w:rFonts w:ascii="Arial" w:hAnsi="Arial" w:cs="Arial"/>
          <w:b/>
          <w:bCs/>
          <w:color w:val="000000" w:themeColor="text1"/>
          <w:sz w:val="22"/>
          <w:szCs w:val="22"/>
        </w:rPr>
        <w:sectPr w:rsidR="001D40F6" w:rsidSect="00063317">
          <w:type w:val="continuous"/>
          <w:pgSz w:w="11906" w:h="16838"/>
          <w:pgMar w:top="1440" w:right="1440" w:bottom="1440" w:left="1440" w:header="709" w:footer="709" w:gutter="0"/>
          <w:cols w:num="2" w:space="708"/>
          <w:docGrid w:linePitch="360"/>
        </w:sectPr>
      </w:pPr>
    </w:p>
    <w:p w14:paraId="75FFA436" w14:textId="77777777" w:rsidR="001D40F6" w:rsidRPr="001D40F6" w:rsidRDefault="001D40F6" w:rsidP="001D40F6">
      <w:pPr>
        <w:tabs>
          <w:tab w:val="left" w:pos="984"/>
        </w:tabs>
        <w:spacing w:line="240" w:lineRule="auto"/>
        <w:rPr>
          <w:rFonts w:ascii="Arial" w:hAnsi="Arial" w:cs="Arial"/>
          <w:b/>
          <w:bCs/>
          <w:color w:val="000000" w:themeColor="text1"/>
          <w:sz w:val="22"/>
          <w:szCs w:val="22"/>
        </w:rPr>
        <w:sectPr w:rsidR="001D40F6" w:rsidRPr="001D40F6" w:rsidSect="001D40F6">
          <w:headerReference w:type="even" r:id="rId14"/>
          <w:headerReference w:type="default" r:id="rId15"/>
          <w:footerReference w:type="default" r:id="rId16"/>
          <w:headerReference w:type="first" r:id="rId17"/>
          <w:type w:val="continuous"/>
          <w:pgSz w:w="11906" w:h="16838"/>
          <w:pgMar w:top="1440" w:right="1440" w:bottom="1440" w:left="1440" w:header="708" w:footer="708" w:gutter="0"/>
          <w:cols w:num="2" w:space="708"/>
          <w:docGrid w:linePitch="360"/>
        </w:sectPr>
      </w:pPr>
      <w:r w:rsidRPr="001D40F6">
        <w:rPr>
          <w:rFonts w:ascii="Arial" w:hAnsi="Arial" w:cs="Arial"/>
          <w:b/>
          <w:bCs/>
          <w:color w:val="000000" w:themeColor="text1"/>
          <w:sz w:val="22"/>
          <w:szCs w:val="22"/>
        </w:rPr>
        <w:t>1.INTRODUCTION</w:t>
      </w:r>
    </w:p>
    <w:p w14:paraId="6B4B9DF5" w14:textId="77777777" w:rsidR="001D40F6" w:rsidRPr="001D40F6" w:rsidRDefault="001D40F6" w:rsidP="001D40F6">
      <w:pPr>
        <w:pStyle w:val="NoSpacing"/>
        <w:rPr>
          <w:rFonts w:ascii="Arial" w:hAnsi="Arial" w:cs="Arial"/>
        </w:rPr>
        <w:sectPr w:rsidR="001D40F6" w:rsidRPr="001D40F6" w:rsidSect="001D40F6">
          <w:type w:val="continuous"/>
          <w:pgSz w:w="11906" w:h="16838"/>
          <w:pgMar w:top="1440" w:right="1440" w:bottom="1440" w:left="1440" w:header="708" w:footer="708" w:gutter="0"/>
          <w:cols w:space="708"/>
          <w:docGrid w:linePitch="360"/>
        </w:sectPr>
      </w:pPr>
      <w:r w:rsidRPr="001D40F6">
        <w:rPr>
          <w:rFonts w:ascii="Arial" w:hAnsi="Arial" w:cs="Arial"/>
        </w:rPr>
        <w:t xml:space="preserve">According to the world health organization (WHO), approximately 80% of the world population relies on traditional medicine, which often employs medicinal plants, for their primary healthcare needs (WHO, 2019). The empirical knowledge about their beneficial effects was transmitted over the century’s with </w:t>
      </w:r>
    </w:p>
    <w:p w14:paraId="4EF7A109" w14:textId="77777777" w:rsidR="001D40F6" w:rsidRPr="001D40F6" w:rsidRDefault="001D40F6" w:rsidP="001D40F6">
      <w:pPr>
        <w:spacing w:line="240" w:lineRule="auto"/>
        <w:rPr>
          <w:rFonts w:ascii="Arial" w:hAnsi="Arial" w:cs="Arial"/>
          <w:lang w:val="en-US"/>
        </w:rPr>
      </w:pPr>
      <w:r w:rsidRPr="001D40F6">
        <w:rPr>
          <w:rFonts w:ascii="Arial" w:hAnsi="Arial" w:cs="Arial"/>
        </w:rPr>
        <w:t xml:space="preserve">human communities (KHAN </w:t>
      </w:r>
      <w:r w:rsidRPr="001D40F6">
        <w:rPr>
          <w:rFonts w:ascii="Arial" w:hAnsi="Arial" w:cs="Arial"/>
          <w:i/>
          <w:iCs/>
        </w:rPr>
        <w:t>et al</w:t>
      </w:r>
      <w:r>
        <w:rPr>
          <w:rFonts w:ascii="Arial" w:hAnsi="Arial" w:cs="Arial"/>
          <w:i/>
          <w:iCs/>
        </w:rPr>
        <w:t>.,</w:t>
      </w:r>
      <w:r w:rsidRPr="001D40F6">
        <w:rPr>
          <w:rFonts w:ascii="Arial" w:hAnsi="Arial" w:cs="Arial"/>
        </w:rPr>
        <w:t xml:space="preserve">2014). It has been used for centuries for their therapeutic properties, forming the foundation of many traditional healthcare practices worldwide. Plants such as </w:t>
      </w:r>
      <w:proofErr w:type="spellStart"/>
      <w:r w:rsidRPr="001D40F6">
        <w:rPr>
          <w:rFonts w:ascii="Arial" w:hAnsi="Arial" w:cs="Arial"/>
          <w:i/>
          <w:iCs/>
        </w:rPr>
        <w:t>Morindacitrifolia</w:t>
      </w:r>
      <w:proofErr w:type="spellEnd"/>
      <w:r w:rsidRPr="001D40F6">
        <w:rPr>
          <w:rFonts w:ascii="Arial" w:hAnsi="Arial" w:cs="Arial"/>
        </w:rPr>
        <w:t xml:space="preserve"> (</w:t>
      </w:r>
      <w:r w:rsidRPr="001D40F6">
        <w:rPr>
          <w:rFonts w:ascii="Arial" w:hAnsi="Arial" w:cs="Arial"/>
          <w:i/>
          <w:iCs/>
        </w:rPr>
        <w:t xml:space="preserve">M. </w:t>
      </w:r>
      <w:proofErr w:type="spellStart"/>
      <w:r w:rsidRPr="001D40F6">
        <w:rPr>
          <w:rFonts w:ascii="Arial" w:hAnsi="Arial" w:cs="Arial"/>
          <w:i/>
          <w:iCs/>
        </w:rPr>
        <w:t>citrifolia</w:t>
      </w:r>
      <w:proofErr w:type="spellEnd"/>
      <w:r w:rsidRPr="001D40F6">
        <w:rPr>
          <w:rFonts w:ascii="Arial" w:hAnsi="Arial" w:cs="Arial"/>
        </w:rPr>
        <w:t xml:space="preserve">), </w:t>
      </w:r>
      <w:r w:rsidRPr="001D40F6">
        <w:rPr>
          <w:rFonts w:ascii="Arial" w:hAnsi="Arial" w:cs="Arial"/>
          <w:i/>
          <w:iCs/>
        </w:rPr>
        <w:t>Curcuma longa</w:t>
      </w:r>
      <w:r w:rsidRPr="001D40F6">
        <w:rPr>
          <w:rFonts w:ascii="Arial" w:hAnsi="Arial" w:cs="Arial"/>
        </w:rPr>
        <w:t xml:space="preserve"> (turmeric) and </w:t>
      </w:r>
      <w:proofErr w:type="spellStart"/>
      <w:r w:rsidRPr="001D40F6">
        <w:rPr>
          <w:rFonts w:ascii="Arial" w:hAnsi="Arial" w:cs="Arial"/>
          <w:i/>
          <w:iCs/>
        </w:rPr>
        <w:t>Azadirachta</w:t>
      </w:r>
      <w:proofErr w:type="spellEnd"/>
      <w:r w:rsidRPr="001D40F6">
        <w:rPr>
          <w:rFonts w:ascii="Arial" w:hAnsi="Arial" w:cs="Arial"/>
          <w:i/>
          <w:iCs/>
        </w:rPr>
        <w:t xml:space="preserve"> </w:t>
      </w:r>
      <w:proofErr w:type="spellStart"/>
      <w:r w:rsidRPr="001D40F6">
        <w:rPr>
          <w:rFonts w:ascii="Arial" w:hAnsi="Arial" w:cs="Arial"/>
          <w:i/>
          <w:iCs/>
        </w:rPr>
        <w:t>indica</w:t>
      </w:r>
      <w:proofErr w:type="spellEnd"/>
      <w:r w:rsidRPr="001D40F6">
        <w:rPr>
          <w:rFonts w:ascii="Arial" w:hAnsi="Arial" w:cs="Arial"/>
        </w:rPr>
        <w:t xml:space="preserve"> (neem) have attracted significant attention due to their potential in preventing and treating various health conditions</w:t>
      </w:r>
      <w:r w:rsidRPr="001D40F6">
        <w:rPr>
          <w:rFonts w:ascii="Arial" w:hAnsi="Arial" w:cs="Arial"/>
          <w:i/>
          <w:iCs/>
        </w:rPr>
        <w:t xml:space="preserve">. M. </w:t>
      </w:r>
      <w:proofErr w:type="spellStart"/>
      <w:r w:rsidRPr="001D40F6">
        <w:rPr>
          <w:rFonts w:ascii="Arial" w:hAnsi="Arial" w:cs="Arial"/>
          <w:i/>
          <w:iCs/>
        </w:rPr>
        <w:t>citrifolia</w:t>
      </w:r>
      <w:proofErr w:type="spellEnd"/>
      <w:r w:rsidRPr="001D40F6">
        <w:rPr>
          <w:rFonts w:ascii="Arial" w:hAnsi="Arial" w:cs="Arial"/>
        </w:rPr>
        <w:t xml:space="preserve">, commonly known as noni, belongs to the family Rubiaceous and the subfamily </w:t>
      </w:r>
      <w:proofErr w:type="spellStart"/>
      <w:r w:rsidRPr="001D40F6">
        <w:rPr>
          <w:rFonts w:ascii="Arial" w:hAnsi="Arial" w:cs="Arial"/>
        </w:rPr>
        <w:t>Rubioideae</w:t>
      </w:r>
      <w:proofErr w:type="spellEnd"/>
      <w:r w:rsidRPr="001D40F6">
        <w:rPr>
          <w:rFonts w:ascii="Arial" w:hAnsi="Arial" w:cs="Arial"/>
        </w:rPr>
        <w:t xml:space="preserve">. Its genus is </w:t>
      </w:r>
      <w:proofErr w:type="spellStart"/>
      <w:r w:rsidRPr="001D40F6">
        <w:rPr>
          <w:rFonts w:ascii="Arial" w:hAnsi="Arial" w:cs="Arial"/>
        </w:rPr>
        <w:t>Morinda</w:t>
      </w:r>
      <w:proofErr w:type="spellEnd"/>
      <w:r w:rsidRPr="001D40F6">
        <w:rPr>
          <w:rFonts w:ascii="Arial" w:hAnsi="Arial" w:cs="Arial"/>
        </w:rPr>
        <w:t xml:space="preserve">, and the species name is </w:t>
      </w:r>
      <w:proofErr w:type="spellStart"/>
      <w:r w:rsidRPr="001D40F6">
        <w:rPr>
          <w:rFonts w:ascii="Arial" w:hAnsi="Arial" w:cs="Arial"/>
        </w:rPr>
        <w:t>citrifolia</w:t>
      </w:r>
      <w:proofErr w:type="spellEnd"/>
      <w:r w:rsidRPr="001D40F6">
        <w:rPr>
          <w:rFonts w:ascii="Arial" w:hAnsi="Arial" w:cs="Arial"/>
        </w:rPr>
        <w:t>.</w:t>
      </w:r>
      <w:r w:rsidRPr="001D40F6">
        <w:rPr>
          <w:rFonts w:ascii="Arial" w:hAnsi="Arial" w:cs="Arial"/>
          <w:i/>
          <w:lang w:val="en-US"/>
        </w:rPr>
        <w:t xml:space="preserve">M. </w:t>
      </w:r>
      <w:proofErr w:type="spellStart"/>
      <w:r w:rsidRPr="001D40F6">
        <w:rPr>
          <w:rFonts w:ascii="Arial" w:hAnsi="Arial" w:cs="Arial"/>
          <w:i/>
          <w:lang w:val="en-US"/>
        </w:rPr>
        <w:t>citrifolia</w:t>
      </w:r>
      <w:r w:rsidRPr="001D40F6">
        <w:rPr>
          <w:rFonts w:ascii="Arial" w:hAnsi="Arial" w:cs="Arial"/>
          <w:iCs/>
          <w:lang w:val="en-US"/>
        </w:rPr>
        <w:t>'s</w:t>
      </w:r>
      <w:proofErr w:type="spellEnd"/>
      <w:r w:rsidRPr="001D40F6">
        <w:rPr>
          <w:rFonts w:ascii="Arial" w:hAnsi="Arial" w:cs="Arial"/>
          <w:lang w:val="en-US"/>
        </w:rPr>
        <w:t xml:space="preserve"> robust adaptability allows it to thrive in various tropical regions, where it also serves as a food source and a natural remedy. According to research (Wang </w:t>
      </w:r>
      <w:r w:rsidRPr="001D40F6">
        <w:rPr>
          <w:rFonts w:ascii="Arial" w:hAnsi="Arial" w:cs="Arial"/>
          <w:i/>
          <w:lang w:val="en-US"/>
        </w:rPr>
        <w:t>et al</w:t>
      </w:r>
      <w:r w:rsidRPr="001D40F6">
        <w:rPr>
          <w:rFonts w:ascii="Arial" w:hAnsi="Arial" w:cs="Arial"/>
          <w:lang w:val="en-US"/>
        </w:rPr>
        <w:t>., 2002), the plant's therapeutic properties have been widely studied, highlighting its anti-oxidant, anti-microbial, and anti-inflammatory potential.</w:t>
      </w:r>
    </w:p>
    <w:p w14:paraId="0CE9B8CE" w14:textId="77777777" w:rsidR="0017386A" w:rsidRDefault="001D40F6" w:rsidP="0017386A">
      <w:pPr>
        <w:pStyle w:val="NoSpacing"/>
        <w:rPr>
          <w:rFonts w:ascii="Arial" w:hAnsi="Arial" w:cs="Arial"/>
          <w:color w:val="000000" w:themeColor="text1"/>
          <w:lang w:val="en-US"/>
        </w:rPr>
      </w:pPr>
      <w:r w:rsidRPr="001D40F6">
        <w:rPr>
          <w:rFonts w:ascii="Arial" w:hAnsi="Arial" w:cs="Arial"/>
          <w:i/>
          <w:lang w:val="en-US"/>
        </w:rPr>
        <w:t xml:space="preserve">M. </w:t>
      </w:r>
      <w:proofErr w:type="spellStart"/>
      <w:r w:rsidRPr="001D40F6">
        <w:rPr>
          <w:rFonts w:ascii="Arial" w:hAnsi="Arial" w:cs="Arial"/>
          <w:i/>
          <w:lang w:val="en-US"/>
        </w:rPr>
        <w:t>citrifolia</w:t>
      </w:r>
      <w:proofErr w:type="spellEnd"/>
      <w:r w:rsidRPr="001D40F6">
        <w:rPr>
          <w:rFonts w:ascii="Arial" w:hAnsi="Arial" w:cs="Arial"/>
          <w:lang w:val="en-US"/>
        </w:rPr>
        <w:t xml:space="preserve"> has been traditionally used in various cultures for its extensive therapeutic benefits. The plant exhibits anti-inflammatory, analgesic, and anti-microbial properties, making it effective in managing pain, reducing inflammation, and combating infections (Morton,</w:t>
      </w:r>
      <w:r w:rsidRPr="001D40F6">
        <w:rPr>
          <w:rFonts w:ascii="Arial" w:hAnsi="Arial" w:cs="Arial"/>
          <w:i/>
          <w:lang w:val="en-US"/>
        </w:rPr>
        <w:t xml:space="preserve"> et al.,</w:t>
      </w:r>
      <w:r w:rsidRPr="001D40F6">
        <w:rPr>
          <w:rFonts w:ascii="Arial" w:hAnsi="Arial" w:cs="Arial"/>
          <w:lang w:val="en-US"/>
        </w:rPr>
        <w:t xml:space="preserve"> 1992; Nelson,</w:t>
      </w:r>
      <w:r w:rsidRPr="001D40F6">
        <w:rPr>
          <w:rFonts w:ascii="Arial" w:hAnsi="Arial" w:cs="Arial"/>
          <w:i/>
          <w:lang w:val="en-US"/>
        </w:rPr>
        <w:t xml:space="preserve"> et a</w:t>
      </w:r>
      <w:r>
        <w:rPr>
          <w:rFonts w:ascii="Arial" w:hAnsi="Arial" w:cs="Arial"/>
          <w:i/>
          <w:lang w:val="en-US"/>
        </w:rPr>
        <w:t>l</w:t>
      </w:r>
      <w:r w:rsidRPr="001D40F6">
        <w:rPr>
          <w:rFonts w:ascii="Arial" w:hAnsi="Arial" w:cs="Arial"/>
          <w:i/>
          <w:lang w:val="en-US"/>
        </w:rPr>
        <w:t>.,</w:t>
      </w:r>
      <w:r w:rsidRPr="001D40F6">
        <w:rPr>
          <w:rFonts w:ascii="Arial" w:hAnsi="Arial" w:cs="Arial"/>
          <w:lang w:val="en-US"/>
        </w:rPr>
        <w:t xml:space="preserve"> 2003; Moorthy </w:t>
      </w:r>
      <w:r w:rsidRPr="001D40F6">
        <w:rPr>
          <w:rFonts w:ascii="Arial" w:hAnsi="Arial" w:cs="Arial"/>
          <w:i/>
          <w:lang w:val="en-US"/>
        </w:rPr>
        <w:t xml:space="preserve">et al., </w:t>
      </w:r>
      <w:r w:rsidRPr="001D40F6">
        <w:rPr>
          <w:rFonts w:ascii="Arial" w:hAnsi="Arial" w:cs="Arial"/>
          <w:lang w:val="en-US"/>
        </w:rPr>
        <w:t>2001). It is also a natural remedy for digestive health, particularly in alleviating constipation and improving gut function (</w:t>
      </w:r>
      <w:proofErr w:type="spellStart"/>
      <w:r w:rsidRPr="001D40F6">
        <w:rPr>
          <w:rFonts w:ascii="Arial" w:hAnsi="Arial" w:cs="Arial"/>
          <w:lang w:val="en-US"/>
        </w:rPr>
        <w:t>Hirazumi</w:t>
      </w:r>
      <w:r w:rsidRPr="001D40F6">
        <w:rPr>
          <w:rFonts w:ascii="Arial" w:hAnsi="Arial" w:cs="Arial"/>
          <w:i/>
          <w:lang w:val="en-US"/>
        </w:rPr>
        <w:t>et</w:t>
      </w:r>
      <w:proofErr w:type="spellEnd"/>
      <w:r w:rsidRPr="001D40F6">
        <w:rPr>
          <w:rFonts w:ascii="Arial" w:hAnsi="Arial" w:cs="Arial"/>
          <w:i/>
          <w:lang w:val="en-US"/>
        </w:rPr>
        <w:t xml:space="preserve"> al., </w:t>
      </w:r>
      <w:r w:rsidRPr="001D40F6">
        <w:rPr>
          <w:rFonts w:ascii="Arial" w:hAnsi="Arial" w:cs="Arial"/>
          <w:lang w:val="en-US"/>
        </w:rPr>
        <w:t xml:space="preserve">1997).  </w:t>
      </w:r>
      <w:r w:rsidRPr="001D40F6">
        <w:rPr>
          <w:rFonts w:ascii="Arial" w:hAnsi="Arial" w:cs="Arial"/>
          <w:i/>
          <w:lang w:val="en-US"/>
        </w:rPr>
        <w:t xml:space="preserve">M. </w:t>
      </w:r>
      <w:proofErr w:type="spellStart"/>
      <w:r w:rsidRPr="001D40F6">
        <w:rPr>
          <w:rFonts w:ascii="Arial" w:hAnsi="Arial" w:cs="Arial"/>
          <w:i/>
          <w:lang w:val="en-US"/>
        </w:rPr>
        <w:t>citrifolia</w:t>
      </w:r>
      <w:proofErr w:type="spellEnd"/>
      <w:r w:rsidRPr="001D40F6">
        <w:rPr>
          <w:rFonts w:ascii="Arial" w:hAnsi="Arial" w:cs="Arial"/>
          <w:lang w:val="en-US"/>
        </w:rPr>
        <w:t xml:space="preserve"> juice, rich in essential nutrients like vitamins (particularly vitamin C), minerals (such as calcium and magnesium), and amino acids, is consumed to boost immunity and enhance overall well-being (Heinicke </w:t>
      </w:r>
      <w:r w:rsidRPr="001D40F6">
        <w:rPr>
          <w:rFonts w:ascii="Arial" w:hAnsi="Arial" w:cs="Arial"/>
          <w:i/>
          <w:lang w:val="en-US"/>
        </w:rPr>
        <w:t>et al.,</w:t>
      </w:r>
      <w:r w:rsidRPr="001D40F6">
        <w:rPr>
          <w:rFonts w:ascii="Arial" w:hAnsi="Arial" w:cs="Arial"/>
          <w:lang w:val="en-US"/>
        </w:rPr>
        <w:t>1985</w:t>
      </w:r>
      <w:proofErr w:type="gramStart"/>
      <w:r w:rsidRPr="001D40F6">
        <w:rPr>
          <w:rFonts w:ascii="Arial" w:hAnsi="Arial" w:cs="Arial"/>
          <w:lang w:val="en-US"/>
        </w:rPr>
        <w:t>).</w:t>
      </w:r>
      <w:r w:rsidR="0017386A" w:rsidRPr="002E3FF2">
        <w:rPr>
          <w:rFonts w:ascii="Arial" w:hAnsi="Arial" w:cs="Arial"/>
          <w:color w:val="000000" w:themeColor="text1"/>
          <w:lang w:val="en-US"/>
        </w:rPr>
        <w:t>In</w:t>
      </w:r>
      <w:proofErr w:type="gramEnd"/>
      <w:r w:rsidR="0017386A" w:rsidRPr="002E3FF2">
        <w:rPr>
          <w:rFonts w:ascii="Arial" w:hAnsi="Arial" w:cs="Arial"/>
          <w:color w:val="000000" w:themeColor="text1"/>
          <w:lang w:val="en-US"/>
        </w:rPr>
        <w:t xml:space="preserve"> addition to internal health benefits, </w:t>
      </w:r>
      <w:r w:rsidR="0017386A" w:rsidRPr="002E3FF2">
        <w:rPr>
          <w:rFonts w:ascii="Arial" w:hAnsi="Arial" w:cs="Arial"/>
          <w:i/>
          <w:color w:val="000000" w:themeColor="text1"/>
          <w:lang w:val="en-US"/>
        </w:rPr>
        <w:t xml:space="preserve">M. </w:t>
      </w:r>
      <w:proofErr w:type="spellStart"/>
      <w:r w:rsidR="0017386A" w:rsidRPr="002E3FF2">
        <w:rPr>
          <w:rFonts w:ascii="Arial" w:hAnsi="Arial" w:cs="Arial"/>
          <w:i/>
          <w:color w:val="000000" w:themeColor="text1"/>
          <w:lang w:val="en-US"/>
        </w:rPr>
        <w:t>citrifolia</w:t>
      </w:r>
      <w:proofErr w:type="spellEnd"/>
      <w:r w:rsidR="0017386A" w:rsidRPr="002E3FF2">
        <w:rPr>
          <w:rFonts w:ascii="Arial" w:hAnsi="Arial" w:cs="Arial"/>
          <w:color w:val="000000" w:themeColor="text1"/>
          <w:lang w:val="en-US"/>
        </w:rPr>
        <w:t xml:space="preserve"> has applications in topical treatments. Its leaves and fruit pulp are used to promote wound healing and treat skin infections, while its anti-oxidant properties help to protect against oxidative stress and delay the signs of aging (Wang &amp; Su </w:t>
      </w:r>
      <w:r w:rsidR="0017386A" w:rsidRPr="002E3FF2">
        <w:rPr>
          <w:rFonts w:ascii="Arial" w:hAnsi="Arial" w:cs="Arial"/>
          <w:i/>
          <w:color w:val="000000" w:themeColor="text1"/>
          <w:lang w:val="en-US"/>
        </w:rPr>
        <w:t xml:space="preserve">et al., </w:t>
      </w:r>
      <w:r w:rsidR="0017386A" w:rsidRPr="002E3FF2">
        <w:rPr>
          <w:rFonts w:ascii="Arial" w:hAnsi="Arial" w:cs="Arial"/>
          <w:color w:val="000000" w:themeColor="text1"/>
          <w:lang w:val="en-US"/>
        </w:rPr>
        <w:t>2001). The plant has also gained attention for its potential anti-cancer properties, with bioactive compounds shown to inhibit tumor growth in preliminary studies (</w:t>
      </w:r>
      <w:proofErr w:type="spellStart"/>
      <w:r w:rsidR="0017386A" w:rsidRPr="002E3FF2">
        <w:rPr>
          <w:rFonts w:ascii="Arial" w:hAnsi="Arial" w:cs="Arial"/>
          <w:color w:val="000000" w:themeColor="text1"/>
          <w:lang w:val="en-US"/>
        </w:rPr>
        <w:t>Hirazumi</w:t>
      </w:r>
      <w:proofErr w:type="spellEnd"/>
      <w:r w:rsidR="0017386A" w:rsidRPr="002E3FF2">
        <w:rPr>
          <w:rFonts w:ascii="Arial" w:hAnsi="Arial" w:cs="Arial"/>
          <w:color w:val="000000" w:themeColor="text1"/>
          <w:lang w:val="en-US"/>
        </w:rPr>
        <w:t xml:space="preserve">&amp; </w:t>
      </w:r>
      <w:proofErr w:type="spellStart"/>
      <w:r w:rsidR="0017386A" w:rsidRPr="002E3FF2">
        <w:rPr>
          <w:rFonts w:ascii="Arial" w:hAnsi="Arial" w:cs="Arial"/>
          <w:color w:val="000000" w:themeColor="text1"/>
          <w:lang w:val="en-US"/>
        </w:rPr>
        <w:t>Furusawa</w:t>
      </w:r>
      <w:proofErr w:type="spellEnd"/>
      <w:r w:rsidR="0017386A" w:rsidRPr="002E3FF2">
        <w:rPr>
          <w:rFonts w:ascii="Arial" w:hAnsi="Arial" w:cs="Arial"/>
          <w:color w:val="000000" w:themeColor="text1"/>
          <w:lang w:val="en-US"/>
        </w:rPr>
        <w:t xml:space="preserve"> </w:t>
      </w:r>
      <w:r w:rsidR="0017386A" w:rsidRPr="002E3FF2">
        <w:rPr>
          <w:rFonts w:ascii="Arial" w:hAnsi="Arial" w:cs="Arial"/>
          <w:i/>
          <w:color w:val="000000" w:themeColor="text1"/>
          <w:lang w:val="en-US"/>
        </w:rPr>
        <w:t>et al.,</w:t>
      </w:r>
      <w:r w:rsidR="0017386A" w:rsidRPr="002E3FF2">
        <w:rPr>
          <w:rFonts w:ascii="Arial" w:hAnsi="Arial" w:cs="Arial"/>
          <w:color w:val="000000" w:themeColor="text1"/>
          <w:lang w:val="en-US"/>
        </w:rPr>
        <w:t xml:space="preserve"> 1999). The plant’s extensive phytochemical composition, which includes flavonoids, alkaloids, anthraquinones, and </w:t>
      </w:r>
      <w:proofErr w:type="spellStart"/>
      <w:r w:rsidR="0017386A" w:rsidRPr="002E3FF2">
        <w:rPr>
          <w:rFonts w:ascii="Arial" w:hAnsi="Arial" w:cs="Arial"/>
          <w:color w:val="000000" w:themeColor="text1"/>
          <w:lang w:val="en-US"/>
        </w:rPr>
        <w:t>scopoletin</w:t>
      </w:r>
      <w:proofErr w:type="spellEnd"/>
      <w:r w:rsidR="0017386A" w:rsidRPr="002E3FF2">
        <w:rPr>
          <w:rFonts w:ascii="Arial" w:hAnsi="Arial" w:cs="Arial"/>
          <w:color w:val="000000" w:themeColor="text1"/>
          <w:lang w:val="en-US"/>
        </w:rPr>
        <w:t xml:space="preserve">, plays a crucial role in its pharmacological activities. These phytochemicals are responsible for its wide range of therapeutic properties, offering a promising avenue for future medical and pharmacological advancements (Moorthy </w:t>
      </w:r>
      <w:r w:rsidR="0017386A" w:rsidRPr="002E3FF2">
        <w:rPr>
          <w:rFonts w:ascii="Arial" w:hAnsi="Arial" w:cs="Arial"/>
          <w:i/>
          <w:color w:val="000000" w:themeColor="text1"/>
          <w:lang w:val="en-US"/>
        </w:rPr>
        <w:t>et al.,</w:t>
      </w:r>
      <w:r w:rsidR="0017386A" w:rsidRPr="002E3FF2">
        <w:rPr>
          <w:rFonts w:ascii="Arial" w:hAnsi="Arial" w:cs="Arial"/>
          <w:color w:val="000000" w:themeColor="text1"/>
          <w:lang w:val="en-US"/>
        </w:rPr>
        <w:t xml:space="preserve"> 2001; </w:t>
      </w:r>
      <w:proofErr w:type="spellStart"/>
      <w:r w:rsidR="0017386A" w:rsidRPr="002E3FF2">
        <w:rPr>
          <w:rFonts w:ascii="Arial" w:hAnsi="Arial" w:cs="Arial"/>
          <w:color w:val="000000" w:themeColor="text1"/>
          <w:lang w:val="en-US"/>
        </w:rPr>
        <w:t>Hirazumi</w:t>
      </w:r>
      <w:proofErr w:type="spellEnd"/>
      <w:r w:rsidR="0017386A" w:rsidRPr="002E3FF2">
        <w:rPr>
          <w:rFonts w:ascii="Arial" w:hAnsi="Arial" w:cs="Arial"/>
          <w:color w:val="000000" w:themeColor="text1"/>
          <w:lang w:val="en-US"/>
        </w:rPr>
        <w:t xml:space="preserve">&amp; </w:t>
      </w:r>
      <w:proofErr w:type="spellStart"/>
      <w:r w:rsidR="0017386A" w:rsidRPr="002E3FF2">
        <w:rPr>
          <w:rFonts w:ascii="Arial" w:hAnsi="Arial" w:cs="Arial"/>
          <w:color w:val="000000" w:themeColor="text1"/>
          <w:lang w:val="en-US"/>
        </w:rPr>
        <w:t>Furusawa</w:t>
      </w:r>
      <w:proofErr w:type="spellEnd"/>
      <w:r w:rsidR="0017386A" w:rsidRPr="002E3FF2">
        <w:rPr>
          <w:rFonts w:ascii="Arial" w:hAnsi="Arial" w:cs="Arial"/>
          <w:color w:val="000000" w:themeColor="text1"/>
          <w:lang w:val="en-US"/>
        </w:rPr>
        <w:t xml:space="preserve"> </w:t>
      </w:r>
      <w:r w:rsidR="0017386A" w:rsidRPr="002E3FF2">
        <w:rPr>
          <w:rFonts w:ascii="Arial" w:hAnsi="Arial" w:cs="Arial"/>
          <w:i/>
          <w:color w:val="000000" w:themeColor="text1"/>
          <w:lang w:val="en-US"/>
        </w:rPr>
        <w:t>et al.,</w:t>
      </w:r>
      <w:r w:rsidR="0017386A" w:rsidRPr="002E3FF2">
        <w:rPr>
          <w:rFonts w:ascii="Arial" w:hAnsi="Arial" w:cs="Arial"/>
          <w:color w:val="000000" w:themeColor="text1"/>
          <w:lang w:val="en-US"/>
        </w:rPr>
        <w:t xml:space="preserve"> 1999).</w:t>
      </w:r>
    </w:p>
    <w:p w14:paraId="7D6364D7" w14:textId="77777777" w:rsidR="0017386A" w:rsidRDefault="0017386A" w:rsidP="0017386A">
      <w:pPr>
        <w:pStyle w:val="NoSpacing"/>
        <w:rPr>
          <w:rFonts w:ascii="Arial" w:hAnsi="Arial" w:cs="Arial"/>
          <w:color w:val="000000" w:themeColor="text1"/>
          <w:lang w:val="en-US"/>
        </w:rPr>
      </w:pPr>
    </w:p>
    <w:p w14:paraId="69207A2C" w14:textId="77777777" w:rsidR="0017386A" w:rsidRPr="0017386A" w:rsidRDefault="0017386A" w:rsidP="0017386A">
      <w:pPr>
        <w:pStyle w:val="NoSpacing"/>
        <w:rPr>
          <w:rFonts w:ascii="Arial" w:hAnsi="Arial" w:cs="Arial"/>
          <w:noProof/>
          <w:sz w:val="24"/>
          <w:szCs w:val="24"/>
        </w:rPr>
        <w:sectPr w:rsidR="0017386A" w:rsidRPr="0017386A" w:rsidSect="0017386A">
          <w:type w:val="continuous"/>
          <w:pgSz w:w="11906" w:h="16838"/>
          <w:pgMar w:top="1440" w:right="1440" w:bottom="1440" w:left="1440" w:header="708" w:footer="708" w:gutter="0"/>
          <w:cols w:space="708"/>
          <w:docGrid w:linePitch="360"/>
        </w:sectPr>
      </w:pPr>
    </w:p>
    <w:p w14:paraId="1DFBE3BF" w14:textId="77777777" w:rsidR="0017386A" w:rsidRDefault="0017386A" w:rsidP="0017386A">
      <w:pPr>
        <w:pStyle w:val="NoSpacing"/>
        <w:rPr>
          <w:rFonts w:ascii="Arial" w:hAnsi="Arial" w:cs="Arial"/>
          <w:lang w:val="en-US"/>
        </w:rPr>
      </w:pPr>
      <w:r w:rsidRPr="0017386A">
        <w:rPr>
          <w:rFonts w:ascii="Arial" w:hAnsi="Arial" w:cs="Arial"/>
          <w:lang w:val="en-US"/>
        </w:rPr>
        <w:t xml:space="preserve">Phytochemicals in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i/>
          <w:lang w:val="en-US"/>
        </w:rPr>
        <w:t>,</w:t>
      </w:r>
      <w:r w:rsidRPr="0017386A">
        <w:rPr>
          <w:rFonts w:ascii="Arial" w:hAnsi="Arial" w:cs="Arial"/>
          <w:lang w:val="en-US"/>
        </w:rPr>
        <w:t xml:space="preserve"> are bioactive compounds responsible for its extensive therapeutic properties. The plant contains a diverse array of phytochemicals, including flavonoids, alkaloids, anthraquinones, iridoids, and </w:t>
      </w:r>
      <w:proofErr w:type="spellStart"/>
      <w:r w:rsidRPr="0017386A">
        <w:rPr>
          <w:rFonts w:ascii="Arial" w:hAnsi="Arial" w:cs="Arial"/>
          <w:lang w:val="en-US"/>
        </w:rPr>
        <w:t>scopoletin</w:t>
      </w:r>
      <w:proofErr w:type="spellEnd"/>
      <w:r w:rsidRPr="0017386A">
        <w:rPr>
          <w:rFonts w:ascii="Arial" w:hAnsi="Arial" w:cs="Arial"/>
          <w:lang w:val="en-US"/>
        </w:rPr>
        <w:t xml:space="preserve">. Flavonoids and phenolic compounds in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lang w:val="en-US"/>
        </w:rPr>
        <w:t xml:space="preserve"> are powerful anti-oxidants that neutralize free radicals, reducing </w:t>
      </w:r>
      <w:r w:rsidRPr="0017386A">
        <w:rPr>
          <w:rFonts w:ascii="Arial" w:hAnsi="Arial" w:cs="Arial"/>
        </w:rPr>
        <w:t xml:space="preserve">Phytochemicals in </w:t>
      </w:r>
      <w:r w:rsidRPr="0017386A">
        <w:rPr>
          <w:rFonts w:ascii="Arial" w:hAnsi="Arial" w:cs="Arial"/>
          <w:i/>
        </w:rPr>
        <w:t xml:space="preserve">M. </w:t>
      </w:r>
      <w:proofErr w:type="spellStart"/>
      <w:r w:rsidRPr="0017386A">
        <w:rPr>
          <w:rFonts w:ascii="Arial" w:hAnsi="Arial" w:cs="Arial"/>
          <w:i/>
        </w:rPr>
        <w:t>citrifolia</w:t>
      </w:r>
      <w:proofErr w:type="spellEnd"/>
      <w:r w:rsidRPr="0017386A">
        <w:rPr>
          <w:rFonts w:ascii="Arial" w:hAnsi="Arial" w:cs="Arial"/>
          <w:i/>
        </w:rPr>
        <w:t>,</w:t>
      </w:r>
      <w:r w:rsidRPr="0017386A">
        <w:rPr>
          <w:rFonts w:ascii="Arial" w:hAnsi="Arial" w:cs="Arial"/>
        </w:rPr>
        <w:t xml:space="preserve"> are bioactive compounds responsible for its extensive therapeutic properties. The plant contains a diverse array of phytochemicals, including flavonoids, alkaloids, anthraquinones, iridoids, and </w:t>
      </w:r>
      <w:proofErr w:type="spellStart"/>
      <w:r w:rsidRPr="0017386A">
        <w:rPr>
          <w:rFonts w:ascii="Arial" w:hAnsi="Arial" w:cs="Arial"/>
        </w:rPr>
        <w:t>scopoletin</w:t>
      </w:r>
      <w:proofErr w:type="spellEnd"/>
      <w:r w:rsidRPr="0017386A">
        <w:rPr>
          <w:rFonts w:ascii="Arial" w:hAnsi="Arial" w:cs="Arial"/>
        </w:rPr>
        <w:t xml:space="preserve">. Flavonoids and phenolic compounds in </w:t>
      </w:r>
      <w:r w:rsidRPr="0017386A">
        <w:rPr>
          <w:rFonts w:ascii="Arial" w:hAnsi="Arial" w:cs="Arial"/>
          <w:i/>
        </w:rPr>
        <w:t xml:space="preserve">M. </w:t>
      </w:r>
      <w:proofErr w:type="spellStart"/>
      <w:r w:rsidRPr="0017386A">
        <w:rPr>
          <w:rFonts w:ascii="Arial" w:hAnsi="Arial" w:cs="Arial"/>
          <w:i/>
        </w:rPr>
        <w:t>citrifolia</w:t>
      </w:r>
      <w:proofErr w:type="spellEnd"/>
      <w:r w:rsidRPr="0017386A">
        <w:rPr>
          <w:rFonts w:ascii="Arial" w:hAnsi="Arial" w:cs="Arial"/>
        </w:rPr>
        <w:t xml:space="preserve"> are </w:t>
      </w:r>
      <w:proofErr w:type="spellStart"/>
      <w:r w:rsidRPr="0017386A">
        <w:rPr>
          <w:rFonts w:ascii="Arial" w:hAnsi="Arial" w:cs="Arial"/>
        </w:rPr>
        <w:t>powerfulanti</w:t>
      </w:r>
      <w:proofErr w:type="spellEnd"/>
      <w:r w:rsidRPr="0017386A">
        <w:rPr>
          <w:rFonts w:ascii="Arial" w:hAnsi="Arial" w:cs="Arial"/>
        </w:rPr>
        <w:t>-oxidants that neutralize free radicals, reducing</w:t>
      </w:r>
      <w:r w:rsidRPr="0017386A">
        <w:rPr>
          <w:rFonts w:ascii="Arial" w:hAnsi="Arial" w:cs="Arial"/>
          <w:lang w:val="en-US"/>
        </w:rPr>
        <w:t>oxidative stress and protecting cells from damage (</w:t>
      </w:r>
      <w:r w:rsidRPr="0017386A">
        <w:rPr>
          <w:rFonts w:ascii="Arial" w:hAnsi="Arial" w:cs="Arial"/>
          <w:i/>
          <w:lang w:val="en-US"/>
        </w:rPr>
        <w:t>Wang et al., 2009</w:t>
      </w:r>
      <w:r w:rsidRPr="0017386A">
        <w:rPr>
          <w:rFonts w:ascii="Arial" w:hAnsi="Arial" w:cs="Arial"/>
          <w:lang w:val="en-US"/>
        </w:rPr>
        <w:t>).</w:t>
      </w:r>
    </w:p>
    <w:p w14:paraId="635CD03B" w14:textId="77777777" w:rsidR="0017386A" w:rsidRDefault="0017386A" w:rsidP="0017386A">
      <w:pPr>
        <w:pStyle w:val="NoSpacing"/>
        <w:rPr>
          <w:rFonts w:ascii="Arial" w:hAnsi="Arial" w:cs="Arial"/>
          <w:lang w:val="en-US"/>
        </w:rPr>
      </w:pPr>
    </w:p>
    <w:p w14:paraId="7AAD49F6" w14:textId="77777777" w:rsidR="0017386A" w:rsidRPr="0017386A" w:rsidRDefault="0017386A" w:rsidP="0017386A">
      <w:pPr>
        <w:pStyle w:val="NoSpacing"/>
        <w:rPr>
          <w:rFonts w:ascii="Arial" w:hAnsi="Arial" w:cs="Arial"/>
          <w:sz w:val="24"/>
          <w:szCs w:val="24"/>
        </w:rPr>
        <w:sectPr w:rsidR="0017386A" w:rsidRPr="0017386A" w:rsidSect="0017386A">
          <w:type w:val="continuous"/>
          <w:pgSz w:w="11906" w:h="16838"/>
          <w:pgMar w:top="1440" w:right="1440" w:bottom="1440" w:left="1440" w:header="708" w:footer="708" w:gutter="0"/>
          <w:cols w:space="708"/>
          <w:docGrid w:linePitch="360"/>
        </w:sectPr>
      </w:pPr>
    </w:p>
    <w:p w14:paraId="64FB5D19" w14:textId="77777777" w:rsidR="0017386A" w:rsidRPr="0017386A" w:rsidRDefault="0017386A" w:rsidP="0017386A">
      <w:pPr>
        <w:pStyle w:val="NoSpacing"/>
        <w:rPr>
          <w:rFonts w:ascii="Arial" w:hAnsi="Arial" w:cs="Arial"/>
          <w:lang w:val="en-US"/>
        </w:rPr>
      </w:pPr>
      <w:r w:rsidRPr="0017386A">
        <w:rPr>
          <w:rFonts w:ascii="Arial" w:hAnsi="Arial" w:cs="Arial"/>
          <w:lang w:val="en-US"/>
        </w:rPr>
        <w:t xml:space="preserve">Alkaloids, such as </w:t>
      </w:r>
      <w:proofErr w:type="spellStart"/>
      <w:r w:rsidRPr="0017386A">
        <w:rPr>
          <w:rFonts w:ascii="Arial" w:hAnsi="Arial" w:cs="Arial"/>
          <w:lang w:val="en-US"/>
        </w:rPr>
        <w:t>xeronine</w:t>
      </w:r>
      <w:proofErr w:type="spellEnd"/>
      <w:r w:rsidRPr="0017386A">
        <w:rPr>
          <w:rFonts w:ascii="Arial" w:hAnsi="Arial" w:cs="Arial"/>
          <w:lang w:val="en-US"/>
        </w:rPr>
        <w:t xml:space="preserve"> precursors, are believed to play a role in cellular repair and immune system modulation</w:t>
      </w:r>
      <w:r w:rsidR="00CE5B5B">
        <w:rPr>
          <w:rFonts w:ascii="Arial" w:hAnsi="Arial" w:cs="Arial"/>
          <w:lang w:val="en-US"/>
        </w:rPr>
        <w:t xml:space="preserve">. </w:t>
      </w:r>
      <w:r w:rsidRPr="0017386A">
        <w:rPr>
          <w:rFonts w:ascii="Arial" w:hAnsi="Arial" w:cs="Arial"/>
          <w:lang w:val="en-US"/>
        </w:rPr>
        <w:t>Anthraquinones have demonstrated anti-microbial and anti-cancer activities, while iridoids contribute to plant's anti-inflammatory and analgesic properties (</w:t>
      </w:r>
      <w:proofErr w:type="spellStart"/>
      <w:r w:rsidRPr="0017386A">
        <w:rPr>
          <w:rFonts w:ascii="Arial" w:hAnsi="Arial" w:cs="Arial"/>
          <w:lang w:val="en-US"/>
        </w:rPr>
        <w:t>Hirazumi</w:t>
      </w:r>
      <w:proofErr w:type="spellEnd"/>
      <w:r w:rsidRPr="0017386A">
        <w:rPr>
          <w:rFonts w:ascii="Arial" w:hAnsi="Arial" w:cs="Arial"/>
          <w:lang w:val="en-US"/>
        </w:rPr>
        <w:t xml:space="preserve">&amp; </w:t>
      </w:r>
      <w:proofErr w:type="spellStart"/>
      <w:r w:rsidRPr="0017386A">
        <w:rPr>
          <w:rFonts w:ascii="Arial" w:hAnsi="Arial" w:cs="Arial"/>
          <w:lang w:val="en-US"/>
        </w:rPr>
        <w:t>Furusawa</w:t>
      </w:r>
      <w:proofErr w:type="spellEnd"/>
      <w:r w:rsidRPr="0017386A">
        <w:rPr>
          <w:rFonts w:ascii="Arial" w:hAnsi="Arial" w:cs="Arial"/>
          <w:lang w:val="en-US"/>
        </w:rPr>
        <w:t>,</w:t>
      </w:r>
      <w:r w:rsidRPr="0017386A">
        <w:rPr>
          <w:rFonts w:ascii="Arial" w:hAnsi="Arial" w:cs="Arial"/>
          <w:i/>
          <w:lang w:val="en-US"/>
        </w:rPr>
        <w:t xml:space="preserve"> et al.,</w:t>
      </w:r>
      <w:r w:rsidRPr="0017386A">
        <w:rPr>
          <w:rFonts w:ascii="Arial" w:hAnsi="Arial" w:cs="Arial"/>
          <w:lang w:val="en-US"/>
        </w:rPr>
        <w:t xml:space="preserve">1999) including chlorogenic and ferulic acid, has also been detected in </w:t>
      </w:r>
      <w:r w:rsidRPr="0017386A">
        <w:rPr>
          <w:rFonts w:ascii="Arial" w:hAnsi="Arial" w:cs="Arial"/>
          <w:i/>
          <w:iCs/>
          <w:lang w:val="en-US"/>
        </w:rPr>
        <w:t xml:space="preserve">M. </w:t>
      </w:r>
      <w:proofErr w:type="spellStart"/>
      <w:r w:rsidRPr="0017386A">
        <w:rPr>
          <w:rFonts w:ascii="Arial" w:hAnsi="Arial" w:cs="Arial"/>
          <w:i/>
          <w:iCs/>
          <w:lang w:val="en-US"/>
        </w:rPr>
        <w:t>citrifolia</w:t>
      </w:r>
      <w:proofErr w:type="spellEnd"/>
      <w:r w:rsidRPr="0017386A">
        <w:rPr>
          <w:rFonts w:ascii="Arial" w:hAnsi="Arial" w:cs="Arial"/>
          <w:lang w:val="en-US"/>
        </w:rPr>
        <w:t xml:space="preserve">, which have been shown to have anti-mutagenic and anti-carcinogenic effects (Zhang </w:t>
      </w:r>
      <w:r w:rsidRPr="0017386A">
        <w:rPr>
          <w:rFonts w:ascii="Arial" w:hAnsi="Arial" w:cs="Arial"/>
          <w:i/>
          <w:lang w:val="en-US"/>
        </w:rPr>
        <w:t>et al</w:t>
      </w:r>
      <w:r w:rsidRPr="0017386A">
        <w:rPr>
          <w:rFonts w:ascii="Arial" w:hAnsi="Arial" w:cs="Arial"/>
          <w:lang w:val="en-US"/>
        </w:rPr>
        <w:t xml:space="preserve">., 2011). Iridoids, such as </w:t>
      </w:r>
      <w:proofErr w:type="spellStart"/>
      <w:r w:rsidRPr="0017386A">
        <w:rPr>
          <w:rFonts w:ascii="Arial" w:hAnsi="Arial" w:cs="Arial"/>
          <w:lang w:val="en-US"/>
        </w:rPr>
        <w:t>asperulosidic</w:t>
      </w:r>
      <w:proofErr w:type="spellEnd"/>
      <w:r w:rsidRPr="0017386A">
        <w:rPr>
          <w:rFonts w:ascii="Arial" w:hAnsi="Arial" w:cs="Arial"/>
          <w:lang w:val="en-US"/>
        </w:rPr>
        <w:t xml:space="preserve"> acid, have been found to possess anti-inflammatory and analgesic activities (Hongo </w:t>
      </w:r>
      <w:r w:rsidRPr="0017386A">
        <w:rPr>
          <w:rFonts w:ascii="Arial" w:hAnsi="Arial" w:cs="Arial"/>
          <w:i/>
          <w:lang w:val="en-US"/>
        </w:rPr>
        <w:t>et al</w:t>
      </w:r>
      <w:r w:rsidRPr="0017386A">
        <w:rPr>
          <w:rFonts w:ascii="Arial" w:hAnsi="Arial" w:cs="Arial"/>
          <w:lang w:val="en-US"/>
        </w:rPr>
        <w:t xml:space="preserve">., 1992). Furthermore, alkaloids, particularly those with a </w:t>
      </w:r>
      <w:proofErr w:type="spellStart"/>
      <w:r w:rsidRPr="0017386A">
        <w:rPr>
          <w:rFonts w:ascii="Arial" w:hAnsi="Arial" w:cs="Arial"/>
          <w:lang w:val="en-US"/>
        </w:rPr>
        <w:t>xeronine</w:t>
      </w:r>
      <w:proofErr w:type="spellEnd"/>
      <w:r w:rsidRPr="0017386A">
        <w:rPr>
          <w:rFonts w:ascii="Arial" w:hAnsi="Arial" w:cs="Arial"/>
          <w:lang w:val="en-US"/>
        </w:rPr>
        <w:t xml:space="preserve"> backbone, have been found to have anti-inflammatory and immune-modulatory activities (Wang </w:t>
      </w:r>
      <w:r w:rsidRPr="0017386A">
        <w:rPr>
          <w:rFonts w:ascii="Arial" w:hAnsi="Arial" w:cs="Arial"/>
          <w:i/>
          <w:lang w:val="en-US"/>
        </w:rPr>
        <w:t>et al</w:t>
      </w:r>
      <w:r w:rsidRPr="0017386A">
        <w:rPr>
          <w:rFonts w:ascii="Arial" w:hAnsi="Arial" w:cs="Arial"/>
          <w:lang w:val="en-US"/>
        </w:rPr>
        <w:t xml:space="preserve">., 2009). Polysaccharides in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lang w:val="en-US"/>
        </w:rPr>
        <w:t xml:space="preserve"> have immunomodulatory properties, enhancing the activity of white blood cells and supporting the body’s defense mechanisms (Moorthy </w:t>
      </w:r>
      <w:r w:rsidRPr="0017386A">
        <w:rPr>
          <w:rFonts w:ascii="Arial" w:hAnsi="Arial" w:cs="Arial"/>
          <w:i/>
          <w:lang w:val="en-US"/>
        </w:rPr>
        <w:t xml:space="preserve">et al., </w:t>
      </w:r>
      <w:r w:rsidRPr="0017386A">
        <w:rPr>
          <w:rFonts w:ascii="Arial" w:hAnsi="Arial" w:cs="Arial"/>
          <w:lang w:val="en-US"/>
        </w:rPr>
        <w:t xml:space="preserve">2001). </w:t>
      </w:r>
      <w:r w:rsidRPr="0017386A">
        <w:rPr>
          <w:rFonts w:ascii="Arial" w:hAnsi="Arial" w:cs="Arial"/>
          <w:i/>
          <w:lang w:val="en-US"/>
        </w:rPr>
        <w:t xml:space="preserve">M. </w:t>
      </w:r>
      <w:proofErr w:type="spellStart"/>
      <w:r w:rsidRPr="0017386A">
        <w:rPr>
          <w:rFonts w:ascii="Arial" w:hAnsi="Arial" w:cs="Arial"/>
          <w:i/>
          <w:lang w:val="en-US"/>
        </w:rPr>
        <w:t>citrifolia</w:t>
      </w:r>
      <w:proofErr w:type="spellEnd"/>
      <w:r w:rsidRPr="0017386A">
        <w:rPr>
          <w:rFonts w:ascii="Arial" w:hAnsi="Arial" w:cs="Arial"/>
          <w:lang w:val="en-US"/>
        </w:rPr>
        <w:t xml:space="preserve"> is a valuable botanical resource with a diverse range of phytochemical compounds, offering potential therapeutic benefits for various health conditions, and warranting further research to fully explore its medicinal properties (Kumar </w:t>
      </w:r>
      <w:r w:rsidRPr="0017386A">
        <w:rPr>
          <w:rFonts w:ascii="Arial" w:hAnsi="Arial" w:cs="Arial"/>
          <w:i/>
          <w:lang w:val="en-US"/>
        </w:rPr>
        <w:t>et al</w:t>
      </w:r>
      <w:r w:rsidRPr="0017386A">
        <w:rPr>
          <w:rFonts w:ascii="Arial" w:hAnsi="Arial" w:cs="Arial"/>
          <w:lang w:val="en-US"/>
        </w:rPr>
        <w:t xml:space="preserve">., 2018)   </w:t>
      </w:r>
    </w:p>
    <w:p w14:paraId="1A2F764E" w14:textId="77777777" w:rsidR="0017386A" w:rsidRDefault="0017386A" w:rsidP="0017386A">
      <w:pPr>
        <w:pStyle w:val="NoSpacing"/>
        <w:rPr>
          <w:lang w:val="en-US"/>
        </w:rPr>
      </w:pPr>
    </w:p>
    <w:p w14:paraId="29DA493B" w14:textId="77777777" w:rsidR="0017386A" w:rsidRPr="002E3FF2" w:rsidRDefault="0017386A" w:rsidP="0017386A">
      <w:pPr>
        <w:pStyle w:val="NoSpacing"/>
        <w:rPr>
          <w:lang w:val="en-US"/>
        </w:rPr>
        <w:sectPr w:rsidR="0017386A" w:rsidRPr="002E3FF2" w:rsidSect="0017386A">
          <w:type w:val="continuous"/>
          <w:pgSz w:w="11906" w:h="16838"/>
          <w:pgMar w:top="1440" w:right="1440" w:bottom="1440" w:left="1440" w:header="708" w:footer="708" w:gutter="0"/>
          <w:cols w:space="708"/>
          <w:docGrid w:linePitch="360"/>
        </w:sectPr>
      </w:pPr>
    </w:p>
    <w:p w14:paraId="36382D6F" w14:textId="77777777" w:rsidR="0017386A" w:rsidRPr="002E3FF2" w:rsidRDefault="0017386A" w:rsidP="0017386A">
      <w:pPr>
        <w:tabs>
          <w:tab w:val="left" w:pos="984"/>
        </w:tabs>
        <w:spacing w:line="240" w:lineRule="auto"/>
        <w:rPr>
          <w:rFonts w:ascii="Arial" w:hAnsi="Arial" w:cs="Arial"/>
          <w:i/>
          <w:color w:val="000000" w:themeColor="text1"/>
          <w:lang w:val="en-US"/>
        </w:rPr>
      </w:pPr>
      <w:r w:rsidRPr="002E3FF2">
        <w:rPr>
          <w:rFonts w:ascii="Arial" w:hAnsi="Arial" w:cs="Arial"/>
          <w:color w:val="000000" w:themeColor="text1"/>
          <w:lang w:val="en-US"/>
        </w:rPr>
        <w:lastRenderedPageBreak/>
        <w:t xml:space="preserve">The anti-oxidant potential of </w:t>
      </w:r>
      <w:r w:rsidRPr="002E3FF2">
        <w:rPr>
          <w:rFonts w:ascii="Arial" w:hAnsi="Arial" w:cs="Arial"/>
          <w:i/>
          <w:color w:val="000000" w:themeColor="text1"/>
          <w:lang w:val="en-US"/>
        </w:rPr>
        <w:t xml:space="preserve">M. </w:t>
      </w:r>
      <w:proofErr w:type="spellStart"/>
      <w:r w:rsidRPr="002E3FF2">
        <w:rPr>
          <w:rFonts w:ascii="Arial" w:hAnsi="Arial" w:cs="Arial"/>
          <w:i/>
          <w:color w:val="000000" w:themeColor="text1"/>
          <w:lang w:val="en-US"/>
        </w:rPr>
        <w:t>citrifolia</w:t>
      </w:r>
      <w:proofErr w:type="spellEnd"/>
      <w:r w:rsidRPr="002E3FF2">
        <w:rPr>
          <w:rFonts w:ascii="Arial" w:hAnsi="Arial" w:cs="Arial"/>
          <w:color w:val="000000" w:themeColor="text1"/>
          <w:lang w:val="en-US"/>
        </w:rPr>
        <w:t xml:space="preserve"> has garnered significant attention due to its diverse array of bioactive compounds. Studies have highlighted the presence of phenolic compounds, flavonoids, iridoids, lignans, and vitamins such as C and E, which contribute to its potent free radical scavenging ability (Wang </w:t>
      </w:r>
      <w:r w:rsidRPr="002E3FF2">
        <w:rPr>
          <w:rFonts w:ascii="Arial" w:hAnsi="Arial" w:cs="Arial"/>
          <w:i/>
          <w:color w:val="000000" w:themeColor="text1"/>
          <w:lang w:val="en-US"/>
        </w:rPr>
        <w:t>et al</w:t>
      </w:r>
      <w:r w:rsidRPr="002E3FF2">
        <w:rPr>
          <w:rFonts w:ascii="Arial" w:hAnsi="Arial" w:cs="Arial"/>
          <w:color w:val="000000" w:themeColor="text1"/>
          <w:lang w:val="en-US"/>
        </w:rPr>
        <w:t xml:space="preserve">., 2012) These compounds work synergistically to reduce oxidative stress by neutralizing reactive oxygen species (ROS), thereby protecting cellular components such as DNA, proteins, and lipids from oxidative damage. This property is particularly beneficial in preventing or managing oxidative stress-related to conditions such as cardiovascular diseases, diabetes, neurodegenerative disorders, and certain types of cancer </w:t>
      </w:r>
      <w:r w:rsidRPr="002E3FF2">
        <w:rPr>
          <w:rFonts w:ascii="Arial" w:hAnsi="Arial" w:cs="Arial"/>
          <w:i/>
          <w:color w:val="000000" w:themeColor="text1"/>
          <w:lang w:val="en-US"/>
        </w:rPr>
        <w:t>(Kumar et al., 2018; Sahoo et al., 2016)</w:t>
      </w:r>
    </w:p>
    <w:p w14:paraId="2433BC5D" w14:textId="77777777" w:rsidR="0017386A" w:rsidRDefault="0017386A" w:rsidP="001D40F6">
      <w:pPr>
        <w:pStyle w:val="NoSpacing"/>
        <w:rPr>
          <w:rFonts w:ascii="Arial" w:hAnsi="Arial" w:cs="Arial"/>
          <w:noProof/>
          <w:sz w:val="24"/>
          <w:szCs w:val="24"/>
        </w:rPr>
      </w:pPr>
    </w:p>
    <w:p w14:paraId="6FCE08BC" w14:textId="77777777"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t>2. MATERIALS AND METHODS</w:t>
      </w:r>
    </w:p>
    <w:p w14:paraId="4E32030A" w14:textId="77777777"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t xml:space="preserve">2.1 Preparation of </w:t>
      </w:r>
      <w:r w:rsidRPr="002E3FF2">
        <w:rPr>
          <w:rFonts w:ascii="Arial" w:hAnsi="Arial" w:cs="Arial"/>
          <w:b/>
          <w:i/>
          <w:sz w:val="22"/>
          <w:szCs w:val="22"/>
        </w:rPr>
        <w:t xml:space="preserve">M. </w:t>
      </w:r>
      <w:proofErr w:type="spellStart"/>
      <w:r w:rsidRPr="002E3FF2">
        <w:rPr>
          <w:rFonts w:ascii="Arial" w:hAnsi="Arial" w:cs="Arial"/>
          <w:b/>
          <w:i/>
          <w:sz w:val="22"/>
          <w:szCs w:val="22"/>
        </w:rPr>
        <w:t>citrofolia</w:t>
      </w:r>
      <w:proofErr w:type="spellEnd"/>
      <w:r w:rsidRPr="002E3FF2">
        <w:rPr>
          <w:rFonts w:ascii="Arial" w:hAnsi="Arial" w:cs="Arial"/>
          <w:b/>
          <w:sz w:val="22"/>
          <w:szCs w:val="22"/>
        </w:rPr>
        <w:t xml:space="preserve"> sample</w:t>
      </w:r>
    </w:p>
    <w:p w14:paraId="6FAB8274" w14:textId="77777777" w:rsidR="0017386A" w:rsidRPr="002E3FF2" w:rsidRDefault="0017386A" w:rsidP="0017386A">
      <w:pPr>
        <w:spacing w:line="240" w:lineRule="auto"/>
        <w:rPr>
          <w:rFonts w:ascii="Arial" w:hAnsi="Arial" w:cs="Arial"/>
        </w:rPr>
      </w:pPr>
      <w:bookmarkStart w:id="3" w:name="_2s8eyo1" w:colFirst="0" w:colLast="0"/>
      <w:bookmarkEnd w:id="3"/>
      <w:r w:rsidRPr="002E3FF2">
        <w:rPr>
          <w:rFonts w:ascii="Arial" w:hAnsi="Arial" w:cs="Arial"/>
        </w:rPr>
        <w:t xml:space="preserve">Fresh leaves of </w:t>
      </w:r>
      <w:r w:rsidRPr="002E3FF2">
        <w:rPr>
          <w:rFonts w:ascii="Arial" w:hAnsi="Arial" w:cs="Arial"/>
          <w:i/>
        </w:rPr>
        <w:t xml:space="preserve">M. </w:t>
      </w:r>
      <w:proofErr w:type="spellStart"/>
      <w:r w:rsidRPr="002E3FF2">
        <w:rPr>
          <w:rFonts w:ascii="Arial" w:hAnsi="Arial" w:cs="Arial"/>
          <w:i/>
        </w:rPr>
        <w:t>citrifolia</w:t>
      </w:r>
      <w:r w:rsidRPr="002E3FF2">
        <w:rPr>
          <w:rFonts w:ascii="Arial" w:hAnsi="Arial" w:cs="Arial"/>
        </w:rPr>
        <w:t>were</w:t>
      </w:r>
      <w:proofErr w:type="spellEnd"/>
      <w:r w:rsidRPr="002E3FF2">
        <w:rPr>
          <w:rFonts w:ascii="Arial" w:hAnsi="Arial" w:cs="Arial"/>
        </w:rPr>
        <w:t xml:space="preserve"> collected from the local area of Thiruvananthapuram.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washed in tap water for several times. Later</w:t>
      </w:r>
      <w:r w:rsidRPr="002E3FF2">
        <w:rPr>
          <w:rFonts w:ascii="Arial" w:hAnsi="Arial" w:cs="Arial"/>
          <w:i/>
        </w:rPr>
        <w:t xml:space="preserve">, M. </w:t>
      </w:r>
      <w:proofErr w:type="spellStart"/>
      <w:r w:rsidRPr="002E3FF2">
        <w:rPr>
          <w:rFonts w:ascii="Arial" w:hAnsi="Arial" w:cs="Arial"/>
          <w:i/>
        </w:rPr>
        <w:t>citrifolia</w:t>
      </w:r>
      <w:proofErr w:type="spellEnd"/>
      <w:r w:rsidRPr="002E3FF2">
        <w:rPr>
          <w:rFonts w:ascii="Arial" w:hAnsi="Arial" w:cs="Arial"/>
        </w:rPr>
        <w:t xml:space="preserve"> was washed in distilled water (DW).</w:t>
      </w:r>
      <w:r w:rsidRPr="002E3FF2">
        <w:rPr>
          <w:rFonts w:ascii="Arial" w:hAnsi="Arial" w:cs="Arial"/>
          <w:i/>
        </w:rPr>
        <w:t xml:space="preserve"> M. </w:t>
      </w:r>
      <w:proofErr w:type="spellStart"/>
      <w:r w:rsidRPr="002E3FF2">
        <w:rPr>
          <w:rFonts w:ascii="Arial" w:hAnsi="Arial" w:cs="Arial"/>
          <w:i/>
        </w:rPr>
        <w:t>citrifolia</w:t>
      </w:r>
      <w:proofErr w:type="spellEnd"/>
      <w:r w:rsidRPr="002E3FF2">
        <w:rPr>
          <w:rFonts w:ascii="Arial" w:hAnsi="Arial" w:cs="Arial"/>
        </w:rPr>
        <w:t xml:space="preserve"> was dried in hot air oven at 60ºC for 2 to 3 days. Later the leaves were powdered using the grinder</w:t>
      </w:r>
      <w:r>
        <w:rPr>
          <w:rFonts w:ascii="Arial" w:hAnsi="Arial" w:cs="Arial"/>
        </w:rPr>
        <w:t>.</w:t>
      </w:r>
    </w:p>
    <w:p w14:paraId="21B88498" w14:textId="77777777"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t>2.2 Solvent Extraction</w:t>
      </w:r>
    </w:p>
    <w:p w14:paraId="3EC376CA" w14:textId="77777777" w:rsidR="0017386A" w:rsidRPr="002E3FF2" w:rsidRDefault="0017386A" w:rsidP="0017386A">
      <w:pPr>
        <w:spacing w:line="240" w:lineRule="auto"/>
        <w:rPr>
          <w:rFonts w:ascii="Arial" w:hAnsi="Arial" w:cs="Arial"/>
          <w:b/>
        </w:rPr>
      </w:pPr>
      <w:r w:rsidRPr="002E3FF2">
        <w:rPr>
          <w:rFonts w:ascii="Arial" w:hAnsi="Arial" w:cs="Arial"/>
        </w:rPr>
        <w:t xml:space="preserve">To extract bioactive compounds from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begin by drying the fruits or leaves completely and then grinding them into a fine powder. Weigh 10g of the powdered material and mix it with 100mL of a solvent, such as pure acetone or an acetone-water mixture. Utilize a magnetic stirrer to stir the mixture at medium speed for 2 - 4 hours (hrs), with optional gentle heating to 40°C (degree Celsius). Next, filter the solution through filter paper or muslin cloth with an 80:20 ratio. The extract was concentrated using a rotary evaporator or water bath at a temperature not exceeding 40°C. Finally, transfer the concentrated extract to an amber bottle, seal it tightly, and store it at 4°C. This extraction protocol ensures the efficient and safe retrieval of bioactive compounds from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w:t>
      </w:r>
    </w:p>
    <w:p w14:paraId="6BB0E65E" w14:textId="77777777" w:rsidR="0017386A" w:rsidRPr="002E3FF2" w:rsidRDefault="0017386A" w:rsidP="0017386A">
      <w:pPr>
        <w:spacing w:line="240" w:lineRule="auto"/>
        <w:rPr>
          <w:rFonts w:ascii="Arial" w:hAnsi="Arial" w:cs="Arial"/>
          <w:b/>
          <w:sz w:val="22"/>
          <w:szCs w:val="22"/>
        </w:rPr>
      </w:pPr>
      <w:r w:rsidRPr="002E3FF2">
        <w:rPr>
          <w:rFonts w:ascii="Arial" w:hAnsi="Arial" w:cs="Arial"/>
          <w:b/>
          <w:sz w:val="22"/>
          <w:szCs w:val="22"/>
        </w:rPr>
        <w:t>2.3 Phytochemical analysis</w:t>
      </w:r>
    </w:p>
    <w:p w14:paraId="7C828CD2" w14:textId="77777777" w:rsidR="0017386A" w:rsidRPr="002E3FF2" w:rsidRDefault="0017386A" w:rsidP="0017386A">
      <w:pPr>
        <w:spacing w:line="240" w:lineRule="auto"/>
        <w:rPr>
          <w:rFonts w:ascii="Arial" w:hAnsi="Arial" w:cs="Arial"/>
        </w:rPr>
      </w:pPr>
      <w:r w:rsidRPr="002E3FF2">
        <w:rPr>
          <w:rFonts w:ascii="Arial" w:hAnsi="Arial" w:cs="Arial"/>
        </w:rPr>
        <w:t xml:space="preserve">The test sample was subjected to phytochemical analysis in order to determine the physical and chemical properties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The phytochemical tests were employed for the presence of phenols, alkaloids, flavonoids and terpenoids activity of</w:t>
      </w:r>
      <w:r w:rsidRPr="002E3FF2">
        <w:rPr>
          <w:rFonts w:ascii="Arial" w:hAnsi="Arial" w:cs="Arial"/>
          <w:i/>
        </w:rPr>
        <w:t xml:space="preserve"> M. </w:t>
      </w:r>
      <w:proofErr w:type="spellStart"/>
      <w:r w:rsidRPr="002E3FF2">
        <w:rPr>
          <w:rFonts w:ascii="Arial" w:hAnsi="Arial" w:cs="Arial"/>
          <w:i/>
        </w:rPr>
        <w:t>citrifolia</w:t>
      </w:r>
      <w:proofErr w:type="spellEnd"/>
      <w:r w:rsidRPr="002E3FF2">
        <w:rPr>
          <w:rFonts w:ascii="Arial" w:hAnsi="Arial" w:cs="Arial"/>
        </w:rPr>
        <w:t>.</w:t>
      </w:r>
    </w:p>
    <w:p w14:paraId="37614B0D" w14:textId="77777777" w:rsidR="0017386A" w:rsidRPr="002E3FF2" w:rsidRDefault="0017386A" w:rsidP="0017386A">
      <w:pPr>
        <w:spacing w:line="240" w:lineRule="auto"/>
        <w:rPr>
          <w:rFonts w:ascii="Arial" w:hAnsi="Arial" w:cs="Arial"/>
          <w:b/>
          <w:bCs/>
        </w:rPr>
        <w:sectPr w:rsidR="0017386A" w:rsidRPr="002E3FF2" w:rsidSect="0017386A">
          <w:type w:val="continuous"/>
          <w:pgSz w:w="11906" w:h="16838"/>
          <w:pgMar w:top="1440" w:right="1440" w:bottom="1440" w:left="1440" w:header="708" w:footer="708" w:gutter="0"/>
          <w:cols w:space="708"/>
          <w:docGrid w:linePitch="360"/>
        </w:sectPr>
      </w:pPr>
    </w:p>
    <w:p w14:paraId="2A8907D1" w14:textId="77777777" w:rsidR="00295102" w:rsidRDefault="0017386A" w:rsidP="0017386A">
      <w:pPr>
        <w:spacing w:line="240" w:lineRule="auto"/>
        <w:rPr>
          <w:rFonts w:ascii="Arial" w:hAnsi="Arial" w:cs="Arial"/>
          <w:b/>
          <w:bCs/>
        </w:rPr>
      </w:pPr>
      <w:r w:rsidRPr="002E3FF2">
        <w:rPr>
          <w:rFonts w:ascii="Arial" w:hAnsi="Arial" w:cs="Arial"/>
          <w:b/>
          <w:bCs/>
        </w:rPr>
        <w:t xml:space="preserve">2.3.1Test for terpenoids                       </w:t>
      </w:r>
    </w:p>
    <w:p w14:paraId="65FDAB73" w14:textId="77777777" w:rsidR="00295102" w:rsidRDefault="00295102" w:rsidP="0017386A">
      <w:pPr>
        <w:spacing w:line="240" w:lineRule="auto"/>
        <w:rPr>
          <w:rFonts w:ascii="Arial" w:hAnsi="Arial" w:cs="Arial"/>
        </w:rPr>
      </w:pPr>
      <w:r w:rsidRPr="002E3FF2">
        <w:rPr>
          <w:rFonts w:ascii="Arial" w:hAnsi="Arial" w:cs="Arial"/>
        </w:rPr>
        <w:t>The given sample was dissolved in 2ml chloroform (CHCl</w:t>
      </w:r>
      <w:r w:rsidRPr="002E3FF2">
        <w:rPr>
          <w:rFonts w:ascii="Arial" w:hAnsi="Arial" w:cs="Arial"/>
          <w:vertAlign w:val="subscript"/>
        </w:rPr>
        <w:t>3</w:t>
      </w:r>
      <w:r w:rsidRPr="002E3FF2">
        <w:rPr>
          <w:rFonts w:ascii="Arial" w:hAnsi="Arial" w:cs="Arial"/>
        </w:rPr>
        <w:t>) and added few drops of con. sulphuric acid (H</w:t>
      </w:r>
      <w:r w:rsidRPr="002E3FF2">
        <w:rPr>
          <w:rFonts w:ascii="Arial" w:hAnsi="Arial" w:cs="Arial"/>
          <w:vertAlign w:val="subscript"/>
        </w:rPr>
        <w:t>2</w:t>
      </w:r>
      <w:r w:rsidRPr="002E3FF2">
        <w:rPr>
          <w:rFonts w:ascii="Arial" w:hAnsi="Arial" w:cs="Arial"/>
        </w:rPr>
        <w:t>SO4). Then the sample was observed for the presence of grey colour. Grey colour was not observed in the sample</w:t>
      </w:r>
      <w:r>
        <w:rPr>
          <w:rFonts w:ascii="Arial" w:hAnsi="Arial" w:cs="Arial"/>
        </w:rPr>
        <w:t>.</w:t>
      </w:r>
    </w:p>
    <w:p w14:paraId="4FA74267" w14:textId="77777777" w:rsidR="00295102" w:rsidRPr="002E3FF2" w:rsidRDefault="00295102" w:rsidP="00295102">
      <w:pPr>
        <w:spacing w:line="240" w:lineRule="auto"/>
        <w:rPr>
          <w:rFonts w:ascii="Arial" w:hAnsi="Arial" w:cs="Arial"/>
          <w:b/>
        </w:rPr>
      </w:pPr>
      <w:r w:rsidRPr="002E3FF2">
        <w:rPr>
          <w:rFonts w:ascii="Arial" w:hAnsi="Arial" w:cs="Arial"/>
          <w:b/>
        </w:rPr>
        <w:t>2.3.2 Test for phenols</w:t>
      </w:r>
    </w:p>
    <w:p w14:paraId="5EAB4B46" w14:textId="77777777" w:rsidR="00295102" w:rsidRPr="002E3FF2" w:rsidRDefault="00295102" w:rsidP="00295102">
      <w:pPr>
        <w:spacing w:line="240" w:lineRule="auto"/>
        <w:rPr>
          <w:rFonts w:ascii="Arial" w:hAnsi="Arial" w:cs="Arial"/>
        </w:rPr>
      </w:pPr>
      <w:r w:rsidRPr="002E3FF2">
        <w:rPr>
          <w:rFonts w:ascii="Arial" w:hAnsi="Arial" w:cs="Arial"/>
        </w:rPr>
        <w:t>The given sample was dissolved in 5% ferric chloride (FeCl</w:t>
      </w:r>
      <w:r w:rsidRPr="002E3FF2">
        <w:rPr>
          <w:rFonts w:ascii="Arial" w:hAnsi="Arial" w:cs="Arial"/>
          <w:vertAlign w:val="subscript"/>
        </w:rPr>
        <w:t>3</w:t>
      </w:r>
      <w:r w:rsidRPr="002E3FF2">
        <w:rPr>
          <w:rFonts w:ascii="Arial" w:hAnsi="Arial" w:cs="Arial"/>
        </w:rPr>
        <w:t>) solution. Then the sample was observed for the presence of bluish black or dark green colour. A bluish black colour was observed in the sample</w:t>
      </w:r>
      <w:r>
        <w:rPr>
          <w:rFonts w:ascii="Arial" w:hAnsi="Arial" w:cs="Arial"/>
        </w:rPr>
        <w:t>.</w:t>
      </w:r>
    </w:p>
    <w:p w14:paraId="6C739ECF" w14:textId="77777777" w:rsidR="00295102" w:rsidRDefault="00295102" w:rsidP="0017386A">
      <w:pPr>
        <w:spacing w:line="240" w:lineRule="auto"/>
        <w:rPr>
          <w:rFonts w:ascii="Arial" w:hAnsi="Arial" w:cs="Arial"/>
          <w:b/>
        </w:rPr>
      </w:pPr>
      <w:r w:rsidRPr="002E3FF2">
        <w:rPr>
          <w:rFonts w:ascii="Arial" w:hAnsi="Arial" w:cs="Arial"/>
          <w:b/>
        </w:rPr>
        <w:t>2..3.3 Test for alkaloids</w:t>
      </w:r>
    </w:p>
    <w:p w14:paraId="2AA057FF" w14:textId="77777777" w:rsidR="00295102" w:rsidRPr="002E3FF2" w:rsidRDefault="00295102" w:rsidP="00295102">
      <w:pPr>
        <w:spacing w:line="240" w:lineRule="auto"/>
        <w:rPr>
          <w:rFonts w:ascii="Arial" w:hAnsi="Arial" w:cs="Arial"/>
          <w:b/>
        </w:rPr>
      </w:pPr>
      <w:r w:rsidRPr="002E3FF2">
        <w:rPr>
          <w:rFonts w:ascii="Arial" w:hAnsi="Arial" w:cs="Arial"/>
        </w:rPr>
        <w:t>The given sample was dissolved in Wagner’s reagent. Then the sample was observed for the presence of reddish-brown colour precipitate. The sample changed into a reddish-brown colour. The given sample was dissolved in 2% Sodium hydroxide (NaOH) solution and then added few drops of hydrochloric acid (HCl). The sample was observed for the colour change. The sample changed into colourless substance by adding HCL.</w:t>
      </w:r>
    </w:p>
    <w:p w14:paraId="645CA195" w14:textId="77777777" w:rsidR="00295102" w:rsidRPr="002E3FF2" w:rsidRDefault="00295102" w:rsidP="00295102">
      <w:pPr>
        <w:spacing w:line="240" w:lineRule="auto"/>
        <w:rPr>
          <w:rFonts w:ascii="Arial" w:hAnsi="Arial" w:cs="Arial"/>
          <w:b/>
        </w:rPr>
      </w:pPr>
      <w:r w:rsidRPr="002E3FF2">
        <w:rPr>
          <w:rFonts w:ascii="Arial" w:hAnsi="Arial" w:cs="Arial"/>
          <w:b/>
        </w:rPr>
        <w:t xml:space="preserve">2.3.4 Test for flavonoids </w:t>
      </w:r>
    </w:p>
    <w:p w14:paraId="50AFCA10" w14:textId="77777777" w:rsidR="00295102" w:rsidRPr="002E3FF2" w:rsidRDefault="00295102" w:rsidP="00295102">
      <w:pPr>
        <w:spacing w:line="240" w:lineRule="auto"/>
        <w:rPr>
          <w:rFonts w:ascii="Arial" w:hAnsi="Arial" w:cs="Arial"/>
          <w:bCs/>
        </w:rPr>
      </w:pPr>
      <w:r w:rsidRPr="002E3FF2">
        <w:rPr>
          <w:rFonts w:ascii="Arial" w:hAnsi="Arial" w:cs="Arial"/>
          <w:bCs/>
        </w:rPr>
        <w:t xml:space="preserve">The flavonoid test was conducted by preparing a sample solution at a concentration of 1 mg/mL in a defined solvent. To this solution, 2 mL of 2% NaOH was added. A positive result was indicated by the formation of an intense yellow colour, confirming the presence of flavonoids. Upon the addition of a diluted acid, the yellow colour disappeared, turning the solution colourless. </w:t>
      </w:r>
    </w:p>
    <w:p w14:paraId="02E7A819" w14:textId="77777777" w:rsidR="00295102" w:rsidRPr="002E3FF2" w:rsidRDefault="00295102" w:rsidP="00295102">
      <w:pPr>
        <w:spacing w:line="240" w:lineRule="auto"/>
        <w:rPr>
          <w:rFonts w:ascii="Arial" w:hAnsi="Arial" w:cs="Arial"/>
          <w:b/>
          <w:i/>
          <w:sz w:val="22"/>
          <w:szCs w:val="22"/>
        </w:rPr>
      </w:pPr>
      <w:bookmarkStart w:id="4" w:name="_17dp8vu" w:colFirst="0" w:colLast="0"/>
      <w:bookmarkEnd w:id="4"/>
      <w:r w:rsidRPr="002E3FF2">
        <w:rPr>
          <w:rFonts w:ascii="Arial" w:hAnsi="Arial" w:cs="Arial"/>
          <w:b/>
          <w:sz w:val="22"/>
          <w:szCs w:val="22"/>
        </w:rPr>
        <w:lastRenderedPageBreak/>
        <w:t xml:space="preserve">2.4 Quantitative analysis of </w:t>
      </w:r>
      <w:r w:rsidRPr="002E3FF2">
        <w:rPr>
          <w:rFonts w:ascii="Arial" w:hAnsi="Arial" w:cs="Arial"/>
          <w:b/>
          <w:i/>
          <w:sz w:val="22"/>
          <w:szCs w:val="22"/>
        </w:rPr>
        <w:t xml:space="preserve">M. </w:t>
      </w:r>
      <w:proofErr w:type="spellStart"/>
      <w:r w:rsidRPr="002E3FF2">
        <w:rPr>
          <w:rFonts w:ascii="Arial" w:hAnsi="Arial" w:cs="Arial"/>
          <w:b/>
          <w:i/>
          <w:sz w:val="22"/>
          <w:szCs w:val="22"/>
        </w:rPr>
        <w:t>citrifolia</w:t>
      </w:r>
      <w:proofErr w:type="spellEnd"/>
    </w:p>
    <w:p w14:paraId="0C288A39" w14:textId="77777777" w:rsidR="00295102" w:rsidRPr="002E3FF2" w:rsidRDefault="00295102" w:rsidP="00295102">
      <w:pPr>
        <w:spacing w:line="240" w:lineRule="auto"/>
        <w:rPr>
          <w:rFonts w:ascii="Arial" w:hAnsi="Arial" w:cs="Arial"/>
          <w:b/>
        </w:rPr>
      </w:pPr>
      <w:r w:rsidRPr="002E3FF2">
        <w:rPr>
          <w:rFonts w:ascii="Arial" w:hAnsi="Arial" w:cs="Arial"/>
          <w:b/>
        </w:rPr>
        <w:t>2.4.1 Estimation of phenols</w:t>
      </w:r>
    </w:p>
    <w:p w14:paraId="0A4B5699" w14:textId="77777777" w:rsidR="00295102" w:rsidRPr="00295102" w:rsidRDefault="00295102" w:rsidP="0017386A">
      <w:pPr>
        <w:spacing w:line="240" w:lineRule="auto"/>
        <w:rPr>
          <w:rFonts w:ascii="Arial" w:hAnsi="Arial" w:cs="Arial"/>
          <w:b/>
        </w:rPr>
        <w:sectPr w:rsidR="00295102" w:rsidRPr="00295102" w:rsidSect="0017386A">
          <w:type w:val="continuous"/>
          <w:pgSz w:w="11906" w:h="16838"/>
          <w:pgMar w:top="1440" w:right="1440" w:bottom="1440" w:left="1440" w:header="708" w:footer="708" w:gutter="0"/>
          <w:cols w:space="708"/>
          <w:docGrid w:linePitch="360"/>
        </w:sectPr>
      </w:pPr>
    </w:p>
    <w:p w14:paraId="0745E44C" w14:textId="77777777" w:rsidR="00295102" w:rsidRPr="00295102" w:rsidRDefault="00295102" w:rsidP="00295102">
      <w:pPr>
        <w:rPr>
          <w:rFonts w:ascii="Arial" w:hAnsi="Arial" w:cs="Arial"/>
        </w:rPr>
        <w:sectPr w:rsidR="00295102" w:rsidRPr="00295102" w:rsidSect="0017386A">
          <w:type w:val="continuous"/>
          <w:pgSz w:w="11906" w:h="16838"/>
          <w:pgMar w:top="1440" w:right="1440" w:bottom="1440" w:left="1440" w:header="708" w:footer="708" w:gutter="0"/>
          <w:cols w:space="708"/>
          <w:docGrid w:linePitch="360"/>
        </w:sectPr>
      </w:pPr>
    </w:p>
    <w:p w14:paraId="1F53EF16" w14:textId="77777777" w:rsidR="0017386A" w:rsidRPr="002E3FF2" w:rsidRDefault="0017386A" w:rsidP="0017386A">
      <w:pPr>
        <w:spacing w:line="240" w:lineRule="auto"/>
        <w:rPr>
          <w:rFonts w:ascii="Arial" w:hAnsi="Arial" w:cs="Arial"/>
        </w:rPr>
        <w:sectPr w:rsidR="0017386A" w:rsidRPr="002E3FF2" w:rsidSect="0017386A">
          <w:type w:val="continuous"/>
          <w:pgSz w:w="11906" w:h="16838"/>
          <w:pgMar w:top="1440" w:right="1440" w:bottom="1440" w:left="1440" w:header="708" w:footer="708" w:gutter="0"/>
          <w:cols w:space="708"/>
          <w:docGrid w:linePitch="360"/>
        </w:sectPr>
      </w:pPr>
      <w:r w:rsidRPr="002E3FF2">
        <w:rPr>
          <w:rFonts w:ascii="Arial" w:hAnsi="Arial" w:cs="Arial"/>
        </w:rPr>
        <w:t xml:space="preserve">To estimate the phenolic content in a sample, taking 1 mL of the sample extract and transfer it into a clean test tube. Prepare 7.5% of </w:t>
      </w:r>
      <w:proofErr w:type="spellStart"/>
      <w:r w:rsidRPr="002E3FF2">
        <w:rPr>
          <w:rFonts w:ascii="Arial" w:hAnsi="Arial" w:cs="Arial"/>
        </w:rPr>
        <w:t>Folin-ciocateu</w:t>
      </w:r>
      <w:proofErr w:type="spellEnd"/>
      <w:r w:rsidRPr="002E3FF2">
        <w:rPr>
          <w:rFonts w:ascii="Arial" w:hAnsi="Arial" w:cs="Arial"/>
        </w:rPr>
        <w:t xml:space="preserve"> reagent </w:t>
      </w:r>
    </w:p>
    <w:p w14:paraId="7207E9C2" w14:textId="77777777" w:rsidR="0017386A" w:rsidRPr="002E3FF2" w:rsidRDefault="0017386A" w:rsidP="0017386A">
      <w:pPr>
        <w:spacing w:line="240" w:lineRule="auto"/>
        <w:rPr>
          <w:rFonts w:ascii="Arial" w:hAnsi="Arial" w:cs="Arial"/>
        </w:rPr>
      </w:pPr>
      <w:r w:rsidRPr="002E3FF2">
        <w:rPr>
          <w:rFonts w:ascii="Arial" w:hAnsi="Arial" w:cs="Arial"/>
        </w:rPr>
        <w:t>(FC reagent), 2 mL of FC reagent to the test tube containing sample extract. This reagent reacted with the phenolic compounds in the sample. Following this, introduced 4mL of 0.375g of sodium carbonate (Na</w:t>
      </w:r>
      <w:r w:rsidRPr="002E3FF2">
        <w:rPr>
          <w:rFonts w:ascii="Arial" w:hAnsi="Arial" w:cs="Arial"/>
          <w:vertAlign w:val="subscript"/>
        </w:rPr>
        <w:t>2</w:t>
      </w:r>
      <w:r w:rsidRPr="002E3FF2">
        <w:rPr>
          <w:rFonts w:ascii="Arial" w:hAnsi="Arial" w:cs="Arial"/>
        </w:rPr>
        <w:t>CO</w:t>
      </w:r>
      <w:r w:rsidRPr="002E3FF2">
        <w:rPr>
          <w:rFonts w:ascii="Arial" w:hAnsi="Arial" w:cs="Arial"/>
          <w:vertAlign w:val="subscript"/>
        </w:rPr>
        <w:t>3</w:t>
      </w:r>
      <w:r w:rsidRPr="002E3FF2">
        <w:rPr>
          <w:rFonts w:ascii="Arial" w:hAnsi="Arial" w:cs="Arial"/>
        </w:rPr>
        <w:t xml:space="preserve">) solution to the mixture. After adding the sodium carbonate, thoroughly mix the solution to ensure that all components, including the sample extract, </w:t>
      </w:r>
      <w:proofErr w:type="spellStart"/>
      <w:r w:rsidRPr="002E3FF2">
        <w:rPr>
          <w:rFonts w:ascii="Arial" w:hAnsi="Arial" w:cs="Arial"/>
        </w:rPr>
        <w:t>folin-ciocalteu</w:t>
      </w:r>
      <w:proofErr w:type="spellEnd"/>
      <w:r w:rsidRPr="002E3FF2">
        <w:rPr>
          <w:rFonts w:ascii="Arial" w:hAnsi="Arial" w:cs="Arial"/>
        </w:rPr>
        <w:t xml:space="preserve"> reagent and sodium carbonate interact completely.</w:t>
      </w:r>
    </w:p>
    <w:p w14:paraId="349FB312" w14:textId="77777777" w:rsidR="0017386A" w:rsidRPr="002E3FF2" w:rsidRDefault="0017386A" w:rsidP="0017386A">
      <w:pPr>
        <w:spacing w:line="240" w:lineRule="auto"/>
        <w:rPr>
          <w:rFonts w:ascii="Arial" w:hAnsi="Arial" w:cs="Arial"/>
        </w:rPr>
      </w:pPr>
      <w:r w:rsidRPr="002E3FF2">
        <w:rPr>
          <w:rFonts w:ascii="Arial" w:hAnsi="Arial" w:cs="Arial"/>
        </w:rPr>
        <w:t xml:space="preserve">Once the solution is well mixed, allowed it to incubate in dark at room temperature for 30 minutes (mins). This incubation period is necessary for the full development of the colour and for the reaction to reach completion. During this time, the phenolic compounds in the extract reduce the </w:t>
      </w:r>
      <w:proofErr w:type="spellStart"/>
      <w:r w:rsidRPr="002E3FF2">
        <w:rPr>
          <w:rFonts w:ascii="Arial" w:hAnsi="Arial" w:cs="Arial"/>
        </w:rPr>
        <w:t>Folin-ciocateu</w:t>
      </w:r>
      <w:proofErr w:type="spellEnd"/>
      <w:r w:rsidRPr="002E3FF2">
        <w:rPr>
          <w:rFonts w:ascii="Arial" w:hAnsi="Arial" w:cs="Arial"/>
        </w:rPr>
        <w:t xml:space="preserve"> reagent, and a blue complex formed, later measured spectrophotometrically to determine the phenolic content</w:t>
      </w:r>
    </w:p>
    <w:p w14:paraId="6DA597DF" w14:textId="77777777" w:rsidR="0017386A" w:rsidRPr="002E3FF2" w:rsidRDefault="0017386A" w:rsidP="0017386A">
      <w:pPr>
        <w:spacing w:line="240" w:lineRule="auto"/>
        <w:rPr>
          <w:rFonts w:ascii="Arial" w:hAnsi="Arial" w:cs="Arial"/>
          <w:b/>
          <w:bCs/>
        </w:rPr>
      </w:pPr>
      <w:r w:rsidRPr="002E3FF2">
        <w:rPr>
          <w:rFonts w:ascii="Arial" w:hAnsi="Arial" w:cs="Arial"/>
          <w:b/>
          <w:bCs/>
        </w:rPr>
        <w:t>2.4.2 Estimation of flavonoids</w:t>
      </w:r>
    </w:p>
    <w:p w14:paraId="04C03A28" w14:textId="77777777" w:rsidR="0017386A" w:rsidRPr="002E3FF2" w:rsidRDefault="0017386A" w:rsidP="0017386A">
      <w:pPr>
        <w:spacing w:line="240" w:lineRule="auto"/>
        <w:rPr>
          <w:rFonts w:ascii="Arial" w:hAnsi="Arial" w:cs="Arial"/>
        </w:rPr>
      </w:pPr>
      <w:r w:rsidRPr="002E3FF2">
        <w:rPr>
          <w:rFonts w:ascii="Arial" w:hAnsi="Arial" w:cs="Arial"/>
        </w:rPr>
        <w:t>To prepare the sample, mix 1 ml of extract with 1 mL of acetone in a sample tube. Then, transfer 1 mL of the sample mixture into a test tube and added 2 mL of 5% sodium nitrate (CHCl</w:t>
      </w:r>
      <w:r w:rsidRPr="002E3FF2">
        <w:rPr>
          <w:rFonts w:ascii="Arial" w:hAnsi="Arial" w:cs="Arial"/>
          <w:vertAlign w:val="subscript"/>
        </w:rPr>
        <w:t>3</w:t>
      </w:r>
      <w:r w:rsidRPr="002E3FF2">
        <w:rPr>
          <w:rFonts w:ascii="Arial" w:hAnsi="Arial" w:cs="Arial"/>
        </w:rPr>
        <w:t>). Incubated in the dark for 5 mins. Next, add 3 mL of 10% aluminium chloride (AlCl</w:t>
      </w:r>
      <w:r w:rsidRPr="002E3FF2">
        <w:rPr>
          <w:rFonts w:ascii="Arial" w:hAnsi="Arial" w:cs="Arial"/>
          <w:vertAlign w:val="subscript"/>
        </w:rPr>
        <w:t>3</w:t>
      </w:r>
      <w:r w:rsidRPr="002E3FF2">
        <w:rPr>
          <w:rFonts w:ascii="Arial" w:hAnsi="Arial" w:cs="Arial"/>
        </w:rPr>
        <w:t xml:space="preserve">) and 2 ml of 1 M NaOH, mixing well, and incubated in the dark for an additional 5 mins. After that, add 2 mL of DW and dilute to a final volume of 10 </w:t>
      </w:r>
      <w:proofErr w:type="spellStart"/>
      <w:r w:rsidRPr="002E3FF2">
        <w:rPr>
          <w:rFonts w:ascii="Arial" w:hAnsi="Arial" w:cs="Arial"/>
        </w:rPr>
        <w:t>mL.</w:t>
      </w:r>
      <w:proofErr w:type="spellEnd"/>
      <w:r w:rsidRPr="002E3FF2">
        <w:rPr>
          <w:rFonts w:ascii="Arial" w:hAnsi="Arial" w:cs="Arial"/>
        </w:rPr>
        <w:t xml:space="preserve"> Incubated for 10 mins, then measured the absorbance at 510 nm using spectrophotometer.</w:t>
      </w:r>
    </w:p>
    <w:p w14:paraId="5D83B29F" w14:textId="77777777" w:rsidR="0017386A" w:rsidRPr="002E3FF2" w:rsidRDefault="0017386A" w:rsidP="0017386A">
      <w:pPr>
        <w:spacing w:line="240" w:lineRule="auto"/>
        <w:rPr>
          <w:rFonts w:ascii="Arial" w:hAnsi="Arial" w:cs="Arial"/>
          <w:b/>
        </w:rPr>
        <w:sectPr w:rsidR="0017386A" w:rsidRPr="002E3FF2" w:rsidSect="0017386A">
          <w:type w:val="continuous"/>
          <w:pgSz w:w="11906" w:h="16838"/>
          <w:pgMar w:top="1440" w:right="1440" w:bottom="1440" w:left="1440" w:header="708" w:footer="708" w:gutter="0"/>
          <w:cols w:space="708"/>
          <w:docGrid w:linePitch="360"/>
        </w:sectPr>
      </w:pPr>
    </w:p>
    <w:p w14:paraId="20687067" w14:textId="77777777" w:rsidR="0017386A" w:rsidRPr="002E3FF2" w:rsidRDefault="0017386A" w:rsidP="0017386A">
      <w:pPr>
        <w:spacing w:line="240" w:lineRule="auto"/>
        <w:rPr>
          <w:rFonts w:ascii="Arial" w:hAnsi="Arial" w:cs="Arial"/>
        </w:rPr>
      </w:pPr>
      <w:r w:rsidRPr="002E3FF2">
        <w:rPr>
          <w:rFonts w:ascii="Arial" w:hAnsi="Arial" w:cs="Arial"/>
          <w:b/>
        </w:rPr>
        <w:t>2.4.3 Estimation of alkaloids</w:t>
      </w:r>
    </w:p>
    <w:p w14:paraId="61ACF5CF" w14:textId="77777777" w:rsidR="0017386A" w:rsidRPr="002E3FF2" w:rsidRDefault="0017386A" w:rsidP="0017386A">
      <w:pPr>
        <w:spacing w:line="240" w:lineRule="auto"/>
        <w:rPr>
          <w:rFonts w:ascii="Arial" w:hAnsi="Arial" w:cs="Arial"/>
        </w:rPr>
        <w:sectPr w:rsidR="0017386A" w:rsidRPr="002E3FF2" w:rsidSect="0017386A">
          <w:type w:val="continuous"/>
          <w:pgSz w:w="11906" w:h="16838"/>
          <w:pgMar w:top="1440" w:right="1440" w:bottom="1440" w:left="1440" w:header="708" w:footer="708" w:gutter="0"/>
          <w:cols w:space="708"/>
          <w:docGrid w:linePitch="360"/>
        </w:sectPr>
      </w:pPr>
    </w:p>
    <w:p w14:paraId="435EF099" w14:textId="77777777" w:rsidR="0017386A" w:rsidRPr="002E3FF2" w:rsidRDefault="0017386A" w:rsidP="0017386A">
      <w:pPr>
        <w:spacing w:line="240" w:lineRule="auto"/>
        <w:rPr>
          <w:rFonts w:ascii="Arial" w:hAnsi="Arial" w:cs="Arial"/>
        </w:rPr>
      </w:pPr>
      <w:r w:rsidRPr="002E3FF2">
        <w:rPr>
          <w:rFonts w:ascii="Arial" w:hAnsi="Arial" w:cs="Arial"/>
        </w:rPr>
        <w:t xml:space="preserve">To estimate alkaloid content, a phosphate buffer (5 mL) was prepared in 3:2 ratio by mixing 3 mL of disodium hydrogen phosphate dehydrate (Na2HPO4·2H2O) with 2 mL of sodium dihydrogen phosphate dihydrate (NaH2PO4·2H2O). Bromocresol (5 mL) was prepared separately. The experiment commenced by combining phosphate buffer,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extract, bromocresol green, and alkaloid, resulting in a blue-</w:t>
      </w:r>
      <w:proofErr w:type="spellStart"/>
      <w:r w:rsidRPr="002E3FF2">
        <w:rPr>
          <w:rFonts w:ascii="Arial" w:hAnsi="Arial" w:cs="Arial"/>
        </w:rPr>
        <w:t>colored</w:t>
      </w:r>
      <w:proofErr w:type="spellEnd"/>
      <w:r w:rsidRPr="002E3FF2">
        <w:rPr>
          <w:rFonts w:ascii="Arial" w:hAnsi="Arial" w:cs="Arial"/>
        </w:rPr>
        <w:t xml:space="preserve"> solution. This solution was transferred to a separating funnel, and 1 mL of chloroform was added, forming two distinct layers. An additional 2 mL of chloroform was then added, yielding a light yellow-</w:t>
      </w:r>
      <w:proofErr w:type="spellStart"/>
      <w:r w:rsidRPr="002E3FF2">
        <w:rPr>
          <w:rFonts w:ascii="Arial" w:hAnsi="Arial" w:cs="Arial"/>
        </w:rPr>
        <w:t>colored</w:t>
      </w:r>
      <w:proofErr w:type="spellEnd"/>
      <w:r w:rsidRPr="002E3FF2">
        <w:rPr>
          <w:rFonts w:ascii="Arial" w:hAnsi="Arial" w:cs="Arial"/>
        </w:rPr>
        <w:t xml:space="preserve"> solution. The resulting yellow-coloured substance and blue-</w:t>
      </w:r>
      <w:proofErr w:type="spellStart"/>
      <w:r w:rsidRPr="002E3FF2">
        <w:rPr>
          <w:rFonts w:ascii="Arial" w:hAnsi="Arial" w:cs="Arial"/>
        </w:rPr>
        <w:t>colored</w:t>
      </w:r>
      <w:proofErr w:type="spellEnd"/>
      <w:r w:rsidRPr="002E3FF2">
        <w:rPr>
          <w:rFonts w:ascii="Arial" w:hAnsi="Arial" w:cs="Arial"/>
        </w:rPr>
        <w:t xml:space="preserve"> substance were collected separately in test tubes. The yellow-coloured substance was used to measure absorbance at 470nm in spectrophotometer.</w:t>
      </w:r>
    </w:p>
    <w:p w14:paraId="2C40F4BA" w14:textId="77777777" w:rsidR="0017386A" w:rsidRPr="002E3FF2" w:rsidRDefault="0017386A" w:rsidP="0017386A">
      <w:pPr>
        <w:spacing w:line="240" w:lineRule="auto"/>
        <w:rPr>
          <w:rFonts w:ascii="Arial" w:hAnsi="Arial" w:cs="Arial"/>
          <w:sz w:val="22"/>
          <w:szCs w:val="22"/>
        </w:rPr>
      </w:pPr>
      <w:r w:rsidRPr="002E3FF2">
        <w:rPr>
          <w:rFonts w:ascii="Arial" w:hAnsi="Arial" w:cs="Arial"/>
          <w:b/>
          <w:sz w:val="22"/>
          <w:szCs w:val="22"/>
        </w:rPr>
        <w:t xml:space="preserve">2.5 Analysis of anti-bacterial effects of </w:t>
      </w:r>
      <w:r w:rsidRPr="002E3FF2">
        <w:rPr>
          <w:rFonts w:ascii="Arial" w:hAnsi="Arial" w:cs="Arial"/>
          <w:b/>
          <w:i/>
          <w:sz w:val="22"/>
          <w:szCs w:val="22"/>
        </w:rPr>
        <w:t xml:space="preserve">M. </w:t>
      </w:r>
      <w:proofErr w:type="spellStart"/>
      <w:r w:rsidRPr="002E3FF2">
        <w:rPr>
          <w:rFonts w:ascii="Arial" w:hAnsi="Arial" w:cs="Arial"/>
          <w:b/>
          <w:i/>
          <w:sz w:val="22"/>
          <w:szCs w:val="22"/>
        </w:rPr>
        <w:t>citrifolia</w:t>
      </w:r>
      <w:proofErr w:type="spellEnd"/>
    </w:p>
    <w:p w14:paraId="52F94090" w14:textId="77777777" w:rsidR="0017386A" w:rsidRPr="002E3FF2" w:rsidRDefault="0017386A" w:rsidP="0017386A">
      <w:pPr>
        <w:spacing w:line="240" w:lineRule="auto"/>
        <w:rPr>
          <w:rFonts w:ascii="Arial" w:hAnsi="Arial" w:cs="Arial"/>
          <w:b/>
        </w:rPr>
      </w:pPr>
      <w:r w:rsidRPr="002E3FF2">
        <w:rPr>
          <w:rFonts w:ascii="Arial" w:hAnsi="Arial" w:cs="Arial"/>
          <w:b/>
        </w:rPr>
        <w:t>2.5.1 Inoculation</w:t>
      </w:r>
    </w:p>
    <w:p w14:paraId="3F2EA89B" w14:textId="77777777" w:rsidR="0017386A" w:rsidRPr="002E3FF2" w:rsidRDefault="0017386A" w:rsidP="0017386A">
      <w:pPr>
        <w:spacing w:line="240" w:lineRule="auto"/>
        <w:rPr>
          <w:rFonts w:ascii="Arial" w:hAnsi="Arial" w:cs="Arial"/>
          <w:b/>
        </w:rPr>
      </w:pPr>
      <w:r w:rsidRPr="002E3FF2">
        <w:rPr>
          <w:rFonts w:ascii="Arial" w:hAnsi="Arial" w:cs="Arial"/>
          <w:color w:val="000000"/>
        </w:rPr>
        <w:t>To prepare for inoculation, the nutrient broth medium was prepared by dissolving 0.13 g of nutrient broth powder in DW, followed by sterilization through autoclaving. Similarly, nutrient agar plates were prepared by dissolving 13 g of nutrient broth powder and 20 g of agar powder in 1000 ml of DW, then autoclaving and pouring the medium into plates.</w:t>
      </w:r>
    </w:p>
    <w:p w14:paraId="7C072968" w14:textId="77777777" w:rsidR="0017386A" w:rsidRPr="002E3FF2" w:rsidRDefault="0017386A" w:rsidP="0017386A">
      <w:pPr>
        <w:spacing w:line="240" w:lineRule="auto"/>
        <w:rPr>
          <w:rFonts w:ascii="Arial" w:hAnsi="Arial" w:cs="Arial"/>
          <w:b/>
        </w:rPr>
      </w:pPr>
      <w:r w:rsidRPr="002E3FF2">
        <w:rPr>
          <w:rFonts w:ascii="Arial" w:hAnsi="Arial" w:cs="Arial"/>
          <w:color w:val="000000"/>
        </w:rPr>
        <w:t xml:space="preserve">Once the materials were ready, </w:t>
      </w:r>
      <w:proofErr w:type="spellStart"/>
      <w:r w:rsidRPr="002E3FF2">
        <w:rPr>
          <w:rFonts w:ascii="Arial" w:hAnsi="Arial" w:cs="Arial"/>
          <w:color w:val="000000"/>
        </w:rPr>
        <w:t>Pseudomonasand</w:t>
      </w:r>
      <w:proofErr w:type="spellEnd"/>
      <w:r w:rsidRPr="002E3FF2">
        <w:rPr>
          <w:rFonts w:ascii="Arial" w:hAnsi="Arial" w:cs="Arial"/>
          <w:color w:val="000000"/>
        </w:rPr>
        <w:t xml:space="preserve"> </w:t>
      </w:r>
      <w:proofErr w:type="spellStart"/>
      <w:r w:rsidRPr="002E3FF2">
        <w:rPr>
          <w:rFonts w:ascii="Arial" w:hAnsi="Arial" w:cs="Arial"/>
          <w:i/>
          <w:color w:val="000000"/>
        </w:rPr>
        <w:t>Salmonella</w:t>
      </w:r>
      <w:r w:rsidRPr="002E3FF2">
        <w:rPr>
          <w:rFonts w:ascii="Arial" w:hAnsi="Arial" w:cs="Arial"/>
          <w:color w:val="000000"/>
        </w:rPr>
        <w:t>culture</w:t>
      </w:r>
      <w:proofErr w:type="spellEnd"/>
      <w:r w:rsidRPr="002E3FF2">
        <w:rPr>
          <w:rFonts w:ascii="Arial" w:hAnsi="Arial" w:cs="Arial"/>
          <w:color w:val="000000"/>
        </w:rPr>
        <w:t xml:space="preserve"> bacteria were obtained from slants using an inoculation loop and transferred into test tubes containing nutrient broth medium for incubation. Meanwhile, agar plates were prepared for sampling by evenly spreading the bacterial culture and creating wells for sample concentrations. Finally, the inoculated test tubes and agar plates were incubated in a bacteriological incubator at 37°C for 24 hrs</w:t>
      </w:r>
      <w:r w:rsidRPr="002E3FF2">
        <w:rPr>
          <w:rFonts w:ascii="Arial" w:hAnsi="Arial" w:cs="Arial"/>
          <w:b/>
          <w:color w:val="000000"/>
        </w:rPr>
        <w:t>.</w:t>
      </w:r>
    </w:p>
    <w:p w14:paraId="39CC7896" w14:textId="77777777" w:rsidR="0017386A" w:rsidRPr="002E3FF2" w:rsidRDefault="0017386A" w:rsidP="0017386A">
      <w:pPr>
        <w:pBdr>
          <w:top w:val="nil"/>
          <w:left w:val="nil"/>
          <w:bottom w:val="nil"/>
          <w:right w:val="nil"/>
          <w:between w:val="nil"/>
        </w:pBdr>
        <w:spacing w:line="240" w:lineRule="auto"/>
        <w:rPr>
          <w:rFonts w:ascii="Arial" w:hAnsi="Arial" w:cs="Arial"/>
          <w:b/>
          <w:bCs/>
          <w:i/>
          <w:iCs/>
          <w:sz w:val="22"/>
          <w:szCs w:val="22"/>
        </w:rPr>
      </w:pPr>
      <w:r w:rsidRPr="002E3FF2">
        <w:rPr>
          <w:rFonts w:ascii="Arial" w:hAnsi="Arial" w:cs="Arial"/>
          <w:b/>
          <w:bCs/>
          <w:sz w:val="22"/>
          <w:szCs w:val="22"/>
        </w:rPr>
        <w:t xml:space="preserve">2.6 Analysis of anti-oxidant effects of </w:t>
      </w:r>
      <w:r w:rsidRPr="002E3FF2">
        <w:rPr>
          <w:rFonts w:ascii="Arial" w:hAnsi="Arial" w:cs="Arial"/>
          <w:b/>
          <w:bCs/>
          <w:i/>
          <w:iCs/>
          <w:sz w:val="22"/>
          <w:szCs w:val="22"/>
        </w:rPr>
        <w:t xml:space="preserve">M. </w:t>
      </w:r>
      <w:proofErr w:type="spellStart"/>
      <w:r w:rsidRPr="002E3FF2">
        <w:rPr>
          <w:rFonts w:ascii="Arial" w:hAnsi="Arial" w:cs="Arial"/>
          <w:b/>
          <w:bCs/>
          <w:i/>
          <w:iCs/>
          <w:sz w:val="22"/>
          <w:szCs w:val="22"/>
        </w:rPr>
        <w:t>citrifolia</w:t>
      </w:r>
      <w:proofErr w:type="spellEnd"/>
    </w:p>
    <w:p w14:paraId="743AEB6E" w14:textId="77777777" w:rsidR="0017386A" w:rsidRDefault="0017386A" w:rsidP="0017386A">
      <w:pPr>
        <w:pBdr>
          <w:top w:val="nil"/>
          <w:left w:val="nil"/>
          <w:bottom w:val="nil"/>
          <w:right w:val="nil"/>
          <w:between w:val="nil"/>
        </w:pBdr>
        <w:spacing w:line="240" w:lineRule="auto"/>
        <w:rPr>
          <w:rFonts w:ascii="Arial" w:hAnsi="Arial" w:cs="Arial"/>
          <w:color w:val="000000" w:themeColor="text1"/>
        </w:rPr>
        <w:sectPr w:rsidR="0017386A" w:rsidSect="0017386A">
          <w:type w:val="continuous"/>
          <w:pgSz w:w="11906" w:h="16838"/>
          <w:pgMar w:top="1440" w:right="1440" w:bottom="1440" w:left="1440" w:header="708" w:footer="708" w:gutter="0"/>
          <w:cols w:space="708"/>
          <w:docGrid w:linePitch="360"/>
        </w:sectPr>
      </w:pPr>
      <w:r w:rsidRPr="002E3FF2">
        <w:rPr>
          <w:rFonts w:ascii="Arial" w:hAnsi="Arial" w:cs="Arial"/>
          <w:color w:val="000000" w:themeColor="text1"/>
        </w:rPr>
        <w:t>Different concentrations of the sample, ranging from 25 - 500μg/mL, were prepared and made up to 1 mL using DW in a series of test tubes. Ascorbic acid served as the standard. To each test tube, 2.5 mL of sodium phosphate buffer (NaH</w:t>
      </w:r>
      <w:r w:rsidRPr="002E3FF2">
        <w:rPr>
          <w:rFonts w:ascii="Arial" w:hAnsi="Arial" w:cs="Arial"/>
          <w:color w:val="000000" w:themeColor="text1"/>
          <w:vertAlign w:val="subscript"/>
        </w:rPr>
        <w:t>2</w:t>
      </w:r>
      <w:r w:rsidRPr="002E3FF2">
        <w:rPr>
          <w:rFonts w:ascii="Arial" w:hAnsi="Arial" w:cs="Arial"/>
          <w:color w:val="000000" w:themeColor="text1"/>
        </w:rPr>
        <w:t>PO4 and Na</w:t>
      </w:r>
      <w:r w:rsidRPr="002E3FF2">
        <w:rPr>
          <w:rFonts w:ascii="Arial" w:hAnsi="Arial" w:cs="Arial"/>
          <w:color w:val="000000" w:themeColor="text1"/>
          <w:vertAlign w:val="subscript"/>
        </w:rPr>
        <w:t>2</w:t>
      </w:r>
      <w:r w:rsidRPr="002E3FF2">
        <w:rPr>
          <w:rFonts w:ascii="Arial" w:hAnsi="Arial" w:cs="Arial"/>
          <w:color w:val="000000" w:themeColor="text1"/>
        </w:rPr>
        <w:t xml:space="preserve">HPO4) was added, followed by 2.5 mL of </w:t>
      </w:r>
      <w:proofErr w:type="spellStart"/>
      <w:r w:rsidRPr="002E3FF2">
        <w:rPr>
          <w:rFonts w:ascii="Arial" w:hAnsi="Arial" w:cs="Arial"/>
          <w:color w:val="000000" w:themeColor="text1"/>
        </w:rPr>
        <w:lastRenderedPageBreak/>
        <w:t>potassiumferric</w:t>
      </w:r>
      <w:proofErr w:type="spellEnd"/>
      <w:r w:rsidRPr="002E3FF2">
        <w:rPr>
          <w:rFonts w:ascii="Arial" w:hAnsi="Arial" w:cs="Arial"/>
          <w:color w:val="000000" w:themeColor="text1"/>
        </w:rPr>
        <w:t xml:space="preserve"> cyanide (</w:t>
      </w:r>
      <w:r w:rsidRPr="002E3FF2">
        <w:rPr>
          <w:rFonts w:ascii="Arial" w:hAnsi="Arial" w:cs="Arial"/>
          <w:color w:val="000000" w:themeColor="text1"/>
          <w:shd w:val="clear" w:color="auto" w:fill="FFFFFF"/>
        </w:rPr>
        <w:t>K3[</w:t>
      </w:r>
      <w:r w:rsidR="00295102" w:rsidRPr="002E3FF2">
        <w:rPr>
          <w:rFonts w:ascii="Arial" w:hAnsi="Arial" w:cs="Arial"/>
          <w:color w:val="000000" w:themeColor="text1"/>
          <w:shd w:val="clear" w:color="auto" w:fill="FFFFFF"/>
        </w:rPr>
        <w:t>Fe (</w:t>
      </w:r>
      <w:r w:rsidRPr="002E3FF2">
        <w:rPr>
          <w:rFonts w:ascii="Arial" w:hAnsi="Arial" w:cs="Arial"/>
          <w:color w:val="000000" w:themeColor="text1"/>
          <w:shd w:val="clear" w:color="auto" w:fill="FFFFFF"/>
        </w:rPr>
        <w:t>CN)6)</w:t>
      </w:r>
      <w:r w:rsidRPr="002E3FF2">
        <w:rPr>
          <w:rFonts w:ascii="Arial" w:hAnsi="Arial" w:cs="Arial"/>
          <w:color w:val="000000" w:themeColor="text1"/>
        </w:rPr>
        <w:t>. The contents were mixed thoroughly and then incubated in a water bath at 50°C for 20 mins. After incubation, 2.5 mL of trichloroacetic acid (</w:t>
      </w:r>
      <w:r w:rsidRPr="002E3FF2">
        <w:rPr>
          <w:rFonts w:ascii="Arial" w:hAnsi="Arial" w:cs="Arial"/>
          <w:color w:val="000000" w:themeColor="text1"/>
          <w:shd w:val="clear" w:color="auto" w:fill="FFFFFF"/>
        </w:rPr>
        <w:t>C2HCl3O2)</w:t>
      </w:r>
      <w:r w:rsidRPr="002E3FF2">
        <w:rPr>
          <w:rFonts w:ascii="Arial" w:hAnsi="Arial" w:cs="Arial"/>
          <w:color w:val="000000" w:themeColor="text1"/>
        </w:rPr>
        <w:t xml:space="preserve"> was added to each tube, and the contents were shaken well. From each tube, 2 mL of the supernatant was collected and diluted to 4 mL using DW. Then, 0.5 mL of FeCl</w:t>
      </w:r>
      <w:r w:rsidRPr="002E3FF2">
        <w:rPr>
          <w:rFonts w:ascii="Arial" w:hAnsi="Arial" w:cs="Arial"/>
          <w:color w:val="000000" w:themeColor="text1"/>
          <w:vertAlign w:val="subscript"/>
        </w:rPr>
        <w:t>3</w:t>
      </w:r>
      <w:r w:rsidRPr="002E3FF2">
        <w:rPr>
          <w:rFonts w:ascii="Arial" w:hAnsi="Arial" w:cs="Arial"/>
          <w:color w:val="000000" w:themeColor="text1"/>
        </w:rPr>
        <w:t xml:space="preserve"> was added to each tube and mixed well. The tubes were further incubated at 100°C for 10 mins. Finally, the absorbance of each sample was measured at 700 nm using spectrophotometer</w:t>
      </w:r>
    </w:p>
    <w:p w14:paraId="1366CC1B" w14:textId="77777777" w:rsidR="0017386A" w:rsidRPr="0024725C" w:rsidRDefault="0017386A" w:rsidP="0024725C">
      <w:pPr>
        <w:pBdr>
          <w:top w:val="nil"/>
          <w:left w:val="nil"/>
          <w:bottom w:val="nil"/>
          <w:right w:val="nil"/>
          <w:between w:val="nil"/>
        </w:pBdr>
        <w:spacing w:line="240" w:lineRule="auto"/>
        <w:rPr>
          <w:rFonts w:ascii="Arial" w:hAnsi="Arial" w:cs="Arial"/>
          <w:color w:val="000000" w:themeColor="text1"/>
        </w:rPr>
        <w:sectPr w:rsidR="0017386A" w:rsidRPr="0024725C" w:rsidSect="0017386A">
          <w:type w:val="continuous"/>
          <w:pgSz w:w="11906" w:h="16838"/>
          <w:pgMar w:top="1440" w:right="1440" w:bottom="1440" w:left="1440" w:header="708" w:footer="708" w:gutter="0"/>
          <w:cols w:space="708"/>
          <w:docGrid w:linePitch="360"/>
        </w:sectPr>
      </w:pPr>
    </w:p>
    <w:p w14:paraId="69B0E612" w14:textId="77777777" w:rsidR="0017386A" w:rsidRPr="002E3FF2" w:rsidRDefault="0017386A" w:rsidP="0017386A">
      <w:pPr>
        <w:spacing w:line="240" w:lineRule="auto"/>
        <w:jc w:val="left"/>
        <w:rPr>
          <w:rFonts w:ascii="Arial" w:hAnsi="Arial" w:cs="Arial"/>
          <w:b/>
          <w:sz w:val="22"/>
          <w:szCs w:val="22"/>
        </w:rPr>
      </w:pPr>
      <w:r w:rsidRPr="002E3FF2">
        <w:rPr>
          <w:rFonts w:ascii="Arial" w:hAnsi="Arial" w:cs="Arial"/>
          <w:b/>
          <w:sz w:val="22"/>
          <w:szCs w:val="22"/>
        </w:rPr>
        <w:t>3</w:t>
      </w:r>
      <w:r w:rsidR="00295102">
        <w:rPr>
          <w:rFonts w:ascii="Arial" w:hAnsi="Arial" w:cs="Arial"/>
          <w:b/>
          <w:sz w:val="22"/>
          <w:szCs w:val="22"/>
        </w:rPr>
        <w:t>.</w:t>
      </w:r>
      <w:r w:rsidRPr="002E3FF2">
        <w:rPr>
          <w:rFonts w:ascii="Arial" w:hAnsi="Arial" w:cs="Arial"/>
          <w:b/>
          <w:sz w:val="22"/>
          <w:szCs w:val="22"/>
        </w:rPr>
        <w:t xml:space="preserve"> RESULTS AND DISSCUSSION</w:t>
      </w:r>
    </w:p>
    <w:p w14:paraId="42773E92" w14:textId="77777777" w:rsidR="0017386A" w:rsidRPr="00295102" w:rsidRDefault="0017386A" w:rsidP="00295102">
      <w:pPr>
        <w:spacing w:line="240" w:lineRule="auto"/>
        <w:rPr>
          <w:rFonts w:ascii="Arial" w:hAnsi="Arial" w:cs="Arial"/>
          <w:b/>
          <w:i/>
          <w:sz w:val="22"/>
          <w:szCs w:val="22"/>
        </w:rPr>
      </w:pPr>
      <w:r w:rsidRPr="002E3FF2">
        <w:rPr>
          <w:rFonts w:ascii="Arial" w:hAnsi="Arial" w:cs="Arial"/>
          <w:b/>
          <w:sz w:val="22"/>
          <w:szCs w:val="22"/>
        </w:rPr>
        <w:t>3.1 QUALITATIVE PHYTOCHEMICAL ANALYSIS OF SOLVENT EXTRACT OF</w:t>
      </w:r>
      <w:r w:rsidRPr="002E3FF2">
        <w:rPr>
          <w:rFonts w:ascii="Arial" w:hAnsi="Arial" w:cs="Arial"/>
          <w:b/>
          <w:i/>
          <w:sz w:val="22"/>
          <w:szCs w:val="22"/>
        </w:rPr>
        <w:t xml:space="preserve">M. </w:t>
      </w:r>
      <w:proofErr w:type="spellStart"/>
      <w:r w:rsidRPr="002E3FF2">
        <w:rPr>
          <w:rFonts w:ascii="Arial" w:hAnsi="Arial" w:cs="Arial"/>
          <w:b/>
          <w:i/>
          <w:sz w:val="22"/>
          <w:szCs w:val="22"/>
        </w:rPr>
        <w:t>citrifolia</w:t>
      </w:r>
      <w:proofErr w:type="spellEnd"/>
    </w:p>
    <w:p w14:paraId="73A82E71" w14:textId="77777777" w:rsidR="0017386A" w:rsidRPr="00295102" w:rsidRDefault="0017386A" w:rsidP="00295102">
      <w:pPr>
        <w:spacing w:line="240" w:lineRule="auto"/>
        <w:rPr>
          <w:rFonts w:ascii="Arial" w:hAnsi="Arial" w:cs="Arial"/>
        </w:rPr>
      </w:pPr>
      <w:r w:rsidRPr="002E3FF2">
        <w:rPr>
          <w:rFonts w:ascii="Arial" w:hAnsi="Arial" w:cs="Arial"/>
        </w:rPr>
        <w:t xml:space="preserve">The qualitative phytochemical analysis of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95102">
        <w:rPr>
          <w:rFonts w:ascii="Arial" w:hAnsi="Arial" w:cs="Arial"/>
        </w:rPr>
        <w:t xml:space="preserve"> extract</w:t>
      </w:r>
      <w:r w:rsidRPr="002E3FF2">
        <w:rPr>
          <w:rFonts w:ascii="Arial" w:hAnsi="Arial" w:cs="Arial"/>
        </w:rPr>
        <w:t xml:space="preserve"> revealed the presence of phenols, alkaloids, and flavonoids, while terpenoids were found to be absent. </w:t>
      </w:r>
    </w:p>
    <w:p w14:paraId="160AA93A" w14:textId="77777777" w:rsidR="00295102" w:rsidRDefault="00295102" w:rsidP="0024725C">
      <w:pPr>
        <w:spacing w:line="240" w:lineRule="auto"/>
        <w:jc w:val="center"/>
        <w:rPr>
          <w:rFonts w:ascii="Arial" w:hAnsi="Arial" w:cs="Arial"/>
          <w:b/>
        </w:rPr>
      </w:pPr>
      <w:r w:rsidRPr="00841E69">
        <w:rPr>
          <w:b/>
          <w:noProof/>
          <w:sz w:val="56"/>
          <w:szCs w:val="56"/>
          <w:lang w:val="en-US"/>
        </w:rPr>
        <w:drawing>
          <wp:inline distT="0" distB="0" distL="0" distR="0" wp14:anchorId="6EF8532C" wp14:editId="479BC315">
            <wp:extent cx="1990800" cy="22752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800" cy="2275200"/>
                    </a:xfrm>
                    <a:prstGeom prst="rect">
                      <a:avLst/>
                    </a:prstGeom>
                    <a:noFill/>
                    <a:ln>
                      <a:noFill/>
                    </a:ln>
                    <a:effectLst/>
                  </pic:spPr>
                </pic:pic>
              </a:graphicData>
            </a:graphic>
          </wp:inline>
        </w:drawing>
      </w:r>
    </w:p>
    <w:p w14:paraId="320AD96F" w14:textId="1C3D7FAB" w:rsidR="0024725C" w:rsidRDefault="0024725C" w:rsidP="0024725C">
      <w:pPr>
        <w:spacing w:after="0" w:line="240" w:lineRule="auto"/>
        <w:jc w:val="center"/>
        <w:rPr>
          <w:rFonts w:ascii="Arial" w:hAnsi="Arial" w:cs="Arial"/>
          <w:b/>
        </w:rPr>
      </w:pPr>
      <w:r w:rsidRPr="007944BB">
        <w:rPr>
          <w:rFonts w:ascii="Arial" w:hAnsi="Arial" w:cs="Arial"/>
          <w:b/>
        </w:rPr>
        <w:t xml:space="preserve">Figure </w:t>
      </w:r>
      <w:r w:rsidR="00F7266F">
        <w:rPr>
          <w:rFonts w:ascii="Arial" w:hAnsi="Arial" w:cs="Arial"/>
          <w:b/>
        </w:rPr>
        <w:t>1</w:t>
      </w:r>
      <w:r w:rsidRPr="007944BB">
        <w:rPr>
          <w:rFonts w:ascii="Arial" w:hAnsi="Arial" w:cs="Arial"/>
          <w:b/>
        </w:rPr>
        <w:t xml:space="preserve">: - Phytochemical analyses of solvent extract of </w:t>
      </w:r>
      <w:r w:rsidRPr="007944BB">
        <w:rPr>
          <w:rFonts w:ascii="Arial" w:hAnsi="Arial" w:cs="Arial"/>
          <w:b/>
          <w:i/>
        </w:rPr>
        <w:t xml:space="preserve">M. </w:t>
      </w:r>
      <w:proofErr w:type="spellStart"/>
      <w:r w:rsidRPr="007944BB">
        <w:rPr>
          <w:rFonts w:ascii="Arial" w:hAnsi="Arial" w:cs="Arial"/>
          <w:b/>
          <w:i/>
        </w:rPr>
        <w:t>citrifolia</w:t>
      </w:r>
      <w:r w:rsidRPr="007944BB">
        <w:rPr>
          <w:rFonts w:ascii="Arial" w:hAnsi="Arial" w:cs="Arial"/>
          <w:b/>
        </w:rPr>
        <w:t>A</w:t>
      </w:r>
      <w:proofErr w:type="spellEnd"/>
      <w:r w:rsidRPr="007944BB">
        <w:rPr>
          <w:rFonts w:ascii="Arial" w:hAnsi="Arial" w:cs="Arial"/>
          <w:b/>
        </w:rPr>
        <w:t xml:space="preserve">) phenols, </w:t>
      </w:r>
    </w:p>
    <w:p w14:paraId="6544361D" w14:textId="77777777" w:rsidR="0024725C" w:rsidRPr="007944BB" w:rsidRDefault="0024725C" w:rsidP="0024725C">
      <w:pPr>
        <w:spacing w:after="0" w:line="240" w:lineRule="auto"/>
        <w:jc w:val="center"/>
        <w:rPr>
          <w:rFonts w:ascii="Arial" w:hAnsi="Arial" w:cs="Arial"/>
          <w:b/>
          <w:sz w:val="56"/>
          <w:szCs w:val="56"/>
        </w:rPr>
      </w:pPr>
      <w:r w:rsidRPr="007944BB">
        <w:rPr>
          <w:rFonts w:ascii="Arial" w:hAnsi="Arial" w:cs="Arial"/>
          <w:b/>
        </w:rPr>
        <w:t>B) alkaloids, C) flavonoids, d) terpenoids</w:t>
      </w:r>
    </w:p>
    <w:p w14:paraId="04DCD89F" w14:textId="77777777" w:rsidR="00295102" w:rsidRDefault="00295102" w:rsidP="00295102">
      <w:pPr>
        <w:spacing w:line="240" w:lineRule="auto"/>
        <w:jc w:val="center"/>
        <w:rPr>
          <w:rFonts w:ascii="Arial" w:hAnsi="Arial" w:cs="Arial"/>
          <w:b/>
        </w:rPr>
      </w:pPr>
    </w:p>
    <w:p w14:paraId="276EF653" w14:textId="77777777" w:rsidR="0024725C" w:rsidRPr="002E3FF2" w:rsidRDefault="0024725C" w:rsidP="00295102">
      <w:pPr>
        <w:spacing w:line="240" w:lineRule="auto"/>
        <w:jc w:val="center"/>
        <w:rPr>
          <w:rFonts w:ascii="Arial" w:hAnsi="Arial" w:cs="Arial"/>
          <w:b/>
        </w:rPr>
        <w:sectPr w:rsidR="0024725C" w:rsidRPr="002E3FF2" w:rsidSect="0017386A">
          <w:type w:val="continuous"/>
          <w:pgSz w:w="11906" w:h="16838"/>
          <w:pgMar w:top="1440" w:right="1440" w:bottom="1440" w:left="1440" w:header="708" w:footer="708" w:gutter="0"/>
          <w:cols w:space="708"/>
          <w:docGrid w:linePitch="360"/>
        </w:sectPr>
      </w:pPr>
    </w:p>
    <w:p w14:paraId="66EC8838" w14:textId="77777777" w:rsidR="0017386A" w:rsidRPr="00174D8F" w:rsidRDefault="0017386A" w:rsidP="0017386A">
      <w:pPr>
        <w:spacing w:line="240" w:lineRule="auto"/>
        <w:rPr>
          <w:rFonts w:ascii="Arial" w:hAnsi="Arial" w:cs="Arial"/>
          <w:b/>
        </w:rPr>
      </w:pPr>
      <w:r w:rsidRPr="00174D8F">
        <w:rPr>
          <w:rFonts w:ascii="Arial" w:hAnsi="Arial" w:cs="Arial"/>
          <w:b/>
        </w:rPr>
        <w:t>3.2QUANTITATIVE ESTIMATION OF PHYTOCHEMICALS</w:t>
      </w:r>
    </w:p>
    <w:p w14:paraId="1B32C3C8" w14:textId="77777777" w:rsidR="0017386A" w:rsidRPr="002E3FF2" w:rsidRDefault="0017386A" w:rsidP="0017386A">
      <w:pPr>
        <w:spacing w:line="240" w:lineRule="auto"/>
        <w:rPr>
          <w:rFonts w:ascii="Arial" w:hAnsi="Arial" w:cs="Arial"/>
          <w:b/>
        </w:rPr>
      </w:pPr>
      <w:r w:rsidRPr="002E3FF2">
        <w:rPr>
          <w:rFonts w:ascii="Arial" w:hAnsi="Arial" w:cs="Arial"/>
          <w:b/>
        </w:rPr>
        <w:t>3.2.1 ESTIMATION OF PHENOLS</w:t>
      </w:r>
    </w:p>
    <w:p w14:paraId="058D97AB" w14:textId="77777777" w:rsidR="0017386A" w:rsidRDefault="0017386A" w:rsidP="0017386A">
      <w:pPr>
        <w:spacing w:line="240" w:lineRule="auto"/>
        <w:rPr>
          <w:rFonts w:ascii="Arial" w:hAnsi="Arial" w:cs="Arial"/>
        </w:rPr>
      </w:pPr>
      <w:r w:rsidRPr="002E3FF2">
        <w:rPr>
          <w:rFonts w:ascii="Arial" w:hAnsi="Arial" w:cs="Arial"/>
        </w:rPr>
        <w:t xml:space="preserve">The estimation of total phenolic content in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extract was carried out using gallic acid as standard. The quantity of phenols present in the extract was determined using the equation </w:t>
      </w:r>
      <w:r w:rsidRPr="002E3FF2">
        <w:rPr>
          <w:rStyle w:val="katex-mathml"/>
          <w:rFonts w:ascii="Arial" w:hAnsi="Arial" w:cs="Arial"/>
        </w:rPr>
        <w:t>y= 0.3155x - 0.2623</w:t>
      </w:r>
      <w:r w:rsidRPr="002E3FF2">
        <w:rPr>
          <w:rFonts w:ascii="Arial" w:hAnsi="Arial" w:cs="Arial"/>
        </w:rPr>
        <w:t xml:space="preserve">, derived from the standard curve of gallic acid. The phenol content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found to be 6.027mg/ml. </w:t>
      </w:r>
    </w:p>
    <w:p w14:paraId="24001D97" w14:textId="77777777" w:rsidR="0024725C" w:rsidRDefault="0024725C" w:rsidP="0024725C">
      <w:pPr>
        <w:spacing w:line="240" w:lineRule="auto"/>
        <w:jc w:val="center"/>
        <w:rPr>
          <w:rFonts w:ascii="Arial" w:hAnsi="Arial" w:cs="Arial"/>
        </w:rPr>
      </w:pPr>
      <w:r w:rsidRPr="00841E69">
        <w:rPr>
          <w:noProof/>
          <w:sz w:val="36"/>
          <w:szCs w:val="36"/>
          <w:lang w:val="en-US"/>
        </w:rPr>
        <w:drawing>
          <wp:inline distT="0" distB="0" distL="0" distR="0" wp14:anchorId="3D97DF76" wp14:editId="06647BC0">
            <wp:extent cx="2752722" cy="1836804"/>
            <wp:effectExtent l="38100" t="38100" r="29210" b="3048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052" cy="1841695"/>
                    </a:xfrm>
                    <a:prstGeom prst="rect">
                      <a:avLst/>
                    </a:prstGeom>
                    <a:noFill/>
                    <a:ln w="38100">
                      <a:solidFill>
                        <a:schemeClr val="tx1"/>
                      </a:solidFill>
                      <a:miter lim="800000"/>
                      <a:headEnd/>
                      <a:tailEnd/>
                    </a:ln>
                    <a:effectLst/>
                  </pic:spPr>
                </pic:pic>
              </a:graphicData>
            </a:graphic>
          </wp:inline>
        </w:drawing>
      </w:r>
    </w:p>
    <w:p w14:paraId="337BF29D" w14:textId="7E4DA7A7" w:rsidR="0024725C" w:rsidRDefault="0024725C" w:rsidP="0024725C">
      <w:pPr>
        <w:spacing w:before="240" w:after="0" w:line="240" w:lineRule="auto"/>
        <w:jc w:val="center"/>
        <w:rPr>
          <w:rFonts w:ascii="Arial" w:hAnsi="Arial" w:cs="Arial"/>
          <w:b/>
          <w:i/>
          <w:color w:val="000000" w:themeColor="text1"/>
        </w:rPr>
      </w:pPr>
      <w:r w:rsidRPr="0024725C">
        <w:rPr>
          <w:rFonts w:ascii="Arial" w:hAnsi="Arial" w:cs="Arial"/>
          <w:b/>
          <w:color w:val="000000" w:themeColor="text1"/>
        </w:rPr>
        <w:t xml:space="preserve">Figure </w:t>
      </w:r>
      <w:r w:rsidR="00F7266F">
        <w:rPr>
          <w:rFonts w:ascii="Arial" w:hAnsi="Arial" w:cs="Arial"/>
          <w:b/>
          <w:color w:val="000000" w:themeColor="text1"/>
        </w:rPr>
        <w:t>2</w:t>
      </w:r>
      <w:r w:rsidRPr="0024725C">
        <w:rPr>
          <w:rFonts w:ascii="Arial" w:hAnsi="Arial" w:cs="Arial"/>
          <w:b/>
          <w:color w:val="000000" w:themeColor="text1"/>
        </w:rPr>
        <w:t>: Quantitative analysis of phenols using Gallic acid (standard)</w:t>
      </w:r>
      <w:r>
        <w:rPr>
          <w:rFonts w:ascii="Arial" w:hAnsi="Arial" w:cs="Arial"/>
          <w:b/>
          <w:color w:val="000000" w:themeColor="text1"/>
        </w:rPr>
        <w:t xml:space="preserve"> - </w:t>
      </w:r>
      <w:r w:rsidRPr="0024725C">
        <w:rPr>
          <w:rFonts w:ascii="Arial" w:hAnsi="Arial" w:cs="Arial"/>
          <w:b/>
          <w:color w:val="000000" w:themeColor="text1"/>
        </w:rPr>
        <w:t>(A- F)</w:t>
      </w:r>
      <w:r>
        <w:rPr>
          <w:rFonts w:ascii="Arial" w:hAnsi="Arial" w:cs="Arial"/>
          <w:b/>
          <w:color w:val="000000" w:themeColor="text1"/>
        </w:rPr>
        <w:t xml:space="preserve">, </w:t>
      </w:r>
      <w:r w:rsidRPr="0024725C">
        <w:rPr>
          <w:rFonts w:ascii="Arial" w:hAnsi="Arial" w:cs="Arial"/>
          <w:b/>
          <w:color w:val="000000" w:themeColor="text1"/>
        </w:rPr>
        <w:t xml:space="preserve">G - </w:t>
      </w:r>
      <w:r w:rsidRPr="0024725C">
        <w:rPr>
          <w:rFonts w:ascii="Arial" w:hAnsi="Arial" w:cs="Arial"/>
          <w:b/>
          <w:i/>
          <w:color w:val="000000" w:themeColor="text1"/>
        </w:rPr>
        <w:t xml:space="preserve">M. </w:t>
      </w:r>
      <w:proofErr w:type="spellStart"/>
      <w:r w:rsidRPr="0024725C">
        <w:rPr>
          <w:rFonts w:ascii="Arial" w:hAnsi="Arial" w:cs="Arial"/>
          <w:b/>
          <w:i/>
          <w:color w:val="000000" w:themeColor="text1"/>
        </w:rPr>
        <w:t>citrofolia</w:t>
      </w:r>
      <w:proofErr w:type="spellEnd"/>
    </w:p>
    <w:p w14:paraId="351732D3" w14:textId="77777777" w:rsidR="0024725C" w:rsidRDefault="0024725C" w:rsidP="0024725C">
      <w:pPr>
        <w:spacing w:before="240" w:after="0" w:line="240" w:lineRule="auto"/>
        <w:jc w:val="center"/>
        <w:rPr>
          <w:rFonts w:ascii="Arial" w:hAnsi="Arial" w:cs="Arial"/>
          <w:b/>
          <w:i/>
          <w:color w:val="000000" w:themeColor="text1"/>
        </w:rPr>
      </w:pPr>
    </w:p>
    <w:tbl>
      <w:tblPr>
        <w:tblStyle w:val="3"/>
        <w:tblpPr w:leftFromText="180" w:rightFromText="180" w:vertAnchor="text" w:horzAnchor="page" w:tblpX="2070" w:tblpY="-58"/>
        <w:tblW w:w="410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2045"/>
        <w:gridCol w:w="2057"/>
      </w:tblGrid>
      <w:tr w:rsidR="0024725C" w:rsidRPr="00841E69" w14:paraId="1AEEE16A" w14:textId="77777777" w:rsidTr="00875275">
        <w:trPr>
          <w:trHeight w:val="1078"/>
        </w:trPr>
        <w:tc>
          <w:tcPr>
            <w:tcW w:w="2045" w:type="dxa"/>
            <w:vAlign w:val="center"/>
          </w:tcPr>
          <w:p w14:paraId="56058E8F" w14:textId="77777777" w:rsidR="0024725C" w:rsidRPr="00841E69" w:rsidRDefault="0024725C" w:rsidP="0024725C">
            <w:pPr>
              <w:widowControl/>
              <w:spacing w:after="0" w:line="240" w:lineRule="auto"/>
              <w:jc w:val="center"/>
              <w:rPr>
                <w:rFonts w:eastAsia="Calibri"/>
                <w:b/>
                <w:color w:val="000000"/>
                <w:sz w:val="24"/>
                <w:szCs w:val="24"/>
              </w:rPr>
            </w:pPr>
            <w:r w:rsidRPr="00841E69">
              <w:rPr>
                <w:rFonts w:eastAsia="Calibri"/>
                <w:b/>
                <w:color w:val="000000"/>
                <w:sz w:val="24"/>
                <w:szCs w:val="24"/>
              </w:rPr>
              <w:t xml:space="preserve">Concentration </w:t>
            </w:r>
          </w:p>
          <w:p w14:paraId="2E3AEFD9" w14:textId="77777777" w:rsidR="0024725C" w:rsidRPr="00841E69" w:rsidRDefault="0024725C" w:rsidP="0024725C">
            <w:pPr>
              <w:widowControl/>
              <w:spacing w:after="0" w:line="240" w:lineRule="auto"/>
              <w:jc w:val="center"/>
              <w:rPr>
                <w:rFonts w:eastAsia="Calibri"/>
                <w:b/>
                <w:color w:val="000000"/>
                <w:sz w:val="24"/>
                <w:szCs w:val="24"/>
              </w:rPr>
            </w:pPr>
            <w:r w:rsidRPr="00841E69">
              <w:rPr>
                <w:rFonts w:eastAsia="Calibri"/>
                <w:b/>
                <w:color w:val="000000"/>
                <w:sz w:val="24"/>
                <w:szCs w:val="24"/>
              </w:rPr>
              <w:t>(µg/ml)</w:t>
            </w:r>
          </w:p>
        </w:tc>
        <w:tc>
          <w:tcPr>
            <w:tcW w:w="2057" w:type="dxa"/>
            <w:vAlign w:val="center"/>
          </w:tcPr>
          <w:p w14:paraId="261020E4" w14:textId="77777777" w:rsidR="0024725C" w:rsidRPr="00841E69" w:rsidRDefault="0024725C" w:rsidP="0024725C">
            <w:pPr>
              <w:widowControl/>
              <w:spacing w:after="0" w:line="240" w:lineRule="auto"/>
              <w:jc w:val="center"/>
              <w:rPr>
                <w:rFonts w:eastAsia="Calibri"/>
                <w:b/>
                <w:color w:val="000000"/>
                <w:sz w:val="24"/>
                <w:szCs w:val="24"/>
              </w:rPr>
            </w:pPr>
            <w:r w:rsidRPr="00841E69">
              <w:rPr>
                <w:rFonts w:eastAsia="Calibri"/>
                <w:b/>
                <w:color w:val="000000"/>
                <w:sz w:val="24"/>
                <w:szCs w:val="24"/>
              </w:rPr>
              <w:t>Absorbance</w:t>
            </w:r>
          </w:p>
          <w:p w14:paraId="53CA8220" w14:textId="77777777" w:rsidR="0024725C" w:rsidRPr="00841E69" w:rsidRDefault="0024725C" w:rsidP="0024725C">
            <w:pPr>
              <w:widowControl/>
              <w:spacing w:after="0" w:line="240" w:lineRule="auto"/>
              <w:jc w:val="center"/>
              <w:rPr>
                <w:rFonts w:eastAsia="Calibri"/>
                <w:b/>
                <w:color w:val="000000"/>
                <w:sz w:val="24"/>
                <w:szCs w:val="24"/>
              </w:rPr>
            </w:pPr>
            <w:r w:rsidRPr="00841E69">
              <w:rPr>
                <w:rFonts w:eastAsia="Calibri"/>
                <w:b/>
                <w:color w:val="000000"/>
                <w:sz w:val="24"/>
                <w:szCs w:val="24"/>
              </w:rPr>
              <w:t>(nm)</w:t>
            </w:r>
          </w:p>
        </w:tc>
      </w:tr>
      <w:tr w:rsidR="0024725C" w:rsidRPr="00841E69" w14:paraId="1441B633" w14:textId="77777777" w:rsidTr="00875275">
        <w:trPr>
          <w:trHeight w:val="345"/>
        </w:trPr>
        <w:tc>
          <w:tcPr>
            <w:tcW w:w="2045" w:type="dxa"/>
            <w:vAlign w:val="center"/>
          </w:tcPr>
          <w:p w14:paraId="594A668A"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10</w:t>
            </w:r>
          </w:p>
        </w:tc>
        <w:tc>
          <w:tcPr>
            <w:tcW w:w="2057" w:type="dxa"/>
            <w:vAlign w:val="center"/>
          </w:tcPr>
          <w:p w14:paraId="164C9D78"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0.016</w:t>
            </w:r>
          </w:p>
        </w:tc>
      </w:tr>
      <w:tr w:rsidR="0024725C" w:rsidRPr="00841E69" w14:paraId="4FA60EE2" w14:textId="77777777" w:rsidTr="00875275">
        <w:trPr>
          <w:trHeight w:val="345"/>
        </w:trPr>
        <w:tc>
          <w:tcPr>
            <w:tcW w:w="2045" w:type="dxa"/>
            <w:vAlign w:val="center"/>
          </w:tcPr>
          <w:p w14:paraId="37F77F72"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40</w:t>
            </w:r>
          </w:p>
        </w:tc>
        <w:tc>
          <w:tcPr>
            <w:tcW w:w="2057" w:type="dxa"/>
            <w:vAlign w:val="center"/>
          </w:tcPr>
          <w:p w14:paraId="2CE105BE"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0.393</w:t>
            </w:r>
          </w:p>
        </w:tc>
      </w:tr>
      <w:tr w:rsidR="0024725C" w:rsidRPr="00841E69" w14:paraId="001FDE25" w14:textId="77777777" w:rsidTr="00875275">
        <w:trPr>
          <w:trHeight w:val="345"/>
        </w:trPr>
        <w:tc>
          <w:tcPr>
            <w:tcW w:w="2045" w:type="dxa"/>
            <w:vAlign w:val="center"/>
          </w:tcPr>
          <w:p w14:paraId="3095CB2B"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50</w:t>
            </w:r>
          </w:p>
        </w:tc>
        <w:tc>
          <w:tcPr>
            <w:tcW w:w="2057" w:type="dxa"/>
            <w:vAlign w:val="center"/>
          </w:tcPr>
          <w:p w14:paraId="7DA00D01"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0.692</w:t>
            </w:r>
          </w:p>
        </w:tc>
      </w:tr>
      <w:tr w:rsidR="0024725C" w:rsidRPr="00841E69" w14:paraId="0F4EFBF8" w14:textId="77777777" w:rsidTr="00875275">
        <w:trPr>
          <w:trHeight w:val="345"/>
        </w:trPr>
        <w:tc>
          <w:tcPr>
            <w:tcW w:w="2045" w:type="dxa"/>
            <w:vAlign w:val="center"/>
          </w:tcPr>
          <w:p w14:paraId="6199F1CE"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75</w:t>
            </w:r>
          </w:p>
        </w:tc>
        <w:tc>
          <w:tcPr>
            <w:tcW w:w="2057" w:type="dxa"/>
            <w:vAlign w:val="center"/>
          </w:tcPr>
          <w:p w14:paraId="69DE46CC"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1.06</w:t>
            </w:r>
          </w:p>
        </w:tc>
      </w:tr>
      <w:tr w:rsidR="0024725C" w:rsidRPr="00841E69" w14:paraId="1D9C9168" w14:textId="77777777" w:rsidTr="00875275">
        <w:trPr>
          <w:trHeight w:val="345"/>
        </w:trPr>
        <w:tc>
          <w:tcPr>
            <w:tcW w:w="2045" w:type="dxa"/>
            <w:vAlign w:val="center"/>
          </w:tcPr>
          <w:p w14:paraId="6425163C"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100</w:t>
            </w:r>
          </w:p>
        </w:tc>
        <w:tc>
          <w:tcPr>
            <w:tcW w:w="2057" w:type="dxa"/>
            <w:vAlign w:val="center"/>
          </w:tcPr>
          <w:p w14:paraId="7DD2DE06"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1.26</w:t>
            </w:r>
          </w:p>
        </w:tc>
      </w:tr>
      <w:tr w:rsidR="0024725C" w:rsidRPr="00841E69" w14:paraId="3E345AE2" w14:textId="77777777" w:rsidTr="00875275">
        <w:trPr>
          <w:trHeight w:val="345"/>
        </w:trPr>
        <w:tc>
          <w:tcPr>
            <w:tcW w:w="2045" w:type="dxa"/>
            <w:vAlign w:val="center"/>
          </w:tcPr>
          <w:p w14:paraId="1A82F4C3"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Sample</w:t>
            </w:r>
          </w:p>
        </w:tc>
        <w:tc>
          <w:tcPr>
            <w:tcW w:w="2057" w:type="dxa"/>
            <w:vAlign w:val="center"/>
          </w:tcPr>
          <w:p w14:paraId="2CF4963D" w14:textId="77777777" w:rsidR="0024725C" w:rsidRPr="00841E69" w:rsidRDefault="0024725C" w:rsidP="0024725C">
            <w:pPr>
              <w:widowControl/>
              <w:spacing w:after="0" w:line="240" w:lineRule="auto"/>
              <w:jc w:val="center"/>
              <w:rPr>
                <w:rFonts w:eastAsia="Calibri"/>
                <w:color w:val="000000"/>
                <w:sz w:val="24"/>
                <w:szCs w:val="24"/>
              </w:rPr>
            </w:pPr>
            <w:r w:rsidRPr="00841E69">
              <w:rPr>
                <w:rFonts w:eastAsia="Calibri"/>
                <w:color w:val="000000"/>
                <w:sz w:val="24"/>
                <w:szCs w:val="24"/>
              </w:rPr>
              <w:t>1.027</w:t>
            </w:r>
          </w:p>
        </w:tc>
      </w:tr>
    </w:tbl>
    <w:p w14:paraId="798F56D5" w14:textId="77777777" w:rsidR="0024725C" w:rsidRDefault="0024725C" w:rsidP="0024725C">
      <w:pPr>
        <w:spacing w:before="240" w:after="0" w:line="240" w:lineRule="auto"/>
        <w:jc w:val="left"/>
        <w:rPr>
          <w:rFonts w:ascii="Arial" w:hAnsi="Arial" w:cs="Arial"/>
          <w:b/>
          <w:i/>
          <w:color w:val="000000" w:themeColor="text1"/>
        </w:rPr>
      </w:pPr>
      <w:r w:rsidRPr="00841E69">
        <w:rPr>
          <w:b/>
          <w:noProof/>
          <w:lang w:val="en-US"/>
        </w:rPr>
        <w:drawing>
          <wp:inline distT="0" distB="0" distL="0" distR="0" wp14:anchorId="57EC2BF9" wp14:editId="0009DDAA">
            <wp:extent cx="2539032" cy="2063323"/>
            <wp:effectExtent l="19050" t="19050" r="13970" b="13335"/>
            <wp:docPr id="19" name="Picture 19"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a blue lin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8218" cy="2103293"/>
                    </a:xfrm>
                    <a:prstGeom prst="rect">
                      <a:avLst/>
                    </a:prstGeom>
                    <a:noFill/>
                    <a:ln w="12700">
                      <a:solidFill>
                        <a:schemeClr val="tx1"/>
                      </a:solidFill>
                    </a:ln>
                  </pic:spPr>
                </pic:pic>
              </a:graphicData>
            </a:graphic>
          </wp:inline>
        </w:drawing>
      </w:r>
    </w:p>
    <w:p w14:paraId="0B031534" w14:textId="35704666" w:rsidR="0024725C" w:rsidRDefault="0024725C" w:rsidP="0024725C">
      <w:pPr>
        <w:spacing w:before="240"/>
        <w:jc w:val="center"/>
        <w:rPr>
          <w:rFonts w:ascii="Arial" w:hAnsi="Arial" w:cs="Arial"/>
          <w:b/>
          <w:sz w:val="28"/>
          <w:szCs w:val="28"/>
        </w:rPr>
      </w:pPr>
      <w:r w:rsidRPr="000F33ED">
        <w:rPr>
          <w:rFonts w:ascii="Arial" w:hAnsi="Arial" w:cs="Arial"/>
          <w:b/>
          <w:color w:val="000000" w:themeColor="text1"/>
        </w:rPr>
        <w:t xml:space="preserve">Table 1 &amp; Figure </w:t>
      </w:r>
      <w:r w:rsidR="00F7266F">
        <w:rPr>
          <w:rFonts w:ascii="Arial" w:hAnsi="Arial" w:cs="Arial"/>
          <w:b/>
          <w:color w:val="000000" w:themeColor="text1"/>
        </w:rPr>
        <w:t>3</w:t>
      </w:r>
      <w:r w:rsidRPr="000F33ED">
        <w:rPr>
          <w:rFonts w:ascii="Arial" w:hAnsi="Arial" w:cs="Arial"/>
          <w:b/>
          <w:color w:val="000000" w:themeColor="text1"/>
        </w:rPr>
        <w:t>: The absorbance values of Gallic acid at different concentrations and standard curve of gallic acid</w:t>
      </w:r>
    </w:p>
    <w:p w14:paraId="10512E0E" w14:textId="77777777" w:rsidR="0017386A" w:rsidRPr="0024725C" w:rsidRDefault="0017386A" w:rsidP="0024725C">
      <w:pPr>
        <w:spacing w:before="240"/>
        <w:rPr>
          <w:rFonts w:ascii="Arial" w:hAnsi="Arial" w:cs="Arial"/>
          <w:b/>
          <w:sz w:val="28"/>
          <w:szCs w:val="28"/>
        </w:rPr>
      </w:pPr>
      <w:r w:rsidRPr="002E3FF2">
        <w:rPr>
          <w:rFonts w:ascii="Arial" w:hAnsi="Arial" w:cs="Arial"/>
          <w:b/>
        </w:rPr>
        <w:t>3.2.2 ESTIMATION OF FLAVONOIDS</w:t>
      </w:r>
    </w:p>
    <w:p w14:paraId="1560917A" w14:textId="77777777" w:rsidR="0024725C" w:rsidRDefault="0017386A" w:rsidP="0017386A">
      <w:pPr>
        <w:spacing w:line="240" w:lineRule="auto"/>
        <w:rPr>
          <w:rFonts w:ascii="Arial" w:hAnsi="Arial" w:cs="Arial"/>
        </w:rPr>
      </w:pPr>
      <w:r w:rsidRPr="002E3FF2">
        <w:rPr>
          <w:rFonts w:ascii="Arial" w:hAnsi="Arial" w:cs="Arial"/>
        </w:rPr>
        <w:t xml:space="preserve">The estimation of total flavonoid content in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extract was carried out using quercetin as standard. The quantity of flavonoids present in the extract was determined using the equation </w:t>
      </w:r>
      <w:r w:rsidRPr="002E3FF2">
        <w:rPr>
          <w:rStyle w:val="katex-mathml"/>
          <w:rFonts w:ascii="Arial" w:hAnsi="Arial" w:cs="Arial"/>
        </w:rPr>
        <w:t xml:space="preserve">y=0.45x+0.226 </w:t>
      </w:r>
      <w:r w:rsidRPr="002E3FF2">
        <w:rPr>
          <w:rFonts w:ascii="Arial" w:hAnsi="Arial" w:cs="Arial"/>
        </w:rPr>
        <w:t xml:space="preserve">derived from the standard curve of quercetin. The flavonoid content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found to be 14.3</w:t>
      </w:r>
      <w:r w:rsidRPr="002E3FF2">
        <w:rPr>
          <w:rFonts w:ascii="Arial" w:eastAsia="Calibri" w:hAnsi="Arial" w:cs="Arial"/>
          <w:color w:val="000000"/>
        </w:rPr>
        <w:t>µ</w:t>
      </w:r>
      <w:r w:rsidRPr="002E3FF2">
        <w:rPr>
          <w:rFonts w:ascii="Arial" w:hAnsi="Arial" w:cs="Arial"/>
        </w:rPr>
        <w:t xml:space="preserve">g/ml. </w:t>
      </w:r>
      <w:bookmarkStart w:id="5" w:name="_3rdcrjn" w:colFirst="0" w:colLast="0"/>
      <w:bookmarkEnd w:id="5"/>
    </w:p>
    <w:p w14:paraId="34B9A640" w14:textId="77777777" w:rsidR="0024725C" w:rsidRDefault="0024725C" w:rsidP="0024725C">
      <w:pPr>
        <w:spacing w:line="240" w:lineRule="auto"/>
        <w:jc w:val="center"/>
        <w:rPr>
          <w:rFonts w:ascii="Arial" w:hAnsi="Arial" w:cs="Arial"/>
        </w:rPr>
      </w:pPr>
      <w:r w:rsidRPr="00841E69">
        <w:rPr>
          <w:noProof/>
          <w:sz w:val="28"/>
          <w:szCs w:val="28"/>
          <w:lang w:val="en-US"/>
        </w:rPr>
        <w:drawing>
          <wp:inline distT="0" distB="0" distL="0" distR="0" wp14:anchorId="66F9A2F2" wp14:editId="11ECFEE0">
            <wp:extent cx="2482850" cy="1560179"/>
            <wp:effectExtent l="38100" t="38100" r="31750" b="4064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9526" cy="1576942"/>
                    </a:xfrm>
                    <a:prstGeom prst="rect">
                      <a:avLst/>
                    </a:prstGeom>
                    <a:noFill/>
                    <a:ln w="38100">
                      <a:solidFill>
                        <a:schemeClr val="tx1">
                          <a:lumMod val="95000"/>
                          <a:lumOff val="5000"/>
                        </a:schemeClr>
                      </a:solidFill>
                    </a:ln>
                    <a:effectLst/>
                  </pic:spPr>
                </pic:pic>
              </a:graphicData>
            </a:graphic>
          </wp:inline>
        </w:drawing>
      </w:r>
    </w:p>
    <w:p w14:paraId="512BB02D" w14:textId="77777777" w:rsidR="0024725C" w:rsidRDefault="0024725C" w:rsidP="0024725C">
      <w:pPr>
        <w:spacing w:before="240" w:after="0" w:line="240" w:lineRule="auto"/>
        <w:jc w:val="center"/>
        <w:rPr>
          <w:rFonts w:ascii="Arial" w:hAnsi="Arial" w:cs="Arial"/>
          <w:b/>
          <w:color w:val="000000" w:themeColor="text1"/>
        </w:rPr>
      </w:pPr>
      <w:r w:rsidRPr="007944BB">
        <w:rPr>
          <w:rFonts w:ascii="Arial" w:hAnsi="Arial" w:cs="Arial"/>
          <w:b/>
          <w:color w:val="000000" w:themeColor="text1"/>
        </w:rPr>
        <w:t>Figure 4: Quantitative analysis of flavonoids using Quercetin as (standard)</w:t>
      </w:r>
      <w:r>
        <w:rPr>
          <w:rFonts w:ascii="Arial" w:hAnsi="Arial" w:cs="Arial"/>
          <w:b/>
          <w:color w:val="000000" w:themeColor="text1"/>
        </w:rPr>
        <w:t xml:space="preserve"> - </w:t>
      </w:r>
      <w:r w:rsidRPr="007944BB">
        <w:rPr>
          <w:rFonts w:ascii="Arial" w:hAnsi="Arial" w:cs="Arial"/>
          <w:b/>
          <w:color w:val="000000" w:themeColor="text1"/>
        </w:rPr>
        <w:t>(A-F)</w:t>
      </w:r>
      <w:r>
        <w:rPr>
          <w:rFonts w:ascii="Arial" w:hAnsi="Arial" w:cs="Arial"/>
          <w:b/>
          <w:color w:val="000000" w:themeColor="text1"/>
        </w:rPr>
        <w:t>,</w:t>
      </w:r>
    </w:p>
    <w:p w14:paraId="1412A0C4" w14:textId="77777777" w:rsidR="00875275" w:rsidRDefault="0024725C" w:rsidP="00875275">
      <w:pPr>
        <w:spacing w:after="0" w:line="240" w:lineRule="auto"/>
        <w:jc w:val="center"/>
        <w:rPr>
          <w:rFonts w:ascii="Arial" w:hAnsi="Arial" w:cs="Arial"/>
          <w:b/>
          <w:i/>
          <w:color w:val="000000" w:themeColor="text1"/>
        </w:rPr>
      </w:pPr>
      <w:r w:rsidRPr="007944BB">
        <w:rPr>
          <w:rFonts w:ascii="Arial" w:hAnsi="Arial" w:cs="Arial"/>
          <w:b/>
          <w:color w:val="000000" w:themeColor="text1"/>
        </w:rPr>
        <w:t xml:space="preserve">G - </w:t>
      </w:r>
      <w:r w:rsidRPr="007944BB">
        <w:rPr>
          <w:rFonts w:ascii="Arial" w:hAnsi="Arial" w:cs="Arial"/>
          <w:b/>
          <w:i/>
          <w:color w:val="000000" w:themeColor="text1"/>
        </w:rPr>
        <w:t xml:space="preserve">M. </w:t>
      </w:r>
      <w:proofErr w:type="spellStart"/>
      <w:r w:rsidRPr="007944BB">
        <w:rPr>
          <w:rFonts w:ascii="Arial" w:hAnsi="Arial" w:cs="Arial"/>
          <w:b/>
          <w:i/>
          <w:color w:val="000000" w:themeColor="text1"/>
        </w:rPr>
        <w:t>citrofolia</w:t>
      </w:r>
      <w:proofErr w:type="spellEnd"/>
    </w:p>
    <w:tbl>
      <w:tblPr>
        <w:tblStyle w:val="TableGrid"/>
        <w:tblpPr w:leftFromText="180" w:rightFromText="180" w:vertAnchor="text" w:horzAnchor="margin" w:tblpY="236"/>
        <w:tblW w:w="406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00" w:firstRow="0" w:lastRow="0" w:firstColumn="0" w:lastColumn="0" w:noHBand="0" w:noVBand="1"/>
      </w:tblPr>
      <w:tblGrid>
        <w:gridCol w:w="2178"/>
        <w:gridCol w:w="1890"/>
      </w:tblGrid>
      <w:tr w:rsidR="00875275" w:rsidRPr="00915431" w14:paraId="122D02D5" w14:textId="77777777" w:rsidTr="00875275">
        <w:trPr>
          <w:trHeight w:val="498"/>
        </w:trPr>
        <w:tc>
          <w:tcPr>
            <w:tcW w:w="2178" w:type="dxa"/>
            <w:vAlign w:val="center"/>
          </w:tcPr>
          <w:p w14:paraId="29AE40B1" w14:textId="77777777"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 xml:space="preserve">Concentration </w:t>
            </w:r>
          </w:p>
          <w:p w14:paraId="1CF496B4" w14:textId="77777777"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(µg/ml)</w:t>
            </w:r>
          </w:p>
        </w:tc>
        <w:tc>
          <w:tcPr>
            <w:tcW w:w="1890" w:type="dxa"/>
            <w:vAlign w:val="center"/>
          </w:tcPr>
          <w:p w14:paraId="6E46270B" w14:textId="77777777"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 xml:space="preserve">Absorbance </w:t>
            </w:r>
          </w:p>
          <w:p w14:paraId="1454BEEB" w14:textId="77777777"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(nm)</w:t>
            </w:r>
          </w:p>
        </w:tc>
      </w:tr>
      <w:tr w:rsidR="00875275" w:rsidRPr="00915431" w14:paraId="139DA881" w14:textId="77777777" w:rsidTr="00875275">
        <w:trPr>
          <w:trHeight w:val="498"/>
        </w:trPr>
        <w:tc>
          <w:tcPr>
            <w:tcW w:w="2178" w:type="dxa"/>
            <w:vAlign w:val="center"/>
          </w:tcPr>
          <w:p w14:paraId="63D26777"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200</w:t>
            </w:r>
          </w:p>
        </w:tc>
        <w:tc>
          <w:tcPr>
            <w:tcW w:w="1890" w:type="dxa"/>
            <w:vAlign w:val="center"/>
          </w:tcPr>
          <w:p w14:paraId="19D82204"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0.718</w:t>
            </w:r>
          </w:p>
        </w:tc>
      </w:tr>
      <w:tr w:rsidR="00875275" w:rsidRPr="00915431" w14:paraId="66180281" w14:textId="77777777" w:rsidTr="00875275">
        <w:trPr>
          <w:trHeight w:val="498"/>
        </w:trPr>
        <w:tc>
          <w:tcPr>
            <w:tcW w:w="2178" w:type="dxa"/>
            <w:vAlign w:val="center"/>
          </w:tcPr>
          <w:p w14:paraId="2256276B"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400</w:t>
            </w:r>
          </w:p>
        </w:tc>
        <w:tc>
          <w:tcPr>
            <w:tcW w:w="1890" w:type="dxa"/>
            <w:vAlign w:val="center"/>
          </w:tcPr>
          <w:p w14:paraId="5E330372"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1.158</w:t>
            </w:r>
          </w:p>
        </w:tc>
      </w:tr>
      <w:tr w:rsidR="00875275" w:rsidRPr="00915431" w14:paraId="283378BC" w14:textId="77777777" w:rsidTr="00875275">
        <w:trPr>
          <w:trHeight w:val="498"/>
        </w:trPr>
        <w:tc>
          <w:tcPr>
            <w:tcW w:w="2178" w:type="dxa"/>
            <w:vAlign w:val="center"/>
          </w:tcPr>
          <w:p w14:paraId="422503C0"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600</w:t>
            </w:r>
          </w:p>
        </w:tc>
        <w:tc>
          <w:tcPr>
            <w:tcW w:w="1890" w:type="dxa"/>
            <w:vAlign w:val="center"/>
          </w:tcPr>
          <w:p w14:paraId="210DC461"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1.501</w:t>
            </w:r>
          </w:p>
        </w:tc>
      </w:tr>
      <w:tr w:rsidR="00875275" w:rsidRPr="00915431" w14:paraId="2AF7ECDF" w14:textId="77777777" w:rsidTr="00875275">
        <w:trPr>
          <w:trHeight w:val="498"/>
        </w:trPr>
        <w:tc>
          <w:tcPr>
            <w:tcW w:w="2178" w:type="dxa"/>
            <w:vAlign w:val="center"/>
          </w:tcPr>
          <w:p w14:paraId="59AB8050"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800</w:t>
            </w:r>
          </w:p>
        </w:tc>
        <w:tc>
          <w:tcPr>
            <w:tcW w:w="1890" w:type="dxa"/>
            <w:vAlign w:val="center"/>
          </w:tcPr>
          <w:p w14:paraId="236669DC"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1.912</w:t>
            </w:r>
          </w:p>
        </w:tc>
      </w:tr>
      <w:tr w:rsidR="00875275" w:rsidRPr="00915431" w14:paraId="392D0AA5" w14:textId="77777777" w:rsidTr="00875275">
        <w:trPr>
          <w:trHeight w:val="498"/>
        </w:trPr>
        <w:tc>
          <w:tcPr>
            <w:tcW w:w="2178" w:type="dxa"/>
            <w:vAlign w:val="center"/>
          </w:tcPr>
          <w:p w14:paraId="0446F996"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1000</w:t>
            </w:r>
          </w:p>
        </w:tc>
        <w:tc>
          <w:tcPr>
            <w:tcW w:w="1890" w:type="dxa"/>
            <w:vAlign w:val="center"/>
          </w:tcPr>
          <w:p w14:paraId="31E1A96A"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2.591</w:t>
            </w:r>
          </w:p>
        </w:tc>
      </w:tr>
      <w:tr w:rsidR="00875275" w:rsidRPr="00915431" w14:paraId="77247CE6" w14:textId="77777777" w:rsidTr="00875275">
        <w:trPr>
          <w:trHeight w:val="498"/>
        </w:trPr>
        <w:tc>
          <w:tcPr>
            <w:tcW w:w="2178" w:type="dxa"/>
            <w:vAlign w:val="center"/>
          </w:tcPr>
          <w:p w14:paraId="0FFE2C31"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Sampe</w:t>
            </w:r>
          </w:p>
        </w:tc>
        <w:tc>
          <w:tcPr>
            <w:tcW w:w="1890" w:type="dxa"/>
            <w:vAlign w:val="center"/>
          </w:tcPr>
          <w:p w14:paraId="24F21BE2" w14:textId="77777777" w:rsidR="00875275" w:rsidRPr="00915431" w:rsidRDefault="00875275" w:rsidP="00875275">
            <w:pPr>
              <w:widowControl/>
              <w:spacing w:line="240" w:lineRule="auto"/>
              <w:jc w:val="center"/>
              <w:rPr>
                <w:rFonts w:ascii="Arial" w:eastAsia="Calibri" w:hAnsi="Arial" w:cs="Arial"/>
                <w:color w:val="000000"/>
              </w:rPr>
            </w:pPr>
            <w:r w:rsidRPr="00915431">
              <w:rPr>
                <w:rFonts w:ascii="Arial" w:eastAsia="Calibri" w:hAnsi="Arial" w:cs="Arial"/>
                <w:color w:val="000000"/>
              </w:rPr>
              <w:t>0.259</w:t>
            </w:r>
          </w:p>
        </w:tc>
      </w:tr>
    </w:tbl>
    <w:p w14:paraId="4DD86E8D" w14:textId="77777777" w:rsidR="00875275" w:rsidRDefault="00875275" w:rsidP="00875275">
      <w:pPr>
        <w:spacing w:after="0" w:line="240" w:lineRule="auto"/>
        <w:jc w:val="right"/>
        <w:rPr>
          <w:rFonts w:ascii="Arial" w:hAnsi="Arial" w:cs="Arial"/>
          <w:b/>
          <w:i/>
          <w:color w:val="000000" w:themeColor="text1"/>
        </w:rPr>
      </w:pPr>
    </w:p>
    <w:p w14:paraId="0315FFC0" w14:textId="77777777" w:rsidR="00875275" w:rsidRDefault="00875275" w:rsidP="00875275">
      <w:pPr>
        <w:spacing w:after="0" w:line="240" w:lineRule="auto"/>
        <w:jc w:val="center"/>
        <w:rPr>
          <w:rFonts w:ascii="Arial" w:hAnsi="Arial" w:cs="Arial"/>
          <w:b/>
          <w:sz w:val="28"/>
          <w:szCs w:val="28"/>
        </w:rPr>
      </w:pPr>
      <w:r w:rsidRPr="008747CC">
        <w:rPr>
          <w:b/>
          <w:noProof/>
          <w:sz w:val="56"/>
          <w:szCs w:val="56"/>
          <w:lang w:val="en-US"/>
        </w:rPr>
        <w:drawing>
          <wp:inline distT="0" distB="0" distL="0" distR="0" wp14:anchorId="4BFA8C80" wp14:editId="65ECDC05">
            <wp:extent cx="2602230" cy="2316896"/>
            <wp:effectExtent l="19050" t="19050" r="26670" b="26670"/>
            <wp:docPr id="2" name="Chart 1">
              <a:extLst xmlns:a="http://schemas.openxmlformats.org/drawingml/2006/main">
                <a:ext uri="{FF2B5EF4-FFF2-40B4-BE49-F238E27FC236}">
                  <a16:creationId xmlns:a16="http://schemas.microsoft.com/office/drawing/2014/main" id="{2D908D27-8CF8-DA7C-D6F6-FC3EB5495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012B22" w14:textId="77777777" w:rsidR="00875275" w:rsidRDefault="00875275" w:rsidP="00875275">
      <w:pPr>
        <w:spacing w:after="0" w:line="240" w:lineRule="auto"/>
        <w:jc w:val="center"/>
        <w:rPr>
          <w:rFonts w:ascii="Arial" w:hAnsi="Arial" w:cs="Arial"/>
          <w:b/>
          <w:sz w:val="28"/>
          <w:szCs w:val="28"/>
        </w:rPr>
      </w:pPr>
    </w:p>
    <w:p w14:paraId="0DE0B503" w14:textId="7E0AAE3C" w:rsidR="00875275" w:rsidRPr="00D5154C" w:rsidRDefault="00875275" w:rsidP="00875275">
      <w:pPr>
        <w:spacing w:after="0" w:line="240" w:lineRule="auto"/>
        <w:jc w:val="center"/>
        <w:rPr>
          <w:rFonts w:ascii="Arial" w:hAnsi="Arial" w:cs="Arial"/>
          <w:b/>
          <w:sz w:val="28"/>
          <w:szCs w:val="28"/>
        </w:rPr>
      </w:pPr>
      <w:r w:rsidRPr="00D5154C">
        <w:rPr>
          <w:rFonts w:ascii="Arial" w:hAnsi="Arial" w:cs="Arial"/>
          <w:b/>
          <w:color w:val="000000" w:themeColor="text1"/>
        </w:rPr>
        <w:lastRenderedPageBreak/>
        <w:t>Table 2 &amp;</w:t>
      </w:r>
      <w:r>
        <w:rPr>
          <w:rFonts w:ascii="Arial" w:hAnsi="Arial" w:cs="Arial"/>
          <w:b/>
          <w:color w:val="000000" w:themeColor="text1"/>
        </w:rPr>
        <w:t>Graph</w:t>
      </w:r>
      <w:r w:rsidR="00F7274C">
        <w:rPr>
          <w:rFonts w:ascii="Arial" w:hAnsi="Arial" w:cs="Arial"/>
          <w:b/>
          <w:color w:val="000000" w:themeColor="text1"/>
        </w:rPr>
        <w:t xml:space="preserve"> 1</w:t>
      </w:r>
      <w:r w:rsidRPr="00D5154C">
        <w:rPr>
          <w:rFonts w:ascii="Arial" w:hAnsi="Arial" w:cs="Arial"/>
          <w:b/>
          <w:color w:val="000000" w:themeColor="text1"/>
        </w:rPr>
        <w:t>: The absorbance values of Quercetin at different concentrations and standard curve of Quercetin</w:t>
      </w:r>
    </w:p>
    <w:p w14:paraId="008CEFA9" w14:textId="77777777" w:rsidR="0017386A" w:rsidRPr="002E3FF2" w:rsidRDefault="0017386A" w:rsidP="0017386A">
      <w:pPr>
        <w:spacing w:line="240" w:lineRule="auto"/>
        <w:rPr>
          <w:rFonts w:ascii="Arial" w:hAnsi="Arial" w:cs="Arial"/>
          <w:b/>
        </w:rPr>
      </w:pPr>
      <w:r w:rsidRPr="002E3FF2">
        <w:rPr>
          <w:rFonts w:ascii="Arial" w:hAnsi="Arial" w:cs="Arial"/>
          <w:b/>
        </w:rPr>
        <w:t>3.2.3 ESTIMATION OF ALKALOIDS</w:t>
      </w:r>
    </w:p>
    <w:p w14:paraId="39D2E962" w14:textId="77777777" w:rsidR="0024725C" w:rsidRDefault="0017386A" w:rsidP="0017386A">
      <w:pPr>
        <w:spacing w:line="240" w:lineRule="auto"/>
        <w:rPr>
          <w:rFonts w:ascii="Arial" w:hAnsi="Arial" w:cs="Arial"/>
        </w:rPr>
      </w:pPr>
      <w:r w:rsidRPr="002E3FF2">
        <w:rPr>
          <w:rFonts w:ascii="Arial" w:hAnsi="Arial" w:cs="Arial"/>
        </w:rPr>
        <w:t xml:space="preserve">The estimation of total alkaloid content in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extract was carried out using quercetin as standard. The quantity of alkaloids present in the extract was determined using the equation </w:t>
      </w:r>
      <w:r w:rsidRPr="002E3FF2">
        <w:rPr>
          <w:rStyle w:val="katex-mathml"/>
          <w:rFonts w:ascii="Arial" w:hAnsi="Arial" w:cs="Arial"/>
        </w:rPr>
        <w:t>y=0.256x+0.418</w:t>
      </w:r>
      <w:r w:rsidRPr="002E3FF2">
        <w:rPr>
          <w:rFonts w:ascii="Arial" w:hAnsi="Arial" w:cs="Arial"/>
        </w:rPr>
        <w:t xml:space="preserve">, derived from the standard curve of </w:t>
      </w:r>
      <w:r w:rsidR="00295102">
        <w:rPr>
          <w:rFonts w:ascii="Arial" w:hAnsi="Arial" w:cs="Arial"/>
        </w:rPr>
        <w:t>atropine</w:t>
      </w:r>
      <w:r w:rsidRPr="002E3FF2">
        <w:rPr>
          <w:rFonts w:ascii="Arial" w:hAnsi="Arial" w:cs="Arial"/>
        </w:rPr>
        <w:t xml:space="preserve">. The alkaloid content of </w:t>
      </w:r>
      <w:r w:rsidRPr="002E3FF2">
        <w:rPr>
          <w:rFonts w:ascii="Arial" w:hAnsi="Arial" w:cs="Arial"/>
          <w:i/>
        </w:rPr>
        <w:t xml:space="preserve">M. </w:t>
      </w:r>
      <w:proofErr w:type="spellStart"/>
      <w:r w:rsidRPr="002E3FF2">
        <w:rPr>
          <w:rFonts w:ascii="Arial" w:hAnsi="Arial" w:cs="Arial"/>
          <w:i/>
        </w:rPr>
        <w:t>citrifolia</w:t>
      </w:r>
      <w:proofErr w:type="spellEnd"/>
      <w:r w:rsidRPr="002E3FF2">
        <w:rPr>
          <w:rFonts w:ascii="Arial" w:hAnsi="Arial" w:cs="Arial"/>
        </w:rPr>
        <w:t xml:space="preserve"> was found to be 14.3mg/m</w:t>
      </w:r>
      <w:r>
        <w:rPr>
          <w:rFonts w:ascii="Arial" w:hAnsi="Arial" w:cs="Arial"/>
        </w:rPr>
        <w:t xml:space="preserve">L  </w:t>
      </w:r>
    </w:p>
    <w:p w14:paraId="6B5016E9" w14:textId="77777777" w:rsidR="0017386A" w:rsidRDefault="0024725C" w:rsidP="0024725C">
      <w:pPr>
        <w:spacing w:line="240" w:lineRule="auto"/>
        <w:jc w:val="center"/>
        <w:rPr>
          <w:rFonts w:ascii="Arial" w:hAnsi="Arial" w:cs="Arial"/>
        </w:rPr>
      </w:pPr>
      <w:r w:rsidRPr="00841E69">
        <w:rPr>
          <w:noProof/>
          <w:sz w:val="24"/>
          <w:szCs w:val="24"/>
          <w:lang w:val="en-US"/>
        </w:rPr>
        <w:drawing>
          <wp:inline distT="0" distB="0" distL="0" distR="0" wp14:anchorId="4AC19DA2" wp14:editId="00C92653">
            <wp:extent cx="2679881" cy="1783016"/>
            <wp:effectExtent l="38100" t="38100" r="44450" b="463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9881" cy="1783016"/>
                    </a:xfrm>
                    <a:prstGeom prst="rect">
                      <a:avLst/>
                    </a:prstGeom>
                    <a:noFill/>
                    <a:ln w="38100">
                      <a:solidFill>
                        <a:schemeClr val="tx1"/>
                      </a:solidFill>
                    </a:ln>
                  </pic:spPr>
                </pic:pic>
              </a:graphicData>
            </a:graphic>
          </wp:inline>
        </w:drawing>
      </w:r>
    </w:p>
    <w:p w14:paraId="7A8BEACB" w14:textId="77777777" w:rsidR="0024725C" w:rsidRDefault="0024725C" w:rsidP="0024725C">
      <w:pPr>
        <w:spacing w:before="240" w:after="0" w:line="240" w:lineRule="auto"/>
        <w:jc w:val="center"/>
        <w:rPr>
          <w:rFonts w:ascii="Arial" w:hAnsi="Arial" w:cs="Arial"/>
          <w:b/>
          <w:color w:val="000000" w:themeColor="text1"/>
        </w:rPr>
      </w:pPr>
      <w:r w:rsidRPr="007944BB">
        <w:rPr>
          <w:rFonts w:ascii="Arial" w:hAnsi="Arial" w:cs="Arial"/>
          <w:b/>
          <w:color w:val="000000" w:themeColor="text1"/>
        </w:rPr>
        <w:t xml:space="preserve">Figure 5: Quantitative analysis of alkaloids using </w:t>
      </w:r>
      <w:r>
        <w:rPr>
          <w:rFonts w:ascii="Arial" w:hAnsi="Arial" w:cs="Arial"/>
          <w:b/>
          <w:color w:val="000000" w:themeColor="text1"/>
        </w:rPr>
        <w:t>atropine as (st</w:t>
      </w:r>
      <w:r w:rsidRPr="007944BB">
        <w:rPr>
          <w:rFonts w:ascii="Arial" w:hAnsi="Arial" w:cs="Arial"/>
          <w:b/>
          <w:color w:val="000000" w:themeColor="text1"/>
        </w:rPr>
        <w:t>andard)</w:t>
      </w:r>
      <w:r>
        <w:rPr>
          <w:rFonts w:ascii="Arial" w:hAnsi="Arial" w:cs="Arial"/>
          <w:b/>
          <w:color w:val="000000" w:themeColor="text1"/>
        </w:rPr>
        <w:t xml:space="preserve"> – (A-E),</w:t>
      </w:r>
    </w:p>
    <w:p w14:paraId="64BB5B37" w14:textId="77777777" w:rsidR="00875275" w:rsidRDefault="0024725C" w:rsidP="00875275">
      <w:pPr>
        <w:spacing w:line="240" w:lineRule="auto"/>
        <w:jc w:val="center"/>
        <w:rPr>
          <w:rFonts w:ascii="Arial" w:hAnsi="Arial" w:cs="Arial"/>
          <w:b/>
          <w:i/>
          <w:color w:val="000000" w:themeColor="text1"/>
        </w:rPr>
      </w:pPr>
      <w:r>
        <w:rPr>
          <w:rFonts w:ascii="Arial" w:hAnsi="Arial" w:cs="Arial"/>
          <w:b/>
          <w:color w:val="000000" w:themeColor="text1"/>
        </w:rPr>
        <w:t>F</w:t>
      </w:r>
      <w:r w:rsidRPr="007944BB">
        <w:rPr>
          <w:rFonts w:ascii="Arial" w:hAnsi="Arial" w:cs="Arial"/>
          <w:b/>
          <w:color w:val="000000" w:themeColor="text1"/>
        </w:rPr>
        <w:t xml:space="preserve"> - </w:t>
      </w:r>
      <w:r w:rsidRPr="007944BB">
        <w:rPr>
          <w:rFonts w:ascii="Arial" w:hAnsi="Arial" w:cs="Arial"/>
          <w:b/>
          <w:i/>
          <w:color w:val="000000" w:themeColor="text1"/>
        </w:rPr>
        <w:t xml:space="preserve">M. </w:t>
      </w:r>
      <w:proofErr w:type="spellStart"/>
      <w:r w:rsidRPr="007944BB">
        <w:rPr>
          <w:rFonts w:ascii="Arial" w:hAnsi="Arial" w:cs="Arial"/>
          <w:b/>
          <w:i/>
          <w:color w:val="000000" w:themeColor="text1"/>
        </w:rPr>
        <w:t>citrofolia</w:t>
      </w:r>
      <w:proofErr w:type="spellEnd"/>
    </w:p>
    <w:tbl>
      <w:tblPr>
        <w:tblStyle w:val="1"/>
        <w:tblpPr w:leftFromText="180" w:rightFromText="180" w:vertAnchor="text" w:horzAnchor="margin" w:tblpY="-27"/>
        <w:tblW w:w="3891"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1953"/>
        <w:gridCol w:w="1938"/>
      </w:tblGrid>
      <w:tr w:rsidR="00875275" w:rsidRPr="00841E69" w14:paraId="50AFEC0A" w14:textId="77777777" w:rsidTr="00875275">
        <w:trPr>
          <w:trHeight w:val="434"/>
        </w:trPr>
        <w:tc>
          <w:tcPr>
            <w:tcW w:w="1953" w:type="dxa"/>
            <w:vAlign w:val="center"/>
          </w:tcPr>
          <w:p w14:paraId="02A7355C" w14:textId="77777777"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Concentration mg/ml</w:t>
            </w:r>
          </w:p>
        </w:tc>
        <w:tc>
          <w:tcPr>
            <w:tcW w:w="1938" w:type="dxa"/>
            <w:vAlign w:val="center"/>
          </w:tcPr>
          <w:p w14:paraId="63B6BEDF" w14:textId="77777777"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Absorbance</w:t>
            </w:r>
          </w:p>
          <w:p w14:paraId="74C5508B" w14:textId="77777777" w:rsidR="00875275" w:rsidRPr="00915431" w:rsidRDefault="00875275" w:rsidP="00875275">
            <w:pPr>
              <w:widowControl/>
              <w:spacing w:after="0" w:line="240" w:lineRule="auto"/>
              <w:jc w:val="center"/>
              <w:rPr>
                <w:rFonts w:ascii="Arial" w:eastAsia="Calibri" w:hAnsi="Arial" w:cs="Arial"/>
                <w:b/>
                <w:color w:val="000000"/>
              </w:rPr>
            </w:pPr>
            <w:r w:rsidRPr="00915431">
              <w:rPr>
                <w:rFonts w:ascii="Arial" w:eastAsia="Calibri" w:hAnsi="Arial" w:cs="Arial"/>
                <w:b/>
                <w:color w:val="000000"/>
              </w:rPr>
              <w:t>(nm)</w:t>
            </w:r>
          </w:p>
        </w:tc>
      </w:tr>
      <w:tr w:rsidR="00875275" w:rsidRPr="00841E69" w14:paraId="694EA8DB" w14:textId="77777777" w:rsidTr="00875275">
        <w:trPr>
          <w:trHeight w:val="434"/>
        </w:trPr>
        <w:tc>
          <w:tcPr>
            <w:tcW w:w="1953" w:type="dxa"/>
            <w:vAlign w:val="center"/>
          </w:tcPr>
          <w:p w14:paraId="07FF2C1B"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0.2</w:t>
            </w:r>
          </w:p>
        </w:tc>
        <w:tc>
          <w:tcPr>
            <w:tcW w:w="1938" w:type="dxa"/>
            <w:vAlign w:val="center"/>
          </w:tcPr>
          <w:p w14:paraId="634BAD92"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1.24</w:t>
            </w:r>
          </w:p>
        </w:tc>
      </w:tr>
      <w:tr w:rsidR="00875275" w:rsidRPr="00841E69" w14:paraId="52289FC5" w14:textId="77777777" w:rsidTr="00875275">
        <w:trPr>
          <w:trHeight w:val="434"/>
        </w:trPr>
        <w:tc>
          <w:tcPr>
            <w:tcW w:w="1953" w:type="dxa"/>
            <w:vAlign w:val="center"/>
          </w:tcPr>
          <w:p w14:paraId="09B0CC34"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0.4</w:t>
            </w:r>
          </w:p>
        </w:tc>
        <w:tc>
          <w:tcPr>
            <w:tcW w:w="1938" w:type="dxa"/>
            <w:vAlign w:val="center"/>
          </w:tcPr>
          <w:p w14:paraId="5E9696EB"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1.4</w:t>
            </w:r>
          </w:p>
        </w:tc>
      </w:tr>
      <w:tr w:rsidR="00875275" w:rsidRPr="00841E69" w14:paraId="0B3D749F" w14:textId="77777777" w:rsidTr="00875275">
        <w:trPr>
          <w:trHeight w:val="434"/>
        </w:trPr>
        <w:tc>
          <w:tcPr>
            <w:tcW w:w="1953" w:type="dxa"/>
            <w:vAlign w:val="center"/>
          </w:tcPr>
          <w:p w14:paraId="7B861FB4"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0.6</w:t>
            </w:r>
          </w:p>
        </w:tc>
        <w:tc>
          <w:tcPr>
            <w:tcW w:w="1938" w:type="dxa"/>
            <w:vAlign w:val="center"/>
          </w:tcPr>
          <w:p w14:paraId="637B461B"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1.55</w:t>
            </w:r>
          </w:p>
        </w:tc>
      </w:tr>
      <w:tr w:rsidR="00875275" w:rsidRPr="00841E69" w14:paraId="5CB5670F" w14:textId="77777777" w:rsidTr="00875275">
        <w:trPr>
          <w:trHeight w:val="434"/>
        </w:trPr>
        <w:tc>
          <w:tcPr>
            <w:tcW w:w="1953" w:type="dxa"/>
            <w:vAlign w:val="center"/>
          </w:tcPr>
          <w:p w14:paraId="4FAFA013"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0.8</w:t>
            </w:r>
          </w:p>
        </w:tc>
        <w:tc>
          <w:tcPr>
            <w:tcW w:w="1938" w:type="dxa"/>
            <w:vAlign w:val="center"/>
          </w:tcPr>
          <w:p w14:paraId="1F9CC81B"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1.68</w:t>
            </w:r>
          </w:p>
        </w:tc>
      </w:tr>
      <w:tr w:rsidR="00875275" w:rsidRPr="00841E69" w14:paraId="61AF576A" w14:textId="77777777" w:rsidTr="00875275">
        <w:trPr>
          <w:trHeight w:val="434"/>
        </w:trPr>
        <w:tc>
          <w:tcPr>
            <w:tcW w:w="1953" w:type="dxa"/>
            <w:vAlign w:val="center"/>
          </w:tcPr>
          <w:p w14:paraId="363F8D95"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1</w:t>
            </w:r>
          </w:p>
        </w:tc>
        <w:tc>
          <w:tcPr>
            <w:tcW w:w="1938" w:type="dxa"/>
            <w:vAlign w:val="center"/>
          </w:tcPr>
          <w:p w14:paraId="3F274C85"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2.38</w:t>
            </w:r>
          </w:p>
        </w:tc>
      </w:tr>
      <w:tr w:rsidR="00875275" w:rsidRPr="00841E69" w14:paraId="01242DEA" w14:textId="77777777" w:rsidTr="00875275">
        <w:trPr>
          <w:trHeight w:val="434"/>
        </w:trPr>
        <w:tc>
          <w:tcPr>
            <w:tcW w:w="1953" w:type="dxa"/>
            <w:vAlign w:val="center"/>
          </w:tcPr>
          <w:p w14:paraId="1EB97A31"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Sample</w:t>
            </w:r>
          </w:p>
        </w:tc>
        <w:tc>
          <w:tcPr>
            <w:tcW w:w="1938" w:type="dxa"/>
            <w:vAlign w:val="center"/>
          </w:tcPr>
          <w:p w14:paraId="4C9166DE" w14:textId="77777777" w:rsidR="00875275" w:rsidRPr="00915431" w:rsidRDefault="00875275" w:rsidP="00875275">
            <w:pPr>
              <w:widowControl/>
              <w:spacing w:after="0" w:line="240" w:lineRule="auto"/>
              <w:jc w:val="center"/>
              <w:rPr>
                <w:rFonts w:ascii="Arial" w:eastAsia="Calibri" w:hAnsi="Arial" w:cs="Arial"/>
                <w:color w:val="000000"/>
              </w:rPr>
            </w:pPr>
            <w:r w:rsidRPr="00915431">
              <w:rPr>
                <w:rFonts w:ascii="Arial" w:eastAsia="Calibri" w:hAnsi="Arial" w:cs="Arial"/>
                <w:color w:val="000000"/>
              </w:rPr>
              <w:t>0.052</w:t>
            </w:r>
          </w:p>
        </w:tc>
      </w:tr>
    </w:tbl>
    <w:p w14:paraId="6402269F" w14:textId="77777777" w:rsidR="00875275" w:rsidRDefault="00875275" w:rsidP="0024725C">
      <w:pPr>
        <w:spacing w:line="240" w:lineRule="auto"/>
        <w:jc w:val="center"/>
        <w:rPr>
          <w:rFonts w:ascii="Arial" w:hAnsi="Arial" w:cs="Arial"/>
          <w:b/>
        </w:rPr>
      </w:pPr>
      <w:r w:rsidRPr="008747CC">
        <w:rPr>
          <w:b/>
          <w:noProof/>
          <w:sz w:val="18"/>
          <w:szCs w:val="18"/>
          <w:lang w:val="en-US"/>
        </w:rPr>
        <w:drawing>
          <wp:inline distT="0" distB="0" distL="0" distR="0" wp14:anchorId="3FCFE2CB" wp14:editId="253C58C5">
            <wp:extent cx="2886075" cy="2024903"/>
            <wp:effectExtent l="19050" t="19050" r="9525" b="13970"/>
            <wp:docPr id="3" name="Chart 2">
              <a:extLst xmlns:a="http://schemas.openxmlformats.org/drawingml/2006/main">
                <a:ext uri="{FF2B5EF4-FFF2-40B4-BE49-F238E27FC236}">
                  <a16:creationId xmlns:a16="http://schemas.microsoft.com/office/drawing/2014/main" id="{BB818720-CA76-0607-A0C0-82C929EA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909FF1" w14:textId="62BBBD1E" w:rsidR="00875275" w:rsidRPr="00875275" w:rsidRDefault="00875275" w:rsidP="00875275">
      <w:pPr>
        <w:spacing w:before="240" w:line="240" w:lineRule="auto"/>
        <w:jc w:val="center"/>
        <w:rPr>
          <w:rFonts w:ascii="Arial" w:hAnsi="Arial" w:cs="Arial"/>
          <w:b/>
          <w:color w:val="000000" w:themeColor="text1"/>
        </w:rPr>
      </w:pPr>
      <w:r w:rsidRPr="00F15E6B">
        <w:rPr>
          <w:b/>
          <w:color w:val="000000" w:themeColor="text1"/>
        </w:rPr>
        <w:t>Table 3 &amp;</w:t>
      </w:r>
      <w:r>
        <w:rPr>
          <w:b/>
          <w:color w:val="000000" w:themeColor="text1"/>
        </w:rPr>
        <w:t xml:space="preserve"> Graph </w:t>
      </w:r>
      <w:proofErr w:type="gramStart"/>
      <w:r w:rsidR="00F7274C">
        <w:rPr>
          <w:b/>
          <w:color w:val="000000" w:themeColor="text1"/>
        </w:rPr>
        <w:t>2</w:t>
      </w:r>
      <w:r w:rsidRPr="00F15E6B">
        <w:rPr>
          <w:b/>
          <w:color w:val="000000" w:themeColor="text1"/>
        </w:rPr>
        <w:t>:</w:t>
      </w:r>
      <w:r>
        <w:rPr>
          <w:b/>
          <w:color w:val="000000" w:themeColor="text1"/>
        </w:rPr>
        <w:t>T</w:t>
      </w:r>
      <w:r w:rsidRPr="00B84831">
        <w:rPr>
          <w:b/>
          <w:color w:val="000000" w:themeColor="text1"/>
        </w:rPr>
        <w:t>he</w:t>
      </w:r>
      <w:proofErr w:type="gramEnd"/>
      <w:r w:rsidRPr="00B84831">
        <w:rPr>
          <w:b/>
          <w:color w:val="000000" w:themeColor="text1"/>
        </w:rPr>
        <w:t xml:space="preserve"> </w:t>
      </w:r>
      <w:r>
        <w:rPr>
          <w:b/>
          <w:color w:val="000000" w:themeColor="text1"/>
        </w:rPr>
        <w:t>absorbance values of Quercetin</w:t>
      </w:r>
      <w:r w:rsidRPr="00B84831">
        <w:rPr>
          <w:b/>
          <w:color w:val="000000" w:themeColor="text1"/>
        </w:rPr>
        <w:t xml:space="preserve"> at different concentrations and </w:t>
      </w:r>
      <w:r>
        <w:rPr>
          <w:b/>
          <w:color w:val="000000" w:themeColor="text1"/>
        </w:rPr>
        <w:t xml:space="preserve">standard curve of </w:t>
      </w:r>
      <w:r w:rsidRPr="004F22F2">
        <w:rPr>
          <w:rFonts w:ascii="Arial" w:hAnsi="Arial" w:cs="Arial"/>
          <w:b/>
          <w:color w:val="000000" w:themeColor="text1"/>
        </w:rPr>
        <w:t>Quercetin</w:t>
      </w:r>
    </w:p>
    <w:p w14:paraId="6454C15B" w14:textId="77777777" w:rsidR="00295102" w:rsidRPr="002E3FF2" w:rsidRDefault="00295102" w:rsidP="00295102">
      <w:pPr>
        <w:spacing w:line="240" w:lineRule="auto"/>
        <w:rPr>
          <w:rFonts w:ascii="Arial" w:hAnsi="Arial" w:cs="Arial"/>
        </w:rPr>
      </w:pPr>
      <w:r w:rsidRPr="002E3FF2">
        <w:rPr>
          <w:rFonts w:ascii="Arial" w:hAnsi="Arial" w:cs="Arial"/>
          <w:b/>
          <w:bCs/>
          <w:sz w:val="22"/>
          <w:szCs w:val="22"/>
        </w:rPr>
        <w:t xml:space="preserve">3.3 ANALYSIS OF ANTI-OXIDANT EFFECTS </w:t>
      </w:r>
    </w:p>
    <w:p w14:paraId="228AB3FA" w14:textId="77777777" w:rsidR="00295102" w:rsidRPr="002E3FF2" w:rsidRDefault="00295102" w:rsidP="00295102">
      <w:pPr>
        <w:spacing w:line="240" w:lineRule="auto"/>
        <w:rPr>
          <w:rFonts w:ascii="Arial" w:hAnsi="Arial" w:cs="Arial"/>
          <w:b/>
          <w:bCs/>
        </w:rPr>
      </w:pPr>
      <w:r w:rsidRPr="002E3FF2">
        <w:rPr>
          <w:rFonts w:ascii="Arial" w:hAnsi="Arial" w:cs="Arial"/>
          <w:b/>
          <w:bCs/>
        </w:rPr>
        <w:t xml:space="preserve">3.3.1 Analysis of anti-oxidant effects of </w:t>
      </w:r>
      <w:r w:rsidRPr="002E3FF2">
        <w:rPr>
          <w:rFonts w:ascii="Arial" w:hAnsi="Arial" w:cs="Arial"/>
          <w:b/>
          <w:bCs/>
          <w:iCs/>
        </w:rPr>
        <w:t>Ascorbic acid</w:t>
      </w:r>
    </w:p>
    <w:tbl>
      <w:tblPr>
        <w:tblpPr w:leftFromText="180" w:rightFromText="180" w:vertAnchor="text" w:horzAnchor="page" w:tblpX="1852" w:tblpY="665"/>
        <w:tblW w:w="40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097"/>
        <w:gridCol w:w="1973"/>
      </w:tblGrid>
      <w:tr w:rsidR="00875275" w:rsidRPr="00841E69" w14:paraId="59CC41E2" w14:textId="77777777" w:rsidTr="002764D1">
        <w:trPr>
          <w:trHeight w:val="791"/>
        </w:trPr>
        <w:tc>
          <w:tcPr>
            <w:tcW w:w="2097" w:type="dxa"/>
            <w:noWrap/>
            <w:vAlign w:val="center"/>
            <w:hideMark/>
          </w:tcPr>
          <w:p w14:paraId="3E273139" w14:textId="77777777" w:rsidR="00875275" w:rsidRPr="00875275" w:rsidRDefault="00875275" w:rsidP="002764D1">
            <w:pPr>
              <w:spacing w:after="0" w:line="240" w:lineRule="auto"/>
              <w:jc w:val="center"/>
              <w:rPr>
                <w:rFonts w:ascii="Arial" w:hAnsi="Arial" w:cs="Arial"/>
                <w:b/>
                <w:color w:val="000000"/>
              </w:rPr>
            </w:pPr>
            <w:r w:rsidRPr="00875275">
              <w:rPr>
                <w:rFonts w:ascii="Arial" w:hAnsi="Arial" w:cs="Arial"/>
                <w:b/>
                <w:color w:val="000000"/>
              </w:rPr>
              <w:t>Concentration (µg/ml)</w:t>
            </w:r>
          </w:p>
        </w:tc>
        <w:tc>
          <w:tcPr>
            <w:tcW w:w="1973" w:type="dxa"/>
            <w:noWrap/>
            <w:vAlign w:val="center"/>
            <w:hideMark/>
          </w:tcPr>
          <w:p w14:paraId="0098226A" w14:textId="77777777" w:rsidR="00875275" w:rsidRPr="00875275" w:rsidRDefault="00875275" w:rsidP="002764D1">
            <w:pPr>
              <w:spacing w:after="0" w:line="240" w:lineRule="auto"/>
              <w:jc w:val="center"/>
              <w:rPr>
                <w:rFonts w:ascii="Arial" w:hAnsi="Arial" w:cs="Arial"/>
                <w:b/>
                <w:color w:val="000000"/>
              </w:rPr>
            </w:pPr>
            <w:r w:rsidRPr="00875275">
              <w:rPr>
                <w:rFonts w:ascii="Arial" w:hAnsi="Arial" w:cs="Arial"/>
                <w:b/>
                <w:color w:val="000000"/>
              </w:rPr>
              <w:t>Absorbance</w:t>
            </w:r>
          </w:p>
          <w:p w14:paraId="676CF3A7" w14:textId="77777777" w:rsidR="00875275" w:rsidRPr="00875275" w:rsidRDefault="00875275" w:rsidP="002764D1">
            <w:pPr>
              <w:spacing w:after="0" w:line="240" w:lineRule="auto"/>
              <w:jc w:val="center"/>
              <w:rPr>
                <w:rFonts w:ascii="Arial" w:hAnsi="Arial" w:cs="Arial"/>
                <w:b/>
                <w:color w:val="000000"/>
              </w:rPr>
            </w:pPr>
            <w:r w:rsidRPr="00875275">
              <w:rPr>
                <w:rFonts w:ascii="Arial" w:hAnsi="Arial" w:cs="Arial"/>
                <w:b/>
                <w:color w:val="000000"/>
              </w:rPr>
              <w:t xml:space="preserve"> (nm)</w:t>
            </w:r>
          </w:p>
        </w:tc>
      </w:tr>
      <w:tr w:rsidR="00875275" w:rsidRPr="00841E69" w14:paraId="2F3121C9" w14:textId="77777777" w:rsidTr="002764D1">
        <w:trPr>
          <w:trHeight w:val="417"/>
        </w:trPr>
        <w:tc>
          <w:tcPr>
            <w:tcW w:w="2097" w:type="dxa"/>
            <w:noWrap/>
            <w:vAlign w:val="center"/>
            <w:hideMark/>
          </w:tcPr>
          <w:p w14:paraId="0C0855D8"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25</w:t>
            </w:r>
          </w:p>
        </w:tc>
        <w:tc>
          <w:tcPr>
            <w:tcW w:w="1973" w:type="dxa"/>
            <w:noWrap/>
            <w:vAlign w:val="center"/>
            <w:hideMark/>
          </w:tcPr>
          <w:p w14:paraId="36D1F1AC"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0.477</w:t>
            </w:r>
          </w:p>
        </w:tc>
      </w:tr>
      <w:tr w:rsidR="00875275" w:rsidRPr="00841E69" w14:paraId="710CB6FE" w14:textId="77777777" w:rsidTr="002764D1">
        <w:trPr>
          <w:trHeight w:val="408"/>
        </w:trPr>
        <w:tc>
          <w:tcPr>
            <w:tcW w:w="2097" w:type="dxa"/>
            <w:noWrap/>
            <w:vAlign w:val="center"/>
            <w:hideMark/>
          </w:tcPr>
          <w:p w14:paraId="0AE9EEBE"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50</w:t>
            </w:r>
          </w:p>
        </w:tc>
        <w:tc>
          <w:tcPr>
            <w:tcW w:w="1973" w:type="dxa"/>
            <w:noWrap/>
            <w:vAlign w:val="center"/>
            <w:hideMark/>
          </w:tcPr>
          <w:p w14:paraId="4B78B6E1"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0.978</w:t>
            </w:r>
          </w:p>
        </w:tc>
      </w:tr>
      <w:tr w:rsidR="00875275" w:rsidRPr="00841E69" w14:paraId="621A2D6F" w14:textId="77777777" w:rsidTr="002764D1">
        <w:trPr>
          <w:trHeight w:val="330"/>
        </w:trPr>
        <w:tc>
          <w:tcPr>
            <w:tcW w:w="2097" w:type="dxa"/>
            <w:noWrap/>
            <w:vAlign w:val="center"/>
            <w:hideMark/>
          </w:tcPr>
          <w:p w14:paraId="0FD525A3"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100</w:t>
            </w:r>
          </w:p>
        </w:tc>
        <w:tc>
          <w:tcPr>
            <w:tcW w:w="1973" w:type="dxa"/>
            <w:noWrap/>
            <w:vAlign w:val="center"/>
            <w:hideMark/>
          </w:tcPr>
          <w:p w14:paraId="7F119F53"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1.519</w:t>
            </w:r>
          </w:p>
        </w:tc>
      </w:tr>
      <w:tr w:rsidR="00875275" w:rsidRPr="00841E69" w14:paraId="4C43945C" w14:textId="77777777" w:rsidTr="002764D1">
        <w:trPr>
          <w:trHeight w:val="326"/>
        </w:trPr>
        <w:tc>
          <w:tcPr>
            <w:tcW w:w="2097" w:type="dxa"/>
            <w:noWrap/>
            <w:vAlign w:val="center"/>
            <w:hideMark/>
          </w:tcPr>
          <w:p w14:paraId="214DE5F3"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lastRenderedPageBreak/>
              <w:t>250</w:t>
            </w:r>
          </w:p>
        </w:tc>
        <w:tc>
          <w:tcPr>
            <w:tcW w:w="1973" w:type="dxa"/>
            <w:noWrap/>
            <w:vAlign w:val="center"/>
            <w:hideMark/>
          </w:tcPr>
          <w:p w14:paraId="447B60F6"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2.632</w:t>
            </w:r>
          </w:p>
        </w:tc>
      </w:tr>
      <w:tr w:rsidR="00875275" w:rsidRPr="00841E69" w14:paraId="40FBAFEE" w14:textId="77777777" w:rsidTr="002764D1">
        <w:trPr>
          <w:trHeight w:val="334"/>
        </w:trPr>
        <w:tc>
          <w:tcPr>
            <w:tcW w:w="2097" w:type="dxa"/>
            <w:noWrap/>
            <w:vAlign w:val="center"/>
            <w:hideMark/>
          </w:tcPr>
          <w:p w14:paraId="579F62D7"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500</w:t>
            </w:r>
          </w:p>
        </w:tc>
        <w:tc>
          <w:tcPr>
            <w:tcW w:w="1973" w:type="dxa"/>
            <w:noWrap/>
            <w:vAlign w:val="center"/>
            <w:hideMark/>
          </w:tcPr>
          <w:p w14:paraId="189FAEA5" w14:textId="77777777" w:rsidR="00875275" w:rsidRPr="00875275" w:rsidRDefault="00875275" w:rsidP="002764D1">
            <w:pPr>
              <w:spacing w:after="0" w:line="240" w:lineRule="auto"/>
              <w:jc w:val="center"/>
              <w:rPr>
                <w:rFonts w:ascii="Arial" w:hAnsi="Arial" w:cs="Arial"/>
                <w:color w:val="000000"/>
              </w:rPr>
            </w:pPr>
            <w:r w:rsidRPr="00875275">
              <w:rPr>
                <w:rFonts w:ascii="Arial" w:hAnsi="Arial" w:cs="Arial"/>
                <w:color w:val="000000"/>
              </w:rPr>
              <w:t>2.656</w:t>
            </w:r>
          </w:p>
        </w:tc>
      </w:tr>
    </w:tbl>
    <w:p w14:paraId="12991BF3" w14:textId="77777777" w:rsidR="002764D1" w:rsidRDefault="00295102" w:rsidP="00295102">
      <w:pPr>
        <w:spacing w:line="240" w:lineRule="auto"/>
        <w:rPr>
          <w:rFonts w:ascii="Arial" w:hAnsi="Arial" w:cs="Arial"/>
        </w:rPr>
      </w:pPr>
      <w:r w:rsidRPr="002E3FF2">
        <w:rPr>
          <w:rFonts w:ascii="Arial" w:hAnsi="Arial" w:cs="Arial"/>
        </w:rPr>
        <w:t>The FRAP assay was performed using ascorbic acid as the standard, and the absorbance values increased with concentration, indicating a dose-dependent antioxidant activity.</w:t>
      </w:r>
    </w:p>
    <w:p w14:paraId="16D1EEA1" w14:textId="77777777" w:rsidR="00875275" w:rsidRDefault="002764D1" w:rsidP="002764D1">
      <w:pPr>
        <w:spacing w:line="240" w:lineRule="auto"/>
        <w:jc w:val="center"/>
        <w:rPr>
          <w:rFonts w:ascii="Arial" w:hAnsi="Arial" w:cs="Arial"/>
        </w:rPr>
      </w:pPr>
      <w:r w:rsidRPr="00841E69">
        <w:rPr>
          <w:b/>
          <w:bCs/>
          <w:noProof/>
          <w:sz w:val="24"/>
          <w:szCs w:val="24"/>
          <w:lang w:val="en-US"/>
        </w:rPr>
        <w:drawing>
          <wp:inline distT="0" distB="0" distL="0" distR="0" wp14:anchorId="17264666" wp14:editId="32677FD0">
            <wp:extent cx="2328262" cy="1758850"/>
            <wp:effectExtent l="0" t="0" r="0" b="0"/>
            <wp:docPr id="9218" name="Picture 2" descr="A group of test tubes with different colored liquids&#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A group of test tubes with different colored liquids&#10;&#10;AI-generated content may be incorrect."/>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5379" cy="1771781"/>
                    </a:xfrm>
                    <a:prstGeom prst="rect">
                      <a:avLst/>
                    </a:prstGeom>
                    <a:noFill/>
                    <a:ln>
                      <a:noFill/>
                    </a:ln>
                    <a:effectLst/>
                  </pic:spPr>
                </pic:pic>
              </a:graphicData>
            </a:graphic>
          </wp:inline>
        </w:drawing>
      </w:r>
    </w:p>
    <w:p w14:paraId="0EBC568E" w14:textId="1BBB85C3" w:rsidR="002764D1" w:rsidRDefault="00F7274C" w:rsidP="002764D1">
      <w:pPr>
        <w:spacing w:after="0" w:line="240" w:lineRule="auto"/>
        <w:jc w:val="center"/>
        <w:rPr>
          <w:rFonts w:ascii="Arial" w:hAnsi="Arial" w:cs="Arial"/>
          <w:b/>
          <w:bCs/>
        </w:rPr>
      </w:pPr>
      <w:r w:rsidRPr="006C6157">
        <w:rPr>
          <w:rFonts w:ascii="Arial" w:hAnsi="Arial" w:cs="Arial"/>
          <w:b/>
          <w:color w:val="000000" w:themeColor="text1"/>
        </w:rPr>
        <w:t>Table 4</w:t>
      </w:r>
      <w:r>
        <w:rPr>
          <w:rFonts w:ascii="Arial" w:hAnsi="Arial" w:cs="Arial"/>
          <w:b/>
          <w:color w:val="000000" w:themeColor="text1"/>
        </w:rPr>
        <w:t xml:space="preserve"> </w:t>
      </w:r>
      <w:r w:rsidRPr="006C6157">
        <w:rPr>
          <w:rFonts w:ascii="Arial" w:hAnsi="Arial" w:cs="Arial"/>
          <w:b/>
          <w:color w:val="000000" w:themeColor="text1"/>
        </w:rPr>
        <w:t>&amp;</w:t>
      </w:r>
      <w:r>
        <w:rPr>
          <w:rFonts w:ascii="Arial" w:hAnsi="Arial" w:cs="Arial"/>
          <w:b/>
          <w:color w:val="000000" w:themeColor="text1"/>
        </w:rPr>
        <w:t xml:space="preserve"> </w:t>
      </w:r>
      <w:r w:rsidR="002764D1" w:rsidRPr="006C6157">
        <w:rPr>
          <w:rFonts w:ascii="Arial" w:hAnsi="Arial" w:cs="Arial"/>
          <w:b/>
          <w:color w:val="000000" w:themeColor="text1"/>
        </w:rPr>
        <w:t xml:space="preserve">Figure </w:t>
      </w:r>
      <w:r w:rsidR="002764D1">
        <w:rPr>
          <w:rFonts w:ascii="Arial" w:hAnsi="Arial" w:cs="Arial"/>
          <w:b/>
          <w:color w:val="000000" w:themeColor="text1"/>
        </w:rPr>
        <w:t>6</w:t>
      </w:r>
      <w:r w:rsidR="002764D1" w:rsidRPr="006C6157">
        <w:rPr>
          <w:rFonts w:ascii="Arial" w:hAnsi="Arial" w:cs="Arial"/>
          <w:b/>
          <w:color w:val="000000" w:themeColor="text1"/>
        </w:rPr>
        <w:t xml:space="preserve">: FRAP Assay - </w:t>
      </w:r>
      <w:r w:rsidR="002764D1" w:rsidRPr="006C6157">
        <w:rPr>
          <w:rFonts w:ascii="Arial" w:hAnsi="Arial" w:cs="Arial"/>
          <w:b/>
          <w:iCs/>
        </w:rPr>
        <w:t xml:space="preserve">Ascorbic acid </w:t>
      </w:r>
      <w:r w:rsidR="002764D1" w:rsidRPr="006C6157">
        <w:rPr>
          <w:rFonts w:ascii="Arial" w:hAnsi="Arial" w:cs="Arial"/>
          <w:b/>
          <w:color w:val="000000" w:themeColor="text1"/>
        </w:rPr>
        <w:t>at different concentrations (A - Blank</w:t>
      </w:r>
      <w:r w:rsidR="002764D1" w:rsidRPr="006C6157">
        <w:rPr>
          <w:rFonts w:ascii="Arial" w:hAnsi="Arial" w:cs="Arial"/>
          <w:b/>
          <w:bCs/>
        </w:rPr>
        <w:t>,</w:t>
      </w:r>
    </w:p>
    <w:p w14:paraId="6A5144AC" w14:textId="77777777" w:rsidR="002764D1" w:rsidRPr="006C6157" w:rsidRDefault="002764D1" w:rsidP="002764D1">
      <w:pPr>
        <w:spacing w:after="0" w:line="240" w:lineRule="auto"/>
        <w:jc w:val="center"/>
        <w:rPr>
          <w:rFonts w:ascii="Arial" w:hAnsi="Arial" w:cs="Arial"/>
          <w:b/>
          <w:color w:val="000000" w:themeColor="text1"/>
        </w:rPr>
      </w:pPr>
      <w:r w:rsidRPr="006C6157">
        <w:rPr>
          <w:rFonts w:ascii="Arial" w:hAnsi="Arial" w:cs="Arial"/>
          <w:b/>
          <w:bCs/>
        </w:rPr>
        <w:t xml:space="preserve"> B- 12.5 µg/ml,</w:t>
      </w:r>
      <w:r w:rsidRPr="006C6157">
        <w:rPr>
          <w:rFonts w:ascii="Arial" w:hAnsi="Arial" w:cs="Arial"/>
          <w:b/>
          <w:color w:val="000000" w:themeColor="text1"/>
        </w:rPr>
        <w:t xml:space="preserve"> C- 50</w:t>
      </w:r>
      <w:r w:rsidRPr="006C6157">
        <w:rPr>
          <w:rFonts w:ascii="Arial" w:hAnsi="Arial" w:cs="Arial"/>
          <w:b/>
          <w:bCs/>
        </w:rPr>
        <w:t xml:space="preserve"> µg/ml, D- 125 µg/ml, E - 250µg/ml, F -500 µg/ml)</w:t>
      </w:r>
    </w:p>
    <w:p w14:paraId="4AC47870" w14:textId="77777777" w:rsidR="002764D1" w:rsidRDefault="002764D1" w:rsidP="002764D1">
      <w:pPr>
        <w:spacing w:line="240" w:lineRule="auto"/>
        <w:jc w:val="center"/>
        <w:rPr>
          <w:rFonts w:ascii="Arial" w:hAnsi="Arial" w:cs="Arial"/>
        </w:rPr>
      </w:pPr>
    </w:p>
    <w:p w14:paraId="6E4D477D" w14:textId="77777777" w:rsidR="00295102" w:rsidRPr="002E3FF2" w:rsidRDefault="00295102" w:rsidP="00295102">
      <w:pPr>
        <w:spacing w:line="240" w:lineRule="auto"/>
        <w:rPr>
          <w:rFonts w:ascii="Arial" w:hAnsi="Arial" w:cs="Arial"/>
          <w:b/>
          <w:bCs/>
        </w:rPr>
      </w:pPr>
      <w:r w:rsidRPr="002E3FF2">
        <w:rPr>
          <w:rFonts w:ascii="Arial" w:hAnsi="Arial" w:cs="Arial"/>
          <w:b/>
          <w:bCs/>
        </w:rPr>
        <w:t xml:space="preserve">3.3.2 Analysis of antioxidant effects of </w:t>
      </w:r>
      <w:r w:rsidRPr="002E3FF2">
        <w:rPr>
          <w:rFonts w:ascii="Arial" w:hAnsi="Arial" w:cs="Arial"/>
          <w:b/>
          <w:bCs/>
          <w:i/>
        </w:rPr>
        <w:t xml:space="preserve">M. </w:t>
      </w:r>
      <w:proofErr w:type="spellStart"/>
      <w:r w:rsidRPr="002E3FF2">
        <w:rPr>
          <w:rFonts w:ascii="Arial" w:hAnsi="Arial" w:cs="Arial"/>
          <w:b/>
          <w:bCs/>
          <w:i/>
        </w:rPr>
        <w:t>citrofolia</w:t>
      </w:r>
      <w:proofErr w:type="spellEnd"/>
    </w:p>
    <w:p w14:paraId="25BC6858" w14:textId="77777777" w:rsidR="00295102" w:rsidRDefault="00295102" w:rsidP="00295102">
      <w:pPr>
        <w:spacing w:line="240" w:lineRule="auto"/>
        <w:rPr>
          <w:rFonts w:ascii="Arial" w:hAnsi="Arial" w:cs="Arial"/>
        </w:rPr>
      </w:pPr>
      <w:r w:rsidRPr="002E3FF2">
        <w:rPr>
          <w:rFonts w:ascii="Arial" w:hAnsi="Arial" w:cs="Arial"/>
        </w:rPr>
        <w:t xml:space="preserve">The FRAP assay conducted on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citrofolia</w:t>
      </w:r>
      <w:proofErr w:type="spellEnd"/>
      <w:r w:rsidRPr="002E3FF2">
        <w:rPr>
          <w:rFonts w:ascii="Arial" w:hAnsi="Arial" w:cs="Arial"/>
        </w:rPr>
        <w:t xml:space="preserve"> showed a dose-dependent increase in antioxidant activity. As the concentration of the sample increased, the absorbance values also increased, demonstrating the sample’s </w:t>
      </w:r>
      <w:proofErr w:type="spellStart"/>
      <w:r w:rsidRPr="002E3FF2">
        <w:rPr>
          <w:rFonts w:ascii="Arial" w:hAnsi="Arial" w:cs="Arial"/>
        </w:rPr>
        <w:t>antioxidantcapacity</w:t>
      </w:r>
      <w:proofErr w:type="spellEnd"/>
      <w:r>
        <w:rPr>
          <w:rFonts w:ascii="Arial" w:hAnsi="Arial" w:cs="Arial"/>
        </w:rPr>
        <w:t>.</w:t>
      </w:r>
    </w:p>
    <w:tbl>
      <w:tblPr>
        <w:tblpPr w:leftFromText="180" w:rightFromText="180" w:vertAnchor="text" w:horzAnchor="page" w:tblpX="1949" w:tblpY="7"/>
        <w:tblW w:w="408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955"/>
        <w:gridCol w:w="2126"/>
      </w:tblGrid>
      <w:tr w:rsidR="002764D1" w:rsidRPr="00841E69" w14:paraId="30FFCF01" w14:textId="77777777" w:rsidTr="002764D1">
        <w:trPr>
          <w:trHeight w:val="481"/>
        </w:trPr>
        <w:tc>
          <w:tcPr>
            <w:tcW w:w="1955" w:type="dxa"/>
            <w:noWrap/>
            <w:vAlign w:val="center"/>
            <w:hideMark/>
          </w:tcPr>
          <w:p w14:paraId="47FBBB08" w14:textId="77777777" w:rsidR="002764D1" w:rsidRPr="002764D1" w:rsidRDefault="002764D1" w:rsidP="002764D1">
            <w:pPr>
              <w:spacing w:after="0" w:line="240" w:lineRule="auto"/>
              <w:jc w:val="center"/>
              <w:rPr>
                <w:rFonts w:ascii="Arial" w:hAnsi="Arial" w:cs="Arial"/>
                <w:b/>
                <w:color w:val="000000"/>
              </w:rPr>
            </w:pPr>
            <w:r w:rsidRPr="002764D1">
              <w:rPr>
                <w:rFonts w:ascii="Arial" w:hAnsi="Arial" w:cs="Arial"/>
                <w:b/>
                <w:color w:val="000000"/>
              </w:rPr>
              <w:t>Concentration (µg/ml)</w:t>
            </w:r>
          </w:p>
        </w:tc>
        <w:tc>
          <w:tcPr>
            <w:tcW w:w="2126" w:type="dxa"/>
            <w:noWrap/>
            <w:vAlign w:val="center"/>
            <w:hideMark/>
          </w:tcPr>
          <w:p w14:paraId="1F42EB30" w14:textId="77777777" w:rsidR="002764D1" w:rsidRPr="002764D1" w:rsidRDefault="002764D1" w:rsidP="002764D1">
            <w:pPr>
              <w:spacing w:after="0" w:line="240" w:lineRule="auto"/>
              <w:jc w:val="center"/>
              <w:rPr>
                <w:rFonts w:ascii="Arial" w:hAnsi="Arial" w:cs="Arial"/>
                <w:b/>
                <w:color w:val="000000"/>
              </w:rPr>
            </w:pPr>
            <w:r w:rsidRPr="002764D1">
              <w:rPr>
                <w:rFonts w:ascii="Arial" w:hAnsi="Arial" w:cs="Arial"/>
                <w:b/>
                <w:color w:val="000000"/>
              </w:rPr>
              <w:t>Absorbance</w:t>
            </w:r>
          </w:p>
          <w:p w14:paraId="65455CA3" w14:textId="77777777" w:rsidR="002764D1" w:rsidRPr="002764D1" w:rsidRDefault="002764D1" w:rsidP="002764D1">
            <w:pPr>
              <w:spacing w:after="0" w:line="240" w:lineRule="auto"/>
              <w:jc w:val="center"/>
              <w:rPr>
                <w:rFonts w:ascii="Arial" w:hAnsi="Arial" w:cs="Arial"/>
                <w:b/>
                <w:color w:val="000000"/>
              </w:rPr>
            </w:pPr>
            <w:r w:rsidRPr="002764D1">
              <w:rPr>
                <w:rFonts w:ascii="Arial" w:hAnsi="Arial" w:cs="Arial"/>
                <w:b/>
                <w:color w:val="000000"/>
              </w:rPr>
              <w:t xml:space="preserve"> (nm)</w:t>
            </w:r>
          </w:p>
        </w:tc>
      </w:tr>
      <w:tr w:rsidR="002764D1" w:rsidRPr="00841E69" w14:paraId="19C98682" w14:textId="77777777" w:rsidTr="002764D1">
        <w:trPr>
          <w:trHeight w:val="481"/>
        </w:trPr>
        <w:tc>
          <w:tcPr>
            <w:tcW w:w="1955" w:type="dxa"/>
            <w:noWrap/>
            <w:vAlign w:val="center"/>
            <w:hideMark/>
          </w:tcPr>
          <w:p w14:paraId="60B52184"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25</w:t>
            </w:r>
          </w:p>
        </w:tc>
        <w:tc>
          <w:tcPr>
            <w:tcW w:w="2126" w:type="dxa"/>
            <w:noWrap/>
            <w:vAlign w:val="center"/>
            <w:hideMark/>
          </w:tcPr>
          <w:p w14:paraId="1FD3C216"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0.292</w:t>
            </w:r>
          </w:p>
        </w:tc>
      </w:tr>
      <w:tr w:rsidR="002764D1" w:rsidRPr="00841E69" w14:paraId="39C8DE3A" w14:textId="77777777" w:rsidTr="002764D1">
        <w:trPr>
          <w:trHeight w:val="481"/>
        </w:trPr>
        <w:tc>
          <w:tcPr>
            <w:tcW w:w="1955" w:type="dxa"/>
            <w:noWrap/>
            <w:vAlign w:val="center"/>
            <w:hideMark/>
          </w:tcPr>
          <w:p w14:paraId="6339EBC3"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50</w:t>
            </w:r>
          </w:p>
        </w:tc>
        <w:tc>
          <w:tcPr>
            <w:tcW w:w="2126" w:type="dxa"/>
            <w:noWrap/>
            <w:vAlign w:val="center"/>
            <w:hideMark/>
          </w:tcPr>
          <w:p w14:paraId="40167D11"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0.426</w:t>
            </w:r>
          </w:p>
        </w:tc>
      </w:tr>
      <w:tr w:rsidR="002764D1" w:rsidRPr="00841E69" w14:paraId="46A3FFD7" w14:textId="77777777" w:rsidTr="002764D1">
        <w:trPr>
          <w:trHeight w:val="481"/>
        </w:trPr>
        <w:tc>
          <w:tcPr>
            <w:tcW w:w="1955" w:type="dxa"/>
            <w:noWrap/>
            <w:vAlign w:val="center"/>
            <w:hideMark/>
          </w:tcPr>
          <w:p w14:paraId="6A0223DF"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100</w:t>
            </w:r>
          </w:p>
        </w:tc>
        <w:tc>
          <w:tcPr>
            <w:tcW w:w="2126" w:type="dxa"/>
            <w:noWrap/>
            <w:vAlign w:val="center"/>
            <w:hideMark/>
          </w:tcPr>
          <w:p w14:paraId="6F2702D1"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0.511</w:t>
            </w:r>
          </w:p>
        </w:tc>
      </w:tr>
      <w:tr w:rsidR="002764D1" w:rsidRPr="00841E69" w14:paraId="3D7148E2" w14:textId="77777777" w:rsidTr="002764D1">
        <w:trPr>
          <w:trHeight w:val="481"/>
        </w:trPr>
        <w:tc>
          <w:tcPr>
            <w:tcW w:w="1955" w:type="dxa"/>
            <w:noWrap/>
            <w:vAlign w:val="center"/>
            <w:hideMark/>
          </w:tcPr>
          <w:p w14:paraId="1C9AB4F2"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250</w:t>
            </w:r>
          </w:p>
        </w:tc>
        <w:tc>
          <w:tcPr>
            <w:tcW w:w="2126" w:type="dxa"/>
            <w:noWrap/>
            <w:vAlign w:val="center"/>
            <w:hideMark/>
          </w:tcPr>
          <w:p w14:paraId="761C7995"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0.664</w:t>
            </w:r>
          </w:p>
        </w:tc>
      </w:tr>
      <w:tr w:rsidR="002764D1" w:rsidRPr="00841E69" w14:paraId="52399AEF" w14:textId="77777777" w:rsidTr="002764D1">
        <w:trPr>
          <w:trHeight w:val="481"/>
        </w:trPr>
        <w:tc>
          <w:tcPr>
            <w:tcW w:w="1955" w:type="dxa"/>
            <w:noWrap/>
            <w:vAlign w:val="center"/>
            <w:hideMark/>
          </w:tcPr>
          <w:p w14:paraId="3E05D467"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500</w:t>
            </w:r>
          </w:p>
        </w:tc>
        <w:tc>
          <w:tcPr>
            <w:tcW w:w="2126" w:type="dxa"/>
            <w:noWrap/>
            <w:vAlign w:val="center"/>
            <w:hideMark/>
          </w:tcPr>
          <w:p w14:paraId="00B24625" w14:textId="77777777" w:rsidR="002764D1" w:rsidRPr="002764D1" w:rsidRDefault="002764D1" w:rsidP="002764D1">
            <w:pPr>
              <w:spacing w:after="0" w:line="240" w:lineRule="auto"/>
              <w:jc w:val="center"/>
              <w:rPr>
                <w:rFonts w:ascii="Arial" w:hAnsi="Arial" w:cs="Arial"/>
                <w:color w:val="000000"/>
              </w:rPr>
            </w:pPr>
            <w:r w:rsidRPr="002764D1">
              <w:rPr>
                <w:rFonts w:ascii="Arial" w:hAnsi="Arial" w:cs="Arial"/>
                <w:color w:val="000000"/>
              </w:rPr>
              <w:t>1.063</w:t>
            </w:r>
          </w:p>
        </w:tc>
      </w:tr>
    </w:tbl>
    <w:p w14:paraId="06F9A416" w14:textId="77777777" w:rsidR="002764D1" w:rsidRDefault="002764D1" w:rsidP="00295102">
      <w:pPr>
        <w:spacing w:line="240" w:lineRule="auto"/>
        <w:rPr>
          <w:rFonts w:ascii="Arial" w:hAnsi="Arial" w:cs="Arial"/>
        </w:rPr>
      </w:pPr>
      <w:r w:rsidRPr="00841E69">
        <w:rPr>
          <w:b/>
          <w:bCs/>
          <w:noProof/>
          <w:sz w:val="24"/>
          <w:szCs w:val="24"/>
          <w:lang w:val="en-US"/>
        </w:rPr>
        <w:drawing>
          <wp:inline distT="0" distB="0" distL="0" distR="0" wp14:anchorId="479F1059" wp14:editId="3C43129B">
            <wp:extent cx="2464668" cy="1890593"/>
            <wp:effectExtent l="38100" t="38100" r="31115" b="33655"/>
            <wp:docPr id="4" name="Picture 3" descr="Test tubes with green liquid in a rack&#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3" descr="Test tubes with green liquid in a rack&#10;&#10;AI-generated content may be incorrect."/>
                    <pic:cNvPicPr/>
                  </pic:nvPicPr>
                  <pic:blipFill rotWithShape="1">
                    <a:blip r:embed="rId26" cstate="print">
                      <a:extLst>
                        <a:ext uri="{28A0092B-C50C-407E-A947-70E740481C1C}">
                          <a14:useLocalDpi xmlns:a14="http://schemas.microsoft.com/office/drawing/2010/main" val="0"/>
                        </a:ext>
                      </a:extLst>
                    </a:blip>
                    <a:srcRect b="5213"/>
                    <a:stretch/>
                  </pic:blipFill>
                  <pic:spPr>
                    <a:xfrm>
                      <a:off x="0" y="0"/>
                      <a:ext cx="2488997" cy="1909255"/>
                    </a:xfrm>
                    <a:prstGeom prst="rect">
                      <a:avLst/>
                    </a:prstGeom>
                    <a:ln w="28575">
                      <a:solidFill>
                        <a:schemeClr val="tx1">
                          <a:lumMod val="95000"/>
                          <a:lumOff val="5000"/>
                        </a:schemeClr>
                      </a:solidFill>
                    </a:ln>
                  </pic:spPr>
                </pic:pic>
              </a:graphicData>
            </a:graphic>
          </wp:inline>
        </w:drawing>
      </w:r>
    </w:p>
    <w:p w14:paraId="32189617" w14:textId="77777777" w:rsidR="002764D1" w:rsidRPr="00ED428B" w:rsidRDefault="002764D1" w:rsidP="002764D1">
      <w:pPr>
        <w:spacing w:before="240" w:after="0" w:line="240" w:lineRule="auto"/>
        <w:jc w:val="center"/>
        <w:rPr>
          <w:rFonts w:ascii="Arial" w:hAnsi="Arial" w:cs="Arial"/>
          <w:b/>
          <w:color w:val="000000" w:themeColor="text1"/>
        </w:rPr>
      </w:pPr>
      <w:r w:rsidRPr="00ED428B">
        <w:rPr>
          <w:rFonts w:ascii="Arial" w:hAnsi="Arial" w:cs="Arial"/>
          <w:b/>
          <w:color w:val="000000" w:themeColor="text1"/>
        </w:rPr>
        <w:t xml:space="preserve">Figure </w:t>
      </w:r>
      <w:r>
        <w:rPr>
          <w:rFonts w:ascii="Arial" w:hAnsi="Arial" w:cs="Arial"/>
          <w:b/>
          <w:color w:val="000000" w:themeColor="text1"/>
        </w:rPr>
        <w:t>7</w:t>
      </w:r>
      <w:r w:rsidRPr="00ED428B">
        <w:rPr>
          <w:rFonts w:ascii="Arial" w:hAnsi="Arial" w:cs="Arial"/>
          <w:b/>
          <w:color w:val="000000" w:themeColor="text1"/>
        </w:rPr>
        <w:t xml:space="preserve">&amp; Table 5: FRAP Assay - </w:t>
      </w:r>
      <w:r w:rsidRPr="00ED428B">
        <w:rPr>
          <w:rFonts w:ascii="Arial" w:hAnsi="Arial" w:cs="Arial"/>
          <w:b/>
          <w:i/>
          <w:iCs/>
        </w:rPr>
        <w:t xml:space="preserve">M. </w:t>
      </w:r>
      <w:proofErr w:type="spellStart"/>
      <w:r w:rsidRPr="00ED428B">
        <w:rPr>
          <w:rFonts w:ascii="Arial" w:hAnsi="Arial" w:cs="Arial"/>
          <w:b/>
          <w:i/>
          <w:iCs/>
        </w:rPr>
        <w:t>citrofolia</w:t>
      </w:r>
      <w:proofErr w:type="spellEnd"/>
      <w:r w:rsidRPr="00ED428B">
        <w:rPr>
          <w:rFonts w:ascii="Arial" w:hAnsi="Arial" w:cs="Arial"/>
          <w:b/>
          <w:color w:val="000000" w:themeColor="text1"/>
        </w:rPr>
        <w:t xml:space="preserve"> at different concentrations (</w:t>
      </w:r>
      <w:r w:rsidRPr="00ED428B">
        <w:rPr>
          <w:rFonts w:ascii="Arial" w:hAnsi="Arial" w:cs="Arial"/>
          <w:b/>
          <w:bCs/>
        </w:rPr>
        <w:t>A - 12.5 µg/</w:t>
      </w:r>
      <w:proofErr w:type="spellStart"/>
      <w:proofErr w:type="gramStart"/>
      <w:r w:rsidRPr="00ED428B">
        <w:rPr>
          <w:rFonts w:ascii="Arial" w:hAnsi="Arial" w:cs="Arial"/>
          <w:b/>
          <w:bCs/>
        </w:rPr>
        <w:t>ml,</w:t>
      </w:r>
      <w:r w:rsidRPr="00ED428B">
        <w:rPr>
          <w:rFonts w:ascii="Arial" w:hAnsi="Arial" w:cs="Arial"/>
          <w:b/>
          <w:color w:val="000000" w:themeColor="text1"/>
        </w:rPr>
        <w:t>B</w:t>
      </w:r>
      <w:proofErr w:type="spellEnd"/>
      <w:proofErr w:type="gramEnd"/>
      <w:r w:rsidRPr="00ED428B">
        <w:rPr>
          <w:rFonts w:ascii="Arial" w:hAnsi="Arial" w:cs="Arial"/>
          <w:b/>
          <w:color w:val="000000" w:themeColor="text1"/>
        </w:rPr>
        <w:t xml:space="preserve"> - 50</w:t>
      </w:r>
      <w:r w:rsidRPr="00ED428B">
        <w:rPr>
          <w:rFonts w:ascii="Arial" w:hAnsi="Arial" w:cs="Arial"/>
          <w:b/>
          <w:bCs/>
        </w:rPr>
        <w:t xml:space="preserve"> µg/ml, C - 125 µg/ml, D </w:t>
      </w:r>
      <w:r>
        <w:rPr>
          <w:rFonts w:ascii="Arial" w:hAnsi="Arial" w:cs="Arial"/>
          <w:b/>
          <w:bCs/>
        </w:rPr>
        <w:t>–</w:t>
      </w:r>
      <w:r w:rsidRPr="00ED428B">
        <w:rPr>
          <w:rFonts w:ascii="Arial" w:hAnsi="Arial" w:cs="Arial"/>
          <w:b/>
          <w:bCs/>
        </w:rPr>
        <w:t xml:space="preserve"> 250µg/ml, E -500 µg/ml)</w:t>
      </w:r>
    </w:p>
    <w:p w14:paraId="7442CFBC" w14:textId="77777777" w:rsidR="00875275" w:rsidRDefault="00875275" w:rsidP="002764D1">
      <w:pPr>
        <w:spacing w:line="240" w:lineRule="auto"/>
        <w:jc w:val="center"/>
        <w:rPr>
          <w:rFonts w:ascii="Arial" w:hAnsi="Arial" w:cs="Arial"/>
        </w:rPr>
      </w:pPr>
    </w:p>
    <w:p w14:paraId="42286844" w14:textId="77777777" w:rsidR="00910562" w:rsidRDefault="00910562" w:rsidP="00910562">
      <w:pPr>
        <w:spacing w:line="240" w:lineRule="auto"/>
        <w:rPr>
          <w:rFonts w:ascii="Arial" w:hAnsi="Arial" w:cs="Arial"/>
        </w:rPr>
      </w:pPr>
      <w:r w:rsidRPr="00841E69">
        <w:rPr>
          <w:b/>
          <w:bCs/>
          <w:noProof/>
          <w:sz w:val="24"/>
          <w:szCs w:val="24"/>
          <w:lang w:val="en-US"/>
        </w:rPr>
        <w:drawing>
          <wp:inline distT="0" distB="0" distL="0" distR="0" wp14:anchorId="742D89D7" wp14:editId="29B42C07">
            <wp:extent cx="2556510" cy="1825649"/>
            <wp:effectExtent l="0" t="0" r="0" b="3175"/>
            <wp:docPr id="6" name="Picture 6"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bar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8879" cy="1834482"/>
                    </a:xfrm>
                    <a:prstGeom prst="rect">
                      <a:avLst/>
                    </a:prstGeom>
                    <a:noFill/>
                  </pic:spPr>
                </pic:pic>
              </a:graphicData>
            </a:graphic>
          </wp:inline>
        </w:drawing>
      </w:r>
      <w:r w:rsidRPr="00841E69">
        <w:rPr>
          <w:b/>
          <w:bCs/>
          <w:noProof/>
          <w:sz w:val="24"/>
          <w:szCs w:val="24"/>
          <w:lang w:val="en-US"/>
        </w:rPr>
        <w:drawing>
          <wp:inline distT="0" distB="0" distL="0" distR="0" wp14:anchorId="3B37AE6A" wp14:editId="15CE62E2">
            <wp:extent cx="2571750" cy="1836532"/>
            <wp:effectExtent l="0" t="0" r="0" b="0"/>
            <wp:docPr id="7" name="Picture 7"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bar char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8771" cy="1848687"/>
                    </a:xfrm>
                    <a:prstGeom prst="rect">
                      <a:avLst/>
                    </a:prstGeom>
                    <a:noFill/>
                  </pic:spPr>
                </pic:pic>
              </a:graphicData>
            </a:graphic>
          </wp:inline>
        </w:drawing>
      </w:r>
    </w:p>
    <w:p w14:paraId="2334D40B" w14:textId="77777777" w:rsidR="00910562" w:rsidRDefault="00910562" w:rsidP="00910562">
      <w:pPr>
        <w:spacing w:before="240" w:after="0" w:line="240" w:lineRule="auto"/>
        <w:jc w:val="center"/>
        <w:rPr>
          <w:rFonts w:ascii="Arial" w:hAnsi="Arial" w:cs="Arial"/>
          <w:b/>
          <w:i/>
          <w:iCs/>
          <w:color w:val="000000" w:themeColor="text1"/>
        </w:rPr>
      </w:pPr>
      <w:r w:rsidRPr="007E2466">
        <w:rPr>
          <w:rFonts w:ascii="Arial" w:hAnsi="Arial" w:cs="Arial"/>
          <w:b/>
          <w:color w:val="000000" w:themeColor="text1"/>
        </w:rPr>
        <w:t xml:space="preserve">Figure 8:  Anti-oxidant activity of Ascorbic acid and </w:t>
      </w:r>
      <w:r w:rsidRPr="007E2466">
        <w:rPr>
          <w:rFonts w:ascii="Arial" w:hAnsi="Arial" w:cs="Arial"/>
          <w:b/>
          <w:i/>
          <w:iCs/>
          <w:color w:val="000000" w:themeColor="text1"/>
        </w:rPr>
        <w:t xml:space="preserve">M. </w:t>
      </w:r>
      <w:proofErr w:type="spellStart"/>
      <w:r w:rsidRPr="007E2466">
        <w:rPr>
          <w:rFonts w:ascii="Arial" w:hAnsi="Arial" w:cs="Arial"/>
          <w:b/>
          <w:i/>
          <w:iCs/>
          <w:color w:val="000000" w:themeColor="text1"/>
        </w:rPr>
        <w:t>citrofolia</w:t>
      </w:r>
      <w:proofErr w:type="spellEnd"/>
    </w:p>
    <w:p w14:paraId="3CB76D95" w14:textId="77777777" w:rsidR="00910562" w:rsidRPr="007E2466" w:rsidRDefault="00910562" w:rsidP="00910562">
      <w:pPr>
        <w:spacing w:before="240" w:after="0" w:line="240" w:lineRule="auto"/>
        <w:jc w:val="center"/>
        <w:rPr>
          <w:rFonts w:ascii="Arial" w:hAnsi="Arial" w:cs="Arial"/>
          <w:b/>
          <w:color w:val="000000" w:themeColor="text1"/>
        </w:rPr>
      </w:pPr>
    </w:p>
    <w:p w14:paraId="63F3C0D2" w14:textId="77777777" w:rsidR="00875275" w:rsidRDefault="00875275" w:rsidP="00295102">
      <w:pPr>
        <w:spacing w:line="240" w:lineRule="auto"/>
        <w:rPr>
          <w:rFonts w:ascii="Arial" w:hAnsi="Arial" w:cs="Arial"/>
        </w:rPr>
        <w:sectPr w:rsidR="00875275" w:rsidSect="00295102">
          <w:type w:val="continuous"/>
          <w:pgSz w:w="11906" w:h="16838"/>
          <w:pgMar w:top="1440" w:right="1440" w:bottom="1440" w:left="1440" w:header="708" w:footer="708" w:gutter="0"/>
          <w:cols w:space="708"/>
          <w:docGrid w:linePitch="360"/>
        </w:sectPr>
      </w:pPr>
    </w:p>
    <w:p w14:paraId="1939345F" w14:textId="77777777" w:rsidR="00295102" w:rsidRPr="002E3FF2" w:rsidRDefault="00295102" w:rsidP="00295102">
      <w:pPr>
        <w:spacing w:line="240" w:lineRule="auto"/>
        <w:rPr>
          <w:rStyle w:val="Emphasis"/>
          <w:rFonts w:ascii="Arial" w:hAnsi="Arial" w:cs="Arial"/>
          <w:b w:val="0"/>
          <w:bCs w:val="0"/>
          <w:i w:val="0"/>
          <w:iCs w:val="0"/>
        </w:rPr>
      </w:pPr>
      <w:r w:rsidRPr="002E3FF2">
        <w:rPr>
          <w:rFonts w:ascii="Arial" w:hAnsi="Arial" w:cs="Arial"/>
          <w:b/>
          <w:sz w:val="22"/>
          <w:szCs w:val="22"/>
          <w:lang w:val="en-GB"/>
        </w:rPr>
        <w:t xml:space="preserve">3.4 ANTI-BACTERIAL ACTIVITY OF </w:t>
      </w:r>
      <w:r w:rsidRPr="002E3FF2">
        <w:rPr>
          <w:rStyle w:val="Emphasis"/>
          <w:rFonts w:ascii="Arial" w:hAnsi="Arial" w:cs="Arial"/>
          <w:sz w:val="22"/>
          <w:szCs w:val="22"/>
        </w:rPr>
        <w:t>M. CITRIFOLIA</w:t>
      </w:r>
    </w:p>
    <w:p w14:paraId="429AF28F" w14:textId="77777777" w:rsidR="00295102" w:rsidRPr="002E3FF2" w:rsidRDefault="00295102" w:rsidP="00295102">
      <w:pPr>
        <w:spacing w:line="240" w:lineRule="auto"/>
        <w:rPr>
          <w:rFonts w:ascii="Arial" w:hAnsi="Arial" w:cs="Arial"/>
          <w:b/>
        </w:rPr>
      </w:pPr>
      <w:r w:rsidRPr="002E3FF2">
        <w:rPr>
          <w:rFonts w:ascii="Arial" w:hAnsi="Arial" w:cs="Arial"/>
        </w:rPr>
        <w:t xml:space="preserve">The anti-microbial activity of </w:t>
      </w:r>
      <w:r w:rsidRPr="00295102">
        <w:rPr>
          <w:rStyle w:val="Emphasis"/>
          <w:rFonts w:ascii="Arial" w:hAnsi="Arial" w:cs="Arial"/>
          <w:b w:val="0"/>
          <w:bCs w:val="0"/>
        </w:rPr>
        <w:t xml:space="preserve">M. </w:t>
      </w:r>
      <w:proofErr w:type="spellStart"/>
      <w:r w:rsidRPr="00295102">
        <w:rPr>
          <w:rStyle w:val="Emphasis"/>
          <w:rFonts w:ascii="Arial" w:hAnsi="Arial" w:cs="Arial"/>
          <w:b w:val="0"/>
          <w:bCs w:val="0"/>
        </w:rPr>
        <w:t>citrifolia</w:t>
      </w:r>
      <w:proofErr w:type="spellEnd"/>
      <w:r w:rsidRPr="002E3FF2">
        <w:rPr>
          <w:rFonts w:ascii="Arial" w:hAnsi="Arial" w:cs="Arial"/>
        </w:rPr>
        <w:t xml:space="preserve"> was evaluated using the agar well diffusion method against </w:t>
      </w:r>
      <w:r w:rsidRPr="00295102">
        <w:rPr>
          <w:rStyle w:val="Emphasis"/>
          <w:rFonts w:ascii="Arial" w:hAnsi="Arial" w:cs="Arial"/>
          <w:b w:val="0"/>
          <w:bCs w:val="0"/>
        </w:rPr>
        <w:t>P. aeruginosa</w:t>
      </w:r>
      <w:r w:rsidRPr="002E3FF2">
        <w:rPr>
          <w:rFonts w:ascii="Arial" w:hAnsi="Arial" w:cs="Arial"/>
        </w:rPr>
        <w:t xml:space="preserve"> and </w:t>
      </w:r>
      <w:r w:rsidRPr="00295102">
        <w:rPr>
          <w:rStyle w:val="Emphasis"/>
          <w:rFonts w:ascii="Arial" w:hAnsi="Arial" w:cs="Arial"/>
          <w:b w:val="0"/>
          <w:bCs w:val="0"/>
        </w:rPr>
        <w:t>S. typhi</w:t>
      </w:r>
      <w:r w:rsidRPr="002E3FF2">
        <w:rPr>
          <w:rFonts w:ascii="Arial" w:hAnsi="Arial" w:cs="Arial"/>
        </w:rPr>
        <w:t xml:space="preserve">. The extract exhibited anti-bacterial activity against </w:t>
      </w:r>
      <w:r w:rsidRPr="00295102">
        <w:rPr>
          <w:rStyle w:val="Emphasis"/>
          <w:rFonts w:ascii="Arial" w:hAnsi="Arial" w:cs="Arial"/>
          <w:b w:val="0"/>
          <w:bCs w:val="0"/>
        </w:rPr>
        <w:t>P. aeruginosa</w:t>
      </w:r>
      <w:r w:rsidRPr="002E3FF2">
        <w:rPr>
          <w:rFonts w:ascii="Arial" w:hAnsi="Arial" w:cs="Arial"/>
        </w:rPr>
        <w:t xml:space="preserve"> and </w:t>
      </w:r>
      <w:r w:rsidRPr="00295102">
        <w:rPr>
          <w:rStyle w:val="Emphasis"/>
          <w:rFonts w:ascii="Arial" w:hAnsi="Arial" w:cs="Arial"/>
          <w:b w:val="0"/>
          <w:bCs w:val="0"/>
        </w:rPr>
        <w:t>S. typhi</w:t>
      </w:r>
      <w:r w:rsidRPr="00295102">
        <w:rPr>
          <w:rFonts w:ascii="Arial" w:hAnsi="Arial" w:cs="Arial"/>
          <w:b/>
          <w:bCs/>
        </w:rPr>
        <w:t>,</w:t>
      </w:r>
      <w:r w:rsidRPr="002E3FF2">
        <w:rPr>
          <w:rFonts w:ascii="Arial" w:hAnsi="Arial" w:cs="Arial"/>
        </w:rPr>
        <w:t xml:space="preserve"> with the highest inhibition at 100µg/ml (18 mm and 20 mm, respectively). Higher concentrations (250 and 500 µg/ml) showed reduced inhibition.</w:t>
      </w:r>
    </w:p>
    <w:p w14:paraId="4D582DD1" w14:textId="77777777" w:rsidR="00295102" w:rsidRDefault="00295102" w:rsidP="0017386A">
      <w:pPr>
        <w:spacing w:line="240" w:lineRule="auto"/>
        <w:rPr>
          <w:rFonts w:ascii="Arial" w:hAnsi="Arial" w:cs="Arial"/>
        </w:rPr>
      </w:pPr>
    </w:p>
    <w:p w14:paraId="4AE28AE9" w14:textId="77777777" w:rsidR="006A100D" w:rsidRDefault="003767E6" w:rsidP="00910562">
      <w:pPr>
        <w:spacing w:line="240" w:lineRule="auto"/>
        <w:rPr>
          <w:rFonts w:ascii="Arial" w:hAnsi="Arial" w:cs="Arial"/>
        </w:rPr>
      </w:pPr>
      <w:r>
        <w:rPr>
          <w:rFonts w:ascii="Arial" w:hAnsi="Arial" w:cs="Arial"/>
          <w:noProof/>
          <w:lang w:val="en-US"/>
        </w:rPr>
        <w:drawing>
          <wp:inline distT="0" distB="0" distL="0" distR="0" wp14:anchorId="25F6229E" wp14:editId="6E9AC2BD">
            <wp:extent cx="2270098" cy="2133600"/>
            <wp:effectExtent l="0" t="0" r="0" b="0"/>
            <wp:docPr id="9433789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78964" name="Picture 9433789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132" cy="2148670"/>
                    </a:xfrm>
                    <a:prstGeom prst="rect">
                      <a:avLst/>
                    </a:prstGeom>
                  </pic:spPr>
                </pic:pic>
              </a:graphicData>
            </a:graphic>
          </wp:inline>
        </w:drawing>
      </w:r>
      <w:r w:rsidR="00E57B64">
        <w:rPr>
          <w:noProof/>
          <w:lang w:val="en-US"/>
        </w:rPr>
        <w:drawing>
          <wp:inline distT="0" distB="0" distL="0" distR="0" wp14:anchorId="422DC778" wp14:editId="714A1557">
            <wp:extent cx="2156460" cy="2063152"/>
            <wp:effectExtent l="38100" t="38100" r="34290" b="32385"/>
            <wp:docPr id="1907629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1473" cy="2067948"/>
                    </a:xfrm>
                    <a:prstGeom prst="rect">
                      <a:avLst/>
                    </a:prstGeom>
                    <a:noFill/>
                    <a:ln w="28575">
                      <a:solidFill>
                        <a:schemeClr val="tx1">
                          <a:lumMod val="95000"/>
                          <a:lumOff val="5000"/>
                        </a:schemeClr>
                      </a:solidFill>
                    </a:ln>
                  </pic:spPr>
                </pic:pic>
              </a:graphicData>
            </a:graphic>
          </wp:inline>
        </w:drawing>
      </w:r>
    </w:p>
    <w:p w14:paraId="6FF7DA45" w14:textId="77777777" w:rsidR="006A100D" w:rsidRDefault="006A100D" w:rsidP="006A100D">
      <w:pPr>
        <w:spacing w:before="240" w:after="0" w:line="240" w:lineRule="auto"/>
        <w:jc w:val="center"/>
        <w:rPr>
          <w:rFonts w:ascii="Arial" w:hAnsi="Arial" w:cs="Arial"/>
          <w:b/>
          <w:color w:val="000000"/>
        </w:rPr>
      </w:pPr>
      <w:r w:rsidRPr="00903279">
        <w:rPr>
          <w:rFonts w:ascii="Arial" w:hAnsi="Arial" w:cs="Arial"/>
          <w:b/>
          <w:color w:val="000000" w:themeColor="text1"/>
        </w:rPr>
        <w:t xml:space="preserve">Figure 9: Anti-bacterial activity </w:t>
      </w:r>
      <w:proofErr w:type="spellStart"/>
      <w:r w:rsidRPr="00903279">
        <w:rPr>
          <w:rFonts w:ascii="Arial" w:hAnsi="Arial" w:cs="Arial"/>
          <w:b/>
          <w:color w:val="000000" w:themeColor="text1"/>
        </w:rPr>
        <w:t>of</w:t>
      </w:r>
      <w:r w:rsidRPr="00903279">
        <w:rPr>
          <w:rFonts w:ascii="Arial" w:hAnsi="Arial" w:cs="Arial"/>
          <w:b/>
          <w:iCs/>
        </w:rPr>
        <w:t>extract</w:t>
      </w:r>
      <w:proofErr w:type="spellEnd"/>
      <w:r w:rsidRPr="00903279">
        <w:rPr>
          <w:rFonts w:ascii="Arial" w:hAnsi="Arial" w:cs="Arial"/>
          <w:b/>
          <w:iCs/>
        </w:rPr>
        <w:t xml:space="preserve"> of </w:t>
      </w:r>
      <w:r w:rsidRPr="00903279">
        <w:rPr>
          <w:rFonts w:ascii="Arial" w:hAnsi="Arial" w:cs="Arial"/>
          <w:b/>
          <w:i/>
          <w:iCs/>
        </w:rPr>
        <w:t xml:space="preserve">M. </w:t>
      </w:r>
      <w:proofErr w:type="spellStart"/>
      <w:r w:rsidRPr="00903279">
        <w:rPr>
          <w:rFonts w:ascii="Arial" w:hAnsi="Arial" w:cs="Arial"/>
          <w:b/>
          <w:i/>
          <w:iCs/>
        </w:rPr>
        <w:t>citrifolia</w:t>
      </w:r>
      <w:proofErr w:type="spellEnd"/>
      <w:r w:rsidRPr="00903279">
        <w:rPr>
          <w:rFonts w:ascii="Arial" w:hAnsi="Arial" w:cs="Arial"/>
          <w:b/>
          <w:color w:val="000000" w:themeColor="text1"/>
        </w:rPr>
        <w:t xml:space="preserve"> against </w:t>
      </w:r>
      <w:r w:rsidRPr="00903279">
        <w:rPr>
          <w:rFonts w:ascii="Arial" w:hAnsi="Arial" w:cs="Arial"/>
          <w:b/>
          <w:i/>
          <w:color w:val="000000" w:themeColor="text1"/>
        </w:rPr>
        <w:t xml:space="preserve">S. typhi and P. aeruginosa </w:t>
      </w:r>
      <w:r w:rsidRPr="00903279">
        <w:rPr>
          <w:rFonts w:ascii="Arial" w:hAnsi="Arial" w:cs="Arial"/>
          <w:b/>
          <w:color w:val="000000" w:themeColor="text1"/>
        </w:rPr>
        <w:t>(A – 100µg/ml, B – 250µg/ml, C – 500µg/ml) (A - 100</w:t>
      </w:r>
      <w:r w:rsidRPr="00903279">
        <w:rPr>
          <w:rFonts w:ascii="Arial" w:hAnsi="Arial" w:cs="Arial"/>
          <w:b/>
          <w:color w:val="000000"/>
        </w:rPr>
        <w:t xml:space="preserve"> µg/ml, B - 250 µg/ml, C - 500 µg/ml)</w:t>
      </w:r>
    </w:p>
    <w:p w14:paraId="127D69CD" w14:textId="77777777" w:rsidR="006A100D" w:rsidRDefault="006A100D" w:rsidP="006A100D">
      <w:pPr>
        <w:spacing w:before="240" w:after="0" w:line="240" w:lineRule="auto"/>
        <w:jc w:val="center"/>
        <w:rPr>
          <w:rFonts w:ascii="Arial" w:hAnsi="Arial" w:cs="Arial"/>
          <w:b/>
          <w:color w:val="000000"/>
        </w:rPr>
      </w:pPr>
    </w:p>
    <w:tbl>
      <w:tblPr>
        <w:tblStyle w:val="TableGridLight1"/>
        <w:tblpPr w:leftFromText="180" w:rightFromText="180" w:vertAnchor="text" w:horzAnchor="margin" w:tblpXSpec="center" w:tblpY="73"/>
        <w:tblW w:w="69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30"/>
        <w:gridCol w:w="2875"/>
        <w:gridCol w:w="1583"/>
        <w:gridCol w:w="1535"/>
      </w:tblGrid>
      <w:tr w:rsidR="006A100D" w:rsidRPr="00841E69" w14:paraId="19B09C55" w14:textId="77777777" w:rsidTr="006A100D">
        <w:trPr>
          <w:trHeight w:val="585"/>
        </w:trPr>
        <w:tc>
          <w:tcPr>
            <w:tcW w:w="930" w:type="dxa"/>
            <w:vMerge w:val="restart"/>
            <w:noWrap/>
            <w:vAlign w:val="center"/>
            <w:hideMark/>
          </w:tcPr>
          <w:p w14:paraId="7050A421"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SL.NO</w:t>
            </w:r>
          </w:p>
        </w:tc>
        <w:tc>
          <w:tcPr>
            <w:tcW w:w="2875" w:type="dxa"/>
            <w:vMerge w:val="restart"/>
            <w:noWrap/>
            <w:vAlign w:val="center"/>
            <w:hideMark/>
          </w:tcPr>
          <w:p w14:paraId="60B56AD7"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CONCENTRATION(µg/ml)</w:t>
            </w:r>
          </w:p>
        </w:tc>
        <w:tc>
          <w:tcPr>
            <w:tcW w:w="3118" w:type="dxa"/>
            <w:gridSpan w:val="2"/>
            <w:noWrap/>
            <w:vAlign w:val="center"/>
            <w:hideMark/>
          </w:tcPr>
          <w:p w14:paraId="2AD0A6D4"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ZONE OF INHIBITION (mm)</w:t>
            </w:r>
          </w:p>
          <w:p w14:paraId="219CDBFF" w14:textId="77777777" w:rsidR="006A100D" w:rsidRPr="006A100D" w:rsidRDefault="006A100D" w:rsidP="006A100D">
            <w:pPr>
              <w:spacing w:after="0" w:line="240" w:lineRule="auto"/>
              <w:jc w:val="center"/>
              <w:rPr>
                <w:rFonts w:ascii="Arial" w:eastAsia="Times New Roman" w:hAnsi="Arial" w:cs="Arial"/>
                <w:b/>
                <w:color w:val="000000"/>
              </w:rPr>
            </w:pPr>
          </w:p>
        </w:tc>
      </w:tr>
      <w:tr w:rsidR="006A100D" w:rsidRPr="00841E69" w14:paraId="592236F4" w14:textId="77777777" w:rsidTr="006A100D">
        <w:trPr>
          <w:trHeight w:val="351"/>
        </w:trPr>
        <w:tc>
          <w:tcPr>
            <w:tcW w:w="930" w:type="dxa"/>
            <w:vMerge/>
            <w:vAlign w:val="center"/>
            <w:hideMark/>
          </w:tcPr>
          <w:p w14:paraId="276A226D" w14:textId="77777777" w:rsidR="006A100D" w:rsidRPr="006A100D" w:rsidRDefault="006A100D" w:rsidP="006A100D">
            <w:pPr>
              <w:spacing w:after="0" w:line="240" w:lineRule="auto"/>
              <w:jc w:val="center"/>
              <w:rPr>
                <w:rFonts w:ascii="Arial" w:eastAsia="Times New Roman" w:hAnsi="Arial" w:cs="Arial"/>
                <w:b/>
                <w:color w:val="000000"/>
              </w:rPr>
            </w:pPr>
          </w:p>
        </w:tc>
        <w:tc>
          <w:tcPr>
            <w:tcW w:w="2875" w:type="dxa"/>
            <w:vMerge/>
            <w:vAlign w:val="center"/>
            <w:hideMark/>
          </w:tcPr>
          <w:p w14:paraId="2DB77642" w14:textId="77777777" w:rsidR="006A100D" w:rsidRPr="006A100D" w:rsidRDefault="006A100D" w:rsidP="006A100D">
            <w:pPr>
              <w:spacing w:after="0" w:line="240" w:lineRule="auto"/>
              <w:jc w:val="center"/>
              <w:rPr>
                <w:rFonts w:ascii="Arial" w:eastAsia="Times New Roman" w:hAnsi="Arial" w:cs="Arial"/>
                <w:b/>
                <w:color w:val="000000"/>
              </w:rPr>
            </w:pPr>
          </w:p>
        </w:tc>
        <w:tc>
          <w:tcPr>
            <w:tcW w:w="1583" w:type="dxa"/>
            <w:noWrap/>
            <w:vAlign w:val="center"/>
            <w:hideMark/>
          </w:tcPr>
          <w:p w14:paraId="72408077" w14:textId="77777777" w:rsidR="006A100D" w:rsidRPr="006A100D" w:rsidRDefault="006A100D" w:rsidP="006A100D">
            <w:pPr>
              <w:spacing w:after="0" w:line="240" w:lineRule="auto"/>
              <w:jc w:val="center"/>
              <w:rPr>
                <w:rFonts w:ascii="Arial" w:eastAsia="Times New Roman" w:hAnsi="Arial" w:cs="Arial"/>
                <w:b/>
                <w:i/>
                <w:color w:val="000000"/>
              </w:rPr>
            </w:pPr>
            <w:r w:rsidRPr="006A100D">
              <w:rPr>
                <w:rFonts w:ascii="Arial" w:eastAsia="Times New Roman" w:hAnsi="Arial" w:cs="Arial"/>
                <w:b/>
                <w:i/>
                <w:color w:val="000000"/>
              </w:rPr>
              <w:t>Pseudomonas</w:t>
            </w:r>
          </w:p>
        </w:tc>
        <w:tc>
          <w:tcPr>
            <w:tcW w:w="1535" w:type="dxa"/>
            <w:noWrap/>
            <w:vAlign w:val="center"/>
            <w:hideMark/>
          </w:tcPr>
          <w:p w14:paraId="2F8D41CE" w14:textId="77777777" w:rsidR="006A100D" w:rsidRPr="006A100D" w:rsidRDefault="006A100D" w:rsidP="006A100D">
            <w:pPr>
              <w:spacing w:after="0" w:line="240" w:lineRule="auto"/>
              <w:jc w:val="center"/>
              <w:rPr>
                <w:rFonts w:ascii="Arial" w:eastAsia="Times New Roman" w:hAnsi="Arial" w:cs="Arial"/>
                <w:b/>
                <w:i/>
                <w:color w:val="000000"/>
              </w:rPr>
            </w:pPr>
            <w:r w:rsidRPr="006A100D">
              <w:rPr>
                <w:rFonts w:ascii="Arial" w:eastAsia="Times New Roman" w:hAnsi="Arial" w:cs="Arial"/>
                <w:b/>
                <w:i/>
                <w:color w:val="000000"/>
              </w:rPr>
              <w:t>Salmonella</w:t>
            </w:r>
          </w:p>
        </w:tc>
      </w:tr>
      <w:tr w:rsidR="006A100D" w:rsidRPr="00841E69" w14:paraId="4DDF2A86" w14:textId="77777777" w:rsidTr="006A100D">
        <w:trPr>
          <w:trHeight w:val="470"/>
        </w:trPr>
        <w:tc>
          <w:tcPr>
            <w:tcW w:w="930" w:type="dxa"/>
            <w:noWrap/>
            <w:vAlign w:val="center"/>
            <w:hideMark/>
          </w:tcPr>
          <w:p w14:paraId="10A3148C"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w:t>
            </w:r>
          </w:p>
        </w:tc>
        <w:tc>
          <w:tcPr>
            <w:tcW w:w="2875" w:type="dxa"/>
            <w:noWrap/>
            <w:vAlign w:val="center"/>
            <w:hideMark/>
          </w:tcPr>
          <w:p w14:paraId="5B57F388"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PC(Gentamicin)</w:t>
            </w:r>
          </w:p>
        </w:tc>
        <w:tc>
          <w:tcPr>
            <w:tcW w:w="1583" w:type="dxa"/>
            <w:noWrap/>
            <w:vAlign w:val="center"/>
            <w:hideMark/>
          </w:tcPr>
          <w:p w14:paraId="58269CD8"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42</w:t>
            </w:r>
          </w:p>
        </w:tc>
        <w:tc>
          <w:tcPr>
            <w:tcW w:w="1535" w:type="dxa"/>
            <w:noWrap/>
            <w:vAlign w:val="center"/>
            <w:hideMark/>
          </w:tcPr>
          <w:p w14:paraId="5C5BEEA5"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36mm</w:t>
            </w:r>
          </w:p>
        </w:tc>
      </w:tr>
      <w:tr w:rsidR="006A100D" w:rsidRPr="00841E69" w14:paraId="44871947" w14:textId="77777777" w:rsidTr="006A100D">
        <w:trPr>
          <w:trHeight w:val="351"/>
        </w:trPr>
        <w:tc>
          <w:tcPr>
            <w:tcW w:w="930" w:type="dxa"/>
            <w:noWrap/>
            <w:vAlign w:val="center"/>
            <w:hideMark/>
          </w:tcPr>
          <w:p w14:paraId="056F36D1"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2</w:t>
            </w:r>
          </w:p>
        </w:tc>
        <w:tc>
          <w:tcPr>
            <w:tcW w:w="2875" w:type="dxa"/>
            <w:noWrap/>
            <w:vAlign w:val="center"/>
          </w:tcPr>
          <w:p w14:paraId="1696A521" w14:textId="77777777" w:rsidR="006A100D" w:rsidRPr="006A100D" w:rsidRDefault="006A100D" w:rsidP="006A100D">
            <w:pPr>
              <w:spacing w:after="0" w:line="240" w:lineRule="auto"/>
              <w:jc w:val="center"/>
              <w:rPr>
                <w:rFonts w:ascii="Arial" w:hAnsi="Arial" w:cs="Arial"/>
                <w:b/>
                <w:color w:val="000000" w:themeColor="text1"/>
              </w:rPr>
            </w:pPr>
            <w:r w:rsidRPr="006A100D">
              <w:rPr>
                <w:rFonts w:ascii="Arial" w:hAnsi="Arial" w:cs="Arial"/>
                <w:b/>
                <w:color w:val="000000" w:themeColor="text1"/>
              </w:rPr>
              <w:t>NC (Autoclaved DDW)</w:t>
            </w:r>
          </w:p>
        </w:tc>
        <w:tc>
          <w:tcPr>
            <w:tcW w:w="1583" w:type="dxa"/>
            <w:noWrap/>
            <w:vAlign w:val="center"/>
          </w:tcPr>
          <w:p w14:paraId="2C49951E" w14:textId="77777777" w:rsidR="006A100D" w:rsidRPr="006A100D" w:rsidRDefault="006A100D" w:rsidP="006A100D">
            <w:pPr>
              <w:spacing w:after="0" w:line="240" w:lineRule="auto"/>
              <w:jc w:val="center"/>
              <w:rPr>
                <w:rFonts w:ascii="Arial" w:hAnsi="Arial" w:cs="Arial"/>
                <w:b/>
                <w:color w:val="000000" w:themeColor="text1"/>
              </w:rPr>
            </w:pPr>
            <w:r w:rsidRPr="006A100D">
              <w:rPr>
                <w:rFonts w:ascii="Arial" w:hAnsi="Arial" w:cs="Arial"/>
                <w:b/>
                <w:color w:val="000000" w:themeColor="text1"/>
              </w:rPr>
              <w:t>0</w:t>
            </w:r>
          </w:p>
        </w:tc>
        <w:tc>
          <w:tcPr>
            <w:tcW w:w="1535" w:type="dxa"/>
            <w:noWrap/>
            <w:vAlign w:val="center"/>
          </w:tcPr>
          <w:p w14:paraId="1DEA673C" w14:textId="77777777" w:rsidR="006A100D" w:rsidRPr="006A100D" w:rsidRDefault="006A100D" w:rsidP="006A100D">
            <w:pPr>
              <w:spacing w:after="0" w:line="240" w:lineRule="auto"/>
              <w:jc w:val="center"/>
              <w:rPr>
                <w:rFonts w:ascii="Arial" w:hAnsi="Arial" w:cs="Arial"/>
                <w:b/>
                <w:color w:val="000000" w:themeColor="text1"/>
              </w:rPr>
            </w:pPr>
            <w:r w:rsidRPr="006A100D">
              <w:rPr>
                <w:rFonts w:ascii="Arial" w:hAnsi="Arial" w:cs="Arial"/>
                <w:b/>
                <w:color w:val="000000" w:themeColor="text1"/>
              </w:rPr>
              <w:t>0</w:t>
            </w:r>
          </w:p>
        </w:tc>
      </w:tr>
      <w:tr w:rsidR="006A100D" w:rsidRPr="00841E69" w14:paraId="34CE158D" w14:textId="77777777" w:rsidTr="006A100D">
        <w:trPr>
          <w:trHeight w:val="351"/>
        </w:trPr>
        <w:tc>
          <w:tcPr>
            <w:tcW w:w="930" w:type="dxa"/>
            <w:noWrap/>
            <w:vAlign w:val="center"/>
            <w:hideMark/>
          </w:tcPr>
          <w:p w14:paraId="0DE18047"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3</w:t>
            </w:r>
          </w:p>
        </w:tc>
        <w:tc>
          <w:tcPr>
            <w:tcW w:w="2875" w:type="dxa"/>
            <w:noWrap/>
            <w:vAlign w:val="center"/>
            <w:hideMark/>
          </w:tcPr>
          <w:p w14:paraId="1F02E236"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100(µg/ml)</w:t>
            </w:r>
          </w:p>
        </w:tc>
        <w:tc>
          <w:tcPr>
            <w:tcW w:w="1583" w:type="dxa"/>
            <w:noWrap/>
            <w:vAlign w:val="center"/>
            <w:hideMark/>
          </w:tcPr>
          <w:p w14:paraId="4CACF0DB"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18</w:t>
            </w:r>
          </w:p>
        </w:tc>
        <w:tc>
          <w:tcPr>
            <w:tcW w:w="1535" w:type="dxa"/>
            <w:noWrap/>
            <w:vAlign w:val="center"/>
            <w:hideMark/>
          </w:tcPr>
          <w:p w14:paraId="21A0E717"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20</w:t>
            </w:r>
          </w:p>
        </w:tc>
      </w:tr>
      <w:tr w:rsidR="006A100D" w:rsidRPr="00841E69" w14:paraId="6B6E6D4D" w14:textId="77777777" w:rsidTr="006A100D">
        <w:trPr>
          <w:trHeight w:val="351"/>
        </w:trPr>
        <w:tc>
          <w:tcPr>
            <w:tcW w:w="930" w:type="dxa"/>
            <w:noWrap/>
            <w:vAlign w:val="center"/>
            <w:hideMark/>
          </w:tcPr>
          <w:p w14:paraId="611DA4E7"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4</w:t>
            </w:r>
          </w:p>
        </w:tc>
        <w:tc>
          <w:tcPr>
            <w:tcW w:w="2875" w:type="dxa"/>
            <w:noWrap/>
            <w:vAlign w:val="center"/>
            <w:hideMark/>
          </w:tcPr>
          <w:p w14:paraId="494C1439"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250(µg/ml)</w:t>
            </w:r>
          </w:p>
        </w:tc>
        <w:tc>
          <w:tcPr>
            <w:tcW w:w="1583" w:type="dxa"/>
            <w:noWrap/>
            <w:vAlign w:val="center"/>
            <w:hideMark/>
          </w:tcPr>
          <w:p w14:paraId="06B0B48A"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12</w:t>
            </w:r>
          </w:p>
        </w:tc>
        <w:tc>
          <w:tcPr>
            <w:tcW w:w="1535" w:type="dxa"/>
            <w:noWrap/>
            <w:vAlign w:val="center"/>
            <w:hideMark/>
          </w:tcPr>
          <w:p w14:paraId="440ABFD7"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11</w:t>
            </w:r>
          </w:p>
        </w:tc>
      </w:tr>
      <w:tr w:rsidR="006A100D" w:rsidRPr="00841E69" w14:paraId="063D4897" w14:textId="77777777" w:rsidTr="006A100D">
        <w:trPr>
          <w:trHeight w:val="351"/>
        </w:trPr>
        <w:tc>
          <w:tcPr>
            <w:tcW w:w="930" w:type="dxa"/>
            <w:noWrap/>
            <w:vAlign w:val="center"/>
            <w:hideMark/>
          </w:tcPr>
          <w:p w14:paraId="066406C8"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5</w:t>
            </w:r>
          </w:p>
        </w:tc>
        <w:tc>
          <w:tcPr>
            <w:tcW w:w="2875" w:type="dxa"/>
            <w:noWrap/>
            <w:vAlign w:val="center"/>
            <w:hideMark/>
          </w:tcPr>
          <w:p w14:paraId="4664D809"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500(µg/ml)</w:t>
            </w:r>
          </w:p>
        </w:tc>
        <w:tc>
          <w:tcPr>
            <w:tcW w:w="1583" w:type="dxa"/>
            <w:noWrap/>
            <w:vAlign w:val="center"/>
            <w:hideMark/>
          </w:tcPr>
          <w:p w14:paraId="25C09FA5"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11</w:t>
            </w:r>
          </w:p>
        </w:tc>
        <w:tc>
          <w:tcPr>
            <w:tcW w:w="1535" w:type="dxa"/>
            <w:noWrap/>
            <w:vAlign w:val="center"/>
            <w:hideMark/>
          </w:tcPr>
          <w:p w14:paraId="69B956A1" w14:textId="77777777" w:rsidR="006A100D" w:rsidRPr="006A100D" w:rsidRDefault="006A100D" w:rsidP="006A100D">
            <w:pPr>
              <w:spacing w:after="0" w:line="240" w:lineRule="auto"/>
              <w:jc w:val="center"/>
              <w:rPr>
                <w:rFonts w:ascii="Arial" w:eastAsia="Times New Roman" w:hAnsi="Arial" w:cs="Arial"/>
                <w:b/>
                <w:color w:val="000000"/>
              </w:rPr>
            </w:pPr>
            <w:r w:rsidRPr="006A100D">
              <w:rPr>
                <w:rFonts w:ascii="Arial" w:eastAsia="Times New Roman" w:hAnsi="Arial" w:cs="Arial"/>
                <w:b/>
                <w:color w:val="000000"/>
              </w:rPr>
              <w:t>13</w:t>
            </w:r>
          </w:p>
        </w:tc>
      </w:tr>
    </w:tbl>
    <w:p w14:paraId="7816841F" w14:textId="77777777" w:rsidR="006A100D" w:rsidRPr="00903279" w:rsidRDefault="006A100D" w:rsidP="006A100D">
      <w:pPr>
        <w:spacing w:before="240" w:after="0" w:line="240" w:lineRule="auto"/>
        <w:jc w:val="center"/>
        <w:rPr>
          <w:rFonts w:ascii="Arial" w:hAnsi="Arial" w:cs="Arial"/>
          <w:b/>
          <w:color w:val="000000" w:themeColor="text1"/>
        </w:rPr>
      </w:pPr>
    </w:p>
    <w:p w14:paraId="12D78D1B" w14:textId="77777777" w:rsidR="006A100D" w:rsidRDefault="006A100D" w:rsidP="00910562">
      <w:pPr>
        <w:spacing w:line="240" w:lineRule="auto"/>
        <w:rPr>
          <w:rFonts w:ascii="Arial" w:hAnsi="Arial" w:cs="Arial"/>
        </w:rPr>
      </w:pPr>
    </w:p>
    <w:p w14:paraId="724CF163" w14:textId="77777777" w:rsidR="006A100D" w:rsidRPr="0042606D" w:rsidRDefault="006A100D" w:rsidP="00910562">
      <w:pPr>
        <w:spacing w:line="240" w:lineRule="auto"/>
        <w:rPr>
          <w:rFonts w:ascii="Arial" w:hAnsi="Arial" w:cs="Arial"/>
        </w:rPr>
        <w:sectPr w:rsidR="006A100D" w:rsidRPr="0042606D" w:rsidSect="0017386A">
          <w:type w:val="continuous"/>
          <w:pgSz w:w="11906" w:h="16838"/>
          <w:pgMar w:top="1440" w:right="1440" w:bottom="1440" w:left="1440" w:header="708" w:footer="708" w:gutter="0"/>
          <w:cols w:space="708"/>
          <w:docGrid w:linePitch="360"/>
        </w:sectPr>
      </w:pPr>
    </w:p>
    <w:p w14:paraId="0CD56618" w14:textId="77777777" w:rsidR="0017386A" w:rsidRDefault="0017386A" w:rsidP="0017386A">
      <w:pPr>
        <w:spacing w:line="240" w:lineRule="auto"/>
        <w:rPr>
          <w:rFonts w:ascii="Arial" w:hAnsi="Arial" w:cs="Arial"/>
          <w:b/>
          <w:bCs/>
          <w:sz w:val="22"/>
          <w:szCs w:val="22"/>
        </w:rPr>
        <w:sectPr w:rsidR="0017386A" w:rsidSect="0017386A">
          <w:type w:val="continuous"/>
          <w:pgSz w:w="11906" w:h="16838"/>
          <w:pgMar w:top="1440" w:right="1440" w:bottom="1440" w:left="1440" w:header="708" w:footer="708" w:gutter="0"/>
          <w:cols w:space="708"/>
          <w:docGrid w:linePitch="360"/>
        </w:sectPr>
      </w:pPr>
    </w:p>
    <w:p w14:paraId="71BA5565" w14:textId="77777777" w:rsidR="006A100D" w:rsidRDefault="006A100D" w:rsidP="006A100D">
      <w:pPr>
        <w:spacing w:before="240" w:line="240" w:lineRule="auto"/>
        <w:rPr>
          <w:rFonts w:ascii="Arial" w:hAnsi="Arial" w:cs="Arial"/>
          <w:b/>
          <w:color w:val="000000" w:themeColor="text1"/>
        </w:rPr>
      </w:pPr>
    </w:p>
    <w:p w14:paraId="146B0A1E" w14:textId="77777777" w:rsidR="006A100D" w:rsidRDefault="006A100D" w:rsidP="006A100D">
      <w:pPr>
        <w:spacing w:before="240" w:line="240" w:lineRule="auto"/>
        <w:rPr>
          <w:rFonts w:ascii="Arial" w:hAnsi="Arial" w:cs="Arial"/>
          <w:b/>
          <w:color w:val="000000" w:themeColor="text1"/>
        </w:rPr>
      </w:pPr>
    </w:p>
    <w:p w14:paraId="696FCF47" w14:textId="77777777" w:rsidR="006A100D" w:rsidRDefault="006A100D" w:rsidP="006A100D">
      <w:pPr>
        <w:spacing w:before="240" w:line="240" w:lineRule="auto"/>
        <w:rPr>
          <w:rFonts w:ascii="Arial" w:hAnsi="Arial" w:cs="Arial"/>
          <w:b/>
          <w:color w:val="000000" w:themeColor="text1"/>
        </w:rPr>
      </w:pPr>
    </w:p>
    <w:p w14:paraId="016FC158" w14:textId="77777777" w:rsidR="006A100D" w:rsidRDefault="006A100D" w:rsidP="006A100D">
      <w:pPr>
        <w:spacing w:before="240" w:line="240" w:lineRule="auto"/>
        <w:rPr>
          <w:rFonts w:ascii="Arial" w:hAnsi="Arial" w:cs="Arial"/>
          <w:b/>
          <w:color w:val="000000" w:themeColor="text1"/>
        </w:rPr>
      </w:pPr>
    </w:p>
    <w:p w14:paraId="37590BAF" w14:textId="77777777" w:rsidR="00D25364" w:rsidRDefault="006A100D" w:rsidP="008F2C8A">
      <w:pPr>
        <w:tabs>
          <w:tab w:val="center" w:pos="4513"/>
          <w:tab w:val="right" w:pos="9026"/>
        </w:tabs>
        <w:spacing w:before="240" w:line="240" w:lineRule="auto"/>
        <w:jc w:val="left"/>
        <w:rPr>
          <w:rStyle w:val="Emphasis"/>
          <w:rFonts w:ascii="Arial" w:hAnsi="Arial" w:cs="Arial"/>
        </w:rPr>
      </w:pPr>
      <w:r>
        <w:rPr>
          <w:rFonts w:ascii="Arial" w:hAnsi="Arial" w:cs="Arial"/>
          <w:b/>
          <w:color w:val="000000" w:themeColor="text1"/>
        </w:rPr>
        <w:tab/>
      </w:r>
      <w:r w:rsidRPr="003D7085">
        <w:rPr>
          <w:rFonts w:ascii="Arial" w:hAnsi="Arial" w:cs="Arial"/>
          <w:b/>
          <w:color w:val="000000" w:themeColor="text1"/>
        </w:rPr>
        <w:t>Table 6: Anti-bacterial activity of</w:t>
      </w:r>
      <w:r w:rsidRPr="003D7085">
        <w:rPr>
          <w:rFonts w:ascii="Arial" w:hAnsi="Arial" w:cs="Arial"/>
          <w:b/>
          <w:iCs/>
        </w:rPr>
        <w:t xml:space="preserve"> extract of </w:t>
      </w:r>
      <w:r w:rsidRPr="003D7085">
        <w:rPr>
          <w:rFonts w:ascii="Arial" w:hAnsi="Arial" w:cs="Arial"/>
          <w:b/>
          <w:i/>
          <w:iCs/>
        </w:rPr>
        <w:t xml:space="preserve">M. </w:t>
      </w:r>
      <w:proofErr w:type="spellStart"/>
      <w:r w:rsidRPr="003D7085">
        <w:rPr>
          <w:rFonts w:ascii="Arial" w:hAnsi="Arial" w:cs="Arial"/>
          <w:b/>
          <w:i/>
          <w:iCs/>
        </w:rPr>
        <w:t>citrifolia</w:t>
      </w:r>
      <w:r w:rsidRPr="003D7085">
        <w:rPr>
          <w:rFonts w:ascii="Arial" w:hAnsi="Arial" w:cs="Arial"/>
          <w:b/>
          <w:color w:val="000000" w:themeColor="text1"/>
        </w:rPr>
        <w:t>against</w:t>
      </w:r>
      <w:proofErr w:type="spellEnd"/>
      <w:r w:rsidRPr="003D7085">
        <w:rPr>
          <w:rFonts w:ascii="Arial" w:hAnsi="Arial" w:cs="Arial"/>
          <w:b/>
          <w:color w:val="000000" w:themeColor="text1"/>
        </w:rPr>
        <w:t xml:space="preserve"> </w:t>
      </w:r>
      <w:r w:rsidRPr="003D7085">
        <w:rPr>
          <w:rStyle w:val="Emphasis"/>
          <w:rFonts w:ascii="Arial" w:hAnsi="Arial" w:cs="Arial"/>
        </w:rPr>
        <w:t>P. aeruginosa</w:t>
      </w:r>
      <w:r w:rsidRPr="003D7085">
        <w:rPr>
          <w:rFonts w:ascii="Arial" w:hAnsi="Arial" w:cs="Arial"/>
          <w:b/>
        </w:rPr>
        <w:t xml:space="preserve"> and </w:t>
      </w:r>
      <w:r w:rsidRPr="003D7085">
        <w:rPr>
          <w:rStyle w:val="Emphasis"/>
          <w:rFonts w:ascii="Arial" w:hAnsi="Arial" w:cs="Arial"/>
        </w:rPr>
        <w:t>S. typhi</w:t>
      </w:r>
    </w:p>
    <w:p w14:paraId="2C5A2772" w14:textId="77777777" w:rsidR="0005251C" w:rsidRPr="0005251C" w:rsidRDefault="0005251C" w:rsidP="0005251C">
      <w:pPr>
        <w:pStyle w:val="NormalWeb"/>
        <w:jc w:val="both"/>
        <w:rPr>
          <w:rFonts w:ascii="Arial" w:hAnsi="Arial" w:cs="Arial"/>
          <w:sz w:val="20"/>
          <w:szCs w:val="20"/>
        </w:rPr>
      </w:pPr>
      <w:r w:rsidRPr="0005251C">
        <w:rPr>
          <w:rFonts w:ascii="Arial" w:hAnsi="Arial" w:cs="Arial"/>
          <w:sz w:val="20"/>
          <w:szCs w:val="20"/>
        </w:rPr>
        <w:t xml:space="preserve">The qualitative phytochemical analysis of </w:t>
      </w:r>
      <w:r w:rsidRPr="0005251C">
        <w:rPr>
          <w:rStyle w:val="Emphasis"/>
          <w:rFonts w:ascii="Arial" w:eastAsiaTheme="majorEastAsia" w:hAnsi="Arial" w:cs="Arial"/>
          <w:b w:val="0"/>
          <w:bCs w:val="0"/>
          <w:sz w:val="20"/>
          <w:szCs w:val="20"/>
        </w:rPr>
        <w:t xml:space="preserve">M. </w:t>
      </w:r>
      <w:proofErr w:type="spellStart"/>
      <w:r w:rsidRPr="0005251C">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extract confirmed the presence of phenols, alkaloids, and flavonoids, while terpenoids were absent. These findings are consistent with previous studies that highlight the presence of bioactive compounds contributing to the plant’s pharmacological properties, including antioxidant, anti-inflammatory, and antimicrobial activities (Mohd-Nasir </w:t>
      </w:r>
      <w:r w:rsidRPr="0005251C">
        <w:rPr>
          <w:rFonts w:ascii="Arial" w:hAnsi="Arial" w:cs="Arial"/>
          <w:i/>
          <w:sz w:val="20"/>
          <w:szCs w:val="20"/>
        </w:rPr>
        <w:t>et al.,</w:t>
      </w:r>
      <w:r w:rsidRPr="0005251C">
        <w:rPr>
          <w:rFonts w:ascii="Arial" w:hAnsi="Arial" w:cs="Arial"/>
          <w:sz w:val="20"/>
          <w:szCs w:val="20"/>
        </w:rPr>
        <w:t xml:space="preserve"> 2017; Gupta </w:t>
      </w:r>
      <w:r w:rsidRPr="0005251C">
        <w:rPr>
          <w:rFonts w:ascii="Arial" w:hAnsi="Arial" w:cs="Arial"/>
          <w:i/>
          <w:sz w:val="20"/>
          <w:szCs w:val="20"/>
        </w:rPr>
        <w:t>et al.,</w:t>
      </w:r>
      <w:r w:rsidRPr="0005251C">
        <w:rPr>
          <w:rFonts w:ascii="Arial" w:hAnsi="Arial" w:cs="Arial"/>
          <w:sz w:val="20"/>
          <w:szCs w:val="20"/>
        </w:rPr>
        <w:t xml:space="preserve"> 2018). Phenolic compounds and flavonoids are well-known for their strong free radical scavenging ability, which may contribute to the therapeutic potential of </w:t>
      </w:r>
      <w:r w:rsidRPr="0005251C">
        <w:rPr>
          <w:rStyle w:val="Emphasis"/>
          <w:rFonts w:ascii="Arial" w:eastAsiaTheme="majorEastAsia" w:hAnsi="Arial" w:cs="Arial"/>
          <w:b w:val="0"/>
          <w:bCs w:val="0"/>
          <w:sz w:val="20"/>
          <w:szCs w:val="20"/>
        </w:rPr>
        <w:t xml:space="preserve">M. </w:t>
      </w:r>
      <w:proofErr w:type="spellStart"/>
      <w:r w:rsidRPr="0005251C">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(West </w:t>
      </w:r>
      <w:r w:rsidRPr="0005251C">
        <w:rPr>
          <w:rFonts w:ascii="Arial" w:hAnsi="Arial" w:cs="Arial"/>
          <w:i/>
          <w:sz w:val="20"/>
          <w:szCs w:val="20"/>
        </w:rPr>
        <w:t>et al.,</w:t>
      </w:r>
      <w:r w:rsidRPr="0005251C">
        <w:rPr>
          <w:rFonts w:ascii="Arial" w:hAnsi="Arial" w:cs="Arial"/>
          <w:sz w:val="20"/>
          <w:szCs w:val="20"/>
        </w:rPr>
        <w:t xml:space="preserve"> 2018; Sang </w:t>
      </w:r>
      <w:r w:rsidRPr="0005251C">
        <w:rPr>
          <w:rFonts w:ascii="Arial" w:hAnsi="Arial" w:cs="Arial"/>
          <w:i/>
          <w:sz w:val="20"/>
          <w:szCs w:val="20"/>
        </w:rPr>
        <w:t>et al.,</w:t>
      </w:r>
      <w:r w:rsidRPr="0005251C">
        <w:rPr>
          <w:rFonts w:ascii="Arial" w:hAnsi="Arial" w:cs="Arial"/>
          <w:sz w:val="20"/>
          <w:szCs w:val="20"/>
        </w:rPr>
        <w:t xml:space="preserve"> 2018). Alkaloids, another significant class of bioactive compounds, have been reported to exhibit anti-microbial and anti-cancer properties, further supporting the traditional use of </w:t>
      </w:r>
      <w:r w:rsidRPr="0005251C">
        <w:rPr>
          <w:rStyle w:val="Emphasis"/>
          <w:rFonts w:ascii="Arial" w:eastAsiaTheme="majorEastAsia" w:hAnsi="Arial" w:cs="Arial"/>
          <w:b w:val="0"/>
          <w:bCs w:val="0"/>
          <w:sz w:val="20"/>
          <w:szCs w:val="20"/>
        </w:rPr>
        <w:t xml:space="preserve">M. </w:t>
      </w:r>
      <w:proofErr w:type="spellStart"/>
      <w:r w:rsidRPr="0005251C">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in herbal medicine (Nayak </w:t>
      </w:r>
      <w:r w:rsidRPr="0005251C">
        <w:rPr>
          <w:rFonts w:ascii="Arial" w:hAnsi="Arial" w:cs="Arial"/>
          <w:i/>
          <w:sz w:val="20"/>
          <w:szCs w:val="20"/>
        </w:rPr>
        <w:t>et al.,</w:t>
      </w:r>
      <w:r w:rsidRPr="0005251C">
        <w:rPr>
          <w:rFonts w:ascii="Arial" w:hAnsi="Arial" w:cs="Arial"/>
          <w:sz w:val="20"/>
          <w:szCs w:val="20"/>
        </w:rPr>
        <w:t xml:space="preserve"> 2011; </w:t>
      </w:r>
      <w:proofErr w:type="spellStart"/>
      <w:r w:rsidRPr="0005251C">
        <w:rPr>
          <w:rFonts w:ascii="Arial" w:hAnsi="Arial" w:cs="Arial"/>
          <w:sz w:val="20"/>
          <w:szCs w:val="20"/>
        </w:rPr>
        <w:t>Potterat</w:t>
      </w:r>
      <w:proofErr w:type="spellEnd"/>
      <w:r w:rsidRPr="0005251C">
        <w:rPr>
          <w:rFonts w:ascii="Arial" w:hAnsi="Arial" w:cs="Arial"/>
          <w:sz w:val="20"/>
          <w:szCs w:val="20"/>
        </w:rPr>
        <w:t>&amp; Hamburger, 2007).</w:t>
      </w:r>
    </w:p>
    <w:p w14:paraId="19A81875" w14:textId="77777777" w:rsidR="0005251C" w:rsidRPr="0005251C" w:rsidRDefault="0005251C" w:rsidP="0005251C">
      <w:pPr>
        <w:pStyle w:val="NormalWeb"/>
        <w:jc w:val="both"/>
        <w:rPr>
          <w:rFonts w:ascii="Arial" w:hAnsi="Arial" w:cs="Arial"/>
          <w:sz w:val="20"/>
          <w:szCs w:val="20"/>
        </w:rPr>
      </w:pPr>
      <w:r w:rsidRPr="0005251C">
        <w:rPr>
          <w:rFonts w:ascii="Arial" w:hAnsi="Arial" w:cs="Arial"/>
          <w:sz w:val="20"/>
          <w:szCs w:val="20"/>
        </w:rPr>
        <w:t xml:space="preserve">The absence of terpenoids in the ethanolic extract of </w:t>
      </w:r>
      <w:r w:rsidRPr="0043799F">
        <w:rPr>
          <w:rStyle w:val="Emphasis"/>
          <w:rFonts w:ascii="Arial" w:eastAsiaTheme="majorEastAsia" w:hAnsi="Arial" w:cs="Arial"/>
          <w:b w:val="0"/>
          <w:bCs w:val="0"/>
          <w:sz w:val="20"/>
          <w:szCs w:val="20"/>
        </w:rPr>
        <w:t xml:space="preserve">M. </w:t>
      </w:r>
      <w:proofErr w:type="spellStart"/>
      <w:r w:rsidRPr="0043799F">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may be attributed to various factors such as differences in plant origin, environmental conditions, or extraction methods (Kamiya </w:t>
      </w:r>
      <w:r w:rsidRPr="0005251C">
        <w:rPr>
          <w:rFonts w:ascii="Arial" w:hAnsi="Arial" w:cs="Arial"/>
          <w:i/>
          <w:sz w:val="20"/>
          <w:szCs w:val="20"/>
        </w:rPr>
        <w:t>et al.,</w:t>
      </w:r>
      <w:r w:rsidRPr="0005251C">
        <w:rPr>
          <w:rFonts w:ascii="Arial" w:hAnsi="Arial" w:cs="Arial"/>
          <w:sz w:val="20"/>
          <w:szCs w:val="20"/>
        </w:rPr>
        <w:t xml:space="preserve"> 2004; Deng </w:t>
      </w:r>
      <w:r w:rsidRPr="0005251C">
        <w:rPr>
          <w:rFonts w:ascii="Arial" w:hAnsi="Arial" w:cs="Arial"/>
          <w:i/>
          <w:sz w:val="20"/>
          <w:szCs w:val="20"/>
        </w:rPr>
        <w:t>et al.,</w:t>
      </w:r>
      <w:r w:rsidRPr="0005251C">
        <w:rPr>
          <w:rFonts w:ascii="Arial" w:hAnsi="Arial" w:cs="Arial"/>
          <w:sz w:val="20"/>
          <w:szCs w:val="20"/>
        </w:rPr>
        <w:t xml:space="preserve"> 2010). Previous research has shown that terpenoid content in medicinal plants can </w:t>
      </w:r>
      <w:r w:rsidRPr="0005251C">
        <w:rPr>
          <w:rFonts w:ascii="Arial" w:hAnsi="Arial" w:cs="Arial"/>
          <w:sz w:val="20"/>
          <w:szCs w:val="20"/>
        </w:rPr>
        <w:lastRenderedPageBreak/>
        <w:t xml:space="preserve">vary significantly based on solvent type, extraction temperature, and plant maturity (Furusawa </w:t>
      </w:r>
      <w:r w:rsidRPr="0005251C">
        <w:rPr>
          <w:rFonts w:ascii="Arial" w:hAnsi="Arial" w:cs="Arial"/>
          <w:i/>
          <w:sz w:val="20"/>
          <w:szCs w:val="20"/>
        </w:rPr>
        <w:t>et al.,</w:t>
      </w:r>
      <w:r w:rsidRPr="0005251C">
        <w:rPr>
          <w:rFonts w:ascii="Arial" w:hAnsi="Arial" w:cs="Arial"/>
          <w:sz w:val="20"/>
          <w:szCs w:val="20"/>
        </w:rPr>
        <w:t xml:space="preserve"> 2003; Singh </w:t>
      </w:r>
      <w:r w:rsidRPr="0005251C">
        <w:rPr>
          <w:rFonts w:ascii="Arial" w:hAnsi="Arial" w:cs="Arial"/>
          <w:i/>
          <w:sz w:val="20"/>
          <w:szCs w:val="20"/>
        </w:rPr>
        <w:t>et al.,</w:t>
      </w:r>
      <w:r w:rsidRPr="0005251C">
        <w:rPr>
          <w:rFonts w:ascii="Arial" w:hAnsi="Arial" w:cs="Arial"/>
          <w:sz w:val="20"/>
          <w:szCs w:val="20"/>
        </w:rPr>
        <w:t xml:space="preserve"> 20</w:t>
      </w:r>
      <w:r w:rsidR="001004BF">
        <w:rPr>
          <w:rFonts w:ascii="Arial" w:hAnsi="Arial" w:cs="Arial"/>
          <w:sz w:val="20"/>
          <w:szCs w:val="20"/>
        </w:rPr>
        <w:t>11</w:t>
      </w:r>
      <w:r w:rsidRPr="0005251C">
        <w:rPr>
          <w:rFonts w:ascii="Arial" w:hAnsi="Arial" w:cs="Arial"/>
          <w:sz w:val="20"/>
          <w:szCs w:val="20"/>
        </w:rPr>
        <w:t xml:space="preserve">). </w:t>
      </w:r>
    </w:p>
    <w:p w14:paraId="60BF0463" w14:textId="77777777" w:rsidR="0005251C" w:rsidRPr="0005251C" w:rsidRDefault="0005251C" w:rsidP="0005251C">
      <w:pPr>
        <w:pStyle w:val="NormalWeb"/>
        <w:jc w:val="both"/>
        <w:rPr>
          <w:rFonts w:ascii="Arial" w:hAnsi="Arial" w:cs="Arial"/>
          <w:sz w:val="20"/>
          <w:szCs w:val="20"/>
        </w:rPr>
      </w:pPr>
      <w:r w:rsidRPr="0005251C">
        <w:rPr>
          <w:rFonts w:ascii="Arial" w:hAnsi="Arial" w:cs="Arial"/>
          <w:sz w:val="20"/>
          <w:szCs w:val="20"/>
        </w:rPr>
        <w:t xml:space="preserve">The FRAP assay conducted on </w:t>
      </w:r>
      <w:r w:rsidRPr="0043799F">
        <w:rPr>
          <w:rStyle w:val="Emphasis"/>
          <w:rFonts w:ascii="Arial" w:eastAsiaTheme="majorEastAsia" w:hAnsi="Arial" w:cs="Arial"/>
          <w:b w:val="0"/>
          <w:bCs w:val="0"/>
          <w:sz w:val="20"/>
          <w:szCs w:val="20"/>
        </w:rPr>
        <w:t xml:space="preserve">M. </w:t>
      </w:r>
      <w:proofErr w:type="spellStart"/>
      <w:r w:rsidRPr="0043799F">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extract showed a dose-dependent increase in anti-oxidant activity, indicating its ability to reduce ferric (Fe³</w:t>
      </w:r>
      <w:r w:rsidRPr="0005251C">
        <w:rPr>
          <w:rFonts w:ascii="Cambria Math" w:hAnsi="Cambria Math" w:cs="Cambria Math"/>
          <w:sz w:val="20"/>
          <w:szCs w:val="20"/>
        </w:rPr>
        <w:t>⁺</w:t>
      </w:r>
      <w:r w:rsidRPr="0005251C">
        <w:rPr>
          <w:rFonts w:ascii="Arial" w:hAnsi="Arial" w:cs="Arial"/>
          <w:sz w:val="20"/>
          <w:szCs w:val="20"/>
        </w:rPr>
        <w:t>) to ferrous (Fe²</w:t>
      </w:r>
      <w:r w:rsidRPr="0005251C">
        <w:rPr>
          <w:rFonts w:ascii="Cambria Math" w:hAnsi="Cambria Math" w:cs="Cambria Math"/>
          <w:sz w:val="20"/>
          <w:szCs w:val="20"/>
        </w:rPr>
        <w:t>⁺</w:t>
      </w:r>
      <w:r w:rsidRPr="0005251C">
        <w:rPr>
          <w:rFonts w:ascii="Arial" w:hAnsi="Arial" w:cs="Arial"/>
          <w:sz w:val="20"/>
          <w:szCs w:val="20"/>
        </w:rPr>
        <w:t xml:space="preserve">) ions. This result aligns with previous studies that have demonstrated the strong anti-oxidant potential </w:t>
      </w:r>
      <w:proofErr w:type="spellStart"/>
      <w:r w:rsidRPr="0005251C">
        <w:rPr>
          <w:rFonts w:ascii="Arial" w:hAnsi="Arial" w:cs="Arial"/>
          <w:sz w:val="20"/>
          <w:szCs w:val="20"/>
        </w:rPr>
        <w:t>of</w:t>
      </w:r>
      <w:r w:rsidRPr="0043799F">
        <w:rPr>
          <w:rStyle w:val="Emphasis"/>
          <w:rFonts w:ascii="Arial" w:eastAsiaTheme="majorEastAsia" w:hAnsi="Arial" w:cs="Arial"/>
          <w:b w:val="0"/>
          <w:bCs w:val="0"/>
          <w:sz w:val="20"/>
          <w:szCs w:val="20"/>
        </w:rPr>
        <w:t>M</w:t>
      </w:r>
      <w:proofErr w:type="spellEnd"/>
      <w:r w:rsidRPr="0043799F">
        <w:rPr>
          <w:rStyle w:val="Emphasis"/>
          <w:rFonts w:ascii="Arial" w:eastAsiaTheme="majorEastAsia" w:hAnsi="Arial" w:cs="Arial"/>
          <w:b w:val="0"/>
          <w:bCs w:val="0"/>
          <w:sz w:val="20"/>
          <w:szCs w:val="20"/>
        </w:rPr>
        <w:t xml:space="preserve">. </w:t>
      </w:r>
      <w:proofErr w:type="spellStart"/>
      <w:r w:rsidRPr="0043799F">
        <w:rPr>
          <w:rStyle w:val="Emphasis"/>
          <w:rFonts w:ascii="Arial" w:eastAsiaTheme="majorEastAsia" w:hAnsi="Arial" w:cs="Arial"/>
          <w:b w:val="0"/>
          <w:bCs w:val="0"/>
          <w:sz w:val="20"/>
          <w:szCs w:val="20"/>
        </w:rPr>
        <w:t>citrifolia</w:t>
      </w:r>
      <w:proofErr w:type="spellEnd"/>
      <w:r w:rsidRPr="0043799F">
        <w:rPr>
          <w:rFonts w:ascii="Arial" w:hAnsi="Arial" w:cs="Arial"/>
          <w:b/>
          <w:bCs/>
          <w:sz w:val="20"/>
          <w:szCs w:val="20"/>
        </w:rPr>
        <w:t>,</w:t>
      </w:r>
      <w:r w:rsidRPr="0005251C">
        <w:rPr>
          <w:rFonts w:ascii="Arial" w:hAnsi="Arial" w:cs="Arial"/>
          <w:sz w:val="20"/>
          <w:szCs w:val="20"/>
        </w:rPr>
        <w:t xml:space="preserve"> primarily attributed to its rich phenolic and flavonoid content (Gupta </w:t>
      </w:r>
      <w:r w:rsidRPr="0005251C">
        <w:rPr>
          <w:rFonts w:ascii="Arial" w:hAnsi="Arial" w:cs="Arial"/>
          <w:i/>
          <w:sz w:val="20"/>
          <w:szCs w:val="20"/>
        </w:rPr>
        <w:t>et al.,</w:t>
      </w:r>
      <w:r w:rsidRPr="0005251C">
        <w:rPr>
          <w:rFonts w:ascii="Arial" w:hAnsi="Arial" w:cs="Arial"/>
          <w:sz w:val="20"/>
          <w:szCs w:val="20"/>
        </w:rPr>
        <w:t xml:space="preserve"> 2018; Sang </w:t>
      </w:r>
      <w:r w:rsidRPr="0005251C">
        <w:rPr>
          <w:rFonts w:ascii="Arial" w:hAnsi="Arial" w:cs="Arial"/>
          <w:i/>
          <w:sz w:val="20"/>
          <w:szCs w:val="20"/>
        </w:rPr>
        <w:t>et al.,</w:t>
      </w:r>
      <w:r w:rsidRPr="0005251C">
        <w:rPr>
          <w:rFonts w:ascii="Arial" w:hAnsi="Arial" w:cs="Arial"/>
          <w:sz w:val="20"/>
          <w:szCs w:val="20"/>
        </w:rPr>
        <w:t xml:space="preserve"> 2018). Phenolic compounds act as electron donors, stabilizing free radicals and enhancing the reducing power of the extract (West </w:t>
      </w:r>
      <w:r w:rsidRPr="0005251C">
        <w:rPr>
          <w:rFonts w:ascii="Arial" w:hAnsi="Arial" w:cs="Arial"/>
          <w:i/>
          <w:sz w:val="20"/>
          <w:szCs w:val="20"/>
        </w:rPr>
        <w:t>et al.,</w:t>
      </w:r>
      <w:r w:rsidRPr="0005251C">
        <w:rPr>
          <w:rFonts w:ascii="Arial" w:hAnsi="Arial" w:cs="Arial"/>
          <w:sz w:val="20"/>
          <w:szCs w:val="20"/>
        </w:rPr>
        <w:t xml:space="preserve"> 2018).</w:t>
      </w:r>
    </w:p>
    <w:p w14:paraId="1B183989" w14:textId="77777777" w:rsidR="0005251C" w:rsidRPr="0005251C" w:rsidRDefault="0005251C" w:rsidP="0005251C">
      <w:pPr>
        <w:pStyle w:val="NormalWeb"/>
        <w:jc w:val="both"/>
        <w:rPr>
          <w:rFonts w:ascii="Arial" w:hAnsi="Arial" w:cs="Arial"/>
          <w:sz w:val="20"/>
          <w:szCs w:val="20"/>
        </w:rPr>
      </w:pPr>
      <w:r w:rsidRPr="0005251C">
        <w:rPr>
          <w:rFonts w:ascii="Arial" w:hAnsi="Arial" w:cs="Arial"/>
          <w:sz w:val="20"/>
          <w:szCs w:val="20"/>
        </w:rPr>
        <w:t xml:space="preserve">The dose-dependent response observed in this study is consistent with findings reported in similar plant-based anti-oxidant studies, where increasing concentrations of bioactive compounds lead to enhanced ferric-reducing ability (Mohd-Nasir </w:t>
      </w:r>
      <w:r w:rsidRPr="0005251C">
        <w:rPr>
          <w:rFonts w:ascii="Arial" w:hAnsi="Arial" w:cs="Arial"/>
          <w:i/>
          <w:sz w:val="20"/>
          <w:szCs w:val="20"/>
        </w:rPr>
        <w:t>et al.,</w:t>
      </w:r>
      <w:r w:rsidRPr="0005251C">
        <w:rPr>
          <w:rFonts w:ascii="Arial" w:hAnsi="Arial" w:cs="Arial"/>
          <w:sz w:val="20"/>
          <w:szCs w:val="20"/>
        </w:rPr>
        <w:t xml:space="preserve"> </w:t>
      </w:r>
      <w:proofErr w:type="gramStart"/>
      <w:r w:rsidRPr="0005251C">
        <w:rPr>
          <w:rFonts w:ascii="Arial" w:hAnsi="Arial" w:cs="Arial"/>
          <w:sz w:val="20"/>
          <w:szCs w:val="20"/>
        </w:rPr>
        <w:t>2017;Nayak</w:t>
      </w:r>
      <w:proofErr w:type="gramEnd"/>
      <w:r w:rsidRPr="0005251C">
        <w:rPr>
          <w:rFonts w:ascii="Arial" w:hAnsi="Arial" w:cs="Arial"/>
          <w:sz w:val="20"/>
          <w:szCs w:val="20"/>
        </w:rPr>
        <w:t xml:space="preserve"> </w:t>
      </w:r>
      <w:r w:rsidRPr="0005251C">
        <w:rPr>
          <w:rFonts w:ascii="Arial" w:hAnsi="Arial" w:cs="Arial"/>
          <w:i/>
          <w:sz w:val="20"/>
          <w:szCs w:val="20"/>
        </w:rPr>
        <w:t>et al.,</w:t>
      </w:r>
      <w:r w:rsidRPr="0005251C">
        <w:rPr>
          <w:rFonts w:ascii="Arial" w:hAnsi="Arial" w:cs="Arial"/>
          <w:sz w:val="20"/>
          <w:szCs w:val="20"/>
        </w:rPr>
        <w:t xml:space="preserve"> 2011). This suggests that the anti-oxidant potential of </w:t>
      </w:r>
      <w:r w:rsidRPr="0043799F">
        <w:rPr>
          <w:rStyle w:val="Emphasis"/>
          <w:rFonts w:ascii="Arial" w:eastAsiaTheme="majorEastAsia" w:hAnsi="Arial" w:cs="Arial"/>
          <w:b w:val="0"/>
          <w:bCs w:val="0"/>
          <w:sz w:val="20"/>
          <w:szCs w:val="20"/>
        </w:rPr>
        <w:t xml:space="preserve">M. </w:t>
      </w:r>
      <w:proofErr w:type="spellStart"/>
      <w:r w:rsidRPr="0043799F">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is largely concentration-dependent, reinforcing its potential use in therapeutic applications requiring oxidative stress management.</w:t>
      </w:r>
    </w:p>
    <w:p w14:paraId="0B640202" w14:textId="77777777" w:rsidR="0005251C" w:rsidRPr="0005251C" w:rsidRDefault="0005251C" w:rsidP="0005251C">
      <w:pPr>
        <w:pStyle w:val="NormalWeb"/>
        <w:jc w:val="both"/>
        <w:rPr>
          <w:rFonts w:ascii="Arial" w:hAnsi="Arial" w:cs="Arial"/>
          <w:sz w:val="20"/>
          <w:szCs w:val="20"/>
        </w:rPr>
      </w:pPr>
      <w:r w:rsidRPr="0005251C">
        <w:rPr>
          <w:rFonts w:ascii="Arial" w:hAnsi="Arial" w:cs="Arial"/>
          <w:sz w:val="20"/>
          <w:szCs w:val="20"/>
        </w:rPr>
        <w:t xml:space="preserve">The anti-bacterial activity of </w:t>
      </w:r>
      <w:r w:rsidRPr="0043799F">
        <w:rPr>
          <w:rStyle w:val="Emphasis"/>
          <w:rFonts w:ascii="Arial" w:eastAsiaTheme="majorEastAsia" w:hAnsi="Arial" w:cs="Arial"/>
          <w:b w:val="0"/>
          <w:bCs w:val="0"/>
          <w:sz w:val="20"/>
          <w:szCs w:val="20"/>
        </w:rPr>
        <w:t xml:space="preserve">M. </w:t>
      </w:r>
      <w:proofErr w:type="spellStart"/>
      <w:r w:rsidRPr="0043799F">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extract showed effective inhibition against </w:t>
      </w:r>
      <w:proofErr w:type="spellStart"/>
      <w:r w:rsidRPr="0043799F">
        <w:rPr>
          <w:rStyle w:val="Emphasis"/>
          <w:rFonts w:ascii="Arial" w:eastAsiaTheme="majorEastAsia" w:hAnsi="Arial" w:cs="Arial"/>
          <w:b w:val="0"/>
          <w:bCs w:val="0"/>
          <w:sz w:val="20"/>
          <w:szCs w:val="20"/>
        </w:rPr>
        <w:t>Pseudomonas</w:t>
      </w:r>
      <w:r w:rsidRPr="0005251C">
        <w:rPr>
          <w:rFonts w:ascii="Arial" w:hAnsi="Arial" w:cs="Arial"/>
          <w:sz w:val="20"/>
          <w:szCs w:val="20"/>
        </w:rPr>
        <w:t>and</w:t>
      </w:r>
      <w:proofErr w:type="spellEnd"/>
      <w:r w:rsidRPr="0005251C">
        <w:rPr>
          <w:rFonts w:ascii="Arial" w:hAnsi="Arial" w:cs="Arial"/>
          <w:sz w:val="20"/>
          <w:szCs w:val="20"/>
        </w:rPr>
        <w:t xml:space="preserve"> </w:t>
      </w:r>
      <w:r w:rsidRPr="0043799F">
        <w:rPr>
          <w:rStyle w:val="Emphasis"/>
          <w:rFonts w:ascii="Arial" w:eastAsiaTheme="majorEastAsia" w:hAnsi="Arial" w:cs="Arial"/>
          <w:b w:val="0"/>
          <w:bCs w:val="0"/>
          <w:sz w:val="20"/>
          <w:szCs w:val="20"/>
        </w:rPr>
        <w:t>Salmonella</w:t>
      </w:r>
      <w:r w:rsidRPr="0005251C">
        <w:rPr>
          <w:rFonts w:ascii="Arial" w:hAnsi="Arial" w:cs="Arial"/>
          <w:sz w:val="20"/>
          <w:szCs w:val="20"/>
        </w:rPr>
        <w:t xml:space="preserve">, with the highest zones of inhibition at 100µg/ml. Interestingly, higher concentrations (250 and 500 µg/ml) resulted in reduced activity, suggesting possible anti-microbial compound aggregation or interference at elevated doses. Similar findings have been reported in plant extracts, where optimal activity occurs at moderate concentrations (Kumar </w:t>
      </w:r>
      <w:r w:rsidRPr="0005251C">
        <w:rPr>
          <w:rFonts w:ascii="Arial" w:hAnsi="Arial" w:cs="Arial"/>
          <w:i/>
          <w:sz w:val="20"/>
          <w:szCs w:val="20"/>
        </w:rPr>
        <w:t>et al.,</w:t>
      </w:r>
      <w:r w:rsidRPr="0005251C">
        <w:rPr>
          <w:rFonts w:ascii="Arial" w:hAnsi="Arial" w:cs="Arial"/>
          <w:sz w:val="20"/>
          <w:szCs w:val="20"/>
        </w:rPr>
        <w:t xml:space="preserve"> 2019; Singh </w:t>
      </w:r>
      <w:r w:rsidRPr="0005251C">
        <w:rPr>
          <w:rFonts w:ascii="Arial" w:hAnsi="Arial" w:cs="Arial"/>
          <w:i/>
          <w:sz w:val="20"/>
          <w:szCs w:val="20"/>
        </w:rPr>
        <w:t>et al.,</w:t>
      </w:r>
      <w:r w:rsidRPr="0005251C">
        <w:rPr>
          <w:rFonts w:ascii="Arial" w:hAnsi="Arial" w:cs="Arial"/>
          <w:sz w:val="20"/>
          <w:szCs w:val="20"/>
        </w:rPr>
        <w:t xml:space="preserve"> 2020). This indicates that </w:t>
      </w:r>
      <w:r w:rsidRPr="0043799F">
        <w:rPr>
          <w:rStyle w:val="Emphasis"/>
          <w:rFonts w:ascii="Arial" w:eastAsiaTheme="majorEastAsia" w:hAnsi="Arial" w:cs="Arial"/>
          <w:b w:val="0"/>
          <w:bCs w:val="0"/>
          <w:sz w:val="20"/>
          <w:szCs w:val="20"/>
        </w:rPr>
        <w:t xml:space="preserve">M. </w:t>
      </w:r>
      <w:proofErr w:type="spellStart"/>
      <w:r w:rsidRPr="0043799F">
        <w:rPr>
          <w:rStyle w:val="Emphasis"/>
          <w:rFonts w:ascii="Arial" w:eastAsiaTheme="majorEastAsia" w:hAnsi="Arial" w:cs="Arial"/>
          <w:b w:val="0"/>
          <w:bCs w:val="0"/>
          <w:sz w:val="20"/>
          <w:szCs w:val="20"/>
        </w:rPr>
        <w:t>citrifolia</w:t>
      </w:r>
      <w:proofErr w:type="spellEnd"/>
      <w:r w:rsidRPr="0005251C">
        <w:rPr>
          <w:rFonts w:ascii="Arial" w:hAnsi="Arial" w:cs="Arial"/>
          <w:sz w:val="20"/>
          <w:szCs w:val="20"/>
        </w:rPr>
        <w:t xml:space="preserve"> may contain potent bioactive compounds effective at specific concentrations, warranting further investigation into its mechanism of action.</w:t>
      </w:r>
    </w:p>
    <w:p w14:paraId="16ADB3E9" w14:textId="026BF0E6" w:rsidR="006A100D" w:rsidRPr="008F2C8A" w:rsidRDefault="00E33A06" w:rsidP="008F2C8A">
      <w:pPr>
        <w:tabs>
          <w:tab w:val="center" w:pos="4513"/>
          <w:tab w:val="right" w:pos="9026"/>
        </w:tabs>
        <w:spacing w:before="240" w:line="240" w:lineRule="auto"/>
        <w:jc w:val="left"/>
        <w:rPr>
          <w:rFonts w:ascii="Arial" w:hAnsi="Arial" w:cs="Arial"/>
          <w:b/>
          <w:bCs/>
          <w:i/>
          <w:iCs/>
          <w:spacing w:val="10"/>
        </w:rPr>
      </w:pPr>
      <w:r>
        <w:rPr>
          <w:rFonts w:ascii="Arial" w:hAnsi="Arial" w:cs="Arial"/>
          <w:b/>
          <w:sz w:val="22"/>
          <w:szCs w:val="22"/>
        </w:rPr>
        <w:t>4</w:t>
      </w:r>
      <w:r w:rsidR="006A100D">
        <w:rPr>
          <w:rFonts w:ascii="Arial" w:hAnsi="Arial" w:cs="Arial"/>
          <w:b/>
          <w:sz w:val="22"/>
          <w:szCs w:val="22"/>
        </w:rPr>
        <w:t xml:space="preserve">. </w:t>
      </w:r>
      <w:r w:rsidR="006A100D" w:rsidRPr="002E3FF2">
        <w:rPr>
          <w:rFonts w:ascii="Arial" w:hAnsi="Arial" w:cs="Arial"/>
          <w:b/>
          <w:sz w:val="22"/>
          <w:szCs w:val="22"/>
        </w:rPr>
        <w:t>CONCLUSION</w:t>
      </w:r>
    </w:p>
    <w:p w14:paraId="20DBB96E" w14:textId="77777777" w:rsidR="006A100D" w:rsidRDefault="006A100D" w:rsidP="006A100D">
      <w:pPr>
        <w:spacing w:line="240" w:lineRule="auto"/>
        <w:rPr>
          <w:rFonts w:ascii="Arial" w:hAnsi="Arial" w:cs="Arial"/>
        </w:rPr>
      </w:pPr>
      <w:r w:rsidRPr="00246485">
        <w:rPr>
          <w:rFonts w:ascii="Arial" w:hAnsi="Arial" w:cs="Arial"/>
        </w:rPr>
        <w:t xml:space="preserve">The present study highlights the phytochemical composition and bioactive potential of </w:t>
      </w:r>
      <w:proofErr w:type="spellStart"/>
      <w:r w:rsidRPr="00246485">
        <w:rPr>
          <w:rStyle w:val="Emphasis"/>
          <w:rFonts w:ascii="Arial" w:hAnsi="Arial" w:cs="Arial"/>
          <w:b w:val="0"/>
          <w:bCs w:val="0"/>
        </w:rPr>
        <w:t>Morindacitrifolia</w:t>
      </w:r>
      <w:r w:rsidRPr="00246485">
        <w:rPr>
          <w:rFonts w:ascii="Arial" w:hAnsi="Arial" w:cs="Arial"/>
        </w:rPr>
        <w:t>extract</w:t>
      </w:r>
      <w:proofErr w:type="spellEnd"/>
      <w:r w:rsidRPr="00246485">
        <w:rPr>
          <w:rFonts w:ascii="Arial" w:hAnsi="Arial" w:cs="Arial"/>
        </w:rPr>
        <w:t xml:space="preserve">. The qualitative analysis confirmed the presence of phenols, alkaloids, and flavonoids, which are known for their therapeutic properties, while terpenoids were absent. The FRAP assay demonstrated a dose-dependent increase in anti-oxidant activity, indicating the extract’s potential as a natural anti-oxidant. Additionally, the anti-bacterial assay revealed significant inhibition of </w:t>
      </w:r>
      <w:proofErr w:type="spellStart"/>
      <w:r w:rsidRPr="00246485">
        <w:rPr>
          <w:rStyle w:val="Emphasis"/>
          <w:rFonts w:ascii="Arial" w:hAnsi="Arial" w:cs="Arial"/>
          <w:b w:val="0"/>
          <w:bCs w:val="0"/>
        </w:rPr>
        <w:t>Pseudomonas</w:t>
      </w:r>
      <w:r w:rsidRPr="00246485">
        <w:rPr>
          <w:rFonts w:ascii="Arial" w:hAnsi="Arial" w:cs="Arial"/>
        </w:rPr>
        <w:t>and</w:t>
      </w:r>
      <w:proofErr w:type="spellEnd"/>
      <w:r w:rsidRPr="00246485">
        <w:rPr>
          <w:rFonts w:ascii="Arial" w:hAnsi="Arial" w:cs="Arial"/>
        </w:rPr>
        <w:t xml:space="preserve"> </w:t>
      </w:r>
      <w:r w:rsidRPr="00246485">
        <w:rPr>
          <w:rStyle w:val="Emphasis"/>
          <w:rFonts w:ascii="Arial" w:hAnsi="Arial" w:cs="Arial"/>
          <w:b w:val="0"/>
          <w:bCs w:val="0"/>
        </w:rPr>
        <w:t>Salmonella</w:t>
      </w:r>
      <w:r w:rsidRPr="00246485">
        <w:rPr>
          <w:rFonts w:ascii="Arial" w:hAnsi="Arial" w:cs="Arial"/>
          <w:b/>
          <w:bCs/>
        </w:rPr>
        <w:t>,</w:t>
      </w:r>
      <w:r w:rsidRPr="00246485">
        <w:rPr>
          <w:rFonts w:ascii="Arial" w:hAnsi="Arial" w:cs="Arial"/>
        </w:rPr>
        <w:t xml:space="preserve"> with the highest activity observed at 100µg/ml. However, higher concentrations led to reduced inhibition, suggesting possible compound interactions. These findings suggest that </w:t>
      </w:r>
      <w:r w:rsidRPr="00246485">
        <w:rPr>
          <w:rStyle w:val="Emphasis"/>
          <w:rFonts w:ascii="Arial" w:hAnsi="Arial" w:cs="Arial"/>
          <w:b w:val="0"/>
          <w:bCs w:val="0"/>
        </w:rPr>
        <w:t xml:space="preserve">M. </w:t>
      </w:r>
      <w:proofErr w:type="spellStart"/>
      <w:r w:rsidRPr="00246485">
        <w:rPr>
          <w:rStyle w:val="Emphasis"/>
          <w:rFonts w:ascii="Arial" w:hAnsi="Arial" w:cs="Arial"/>
          <w:b w:val="0"/>
          <w:bCs w:val="0"/>
        </w:rPr>
        <w:t>citrifolia</w:t>
      </w:r>
      <w:proofErr w:type="spellEnd"/>
      <w:r w:rsidRPr="00246485">
        <w:rPr>
          <w:rFonts w:ascii="Arial" w:hAnsi="Arial" w:cs="Arial"/>
        </w:rPr>
        <w:t xml:space="preserve"> possess promising anti-oxidant and anti-bacterial properties, supporting its traditional medicinal use and encouraging further research for pharmaceutical applications.</w:t>
      </w:r>
    </w:p>
    <w:p w14:paraId="1B585CB4" w14:textId="77777777" w:rsidR="00312C31" w:rsidRPr="003A29C6" w:rsidRDefault="00312C31" w:rsidP="00312C31">
      <w:pPr>
        <w:outlineLvl w:val="0"/>
        <w:rPr>
          <w:rFonts w:ascii="Arial" w:hAnsi="Arial" w:cs="Arial"/>
        </w:rPr>
      </w:pPr>
      <w:r w:rsidRPr="003A29C6">
        <w:rPr>
          <w:rFonts w:ascii="Arial" w:hAnsi="Arial" w:cs="Arial"/>
          <w:b/>
          <w:bCs/>
        </w:rPr>
        <w:t>COMPETING INTERESTS DISCLAIMER:</w:t>
      </w:r>
    </w:p>
    <w:p w14:paraId="27E91C64" w14:textId="77777777" w:rsidR="00312C31" w:rsidRDefault="00312C31" w:rsidP="00312C31">
      <w:r w:rsidRPr="00A10EDE">
        <w:t>Authors have declared that they have no known competing financial interests OR non-financial interests OR personal relationships that could have appeared to influence the work reported in this paper.</w:t>
      </w:r>
    </w:p>
    <w:p w14:paraId="110976DA" w14:textId="77777777" w:rsidR="00312C31" w:rsidRPr="00246485" w:rsidRDefault="00312C31" w:rsidP="006A100D">
      <w:pPr>
        <w:spacing w:line="240" w:lineRule="auto"/>
        <w:rPr>
          <w:rFonts w:ascii="Arial" w:hAnsi="Arial" w:cs="Arial"/>
        </w:rPr>
      </w:pPr>
    </w:p>
    <w:p w14:paraId="286564E3" w14:textId="77777777" w:rsidR="006A100D" w:rsidRPr="002E3FF2" w:rsidRDefault="006D2FF8" w:rsidP="006A100D">
      <w:pPr>
        <w:spacing w:line="240" w:lineRule="auto"/>
        <w:jc w:val="left"/>
        <w:rPr>
          <w:rFonts w:ascii="Arial" w:hAnsi="Arial" w:cs="Arial"/>
          <w:b/>
          <w:sz w:val="22"/>
          <w:szCs w:val="22"/>
        </w:rPr>
      </w:pPr>
      <w:r>
        <w:rPr>
          <w:rFonts w:ascii="Arial" w:hAnsi="Arial" w:cs="Arial"/>
          <w:b/>
          <w:sz w:val="22"/>
          <w:szCs w:val="22"/>
        </w:rPr>
        <w:t>6</w:t>
      </w:r>
      <w:r w:rsidR="006A100D">
        <w:rPr>
          <w:rFonts w:ascii="Arial" w:hAnsi="Arial" w:cs="Arial"/>
          <w:b/>
          <w:sz w:val="22"/>
          <w:szCs w:val="22"/>
        </w:rPr>
        <w:t>.</w:t>
      </w:r>
      <w:r w:rsidR="006A100D" w:rsidRPr="002E3FF2">
        <w:rPr>
          <w:rFonts w:ascii="Arial" w:hAnsi="Arial" w:cs="Arial"/>
          <w:b/>
          <w:sz w:val="22"/>
          <w:szCs w:val="22"/>
        </w:rPr>
        <w:t>REFERENCE</w:t>
      </w:r>
    </w:p>
    <w:p w14:paraId="54DC2D95" w14:textId="77777777" w:rsidR="008F2C8A" w:rsidRPr="00DB3DD9" w:rsidRDefault="008F2C8A" w:rsidP="008F2C8A">
      <w:pPr>
        <w:pStyle w:val="ListParagraph"/>
        <w:numPr>
          <w:ilvl w:val="0"/>
          <w:numId w:val="2"/>
        </w:numPr>
        <w:tabs>
          <w:tab w:val="left" w:pos="270"/>
        </w:tabs>
        <w:spacing w:after="0" w:line="240" w:lineRule="auto"/>
        <w:rPr>
          <w:rFonts w:ascii="Arial" w:hAnsi="Arial" w:cs="Arial"/>
        </w:rPr>
      </w:pPr>
      <w:r w:rsidRPr="00DB3DD9">
        <w:rPr>
          <w:rFonts w:ascii="Arial" w:hAnsi="Arial" w:cs="Arial"/>
        </w:rPr>
        <w:t>Khan, M. A., Ahmad, S., Ahmad, S., &amp; Ali, M. (2014). Medicinal importance of herbal medicine and its products in healthcare system. Asian Journal of Pharmaceutical and Clinical Research, 7, 22 - 27.</w:t>
      </w:r>
    </w:p>
    <w:p w14:paraId="1DCD9428" w14:textId="3C66C494" w:rsidR="008F2C8A" w:rsidRPr="00DB3DD9" w:rsidRDefault="008F2C8A" w:rsidP="008F2C8A">
      <w:pPr>
        <w:pStyle w:val="ListParagraph"/>
        <w:numPr>
          <w:ilvl w:val="0"/>
          <w:numId w:val="2"/>
        </w:numPr>
        <w:tabs>
          <w:tab w:val="left" w:pos="270"/>
        </w:tabs>
        <w:spacing w:after="0" w:line="240" w:lineRule="auto"/>
        <w:rPr>
          <w:rFonts w:ascii="Arial" w:hAnsi="Arial" w:cs="Arial"/>
        </w:rPr>
      </w:pPr>
      <w:r w:rsidRPr="00DB3DD9">
        <w:rPr>
          <w:rFonts w:ascii="Arial" w:hAnsi="Arial" w:cs="Arial"/>
        </w:rPr>
        <w:t xml:space="preserve">Wang, M. Y., West, B. J., Jensen, C. J., Nowicki, D., Su, C., Palu, A. K., &amp; Anderson, G. (2002). </w:t>
      </w:r>
      <w:proofErr w:type="spellStart"/>
      <w:r w:rsidRPr="00DB3DD9">
        <w:rPr>
          <w:rFonts w:ascii="Arial" w:hAnsi="Arial" w:cs="Arial"/>
          <w:i/>
          <w:iCs/>
        </w:rPr>
        <w:t>Morindacitrifolia</w:t>
      </w:r>
      <w:proofErr w:type="spellEnd"/>
      <w:r w:rsidRPr="00DB3DD9">
        <w:rPr>
          <w:rFonts w:ascii="Arial" w:hAnsi="Arial" w:cs="Arial"/>
        </w:rPr>
        <w:t xml:space="preserve"> (Noni): A literature review and recent advances in Noni research. Acta </w:t>
      </w:r>
      <w:proofErr w:type="spellStart"/>
      <w:r w:rsidRPr="00DB3DD9">
        <w:rPr>
          <w:rFonts w:ascii="Arial" w:hAnsi="Arial" w:cs="Arial"/>
        </w:rPr>
        <w:t>Pharmacologica</w:t>
      </w:r>
      <w:proofErr w:type="spellEnd"/>
      <w:r w:rsidRPr="00DB3DD9">
        <w:rPr>
          <w:rFonts w:ascii="Arial" w:hAnsi="Arial" w:cs="Arial"/>
        </w:rPr>
        <w:t xml:space="preserve"> </w:t>
      </w:r>
      <w:proofErr w:type="spellStart"/>
      <w:r w:rsidRPr="00DB3DD9">
        <w:rPr>
          <w:rFonts w:ascii="Arial" w:hAnsi="Arial" w:cs="Arial"/>
        </w:rPr>
        <w:t>Sinica</w:t>
      </w:r>
      <w:proofErr w:type="spellEnd"/>
      <w:r w:rsidRPr="00DB3DD9">
        <w:rPr>
          <w:rFonts w:ascii="Arial" w:hAnsi="Arial" w:cs="Arial"/>
        </w:rPr>
        <w:t>, 23, 1127 - 1141.</w:t>
      </w:r>
      <w:r w:rsidR="000D528D">
        <w:rPr>
          <w:rFonts w:ascii="Arial" w:hAnsi="Arial" w:cs="Arial"/>
        </w:rPr>
        <w:t xml:space="preserve"> </w:t>
      </w:r>
      <w:hyperlink r:id="rId31" w:history="1">
        <w:r w:rsidR="000D528D" w:rsidRPr="004E2635">
          <w:rPr>
            <w:rStyle w:val="Hyperlink"/>
            <w:rFonts w:ascii="Arial" w:hAnsi="Arial" w:cs="Arial"/>
          </w:rPr>
          <w:t>http://www.chinaphar.com/1671-4083/23/1127.pdf</w:t>
        </w:r>
      </w:hyperlink>
      <w:r w:rsidR="000D528D">
        <w:rPr>
          <w:rFonts w:ascii="Arial" w:hAnsi="Arial" w:cs="Arial"/>
        </w:rPr>
        <w:t xml:space="preserve"> </w:t>
      </w:r>
    </w:p>
    <w:p w14:paraId="72B99300" w14:textId="77777777" w:rsidR="00BB6BA2" w:rsidRPr="00DB3DD9" w:rsidRDefault="00BB6BA2" w:rsidP="00BB6BA2">
      <w:pPr>
        <w:pStyle w:val="NormalWeb"/>
        <w:numPr>
          <w:ilvl w:val="0"/>
          <w:numId w:val="2"/>
        </w:numPr>
        <w:jc w:val="both"/>
        <w:rPr>
          <w:rFonts w:ascii="Arial" w:hAnsi="Arial" w:cs="Arial"/>
          <w:sz w:val="20"/>
          <w:szCs w:val="20"/>
        </w:rPr>
      </w:pPr>
      <w:r w:rsidRPr="00DB3DD9">
        <w:rPr>
          <w:rFonts w:ascii="Arial" w:hAnsi="Arial" w:cs="Arial"/>
          <w:sz w:val="20"/>
          <w:szCs w:val="20"/>
        </w:rPr>
        <w:t xml:space="preserve">Morton, J. F. (1992). </w:t>
      </w:r>
      <w:r w:rsidRPr="00DB3DD9">
        <w:rPr>
          <w:rStyle w:val="Emphasis"/>
          <w:rFonts w:ascii="Arial" w:eastAsiaTheme="majorEastAsia" w:hAnsi="Arial" w:cs="Arial"/>
          <w:b w:val="0"/>
          <w:bCs w:val="0"/>
          <w:sz w:val="20"/>
          <w:szCs w:val="20"/>
        </w:rPr>
        <w:t>The ocean-going noni, or Indian mulberry (</w:t>
      </w:r>
      <w:proofErr w:type="spellStart"/>
      <w:r w:rsidRPr="00DB3DD9">
        <w:rPr>
          <w:rStyle w:val="Emphasis"/>
          <w:rFonts w:ascii="Arial" w:eastAsiaTheme="majorEastAsia" w:hAnsi="Arial" w:cs="Arial"/>
          <w:b w:val="0"/>
          <w:bCs w:val="0"/>
          <w:sz w:val="20"/>
          <w:szCs w:val="20"/>
        </w:rPr>
        <w:t>Morindacitrifolia</w:t>
      </w:r>
      <w:proofErr w:type="spellEnd"/>
      <w:r w:rsidRPr="00DB3DD9">
        <w:rPr>
          <w:rStyle w:val="Emphasis"/>
          <w:rFonts w:ascii="Arial" w:eastAsiaTheme="majorEastAsia" w:hAnsi="Arial" w:cs="Arial"/>
          <w:b w:val="0"/>
          <w:bCs w:val="0"/>
          <w:sz w:val="20"/>
          <w:szCs w:val="20"/>
        </w:rPr>
        <w:t xml:space="preserve">, </w:t>
      </w:r>
      <w:proofErr w:type="spellStart"/>
      <w:r w:rsidRPr="00DB3DD9">
        <w:rPr>
          <w:rStyle w:val="Emphasis"/>
          <w:rFonts w:ascii="Arial" w:eastAsiaTheme="majorEastAsia" w:hAnsi="Arial" w:cs="Arial"/>
          <w:b w:val="0"/>
          <w:bCs w:val="0"/>
          <w:sz w:val="20"/>
          <w:szCs w:val="20"/>
        </w:rPr>
        <w:t>Rubiaceae</w:t>
      </w:r>
      <w:proofErr w:type="spellEnd"/>
      <w:r w:rsidRPr="00DB3DD9">
        <w:rPr>
          <w:rStyle w:val="Emphasis"/>
          <w:rFonts w:ascii="Arial" w:eastAsiaTheme="majorEastAsia" w:hAnsi="Arial" w:cs="Arial"/>
          <w:b w:val="0"/>
          <w:bCs w:val="0"/>
          <w:sz w:val="20"/>
          <w:szCs w:val="20"/>
        </w:rPr>
        <w:t xml:space="preserve">) </w:t>
      </w:r>
      <w:r w:rsidRPr="00DB3DD9">
        <w:rPr>
          <w:rStyle w:val="Emphasis"/>
          <w:rFonts w:ascii="Arial" w:eastAsiaTheme="majorEastAsia" w:hAnsi="Arial" w:cs="Arial"/>
          <w:b w:val="0"/>
          <w:bCs w:val="0"/>
          <w:i w:val="0"/>
          <w:iCs w:val="0"/>
          <w:sz w:val="20"/>
          <w:szCs w:val="20"/>
        </w:rPr>
        <w:t xml:space="preserve">and some of its </w:t>
      </w:r>
      <w:proofErr w:type="spellStart"/>
      <w:r w:rsidRPr="00DB3DD9">
        <w:rPr>
          <w:rStyle w:val="Emphasis"/>
          <w:rFonts w:ascii="Arial" w:eastAsiaTheme="majorEastAsia" w:hAnsi="Arial" w:cs="Arial"/>
          <w:b w:val="0"/>
          <w:bCs w:val="0"/>
          <w:i w:val="0"/>
          <w:iCs w:val="0"/>
          <w:sz w:val="20"/>
          <w:szCs w:val="20"/>
        </w:rPr>
        <w:t>colorful</w:t>
      </w:r>
      <w:proofErr w:type="spellEnd"/>
      <w:r w:rsidRPr="00DB3DD9">
        <w:rPr>
          <w:rStyle w:val="Emphasis"/>
          <w:rFonts w:ascii="Arial" w:eastAsiaTheme="majorEastAsia" w:hAnsi="Arial" w:cs="Arial"/>
          <w:b w:val="0"/>
          <w:bCs w:val="0"/>
          <w:i w:val="0"/>
          <w:iCs w:val="0"/>
          <w:sz w:val="20"/>
          <w:szCs w:val="20"/>
        </w:rPr>
        <w:t xml:space="preserve"> relatives</w:t>
      </w:r>
      <w:r w:rsidRPr="00DB3DD9">
        <w:rPr>
          <w:rFonts w:ascii="Arial" w:hAnsi="Arial" w:cs="Arial"/>
          <w:b/>
          <w:bCs/>
          <w:i/>
          <w:iCs/>
          <w:sz w:val="20"/>
          <w:szCs w:val="20"/>
        </w:rPr>
        <w:t xml:space="preserve">. </w:t>
      </w:r>
      <w:r w:rsidRPr="00DB3DD9">
        <w:rPr>
          <w:rStyle w:val="Emphasis"/>
          <w:rFonts w:ascii="Arial" w:eastAsiaTheme="majorEastAsia" w:hAnsi="Arial" w:cs="Arial"/>
          <w:b w:val="0"/>
          <w:bCs w:val="0"/>
          <w:i w:val="0"/>
          <w:iCs w:val="0"/>
          <w:sz w:val="20"/>
          <w:szCs w:val="20"/>
        </w:rPr>
        <w:t>Economic Botany, 46</w:t>
      </w:r>
      <w:r w:rsidRPr="00DB3DD9">
        <w:rPr>
          <w:rFonts w:ascii="Arial" w:hAnsi="Arial" w:cs="Arial"/>
          <w:i/>
          <w:iCs/>
          <w:sz w:val="20"/>
          <w:szCs w:val="20"/>
        </w:rPr>
        <w:t>,</w:t>
      </w:r>
      <w:r w:rsidRPr="00DB3DD9">
        <w:rPr>
          <w:rFonts w:ascii="Arial" w:hAnsi="Arial" w:cs="Arial"/>
          <w:sz w:val="20"/>
          <w:szCs w:val="20"/>
        </w:rPr>
        <w:t xml:space="preserve"> 241 - 256.</w:t>
      </w:r>
    </w:p>
    <w:p w14:paraId="54496A59" w14:textId="77777777" w:rsidR="00BB6BA2" w:rsidRPr="00DB3DD9" w:rsidRDefault="00BB6BA2" w:rsidP="00DB3DD9">
      <w:pPr>
        <w:pStyle w:val="NormalWeb"/>
        <w:numPr>
          <w:ilvl w:val="0"/>
          <w:numId w:val="2"/>
        </w:numPr>
        <w:jc w:val="both"/>
        <w:rPr>
          <w:rFonts w:ascii="Arial" w:hAnsi="Arial" w:cs="Arial"/>
          <w:sz w:val="20"/>
          <w:szCs w:val="20"/>
        </w:rPr>
      </w:pPr>
      <w:r w:rsidRPr="00DB3DD9">
        <w:rPr>
          <w:rFonts w:ascii="Arial" w:hAnsi="Arial" w:cs="Arial"/>
          <w:sz w:val="20"/>
          <w:szCs w:val="20"/>
        </w:rPr>
        <w:t xml:space="preserve">Nelson, S. C. (2003). </w:t>
      </w:r>
      <w:proofErr w:type="spellStart"/>
      <w:r w:rsidRPr="00DB3DD9">
        <w:rPr>
          <w:rStyle w:val="Emphasis"/>
          <w:rFonts w:ascii="Arial" w:eastAsiaTheme="majorEastAsia" w:hAnsi="Arial" w:cs="Arial"/>
          <w:b w:val="0"/>
          <w:bCs w:val="0"/>
          <w:sz w:val="20"/>
          <w:szCs w:val="20"/>
        </w:rPr>
        <w:t>Morindacitrifolia</w:t>
      </w:r>
      <w:proofErr w:type="spellEnd"/>
      <w:r w:rsidRPr="00DB3DD9">
        <w:rPr>
          <w:rStyle w:val="Emphasis"/>
          <w:rFonts w:ascii="Arial" w:eastAsiaTheme="majorEastAsia" w:hAnsi="Arial" w:cs="Arial"/>
          <w:b w:val="0"/>
          <w:bCs w:val="0"/>
          <w:sz w:val="20"/>
          <w:szCs w:val="20"/>
        </w:rPr>
        <w:t xml:space="preserve"> (Noni</w:t>
      </w:r>
      <w:r w:rsidRPr="00DB3DD9">
        <w:rPr>
          <w:rStyle w:val="Emphasis"/>
          <w:rFonts w:ascii="Arial" w:eastAsiaTheme="majorEastAsia" w:hAnsi="Arial" w:cs="Arial"/>
          <w:b w:val="0"/>
          <w:bCs w:val="0"/>
          <w:i w:val="0"/>
          <w:iCs w:val="0"/>
          <w:sz w:val="20"/>
          <w:szCs w:val="20"/>
        </w:rPr>
        <w:t>): A review of agricultural research and traditional use</w:t>
      </w:r>
      <w:r w:rsidRPr="00DB3DD9">
        <w:rPr>
          <w:rFonts w:ascii="Arial" w:hAnsi="Arial" w:cs="Arial"/>
          <w:sz w:val="20"/>
          <w:szCs w:val="20"/>
        </w:rPr>
        <w:t>. Journal of Agricultural Research, 12, 225 - 239.</w:t>
      </w:r>
    </w:p>
    <w:p w14:paraId="1F81C235" w14:textId="77777777" w:rsidR="00BB6BA2" w:rsidRPr="00DB3DD9" w:rsidRDefault="00BB6BA2" w:rsidP="00BB6BA2">
      <w:pPr>
        <w:pStyle w:val="ListParagraph"/>
        <w:numPr>
          <w:ilvl w:val="0"/>
          <w:numId w:val="2"/>
        </w:numPr>
        <w:tabs>
          <w:tab w:val="left" w:pos="270"/>
        </w:tabs>
        <w:spacing w:after="0" w:line="240" w:lineRule="auto"/>
        <w:rPr>
          <w:rFonts w:ascii="Arial" w:hAnsi="Arial" w:cs="Arial"/>
        </w:rPr>
      </w:pPr>
      <w:r w:rsidRPr="00DB3DD9">
        <w:rPr>
          <w:rFonts w:ascii="Arial" w:hAnsi="Arial" w:cs="Arial"/>
        </w:rPr>
        <w:t xml:space="preserve">Moorthy, K., Loganathan, P., &amp; Jayaraman, K. (2001). Phytochemical investigation and antimicrobial activity of </w:t>
      </w:r>
      <w:proofErr w:type="spellStart"/>
      <w:r w:rsidRPr="00DB3DD9">
        <w:rPr>
          <w:rFonts w:ascii="Arial" w:hAnsi="Arial" w:cs="Arial"/>
          <w:i/>
          <w:iCs/>
        </w:rPr>
        <w:t>Morindacitrifolia</w:t>
      </w:r>
      <w:proofErr w:type="spellEnd"/>
      <w:r w:rsidRPr="00DB3DD9">
        <w:rPr>
          <w:rFonts w:ascii="Arial" w:hAnsi="Arial" w:cs="Arial"/>
        </w:rPr>
        <w:t>. Ancient Science of Life, 20, 81 - 87.</w:t>
      </w:r>
    </w:p>
    <w:p w14:paraId="500437FB" w14:textId="507D6D48" w:rsidR="00BB6BA2" w:rsidRPr="00DB3DD9" w:rsidRDefault="00BB6BA2" w:rsidP="00BB6BA2">
      <w:pPr>
        <w:pStyle w:val="ListParagraph"/>
        <w:numPr>
          <w:ilvl w:val="0"/>
          <w:numId w:val="2"/>
        </w:numPr>
        <w:tabs>
          <w:tab w:val="left" w:pos="270"/>
        </w:tabs>
        <w:spacing w:after="0" w:line="240" w:lineRule="auto"/>
        <w:rPr>
          <w:rFonts w:ascii="Arial" w:hAnsi="Arial" w:cs="Arial"/>
        </w:rPr>
      </w:pPr>
      <w:r w:rsidRPr="00DB3DD9">
        <w:rPr>
          <w:rFonts w:ascii="Arial" w:hAnsi="Arial" w:cs="Arial"/>
          <w:lang w:val="pt-BR"/>
        </w:rPr>
        <w:lastRenderedPageBreak/>
        <w:t xml:space="preserve">Hirazumi, A., Furusawa, E., Chou, S. C., &amp; Hokama, Y. (1997). </w:t>
      </w:r>
      <w:r w:rsidRPr="00DB3DD9">
        <w:rPr>
          <w:rFonts w:ascii="Arial" w:hAnsi="Arial" w:cs="Arial"/>
        </w:rPr>
        <w:t xml:space="preserve">Immunomodulation contributes to the anticancer activity of </w:t>
      </w:r>
      <w:proofErr w:type="spellStart"/>
      <w:r w:rsidRPr="00DB3DD9">
        <w:rPr>
          <w:rFonts w:ascii="Arial" w:hAnsi="Arial" w:cs="Arial"/>
          <w:i/>
          <w:iCs/>
        </w:rPr>
        <w:t>Morindacitrifolia</w:t>
      </w:r>
      <w:proofErr w:type="spellEnd"/>
      <w:r w:rsidRPr="00DB3DD9">
        <w:rPr>
          <w:rFonts w:ascii="Arial" w:hAnsi="Arial" w:cs="Arial"/>
        </w:rPr>
        <w:t xml:space="preserve"> (Noni) fruit juice. Proceedings of the Western Pharmacology Society, 40, 68 - 75.</w:t>
      </w:r>
      <w:r w:rsidR="000D528D">
        <w:rPr>
          <w:rFonts w:ascii="Arial" w:hAnsi="Arial" w:cs="Arial"/>
        </w:rPr>
        <w:t xml:space="preserve"> </w:t>
      </w:r>
      <w:hyperlink r:id="rId32" w:history="1">
        <w:r w:rsidR="000D528D" w:rsidRPr="004E2635">
          <w:rPr>
            <w:rStyle w:val="Hyperlink"/>
            <w:rFonts w:ascii="Arial" w:hAnsi="Arial" w:cs="Arial"/>
          </w:rPr>
          <w:t>https://pubmed.ncbi.nlm.nih.gov/8895953/</w:t>
        </w:r>
      </w:hyperlink>
      <w:r w:rsidR="000D528D">
        <w:rPr>
          <w:rFonts w:ascii="Arial" w:hAnsi="Arial" w:cs="Arial"/>
        </w:rPr>
        <w:t xml:space="preserve"> </w:t>
      </w:r>
    </w:p>
    <w:p w14:paraId="4CE47206" w14:textId="77777777" w:rsidR="00CE5B5B" w:rsidRPr="00DB3DD9" w:rsidRDefault="00CE5B5B" w:rsidP="00CE5B5B">
      <w:pPr>
        <w:pStyle w:val="ListParagraph"/>
        <w:numPr>
          <w:ilvl w:val="0"/>
          <w:numId w:val="2"/>
        </w:numPr>
        <w:tabs>
          <w:tab w:val="left" w:pos="0"/>
          <w:tab w:val="left" w:pos="270"/>
        </w:tabs>
        <w:spacing w:after="0" w:line="240" w:lineRule="auto"/>
        <w:rPr>
          <w:rFonts w:ascii="Arial" w:hAnsi="Arial" w:cs="Arial"/>
          <w:b/>
          <w:bCs/>
        </w:rPr>
      </w:pPr>
      <w:r w:rsidRPr="00DB3DD9">
        <w:rPr>
          <w:rFonts w:ascii="Arial" w:hAnsi="Arial" w:cs="Arial"/>
        </w:rPr>
        <w:t>Heinicke, R. M. (1985). The pharmacologically active ingredient of Noni. Pacific Tropical Botanical Garden Bulletin, 15, 10 - 14.</w:t>
      </w:r>
    </w:p>
    <w:p w14:paraId="72F721D9" w14:textId="3824D255" w:rsidR="00CE5B5B" w:rsidRPr="00DB3DD9" w:rsidRDefault="00CE5B5B" w:rsidP="00CE5B5B">
      <w:pPr>
        <w:pStyle w:val="NormalWeb"/>
        <w:numPr>
          <w:ilvl w:val="0"/>
          <w:numId w:val="2"/>
        </w:numPr>
        <w:jc w:val="both"/>
        <w:rPr>
          <w:rFonts w:ascii="Arial" w:hAnsi="Arial" w:cs="Arial"/>
          <w:sz w:val="20"/>
          <w:szCs w:val="20"/>
        </w:rPr>
      </w:pPr>
      <w:r w:rsidRPr="00DB3DD9">
        <w:rPr>
          <w:rFonts w:ascii="Arial" w:hAnsi="Arial" w:cs="Arial"/>
          <w:sz w:val="20"/>
          <w:szCs w:val="20"/>
        </w:rPr>
        <w:t>Wang, M. Y., &amp; Su, C. (2001</w:t>
      </w:r>
      <w:proofErr w:type="gramStart"/>
      <w:r w:rsidRPr="00DB3DD9">
        <w:rPr>
          <w:rFonts w:ascii="Arial" w:hAnsi="Arial" w:cs="Arial"/>
          <w:sz w:val="20"/>
          <w:szCs w:val="20"/>
        </w:rPr>
        <w:t>).</w:t>
      </w:r>
      <w:r w:rsidRPr="00DB3DD9">
        <w:rPr>
          <w:rStyle w:val="Emphasis"/>
          <w:rFonts w:ascii="Arial" w:eastAsiaTheme="majorEastAsia" w:hAnsi="Arial" w:cs="Arial"/>
          <w:b w:val="0"/>
          <w:bCs w:val="0"/>
          <w:sz w:val="20"/>
          <w:szCs w:val="20"/>
        </w:rPr>
        <w:t>Cancer</w:t>
      </w:r>
      <w:proofErr w:type="gramEnd"/>
      <w:r w:rsidRPr="00DB3DD9">
        <w:rPr>
          <w:rStyle w:val="Emphasis"/>
          <w:rFonts w:ascii="Arial" w:eastAsiaTheme="majorEastAsia" w:hAnsi="Arial" w:cs="Arial"/>
          <w:b w:val="0"/>
          <w:bCs w:val="0"/>
          <w:sz w:val="20"/>
          <w:szCs w:val="20"/>
        </w:rPr>
        <w:t xml:space="preserve"> preventive effect of </w:t>
      </w:r>
      <w:proofErr w:type="spellStart"/>
      <w:r w:rsidRPr="00DB3DD9">
        <w:rPr>
          <w:rStyle w:val="Emphasis"/>
          <w:rFonts w:ascii="Arial" w:eastAsiaTheme="majorEastAsia" w:hAnsi="Arial" w:cs="Arial"/>
          <w:b w:val="0"/>
          <w:bCs w:val="0"/>
          <w:sz w:val="20"/>
          <w:szCs w:val="20"/>
        </w:rPr>
        <w:t>Morindacitrifolia</w:t>
      </w:r>
      <w:proofErr w:type="spellEnd"/>
      <w:r w:rsidRPr="00DB3DD9">
        <w:rPr>
          <w:rStyle w:val="Emphasis"/>
          <w:rFonts w:ascii="Arial" w:eastAsiaTheme="majorEastAsia" w:hAnsi="Arial" w:cs="Arial"/>
          <w:b w:val="0"/>
          <w:bCs w:val="0"/>
          <w:sz w:val="20"/>
          <w:szCs w:val="20"/>
        </w:rPr>
        <w:t xml:space="preserve"> (Noni)</w:t>
      </w:r>
      <w:r w:rsidRPr="00DB3DD9">
        <w:rPr>
          <w:rFonts w:ascii="Arial" w:hAnsi="Arial" w:cs="Arial"/>
          <w:b/>
          <w:bCs/>
          <w:sz w:val="20"/>
          <w:szCs w:val="20"/>
        </w:rPr>
        <w:t xml:space="preserve">. </w:t>
      </w:r>
      <w:r w:rsidRPr="00DB3DD9">
        <w:rPr>
          <w:rStyle w:val="Emphasis"/>
          <w:rFonts w:ascii="Arial" w:eastAsiaTheme="majorEastAsia" w:hAnsi="Arial" w:cs="Arial"/>
          <w:b w:val="0"/>
          <w:bCs w:val="0"/>
          <w:i w:val="0"/>
          <w:iCs w:val="0"/>
          <w:sz w:val="20"/>
          <w:szCs w:val="20"/>
        </w:rPr>
        <w:t xml:space="preserve">Annals of </w:t>
      </w:r>
      <w:proofErr w:type="spellStart"/>
      <w:r w:rsidRPr="00DB3DD9">
        <w:rPr>
          <w:rStyle w:val="Emphasis"/>
          <w:rFonts w:ascii="Arial" w:eastAsiaTheme="majorEastAsia" w:hAnsi="Arial" w:cs="Arial"/>
          <w:b w:val="0"/>
          <w:bCs w:val="0"/>
          <w:i w:val="0"/>
          <w:iCs w:val="0"/>
          <w:sz w:val="20"/>
          <w:szCs w:val="20"/>
        </w:rPr>
        <w:t>theNew</w:t>
      </w:r>
      <w:proofErr w:type="spellEnd"/>
      <w:r w:rsidRPr="00DB3DD9">
        <w:rPr>
          <w:rStyle w:val="Emphasis"/>
          <w:rFonts w:ascii="Arial" w:eastAsiaTheme="majorEastAsia" w:hAnsi="Arial" w:cs="Arial"/>
          <w:b w:val="0"/>
          <w:bCs w:val="0"/>
          <w:i w:val="0"/>
          <w:iCs w:val="0"/>
          <w:sz w:val="20"/>
          <w:szCs w:val="20"/>
        </w:rPr>
        <w:t xml:space="preserve"> York Academy of Sciences</w:t>
      </w:r>
      <w:r w:rsidRPr="00DB3DD9">
        <w:rPr>
          <w:rStyle w:val="Emphasis"/>
          <w:rFonts w:ascii="Arial" w:eastAsiaTheme="majorEastAsia" w:hAnsi="Arial" w:cs="Arial"/>
          <w:b w:val="0"/>
          <w:bCs w:val="0"/>
          <w:sz w:val="20"/>
          <w:szCs w:val="20"/>
        </w:rPr>
        <w:t>, 952</w:t>
      </w:r>
      <w:r w:rsidRPr="00DB3DD9">
        <w:rPr>
          <w:rFonts w:ascii="Arial" w:hAnsi="Arial" w:cs="Arial"/>
          <w:sz w:val="20"/>
          <w:szCs w:val="20"/>
        </w:rPr>
        <w:t>, 161 - 168.</w:t>
      </w:r>
      <w:r w:rsidR="000D528D">
        <w:rPr>
          <w:rFonts w:ascii="Arial" w:hAnsi="Arial" w:cs="Arial"/>
          <w:sz w:val="20"/>
          <w:szCs w:val="20"/>
        </w:rPr>
        <w:t xml:space="preserve"> </w:t>
      </w:r>
      <w:hyperlink r:id="rId33" w:history="1">
        <w:r w:rsidR="000D528D" w:rsidRPr="004E2635">
          <w:rPr>
            <w:rStyle w:val="Hyperlink"/>
            <w:rFonts w:ascii="Arial" w:hAnsi="Arial" w:cs="Arial"/>
            <w:sz w:val="20"/>
            <w:szCs w:val="20"/>
          </w:rPr>
          <w:t>https://doi.org/10.1111/j.1749-6632.2001.tb02737.x</w:t>
        </w:r>
      </w:hyperlink>
      <w:r w:rsidR="000D528D">
        <w:rPr>
          <w:rFonts w:ascii="Arial" w:hAnsi="Arial" w:cs="Arial"/>
          <w:sz w:val="20"/>
          <w:szCs w:val="20"/>
        </w:rPr>
        <w:t xml:space="preserve"> </w:t>
      </w:r>
    </w:p>
    <w:p w14:paraId="0DDA8197" w14:textId="4926CD99" w:rsidR="008F2C8A" w:rsidRPr="00DB3DD9" w:rsidRDefault="00CE5B5B" w:rsidP="008F2C8A">
      <w:pPr>
        <w:pStyle w:val="NormalWeb"/>
        <w:numPr>
          <w:ilvl w:val="0"/>
          <w:numId w:val="2"/>
        </w:numPr>
        <w:jc w:val="both"/>
        <w:rPr>
          <w:rFonts w:ascii="Arial" w:hAnsi="Arial" w:cs="Arial"/>
          <w:sz w:val="20"/>
          <w:szCs w:val="20"/>
        </w:rPr>
      </w:pPr>
      <w:r w:rsidRPr="00DB3DD9">
        <w:rPr>
          <w:rFonts w:ascii="Arial" w:hAnsi="Arial" w:cs="Arial"/>
          <w:sz w:val="20"/>
          <w:szCs w:val="20"/>
        </w:rPr>
        <w:t xml:space="preserve">Hirazumi, A., &amp; Furusawa, E. (1999). </w:t>
      </w:r>
      <w:r w:rsidRPr="00DB3DD9">
        <w:rPr>
          <w:rStyle w:val="Emphasis"/>
          <w:rFonts w:ascii="Arial" w:eastAsiaTheme="majorEastAsia" w:hAnsi="Arial" w:cs="Arial"/>
          <w:b w:val="0"/>
          <w:bCs w:val="0"/>
          <w:i w:val="0"/>
          <w:iCs w:val="0"/>
          <w:sz w:val="20"/>
          <w:szCs w:val="20"/>
        </w:rPr>
        <w:t xml:space="preserve">An immunomodulatory polysaccharide-rich extract from </w:t>
      </w:r>
      <w:proofErr w:type="spellStart"/>
      <w:r w:rsidRPr="00DB3DD9">
        <w:rPr>
          <w:rStyle w:val="Emphasis"/>
          <w:rFonts w:ascii="Arial" w:eastAsiaTheme="majorEastAsia" w:hAnsi="Arial" w:cs="Arial"/>
          <w:b w:val="0"/>
          <w:bCs w:val="0"/>
          <w:i w:val="0"/>
          <w:iCs w:val="0"/>
          <w:sz w:val="20"/>
          <w:szCs w:val="20"/>
        </w:rPr>
        <w:t>Morindacitrifolia</w:t>
      </w:r>
      <w:proofErr w:type="spellEnd"/>
      <w:r w:rsidRPr="00DB3DD9">
        <w:rPr>
          <w:rStyle w:val="Emphasis"/>
          <w:rFonts w:ascii="Arial" w:eastAsiaTheme="majorEastAsia" w:hAnsi="Arial" w:cs="Arial"/>
          <w:b w:val="0"/>
          <w:bCs w:val="0"/>
          <w:i w:val="0"/>
          <w:iCs w:val="0"/>
          <w:sz w:val="20"/>
          <w:szCs w:val="20"/>
        </w:rPr>
        <w:t xml:space="preserve"> (Noni) enhances tumoricidal activity of macrophages and lymphocytes</w:t>
      </w:r>
      <w:r w:rsidRPr="00DB3DD9">
        <w:rPr>
          <w:rFonts w:ascii="Arial" w:hAnsi="Arial" w:cs="Arial"/>
          <w:b/>
          <w:bCs/>
          <w:sz w:val="20"/>
          <w:szCs w:val="20"/>
        </w:rPr>
        <w:t xml:space="preserve">. </w:t>
      </w:r>
      <w:r w:rsidRPr="00DB3DD9">
        <w:rPr>
          <w:rFonts w:ascii="Arial" w:hAnsi="Arial" w:cs="Arial"/>
          <w:sz w:val="20"/>
          <w:szCs w:val="20"/>
        </w:rPr>
        <w:t xml:space="preserve">Phytotherapy Research, 13, 380 </w:t>
      </w:r>
      <w:r w:rsidR="000D528D">
        <w:rPr>
          <w:rFonts w:ascii="Arial" w:hAnsi="Arial" w:cs="Arial"/>
          <w:sz w:val="20"/>
          <w:szCs w:val="20"/>
        </w:rPr>
        <w:t>–</w:t>
      </w:r>
      <w:r w:rsidRPr="00DB3DD9">
        <w:rPr>
          <w:rFonts w:ascii="Arial" w:hAnsi="Arial" w:cs="Arial"/>
          <w:sz w:val="20"/>
          <w:szCs w:val="20"/>
        </w:rPr>
        <w:t xml:space="preserve"> 387</w:t>
      </w:r>
      <w:r w:rsidR="000D528D">
        <w:rPr>
          <w:rFonts w:ascii="Arial" w:hAnsi="Arial" w:cs="Arial"/>
          <w:sz w:val="20"/>
          <w:szCs w:val="20"/>
        </w:rPr>
        <w:t xml:space="preserve"> </w:t>
      </w:r>
      <w:r w:rsidR="000D528D">
        <w:rPr>
          <w:rFonts w:ascii="Arial" w:hAnsi="Arial" w:cs="Arial"/>
          <w:b/>
          <w:bCs/>
          <w:sz w:val="20"/>
          <w:szCs w:val="20"/>
        </w:rPr>
        <w:t xml:space="preserve"> </w:t>
      </w:r>
      <w:hyperlink r:id="rId34" w:history="1">
        <w:r w:rsidR="000D528D" w:rsidRPr="004E2635">
          <w:rPr>
            <w:rStyle w:val="Hyperlink"/>
            <w:rFonts w:ascii="Arial" w:hAnsi="Arial" w:cs="Arial"/>
            <w:b/>
            <w:bCs/>
            <w:sz w:val="20"/>
            <w:szCs w:val="20"/>
          </w:rPr>
          <w:t>https://doi.org/10.1002/(sici)1099-1573(199908/09)13:5%3C380::aid-ptr463%3E3.0.co;2-m</w:t>
        </w:r>
      </w:hyperlink>
      <w:r w:rsidR="000D528D">
        <w:rPr>
          <w:rFonts w:ascii="Arial" w:hAnsi="Arial" w:cs="Arial"/>
          <w:b/>
          <w:bCs/>
          <w:sz w:val="20"/>
          <w:szCs w:val="20"/>
        </w:rPr>
        <w:t xml:space="preserve"> </w:t>
      </w:r>
    </w:p>
    <w:p w14:paraId="12AA25CC" w14:textId="77777777" w:rsidR="00CE5B5B" w:rsidRPr="00DB3DD9" w:rsidRDefault="00CE5B5B" w:rsidP="00CE5B5B">
      <w:pPr>
        <w:pStyle w:val="NormalWeb"/>
        <w:numPr>
          <w:ilvl w:val="0"/>
          <w:numId w:val="2"/>
        </w:numPr>
        <w:jc w:val="both"/>
        <w:rPr>
          <w:rFonts w:ascii="Arial" w:hAnsi="Arial" w:cs="Arial"/>
          <w:sz w:val="20"/>
          <w:szCs w:val="20"/>
        </w:rPr>
      </w:pPr>
      <w:r w:rsidRPr="00DB3DD9">
        <w:rPr>
          <w:rFonts w:ascii="Arial" w:hAnsi="Arial" w:cs="Arial"/>
          <w:sz w:val="20"/>
          <w:szCs w:val="20"/>
        </w:rPr>
        <w:t xml:space="preserve">Moorthy, D., Ramesh, M., &amp; Krishnakumar, D. (2001). </w:t>
      </w:r>
      <w:r w:rsidRPr="00DB3DD9">
        <w:rPr>
          <w:rStyle w:val="Emphasis"/>
          <w:rFonts w:ascii="Arial" w:eastAsiaTheme="majorEastAsia" w:hAnsi="Arial" w:cs="Arial"/>
          <w:b w:val="0"/>
          <w:bCs w:val="0"/>
          <w:i w:val="0"/>
          <w:iCs w:val="0"/>
          <w:sz w:val="20"/>
          <w:szCs w:val="20"/>
        </w:rPr>
        <w:t xml:space="preserve">Polysaccharides of </w:t>
      </w:r>
      <w:proofErr w:type="spellStart"/>
      <w:r w:rsidRPr="00DB3DD9">
        <w:rPr>
          <w:rStyle w:val="Emphasis"/>
          <w:rFonts w:ascii="Arial" w:eastAsiaTheme="majorEastAsia" w:hAnsi="Arial" w:cs="Arial"/>
          <w:b w:val="0"/>
          <w:bCs w:val="0"/>
          <w:i w:val="0"/>
          <w:iCs w:val="0"/>
          <w:sz w:val="20"/>
          <w:szCs w:val="20"/>
        </w:rPr>
        <w:t>Morindacitrifolia</w:t>
      </w:r>
      <w:proofErr w:type="spellEnd"/>
      <w:r w:rsidRPr="00DB3DD9">
        <w:rPr>
          <w:rStyle w:val="Emphasis"/>
          <w:rFonts w:ascii="Arial" w:eastAsiaTheme="majorEastAsia" w:hAnsi="Arial" w:cs="Arial"/>
          <w:b w:val="0"/>
          <w:bCs w:val="0"/>
          <w:i w:val="0"/>
          <w:iCs w:val="0"/>
          <w:sz w:val="20"/>
          <w:szCs w:val="20"/>
        </w:rPr>
        <w:t xml:space="preserve"> and their immunomodulatory potential</w:t>
      </w:r>
      <w:r w:rsidRPr="00DB3DD9">
        <w:rPr>
          <w:rFonts w:ascii="Arial" w:hAnsi="Arial" w:cs="Arial"/>
          <w:b/>
          <w:bCs/>
          <w:i/>
          <w:iCs/>
          <w:sz w:val="20"/>
          <w:szCs w:val="20"/>
        </w:rPr>
        <w:t xml:space="preserve">. </w:t>
      </w:r>
      <w:r w:rsidRPr="00DB3DD9">
        <w:rPr>
          <w:rStyle w:val="Emphasis"/>
          <w:rFonts w:ascii="Arial" w:eastAsiaTheme="majorEastAsia" w:hAnsi="Arial" w:cs="Arial"/>
          <w:b w:val="0"/>
          <w:bCs w:val="0"/>
          <w:i w:val="0"/>
          <w:iCs w:val="0"/>
          <w:sz w:val="20"/>
          <w:szCs w:val="20"/>
        </w:rPr>
        <w:t>Indian Journal of Pharmacology, 33</w:t>
      </w:r>
      <w:r w:rsidRPr="00DB3DD9">
        <w:rPr>
          <w:rFonts w:ascii="Arial" w:hAnsi="Arial" w:cs="Arial"/>
          <w:i/>
          <w:iCs/>
          <w:sz w:val="20"/>
          <w:szCs w:val="20"/>
        </w:rPr>
        <w:t>,</w:t>
      </w:r>
      <w:r w:rsidRPr="00DB3DD9">
        <w:rPr>
          <w:rFonts w:ascii="Arial" w:hAnsi="Arial" w:cs="Arial"/>
          <w:sz w:val="20"/>
          <w:szCs w:val="20"/>
        </w:rPr>
        <w:t xml:space="preserve"> 172 - 175.</w:t>
      </w:r>
    </w:p>
    <w:p w14:paraId="2478AF78" w14:textId="1E213DDE" w:rsidR="00CE5B5B" w:rsidRPr="00DB3DD9" w:rsidRDefault="00CE5B5B" w:rsidP="00CE5B5B">
      <w:pPr>
        <w:pStyle w:val="NormalWeb"/>
        <w:numPr>
          <w:ilvl w:val="0"/>
          <w:numId w:val="2"/>
        </w:numPr>
        <w:jc w:val="both"/>
        <w:rPr>
          <w:rFonts w:ascii="Arial" w:hAnsi="Arial" w:cs="Arial"/>
          <w:sz w:val="20"/>
          <w:szCs w:val="20"/>
        </w:rPr>
      </w:pPr>
      <w:r w:rsidRPr="00DB3DD9">
        <w:rPr>
          <w:rFonts w:ascii="Arial" w:hAnsi="Arial" w:cs="Arial"/>
          <w:sz w:val="20"/>
          <w:szCs w:val="20"/>
        </w:rPr>
        <w:t xml:space="preserve">Wang, M. Y., West, B. J., Jensen, C. J., Nowicki, D., Chen, S., Palu, A. K., &amp; Anderson, G. (2009). </w:t>
      </w:r>
      <w:proofErr w:type="spellStart"/>
      <w:r w:rsidRPr="00DB3DD9">
        <w:rPr>
          <w:rStyle w:val="Emphasis"/>
          <w:rFonts w:ascii="Arial" w:eastAsiaTheme="majorEastAsia" w:hAnsi="Arial" w:cs="Arial"/>
          <w:b w:val="0"/>
          <w:bCs w:val="0"/>
          <w:sz w:val="20"/>
          <w:szCs w:val="20"/>
        </w:rPr>
        <w:t>Morindacitrifolia</w:t>
      </w:r>
      <w:proofErr w:type="spellEnd"/>
      <w:r w:rsidRPr="00DB3DD9">
        <w:rPr>
          <w:rStyle w:val="Emphasis"/>
          <w:rFonts w:ascii="Arial" w:eastAsiaTheme="majorEastAsia" w:hAnsi="Arial" w:cs="Arial"/>
          <w:b w:val="0"/>
          <w:bCs w:val="0"/>
          <w:sz w:val="20"/>
          <w:szCs w:val="20"/>
        </w:rPr>
        <w:t xml:space="preserve"> (Noni</w:t>
      </w:r>
      <w:r w:rsidRPr="00DB3DD9">
        <w:rPr>
          <w:rStyle w:val="Emphasis"/>
          <w:rFonts w:ascii="Arial" w:eastAsiaTheme="majorEastAsia" w:hAnsi="Arial" w:cs="Arial"/>
          <w:b w:val="0"/>
          <w:bCs w:val="0"/>
          <w:i w:val="0"/>
          <w:iCs w:val="0"/>
          <w:sz w:val="20"/>
          <w:szCs w:val="20"/>
        </w:rPr>
        <w:t>): A literature review and recent advances in Noni research</w:t>
      </w:r>
      <w:r w:rsidRPr="00DB3DD9">
        <w:rPr>
          <w:rFonts w:ascii="Arial" w:hAnsi="Arial" w:cs="Arial"/>
          <w:b/>
          <w:bCs/>
          <w:i/>
          <w:iCs/>
          <w:sz w:val="20"/>
          <w:szCs w:val="20"/>
        </w:rPr>
        <w:t xml:space="preserve">. </w:t>
      </w:r>
      <w:r w:rsidRPr="00DB3DD9">
        <w:rPr>
          <w:rStyle w:val="Emphasis"/>
          <w:rFonts w:ascii="Arial" w:eastAsiaTheme="majorEastAsia" w:hAnsi="Arial" w:cs="Arial"/>
          <w:b w:val="0"/>
          <w:bCs w:val="0"/>
          <w:i w:val="0"/>
          <w:iCs w:val="0"/>
          <w:sz w:val="20"/>
          <w:szCs w:val="20"/>
        </w:rPr>
        <w:t xml:space="preserve">Acta </w:t>
      </w:r>
      <w:proofErr w:type="spellStart"/>
      <w:r w:rsidRPr="00DB3DD9">
        <w:rPr>
          <w:rStyle w:val="Emphasis"/>
          <w:rFonts w:ascii="Arial" w:eastAsiaTheme="majorEastAsia" w:hAnsi="Arial" w:cs="Arial"/>
          <w:b w:val="0"/>
          <w:bCs w:val="0"/>
          <w:i w:val="0"/>
          <w:iCs w:val="0"/>
          <w:sz w:val="20"/>
          <w:szCs w:val="20"/>
        </w:rPr>
        <w:t>Pharmacologica</w:t>
      </w:r>
      <w:proofErr w:type="spellEnd"/>
      <w:r w:rsidRPr="00DB3DD9">
        <w:rPr>
          <w:rStyle w:val="Emphasis"/>
          <w:rFonts w:ascii="Arial" w:eastAsiaTheme="majorEastAsia" w:hAnsi="Arial" w:cs="Arial"/>
          <w:b w:val="0"/>
          <w:bCs w:val="0"/>
          <w:i w:val="0"/>
          <w:iCs w:val="0"/>
          <w:sz w:val="20"/>
          <w:szCs w:val="20"/>
        </w:rPr>
        <w:t xml:space="preserve"> Sinica,30</w:t>
      </w:r>
      <w:r w:rsidRPr="00DB3DD9">
        <w:rPr>
          <w:rFonts w:ascii="Arial" w:hAnsi="Arial" w:cs="Arial"/>
          <w:sz w:val="20"/>
          <w:szCs w:val="20"/>
        </w:rPr>
        <w:t xml:space="preserve">, 1227 - 1244. </w:t>
      </w:r>
      <w:r w:rsidR="000D528D">
        <w:rPr>
          <w:rFonts w:ascii="Arial" w:hAnsi="Arial" w:cs="Arial"/>
          <w:sz w:val="20"/>
          <w:szCs w:val="20"/>
        </w:rPr>
        <w:t xml:space="preserve"> </w:t>
      </w:r>
      <w:hyperlink r:id="rId35" w:history="1">
        <w:r w:rsidR="000D528D" w:rsidRPr="004E2635">
          <w:rPr>
            <w:rStyle w:val="Hyperlink"/>
            <w:rFonts w:ascii="Arial" w:hAnsi="Arial" w:cs="Arial"/>
            <w:sz w:val="20"/>
            <w:szCs w:val="20"/>
          </w:rPr>
          <w:t>http://www.chinaphar.com/1671-4083/23/1127.pdf</w:t>
        </w:r>
      </w:hyperlink>
      <w:r w:rsidR="000D528D">
        <w:rPr>
          <w:rFonts w:ascii="Arial" w:hAnsi="Arial" w:cs="Arial"/>
          <w:sz w:val="20"/>
          <w:szCs w:val="20"/>
        </w:rPr>
        <w:t xml:space="preserve"> </w:t>
      </w:r>
    </w:p>
    <w:p w14:paraId="44F05673" w14:textId="77777777" w:rsidR="005523CE" w:rsidRPr="006D1D62" w:rsidRDefault="00CE5B5B" w:rsidP="006D1D62">
      <w:pPr>
        <w:pStyle w:val="NormalWeb"/>
        <w:numPr>
          <w:ilvl w:val="0"/>
          <w:numId w:val="2"/>
        </w:numPr>
        <w:jc w:val="both"/>
        <w:rPr>
          <w:rFonts w:ascii="Arial" w:hAnsi="Arial" w:cs="Arial"/>
          <w:sz w:val="20"/>
          <w:szCs w:val="20"/>
        </w:rPr>
      </w:pPr>
      <w:r w:rsidRPr="00DB3DD9">
        <w:rPr>
          <w:rFonts w:ascii="Arial" w:hAnsi="Arial" w:cs="Arial"/>
          <w:sz w:val="20"/>
          <w:szCs w:val="20"/>
        </w:rPr>
        <w:t xml:space="preserve">Zhang, Y., Li, Q., &amp; Xing, H. (2011). </w:t>
      </w:r>
      <w:r w:rsidRPr="00DB3DD9">
        <w:rPr>
          <w:rStyle w:val="Emphasis"/>
          <w:rFonts w:ascii="Arial" w:eastAsiaTheme="majorEastAsia" w:hAnsi="Arial" w:cs="Arial"/>
          <w:b w:val="0"/>
          <w:bCs w:val="0"/>
          <w:i w:val="0"/>
          <w:iCs w:val="0"/>
          <w:sz w:val="20"/>
          <w:szCs w:val="20"/>
        </w:rPr>
        <w:t xml:space="preserve">Antioxidant and anti-mutagenic properties of phenolic acids from </w:t>
      </w:r>
      <w:proofErr w:type="spellStart"/>
      <w:r w:rsidRPr="00DB3DD9">
        <w:rPr>
          <w:rStyle w:val="Emphasis"/>
          <w:rFonts w:ascii="Arial" w:eastAsiaTheme="majorEastAsia" w:hAnsi="Arial" w:cs="Arial"/>
          <w:b w:val="0"/>
          <w:bCs w:val="0"/>
          <w:i w:val="0"/>
          <w:iCs w:val="0"/>
          <w:sz w:val="20"/>
          <w:szCs w:val="20"/>
        </w:rPr>
        <w:t>Morindacitrifolia</w:t>
      </w:r>
      <w:proofErr w:type="spellEnd"/>
      <w:r w:rsidRPr="00DB3DD9">
        <w:rPr>
          <w:rStyle w:val="Emphasis"/>
          <w:rFonts w:ascii="Arial" w:eastAsiaTheme="majorEastAsia" w:hAnsi="Arial" w:cs="Arial"/>
          <w:b w:val="0"/>
          <w:bCs w:val="0"/>
          <w:i w:val="0"/>
          <w:iCs w:val="0"/>
          <w:sz w:val="20"/>
          <w:szCs w:val="20"/>
        </w:rPr>
        <w:t xml:space="preserve"> L. (Noni) fruit extract</w:t>
      </w:r>
      <w:r w:rsidRPr="00DB3DD9">
        <w:rPr>
          <w:rFonts w:ascii="Arial" w:hAnsi="Arial" w:cs="Arial"/>
          <w:b/>
          <w:bCs/>
          <w:i/>
          <w:iCs/>
          <w:sz w:val="20"/>
          <w:szCs w:val="20"/>
        </w:rPr>
        <w:t xml:space="preserve">. </w:t>
      </w:r>
      <w:r w:rsidRPr="00DB3DD9">
        <w:rPr>
          <w:rStyle w:val="Emphasis"/>
          <w:rFonts w:ascii="Arial" w:eastAsiaTheme="majorEastAsia" w:hAnsi="Arial" w:cs="Arial"/>
          <w:b w:val="0"/>
          <w:bCs w:val="0"/>
          <w:i w:val="0"/>
          <w:iCs w:val="0"/>
          <w:sz w:val="20"/>
          <w:szCs w:val="20"/>
        </w:rPr>
        <w:t>Food Chemistry, 126</w:t>
      </w:r>
      <w:r w:rsidRPr="00DB3DD9">
        <w:rPr>
          <w:rFonts w:ascii="Arial" w:hAnsi="Arial" w:cs="Arial"/>
          <w:sz w:val="20"/>
          <w:szCs w:val="20"/>
        </w:rPr>
        <w:t xml:space="preserve">, 911 </w:t>
      </w:r>
      <w:r w:rsidR="005523CE">
        <w:rPr>
          <w:rFonts w:ascii="Arial" w:hAnsi="Arial" w:cs="Arial"/>
          <w:sz w:val="20"/>
          <w:szCs w:val="20"/>
        </w:rPr>
        <w:t>–</w:t>
      </w:r>
      <w:r w:rsidRPr="00DB3DD9">
        <w:rPr>
          <w:rFonts w:ascii="Arial" w:hAnsi="Arial" w:cs="Arial"/>
          <w:sz w:val="20"/>
          <w:szCs w:val="20"/>
        </w:rPr>
        <w:t xml:space="preserve"> 915</w:t>
      </w:r>
    </w:p>
    <w:p w14:paraId="53315B09" w14:textId="0763F9B7" w:rsidR="00DB3DD9" w:rsidRPr="00DB3DD9" w:rsidRDefault="00DB3DD9" w:rsidP="00DB3DD9">
      <w:pPr>
        <w:pStyle w:val="NormalWeb"/>
        <w:numPr>
          <w:ilvl w:val="0"/>
          <w:numId w:val="2"/>
        </w:numPr>
        <w:jc w:val="both"/>
        <w:rPr>
          <w:rFonts w:ascii="Arial" w:hAnsi="Arial" w:cs="Arial"/>
          <w:sz w:val="20"/>
          <w:szCs w:val="20"/>
        </w:rPr>
      </w:pPr>
      <w:r w:rsidRPr="00DB3DD9">
        <w:rPr>
          <w:rFonts w:ascii="Arial" w:hAnsi="Arial" w:cs="Arial"/>
          <w:sz w:val="20"/>
          <w:szCs w:val="20"/>
        </w:rPr>
        <w:t>Kumar, S., Sahu, R., Roy, A., &amp; Pandey, M. (2018</w:t>
      </w:r>
      <w:r w:rsidRPr="00DB3DD9">
        <w:rPr>
          <w:rFonts w:ascii="Arial" w:hAnsi="Arial" w:cs="Arial"/>
          <w:i/>
          <w:iCs/>
          <w:sz w:val="20"/>
          <w:szCs w:val="20"/>
        </w:rPr>
        <w:t xml:space="preserve">). </w:t>
      </w:r>
      <w:r w:rsidRPr="00DB3DD9">
        <w:rPr>
          <w:rStyle w:val="Emphasis"/>
          <w:rFonts w:ascii="Arial" w:eastAsiaTheme="majorEastAsia" w:hAnsi="Arial" w:cs="Arial"/>
          <w:b w:val="0"/>
          <w:bCs w:val="0"/>
          <w:i w:val="0"/>
          <w:iCs w:val="0"/>
          <w:sz w:val="20"/>
          <w:szCs w:val="20"/>
        </w:rPr>
        <w:t xml:space="preserve">Phytochemical and pharmacological importance of </w:t>
      </w:r>
      <w:proofErr w:type="spellStart"/>
      <w:r w:rsidRPr="00D37F26">
        <w:rPr>
          <w:rStyle w:val="Emphasis"/>
          <w:rFonts w:ascii="Arial" w:eastAsiaTheme="majorEastAsia" w:hAnsi="Arial" w:cs="Arial"/>
          <w:b w:val="0"/>
          <w:bCs w:val="0"/>
          <w:sz w:val="20"/>
          <w:szCs w:val="20"/>
        </w:rPr>
        <w:t>Morindacitrifolia</w:t>
      </w:r>
      <w:proofErr w:type="spellEnd"/>
      <w:r w:rsidRPr="00DB3DD9">
        <w:rPr>
          <w:rStyle w:val="Emphasis"/>
          <w:rFonts w:ascii="Arial" w:eastAsiaTheme="majorEastAsia" w:hAnsi="Arial" w:cs="Arial"/>
          <w:b w:val="0"/>
          <w:bCs w:val="0"/>
          <w:i w:val="0"/>
          <w:iCs w:val="0"/>
          <w:sz w:val="20"/>
          <w:szCs w:val="20"/>
        </w:rPr>
        <w:t>: A review</w:t>
      </w:r>
      <w:r w:rsidRPr="00DB3DD9">
        <w:rPr>
          <w:rFonts w:ascii="Arial" w:hAnsi="Arial" w:cs="Arial"/>
          <w:b/>
          <w:bCs/>
          <w:i/>
          <w:iCs/>
          <w:sz w:val="20"/>
          <w:szCs w:val="20"/>
        </w:rPr>
        <w:t xml:space="preserve">. </w:t>
      </w:r>
      <w:r w:rsidRPr="00DB3DD9">
        <w:rPr>
          <w:rStyle w:val="Emphasis"/>
          <w:rFonts w:ascii="Arial" w:eastAsiaTheme="majorEastAsia" w:hAnsi="Arial" w:cs="Arial"/>
          <w:b w:val="0"/>
          <w:bCs w:val="0"/>
          <w:i w:val="0"/>
          <w:iCs w:val="0"/>
          <w:sz w:val="20"/>
          <w:szCs w:val="20"/>
        </w:rPr>
        <w:t>Asian Pacific Journal of Tropical Biomedicine, 8</w:t>
      </w:r>
      <w:r w:rsidRPr="00DB3DD9">
        <w:rPr>
          <w:rFonts w:ascii="Arial" w:hAnsi="Arial" w:cs="Arial"/>
          <w:sz w:val="20"/>
          <w:szCs w:val="20"/>
        </w:rPr>
        <w:t xml:space="preserve">, 303 - 310. </w:t>
      </w:r>
      <w:r w:rsidR="000D528D">
        <w:rPr>
          <w:rFonts w:ascii="Arial" w:hAnsi="Arial" w:cs="Arial"/>
          <w:sz w:val="20"/>
          <w:szCs w:val="20"/>
        </w:rPr>
        <w:t xml:space="preserve"> </w:t>
      </w:r>
      <w:hyperlink r:id="rId36" w:history="1">
        <w:r w:rsidR="000D528D" w:rsidRPr="004E2635">
          <w:rPr>
            <w:rStyle w:val="Hyperlink"/>
            <w:rFonts w:ascii="Arial" w:hAnsi="Arial" w:cs="Arial"/>
            <w:sz w:val="20"/>
            <w:szCs w:val="20"/>
          </w:rPr>
          <w:t>https://doi.org/10.4103/JPBS.JPBS_126_18</w:t>
        </w:r>
      </w:hyperlink>
      <w:r w:rsidR="000D528D">
        <w:rPr>
          <w:rFonts w:ascii="Arial" w:hAnsi="Arial" w:cs="Arial"/>
          <w:sz w:val="20"/>
          <w:szCs w:val="20"/>
        </w:rPr>
        <w:t xml:space="preserve"> </w:t>
      </w:r>
    </w:p>
    <w:p w14:paraId="277E3945" w14:textId="77777777" w:rsidR="0080263B" w:rsidRDefault="00DB3DD9" w:rsidP="0080263B">
      <w:pPr>
        <w:pStyle w:val="NormalWeb"/>
        <w:numPr>
          <w:ilvl w:val="0"/>
          <w:numId w:val="2"/>
        </w:numPr>
        <w:jc w:val="both"/>
        <w:rPr>
          <w:rFonts w:ascii="Arial" w:hAnsi="Arial" w:cs="Arial"/>
          <w:sz w:val="20"/>
          <w:szCs w:val="20"/>
        </w:rPr>
      </w:pPr>
      <w:r w:rsidRPr="00DB3DD9">
        <w:rPr>
          <w:rFonts w:ascii="Arial" w:hAnsi="Arial" w:cs="Arial"/>
          <w:sz w:val="20"/>
          <w:szCs w:val="20"/>
        </w:rPr>
        <w:t xml:space="preserve">Sahoo, A. K., Sagar, R., &amp; </w:t>
      </w:r>
      <w:proofErr w:type="spellStart"/>
      <w:r w:rsidRPr="00DB3DD9">
        <w:rPr>
          <w:rFonts w:ascii="Arial" w:hAnsi="Arial" w:cs="Arial"/>
          <w:sz w:val="20"/>
          <w:szCs w:val="20"/>
        </w:rPr>
        <w:t>Sahu</w:t>
      </w:r>
      <w:proofErr w:type="spellEnd"/>
      <w:r w:rsidRPr="00DB3DD9">
        <w:rPr>
          <w:rFonts w:ascii="Arial" w:hAnsi="Arial" w:cs="Arial"/>
          <w:sz w:val="20"/>
          <w:szCs w:val="20"/>
        </w:rPr>
        <w:t xml:space="preserve">, P. K. (2016). </w:t>
      </w:r>
      <w:r w:rsidRPr="00DB3DD9">
        <w:rPr>
          <w:rStyle w:val="Emphasis"/>
          <w:rFonts w:ascii="Arial" w:eastAsiaTheme="majorEastAsia" w:hAnsi="Arial" w:cs="Arial"/>
          <w:b w:val="0"/>
          <w:bCs w:val="0"/>
          <w:i w:val="0"/>
          <w:iCs w:val="0"/>
          <w:sz w:val="20"/>
          <w:szCs w:val="20"/>
        </w:rPr>
        <w:t xml:space="preserve">Antioxidant and hepatoprotective activities of </w:t>
      </w:r>
      <w:proofErr w:type="spellStart"/>
      <w:r w:rsidRPr="00D37F26">
        <w:rPr>
          <w:rStyle w:val="Emphasis"/>
          <w:rFonts w:ascii="Arial" w:eastAsiaTheme="majorEastAsia" w:hAnsi="Arial" w:cs="Arial"/>
          <w:b w:val="0"/>
          <w:bCs w:val="0"/>
          <w:sz w:val="20"/>
          <w:szCs w:val="20"/>
        </w:rPr>
        <w:t>Morindacitrifolia</w:t>
      </w:r>
      <w:proofErr w:type="spellEnd"/>
      <w:r w:rsidRPr="00DB3DD9">
        <w:rPr>
          <w:rStyle w:val="Emphasis"/>
          <w:rFonts w:ascii="Arial" w:eastAsiaTheme="majorEastAsia" w:hAnsi="Arial" w:cs="Arial"/>
          <w:b w:val="0"/>
          <w:bCs w:val="0"/>
          <w:i w:val="0"/>
          <w:iCs w:val="0"/>
          <w:sz w:val="20"/>
          <w:szCs w:val="20"/>
        </w:rPr>
        <w:t xml:space="preserve"> extract against oxidative stress-induced damage in liver cells</w:t>
      </w:r>
      <w:r w:rsidRPr="00DB3DD9">
        <w:rPr>
          <w:rFonts w:ascii="Arial" w:hAnsi="Arial" w:cs="Arial"/>
          <w:b/>
          <w:bCs/>
          <w:i/>
          <w:iCs/>
          <w:sz w:val="20"/>
          <w:szCs w:val="20"/>
        </w:rPr>
        <w:t xml:space="preserve">. </w:t>
      </w:r>
      <w:r w:rsidRPr="00DB3DD9">
        <w:rPr>
          <w:rStyle w:val="Emphasis"/>
          <w:rFonts w:ascii="Arial" w:eastAsiaTheme="majorEastAsia" w:hAnsi="Arial" w:cs="Arial"/>
          <w:b w:val="0"/>
          <w:bCs w:val="0"/>
          <w:i w:val="0"/>
          <w:iCs w:val="0"/>
          <w:sz w:val="20"/>
          <w:szCs w:val="20"/>
        </w:rPr>
        <w:t>Asian Journal of Pharmaceutical and Clinical Research, 9</w:t>
      </w:r>
      <w:r w:rsidRPr="00DB3DD9">
        <w:rPr>
          <w:rFonts w:ascii="Arial" w:hAnsi="Arial" w:cs="Arial"/>
          <w:sz w:val="20"/>
          <w:szCs w:val="20"/>
        </w:rPr>
        <w:t xml:space="preserve">, 215 </w:t>
      </w:r>
      <w:r>
        <w:rPr>
          <w:rFonts w:ascii="Arial" w:hAnsi="Arial" w:cs="Arial"/>
          <w:sz w:val="20"/>
          <w:szCs w:val="20"/>
        </w:rPr>
        <w:t>–</w:t>
      </w:r>
      <w:r w:rsidRPr="00DB3DD9">
        <w:rPr>
          <w:rFonts w:ascii="Arial" w:hAnsi="Arial" w:cs="Arial"/>
          <w:sz w:val="20"/>
          <w:szCs w:val="20"/>
        </w:rPr>
        <w:t xml:space="preserve"> 22</w:t>
      </w:r>
      <w:r w:rsidR="0080263B">
        <w:rPr>
          <w:rFonts w:ascii="Arial" w:hAnsi="Arial" w:cs="Arial"/>
          <w:sz w:val="20"/>
          <w:szCs w:val="20"/>
        </w:rPr>
        <w:t>.</w:t>
      </w:r>
    </w:p>
    <w:p w14:paraId="3067CD1B" w14:textId="77777777" w:rsidR="005F3CF0" w:rsidRPr="005F3CF0" w:rsidRDefault="005F3CF0" w:rsidP="005F3CF0">
      <w:pPr>
        <w:pStyle w:val="NormalWeb"/>
        <w:numPr>
          <w:ilvl w:val="0"/>
          <w:numId w:val="2"/>
        </w:numPr>
        <w:jc w:val="both"/>
        <w:rPr>
          <w:rFonts w:ascii="Arial" w:hAnsi="Arial" w:cs="Arial"/>
          <w:sz w:val="20"/>
          <w:szCs w:val="20"/>
        </w:rPr>
      </w:pPr>
      <w:r w:rsidRPr="005F3CF0">
        <w:rPr>
          <w:rFonts w:ascii="Arial" w:hAnsi="Arial" w:cs="Arial"/>
          <w:sz w:val="20"/>
          <w:szCs w:val="20"/>
        </w:rPr>
        <w:t xml:space="preserve">Mohd-Nasir, H., Jamaludin, M., &amp; Abdullah, S. (2017). </w:t>
      </w:r>
      <w:r w:rsidRPr="00605392">
        <w:rPr>
          <w:rStyle w:val="Emphasis"/>
          <w:rFonts w:ascii="Arial" w:eastAsiaTheme="majorEastAsia" w:hAnsi="Arial" w:cs="Arial"/>
          <w:b w:val="0"/>
          <w:bCs w:val="0"/>
          <w:i w:val="0"/>
          <w:iCs w:val="0"/>
          <w:sz w:val="20"/>
          <w:szCs w:val="20"/>
        </w:rPr>
        <w:t xml:space="preserve">Phenolic compounds and their antioxidant activities in </w:t>
      </w:r>
      <w:proofErr w:type="spellStart"/>
      <w:r w:rsidRPr="00D37F26">
        <w:rPr>
          <w:rStyle w:val="Emphasis"/>
          <w:rFonts w:ascii="Arial" w:eastAsiaTheme="majorEastAsia" w:hAnsi="Arial" w:cs="Arial"/>
          <w:b w:val="0"/>
          <w:bCs w:val="0"/>
          <w:sz w:val="20"/>
          <w:szCs w:val="20"/>
        </w:rPr>
        <w:t>Morindacitrifolia</w:t>
      </w:r>
      <w:proofErr w:type="spellEnd"/>
      <w:r w:rsidRPr="00605392">
        <w:rPr>
          <w:rStyle w:val="Emphasis"/>
          <w:rFonts w:ascii="Arial" w:eastAsiaTheme="majorEastAsia" w:hAnsi="Arial" w:cs="Arial"/>
          <w:b w:val="0"/>
          <w:bCs w:val="0"/>
          <w:i w:val="0"/>
          <w:iCs w:val="0"/>
          <w:sz w:val="20"/>
          <w:szCs w:val="20"/>
        </w:rPr>
        <w:t xml:space="preserve"> extracts</w:t>
      </w:r>
      <w:r w:rsidRPr="00605392">
        <w:rPr>
          <w:rFonts w:ascii="Arial" w:hAnsi="Arial" w:cs="Arial"/>
          <w:b/>
          <w:bCs/>
          <w:i/>
          <w:iCs/>
          <w:sz w:val="20"/>
          <w:szCs w:val="20"/>
        </w:rPr>
        <w:t>.</w:t>
      </w:r>
      <w:r w:rsidRPr="005F3CF0">
        <w:rPr>
          <w:rFonts w:ascii="Arial" w:hAnsi="Arial" w:cs="Arial"/>
          <w:sz w:val="20"/>
          <w:szCs w:val="20"/>
        </w:rPr>
        <w:t xml:space="preserve"> Journal of Phytochemistry, 21, 189 - 198.</w:t>
      </w:r>
    </w:p>
    <w:p w14:paraId="193451C3" w14:textId="77777777" w:rsidR="00257B8B" w:rsidRPr="008607E6" w:rsidRDefault="008607E6" w:rsidP="008607E6">
      <w:pPr>
        <w:pStyle w:val="NormalWeb"/>
        <w:numPr>
          <w:ilvl w:val="0"/>
          <w:numId w:val="2"/>
        </w:numPr>
        <w:tabs>
          <w:tab w:val="left" w:pos="270"/>
        </w:tabs>
        <w:jc w:val="both"/>
        <w:rPr>
          <w:rFonts w:ascii="Arial" w:hAnsi="Arial" w:cs="Arial"/>
          <w:sz w:val="20"/>
          <w:szCs w:val="20"/>
        </w:rPr>
      </w:pPr>
      <w:r w:rsidRPr="008607E6">
        <w:rPr>
          <w:rFonts w:ascii="Arial" w:hAnsi="Arial" w:cs="Arial"/>
          <w:sz w:val="20"/>
          <w:szCs w:val="20"/>
        </w:rPr>
        <w:t xml:space="preserve">Gupta, R. K., Banerjee, A., Pathak, S., &amp; Sharma, C. (2013). </w:t>
      </w:r>
      <w:r w:rsidRPr="00605392">
        <w:rPr>
          <w:rStyle w:val="Emphasis"/>
          <w:rFonts w:ascii="Arial" w:eastAsiaTheme="majorEastAsia" w:hAnsi="Arial" w:cs="Arial"/>
          <w:b w:val="0"/>
          <w:bCs w:val="0"/>
          <w:i w:val="0"/>
          <w:iCs w:val="0"/>
          <w:sz w:val="20"/>
          <w:szCs w:val="20"/>
        </w:rPr>
        <w:t xml:space="preserve">Antibacterial activity of </w:t>
      </w:r>
      <w:proofErr w:type="spellStart"/>
      <w:r w:rsidRPr="00D37F26">
        <w:rPr>
          <w:rStyle w:val="Emphasis"/>
          <w:rFonts w:ascii="Arial" w:eastAsiaTheme="majorEastAsia" w:hAnsi="Arial" w:cs="Arial"/>
          <w:b w:val="0"/>
          <w:bCs w:val="0"/>
          <w:sz w:val="20"/>
          <w:szCs w:val="20"/>
        </w:rPr>
        <w:t>Morindacitrifolia</w:t>
      </w:r>
      <w:proofErr w:type="spellEnd"/>
      <w:r w:rsidRPr="00605392">
        <w:rPr>
          <w:rStyle w:val="Emphasis"/>
          <w:rFonts w:ascii="Arial" w:eastAsiaTheme="majorEastAsia" w:hAnsi="Arial" w:cs="Arial"/>
          <w:b w:val="0"/>
          <w:bCs w:val="0"/>
          <w:i w:val="0"/>
          <w:iCs w:val="0"/>
          <w:sz w:val="20"/>
          <w:szCs w:val="20"/>
        </w:rPr>
        <w:t xml:space="preserve"> (Noni) fruit juice against multidrug-resistant bacterial pathogens</w:t>
      </w:r>
      <w:r w:rsidRPr="00605392">
        <w:rPr>
          <w:rFonts w:ascii="Arial" w:hAnsi="Arial" w:cs="Arial"/>
          <w:b/>
          <w:bCs/>
          <w:i/>
          <w:iCs/>
          <w:sz w:val="20"/>
          <w:szCs w:val="20"/>
        </w:rPr>
        <w:t>.</w:t>
      </w:r>
      <w:r w:rsidRPr="008607E6">
        <w:rPr>
          <w:rFonts w:ascii="Arial" w:hAnsi="Arial" w:cs="Arial"/>
          <w:sz w:val="20"/>
          <w:szCs w:val="20"/>
        </w:rPr>
        <w:t xml:space="preserve"> Journal of Applied Pharmaceutical Science, </w:t>
      </w:r>
      <w:r w:rsidRPr="008607E6">
        <w:rPr>
          <w:rStyle w:val="Emphasis"/>
          <w:rFonts w:ascii="Arial" w:eastAsiaTheme="majorEastAsia" w:hAnsi="Arial" w:cs="Arial"/>
          <w:b w:val="0"/>
          <w:bCs w:val="0"/>
          <w:i w:val="0"/>
          <w:iCs w:val="0"/>
          <w:sz w:val="20"/>
          <w:szCs w:val="20"/>
        </w:rPr>
        <w:t>3</w:t>
      </w:r>
      <w:r w:rsidRPr="008607E6">
        <w:rPr>
          <w:rFonts w:ascii="Arial" w:hAnsi="Arial" w:cs="Arial"/>
          <w:i/>
          <w:iCs/>
          <w:sz w:val="20"/>
          <w:szCs w:val="20"/>
        </w:rPr>
        <w:t>,</w:t>
      </w:r>
      <w:r w:rsidRPr="008607E6">
        <w:rPr>
          <w:rFonts w:ascii="Arial" w:hAnsi="Arial" w:cs="Arial"/>
          <w:sz w:val="20"/>
          <w:szCs w:val="20"/>
        </w:rPr>
        <w:t xml:space="preserve"> 112 - 116.</w:t>
      </w:r>
    </w:p>
    <w:p w14:paraId="07316E39" w14:textId="77777777" w:rsidR="008607E6" w:rsidRPr="006715A5" w:rsidRDefault="008607E6" w:rsidP="008607E6">
      <w:pPr>
        <w:pStyle w:val="NormalWeb"/>
        <w:numPr>
          <w:ilvl w:val="0"/>
          <w:numId w:val="2"/>
        </w:numPr>
        <w:jc w:val="both"/>
        <w:rPr>
          <w:rFonts w:ascii="Arial" w:hAnsi="Arial" w:cs="Arial"/>
          <w:sz w:val="20"/>
          <w:szCs w:val="20"/>
        </w:rPr>
      </w:pPr>
      <w:r w:rsidRPr="006715A5">
        <w:rPr>
          <w:rFonts w:ascii="Arial" w:hAnsi="Arial" w:cs="Arial"/>
          <w:sz w:val="20"/>
          <w:szCs w:val="20"/>
        </w:rPr>
        <w:t>West, B. J., Deng, S., &amp; Jensen, C. J. (2018</w:t>
      </w:r>
      <w:r w:rsidRPr="00605392">
        <w:rPr>
          <w:rFonts w:ascii="Arial" w:hAnsi="Arial" w:cs="Arial"/>
          <w:i/>
          <w:iCs/>
          <w:sz w:val="20"/>
          <w:szCs w:val="20"/>
        </w:rPr>
        <w:t xml:space="preserve">). </w:t>
      </w:r>
      <w:r w:rsidRPr="00605392">
        <w:rPr>
          <w:rStyle w:val="Emphasis"/>
          <w:rFonts w:ascii="Arial" w:eastAsiaTheme="majorEastAsia" w:hAnsi="Arial" w:cs="Arial"/>
          <w:b w:val="0"/>
          <w:bCs w:val="0"/>
          <w:i w:val="0"/>
          <w:iCs w:val="0"/>
          <w:sz w:val="20"/>
          <w:szCs w:val="20"/>
        </w:rPr>
        <w:t xml:space="preserve">A review of the bioactive compounds in </w:t>
      </w:r>
      <w:proofErr w:type="spellStart"/>
      <w:r w:rsidRPr="00D37F26">
        <w:rPr>
          <w:rStyle w:val="Emphasis"/>
          <w:rFonts w:ascii="Arial" w:eastAsiaTheme="majorEastAsia" w:hAnsi="Arial" w:cs="Arial"/>
          <w:b w:val="0"/>
          <w:bCs w:val="0"/>
          <w:sz w:val="20"/>
          <w:szCs w:val="20"/>
        </w:rPr>
        <w:t>Morindacitrifolia</w:t>
      </w:r>
      <w:r w:rsidRPr="00605392">
        <w:rPr>
          <w:rFonts w:ascii="Arial" w:hAnsi="Arial" w:cs="Arial"/>
          <w:b/>
          <w:bCs/>
          <w:i/>
          <w:iCs/>
          <w:sz w:val="20"/>
          <w:szCs w:val="20"/>
        </w:rPr>
        <w:t>.</w:t>
      </w:r>
      <w:r w:rsidRPr="006715A5">
        <w:rPr>
          <w:rFonts w:ascii="Arial" w:hAnsi="Arial" w:cs="Arial"/>
          <w:sz w:val="20"/>
          <w:szCs w:val="20"/>
        </w:rPr>
        <w:t>Journal</w:t>
      </w:r>
      <w:proofErr w:type="spellEnd"/>
      <w:r w:rsidRPr="006715A5">
        <w:rPr>
          <w:rFonts w:ascii="Arial" w:hAnsi="Arial" w:cs="Arial"/>
          <w:sz w:val="20"/>
          <w:szCs w:val="20"/>
        </w:rPr>
        <w:t xml:space="preserve"> of Functional Foods, 12, 123 - 135. </w:t>
      </w:r>
    </w:p>
    <w:p w14:paraId="0E5E4605" w14:textId="77777777" w:rsidR="006D1D62" w:rsidRDefault="0080263B" w:rsidP="006D1D62">
      <w:pPr>
        <w:pStyle w:val="NormalWeb"/>
        <w:numPr>
          <w:ilvl w:val="0"/>
          <w:numId w:val="2"/>
        </w:numPr>
        <w:jc w:val="both"/>
        <w:rPr>
          <w:rFonts w:ascii="Arial" w:hAnsi="Arial" w:cs="Arial"/>
          <w:sz w:val="20"/>
          <w:szCs w:val="20"/>
        </w:rPr>
      </w:pPr>
      <w:r w:rsidRPr="0080263B">
        <w:rPr>
          <w:rFonts w:ascii="Arial" w:hAnsi="Arial" w:cs="Arial"/>
          <w:sz w:val="20"/>
          <w:szCs w:val="20"/>
        </w:rPr>
        <w:t xml:space="preserve">Sang, S., Wang, J., &amp; Liu, L. (2018). </w:t>
      </w:r>
      <w:r w:rsidRPr="00605392">
        <w:rPr>
          <w:rStyle w:val="Emphasis"/>
          <w:rFonts w:ascii="Arial" w:eastAsiaTheme="majorEastAsia" w:hAnsi="Arial" w:cs="Arial"/>
          <w:b w:val="0"/>
          <w:bCs w:val="0"/>
          <w:i w:val="0"/>
          <w:iCs w:val="0"/>
          <w:sz w:val="20"/>
          <w:szCs w:val="20"/>
        </w:rPr>
        <w:t xml:space="preserve">Iridoids in </w:t>
      </w:r>
      <w:proofErr w:type="spellStart"/>
      <w:r w:rsidRPr="00D37F26">
        <w:rPr>
          <w:rStyle w:val="Emphasis"/>
          <w:rFonts w:ascii="Arial" w:eastAsiaTheme="majorEastAsia" w:hAnsi="Arial" w:cs="Arial"/>
          <w:b w:val="0"/>
          <w:bCs w:val="0"/>
          <w:sz w:val="20"/>
          <w:szCs w:val="20"/>
        </w:rPr>
        <w:t>Morindacitrifolia</w:t>
      </w:r>
      <w:proofErr w:type="spellEnd"/>
      <w:r w:rsidRPr="00605392">
        <w:rPr>
          <w:rStyle w:val="Emphasis"/>
          <w:rFonts w:ascii="Arial" w:eastAsiaTheme="majorEastAsia" w:hAnsi="Arial" w:cs="Arial"/>
          <w:b w:val="0"/>
          <w:bCs w:val="0"/>
          <w:i w:val="0"/>
          <w:iCs w:val="0"/>
          <w:sz w:val="20"/>
          <w:szCs w:val="20"/>
        </w:rPr>
        <w:t xml:space="preserve"> and their pharmacological properties: A review</w:t>
      </w:r>
      <w:r w:rsidRPr="00605392">
        <w:rPr>
          <w:rFonts w:ascii="Arial" w:hAnsi="Arial" w:cs="Arial"/>
          <w:b/>
          <w:bCs/>
          <w:i/>
          <w:iCs/>
          <w:sz w:val="20"/>
          <w:szCs w:val="20"/>
        </w:rPr>
        <w:t>.</w:t>
      </w:r>
      <w:r w:rsidRPr="0080263B">
        <w:rPr>
          <w:rFonts w:ascii="Arial" w:hAnsi="Arial" w:cs="Arial"/>
          <w:sz w:val="20"/>
          <w:szCs w:val="20"/>
        </w:rPr>
        <w:t xml:space="preserve"> Journal of Ethnopharmacology, 214, 92 - 104.</w:t>
      </w:r>
    </w:p>
    <w:p w14:paraId="51B0E1F7" w14:textId="77777777" w:rsidR="00B675E6" w:rsidRDefault="006D1D62" w:rsidP="00B675E6">
      <w:pPr>
        <w:pStyle w:val="NormalWeb"/>
        <w:numPr>
          <w:ilvl w:val="0"/>
          <w:numId w:val="2"/>
        </w:numPr>
        <w:jc w:val="both"/>
        <w:rPr>
          <w:rFonts w:ascii="Arial" w:hAnsi="Arial" w:cs="Arial"/>
          <w:sz w:val="16"/>
          <w:szCs w:val="16"/>
        </w:rPr>
      </w:pPr>
      <w:r w:rsidRPr="006D1D62">
        <w:rPr>
          <w:rFonts w:ascii="Arial" w:hAnsi="Arial" w:cs="Arial"/>
          <w:sz w:val="20"/>
          <w:szCs w:val="20"/>
        </w:rPr>
        <w:t>Nayak, S., Basak, U., &amp; Ray, B. (2011</w:t>
      </w:r>
      <w:r w:rsidRPr="00605392">
        <w:rPr>
          <w:rFonts w:ascii="Arial" w:hAnsi="Arial" w:cs="Arial"/>
          <w:i/>
          <w:iCs/>
          <w:sz w:val="20"/>
          <w:szCs w:val="20"/>
        </w:rPr>
        <w:t xml:space="preserve">). </w:t>
      </w:r>
      <w:r w:rsidRPr="00605392">
        <w:rPr>
          <w:rStyle w:val="Emphasis"/>
          <w:rFonts w:ascii="Arial" w:eastAsiaTheme="majorEastAsia" w:hAnsi="Arial" w:cs="Arial"/>
          <w:b w:val="0"/>
          <w:bCs w:val="0"/>
          <w:i w:val="0"/>
          <w:iCs w:val="0"/>
          <w:sz w:val="20"/>
          <w:szCs w:val="20"/>
        </w:rPr>
        <w:t xml:space="preserve">Therapeutic potential of bioactive compounds in </w:t>
      </w:r>
      <w:proofErr w:type="spellStart"/>
      <w:r w:rsidRPr="00D37F26">
        <w:rPr>
          <w:rStyle w:val="Emphasis"/>
          <w:rFonts w:ascii="Arial" w:eastAsiaTheme="majorEastAsia" w:hAnsi="Arial" w:cs="Arial"/>
          <w:b w:val="0"/>
          <w:bCs w:val="0"/>
          <w:sz w:val="20"/>
          <w:szCs w:val="20"/>
        </w:rPr>
        <w:t>Morindacitrifolia</w:t>
      </w:r>
      <w:proofErr w:type="spellEnd"/>
      <w:r w:rsidRPr="00605392">
        <w:rPr>
          <w:rStyle w:val="Emphasis"/>
          <w:rFonts w:ascii="Arial" w:eastAsiaTheme="majorEastAsia" w:hAnsi="Arial" w:cs="Arial"/>
          <w:b w:val="0"/>
          <w:bCs w:val="0"/>
          <w:i w:val="0"/>
          <w:iCs w:val="0"/>
          <w:sz w:val="20"/>
          <w:szCs w:val="20"/>
        </w:rPr>
        <w:t xml:space="preserve">: An ethnopharmacological </w:t>
      </w:r>
      <w:proofErr w:type="spellStart"/>
      <w:proofErr w:type="gramStart"/>
      <w:r w:rsidRPr="00605392">
        <w:rPr>
          <w:rStyle w:val="Emphasis"/>
          <w:rFonts w:ascii="Arial" w:eastAsiaTheme="majorEastAsia" w:hAnsi="Arial" w:cs="Arial"/>
          <w:b w:val="0"/>
          <w:bCs w:val="0"/>
          <w:i w:val="0"/>
          <w:iCs w:val="0"/>
          <w:sz w:val="20"/>
          <w:szCs w:val="20"/>
        </w:rPr>
        <w:t>perspective</w:t>
      </w:r>
      <w:r w:rsidRPr="00605392">
        <w:rPr>
          <w:rFonts w:ascii="Arial" w:hAnsi="Arial" w:cs="Arial"/>
          <w:b/>
          <w:bCs/>
          <w:i/>
          <w:iCs/>
          <w:sz w:val="20"/>
          <w:szCs w:val="20"/>
        </w:rPr>
        <w:t>.</w:t>
      </w:r>
      <w:r w:rsidRPr="00605392">
        <w:rPr>
          <w:rFonts w:ascii="Arial" w:hAnsi="Arial" w:cs="Arial"/>
          <w:sz w:val="20"/>
          <w:szCs w:val="20"/>
        </w:rPr>
        <w:t>Journal</w:t>
      </w:r>
      <w:proofErr w:type="spellEnd"/>
      <w:proofErr w:type="gramEnd"/>
      <w:r w:rsidRPr="00605392">
        <w:rPr>
          <w:rFonts w:ascii="Arial" w:hAnsi="Arial" w:cs="Arial"/>
          <w:sz w:val="20"/>
          <w:szCs w:val="20"/>
        </w:rPr>
        <w:t xml:space="preserve"> of Medicinal Plants Research,</w:t>
      </w:r>
      <w:r w:rsidRPr="006D1D62">
        <w:rPr>
          <w:rFonts w:ascii="Arial" w:hAnsi="Arial" w:cs="Arial"/>
          <w:sz w:val="20"/>
          <w:szCs w:val="20"/>
        </w:rPr>
        <w:t xml:space="preserve"> 5, 251 - 259.</w:t>
      </w:r>
    </w:p>
    <w:p w14:paraId="09D9AAC2" w14:textId="3B3DFA91" w:rsidR="000D3CC0" w:rsidRDefault="00B675E6" w:rsidP="000D3CC0">
      <w:pPr>
        <w:pStyle w:val="NormalWeb"/>
        <w:numPr>
          <w:ilvl w:val="0"/>
          <w:numId w:val="2"/>
        </w:numPr>
        <w:jc w:val="both"/>
        <w:rPr>
          <w:rFonts w:ascii="Arial" w:hAnsi="Arial" w:cs="Arial"/>
          <w:sz w:val="12"/>
          <w:szCs w:val="12"/>
        </w:rPr>
      </w:pPr>
      <w:proofErr w:type="spellStart"/>
      <w:r w:rsidRPr="00B675E6">
        <w:rPr>
          <w:rFonts w:ascii="Arial" w:hAnsi="Arial" w:cs="Arial"/>
          <w:sz w:val="20"/>
          <w:szCs w:val="20"/>
        </w:rPr>
        <w:t>Potterat</w:t>
      </w:r>
      <w:proofErr w:type="spellEnd"/>
      <w:r w:rsidRPr="00B675E6">
        <w:rPr>
          <w:rFonts w:ascii="Arial" w:hAnsi="Arial" w:cs="Arial"/>
          <w:sz w:val="20"/>
          <w:szCs w:val="20"/>
        </w:rPr>
        <w:t xml:space="preserve">, O., &amp; Hamburger, M. (2007). </w:t>
      </w:r>
      <w:proofErr w:type="spellStart"/>
      <w:r w:rsidRPr="00B675E6">
        <w:rPr>
          <w:rFonts w:ascii="Arial" w:hAnsi="Arial" w:cs="Arial"/>
          <w:i/>
          <w:iCs/>
          <w:sz w:val="20"/>
          <w:szCs w:val="20"/>
        </w:rPr>
        <w:t>Morindacitrifolia</w:t>
      </w:r>
      <w:proofErr w:type="spellEnd"/>
      <w:r w:rsidRPr="00B675E6">
        <w:rPr>
          <w:rFonts w:ascii="Arial" w:hAnsi="Arial" w:cs="Arial"/>
          <w:sz w:val="20"/>
          <w:szCs w:val="20"/>
        </w:rPr>
        <w:t xml:space="preserve"> (Noni) fruit Phytochemistry, pharmacology, safety. </w:t>
      </w:r>
      <w:r w:rsidRPr="00B675E6">
        <w:rPr>
          <w:rStyle w:val="Emphasis"/>
          <w:rFonts w:ascii="Arial" w:eastAsiaTheme="majorEastAsia" w:hAnsi="Arial" w:cs="Arial"/>
          <w:b w:val="0"/>
          <w:bCs w:val="0"/>
          <w:sz w:val="20"/>
          <w:szCs w:val="20"/>
        </w:rPr>
        <w:t>Planta Medica</w:t>
      </w:r>
      <w:r w:rsidRPr="00B675E6">
        <w:rPr>
          <w:rFonts w:ascii="Arial" w:hAnsi="Arial" w:cs="Arial"/>
          <w:b/>
          <w:bCs/>
          <w:sz w:val="20"/>
          <w:szCs w:val="20"/>
        </w:rPr>
        <w:t xml:space="preserve">, </w:t>
      </w:r>
      <w:r w:rsidRPr="00B675E6">
        <w:rPr>
          <w:rStyle w:val="Emphasis"/>
          <w:rFonts w:ascii="Arial" w:eastAsiaTheme="majorEastAsia" w:hAnsi="Arial" w:cs="Arial"/>
          <w:b w:val="0"/>
          <w:bCs w:val="0"/>
          <w:i w:val="0"/>
          <w:iCs w:val="0"/>
          <w:sz w:val="20"/>
          <w:szCs w:val="20"/>
        </w:rPr>
        <w:t>73</w:t>
      </w:r>
      <w:r w:rsidRPr="00B675E6">
        <w:rPr>
          <w:rFonts w:ascii="Arial" w:hAnsi="Arial" w:cs="Arial"/>
          <w:i/>
          <w:iCs/>
          <w:sz w:val="20"/>
          <w:szCs w:val="20"/>
        </w:rPr>
        <w:t>,</w:t>
      </w:r>
      <w:r w:rsidRPr="00B675E6">
        <w:rPr>
          <w:rFonts w:ascii="Arial" w:hAnsi="Arial" w:cs="Arial"/>
          <w:sz w:val="20"/>
          <w:szCs w:val="20"/>
        </w:rPr>
        <w:t xml:space="preserve"> 191 - 199. </w:t>
      </w:r>
      <w:r w:rsidR="000D528D">
        <w:rPr>
          <w:rFonts w:ascii="Arial" w:hAnsi="Arial" w:cs="Arial"/>
          <w:sz w:val="20"/>
          <w:szCs w:val="20"/>
        </w:rPr>
        <w:t xml:space="preserve"> </w:t>
      </w:r>
      <w:hyperlink r:id="rId37" w:history="1">
        <w:r w:rsidR="000D528D" w:rsidRPr="004E2635">
          <w:rPr>
            <w:rStyle w:val="Hyperlink"/>
            <w:rFonts w:ascii="Arial" w:hAnsi="Arial" w:cs="Arial"/>
            <w:sz w:val="20"/>
            <w:szCs w:val="20"/>
          </w:rPr>
          <w:t>https://doi.org/10.1055/s-2007-967115</w:t>
        </w:r>
      </w:hyperlink>
      <w:r w:rsidR="000D528D">
        <w:rPr>
          <w:rFonts w:ascii="Arial" w:hAnsi="Arial" w:cs="Arial"/>
          <w:sz w:val="20"/>
          <w:szCs w:val="20"/>
        </w:rPr>
        <w:t xml:space="preserve"> </w:t>
      </w:r>
    </w:p>
    <w:p w14:paraId="7E7888C6" w14:textId="692801B1" w:rsidR="00BC4E7F" w:rsidRDefault="000D3CC0" w:rsidP="00BC4E7F">
      <w:pPr>
        <w:pStyle w:val="NormalWeb"/>
        <w:numPr>
          <w:ilvl w:val="0"/>
          <w:numId w:val="2"/>
        </w:numPr>
        <w:jc w:val="both"/>
        <w:rPr>
          <w:rFonts w:ascii="Arial" w:hAnsi="Arial" w:cs="Arial"/>
          <w:sz w:val="8"/>
          <w:szCs w:val="8"/>
        </w:rPr>
      </w:pPr>
      <w:r w:rsidRPr="00B32F4C">
        <w:rPr>
          <w:rFonts w:ascii="Arial" w:hAnsi="Arial" w:cs="Arial"/>
          <w:sz w:val="20"/>
          <w:szCs w:val="20"/>
        </w:rPr>
        <w:t xml:space="preserve">Kamiya, K., Tanaka, Y., Endang, H., Umar, M., &amp; Satake, T. (2004). Chemical constituents of </w:t>
      </w:r>
      <w:proofErr w:type="spellStart"/>
      <w:r w:rsidRPr="00B32F4C">
        <w:rPr>
          <w:rStyle w:val="Emphasis"/>
          <w:rFonts w:ascii="Arial" w:eastAsiaTheme="majorEastAsia" w:hAnsi="Arial" w:cs="Arial"/>
          <w:b w:val="0"/>
          <w:bCs w:val="0"/>
          <w:sz w:val="20"/>
          <w:szCs w:val="20"/>
        </w:rPr>
        <w:t>Morindacitrifolia</w:t>
      </w:r>
      <w:proofErr w:type="spellEnd"/>
      <w:r w:rsidRPr="00B32F4C">
        <w:rPr>
          <w:rFonts w:ascii="Arial" w:hAnsi="Arial" w:cs="Arial"/>
          <w:sz w:val="20"/>
          <w:szCs w:val="20"/>
        </w:rPr>
        <w:t xml:space="preserve"> fruits inhibit copper-induced low-density lipoprotein oxidation. </w:t>
      </w:r>
      <w:r w:rsidRPr="00B32F4C">
        <w:rPr>
          <w:rStyle w:val="Emphasis"/>
          <w:rFonts w:ascii="Arial" w:eastAsiaTheme="majorEastAsia" w:hAnsi="Arial" w:cs="Arial"/>
          <w:b w:val="0"/>
          <w:bCs w:val="0"/>
          <w:sz w:val="20"/>
          <w:szCs w:val="20"/>
        </w:rPr>
        <w:t>Journal of Agricultural and Food Chemistry</w:t>
      </w:r>
      <w:r w:rsidRPr="00B32F4C">
        <w:rPr>
          <w:rFonts w:ascii="Arial" w:hAnsi="Arial" w:cs="Arial"/>
          <w:b/>
          <w:bCs/>
          <w:sz w:val="20"/>
          <w:szCs w:val="20"/>
        </w:rPr>
        <w:t xml:space="preserve">, </w:t>
      </w:r>
      <w:r w:rsidRPr="00B32F4C">
        <w:rPr>
          <w:rStyle w:val="Emphasis"/>
          <w:rFonts w:ascii="Arial" w:eastAsiaTheme="majorEastAsia" w:hAnsi="Arial" w:cs="Arial"/>
          <w:b w:val="0"/>
          <w:bCs w:val="0"/>
          <w:i w:val="0"/>
          <w:iCs w:val="0"/>
          <w:sz w:val="20"/>
          <w:szCs w:val="20"/>
        </w:rPr>
        <w:t>52</w:t>
      </w:r>
      <w:r w:rsidRPr="00B32F4C">
        <w:rPr>
          <w:rFonts w:ascii="Arial" w:hAnsi="Arial" w:cs="Arial"/>
          <w:i/>
          <w:iCs/>
          <w:sz w:val="20"/>
          <w:szCs w:val="20"/>
        </w:rPr>
        <w:t>,</w:t>
      </w:r>
      <w:r w:rsidRPr="00B32F4C">
        <w:rPr>
          <w:rFonts w:ascii="Arial" w:hAnsi="Arial" w:cs="Arial"/>
          <w:sz w:val="20"/>
          <w:szCs w:val="20"/>
        </w:rPr>
        <w:t xml:space="preserve"> 5843 - 5848. </w:t>
      </w:r>
      <w:r w:rsidR="000D528D">
        <w:rPr>
          <w:rFonts w:ascii="Arial" w:hAnsi="Arial" w:cs="Arial"/>
          <w:sz w:val="20"/>
          <w:szCs w:val="20"/>
        </w:rPr>
        <w:t xml:space="preserve"> </w:t>
      </w:r>
      <w:hyperlink r:id="rId38" w:history="1">
        <w:r w:rsidR="000D528D" w:rsidRPr="004E2635">
          <w:rPr>
            <w:rStyle w:val="Hyperlink"/>
            <w:rFonts w:ascii="Arial" w:hAnsi="Arial" w:cs="Arial"/>
            <w:sz w:val="20"/>
            <w:szCs w:val="20"/>
          </w:rPr>
          <w:t>https://doi.org/10.1021/jf040114k</w:t>
        </w:r>
      </w:hyperlink>
      <w:r w:rsidR="000D528D">
        <w:rPr>
          <w:rFonts w:ascii="Arial" w:hAnsi="Arial" w:cs="Arial"/>
          <w:sz w:val="20"/>
          <w:szCs w:val="20"/>
        </w:rPr>
        <w:t xml:space="preserve"> </w:t>
      </w:r>
    </w:p>
    <w:p w14:paraId="71240BE3" w14:textId="77777777" w:rsidR="0057038A" w:rsidRDefault="00BC4E7F" w:rsidP="0057038A">
      <w:pPr>
        <w:pStyle w:val="NormalWeb"/>
        <w:numPr>
          <w:ilvl w:val="0"/>
          <w:numId w:val="2"/>
        </w:numPr>
        <w:jc w:val="both"/>
        <w:rPr>
          <w:rFonts w:ascii="Arial" w:hAnsi="Arial" w:cs="Arial"/>
          <w:sz w:val="4"/>
          <w:szCs w:val="4"/>
        </w:rPr>
      </w:pPr>
      <w:r w:rsidRPr="00BC4E7F">
        <w:rPr>
          <w:rFonts w:ascii="Arial" w:hAnsi="Arial" w:cs="Arial"/>
          <w:sz w:val="20"/>
          <w:szCs w:val="20"/>
        </w:rPr>
        <w:t xml:space="preserve">Deng, S., West, B. J., &amp; Jensen, C. J. (2010). </w:t>
      </w:r>
      <w:r w:rsidRPr="00BC4E7F">
        <w:rPr>
          <w:rStyle w:val="Emphasis"/>
          <w:rFonts w:ascii="Arial" w:eastAsiaTheme="majorEastAsia" w:hAnsi="Arial" w:cs="Arial"/>
          <w:b w:val="0"/>
          <w:bCs w:val="0"/>
          <w:sz w:val="20"/>
          <w:szCs w:val="20"/>
        </w:rPr>
        <w:t xml:space="preserve">A systematic review of </w:t>
      </w:r>
      <w:proofErr w:type="spellStart"/>
      <w:r w:rsidRPr="00BC4E7F">
        <w:rPr>
          <w:rStyle w:val="Emphasis"/>
          <w:rFonts w:ascii="Arial" w:eastAsiaTheme="majorEastAsia" w:hAnsi="Arial" w:cs="Arial"/>
          <w:b w:val="0"/>
          <w:bCs w:val="0"/>
          <w:sz w:val="20"/>
          <w:szCs w:val="20"/>
        </w:rPr>
        <w:t>Morindacitrifolia</w:t>
      </w:r>
      <w:proofErr w:type="spellEnd"/>
      <w:r w:rsidRPr="00BC4E7F">
        <w:rPr>
          <w:rStyle w:val="Emphasis"/>
          <w:rFonts w:ascii="Arial" w:eastAsiaTheme="majorEastAsia" w:hAnsi="Arial" w:cs="Arial"/>
          <w:b w:val="0"/>
          <w:bCs w:val="0"/>
          <w:sz w:val="20"/>
          <w:szCs w:val="20"/>
        </w:rPr>
        <w:t xml:space="preserve"> (Noni) research: Health benefits and future directions</w:t>
      </w:r>
      <w:r w:rsidRPr="00BC4E7F">
        <w:rPr>
          <w:rFonts w:ascii="Arial" w:hAnsi="Arial" w:cs="Arial"/>
          <w:sz w:val="20"/>
          <w:szCs w:val="20"/>
        </w:rPr>
        <w:t>. Phytomedicine, 17, 525 - 531.</w:t>
      </w:r>
    </w:p>
    <w:p w14:paraId="0EE8FC54" w14:textId="77777777" w:rsidR="0057038A" w:rsidRPr="0057038A" w:rsidRDefault="00567B17" w:rsidP="0057038A">
      <w:pPr>
        <w:pStyle w:val="NormalWeb"/>
        <w:numPr>
          <w:ilvl w:val="0"/>
          <w:numId w:val="2"/>
        </w:numPr>
        <w:jc w:val="both"/>
        <w:rPr>
          <w:rFonts w:ascii="Arial" w:hAnsi="Arial" w:cs="Arial"/>
          <w:sz w:val="2"/>
          <w:szCs w:val="2"/>
        </w:rPr>
      </w:pPr>
      <w:r w:rsidRPr="0057038A">
        <w:rPr>
          <w:rFonts w:ascii="Arial" w:hAnsi="Arial" w:cs="Arial"/>
          <w:sz w:val="20"/>
          <w:szCs w:val="20"/>
        </w:rPr>
        <w:t xml:space="preserve">Furusawa, E., </w:t>
      </w:r>
      <w:proofErr w:type="spellStart"/>
      <w:r w:rsidRPr="0057038A">
        <w:rPr>
          <w:rFonts w:ascii="Arial" w:hAnsi="Arial" w:cs="Arial"/>
          <w:sz w:val="20"/>
          <w:szCs w:val="20"/>
        </w:rPr>
        <w:t>Hirazumi</w:t>
      </w:r>
      <w:proofErr w:type="spellEnd"/>
      <w:r w:rsidRPr="0057038A">
        <w:rPr>
          <w:rFonts w:ascii="Arial" w:hAnsi="Arial" w:cs="Arial"/>
          <w:sz w:val="20"/>
          <w:szCs w:val="20"/>
        </w:rPr>
        <w:t xml:space="preserve">, A., &amp; Story, S. (2003). </w:t>
      </w:r>
      <w:r w:rsidRPr="0057038A">
        <w:rPr>
          <w:rStyle w:val="Emphasis"/>
          <w:rFonts w:ascii="Arial" w:eastAsiaTheme="majorEastAsia" w:hAnsi="Arial" w:cs="Arial"/>
          <w:b w:val="0"/>
          <w:bCs w:val="0"/>
          <w:sz w:val="20"/>
          <w:szCs w:val="20"/>
        </w:rPr>
        <w:t>Noni (</w:t>
      </w:r>
      <w:proofErr w:type="spellStart"/>
      <w:r w:rsidRPr="0057038A">
        <w:rPr>
          <w:rStyle w:val="Emphasis"/>
          <w:rFonts w:ascii="Arial" w:eastAsiaTheme="majorEastAsia" w:hAnsi="Arial" w:cs="Arial"/>
          <w:b w:val="0"/>
          <w:bCs w:val="0"/>
          <w:sz w:val="20"/>
          <w:szCs w:val="20"/>
        </w:rPr>
        <w:t>Morindacitrifolia</w:t>
      </w:r>
      <w:proofErr w:type="spellEnd"/>
      <w:r w:rsidRPr="0057038A">
        <w:rPr>
          <w:rStyle w:val="Emphasis"/>
          <w:rFonts w:ascii="Arial" w:eastAsiaTheme="majorEastAsia" w:hAnsi="Arial" w:cs="Arial"/>
          <w:b w:val="0"/>
          <w:bCs w:val="0"/>
          <w:sz w:val="20"/>
          <w:szCs w:val="20"/>
        </w:rPr>
        <w:t xml:space="preserve"> L.): Anti-cancer effects and immune modulation properties</w:t>
      </w:r>
      <w:r w:rsidRPr="0057038A">
        <w:rPr>
          <w:rFonts w:ascii="Arial" w:hAnsi="Arial" w:cs="Arial"/>
          <w:b/>
          <w:bCs/>
          <w:sz w:val="20"/>
          <w:szCs w:val="20"/>
        </w:rPr>
        <w:t>.</w:t>
      </w:r>
      <w:r w:rsidRPr="0057038A">
        <w:rPr>
          <w:rFonts w:ascii="Arial" w:hAnsi="Arial" w:cs="Arial"/>
          <w:sz w:val="20"/>
          <w:szCs w:val="20"/>
        </w:rPr>
        <w:t xml:space="preserve"> Journal of Ethnopharmacology, 78, 43 - 47.</w:t>
      </w:r>
    </w:p>
    <w:p w14:paraId="1B24D58B" w14:textId="317BDC64" w:rsidR="0057038A" w:rsidRPr="0057038A" w:rsidRDefault="004412F5" w:rsidP="0057038A">
      <w:pPr>
        <w:pStyle w:val="NormalWeb"/>
        <w:numPr>
          <w:ilvl w:val="0"/>
          <w:numId w:val="2"/>
        </w:numPr>
        <w:jc w:val="both"/>
        <w:rPr>
          <w:rFonts w:ascii="Arial" w:hAnsi="Arial" w:cs="Arial"/>
          <w:sz w:val="2"/>
          <w:szCs w:val="2"/>
        </w:rPr>
      </w:pPr>
      <w:r w:rsidRPr="0057038A">
        <w:rPr>
          <w:rFonts w:ascii="Arial" w:hAnsi="Arial" w:cs="Arial"/>
          <w:sz w:val="20"/>
          <w:szCs w:val="20"/>
        </w:rPr>
        <w:t xml:space="preserve">Gupta, R. K., Patel, A. K., Shah, N., Chaudhary, A. K., Jha, U. K., Yadav, U. C., &amp; Mishra, M. (2018). Oxidative stress and antioxidants in disease and cancer: A review. </w:t>
      </w:r>
      <w:r w:rsidRPr="0057038A">
        <w:rPr>
          <w:rStyle w:val="Emphasis"/>
          <w:rFonts w:ascii="Arial" w:eastAsiaTheme="majorEastAsia" w:hAnsi="Arial" w:cs="Arial"/>
          <w:b w:val="0"/>
          <w:bCs w:val="0"/>
          <w:sz w:val="20"/>
          <w:szCs w:val="20"/>
        </w:rPr>
        <w:t>Asian Pacific Journal of Cancer Prevention</w:t>
      </w:r>
      <w:r w:rsidRPr="0057038A">
        <w:rPr>
          <w:rFonts w:ascii="Arial" w:hAnsi="Arial" w:cs="Arial"/>
          <w:b/>
          <w:bCs/>
          <w:sz w:val="20"/>
          <w:szCs w:val="20"/>
        </w:rPr>
        <w:t xml:space="preserve">, </w:t>
      </w:r>
      <w:r w:rsidRPr="0057038A">
        <w:rPr>
          <w:rStyle w:val="Emphasis"/>
          <w:rFonts w:ascii="Arial" w:eastAsiaTheme="majorEastAsia" w:hAnsi="Arial" w:cs="Arial"/>
          <w:b w:val="0"/>
          <w:bCs w:val="0"/>
          <w:i w:val="0"/>
          <w:iCs w:val="0"/>
          <w:sz w:val="20"/>
          <w:szCs w:val="20"/>
        </w:rPr>
        <w:t>15</w:t>
      </w:r>
      <w:r w:rsidRPr="0057038A">
        <w:rPr>
          <w:rFonts w:ascii="Arial" w:hAnsi="Arial" w:cs="Arial"/>
          <w:b/>
          <w:bCs/>
          <w:i/>
          <w:iCs/>
          <w:sz w:val="20"/>
          <w:szCs w:val="20"/>
        </w:rPr>
        <w:t>,</w:t>
      </w:r>
      <w:r w:rsidRPr="0057038A">
        <w:rPr>
          <w:rFonts w:ascii="Arial" w:hAnsi="Arial" w:cs="Arial"/>
          <w:sz w:val="20"/>
          <w:szCs w:val="20"/>
        </w:rPr>
        <w:t xml:space="preserve"> 4405 - 4412. </w:t>
      </w:r>
      <w:r w:rsidR="000D528D">
        <w:rPr>
          <w:rFonts w:ascii="Arial" w:hAnsi="Arial" w:cs="Arial"/>
          <w:sz w:val="20"/>
          <w:szCs w:val="20"/>
        </w:rPr>
        <w:t xml:space="preserve"> </w:t>
      </w:r>
      <w:hyperlink r:id="rId39" w:history="1">
        <w:r w:rsidR="000D528D" w:rsidRPr="004E2635">
          <w:rPr>
            <w:rStyle w:val="Hyperlink"/>
            <w:rFonts w:ascii="Arial" w:hAnsi="Arial" w:cs="Arial"/>
            <w:sz w:val="20"/>
            <w:szCs w:val="20"/>
          </w:rPr>
          <w:t>https://doi.org/10.7314/apjcp.2014.15.11.4405</w:t>
        </w:r>
      </w:hyperlink>
      <w:r w:rsidR="000D528D">
        <w:rPr>
          <w:rFonts w:ascii="Arial" w:hAnsi="Arial" w:cs="Arial"/>
          <w:sz w:val="20"/>
          <w:szCs w:val="20"/>
        </w:rPr>
        <w:t xml:space="preserve"> </w:t>
      </w:r>
    </w:p>
    <w:p w14:paraId="6F2103B8" w14:textId="77777777" w:rsidR="0057038A" w:rsidRPr="0057038A" w:rsidRDefault="001004BF" w:rsidP="0057038A">
      <w:pPr>
        <w:pStyle w:val="NormalWeb"/>
        <w:numPr>
          <w:ilvl w:val="0"/>
          <w:numId w:val="2"/>
        </w:numPr>
        <w:jc w:val="both"/>
        <w:rPr>
          <w:rFonts w:ascii="Arial" w:hAnsi="Arial" w:cs="Arial"/>
          <w:sz w:val="2"/>
          <w:szCs w:val="2"/>
        </w:rPr>
      </w:pPr>
      <w:r w:rsidRPr="0057038A">
        <w:rPr>
          <w:rFonts w:ascii="Arial" w:hAnsi="Arial" w:cs="Arial"/>
          <w:sz w:val="20"/>
          <w:szCs w:val="20"/>
        </w:rPr>
        <w:t xml:space="preserve">Sang, S., Lapsley, K., Jeong, W. S., Lachance, P. A., Ho, C. T., &amp; Rosen, R. T. (2018). Antioxidant activities of phytochemicals from </w:t>
      </w:r>
      <w:proofErr w:type="spellStart"/>
      <w:r w:rsidRPr="0057038A">
        <w:rPr>
          <w:rStyle w:val="Emphasis"/>
          <w:rFonts w:ascii="Arial" w:eastAsiaTheme="majorEastAsia" w:hAnsi="Arial" w:cs="Arial"/>
          <w:b w:val="0"/>
          <w:bCs w:val="0"/>
          <w:sz w:val="20"/>
          <w:szCs w:val="20"/>
        </w:rPr>
        <w:t>Morindacitrifolia</w:t>
      </w:r>
      <w:proofErr w:type="spellEnd"/>
      <w:r w:rsidRPr="0057038A">
        <w:rPr>
          <w:rFonts w:ascii="Arial" w:hAnsi="Arial" w:cs="Arial"/>
          <w:sz w:val="20"/>
          <w:szCs w:val="20"/>
        </w:rPr>
        <w:t xml:space="preserve"> (Noni) fruits and leaves. </w:t>
      </w:r>
      <w:r w:rsidRPr="0057038A">
        <w:rPr>
          <w:rStyle w:val="Emphasis"/>
          <w:rFonts w:ascii="Arial" w:eastAsiaTheme="majorEastAsia" w:hAnsi="Arial" w:cs="Arial"/>
          <w:b w:val="0"/>
          <w:bCs w:val="0"/>
          <w:sz w:val="20"/>
          <w:szCs w:val="20"/>
        </w:rPr>
        <w:t>Journal of Medicinal Food</w:t>
      </w:r>
      <w:r w:rsidRPr="0057038A">
        <w:rPr>
          <w:rFonts w:ascii="Arial" w:hAnsi="Arial" w:cs="Arial"/>
          <w:b/>
          <w:bCs/>
          <w:sz w:val="20"/>
          <w:szCs w:val="20"/>
        </w:rPr>
        <w:t xml:space="preserve">, </w:t>
      </w:r>
      <w:r w:rsidRPr="0057038A">
        <w:rPr>
          <w:rStyle w:val="Emphasis"/>
          <w:rFonts w:ascii="Arial" w:eastAsiaTheme="majorEastAsia" w:hAnsi="Arial" w:cs="Arial"/>
          <w:b w:val="0"/>
          <w:bCs w:val="0"/>
          <w:i w:val="0"/>
          <w:iCs w:val="0"/>
          <w:sz w:val="20"/>
          <w:szCs w:val="20"/>
        </w:rPr>
        <w:t>21</w:t>
      </w:r>
      <w:r w:rsidRPr="0057038A">
        <w:rPr>
          <w:rFonts w:ascii="Arial" w:hAnsi="Arial" w:cs="Arial"/>
          <w:i/>
          <w:iCs/>
          <w:sz w:val="20"/>
          <w:szCs w:val="20"/>
        </w:rPr>
        <w:t>,</w:t>
      </w:r>
      <w:r w:rsidRPr="0057038A">
        <w:rPr>
          <w:rFonts w:ascii="Arial" w:hAnsi="Arial" w:cs="Arial"/>
          <w:sz w:val="20"/>
          <w:szCs w:val="20"/>
        </w:rPr>
        <w:t xml:space="preserve"> 487 - 495. </w:t>
      </w:r>
    </w:p>
    <w:p w14:paraId="60989BF5" w14:textId="49B71318" w:rsidR="0057038A" w:rsidRPr="0057038A" w:rsidRDefault="002E29D8" w:rsidP="0057038A">
      <w:pPr>
        <w:pStyle w:val="NormalWeb"/>
        <w:numPr>
          <w:ilvl w:val="0"/>
          <w:numId w:val="2"/>
        </w:numPr>
        <w:jc w:val="both"/>
        <w:rPr>
          <w:rFonts w:ascii="Arial" w:hAnsi="Arial" w:cs="Arial"/>
          <w:sz w:val="2"/>
          <w:szCs w:val="2"/>
        </w:rPr>
      </w:pPr>
      <w:r w:rsidRPr="0057038A">
        <w:rPr>
          <w:rFonts w:ascii="Arial" w:hAnsi="Arial" w:cs="Arial"/>
          <w:sz w:val="20"/>
          <w:szCs w:val="20"/>
        </w:rPr>
        <w:t xml:space="preserve">West, B. J., Deng, S., Isami, F., </w:t>
      </w:r>
      <w:proofErr w:type="spellStart"/>
      <w:r w:rsidRPr="0057038A">
        <w:rPr>
          <w:rFonts w:ascii="Arial" w:hAnsi="Arial" w:cs="Arial"/>
          <w:sz w:val="20"/>
          <w:szCs w:val="20"/>
        </w:rPr>
        <w:t>Uwaya</w:t>
      </w:r>
      <w:proofErr w:type="spellEnd"/>
      <w:r w:rsidRPr="0057038A">
        <w:rPr>
          <w:rFonts w:ascii="Arial" w:hAnsi="Arial" w:cs="Arial"/>
          <w:sz w:val="20"/>
          <w:szCs w:val="20"/>
        </w:rPr>
        <w:t xml:space="preserve">, A., &amp; Jensen, C. J. (2018). The potential health benefits of noni juice: A review of human intervention studies. </w:t>
      </w:r>
      <w:r w:rsidRPr="0057038A">
        <w:rPr>
          <w:rStyle w:val="Emphasis"/>
          <w:rFonts w:ascii="Arial" w:eastAsiaTheme="majorEastAsia" w:hAnsi="Arial" w:cs="Arial"/>
          <w:b w:val="0"/>
          <w:bCs w:val="0"/>
          <w:sz w:val="20"/>
          <w:szCs w:val="20"/>
        </w:rPr>
        <w:t xml:space="preserve">Foods, </w:t>
      </w:r>
      <w:r w:rsidRPr="0057038A">
        <w:rPr>
          <w:rStyle w:val="Emphasis"/>
          <w:rFonts w:ascii="Arial" w:eastAsiaTheme="majorEastAsia" w:hAnsi="Arial" w:cs="Arial"/>
          <w:b w:val="0"/>
          <w:bCs w:val="0"/>
          <w:i w:val="0"/>
          <w:iCs w:val="0"/>
          <w:sz w:val="20"/>
          <w:szCs w:val="20"/>
        </w:rPr>
        <w:t>7</w:t>
      </w:r>
      <w:r w:rsidRPr="0057038A">
        <w:rPr>
          <w:rFonts w:ascii="Arial" w:hAnsi="Arial" w:cs="Arial"/>
          <w:i/>
          <w:iCs/>
          <w:sz w:val="20"/>
          <w:szCs w:val="20"/>
        </w:rPr>
        <w:t>,</w:t>
      </w:r>
      <w:r w:rsidRPr="0057038A">
        <w:rPr>
          <w:rFonts w:ascii="Arial" w:hAnsi="Arial" w:cs="Arial"/>
          <w:sz w:val="20"/>
          <w:szCs w:val="20"/>
        </w:rPr>
        <w:t xml:space="preserve"> 58.</w:t>
      </w:r>
      <w:r w:rsidR="000D528D">
        <w:rPr>
          <w:rFonts w:ascii="Arial" w:hAnsi="Arial" w:cs="Arial"/>
          <w:sz w:val="20"/>
          <w:szCs w:val="20"/>
        </w:rPr>
        <w:t xml:space="preserve"> </w:t>
      </w:r>
      <w:hyperlink r:id="rId40" w:history="1">
        <w:r w:rsidR="000D528D" w:rsidRPr="004E2635">
          <w:rPr>
            <w:rStyle w:val="Hyperlink"/>
            <w:rFonts w:ascii="Arial" w:hAnsi="Arial" w:cs="Arial"/>
            <w:sz w:val="20"/>
            <w:szCs w:val="20"/>
          </w:rPr>
          <w:t>https://doi.org/10.3390/foods7040058</w:t>
        </w:r>
      </w:hyperlink>
      <w:r w:rsidR="000D528D">
        <w:rPr>
          <w:rFonts w:ascii="Arial" w:hAnsi="Arial" w:cs="Arial"/>
          <w:sz w:val="20"/>
          <w:szCs w:val="20"/>
        </w:rPr>
        <w:t xml:space="preserve"> </w:t>
      </w:r>
    </w:p>
    <w:p w14:paraId="59A3F86B" w14:textId="77777777" w:rsidR="0057038A" w:rsidRPr="0057038A" w:rsidRDefault="002E329D" w:rsidP="0057038A">
      <w:pPr>
        <w:pStyle w:val="NormalWeb"/>
        <w:numPr>
          <w:ilvl w:val="0"/>
          <w:numId w:val="2"/>
        </w:numPr>
        <w:jc w:val="both"/>
        <w:rPr>
          <w:rFonts w:ascii="Arial" w:hAnsi="Arial" w:cs="Arial"/>
          <w:sz w:val="2"/>
          <w:szCs w:val="2"/>
        </w:rPr>
      </w:pPr>
      <w:r w:rsidRPr="0057038A">
        <w:rPr>
          <w:rFonts w:ascii="Arial" w:hAnsi="Arial" w:cs="Arial"/>
          <w:sz w:val="20"/>
          <w:szCs w:val="20"/>
        </w:rPr>
        <w:t>Kumar, S., Pandey, A. K., &amp; Singh, P. (2019). Antibacterial and antioxidant activities of some medicinal plants against multi-</w:t>
      </w:r>
      <w:r w:rsidR="0057038A" w:rsidRPr="0057038A">
        <w:rPr>
          <w:rFonts w:ascii="Arial" w:hAnsi="Arial" w:cs="Arial"/>
          <w:sz w:val="20"/>
          <w:szCs w:val="20"/>
        </w:rPr>
        <w:t>drug-resistant</w:t>
      </w:r>
      <w:r w:rsidRPr="0057038A">
        <w:rPr>
          <w:rFonts w:ascii="Arial" w:hAnsi="Arial" w:cs="Arial"/>
          <w:sz w:val="20"/>
          <w:szCs w:val="20"/>
        </w:rPr>
        <w:t xml:space="preserve"> bacteria</w:t>
      </w:r>
      <w:r w:rsidRPr="0057038A">
        <w:rPr>
          <w:rFonts w:ascii="Arial" w:hAnsi="Arial" w:cs="Arial"/>
          <w:b/>
          <w:bCs/>
          <w:sz w:val="20"/>
          <w:szCs w:val="20"/>
        </w:rPr>
        <w:t xml:space="preserve">. </w:t>
      </w:r>
      <w:r w:rsidRPr="0057038A">
        <w:rPr>
          <w:rStyle w:val="Emphasis"/>
          <w:rFonts w:ascii="Arial" w:eastAsiaTheme="majorEastAsia" w:hAnsi="Arial" w:cs="Arial"/>
          <w:b w:val="0"/>
          <w:bCs w:val="0"/>
          <w:sz w:val="20"/>
          <w:szCs w:val="20"/>
        </w:rPr>
        <w:t>Pharmaceutical Biology</w:t>
      </w:r>
      <w:r w:rsidRPr="0057038A">
        <w:rPr>
          <w:rFonts w:ascii="Arial" w:hAnsi="Arial" w:cs="Arial"/>
          <w:b/>
          <w:bCs/>
          <w:sz w:val="20"/>
          <w:szCs w:val="20"/>
        </w:rPr>
        <w:t xml:space="preserve">, </w:t>
      </w:r>
      <w:r w:rsidRPr="0057038A">
        <w:rPr>
          <w:rStyle w:val="Emphasis"/>
          <w:rFonts w:ascii="Arial" w:eastAsiaTheme="majorEastAsia" w:hAnsi="Arial" w:cs="Arial"/>
          <w:b w:val="0"/>
          <w:bCs w:val="0"/>
          <w:i w:val="0"/>
          <w:iCs w:val="0"/>
          <w:sz w:val="20"/>
          <w:szCs w:val="20"/>
        </w:rPr>
        <w:t>57</w:t>
      </w:r>
      <w:r w:rsidRPr="0057038A">
        <w:rPr>
          <w:rFonts w:ascii="Arial" w:hAnsi="Arial" w:cs="Arial"/>
          <w:i/>
          <w:iCs/>
          <w:sz w:val="20"/>
          <w:szCs w:val="20"/>
        </w:rPr>
        <w:t>,</w:t>
      </w:r>
      <w:r w:rsidRPr="0057038A">
        <w:rPr>
          <w:rFonts w:ascii="Arial" w:hAnsi="Arial" w:cs="Arial"/>
          <w:sz w:val="20"/>
          <w:szCs w:val="20"/>
        </w:rPr>
        <w:t xml:space="preserve"> 115 - 120. </w:t>
      </w:r>
    </w:p>
    <w:p w14:paraId="027E08BA" w14:textId="77777777" w:rsidR="002E29D8" w:rsidRPr="0057038A" w:rsidRDefault="00385B1B" w:rsidP="0057038A">
      <w:pPr>
        <w:pStyle w:val="NormalWeb"/>
        <w:numPr>
          <w:ilvl w:val="0"/>
          <w:numId w:val="2"/>
        </w:numPr>
        <w:jc w:val="both"/>
        <w:rPr>
          <w:rFonts w:ascii="Arial" w:hAnsi="Arial" w:cs="Arial"/>
          <w:sz w:val="2"/>
          <w:szCs w:val="2"/>
        </w:rPr>
      </w:pPr>
      <w:r w:rsidRPr="0057038A">
        <w:rPr>
          <w:rFonts w:ascii="Arial" w:hAnsi="Arial" w:cs="Arial"/>
          <w:sz w:val="20"/>
          <w:szCs w:val="20"/>
        </w:rPr>
        <w:lastRenderedPageBreak/>
        <w:t xml:space="preserve">Singh, G., </w:t>
      </w:r>
      <w:proofErr w:type="spellStart"/>
      <w:r w:rsidRPr="0057038A">
        <w:rPr>
          <w:rFonts w:ascii="Arial" w:hAnsi="Arial" w:cs="Arial"/>
          <w:sz w:val="20"/>
          <w:szCs w:val="20"/>
        </w:rPr>
        <w:t>Passari</w:t>
      </w:r>
      <w:proofErr w:type="spellEnd"/>
      <w:r w:rsidRPr="0057038A">
        <w:rPr>
          <w:rFonts w:ascii="Arial" w:hAnsi="Arial" w:cs="Arial"/>
          <w:sz w:val="20"/>
          <w:szCs w:val="20"/>
        </w:rPr>
        <w:t xml:space="preserve">, A. K., Leo, V. V., Mishra, V. K., Subbarayan, S., Singh, B. P., &amp; Kumar, B. (2020). Evaluation of bioactive properties of </w:t>
      </w:r>
      <w:proofErr w:type="spellStart"/>
      <w:r w:rsidRPr="0057038A">
        <w:rPr>
          <w:rStyle w:val="Emphasis"/>
          <w:rFonts w:ascii="Arial" w:eastAsiaTheme="majorEastAsia" w:hAnsi="Arial" w:cs="Arial"/>
          <w:b w:val="0"/>
          <w:bCs w:val="0"/>
          <w:sz w:val="20"/>
          <w:szCs w:val="20"/>
        </w:rPr>
        <w:t>Morindacitrifolia</w:t>
      </w:r>
      <w:proofErr w:type="spellEnd"/>
      <w:r w:rsidRPr="0057038A">
        <w:rPr>
          <w:rFonts w:ascii="Arial" w:hAnsi="Arial" w:cs="Arial"/>
          <w:sz w:val="20"/>
          <w:szCs w:val="20"/>
        </w:rPr>
        <w:t xml:space="preserve"> extracts for antibacterial and anti-oxidant potential. </w:t>
      </w:r>
      <w:r w:rsidRPr="0057038A">
        <w:rPr>
          <w:rStyle w:val="Emphasis"/>
          <w:rFonts w:ascii="Arial" w:eastAsiaTheme="majorEastAsia" w:hAnsi="Arial" w:cs="Arial"/>
          <w:b w:val="0"/>
          <w:bCs w:val="0"/>
          <w:sz w:val="20"/>
          <w:szCs w:val="20"/>
        </w:rPr>
        <w:t>BMC Complementary and Alternative Medicine</w:t>
      </w:r>
      <w:r w:rsidRPr="0057038A">
        <w:rPr>
          <w:rFonts w:ascii="Arial" w:hAnsi="Arial" w:cs="Arial"/>
          <w:b/>
          <w:bCs/>
          <w:sz w:val="20"/>
          <w:szCs w:val="20"/>
        </w:rPr>
        <w:t xml:space="preserve">, </w:t>
      </w:r>
      <w:r w:rsidRPr="0057038A">
        <w:rPr>
          <w:rStyle w:val="Emphasis"/>
          <w:rFonts w:ascii="Arial" w:eastAsiaTheme="majorEastAsia" w:hAnsi="Arial" w:cs="Arial"/>
          <w:b w:val="0"/>
          <w:bCs w:val="0"/>
          <w:i w:val="0"/>
          <w:iCs w:val="0"/>
          <w:sz w:val="20"/>
          <w:szCs w:val="20"/>
        </w:rPr>
        <w:t>20</w:t>
      </w:r>
      <w:r w:rsidRPr="0057038A">
        <w:rPr>
          <w:rFonts w:ascii="Arial" w:hAnsi="Arial" w:cs="Arial"/>
          <w:i/>
          <w:iCs/>
          <w:sz w:val="20"/>
          <w:szCs w:val="20"/>
        </w:rPr>
        <w:t>,</w:t>
      </w:r>
      <w:r w:rsidRPr="0057038A">
        <w:rPr>
          <w:rFonts w:ascii="Arial" w:hAnsi="Arial" w:cs="Arial"/>
          <w:sz w:val="20"/>
          <w:szCs w:val="20"/>
        </w:rPr>
        <w:t xml:space="preserve"> 1 - 12.</w:t>
      </w:r>
    </w:p>
    <w:p w14:paraId="3821719B" w14:textId="77777777" w:rsidR="004412F5" w:rsidRPr="00DB3DD9" w:rsidRDefault="004412F5" w:rsidP="006D1D62">
      <w:pPr>
        <w:pStyle w:val="NormalWeb"/>
        <w:jc w:val="both"/>
        <w:rPr>
          <w:rFonts w:ascii="Arial" w:hAnsi="Arial" w:cs="Arial"/>
          <w:sz w:val="20"/>
          <w:szCs w:val="20"/>
        </w:rPr>
        <w:sectPr w:rsidR="004412F5" w:rsidRPr="00DB3DD9" w:rsidSect="001D40F6">
          <w:type w:val="continuous"/>
          <w:pgSz w:w="11906" w:h="16838"/>
          <w:pgMar w:top="1440" w:right="1440" w:bottom="1440" w:left="1440" w:header="708" w:footer="708" w:gutter="0"/>
          <w:cols w:space="708"/>
          <w:docGrid w:linePitch="360"/>
        </w:sectPr>
      </w:pPr>
    </w:p>
    <w:p w14:paraId="76101D53" w14:textId="77777777" w:rsidR="001D40F6" w:rsidRDefault="001D40F6" w:rsidP="0057038A"/>
    <w:sectPr w:rsidR="001D40F6" w:rsidSect="00692A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63D29" w14:textId="77777777" w:rsidR="00E148AD" w:rsidRDefault="00E148AD" w:rsidP="00DB3DD9">
      <w:pPr>
        <w:spacing w:after="0" w:line="240" w:lineRule="auto"/>
      </w:pPr>
      <w:r>
        <w:separator/>
      </w:r>
    </w:p>
  </w:endnote>
  <w:endnote w:type="continuationSeparator" w:id="0">
    <w:p w14:paraId="1E9104B4" w14:textId="77777777" w:rsidR="00E148AD" w:rsidRDefault="00E148AD" w:rsidP="00DB3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708A" w14:textId="77777777" w:rsidR="00EF6E92" w:rsidRDefault="00EF6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A068E" w14:textId="77777777" w:rsidR="00EF6E92" w:rsidRDefault="00EF6E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0FA64" w14:textId="77777777" w:rsidR="00EF6E92" w:rsidRDefault="00EF6E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867A" w14:textId="77777777" w:rsidR="00523C0C" w:rsidRDefault="00523C0C" w:rsidP="00523C0C">
    <w:pPr>
      <w:pStyle w:val="Footer"/>
    </w:pPr>
  </w:p>
  <w:p w14:paraId="7B42D04E" w14:textId="77777777" w:rsidR="00523C0C" w:rsidRDefault="00523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44345" w14:textId="77777777" w:rsidR="00E148AD" w:rsidRDefault="00E148AD" w:rsidP="00DB3DD9">
      <w:pPr>
        <w:spacing w:after="0" w:line="240" w:lineRule="auto"/>
      </w:pPr>
      <w:r>
        <w:separator/>
      </w:r>
    </w:p>
  </w:footnote>
  <w:footnote w:type="continuationSeparator" w:id="0">
    <w:p w14:paraId="7CDB9065" w14:textId="77777777" w:rsidR="00E148AD" w:rsidRDefault="00E148AD" w:rsidP="00DB3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B4141" w14:textId="4BBC7A2F" w:rsidR="00EF6E92" w:rsidRDefault="00EF6E92">
    <w:pPr>
      <w:pStyle w:val="Header"/>
    </w:pPr>
    <w:r>
      <w:rPr>
        <w:noProof/>
      </w:rPr>
      <w:pict w14:anchorId="3E8D3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153141"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F0E7F" w14:textId="2A733644" w:rsidR="00EF6E92" w:rsidRDefault="00EF6E92">
    <w:pPr>
      <w:pStyle w:val="Header"/>
    </w:pPr>
    <w:r>
      <w:rPr>
        <w:noProof/>
      </w:rPr>
      <w:pict w14:anchorId="0BBE9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153142"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37CED" w14:textId="5CBC7426" w:rsidR="00EF6E92" w:rsidRDefault="00EF6E92">
    <w:pPr>
      <w:pStyle w:val="Header"/>
    </w:pPr>
    <w:r>
      <w:rPr>
        <w:noProof/>
      </w:rPr>
      <w:pict w14:anchorId="65392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153140"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51A9" w14:textId="6FF34704" w:rsidR="00EF6E92" w:rsidRDefault="00EF6E92">
    <w:pPr>
      <w:pStyle w:val="Header"/>
    </w:pPr>
    <w:r>
      <w:rPr>
        <w:noProof/>
      </w:rPr>
      <w:pict w14:anchorId="15E0E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153144" o:spid="_x0000_s2053" type="#_x0000_t136" style="position:absolute;left:0;text-align:left;margin-left:0;margin-top:0;width:571.65pt;height:64.5pt;rotation:315;z-index:-251649024;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0A3D" w14:textId="1AAC869F" w:rsidR="00EF6E92" w:rsidRDefault="00EF6E92">
    <w:pPr>
      <w:pStyle w:val="Header"/>
    </w:pPr>
    <w:r>
      <w:rPr>
        <w:noProof/>
      </w:rPr>
      <w:pict w14:anchorId="31335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153145" o:spid="_x0000_s2054" type="#_x0000_t136" style="position:absolute;left:0;text-align:left;margin-left:0;margin-top:0;width:571.65pt;height:64.5pt;rotation:315;z-index:-25164697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15CD" w14:textId="5444BC26" w:rsidR="00EF6E92" w:rsidRDefault="00EF6E92">
    <w:pPr>
      <w:pStyle w:val="Header"/>
    </w:pPr>
    <w:r>
      <w:rPr>
        <w:noProof/>
      </w:rPr>
      <w:pict w14:anchorId="3EAED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153143" o:spid="_x0000_s2052" type="#_x0000_t136" style="position:absolute;left:0;text-align:left;margin-left:0;margin-top:0;width:571.65pt;height:64.5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D7878"/>
    <w:multiLevelType w:val="hybridMultilevel"/>
    <w:tmpl w:val="AB88FF5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72270F"/>
    <w:multiLevelType w:val="hybridMultilevel"/>
    <w:tmpl w:val="1E061986"/>
    <w:lvl w:ilvl="0" w:tplc="7CD809E6">
      <w:start w:val="1"/>
      <w:numFmt w:val="decimal"/>
      <w:lvlText w:val="%1."/>
      <w:lvlJc w:val="left"/>
      <w:pPr>
        <w:ind w:left="502" w:hanging="360"/>
      </w:pPr>
      <w:rPr>
        <w:b w:val="0"/>
        <w:bCs w:val="0"/>
        <w:sz w:val="20"/>
        <w:szCs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3CCF0A1F"/>
    <w:multiLevelType w:val="hybridMultilevel"/>
    <w:tmpl w:val="E97CD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91040C"/>
    <w:multiLevelType w:val="hybridMultilevel"/>
    <w:tmpl w:val="DF2E9A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1E65B3E"/>
    <w:multiLevelType w:val="hybridMultilevel"/>
    <w:tmpl w:val="62B41E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CC01956"/>
    <w:multiLevelType w:val="hybridMultilevel"/>
    <w:tmpl w:val="A9F4A6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40F6"/>
    <w:rsid w:val="00000900"/>
    <w:rsid w:val="0005251C"/>
    <w:rsid w:val="00063317"/>
    <w:rsid w:val="00072D46"/>
    <w:rsid w:val="000B4874"/>
    <w:rsid w:val="000D205D"/>
    <w:rsid w:val="000D3CC0"/>
    <w:rsid w:val="000D528D"/>
    <w:rsid w:val="000D60FD"/>
    <w:rsid w:val="001004BF"/>
    <w:rsid w:val="001227C2"/>
    <w:rsid w:val="0017386A"/>
    <w:rsid w:val="00176EBD"/>
    <w:rsid w:val="001D40F6"/>
    <w:rsid w:val="001D4E4A"/>
    <w:rsid w:val="00236F67"/>
    <w:rsid w:val="0024475D"/>
    <w:rsid w:val="00246485"/>
    <w:rsid w:val="0024725C"/>
    <w:rsid w:val="00257B8B"/>
    <w:rsid w:val="002764D1"/>
    <w:rsid w:val="00295102"/>
    <w:rsid w:val="002D13CA"/>
    <w:rsid w:val="002E29D8"/>
    <w:rsid w:val="002E329D"/>
    <w:rsid w:val="00312C31"/>
    <w:rsid w:val="0036526B"/>
    <w:rsid w:val="003767E6"/>
    <w:rsid w:val="00385B1B"/>
    <w:rsid w:val="0043799F"/>
    <w:rsid w:val="004412F5"/>
    <w:rsid w:val="0044418C"/>
    <w:rsid w:val="004D1A14"/>
    <w:rsid w:val="00523C0C"/>
    <w:rsid w:val="00536C29"/>
    <w:rsid w:val="005440C4"/>
    <w:rsid w:val="005523CE"/>
    <w:rsid w:val="00567B17"/>
    <w:rsid w:val="0057038A"/>
    <w:rsid w:val="00582B32"/>
    <w:rsid w:val="005B37F9"/>
    <w:rsid w:val="005E612C"/>
    <w:rsid w:val="005F3CF0"/>
    <w:rsid w:val="00605392"/>
    <w:rsid w:val="00616E0F"/>
    <w:rsid w:val="006715A5"/>
    <w:rsid w:val="00692A20"/>
    <w:rsid w:val="006A100D"/>
    <w:rsid w:val="006B67A2"/>
    <w:rsid w:val="006D1D62"/>
    <w:rsid w:val="006D2FF8"/>
    <w:rsid w:val="007207D3"/>
    <w:rsid w:val="007671D2"/>
    <w:rsid w:val="0078698E"/>
    <w:rsid w:val="007C6BE3"/>
    <w:rsid w:val="007D14AE"/>
    <w:rsid w:val="0080263B"/>
    <w:rsid w:val="0085248F"/>
    <w:rsid w:val="008607E6"/>
    <w:rsid w:val="00875275"/>
    <w:rsid w:val="008F2C8A"/>
    <w:rsid w:val="00910562"/>
    <w:rsid w:val="00922621"/>
    <w:rsid w:val="009802D7"/>
    <w:rsid w:val="009A1C15"/>
    <w:rsid w:val="009D2F9D"/>
    <w:rsid w:val="00A00F6E"/>
    <w:rsid w:val="00A368BD"/>
    <w:rsid w:val="00A530C3"/>
    <w:rsid w:val="00B32F4C"/>
    <w:rsid w:val="00B56EEB"/>
    <w:rsid w:val="00B675E6"/>
    <w:rsid w:val="00B807DE"/>
    <w:rsid w:val="00B83422"/>
    <w:rsid w:val="00BB6BA2"/>
    <w:rsid w:val="00BC4E7F"/>
    <w:rsid w:val="00BE1BAB"/>
    <w:rsid w:val="00CE5B5B"/>
    <w:rsid w:val="00D25364"/>
    <w:rsid w:val="00D37F26"/>
    <w:rsid w:val="00DB3DD9"/>
    <w:rsid w:val="00E148AD"/>
    <w:rsid w:val="00E33A06"/>
    <w:rsid w:val="00E57B64"/>
    <w:rsid w:val="00E82261"/>
    <w:rsid w:val="00E96D53"/>
    <w:rsid w:val="00EB3A37"/>
    <w:rsid w:val="00EF6E92"/>
    <w:rsid w:val="00EF7D21"/>
    <w:rsid w:val="00F01A7E"/>
    <w:rsid w:val="00F7266F"/>
    <w:rsid w:val="00F7274C"/>
    <w:rsid w:val="00F74FA6"/>
    <w:rsid w:val="00FA205D"/>
    <w:rsid w:val="00FB189C"/>
    <w:rsid w:val="00FD7546"/>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8005FE"/>
  <w15:docId w15:val="{1EBACDE2-FD1A-4D4C-A506-3E6A4930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0F6"/>
    <w:pPr>
      <w:spacing w:after="200" w:line="276" w:lineRule="auto"/>
      <w:jc w:val="both"/>
    </w:pPr>
    <w:rPr>
      <w:rFonts w:eastAsiaTheme="minorEastAsia"/>
      <w:kern w:val="0"/>
      <w:sz w:val="20"/>
      <w:szCs w:val="20"/>
    </w:rPr>
  </w:style>
  <w:style w:type="paragraph" w:styleId="Heading1">
    <w:name w:val="heading 1"/>
    <w:basedOn w:val="Normal"/>
    <w:next w:val="Normal"/>
    <w:link w:val="Heading1Char"/>
    <w:uiPriority w:val="9"/>
    <w:qFormat/>
    <w:rsid w:val="001D4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4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40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40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40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40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40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40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40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0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40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40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40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40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40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40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40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40F6"/>
    <w:rPr>
      <w:rFonts w:eastAsiaTheme="majorEastAsia" w:cstheme="majorBidi"/>
      <w:color w:val="272727" w:themeColor="text1" w:themeTint="D8"/>
    </w:rPr>
  </w:style>
  <w:style w:type="paragraph" w:styleId="Title">
    <w:name w:val="Title"/>
    <w:basedOn w:val="Normal"/>
    <w:next w:val="Normal"/>
    <w:link w:val="TitleChar"/>
    <w:uiPriority w:val="10"/>
    <w:qFormat/>
    <w:rsid w:val="001D4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40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40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40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40F6"/>
    <w:pPr>
      <w:spacing w:before="160"/>
      <w:jc w:val="center"/>
    </w:pPr>
    <w:rPr>
      <w:i/>
      <w:iCs/>
      <w:color w:val="404040" w:themeColor="text1" w:themeTint="BF"/>
    </w:rPr>
  </w:style>
  <w:style w:type="character" w:customStyle="1" w:styleId="QuoteChar">
    <w:name w:val="Quote Char"/>
    <w:basedOn w:val="DefaultParagraphFont"/>
    <w:link w:val="Quote"/>
    <w:uiPriority w:val="29"/>
    <w:rsid w:val="001D40F6"/>
    <w:rPr>
      <w:i/>
      <w:iCs/>
      <w:color w:val="404040" w:themeColor="text1" w:themeTint="BF"/>
    </w:rPr>
  </w:style>
  <w:style w:type="paragraph" w:styleId="ListParagraph">
    <w:name w:val="List Paragraph"/>
    <w:basedOn w:val="Normal"/>
    <w:uiPriority w:val="34"/>
    <w:qFormat/>
    <w:rsid w:val="001D40F6"/>
    <w:pPr>
      <w:ind w:left="720"/>
      <w:contextualSpacing/>
    </w:pPr>
  </w:style>
  <w:style w:type="character" w:styleId="IntenseEmphasis">
    <w:name w:val="Intense Emphasis"/>
    <w:basedOn w:val="DefaultParagraphFont"/>
    <w:uiPriority w:val="21"/>
    <w:qFormat/>
    <w:rsid w:val="001D40F6"/>
    <w:rPr>
      <w:i/>
      <w:iCs/>
      <w:color w:val="0F4761" w:themeColor="accent1" w:themeShade="BF"/>
    </w:rPr>
  </w:style>
  <w:style w:type="paragraph" w:styleId="IntenseQuote">
    <w:name w:val="Intense Quote"/>
    <w:basedOn w:val="Normal"/>
    <w:next w:val="Normal"/>
    <w:link w:val="IntenseQuoteChar"/>
    <w:uiPriority w:val="30"/>
    <w:qFormat/>
    <w:rsid w:val="001D4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40F6"/>
    <w:rPr>
      <w:i/>
      <w:iCs/>
      <w:color w:val="0F4761" w:themeColor="accent1" w:themeShade="BF"/>
    </w:rPr>
  </w:style>
  <w:style w:type="character" w:styleId="IntenseReference">
    <w:name w:val="Intense Reference"/>
    <w:basedOn w:val="DefaultParagraphFont"/>
    <w:uiPriority w:val="32"/>
    <w:qFormat/>
    <w:rsid w:val="001D40F6"/>
    <w:rPr>
      <w:b/>
      <w:bCs/>
      <w:smallCaps/>
      <w:color w:val="0F4761" w:themeColor="accent1" w:themeShade="BF"/>
      <w:spacing w:val="5"/>
    </w:rPr>
  </w:style>
  <w:style w:type="paragraph" w:styleId="NoSpacing">
    <w:name w:val="No Spacing"/>
    <w:uiPriority w:val="1"/>
    <w:qFormat/>
    <w:rsid w:val="001D40F6"/>
    <w:pPr>
      <w:spacing w:after="0" w:line="240" w:lineRule="auto"/>
      <w:jc w:val="both"/>
    </w:pPr>
    <w:rPr>
      <w:rFonts w:eastAsiaTheme="minorEastAsia"/>
      <w:kern w:val="0"/>
      <w:sz w:val="20"/>
      <w:szCs w:val="20"/>
    </w:rPr>
  </w:style>
  <w:style w:type="character" w:styleId="Emphasis">
    <w:name w:val="Emphasis"/>
    <w:uiPriority w:val="20"/>
    <w:qFormat/>
    <w:rsid w:val="0017386A"/>
    <w:rPr>
      <w:b/>
      <w:bCs/>
      <w:i/>
      <w:iCs/>
      <w:spacing w:val="10"/>
    </w:rPr>
  </w:style>
  <w:style w:type="character" w:customStyle="1" w:styleId="katex-mathml">
    <w:name w:val="katex-mathml"/>
    <w:basedOn w:val="DefaultParagraphFont"/>
    <w:rsid w:val="0017386A"/>
  </w:style>
  <w:style w:type="table" w:customStyle="1" w:styleId="3">
    <w:name w:val="3"/>
    <w:basedOn w:val="TableNormal"/>
    <w:rsid w:val="0024725C"/>
    <w:pPr>
      <w:widowControl w:val="0"/>
      <w:spacing w:after="0" w:line="240" w:lineRule="auto"/>
    </w:pPr>
    <w:rPr>
      <w:rFonts w:ascii="Times New Roman" w:eastAsia="Times New Roman" w:hAnsi="Times New Roman" w:cs="Times New Roman"/>
      <w:kern w:val="0"/>
      <w:sz w:val="22"/>
      <w:szCs w:val="22"/>
      <w:lang w:val="en-US" w:bidi="ml-IN"/>
    </w:rPr>
    <w:tblPr>
      <w:tblStyleRowBandSize w:val="1"/>
      <w:tblStyleColBandSize w:val="1"/>
    </w:tblPr>
  </w:style>
  <w:style w:type="table" w:styleId="TableGrid">
    <w:name w:val="Table Grid"/>
    <w:basedOn w:val="TableNormal"/>
    <w:uiPriority w:val="39"/>
    <w:rsid w:val="00875275"/>
    <w:pPr>
      <w:widowControl w:val="0"/>
      <w:spacing w:after="0" w:line="240" w:lineRule="auto"/>
    </w:pPr>
    <w:rPr>
      <w:rFonts w:ascii="Times New Roman" w:eastAsia="Times New Roman" w:hAnsi="Times New Roman" w:cs="Times New Roman"/>
      <w:kern w:val="0"/>
      <w:sz w:val="22"/>
      <w:szCs w:val="22"/>
      <w:lang w:val="en-US"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rsid w:val="00875275"/>
    <w:pPr>
      <w:widowControl w:val="0"/>
      <w:spacing w:after="0" w:line="240" w:lineRule="auto"/>
    </w:pPr>
    <w:rPr>
      <w:rFonts w:ascii="Times New Roman" w:eastAsia="Times New Roman" w:hAnsi="Times New Roman" w:cs="Times New Roman"/>
      <w:kern w:val="0"/>
      <w:sz w:val="22"/>
      <w:szCs w:val="22"/>
      <w:lang w:val="en-US" w:bidi="ml-IN"/>
    </w:rPr>
    <w:tblPr>
      <w:tblStyleRowBandSize w:val="1"/>
      <w:tblStyleColBandSize w:val="1"/>
      <w:tblCellMar>
        <w:left w:w="115" w:type="dxa"/>
        <w:right w:w="115" w:type="dxa"/>
      </w:tblCellMar>
    </w:tblPr>
  </w:style>
  <w:style w:type="table" w:customStyle="1" w:styleId="TableGridLight1">
    <w:name w:val="Table Grid Light1"/>
    <w:basedOn w:val="TableNormal"/>
    <w:uiPriority w:val="40"/>
    <w:rsid w:val="006A100D"/>
    <w:pPr>
      <w:spacing w:after="0" w:line="240" w:lineRule="auto"/>
    </w:pPr>
    <w:rPr>
      <w:kern w:val="0"/>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6A100D"/>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paragraph" w:customStyle="1" w:styleId="Author">
    <w:name w:val="Author"/>
    <w:basedOn w:val="Normal"/>
    <w:rsid w:val="00DB3DD9"/>
    <w:pPr>
      <w:spacing w:after="0" w:line="280" w:lineRule="exact"/>
      <w:jc w:val="right"/>
    </w:pPr>
    <w:rPr>
      <w:rFonts w:ascii="Helvetica" w:eastAsia="Times New Roman" w:hAnsi="Helvetica" w:cs="Times New Roman"/>
      <w:b/>
      <w:sz w:val="24"/>
      <w:lang w:val="en-US"/>
    </w:rPr>
  </w:style>
  <w:style w:type="paragraph" w:customStyle="1" w:styleId="Affiliation">
    <w:name w:val="Affiliation"/>
    <w:basedOn w:val="Normal"/>
    <w:rsid w:val="00DB3DD9"/>
    <w:pPr>
      <w:spacing w:after="240" w:line="240" w:lineRule="exact"/>
      <w:jc w:val="right"/>
    </w:pPr>
    <w:rPr>
      <w:rFonts w:ascii="Helvetica" w:eastAsia="Times New Roman" w:hAnsi="Helvetica" w:cs="Times New Roman"/>
      <w:lang w:val="en-US"/>
    </w:rPr>
  </w:style>
  <w:style w:type="paragraph" w:styleId="Header">
    <w:name w:val="header"/>
    <w:basedOn w:val="Normal"/>
    <w:link w:val="HeaderChar"/>
    <w:uiPriority w:val="99"/>
    <w:unhideWhenUsed/>
    <w:rsid w:val="00DB3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DD9"/>
    <w:rPr>
      <w:rFonts w:eastAsiaTheme="minorEastAsia"/>
      <w:kern w:val="0"/>
      <w:sz w:val="20"/>
      <w:szCs w:val="20"/>
    </w:rPr>
  </w:style>
  <w:style w:type="paragraph" w:styleId="Footer">
    <w:name w:val="footer"/>
    <w:basedOn w:val="Normal"/>
    <w:link w:val="FooterChar"/>
    <w:unhideWhenUsed/>
    <w:rsid w:val="00DB3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DD9"/>
    <w:rPr>
      <w:rFonts w:eastAsiaTheme="minorEastAsia"/>
      <w:kern w:val="0"/>
      <w:sz w:val="20"/>
      <w:szCs w:val="20"/>
    </w:rPr>
  </w:style>
  <w:style w:type="character" w:styleId="Hyperlink">
    <w:name w:val="Hyperlink"/>
    <w:basedOn w:val="DefaultParagraphFont"/>
    <w:uiPriority w:val="99"/>
    <w:unhideWhenUsed/>
    <w:rsid w:val="000D528D"/>
    <w:rPr>
      <w:color w:val="467886" w:themeColor="hyperlink"/>
      <w:u w:val="single"/>
    </w:rPr>
  </w:style>
  <w:style w:type="character" w:styleId="UnresolvedMention">
    <w:name w:val="Unresolved Mention"/>
    <w:basedOn w:val="DefaultParagraphFont"/>
    <w:uiPriority w:val="99"/>
    <w:semiHidden/>
    <w:unhideWhenUsed/>
    <w:rsid w:val="000D5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hyperlink" Target="https://doi.org/10.7314/apjcp.2014.15.11.4405" TargetMode="External"/><Relationship Id="rId21" Type="http://schemas.openxmlformats.org/officeDocument/2006/relationships/image" Target="media/image4.png"/><Relationship Id="rId34" Type="http://schemas.openxmlformats.org/officeDocument/2006/relationships/hyperlink" Target="https://doi.org/10.1002/(sici)1099-1573(199908/09)13:5%3C380::aid-ptr463%3E3.0.co;2-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hyperlink" Target="https://pubmed.ncbi.nlm.nih.gov/8895953/" TargetMode="External"/><Relationship Id="rId37" Type="http://schemas.openxmlformats.org/officeDocument/2006/relationships/hyperlink" Target="https://doi.org/10.1055/s-2007-967115" TargetMode="External"/><Relationship Id="rId40" Type="http://schemas.openxmlformats.org/officeDocument/2006/relationships/hyperlink" Target="https://doi.org/10.3390/foods7040058"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doi.org/10.4103/JPBS.JPBS_126_18"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www.chinaphar.com/1671-4083/23/1127.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chinaphar.com/1671-4083/23/1127.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hyperlink" Target="https://doi.org/10.1111/j.1749-6632.2001.tb02737.x" TargetMode="External"/><Relationship Id="rId38" Type="http://schemas.openxmlformats.org/officeDocument/2006/relationships/hyperlink" Target="https://doi.org/10.1021/jf040114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Aiswarya%203.0\graph%20(%20phytochemical%20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esktop\Aiswarya%203.0\graph%20(%20phytochemical%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1050" b="1">
                <a:solidFill>
                  <a:schemeClr val="tx1">
                    <a:lumMod val="95000"/>
                    <a:lumOff val="5000"/>
                  </a:schemeClr>
                </a:solidFill>
                <a:latin typeface="Times New Roman" panose="02020603050405020304" pitchFamily="18" charset="0"/>
                <a:cs typeface="Times New Roman" panose="02020603050405020304" pitchFamily="18" charset="0"/>
              </a:rPr>
              <a:t>STANDARD</a:t>
            </a:r>
            <a:r>
              <a:rPr lang="en-US" sz="1050" b="1" baseline="0">
                <a:solidFill>
                  <a:schemeClr val="tx1">
                    <a:lumMod val="95000"/>
                    <a:lumOff val="5000"/>
                  </a:schemeClr>
                </a:solidFill>
                <a:latin typeface="Times New Roman" panose="02020603050405020304" pitchFamily="18" charset="0"/>
                <a:cs typeface="Times New Roman" panose="02020603050405020304" pitchFamily="18" charset="0"/>
              </a:rPr>
              <a:t> GRAPH OF QUERCETIN</a:t>
            </a:r>
            <a:endParaRPr lang="en-US" sz="1050"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0.18138232005053884"/>
          <c:y val="4.526068556919171E-2"/>
        </c:manualLayout>
      </c:layout>
      <c:overlay val="0"/>
      <c:spPr>
        <a:noFill/>
        <a:ln>
          <a:noFill/>
        </a:ln>
        <a:effectLst/>
      </c:spPr>
    </c:title>
    <c:autoTitleDeleted val="0"/>
    <c:plotArea>
      <c:layout>
        <c:manualLayout>
          <c:layoutTarget val="inner"/>
          <c:xMode val="edge"/>
          <c:yMode val="edge"/>
          <c:x val="0.22617293628925958"/>
          <c:y val="0.26504385122591378"/>
          <c:w val="0.69759467116440688"/>
          <c:h val="0.50330966839238167"/>
        </c:manualLayout>
      </c:layout>
      <c:scatterChart>
        <c:scatterStyle val="lineMarker"/>
        <c:varyColors val="0"/>
        <c:ser>
          <c:idx val="0"/>
          <c:order val="0"/>
          <c:tx>
            <c:strRef>
              <c:f>Sheet1!$B$17</c:f>
              <c:strCache>
                <c:ptCount val="1"/>
                <c:pt idx="0">
                  <c:v>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33359796760876492"/>
                  <c:y val="-0.1131369903583534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solidFill>
                          <a:schemeClr val="tx1">
                            <a:lumMod val="95000"/>
                            <a:lumOff val="5000"/>
                          </a:schemeClr>
                        </a:solidFill>
                        <a:latin typeface="Times New Roman" panose="02020603050405020304" pitchFamily="18" charset="0"/>
                        <a:cs typeface="Times New Roman" panose="02020603050405020304" pitchFamily="18" charset="0"/>
                      </a:rPr>
                      <a:t>y = 0.45x + 0.226</a:t>
                    </a:r>
                    <a:br>
                      <a:rPr lang="en-US" b="1" baseline="0">
                        <a:solidFill>
                          <a:schemeClr val="tx1">
                            <a:lumMod val="95000"/>
                            <a:lumOff val="5000"/>
                          </a:schemeClr>
                        </a:solidFill>
                        <a:latin typeface="Times New Roman" panose="02020603050405020304" pitchFamily="18" charset="0"/>
                        <a:cs typeface="Times New Roman" panose="02020603050405020304" pitchFamily="18" charset="0"/>
                      </a:rPr>
                    </a:br>
                    <a:endParaRPr lang="en-US" b="1">
                      <a:solidFill>
                        <a:schemeClr val="tx1">
                          <a:lumMod val="95000"/>
                          <a:lumOff val="5000"/>
                        </a:schemeClr>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Sheet1!$A$18:$A$22</c:f>
              <c:numCache>
                <c:formatCode>General</c:formatCode>
                <c:ptCount val="5"/>
                <c:pt idx="0">
                  <c:v>200</c:v>
                </c:pt>
                <c:pt idx="1">
                  <c:v>400</c:v>
                </c:pt>
                <c:pt idx="2">
                  <c:v>600</c:v>
                </c:pt>
                <c:pt idx="3">
                  <c:v>800</c:v>
                </c:pt>
                <c:pt idx="4">
                  <c:v>1000</c:v>
                </c:pt>
              </c:numCache>
            </c:numRef>
          </c:xVal>
          <c:yVal>
            <c:numRef>
              <c:f>Sheet1!$B$18:$B$22</c:f>
              <c:numCache>
                <c:formatCode>General</c:formatCode>
                <c:ptCount val="5"/>
                <c:pt idx="0">
                  <c:v>0.7180000000000003</c:v>
                </c:pt>
                <c:pt idx="1">
                  <c:v>1.1579999999999993</c:v>
                </c:pt>
                <c:pt idx="2">
                  <c:v>1.5009999999999992</c:v>
                </c:pt>
                <c:pt idx="3">
                  <c:v>1.911999999999999</c:v>
                </c:pt>
                <c:pt idx="4">
                  <c:v>2.5909999999999997</c:v>
                </c:pt>
              </c:numCache>
            </c:numRef>
          </c:yVal>
          <c:smooth val="0"/>
          <c:extLst>
            <c:ext xmlns:c16="http://schemas.microsoft.com/office/drawing/2014/chart" uri="{C3380CC4-5D6E-409C-BE32-E72D297353CC}">
              <c16:uniqueId val="{00000003-7462-422E-A6F4-9228C511AC33}"/>
            </c:ext>
          </c:extLst>
        </c:ser>
        <c:dLbls>
          <c:showLegendKey val="0"/>
          <c:showVal val="0"/>
          <c:showCatName val="0"/>
          <c:showSerName val="0"/>
          <c:showPercent val="0"/>
          <c:showBubbleSize val="0"/>
        </c:dLbls>
        <c:axId val="129841408"/>
        <c:axId val="129851776"/>
      </c:scatterChart>
      <c:valAx>
        <c:axId val="129841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50" b="1">
                    <a:solidFill>
                      <a:schemeClr val="tx1">
                        <a:lumMod val="95000"/>
                        <a:lumOff val="5000"/>
                      </a:schemeClr>
                    </a:solidFill>
                    <a:latin typeface="Times New Roman" panose="02020603050405020304" pitchFamily="18" charset="0"/>
                    <a:cs typeface="Times New Roman" panose="02020603050405020304" pitchFamily="18" charset="0"/>
                  </a:rPr>
                  <a:t>Concentration</a:t>
                </a:r>
                <a:r>
                  <a:rPr lang="en-IN" b="1" baseline="0">
                    <a:solidFill>
                      <a:schemeClr val="tx1">
                        <a:lumMod val="95000"/>
                        <a:lumOff val="5000"/>
                      </a:schemeClr>
                    </a:solidFill>
                    <a:latin typeface="Times New Roman" panose="02020603050405020304" pitchFamily="18" charset="0"/>
                    <a:cs typeface="Times New Roman" panose="02020603050405020304" pitchFamily="18" charset="0"/>
                  </a:rPr>
                  <a:t> (</a:t>
                </a:r>
                <a:r>
                  <a:rPr lang="en-US" sz="1000" b="1" i="0" u="none" strike="noStrike" baseline="0"/>
                  <a:t>µ</a:t>
                </a:r>
                <a:r>
                  <a:rPr lang="en-IN" b="1" baseline="0">
                    <a:solidFill>
                      <a:schemeClr val="tx1">
                        <a:lumMod val="95000"/>
                        <a:lumOff val="5000"/>
                      </a:schemeClr>
                    </a:solidFill>
                    <a:latin typeface="Times New Roman" panose="02020603050405020304" pitchFamily="18" charset="0"/>
                    <a:cs typeface="Times New Roman" panose="02020603050405020304" pitchFamily="18" charset="0"/>
                  </a:rPr>
                  <a:t>g/ml)</a:t>
                </a:r>
                <a:endParaRPr lang="en-IN"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0.32716508513666193"/>
              <c:y val="0.87868022566889648"/>
            </c:manualLayout>
          </c:layout>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9851776"/>
        <c:crosses val="autoZero"/>
        <c:crossBetween val="midCat"/>
      </c:valAx>
      <c:valAx>
        <c:axId val="129851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100" b="1">
                    <a:solidFill>
                      <a:schemeClr val="tx1">
                        <a:lumMod val="95000"/>
                        <a:lumOff val="5000"/>
                      </a:schemeClr>
                    </a:solidFill>
                    <a:latin typeface="Times New Roman" panose="02020603050405020304" pitchFamily="18" charset="0"/>
                    <a:cs typeface="Times New Roman" panose="02020603050405020304" pitchFamily="18" charset="0"/>
                  </a:rPr>
                  <a:t>Absorbance at 470nm</a:t>
                </a:r>
              </a:p>
            </c:rich>
          </c:tx>
          <c:layout>
            <c:manualLayout>
              <c:xMode val="edge"/>
              <c:yMode val="edge"/>
              <c:x val="2.2222222222222258E-2"/>
              <c:y val="0.23778178769320504"/>
            </c:manualLayout>
          </c:layout>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9841408"/>
        <c:crosses val="autoZero"/>
        <c:crossBetween val="midCat"/>
      </c:valAx>
      <c:spPr>
        <a:noFill/>
        <a:ln>
          <a:noFill/>
        </a:ln>
        <a:effectLst/>
      </c:spPr>
    </c:plotArea>
    <c:plotVisOnly val="1"/>
    <c:dispBlanksAs val="gap"/>
    <c:showDLblsOverMax val="0"/>
  </c:chart>
  <c:spPr>
    <a:solidFill>
      <a:schemeClr val="bg1"/>
    </a:solidFill>
    <a:ln w="28575" cap="flat" cmpd="sng" algn="ctr">
      <a:solidFill>
        <a:schemeClr val="tx1">
          <a:lumMod val="95000"/>
          <a:lumOff val="5000"/>
        </a:schemeClr>
      </a:solidFill>
      <a:round/>
    </a:ln>
    <a:effectLst/>
  </c:spPr>
  <c:txPr>
    <a:bodyPr/>
    <a:lstStyle/>
    <a:p>
      <a:pPr algn="jus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ysClr val="windowText" lastClr="000000">
                    <a:lumMod val="95000"/>
                    <a:lumOff val="5000"/>
                  </a:sysClr>
                </a:solidFill>
                <a:latin typeface="Times New Roman" panose="02020603050405020304" pitchFamily="18" charset="0"/>
                <a:ea typeface="+mn-ea"/>
                <a:cs typeface="Times New Roman" panose="02020603050405020304" pitchFamily="18" charset="0"/>
              </a:defRPr>
            </a:pPr>
            <a:r>
              <a:rPr lang="en-US" sz="1050" b="1" i="0" baseline="0"/>
              <a:t>STANDARD GRAPH OF QUERCETIN</a:t>
            </a:r>
          </a:p>
        </c:rich>
      </c:tx>
      <c:layout>
        <c:manualLayout>
          <c:xMode val="edge"/>
          <c:yMode val="edge"/>
          <c:x val="0.21439118867730006"/>
          <c:y val="4.0476029420013923E-2"/>
        </c:manualLayout>
      </c:layout>
      <c:overlay val="0"/>
      <c:spPr>
        <a:noFill/>
        <a:ln>
          <a:noFill/>
        </a:ln>
        <a:effectLst/>
      </c:spPr>
    </c:title>
    <c:autoTitleDeleted val="0"/>
    <c:plotArea>
      <c:layout>
        <c:manualLayout>
          <c:layoutTarget val="inner"/>
          <c:xMode val="edge"/>
          <c:yMode val="edge"/>
          <c:x val="0.14457163150524904"/>
          <c:y val="0.1862302389963672"/>
          <c:w val="0.80110983017520954"/>
          <c:h val="0.58442961717055064"/>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31516675591530496"/>
                  <c:y val="6.0836338798715785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solidFill>
                          <a:schemeClr val="tx1">
                            <a:lumMod val="95000"/>
                            <a:lumOff val="5000"/>
                          </a:schemeClr>
                        </a:solidFill>
                        <a:latin typeface="Times New Roman" panose="02020603050405020304" pitchFamily="18" charset="0"/>
                        <a:cs typeface="Times New Roman" panose="02020603050405020304" pitchFamily="18" charset="0"/>
                      </a:rPr>
                      <a:t>y = 0.256x + 0.418</a:t>
                    </a:r>
                    <a:endParaRPr lang="en-US" sz="1000" b="1">
                      <a:solidFill>
                        <a:schemeClr val="tx1">
                          <a:lumMod val="95000"/>
                          <a:lumOff val="5000"/>
                        </a:schemeClr>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trendline>
            <c:spPr>
              <a:ln w="19050" cap="rnd">
                <a:solidFill>
                  <a:schemeClr val="accent1"/>
                </a:solidFill>
                <a:prstDash val="sysDot"/>
              </a:ln>
              <a:effectLst/>
            </c:spPr>
            <c:trendlineType val="linear"/>
            <c:dispRSqr val="0"/>
            <c:dispEq val="0"/>
          </c:trendline>
          <c:xVal>
            <c:numRef>
              <c:f>Sheet1!$L$1:$L$5</c:f>
              <c:numCache>
                <c:formatCode>General</c:formatCode>
                <c:ptCount val="5"/>
                <c:pt idx="0">
                  <c:v>0.2</c:v>
                </c:pt>
                <c:pt idx="1">
                  <c:v>0.4</c:v>
                </c:pt>
                <c:pt idx="2">
                  <c:v>0.60000000000000031</c:v>
                </c:pt>
                <c:pt idx="3">
                  <c:v>0.8</c:v>
                </c:pt>
                <c:pt idx="4">
                  <c:v>1</c:v>
                </c:pt>
              </c:numCache>
            </c:numRef>
          </c:xVal>
          <c:yVal>
            <c:numRef>
              <c:f>Sheet1!$M$1:$M$5</c:f>
              <c:numCache>
                <c:formatCode>General</c:formatCode>
                <c:ptCount val="5"/>
                <c:pt idx="0">
                  <c:v>1.24</c:v>
                </c:pt>
                <c:pt idx="1">
                  <c:v>1.4</c:v>
                </c:pt>
                <c:pt idx="2">
                  <c:v>1.55</c:v>
                </c:pt>
                <c:pt idx="3">
                  <c:v>1.6800000000000006</c:v>
                </c:pt>
                <c:pt idx="4">
                  <c:v>2.38</c:v>
                </c:pt>
              </c:numCache>
            </c:numRef>
          </c:yVal>
          <c:smooth val="0"/>
          <c:extLst>
            <c:ext xmlns:c16="http://schemas.microsoft.com/office/drawing/2014/chart" uri="{C3380CC4-5D6E-409C-BE32-E72D297353CC}">
              <c16:uniqueId val="{00000004-A7BC-41D2-9DCC-DBFC2C65DC14}"/>
            </c:ext>
          </c:extLst>
        </c:ser>
        <c:dLbls>
          <c:showLegendKey val="0"/>
          <c:showVal val="0"/>
          <c:showCatName val="0"/>
          <c:showSerName val="0"/>
          <c:showPercent val="0"/>
          <c:showBubbleSize val="0"/>
        </c:dLbls>
        <c:axId val="158682496"/>
        <c:axId val="158688768"/>
      </c:scatterChart>
      <c:valAx>
        <c:axId val="158682496"/>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latin typeface="Times New Roman" panose="02020603050405020304" pitchFamily="18" charset="0"/>
                    <a:cs typeface="Times New Roman" panose="02020603050405020304" pitchFamily="18" charset="0"/>
                  </a:rPr>
                  <a:t>Concentration (mg/ml)</a:t>
                </a:r>
              </a:p>
            </c:rich>
          </c:tx>
          <c:layout>
            <c:manualLayout>
              <c:xMode val="edge"/>
              <c:yMode val="edge"/>
              <c:x val="0.36955618496974607"/>
              <c:y val="0.90020713825251231"/>
            </c:manualLayout>
          </c:layout>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8688768"/>
        <c:crosses val="autoZero"/>
        <c:crossBetween val="midCat"/>
      </c:valAx>
      <c:valAx>
        <c:axId val="158688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1">
                    <a:solidFill>
                      <a:schemeClr val="tx1">
                        <a:lumMod val="95000"/>
                        <a:lumOff val="5000"/>
                      </a:schemeClr>
                    </a:solidFill>
                    <a:latin typeface="Times New Roman" panose="02020603050405020304" pitchFamily="18" charset="0"/>
                    <a:cs typeface="Times New Roman" panose="02020603050405020304" pitchFamily="18" charset="0"/>
                  </a:rPr>
                  <a:t>Absorbance at 470nm</a:t>
                </a:r>
              </a:p>
            </c:rich>
          </c:tx>
          <c:overlay val="0"/>
          <c:spPr>
            <a:noFill/>
            <a:ln>
              <a:noFill/>
            </a:ln>
            <a:effectLst/>
          </c:spPr>
        </c:title>
        <c:numFmt formatCode="General" sourceLinked="1"/>
        <c:majorTickMark val="none"/>
        <c:minorTickMark val="none"/>
        <c:tickLblPos val="nextTo"/>
        <c:spPr>
          <a:noFill/>
          <a:ln w="28575" cap="flat" cmpd="sng" algn="ctr">
            <a:solidFill>
              <a:schemeClr val="tx1">
                <a:lumMod val="95000"/>
                <a:lumOff val="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586824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lumMod val="95000"/>
          <a:lumOff val="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0.00703</cdr:x>
      <cdr:y>0.26024</cdr:y>
    </cdr:from>
    <cdr:to>
      <cdr:x>0.05387</cdr:x>
      <cdr:y>0.79984</cdr:y>
    </cdr:to>
    <cdr:sp macro="" textlink="">
      <cdr:nvSpPr>
        <cdr:cNvPr id="2" name="TextBox 1">
          <a:extLst xmlns:a="http://schemas.openxmlformats.org/drawingml/2006/main">
            <a:ext uri="{FF2B5EF4-FFF2-40B4-BE49-F238E27FC236}">
              <a16:creationId xmlns:a16="http://schemas.microsoft.com/office/drawing/2014/main" id="{CA3F5C51-1F1C-4BC7-BFE7-ED565D31C8DF}"/>
            </a:ext>
          </a:extLst>
        </cdr:cNvPr>
        <cdr:cNvSpPr txBox="1"/>
      </cdr:nvSpPr>
      <cdr:spPr>
        <a:xfrm xmlns:a="http://schemas.openxmlformats.org/drawingml/2006/main" rot="16200000">
          <a:off x="-594429" y="1341947"/>
          <a:ext cx="1480212" cy="2241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0.29978</cdr:x>
      <cdr:y>0.89366</cdr:y>
    </cdr:from>
    <cdr:to>
      <cdr:x>0.64874</cdr:x>
      <cdr:y>0.97066</cdr:y>
    </cdr:to>
    <cdr:sp macro="" textlink="">
      <cdr:nvSpPr>
        <cdr:cNvPr id="3" name="TextBox 2">
          <a:extLst xmlns:a="http://schemas.openxmlformats.org/drawingml/2006/main">
            <a:ext uri="{FF2B5EF4-FFF2-40B4-BE49-F238E27FC236}">
              <a16:creationId xmlns:a16="http://schemas.microsoft.com/office/drawing/2014/main" id="{A92545A8-9729-B03F-C9B0-2D879932CF2F}"/>
            </a:ext>
          </a:extLst>
        </cdr:cNvPr>
        <cdr:cNvSpPr txBox="1"/>
      </cdr:nvSpPr>
      <cdr:spPr>
        <a:xfrm xmlns:a="http://schemas.openxmlformats.org/drawingml/2006/main">
          <a:off x="1434353" y="2730959"/>
          <a:ext cx="1669677" cy="23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endParaRPr lang="en-IN" sz="1200" b="1" kern="1200">
            <a:solidFill>
              <a:schemeClr val="tx1">
                <a:lumMod val="95000"/>
                <a:lumOff val="5000"/>
              </a:schemeClr>
            </a:solidFill>
            <a:latin typeface="Times New Roman" panose="02020603050405020304" pitchFamily="18" charset="0"/>
            <a:cs typeface="Times New Roman" panose="02020603050405020304" pitchFamily="18" charset="0"/>
          </a:endParaRPr>
        </a:p>
        <a:p xmlns:a="http://schemas.openxmlformats.org/drawingml/2006/main">
          <a:r>
            <a:rPr lang="en-IN" sz="1200" b="1" kern="1200">
              <a:solidFill>
                <a:schemeClr val="tx1">
                  <a:lumMod val="95000"/>
                  <a:lumOff val="5000"/>
                </a:schemeClr>
              </a:solidFill>
              <a:latin typeface="Times New Roman" panose="02020603050405020304" pitchFamily="18" charset="0"/>
              <a:cs typeface="Times New Roman" panose="02020603050405020304" pitchFamily="18" charset="0"/>
            </a:rPr>
            <a:t>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A9BA0-3475-48DB-9C45-E584F842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13</Pages>
  <Words>4485</Words>
  <Characters>25570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jenzee Jen</dc:creator>
  <cp:keywords/>
  <dc:description/>
  <cp:lastModifiedBy>SDI 1084</cp:lastModifiedBy>
  <cp:revision>67</cp:revision>
  <dcterms:created xsi:type="dcterms:W3CDTF">2025-10-30T07:51:00Z</dcterms:created>
  <dcterms:modified xsi:type="dcterms:W3CDTF">2026-01-06T10:51:00Z</dcterms:modified>
</cp:coreProperties>
</file>