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B7DAB" w14:textId="2F829A4D" w:rsidR="005347AE" w:rsidRDefault="005347AE" w:rsidP="00D224EF">
      <w:pPr>
        <w:spacing w:line="240" w:lineRule="auto"/>
        <w:rPr>
          <w:rFonts w:ascii="Times New Roman" w:hAnsi="Times New Roman" w:cs="Times New Roman"/>
          <w:b/>
          <w:bCs/>
        </w:rPr>
      </w:pPr>
      <w:r w:rsidRPr="00D224EF">
        <w:rPr>
          <w:rFonts w:ascii="Times New Roman" w:hAnsi="Times New Roman" w:cs="Times New Roman"/>
          <w:b/>
          <w:bCs/>
        </w:rPr>
        <w:t>PLACENTA PRAEVIA IN A NIGERIAN TERTIARY HOSPITAL: PREVALENCE, RISK FACTORS AND FETOMATERNAL OUTCOMES</w:t>
      </w:r>
    </w:p>
    <w:p w14:paraId="1A179363" w14:textId="77777777" w:rsidR="009E105B" w:rsidRPr="00D224EF" w:rsidRDefault="009E105B" w:rsidP="00D224EF">
      <w:pPr>
        <w:spacing w:line="240" w:lineRule="auto"/>
        <w:rPr>
          <w:rFonts w:ascii="Times New Roman" w:hAnsi="Times New Roman" w:cs="Times New Roman"/>
          <w:b/>
          <w:bCs/>
        </w:rPr>
      </w:pPr>
    </w:p>
    <w:p w14:paraId="3CDCA4B4" w14:textId="347D784C" w:rsidR="00E3429E" w:rsidRPr="00E3429E" w:rsidRDefault="00E3429E" w:rsidP="00D224EF">
      <w:pPr>
        <w:spacing w:line="240" w:lineRule="auto"/>
        <w:rPr>
          <w:rFonts w:ascii="Times New Roman" w:hAnsi="Times New Roman" w:cs="Times New Roman"/>
          <w:b/>
          <w:bCs/>
        </w:rPr>
      </w:pPr>
      <w:r w:rsidRPr="00E3429E">
        <w:rPr>
          <w:rFonts w:ascii="Times New Roman" w:hAnsi="Times New Roman" w:cs="Times New Roman"/>
          <w:b/>
          <w:bCs/>
        </w:rPr>
        <w:t>ABSTRACT</w:t>
      </w:r>
    </w:p>
    <w:p w14:paraId="77A75133" w14:textId="77777777" w:rsidR="00E3429E" w:rsidRPr="00E3429E" w:rsidRDefault="00E3429E" w:rsidP="00D224EF">
      <w:pPr>
        <w:spacing w:line="240" w:lineRule="auto"/>
        <w:rPr>
          <w:rFonts w:ascii="Times New Roman" w:hAnsi="Times New Roman" w:cs="Times New Roman"/>
        </w:rPr>
      </w:pPr>
      <w:r w:rsidRPr="00E3429E">
        <w:rPr>
          <w:rFonts w:ascii="Times New Roman" w:hAnsi="Times New Roman" w:cs="Times New Roman"/>
          <w:b/>
          <w:bCs/>
        </w:rPr>
        <w:t>Background:</w:t>
      </w:r>
      <w:r w:rsidRPr="00E3429E">
        <w:rPr>
          <w:rFonts w:ascii="Times New Roman" w:hAnsi="Times New Roman" w:cs="Times New Roman"/>
        </w:rPr>
        <w:br/>
        <w:t xml:space="preserve">Placenta </w:t>
      </w:r>
      <w:proofErr w:type="spellStart"/>
      <w:r w:rsidRPr="00E3429E">
        <w:rPr>
          <w:rFonts w:ascii="Times New Roman" w:hAnsi="Times New Roman" w:cs="Times New Roman"/>
        </w:rPr>
        <w:t>praevia</w:t>
      </w:r>
      <w:proofErr w:type="spellEnd"/>
      <w:r w:rsidRPr="00E3429E">
        <w:rPr>
          <w:rFonts w:ascii="Times New Roman" w:hAnsi="Times New Roman" w:cs="Times New Roman"/>
        </w:rPr>
        <w:t xml:space="preserve"> remains a major contributor to maternal and perinatal morbidity and mortality worldwide, with a disproportionate burden in low- and middle-income countries. Strategies aimed at prevention, timely diagnosis, and appropriate management are essential to minimizing the adverse outcomes associated with this condition.</w:t>
      </w:r>
    </w:p>
    <w:p w14:paraId="68E2FA20" w14:textId="77777777" w:rsidR="00E3429E" w:rsidRPr="00E3429E" w:rsidRDefault="00E3429E" w:rsidP="00D224EF">
      <w:pPr>
        <w:spacing w:line="240" w:lineRule="auto"/>
        <w:rPr>
          <w:rFonts w:ascii="Times New Roman" w:hAnsi="Times New Roman" w:cs="Times New Roman"/>
        </w:rPr>
      </w:pPr>
      <w:r w:rsidRPr="00E3429E">
        <w:rPr>
          <w:rFonts w:ascii="Times New Roman" w:hAnsi="Times New Roman" w:cs="Times New Roman"/>
          <w:b/>
          <w:bCs/>
        </w:rPr>
        <w:t>Objective:</w:t>
      </w:r>
      <w:r w:rsidRPr="00E3429E">
        <w:rPr>
          <w:rFonts w:ascii="Times New Roman" w:hAnsi="Times New Roman" w:cs="Times New Roman"/>
        </w:rPr>
        <w:br/>
        <w:t xml:space="preserve">This study aimed to assess the prevalence, sociodemographic profile, associated risk factors, and </w:t>
      </w:r>
      <w:proofErr w:type="spellStart"/>
      <w:r w:rsidRPr="00E3429E">
        <w:rPr>
          <w:rFonts w:ascii="Times New Roman" w:hAnsi="Times New Roman" w:cs="Times New Roman"/>
        </w:rPr>
        <w:t>fetomaternal</w:t>
      </w:r>
      <w:proofErr w:type="spellEnd"/>
      <w:r w:rsidRPr="00E3429E">
        <w:rPr>
          <w:rFonts w:ascii="Times New Roman" w:hAnsi="Times New Roman" w:cs="Times New Roman"/>
        </w:rPr>
        <w:t xml:space="preserve"> outcomes of pregnancies complicated by placenta </w:t>
      </w:r>
      <w:proofErr w:type="spellStart"/>
      <w:r w:rsidRPr="00E3429E">
        <w:rPr>
          <w:rFonts w:ascii="Times New Roman" w:hAnsi="Times New Roman" w:cs="Times New Roman"/>
        </w:rPr>
        <w:t>praevia</w:t>
      </w:r>
      <w:proofErr w:type="spellEnd"/>
      <w:r w:rsidRPr="00E3429E">
        <w:rPr>
          <w:rFonts w:ascii="Times New Roman" w:hAnsi="Times New Roman" w:cs="Times New Roman"/>
        </w:rPr>
        <w:t>.</w:t>
      </w:r>
    </w:p>
    <w:p w14:paraId="66A28D57" w14:textId="0B825A15" w:rsidR="00E3429E" w:rsidRPr="00E3429E" w:rsidRDefault="00E3429E" w:rsidP="00D224EF">
      <w:pPr>
        <w:spacing w:line="240" w:lineRule="auto"/>
        <w:rPr>
          <w:rFonts w:ascii="Times New Roman" w:hAnsi="Times New Roman" w:cs="Times New Roman"/>
        </w:rPr>
      </w:pPr>
      <w:r w:rsidRPr="00E3429E">
        <w:rPr>
          <w:rFonts w:ascii="Times New Roman" w:hAnsi="Times New Roman" w:cs="Times New Roman"/>
          <w:b/>
          <w:bCs/>
        </w:rPr>
        <w:t>Study Design:</w:t>
      </w:r>
      <w:r w:rsidRPr="00E3429E">
        <w:rPr>
          <w:rFonts w:ascii="Times New Roman" w:hAnsi="Times New Roman" w:cs="Times New Roman"/>
        </w:rPr>
        <w:br/>
        <w:t xml:space="preserve">A retrospective </w:t>
      </w:r>
      <w:r w:rsidRPr="00D224EF">
        <w:rPr>
          <w:rFonts w:ascii="Times New Roman" w:hAnsi="Times New Roman" w:cs="Times New Roman"/>
        </w:rPr>
        <w:t>descriptive study</w:t>
      </w:r>
      <w:r w:rsidRPr="00E3429E">
        <w:rPr>
          <w:rFonts w:ascii="Times New Roman" w:hAnsi="Times New Roman" w:cs="Times New Roman"/>
        </w:rPr>
        <w:t xml:space="preserve"> of women managed for placenta </w:t>
      </w:r>
      <w:proofErr w:type="spellStart"/>
      <w:r w:rsidRPr="00E3429E">
        <w:rPr>
          <w:rFonts w:ascii="Times New Roman" w:hAnsi="Times New Roman" w:cs="Times New Roman"/>
        </w:rPr>
        <w:t>praevia</w:t>
      </w:r>
      <w:proofErr w:type="spellEnd"/>
      <w:r w:rsidRPr="00E3429E">
        <w:rPr>
          <w:rFonts w:ascii="Times New Roman" w:hAnsi="Times New Roman" w:cs="Times New Roman"/>
        </w:rPr>
        <w:t xml:space="preserve"> conducted at the Federal Medical Centre, Yenagoa, Bayelsa State, between 1</w:t>
      </w:r>
      <w:r w:rsidRPr="00D224EF">
        <w:rPr>
          <w:rFonts w:ascii="Times New Roman" w:hAnsi="Times New Roman" w:cs="Times New Roman"/>
        </w:rPr>
        <w:t>st</w:t>
      </w:r>
      <w:r w:rsidRPr="00E3429E">
        <w:rPr>
          <w:rFonts w:ascii="Times New Roman" w:hAnsi="Times New Roman" w:cs="Times New Roman"/>
        </w:rPr>
        <w:t xml:space="preserve"> January 2018 and 31</w:t>
      </w:r>
      <w:r w:rsidRPr="00D224EF">
        <w:rPr>
          <w:rFonts w:ascii="Times New Roman" w:hAnsi="Times New Roman" w:cs="Times New Roman"/>
        </w:rPr>
        <w:t>st</w:t>
      </w:r>
      <w:r w:rsidRPr="00E3429E">
        <w:rPr>
          <w:rFonts w:ascii="Times New Roman" w:hAnsi="Times New Roman" w:cs="Times New Roman"/>
        </w:rPr>
        <w:t xml:space="preserve"> December 2020.</w:t>
      </w:r>
    </w:p>
    <w:p w14:paraId="05153C25" w14:textId="7ADEB40F" w:rsidR="00E3429E" w:rsidRPr="00E3429E" w:rsidRDefault="00E3429E" w:rsidP="00D224EF">
      <w:pPr>
        <w:spacing w:line="240" w:lineRule="auto"/>
        <w:rPr>
          <w:rFonts w:ascii="Times New Roman" w:hAnsi="Times New Roman" w:cs="Times New Roman"/>
        </w:rPr>
      </w:pPr>
      <w:r w:rsidRPr="00E3429E">
        <w:rPr>
          <w:rFonts w:ascii="Times New Roman" w:hAnsi="Times New Roman" w:cs="Times New Roman"/>
          <w:b/>
          <w:bCs/>
        </w:rPr>
        <w:t>Results:</w:t>
      </w:r>
      <w:r w:rsidRPr="00E3429E">
        <w:rPr>
          <w:rFonts w:ascii="Times New Roman" w:hAnsi="Times New Roman" w:cs="Times New Roman"/>
        </w:rPr>
        <w:br/>
        <w:t xml:space="preserve">Placenta </w:t>
      </w:r>
      <w:proofErr w:type="spellStart"/>
      <w:r w:rsidRPr="00E3429E">
        <w:rPr>
          <w:rFonts w:ascii="Times New Roman" w:hAnsi="Times New Roman" w:cs="Times New Roman"/>
        </w:rPr>
        <w:t>praevia</w:t>
      </w:r>
      <w:proofErr w:type="spellEnd"/>
      <w:r w:rsidRPr="00E3429E">
        <w:rPr>
          <w:rFonts w:ascii="Times New Roman" w:hAnsi="Times New Roman" w:cs="Times New Roman"/>
        </w:rPr>
        <w:t xml:space="preserve"> accounted for 38 of 2,375 deliveries during the study period, resulting in an institutional prevalence of 1.6%. The mean maternal age was 32.7 years. The condition occurred most frequently among women aged 31–35 years and was more common in primiparous women. Booking status did not differ among affected patients. Previous caesarean section was the predominant risk factor identified. Nearly all pregnancies resulted in live births, with only one recorded stillbirth. All women were delivered by caesarean section. Postpartum </w:t>
      </w:r>
      <w:proofErr w:type="spellStart"/>
      <w:r w:rsidRPr="00E3429E">
        <w:rPr>
          <w:rFonts w:ascii="Times New Roman" w:hAnsi="Times New Roman" w:cs="Times New Roman"/>
        </w:rPr>
        <w:t>haemorrhage</w:t>
      </w:r>
      <w:proofErr w:type="spellEnd"/>
      <w:r w:rsidRPr="00E3429E">
        <w:rPr>
          <w:rFonts w:ascii="Times New Roman" w:hAnsi="Times New Roman" w:cs="Times New Roman"/>
        </w:rPr>
        <w:t xml:space="preserve"> occurred in 23.6% of cases, while 55.3% of the patients required blood transfusion. No maternal deaths were recorded.</w:t>
      </w:r>
    </w:p>
    <w:p w14:paraId="1AB0FC62" w14:textId="02D475BE" w:rsidR="00E3429E" w:rsidRPr="00D224EF" w:rsidRDefault="00E3429E" w:rsidP="00D224EF">
      <w:pPr>
        <w:spacing w:line="240" w:lineRule="auto"/>
        <w:rPr>
          <w:rFonts w:ascii="Times New Roman" w:hAnsi="Times New Roman" w:cs="Times New Roman"/>
        </w:rPr>
      </w:pPr>
      <w:r w:rsidRPr="00E3429E">
        <w:rPr>
          <w:rFonts w:ascii="Times New Roman" w:hAnsi="Times New Roman" w:cs="Times New Roman"/>
          <w:b/>
          <w:bCs/>
        </w:rPr>
        <w:t>Conclusion:</w:t>
      </w:r>
    </w:p>
    <w:p w14:paraId="4D989C71" w14:textId="0650B142" w:rsidR="00E3429E" w:rsidRDefault="008C23BC" w:rsidP="00D224EF">
      <w:pPr>
        <w:spacing w:line="240" w:lineRule="auto"/>
        <w:rPr>
          <w:rFonts w:ascii="Times New Roman" w:hAnsi="Times New Roman" w:cs="Times New Roman"/>
        </w:rPr>
      </w:pPr>
      <w:r w:rsidRPr="00D224EF">
        <w:rPr>
          <w:rFonts w:ascii="Times New Roman" w:hAnsi="Times New Roman" w:cs="Times New Roman"/>
        </w:rPr>
        <w:t>Placenta previa affected 1.6% of deliveries, predominantly in primiparous women with prior C-sections, and timely caesarean intervention ensured excellent maternal and neonatal outcome.</w:t>
      </w:r>
    </w:p>
    <w:p w14:paraId="7C07872F" w14:textId="4587351A" w:rsidR="005D6237" w:rsidRPr="005D6237" w:rsidRDefault="005D6237" w:rsidP="00D224EF">
      <w:pPr>
        <w:spacing w:line="240" w:lineRule="auto"/>
        <w:rPr>
          <w:rFonts w:ascii="Times New Roman" w:hAnsi="Times New Roman" w:cs="Times New Roman"/>
          <w:b/>
          <w:bCs/>
        </w:rPr>
      </w:pPr>
      <w:r w:rsidRPr="005D6237">
        <w:rPr>
          <w:rFonts w:ascii="Times New Roman" w:hAnsi="Times New Roman" w:cs="Times New Roman"/>
          <w:b/>
          <w:bCs/>
        </w:rPr>
        <w:t xml:space="preserve">Keywords: Placenta </w:t>
      </w:r>
      <w:proofErr w:type="spellStart"/>
      <w:r w:rsidRPr="005D6237">
        <w:rPr>
          <w:rFonts w:ascii="Times New Roman" w:hAnsi="Times New Roman" w:cs="Times New Roman"/>
          <w:b/>
          <w:bCs/>
        </w:rPr>
        <w:t>praevia</w:t>
      </w:r>
      <w:proofErr w:type="spellEnd"/>
      <w:r w:rsidRPr="005D6237">
        <w:rPr>
          <w:rFonts w:ascii="Times New Roman" w:hAnsi="Times New Roman" w:cs="Times New Roman"/>
          <w:b/>
          <w:bCs/>
        </w:rPr>
        <w:t xml:space="preserve">, Prevalence, Risk factors, </w:t>
      </w:r>
      <w:proofErr w:type="spellStart"/>
      <w:r w:rsidRPr="005D6237">
        <w:rPr>
          <w:rFonts w:ascii="Times New Roman" w:hAnsi="Times New Roman" w:cs="Times New Roman"/>
          <w:b/>
          <w:bCs/>
        </w:rPr>
        <w:t>Fetomaternal</w:t>
      </w:r>
      <w:proofErr w:type="spellEnd"/>
      <w:r w:rsidRPr="005D6237">
        <w:rPr>
          <w:rFonts w:ascii="Times New Roman" w:hAnsi="Times New Roman" w:cs="Times New Roman"/>
          <w:b/>
          <w:bCs/>
        </w:rPr>
        <w:t xml:space="preserve"> outcomes, Obstetric complications</w:t>
      </w:r>
    </w:p>
    <w:p w14:paraId="1E4A5250" w14:textId="257A5EED" w:rsidR="00096884" w:rsidRPr="00096884" w:rsidRDefault="00096884" w:rsidP="00D224EF">
      <w:pPr>
        <w:spacing w:line="240" w:lineRule="auto"/>
        <w:rPr>
          <w:rFonts w:ascii="Times New Roman" w:hAnsi="Times New Roman" w:cs="Times New Roman"/>
        </w:rPr>
      </w:pPr>
      <w:r w:rsidRPr="00096884">
        <w:rPr>
          <w:rFonts w:ascii="Times New Roman" w:hAnsi="Times New Roman" w:cs="Times New Roman"/>
          <w:b/>
          <w:bCs/>
        </w:rPr>
        <w:t>INTRODUCTION</w:t>
      </w:r>
      <w:r w:rsidRPr="00096884">
        <w:rPr>
          <w:rFonts w:ascii="Times New Roman" w:hAnsi="Times New Roman" w:cs="Times New Roman"/>
        </w:rPr>
        <w:br/>
        <w:t>Antepartum hemorrhage (APH), like other obstetric emergencies, carries a heightened risk of both maternal and perinatal morbidity and mortality. This risk is compounded by the fact that the obstetrician is simultaneously managing two patients: the mother and the fetus</w:t>
      </w:r>
      <w:r w:rsidRPr="00D224EF">
        <w:rPr>
          <w:rFonts w:ascii="Times New Roman" w:hAnsi="Times New Roman" w:cs="Times New Roman"/>
          <w:vertAlign w:val="superscript"/>
          <w:lang w:val="en-GB"/>
        </w:rPr>
        <w:t>1</w:t>
      </w:r>
      <w:r w:rsidRPr="00096884">
        <w:rPr>
          <w:rFonts w:ascii="Times New Roman" w:hAnsi="Times New Roman" w:cs="Times New Roman"/>
        </w:rPr>
        <w:t xml:space="preserve">. APH is defined as bleeding from the genital tract occurring from the 28th week of gestation up to the onset of </w:t>
      </w:r>
      <w:proofErr w:type="spellStart"/>
      <w:r w:rsidRPr="00096884">
        <w:rPr>
          <w:rFonts w:ascii="Times New Roman" w:hAnsi="Times New Roman" w:cs="Times New Roman"/>
        </w:rPr>
        <w:t>labo</w:t>
      </w:r>
      <w:r w:rsidRPr="00D224EF">
        <w:rPr>
          <w:rFonts w:ascii="Times New Roman" w:hAnsi="Times New Roman" w:cs="Times New Roman"/>
        </w:rPr>
        <w:t>u</w:t>
      </w:r>
      <w:r w:rsidRPr="00096884">
        <w:rPr>
          <w:rFonts w:ascii="Times New Roman" w:hAnsi="Times New Roman" w:cs="Times New Roman"/>
        </w:rPr>
        <w:t>r</w:t>
      </w:r>
      <w:proofErr w:type="spellEnd"/>
      <w:r w:rsidRPr="00D224EF">
        <w:rPr>
          <w:rFonts w:ascii="Times New Roman" w:hAnsi="Times New Roman" w:cs="Times New Roman"/>
          <w:vertAlign w:val="superscript"/>
          <w:lang w:val="en-GB"/>
        </w:rPr>
        <w:t>1</w:t>
      </w:r>
      <w:r w:rsidRPr="00096884">
        <w:rPr>
          <w:rFonts w:ascii="Times New Roman" w:hAnsi="Times New Roman" w:cs="Times New Roman"/>
        </w:rPr>
        <w:t>. It occurs in approximately 2–5% of pregnancies, with most cases involving only minor blood loss</w:t>
      </w:r>
      <w:r w:rsidRPr="00D224EF">
        <w:rPr>
          <w:rFonts w:ascii="Times New Roman" w:hAnsi="Times New Roman" w:cs="Times New Roman"/>
          <w:vertAlign w:val="superscript"/>
          <w:lang w:val="en-GB"/>
        </w:rPr>
        <w:t xml:space="preserve"> 2</w:t>
      </w:r>
      <w:r w:rsidRPr="00096884">
        <w:rPr>
          <w:rFonts w:ascii="Times New Roman" w:hAnsi="Times New Roman" w:cs="Times New Roman"/>
        </w:rPr>
        <w:t>. Nevertheless, substantial hemorrhage can pose serious health risks to both mother and child. The causes of APH can be categorized as placental, fetal, or maternal</w:t>
      </w:r>
      <w:r w:rsidRPr="00D224EF">
        <w:rPr>
          <w:rFonts w:ascii="Times New Roman" w:hAnsi="Times New Roman" w:cs="Times New Roman"/>
          <w:vertAlign w:val="superscript"/>
          <w:lang w:val="en-GB"/>
        </w:rPr>
        <w:t>1, 2</w:t>
      </w:r>
      <w:r w:rsidRPr="00096884">
        <w:rPr>
          <w:rFonts w:ascii="Times New Roman" w:hAnsi="Times New Roman" w:cs="Times New Roman"/>
        </w:rPr>
        <w:t>. Placenta previa refers to a placenta that partially or completely covers the lower uterine segment.</w:t>
      </w:r>
    </w:p>
    <w:p w14:paraId="24447BD0" w14:textId="2E4BBD70" w:rsidR="00096884" w:rsidRPr="00096884" w:rsidRDefault="00096884" w:rsidP="00D224EF">
      <w:pPr>
        <w:spacing w:line="240" w:lineRule="auto"/>
        <w:rPr>
          <w:rFonts w:ascii="Times New Roman" w:hAnsi="Times New Roman" w:cs="Times New Roman"/>
        </w:rPr>
      </w:pPr>
      <w:r w:rsidRPr="00096884">
        <w:rPr>
          <w:rFonts w:ascii="Times New Roman" w:hAnsi="Times New Roman" w:cs="Times New Roman"/>
        </w:rPr>
        <w:lastRenderedPageBreak/>
        <w:t>Several factors predispose to placenta previa, including advanced maternal age, high parity, previous uterine surgery, intrauterine adhesions, conditions causing a large placenta, abnormalities in endometrial vascularization, prior endometrial or myometrial injury, and conception via assisted reproductive techniques</w:t>
      </w:r>
      <w:r w:rsidRPr="00D224EF">
        <w:rPr>
          <w:rFonts w:ascii="Times New Roman" w:hAnsi="Times New Roman" w:cs="Times New Roman"/>
          <w:vertAlign w:val="superscript"/>
          <w:lang w:val="en-GB"/>
        </w:rPr>
        <w:t>1-3</w:t>
      </w:r>
      <w:r w:rsidRPr="00096884">
        <w:rPr>
          <w:rFonts w:ascii="Times New Roman" w:hAnsi="Times New Roman" w:cs="Times New Roman"/>
        </w:rPr>
        <w:t>. Placenta previa is the most common cause of third-trimester bleeding, typically presenting as painless, bright-red vaginal bleeding in about 70% of cases</w:t>
      </w:r>
      <w:r w:rsidRPr="00D224EF">
        <w:rPr>
          <w:rFonts w:ascii="Times New Roman" w:hAnsi="Times New Roman" w:cs="Times New Roman"/>
          <w:vertAlign w:val="superscript"/>
          <w:lang w:val="en-GB"/>
        </w:rPr>
        <w:t>1-4</w:t>
      </w:r>
      <w:r w:rsidRPr="00096884">
        <w:rPr>
          <w:rFonts w:ascii="Times New Roman" w:hAnsi="Times New Roman" w:cs="Times New Roman"/>
        </w:rPr>
        <w:t>. The abdomen is usually soft and non-tender, fetal heart sounds are audible, and many women report prior “herald” bleeds in early gestation resembling threatened abortion</w:t>
      </w:r>
      <w:r w:rsidRPr="00D224EF">
        <w:rPr>
          <w:rFonts w:ascii="Times New Roman" w:hAnsi="Times New Roman" w:cs="Times New Roman"/>
          <w:vertAlign w:val="superscript"/>
          <w:lang w:val="en-GB"/>
        </w:rPr>
        <w:t>1</w:t>
      </w:r>
      <w:r w:rsidRPr="00096884">
        <w:rPr>
          <w:rFonts w:ascii="Times New Roman" w:hAnsi="Times New Roman" w:cs="Times New Roman"/>
        </w:rPr>
        <w:t>.</w:t>
      </w:r>
    </w:p>
    <w:p w14:paraId="724EAF9A" w14:textId="6A671CAC" w:rsidR="00096884" w:rsidRPr="00096884" w:rsidRDefault="00096884" w:rsidP="00D224EF">
      <w:pPr>
        <w:spacing w:line="240" w:lineRule="auto"/>
        <w:rPr>
          <w:rFonts w:ascii="Times New Roman" w:hAnsi="Times New Roman" w:cs="Times New Roman"/>
        </w:rPr>
      </w:pPr>
      <w:r w:rsidRPr="00096884">
        <w:rPr>
          <w:rFonts w:ascii="Times New Roman" w:hAnsi="Times New Roman" w:cs="Times New Roman"/>
        </w:rPr>
        <w:t>Maternal complications associated with placenta previa include hypovolemic shock, disseminated intravascular coagulation, acute renal failure, higher rates of cesarean delivery, peripartum hysterectomy, and postoperative anemia</w:t>
      </w:r>
      <w:r w:rsidRPr="00D224EF">
        <w:rPr>
          <w:rFonts w:ascii="Times New Roman" w:hAnsi="Times New Roman" w:cs="Times New Roman"/>
          <w:vertAlign w:val="superscript"/>
          <w:lang w:val="en-GB"/>
        </w:rPr>
        <w:t>1, 5, 6</w:t>
      </w:r>
      <w:r w:rsidRPr="00096884">
        <w:rPr>
          <w:rFonts w:ascii="Times New Roman" w:hAnsi="Times New Roman" w:cs="Times New Roman"/>
        </w:rPr>
        <w:t>. Studies have reported maternal mortality rates around 1%</w:t>
      </w:r>
      <w:r w:rsidRPr="00D224EF">
        <w:rPr>
          <w:rFonts w:ascii="Times New Roman" w:hAnsi="Times New Roman" w:cs="Times New Roman"/>
          <w:vertAlign w:val="superscript"/>
          <w:lang w:val="en-GB"/>
        </w:rPr>
        <w:t>6, 7</w:t>
      </w:r>
      <w:r w:rsidRPr="00096884">
        <w:rPr>
          <w:rFonts w:ascii="Times New Roman" w:hAnsi="Times New Roman" w:cs="Times New Roman"/>
        </w:rPr>
        <w:t>. Fetal complications include preterm birth, low birth weight, birth asphyxia, and intrauterine fetal death</w:t>
      </w:r>
      <w:r w:rsidRPr="00D224EF">
        <w:rPr>
          <w:rFonts w:ascii="Times New Roman" w:hAnsi="Times New Roman" w:cs="Times New Roman"/>
          <w:vertAlign w:val="superscript"/>
          <w:lang w:val="en-GB"/>
        </w:rPr>
        <w:t>1, 5-7</w:t>
      </w:r>
      <w:r w:rsidRPr="00096884">
        <w:rPr>
          <w:rFonts w:ascii="Times New Roman" w:hAnsi="Times New Roman" w:cs="Times New Roman"/>
        </w:rPr>
        <w:t>. Up to 20% of very preterm infants are born in the context of APH, which has been linked to cerebral palsy primarily due to preterm delivery</w:t>
      </w:r>
      <w:r w:rsidRPr="00D224EF">
        <w:rPr>
          <w:rFonts w:ascii="Times New Roman" w:hAnsi="Times New Roman" w:cs="Times New Roman"/>
          <w:vertAlign w:val="superscript"/>
          <w:lang w:val="en-GB"/>
        </w:rPr>
        <w:t>6</w:t>
      </w:r>
      <w:r w:rsidRPr="00096884">
        <w:rPr>
          <w:rFonts w:ascii="Times New Roman" w:hAnsi="Times New Roman" w:cs="Times New Roman"/>
        </w:rPr>
        <w:t>. Research from Australia indicated that women with unexplained APH face higher risks of preterm delivery and neonatal hyperbilirubinemia. Moreover, their infants are often smaller, even after adjusting for gestational age and other confounding factors. Long-term neonatal complications may extend into childhood, including neurological deficits within the first year of life</w:t>
      </w:r>
      <w:r w:rsidRPr="00D224EF">
        <w:rPr>
          <w:rFonts w:ascii="Times New Roman" w:hAnsi="Times New Roman" w:cs="Times New Roman"/>
          <w:vertAlign w:val="superscript"/>
          <w:lang w:val="en-GB"/>
        </w:rPr>
        <w:t>8</w:t>
      </w:r>
      <w:r w:rsidRPr="00096884">
        <w:rPr>
          <w:rFonts w:ascii="Times New Roman" w:hAnsi="Times New Roman" w:cs="Times New Roman"/>
        </w:rPr>
        <w:t>.</w:t>
      </w:r>
    </w:p>
    <w:p w14:paraId="4FB3AD5E" w14:textId="77777777" w:rsidR="00096884" w:rsidRPr="00096884" w:rsidRDefault="00096884" w:rsidP="00D224EF">
      <w:pPr>
        <w:spacing w:line="240" w:lineRule="auto"/>
        <w:rPr>
          <w:rFonts w:ascii="Times New Roman" w:hAnsi="Times New Roman" w:cs="Times New Roman"/>
        </w:rPr>
      </w:pPr>
      <w:r w:rsidRPr="00096884">
        <w:rPr>
          <w:rFonts w:ascii="Times New Roman" w:hAnsi="Times New Roman" w:cs="Times New Roman"/>
          <w:b/>
          <w:bCs/>
        </w:rPr>
        <w:t>OBJECTIVES</w:t>
      </w:r>
    </w:p>
    <w:p w14:paraId="3B0EC3E5" w14:textId="77777777" w:rsidR="00096884" w:rsidRPr="00096884" w:rsidRDefault="00096884" w:rsidP="00D224EF">
      <w:pPr>
        <w:numPr>
          <w:ilvl w:val="0"/>
          <w:numId w:val="1"/>
        </w:numPr>
        <w:spacing w:line="240" w:lineRule="auto"/>
        <w:rPr>
          <w:rFonts w:ascii="Times New Roman" w:hAnsi="Times New Roman" w:cs="Times New Roman"/>
        </w:rPr>
      </w:pPr>
      <w:r w:rsidRPr="00096884">
        <w:rPr>
          <w:rFonts w:ascii="Times New Roman" w:hAnsi="Times New Roman" w:cs="Times New Roman"/>
        </w:rPr>
        <w:t>To determine the prevalence of placenta previa.</w:t>
      </w:r>
    </w:p>
    <w:p w14:paraId="407DEC60" w14:textId="77777777" w:rsidR="00096884" w:rsidRPr="00096884" w:rsidRDefault="00096884" w:rsidP="00D224EF">
      <w:pPr>
        <w:numPr>
          <w:ilvl w:val="0"/>
          <w:numId w:val="1"/>
        </w:numPr>
        <w:spacing w:line="240" w:lineRule="auto"/>
        <w:rPr>
          <w:rFonts w:ascii="Times New Roman" w:hAnsi="Times New Roman" w:cs="Times New Roman"/>
        </w:rPr>
      </w:pPr>
      <w:r w:rsidRPr="00096884">
        <w:rPr>
          <w:rFonts w:ascii="Times New Roman" w:hAnsi="Times New Roman" w:cs="Times New Roman"/>
        </w:rPr>
        <w:t>To examine the sociodemographic characteristics of women managed for placenta previa.</w:t>
      </w:r>
    </w:p>
    <w:p w14:paraId="39E203F4" w14:textId="77777777" w:rsidR="00096884" w:rsidRPr="00096884" w:rsidRDefault="00096884" w:rsidP="00D224EF">
      <w:pPr>
        <w:numPr>
          <w:ilvl w:val="0"/>
          <w:numId w:val="1"/>
        </w:numPr>
        <w:spacing w:line="240" w:lineRule="auto"/>
        <w:rPr>
          <w:rFonts w:ascii="Times New Roman" w:hAnsi="Times New Roman" w:cs="Times New Roman"/>
        </w:rPr>
      </w:pPr>
      <w:r w:rsidRPr="00096884">
        <w:rPr>
          <w:rFonts w:ascii="Times New Roman" w:hAnsi="Times New Roman" w:cs="Times New Roman"/>
        </w:rPr>
        <w:t>To identify the causes of placenta previa.</w:t>
      </w:r>
    </w:p>
    <w:p w14:paraId="2EBE82C1" w14:textId="77777777" w:rsidR="00096884" w:rsidRPr="00096884" w:rsidRDefault="00096884" w:rsidP="00D224EF">
      <w:pPr>
        <w:numPr>
          <w:ilvl w:val="0"/>
          <w:numId w:val="1"/>
        </w:numPr>
        <w:spacing w:line="240" w:lineRule="auto"/>
        <w:rPr>
          <w:rFonts w:ascii="Times New Roman" w:hAnsi="Times New Roman" w:cs="Times New Roman"/>
        </w:rPr>
      </w:pPr>
      <w:r w:rsidRPr="00096884">
        <w:rPr>
          <w:rFonts w:ascii="Times New Roman" w:hAnsi="Times New Roman" w:cs="Times New Roman"/>
        </w:rPr>
        <w:t xml:space="preserve">To assess the </w:t>
      </w:r>
      <w:proofErr w:type="spellStart"/>
      <w:r w:rsidRPr="00096884">
        <w:rPr>
          <w:rFonts w:ascii="Times New Roman" w:hAnsi="Times New Roman" w:cs="Times New Roman"/>
        </w:rPr>
        <w:t>fetomaternal</w:t>
      </w:r>
      <w:proofErr w:type="spellEnd"/>
      <w:r w:rsidRPr="00096884">
        <w:rPr>
          <w:rFonts w:ascii="Times New Roman" w:hAnsi="Times New Roman" w:cs="Times New Roman"/>
        </w:rPr>
        <w:t xml:space="preserve"> outcomes of pregnancies complicated by placenta previa.</w:t>
      </w:r>
    </w:p>
    <w:p w14:paraId="5DAAFB28" w14:textId="7DA126EF" w:rsidR="00096884" w:rsidRPr="00096884" w:rsidRDefault="00096884" w:rsidP="00D224EF">
      <w:pPr>
        <w:spacing w:line="240" w:lineRule="auto"/>
        <w:rPr>
          <w:rFonts w:ascii="Times New Roman" w:hAnsi="Times New Roman" w:cs="Times New Roman"/>
        </w:rPr>
      </w:pPr>
      <w:r w:rsidRPr="00096884">
        <w:rPr>
          <w:rFonts w:ascii="Times New Roman" w:hAnsi="Times New Roman" w:cs="Times New Roman"/>
          <w:b/>
          <w:bCs/>
        </w:rPr>
        <w:t>MATERIALS AND METHODS</w:t>
      </w:r>
      <w:r w:rsidRPr="00096884">
        <w:rPr>
          <w:rFonts w:ascii="Times New Roman" w:hAnsi="Times New Roman" w:cs="Times New Roman"/>
        </w:rPr>
        <w:br/>
        <w:t>This retrospective</w:t>
      </w:r>
      <w:r w:rsidR="000D21D6" w:rsidRPr="00D224EF">
        <w:rPr>
          <w:rFonts w:ascii="Times New Roman" w:hAnsi="Times New Roman" w:cs="Times New Roman"/>
        </w:rPr>
        <w:t xml:space="preserve"> descriptive</w:t>
      </w:r>
      <w:r w:rsidRPr="00096884">
        <w:rPr>
          <w:rFonts w:ascii="Times New Roman" w:hAnsi="Times New Roman" w:cs="Times New Roman"/>
        </w:rPr>
        <w:t xml:space="preserve"> study was conducted at the Federal Medical Centre, Yenagoa, over a three-year period. Ethical approval was obtained from the institution’s Ethics and Research Committee prior to the study. All </w:t>
      </w:r>
      <w:proofErr w:type="spellStart"/>
      <w:r w:rsidRPr="00096884">
        <w:rPr>
          <w:rFonts w:ascii="Times New Roman" w:hAnsi="Times New Roman" w:cs="Times New Roman"/>
        </w:rPr>
        <w:t>parturients</w:t>
      </w:r>
      <w:proofErr w:type="spellEnd"/>
      <w:r w:rsidRPr="00096884">
        <w:rPr>
          <w:rFonts w:ascii="Times New Roman" w:hAnsi="Times New Roman" w:cs="Times New Roman"/>
        </w:rPr>
        <w:t xml:space="preserve"> diagnosed with placenta previa between January 1</w:t>
      </w:r>
      <w:r w:rsidR="000D21D6" w:rsidRPr="00D224EF">
        <w:rPr>
          <w:rFonts w:ascii="Times New Roman" w:hAnsi="Times New Roman" w:cs="Times New Roman"/>
        </w:rPr>
        <w:t>st</w:t>
      </w:r>
      <w:r w:rsidRPr="00096884">
        <w:rPr>
          <w:rFonts w:ascii="Times New Roman" w:hAnsi="Times New Roman" w:cs="Times New Roman"/>
        </w:rPr>
        <w:t>, 2018, and December 31</w:t>
      </w:r>
      <w:r w:rsidR="000D21D6" w:rsidRPr="00D224EF">
        <w:rPr>
          <w:rFonts w:ascii="Times New Roman" w:hAnsi="Times New Roman" w:cs="Times New Roman"/>
        </w:rPr>
        <w:t>st</w:t>
      </w:r>
      <w:r w:rsidRPr="00096884">
        <w:rPr>
          <w:rFonts w:ascii="Times New Roman" w:hAnsi="Times New Roman" w:cs="Times New Roman"/>
        </w:rPr>
        <w:t xml:space="preserve">, 2020, were identified from </w:t>
      </w:r>
      <w:proofErr w:type="spellStart"/>
      <w:r w:rsidRPr="00096884">
        <w:rPr>
          <w:rFonts w:ascii="Times New Roman" w:hAnsi="Times New Roman" w:cs="Times New Roman"/>
        </w:rPr>
        <w:t>labo</w:t>
      </w:r>
      <w:r w:rsidR="000D21D6" w:rsidRPr="00D224EF">
        <w:rPr>
          <w:rFonts w:ascii="Times New Roman" w:hAnsi="Times New Roman" w:cs="Times New Roman"/>
        </w:rPr>
        <w:t>u</w:t>
      </w:r>
      <w:r w:rsidRPr="00096884">
        <w:rPr>
          <w:rFonts w:ascii="Times New Roman" w:hAnsi="Times New Roman" w:cs="Times New Roman"/>
        </w:rPr>
        <w:t>r</w:t>
      </w:r>
      <w:proofErr w:type="spellEnd"/>
      <w:r w:rsidRPr="00096884">
        <w:rPr>
          <w:rFonts w:ascii="Times New Roman" w:hAnsi="Times New Roman" w:cs="Times New Roman"/>
        </w:rPr>
        <w:t xml:space="preserve"> ward and theatr</w:t>
      </w:r>
      <w:r w:rsidR="000D21D6" w:rsidRPr="00D224EF">
        <w:rPr>
          <w:rFonts w:ascii="Times New Roman" w:hAnsi="Times New Roman" w:cs="Times New Roman"/>
        </w:rPr>
        <w:t>e</w:t>
      </w:r>
      <w:r w:rsidRPr="00096884">
        <w:rPr>
          <w:rFonts w:ascii="Times New Roman" w:hAnsi="Times New Roman" w:cs="Times New Roman"/>
        </w:rPr>
        <w:t xml:space="preserve"> records. Their case </w:t>
      </w:r>
      <w:r w:rsidR="000D21D6" w:rsidRPr="00D224EF">
        <w:rPr>
          <w:rFonts w:ascii="Times New Roman" w:hAnsi="Times New Roman" w:cs="Times New Roman"/>
        </w:rPr>
        <w:t xml:space="preserve">notes </w:t>
      </w:r>
      <w:proofErr w:type="gramStart"/>
      <w:r w:rsidR="000D21D6" w:rsidRPr="00D224EF">
        <w:rPr>
          <w:rFonts w:ascii="Times New Roman" w:hAnsi="Times New Roman" w:cs="Times New Roman"/>
        </w:rPr>
        <w:t>was</w:t>
      </w:r>
      <w:proofErr w:type="gramEnd"/>
      <w:r w:rsidRPr="00096884">
        <w:rPr>
          <w:rFonts w:ascii="Times New Roman" w:hAnsi="Times New Roman" w:cs="Times New Roman"/>
        </w:rPr>
        <w:t xml:space="preserve"> retrieved from the Medical Records Department, achieving a 100% retrieval rate. Total deliveries during the study period were obtained from the hospital’s statistics unit. Relevant information on maternal age, parity, booking status, gestational age at presentation, social status, mode of delivery, fetal sex and weight, and </w:t>
      </w:r>
      <w:proofErr w:type="spellStart"/>
      <w:r w:rsidRPr="00096884">
        <w:rPr>
          <w:rFonts w:ascii="Times New Roman" w:hAnsi="Times New Roman" w:cs="Times New Roman"/>
        </w:rPr>
        <w:t>fetomaternal</w:t>
      </w:r>
      <w:proofErr w:type="spellEnd"/>
      <w:r w:rsidRPr="00096884">
        <w:rPr>
          <w:rFonts w:ascii="Times New Roman" w:hAnsi="Times New Roman" w:cs="Times New Roman"/>
        </w:rPr>
        <w:t xml:space="preserve"> outcomes was extracted using a structured proforma. Data were coded, entered into a spreadsheet, and analyzed using SPSS version 25.0.</w:t>
      </w:r>
    </w:p>
    <w:p w14:paraId="03720D98" w14:textId="5293E749" w:rsidR="00096884" w:rsidRPr="00D224EF" w:rsidRDefault="00096884" w:rsidP="00D224EF">
      <w:pPr>
        <w:spacing w:line="240" w:lineRule="auto"/>
        <w:rPr>
          <w:rFonts w:ascii="Times New Roman" w:hAnsi="Times New Roman" w:cs="Times New Roman"/>
        </w:rPr>
      </w:pPr>
      <w:r w:rsidRPr="00096884">
        <w:rPr>
          <w:rFonts w:ascii="Times New Roman" w:hAnsi="Times New Roman" w:cs="Times New Roman"/>
          <w:b/>
          <w:bCs/>
        </w:rPr>
        <w:t>RESULTS</w:t>
      </w:r>
      <w:r w:rsidRPr="00096884">
        <w:rPr>
          <w:rFonts w:ascii="Times New Roman" w:hAnsi="Times New Roman" w:cs="Times New Roman"/>
        </w:rPr>
        <w:br/>
        <w:t>Out of 2,375 deliveries during the study period, 38 cases were diagnosed with placenta previa, yielding a prevalence of 1.6%. The mean maternal age was 32.7 years. Placenta previa was most common among women aged 31–35 years and primiparous women. There was no difference in booking status among affected women. The most frequent risk factor was a previous cesarean section. Nearly all women delivered live infants, with only one stillbirth recorded. All cases were managed via cesarean section, and postpartum hemorrhage occurred in 23.6% of cases, while 55.3% required blood transfusion. No maternal deaths were reported during the study period</w:t>
      </w:r>
      <w:r w:rsidR="00421504" w:rsidRPr="00D224EF">
        <w:rPr>
          <w:rFonts w:ascii="Times New Roman" w:hAnsi="Times New Roman" w:cs="Times New Roman"/>
        </w:rPr>
        <w:t>.</w:t>
      </w:r>
    </w:p>
    <w:p w14:paraId="6B84B274" w14:textId="77777777" w:rsidR="00421504" w:rsidRPr="00D224EF" w:rsidRDefault="00421504" w:rsidP="00D224EF">
      <w:pPr>
        <w:spacing w:line="240" w:lineRule="auto"/>
        <w:rPr>
          <w:rFonts w:ascii="Times New Roman" w:hAnsi="Times New Roman" w:cs="Times New Roman"/>
          <w:b/>
        </w:rPr>
      </w:pPr>
      <w:r w:rsidRPr="00D224EF">
        <w:rPr>
          <w:rFonts w:ascii="Times New Roman" w:hAnsi="Times New Roman" w:cs="Times New Roman"/>
          <w:b/>
          <w:lang w:val="en-GB"/>
        </w:rPr>
        <w:lastRenderedPageBreak/>
        <w:t>Table 1: Sociodemographic characteristics of placenta praevia.</w:t>
      </w:r>
    </w:p>
    <w:tbl>
      <w:tblPr>
        <w:tblStyle w:val="TableGrid"/>
        <w:tblW w:w="0" w:type="auto"/>
        <w:tblLook w:val="04A0" w:firstRow="1" w:lastRow="0" w:firstColumn="1" w:lastColumn="0" w:noHBand="0" w:noVBand="1"/>
      </w:tblPr>
      <w:tblGrid>
        <w:gridCol w:w="3149"/>
        <w:gridCol w:w="3097"/>
        <w:gridCol w:w="3097"/>
      </w:tblGrid>
      <w:tr w:rsidR="00421504" w:rsidRPr="00D224EF" w14:paraId="40AAACF1" w14:textId="77777777" w:rsidTr="007C6855">
        <w:tc>
          <w:tcPr>
            <w:tcW w:w="3149" w:type="dxa"/>
          </w:tcPr>
          <w:p w14:paraId="5CBF0FF0"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Factors</w:t>
            </w:r>
          </w:p>
        </w:tc>
        <w:tc>
          <w:tcPr>
            <w:tcW w:w="3097" w:type="dxa"/>
          </w:tcPr>
          <w:p w14:paraId="28D35782"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Frequency</w:t>
            </w:r>
          </w:p>
        </w:tc>
        <w:tc>
          <w:tcPr>
            <w:tcW w:w="3097" w:type="dxa"/>
          </w:tcPr>
          <w:p w14:paraId="4ED0F097"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w:t>
            </w:r>
          </w:p>
        </w:tc>
      </w:tr>
      <w:tr w:rsidR="00421504" w:rsidRPr="00D224EF" w14:paraId="3C7364F6" w14:textId="77777777" w:rsidTr="007C6855">
        <w:tc>
          <w:tcPr>
            <w:tcW w:w="3149" w:type="dxa"/>
          </w:tcPr>
          <w:p w14:paraId="6EB97C74"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21 – 25</w:t>
            </w:r>
          </w:p>
        </w:tc>
        <w:tc>
          <w:tcPr>
            <w:tcW w:w="3097" w:type="dxa"/>
          </w:tcPr>
          <w:p w14:paraId="5CE8655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5A85073C"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421504" w:rsidRPr="00D224EF" w14:paraId="22917F37" w14:textId="77777777" w:rsidTr="007C6855">
        <w:tc>
          <w:tcPr>
            <w:tcW w:w="3149" w:type="dxa"/>
          </w:tcPr>
          <w:p w14:paraId="31F4F4E1"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26 – 30</w:t>
            </w:r>
          </w:p>
        </w:tc>
        <w:tc>
          <w:tcPr>
            <w:tcW w:w="3097" w:type="dxa"/>
          </w:tcPr>
          <w:p w14:paraId="1D632878"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00143713"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421504" w:rsidRPr="00D224EF" w14:paraId="2ECF70C5" w14:textId="77777777" w:rsidTr="007C6855">
        <w:tc>
          <w:tcPr>
            <w:tcW w:w="3149" w:type="dxa"/>
          </w:tcPr>
          <w:p w14:paraId="42CA1402"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31 – 35</w:t>
            </w:r>
          </w:p>
        </w:tc>
        <w:tc>
          <w:tcPr>
            <w:tcW w:w="3097" w:type="dxa"/>
          </w:tcPr>
          <w:p w14:paraId="5D6E6C96"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7048AAD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421504" w:rsidRPr="00D224EF" w14:paraId="66B68493" w14:textId="77777777" w:rsidTr="007C6855">
        <w:tc>
          <w:tcPr>
            <w:tcW w:w="3149" w:type="dxa"/>
          </w:tcPr>
          <w:p w14:paraId="67260DE8"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36 – 40</w:t>
            </w:r>
          </w:p>
        </w:tc>
        <w:tc>
          <w:tcPr>
            <w:tcW w:w="3097" w:type="dxa"/>
          </w:tcPr>
          <w:p w14:paraId="39F05D0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11 </w:t>
            </w:r>
          </w:p>
        </w:tc>
        <w:tc>
          <w:tcPr>
            <w:tcW w:w="3097" w:type="dxa"/>
          </w:tcPr>
          <w:p w14:paraId="552E27B7"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28.9</w:t>
            </w:r>
          </w:p>
        </w:tc>
      </w:tr>
      <w:tr w:rsidR="00421504" w:rsidRPr="00D224EF" w14:paraId="0D971D79" w14:textId="77777777" w:rsidTr="007C6855">
        <w:tc>
          <w:tcPr>
            <w:tcW w:w="3149" w:type="dxa"/>
          </w:tcPr>
          <w:p w14:paraId="0308E73A" w14:textId="77777777" w:rsidR="00421504" w:rsidRPr="00D224EF" w:rsidRDefault="00421504" w:rsidP="00D224EF">
            <w:pPr>
              <w:ind w:left="130"/>
              <w:rPr>
                <w:rFonts w:ascii="Times New Roman" w:hAnsi="Times New Roman" w:cs="Times New Roman"/>
                <w:sz w:val="24"/>
                <w:szCs w:val="24"/>
              </w:rPr>
            </w:pPr>
            <w:r w:rsidRPr="00D224EF">
              <w:rPr>
                <w:rFonts w:ascii="Times New Roman" w:hAnsi="Times New Roman" w:cs="Times New Roman"/>
                <w:sz w:val="24"/>
                <w:szCs w:val="24"/>
              </w:rPr>
              <w:t>&gt;40</w:t>
            </w:r>
          </w:p>
        </w:tc>
        <w:tc>
          <w:tcPr>
            <w:tcW w:w="3097" w:type="dxa"/>
          </w:tcPr>
          <w:p w14:paraId="079B5E29"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097" w:type="dxa"/>
          </w:tcPr>
          <w:p w14:paraId="6E780650"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2.6</w:t>
            </w:r>
          </w:p>
        </w:tc>
      </w:tr>
      <w:tr w:rsidR="00421504" w:rsidRPr="00D224EF" w14:paraId="634D8843" w14:textId="77777777" w:rsidTr="007C6855">
        <w:tc>
          <w:tcPr>
            <w:tcW w:w="3149" w:type="dxa"/>
          </w:tcPr>
          <w:p w14:paraId="79525D3B"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Nulliparous</w:t>
            </w:r>
          </w:p>
        </w:tc>
        <w:tc>
          <w:tcPr>
            <w:tcW w:w="3097" w:type="dxa"/>
          </w:tcPr>
          <w:p w14:paraId="67CF9C10"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w:t>
            </w:r>
          </w:p>
        </w:tc>
        <w:tc>
          <w:tcPr>
            <w:tcW w:w="3097" w:type="dxa"/>
          </w:tcPr>
          <w:p w14:paraId="22A306ED"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5.3</w:t>
            </w:r>
          </w:p>
        </w:tc>
      </w:tr>
      <w:tr w:rsidR="00421504" w:rsidRPr="00D224EF" w14:paraId="1727E48F" w14:textId="77777777" w:rsidTr="007C6855">
        <w:tc>
          <w:tcPr>
            <w:tcW w:w="3149" w:type="dxa"/>
          </w:tcPr>
          <w:p w14:paraId="30716E33"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Primipara</w:t>
            </w:r>
          </w:p>
        </w:tc>
        <w:tc>
          <w:tcPr>
            <w:tcW w:w="3097" w:type="dxa"/>
          </w:tcPr>
          <w:p w14:paraId="0A9D57AC"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097" w:type="dxa"/>
          </w:tcPr>
          <w:p w14:paraId="51391D5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42.1</w:t>
            </w:r>
          </w:p>
        </w:tc>
      </w:tr>
      <w:tr w:rsidR="00421504" w:rsidRPr="00D224EF" w14:paraId="5C8A4A44" w14:textId="77777777" w:rsidTr="007C6855">
        <w:tc>
          <w:tcPr>
            <w:tcW w:w="3149" w:type="dxa"/>
          </w:tcPr>
          <w:p w14:paraId="7077F3C6"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Multipara</w:t>
            </w:r>
          </w:p>
        </w:tc>
        <w:tc>
          <w:tcPr>
            <w:tcW w:w="3097" w:type="dxa"/>
          </w:tcPr>
          <w:p w14:paraId="44CFEB1D"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15 </w:t>
            </w:r>
          </w:p>
        </w:tc>
        <w:tc>
          <w:tcPr>
            <w:tcW w:w="3097" w:type="dxa"/>
          </w:tcPr>
          <w:p w14:paraId="777B9EDC"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39.4</w:t>
            </w:r>
          </w:p>
        </w:tc>
      </w:tr>
      <w:tr w:rsidR="00421504" w:rsidRPr="00D224EF" w14:paraId="5BBB0529" w14:textId="77777777" w:rsidTr="007C6855">
        <w:tc>
          <w:tcPr>
            <w:tcW w:w="3149" w:type="dxa"/>
          </w:tcPr>
          <w:p w14:paraId="405005B8" w14:textId="77777777" w:rsidR="00421504" w:rsidRPr="00D224EF" w:rsidRDefault="00421504" w:rsidP="00D224EF">
            <w:pPr>
              <w:rPr>
                <w:rFonts w:ascii="Times New Roman" w:hAnsi="Times New Roman" w:cs="Times New Roman"/>
                <w:sz w:val="24"/>
                <w:szCs w:val="24"/>
              </w:rPr>
            </w:pPr>
            <w:proofErr w:type="spellStart"/>
            <w:r w:rsidRPr="00D224EF">
              <w:rPr>
                <w:rFonts w:ascii="Times New Roman" w:hAnsi="Times New Roman" w:cs="Times New Roman"/>
                <w:sz w:val="24"/>
                <w:szCs w:val="24"/>
              </w:rPr>
              <w:t>Grandmultipara</w:t>
            </w:r>
            <w:proofErr w:type="spellEnd"/>
          </w:p>
          <w:p w14:paraId="58F836B7" w14:textId="77777777" w:rsidR="00421504" w:rsidRPr="00D224EF" w:rsidRDefault="00421504" w:rsidP="00D224EF">
            <w:pPr>
              <w:rPr>
                <w:rFonts w:ascii="Times New Roman" w:hAnsi="Times New Roman" w:cs="Times New Roman"/>
                <w:sz w:val="24"/>
                <w:szCs w:val="24"/>
              </w:rPr>
            </w:pPr>
          </w:p>
        </w:tc>
        <w:tc>
          <w:tcPr>
            <w:tcW w:w="3097" w:type="dxa"/>
          </w:tcPr>
          <w:p w14:paraId="4557E046"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5 </w:t>
            </w:r>
          </w:p>
        </w:tc>
        <w:tc>
          <w:tcPr>
            <w:tcW w:w="3097" w:type="dxa"/>
          </w:tcPr>
          <w:p w14:paraId="5743B672"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13.2</w:t>
            </w:r>
          </w:p>
        </w:tc>
      </w:tr>
      <w:tr w:rsidR="00421504" w:rsidRPr="00D224EF" w14:paraId="5B246BE9" w14:textId="77777777" w:rsidTr="007C6855">
        <w:tc>
          <w:tcPr>
            <w:tcW w:w="3149" w:type="dxa"/>
          </w:tcPr>
          <w:p w14:paraId="30C1D641"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Booked</w:t>
            </w:r>
          </w:p>
        </w:tc>
        <w:tc>
          <w:tcPr>
            <w:tcW w:w="3097" w:type="dxa"/>
          </w:tcPr>
          <w:p w14:paraId="174545B8"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57906FF8"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421504" w:rsidRPr="00D224EF" w14:paraId="25450024" w14:textId="77777777" w:rsidTr="007C6855">
        <w:tc>
          <w:tcPr>
            <w:tcW w:w="3149" w:type="dxa"/>
          </w:tcPr>
          <w:p w14:paraId="1F4CBC4A" w14:textId="77777777" w:rsidR="00421504" w:rsidRPr="00D224EF" w:rsidRDefault="00421504" w:rsidP="00D224EF">
            <w:pPr>
              <w:spacing w:after="397"/>
              <w:rPr>
                <w:rFonts w:ascii="Times New Roman" w:hAnsi="Times New Roman" w:cs="Times New Roman"/>
                <w:sz w:val="24"/>
                <w:szCs w:val="24"/>
              </w:rPr>
            </w:pPr>
            <w:proofErr w:type="spellStart"/>
            <w:r w:rsidRPr="00D224EF">
              <w:rPr>
                <w:rFonts w:ascii="Times New Roman" w:hAnsi="Times New Roman" w:cs="Times New Roman"/>
                <w:sz w:val="24"/>
                <w:szCs w:val="24"/>
              </w:rPr>
              <w:t>Unbooked</w:t>
            </w:r>
            <w:proofErr w:type="spellEnd"/>
          </w:p>
        </w:tc>
        <w:tc>
          <w:tcPr>
            <w:tcW w:w="3097" w:type="dxa"/>
          </w:tcPr>
          <w:p w14:paraId="5DE012E9"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097" w:type="dxa"/>
          </w:tcPr>
          <w:p w14:paraId="78425F0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50</w:t>
            </w:r>
          </w:p>
        </w:tc>
      </w:tr>
      <w:tr w:rsidR="00421504" w:rsidRPr="00D224EF" w14:paraId="3C3DC054" w14:textId="77777777" w:rsidTr="007C6855">
        <w:tc>
          <w:tcPr>
            <w:tcW w:w="3149" w:type="dxa"/>
          </w:tcPr>
          <w:p w14:paraId="63232225"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Employed  </w:t>
            </w:r>
          </w:p>
        </w:tc>
        <w:tc>
          <w:tcPr>
            <w:tcW w:w="3097" w:type="dxa"/>
          </w:tcPr>
          <w:p w14:paraId="55E1C0B4"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28 </w:t>
            </w:r>
          </w:p>
        </w:tc>
        <w:tc>
          <w:tcPr>
            <w:tcW w:w="3097" w:type="dxa"/>
          </w:tcPr>
          <w:p w14:paraId="50AA9C5F"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73.7</w:t>
            </w:r>
          </w:p>
        </w:tc>
      </w:tr>
      <w:tr w:rsidR="00421504" w:rsidRPr="00D224EF" w14:paraId="5D3B7936" w14:textId="77777777" w:rsidTr="007C6855">
        <w:tc>
          <w:tcPr>
            <w:tcW w:w="3149" w:type="dxa"/>
          </w:tcPr>
          <w:p w14:paraId="28082BDC"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Unemployed</w:t>
            </w:r>
          </w:p>
        </w:tc>
        <w:tc>
          <w:tcPr>
            <w:tcW w:w="3097" w:type="dxa"/>
          </w:tcPr>
          <w:p w14:paraId="5C876C7D"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097" w:type="dxa"/>
          </w:tcPr>
          <w:p w14:paraId="5259E1E2"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26.3</w:t>
            </w:r>
          </w:p>
        </w:tc>
      </w:tr>
      <w:tr w:rsidR="00421504" w:rsidRPr="00D224EF" w14:paraId="525BB28F" w14:textId="77777777" w:rsidTr="007C6855">
        <w:tc>
          <w:tcPr>
            <w:tcW w:w="3149" w:type="dxa"/>
          </w:tcPr>
          <w:p w14:paraId="4DA5EBD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Single</w:t>
            </w:r>
          </w:p>
        </w:tc>
        <w:tc>
          <w:tcPr>
            <w:tcW w:w="3097" w:type="dxa"/>
          </w:tcPr>
          <w:p w14:paraId="7155DEDD"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4 </w:t>
            </w:r>
          </w:p>
        </w:tc>
        <w:tc>
          <w:tcPr>
            <w:tcW w:w="3097" w:type="dxa"/>
          </w:tcPr>
          <w:p w14:paraId="0653A7DE"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10.5</w:t>
            </w:r>
          </w:p>
        </w:tc>
      </w:tr>
      <w:tr w:rsidR="00421504" w:rsidRPr="00D224EF" w14:paraId="0533A9D7" w14:textId="77777777" w:rsidTr="007C6855">
        <w:tc>
          <w:tcPr>
            <w:tcW w:w="3149" w:type="dxa"/>
          </w:tcPr>
          <w:p w14:paraId="22DDF9A8"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Married</w:t>
            </w:r>
          </w:p>
        </w:tc>
        <w:tc>
          <w:tcPr>
            <w:tcW w:w="3097" w:type="dxa"/>
          </w:tcPr>
          <w:p w14:paraId="38BF767A"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 xml:space="preserve">34 </w:t>
            </w:r>
          </w:p>
        </w:tc>
        <w:tc>
          <w:tcPr>
            <w:tcW w:w="3097" w:type="dxa"/>
          </w:tcPr>
          <w:p w14:paraId="2430F4FF" w14:textId="77777777" w:rsidR="00421504" w:rsidRPr="00D224EF" w:rsidRDefault="00421504" w:rsidP="00D224EF">
            <w:pPr>
              <w:spacing w:after="397"/>
              <w:rPr>
                <w:rFonts w:ascii="Times New Roman" w:hAnsi="Times New Roman" w:cs="Times New Roman"/>
                <w:sz w:val="24"/>
                <w:szCs w:val="24"/>
              </w:rPr>
            </w:pPr>
            <w:r w:rsidRPr="00D224EF">
              <w:rPr>
                <w:rFonts w:ascii="Times New Roman" w:hAnsi="Times New Roman" w:cs="Times New Roman"/>
                <w:sz w:val="24"/>
                <w:szCs w:val="24"/>
              </w:rPr>
              <w:t>89.5</w:t>
            </w:r>
          </w:p>
        </w:tc>
      </w:tr>
    </w:tbl>
    <w:p w14:paraId="37205B6A" w14:textId="7434F2C6" w:rsidR="005C7CF0" w:rsidRPr="005C7CF0" w:rsidRDefault="005C7CF0" w:rsidP="005C7CF0">
      <w:pPr>
        <w:spacing w:line="240" w:lineRule="auto"/>
        <w:rPr>
          <w:rFonts w:ascii="Times New Roman" w:hAnsi="Times New Roman" w:cs="Times New Roman"/>
        </w:rPr>
      </w:pPr>
      <w:r>
        <w:rPr>
          <w:rFonts w:ascii="Times New Roman" w:hAnsi="Times New Roman" w:cs="Times New Roman"/>
        </w:rPr>
        <w:t xml:space="preserve">Most </w:t>
      </w:r>
      <w:r w:rsidRPr="00096884">
        <w:rPr>
          <w:rFonts w:ascii="Times New Roman" w:hAnsi="Times New Roman" w:cs="Times New Roman"/>
        </w:rPr>
        <w:t xml:space="preserve">women </w:t>
      </w:r>
      <w:r>
        <w:rPr>
          <w:rFonts w:ascii="Times New Roman" w:hAnsi="Times New Roman" w:cs="Times New Roman"/>
        </w:rPr>
        <w:t xml:space="preserve">were </w:t>
      </w:r>
      <w:r w:rsidRPr="00096884">
        <w:rPr>
          <w:rFonts w:ascii="Times New Roman" w:hAnsi="Times New Roman" w:cs="Times New Roman"/>
        </w:rPr>
        <w:t>aged 31–35 years</w:t>
      </w:r>
      <w:r>
        <w:rPr>
          <w:rFonts w:ascii="Times New Roman" w:hAnsi="Times New Roman" w:cs="Times New Roman"/>
        </w:rPr>
        <w:t xml:space="preserve">, </w:t>
      </w:r>
      <w:r w:rsidRPr="00096884">
        <w:rPr>
          <w:rFonts w:ascii="Times New Roman" w:hAnsi="Times New Roman" w:cs="Times New Roman"/>
        </w:rPr>
        <w:t>primiparous</w:t>
      </w:r>
      <w:r>
        <w:rPr>
          <w:rFonts w:ascii="Times New Roman" w:hAnsi="Times New Roman" w:cs="Times New Roman"/>
        </w:rPr>
        <w:t xml:space="preserve">, </w:t>
      </w:r>
      <w:r w:rsidRPr="00096884">
        <w:rPr>
          <w:rFonts w:ascii="Times New Roman" w:hAnsi="Times New Roman" w:cs="Times New Roman"/>
        </w:rPr>
        <w:t>employed</w:t>
      </w:r>
      <w:r>
        <w:rPr>
          <w:rFonts w:ascii="Times New Roman" w:hAnsi="Times New Roman" w:cs="Times New Roman"/>
        </w:rPr>
        <w:t>, married with</w:t>
      </w:r>
      <w:r w:rsidRPr="00096884">
        <w:rPr>
          <w:rFonts w:ascii="Times New Roman" w:hAnsi="Times New Roman" w:cs="Times New Roman"/>
        </w:rPr>
        <w:t xml:space="preserve"> no difference in booking statu</w:t>
      </w:r>
      <w:r>
        <w:rPr>
          <w:rFonts w:ascii="Times New Roman" w:hAnsi="Times New Roman" w:cs="Times New Roman"/>
        </w:rPr>
        <w:t>s</w:t>
      </w:r>
      <w:r w:rsidRPr="00096884">
        <w:rPr>
          <w:rFonts w:ascii="Times New Roman" w:hAnsi="Times New Roman" w:cs="Times New Roman"/>
        </w:rPr>
        <w:t xml:space="preserve">. </w:t>
      </w:r>
    </w:p>
    <w:p w14:paraId="550CC0A1" w14:textId="0F75D95C" w:rsidR="00421504" w:rsidRPr="00D224EF" w:rsidRDefault="00421504" w:rsidP="00D224EF">
      <w:pPr>
        <w:spacing w:after="48" w:line="240" w:lineRule="auto"/>
        <w:rPr>
          <w:rFonts w:ascii="Times New Roman" w:hAnsi="Times New Roman" w:cs="Times New Roman"/>
          <w:b/>
          <w:lang w:val="en-GB"/>
        </w:rPr>
      </w:pPr>
      <w:r w:rsidRPr="00D224EF">
        <w:rPr>
          <w:rFonts w:ascii="Times New Roman" w:hAnsi="Times New Roman" w:cs="Times New Roman"/>
          <w:b/>
          <w:lang w:val="en-GB"/>
        </w:rPr>
        <w:t>Table 2: Risk factors of placenta previa.</w:t>
      </w:r>
    </w:p>
    <w:tbl>
      <w:tblPr>
        <w:tblStyle w:val="TableGrid"/>
        <w:tblW w:w="0" w:type="auto"/>
        <w:tblLook w:val="04A0" w:firstRow="1" w:lastRow="0" w:firstColumn="1" w:lastColumn="0" w:noHBand="0" w:noVBand="1"/>
      </w:tblPr>
      <w:tblGrid>
        <w:gridCol w:w="3130"/>
        <w:gridCol w:w="3109"/>
        <w:gridCol w:w="3111"/>
      </w:tblGrid>
      <w:tr w:rsidR="00421504" w:rsidRPr="00D224EF" w14:paraId="0232D5F0" w14:textId="77777777" w:rsidTr="007C6855">
        <w:tc>
          <w:tcPr>
            <w:tcW w:w="3130" w:type="dxa"/>
          </w:tcPr>
          <w:p w14:paraId="6546BCCC"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Causes</w:t>
            </w:r>
          </w:p>
        </w:tc>
        <w:tc>
          <w:tcPr>
            <w:tcW w:w="3109" w:type="dxa"/>
          </w:tcPr>
          <w:p w14:paraId="65C5D5EB"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Frequency (n)</w:t>
            </w:r>
          </w:p>
        </w:tc>
        <w:tc>
          <w:tcPr>
            <w:tcW w:w="3111" w:type="dxa"/>
          </w:tcPr>
          <w:p w14:paraId="71AC8337"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Percentage (%)</w:t>
            </w:r>
          </w:p>
        </w:tc>
      </w:tr>
      <w:tr w:rsidR="00421504" w:rsidRPr="00D224EF" w14:paraId="4E045521" w14:textId="77777777" w:rsidTr="007C6855">
        <w:tc>
          <w:tcPr>
            <w:tcW w:w="3130" w:type="dxa"/>
          </w:tcPr>
          <w:p w14:paraId="7345FC86"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lastRenderedPageBreak/>
              <w:t>Previous C/S</w:t>
            </w:r>
          </w:p>
        </w:tc>
        <w:tc>
          <w:tcPr>
            <w:tcW w:w="3109" w:type="dxa"/>
          </w:tcPr>
          <w:p w14:paraId="5EF5A48E"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21</w:t>
            </w:r>
          </w:p>
        </w:tc>
        <w:tc>
          <w:tcPr>
            <w:tcW w:w="3111" w:type="dxa"/>
          </w:tcPr>
          <w:p w14:paraId="10B6C084"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55.3</w:t>
            </w:r>
          </w:p>
        </w:tc>
      </w:tr>
      <w:tr w:rsidR="00421504" w:rsidRPr="00D224EF" w14:paraId="5BF2A524" w14:textId="77777777" w:rsidTr="007C6855">
        <w:tc>
          <w:tcPr>
            <w:tcW w:w="3130" w:type="dxa"/>
          </w:tcPr>
          <w:p w14:paraId="1742B047"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Previous placenta previa</w:t>
            </w:r>
          </w:p>
        </w:tc>
        <w:tc>
          <w:tcPr>
            <w:tcW w:w="3109" w:type="dxa"/>
          </w:tcPr>
          <w:p w14:paraId="74714CBC"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4</w:t>
            </w:r>
          </w:p>
        </w:tc>
        <w:tc>
          <w:tcPr>
            <w:tcW w:w="3111" w:type="dxa"/>
          </w:tcPr>
          <w:p w14:paraId="3999CA4C"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10.5</w:t>
            </w:r>
          </w:p>
        </w:tc>
      </w:tr>
      <w:tr w:rsidR="00421504" w:rsidRPr="00D224EF" w14:paraId="372FB0A1" w14:textId="77777777" w:rsidTr="007C6855">
        <w:tc>
          <w:tcPr>
            <w:tcW w:w="3130" w:type="dxa"/>
          </w:tcPr>
          <w:p w14:paraId="06B646A0"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Previous D&amp;C</w:t>
            </w:r>
          </w:p>
        </w:tc>
        <w:tc>
          <w:tcPr>
            <w:tcW w:w="3109" w:type="dxa"/>
          </w:tcPr>
          <w:p w14:paraId="19C014DC"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8</w:t>
            </w:r>
          </w:p>
        </w:tc>
        <w:tc>
          <w:tcPr>
            <w:tcW w:w="3111" w:type="dxa"/>
          </w:tcPr>
          <w:p w14:paraId="78ED0041"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21.1</w:t>
            </w:r>
          </w:p>
        </w:tc>
      </w:tr>
      <w:tr w:rsidR="00421504" w:rsidRPr="00D224EF" w14:paraId="13059C97" w14:textId="77777777" w:rsidTr="007C6855">
        <w:tc>
          <w:tcPr>
            <w:tcW w:w="3130" w:type="dxa"/>
          </w:tcPr>
          <w:p w14:paraId="3B97E36F"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Multiple pregnancy</w:t>
            </w:r>
          </w:p>
        </w:tc>
        <w:tc>
          <w:tcPr>
            <w:tcW w:w="3109" w:type="dxa"/>
          </w:tcPr>
          <w:p w14:paraId="4CFCF616"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2</w:t>
            </w:r>
          </w:p>
        </w:tc>
        <w:tc>
          <w:tcPr>
            <w:tcW w:w="3111" w:type="dxa"/>
          </w:tcPr>
          <w:p w14:paraId="1F797EE3"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5.3</w:t>
            </w:r>
          </w:p>
        </w:tc>
      </w:tr>
      <w:tr w:rsidR="00421504" w:rsidRPr="00D224EF" w14:paraId="43142D5F" w14:textId="77777777" w:rsidTr="007C6855">
        <w:tc>
          <w:tcPr>
            <w:tcW w:w="3130" w:type="dxa"/>
          </w:tcPr>
          <w:p w14:paraId="59550354"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Previous myomectomy</w:t>
            </w:r>
          </w:p>
        </w:tc>
        <w:tc>
          <w:tcPr>
            <w:tcW w:w="3109" w:type="dxa"/>
          </w:tcPr>
          <w:p w14:paraId="2D6D8961"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3</w:t>
            </w:r>
          </w:p>
        </w:tc>
        <w:tc>
          <w:tcPr>
            <w:tcW w:w="3111" w:type="dxa"/>
          </w:tcPr>
          <w:p w14:paraId="5E3C1C3D"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7.8</w:t>
            </w:r>
          </w:p>
        </w:tc>
      </w:tr>
      <w:tr w:rsidR="00421504" w:rsidRPr="00D224EF" w14:paraId="6AFC340B" w14:textId="77777777" w:rsidTr="007C6855">
        <w:tc>
          <w:tcPr>
            <w:tcW w:w="3130" w:type="dxa"/>
          </w:tcPr>
          <w:p w14:paraId="781D6DD9"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Total</w:t>
            </w:r>
          </w:p>
        </w:tc>
        <w:tc>
          <w:tcPr>
            <w:tcW w:w="3109" w:type="dxa"/>
          </w:tcPr>
          <w:p w14:paraId="1C0C23F5"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38</w:t>
            </w:r>
          </w:p>
        </w:tc>
        <w:tc>
          <w:tcPr>
            <w:tcW w:w="3111" w:type="dxa"/>
          </w:tcPr>
          <w:p w14:paraId="18CC26E1" w14:textId="77777777" w:rsidR="00421504" w:rsidRPr="00D224EF" w:rsidRDefault="00421504" w:rsidP="00D224EF">
            <w:pPr>
              <w:spacing w:after="19"/>
              <w:rPr>
                <w:rFonts w:ascii="Times New Roman" w:hAnsi="Times New Roman" w:cs="Times New Roman"/>
                <w:sz w:val="24"/>
                <w:szCs w:val="24"/>
              </w:rPr>
            </w:pPr>
            <w:r w:rsidRPr="00D224EF">
              <w:rPr>
                <w:rFonts w:ascii="Times New Roman" w:hAnsi="Times New Roman" w:cs="Times New Roman"/>
                <w:sz w:val="24"/>
                <w:szCs w:val="24"/>
              </w:rPr>
              <w:t>100</w:t>
            </w:r>
          </w:p>
        </w:tc>
      </w:tr>
    </w:tbl>
    <w:p w14:paraId="68656D93" w14:textId="6414C5E1" w:rsidR="00421504" w:rsidRPr="005C7CF0" w:rsidRDefault="005C7CF0" w:rsidP="00D224EF">
      <w:pPr>
        <w:spacing w:line="240" w:lineRule="auto"/>
        <w:rPr>
          <w:rFonts w:ascii="Times New Roman" w:hAnsi="Times New Roman" w:cs="Times New Roman"/>
        </w:rPr>
      </w:pPr>
      <w:r w:rsidRPr="00096884">
        <w:rPr>
          <w:rFonts w:ascii="Times New Roman" w:hAnsi="Times New Roman" w:cs="Times New Roman"/>
        </w:rPr>
        <w:t xml:space="preserve">The most frequent risk factor was a previous cesarean section. </w:t>
      </w:r>
    </w:p>
    <w:p w14:paraId="23198792" w14:textId="77777777" w:rsidR="00421504" w:rsidRPr="00D224EF" w:rsidRDefault="00421504" w:rsidP="00D224EF">
      <w:pPr>
        <w:spacing w:line="240" w:lineRule="auto"/>
        <w:rPr>
          <w:rFonts w:ascii="Times New Roman" w:hAnsi="Times New Roman" w:cs="Times New Roman"/>
          <w:b/>
          <w:lang w:val="en-GB"/>
        </w:rPr>
      </w:pPr>
      <w:r w:rsidRPr="00D224EF">
        <w:rPr>
          <w:rFonts w:ascii="Times New Roman" w:hAnsi="Times New Roman" w:cs="Times New Roman"/>
          <w:b/>
          <w:lang w:val="en-GB"/>
        </w:rPr>
        <w:t xml:space="preserve">Table 3: </w:t>
      </w:r>
      <w:proofErr w:type="spellStart"/>
      <w:r w:rsidRPr="00D224EF">
        <w:rPr>
          <w:rFonts w:ascii="Times New Roman" w:hAnsi="Times New Roman" w:cs="Times New Roman"/>
          <w:b/>
          <w:lang w:val="en-GB"/>
        </w:rPr>
        <w:t>Fetomaternal</w:t>
      </w:r>
      <w:proofErr w:type="spellEnd"/>
      <w:r w:rsidRPr="00D224EF">
        <w:rPr>
          <w:rFonts w:ascii="Times New Roman" w:hAnsi="Times New Roman" w:cs="Times New Roman"/>
          <w:b/>
          <w:lang w:val="en-GB"/>
        </w:rPr>
        <w:t xml:space="preserve"> outcome of patients with Placenta previa</w:t>
      </w:r>
    </w:p>
    <w:tbl>
      <w:tblPr>
        <w:tblStyle w:val="TableGrid"/>
        <w:tblW w:w="0" w:type="auto"/>
        <w:tblLook w:val="04A0" w:firstRow="1" w:lastRow="0" w:firstColumn="1" w:lastColumn="0" w:noHBand="0" w:noVBand="1"/>
      </w:tblPr>
      <w:tblGrid>
        <w:gridCol w:w="3122"/>
        <w:gridCol w:w="3113"/>
        <w:gridCol w:w="3113"/>
      </w:tblGrid>
      <w:tr w:rsidR="00421504" w:rsidRPr="00D224EF" w14:paraId="47D5792E" w14:textId="77777777" w:rsidTr="007C6855">
        <w:tc>
          <w:tcPr>
            <w:tcW w:w="3122" w:type="dxa"/>
          </w:tcPr>
          <w:p w14:paraId="25729F84"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b/>
                <w:sz w:val="24"/>
                <w:szCs w:val="24"/>
              </w:rPr>
              <w:t>Outcome</w:t>
            </w:r>
          </w:p>
        </w:tc>
        <w:tc>
          <w:tcPr>
            <w:tcW w:w="3113" w:type="dxa"/>
          </w:tcPr>
          <w:p w14:paraId="395E5CA0"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b/>
                <w:sz w:val="24"/>
                <w:szCs w:val="24"/>
              </w:rPr>
              <w:t>Frequency</w:t>
            </w:r>
          </w:p>
        </w:tc>
        <w:tc>
          <w:tcPr>
            <w:tcW w:w="3113" w:type="dxa"/>
          </w:tcPr>
          <w:p w14:paraId="74143F83" w14:textId="77777777" w:rsidR="00421504" w:rsidRPr="00D224EF" w:rsidRDefault="00421504" w:rsidP="00D224EF">
            <w:pPr>
              <w:rPr>
                <w:rFonts w:ascii="Times New Roman" w:hAnsi="Times New Roman" w:cs="Times New Roman"/>
                <w:b/>
                <w:sz w:val="24"/>
                <w:szCs w:val="24"/>
              </w:rPr>
            </w:pPr>
            <w:r w:rsidRPr="00D224EF">
              <w:rPr>
                <w:rFonts w:ascii="Times New Roman" w:hAnsi="Times New Roman" w:cs="Times New Roman"/>
                <w:b/>
                <w:sz w:val="24"/>
                <w:szCs w:val="24"/>
              </w:rPr>
              <w:t>%</w:t>
            </w:r>
          </w:p>
        </w:tc>
      </w:tr>
      <w:tr w:rsidR="00421504" w:rsidRPr="00D224EF" w14:paraId="3190FF3C" w14:textId="77777777" w:rsidTr="007C6855">
        <w:tc>
          <w:tcPr>
            <w:tcW w:w="3122" w:type="dxa"/>
          </w:tcPr>
          <w:p w14:paraId="6396A576"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Live birth</w:t>
            </w:r>
          </w:p>
        </w:tc>
        <w:tc>
          <w:tcPr>
            <w:tcW w:w="3113" w:type="dxa"/>
          </w:tcPr>
          <w:p w14:paraId="25569236"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39 </w:t>
            </w:r>
          </w:p>
        </w:tc>
        <w:tc>
          <w:tcPr>
            <w:tcW w:w="3113" w:type="dxa"/>
          </w:tcPr>
          <w:p w14:paraId="0533DC24"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97.5</w:t>
            </w:r>
          </w:p>
        </w:tc>
      </w:tr>
      <w:tr w:rsidR="00421504" w:rsidRPr="00D224EF" w14:paraId="42B26D6E" w14:textId="77777777" w:rsidTr="007C6855">
        <w:tc>
          <w:tcPr>
            <w:tcW w:w="3122" w:type="dxa"/>
          </w:tcPr>
          <w:p w14:paraId="229C7671"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Stillbirth</w:t>
            </w:r>
          </w:p>
        </w:tc>
        <w:tc>
          <w:tcPr>
            <w:tcW w:w="3113" w:type="dxa"/>
          </w:tcPr>
          <w:p w14:paraId="67789820"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1 </w:t>
            </w:r>
          </w:p>
        </w:tc>
        <w:tc>
          <w:tcPr>
            <w:tcW w:w="3113" w:type="dxa"/>
          </w:tcPr>
          <w:p w14:paraId="187103FB"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2.5</w:t>
            </w:r>
          </w:p>
        </w:tc>
      </w:tr>
      <w:tr w:rsidR="00421504" w:rsidRPr="00D224EF" w14:paraId="7BB0B614" w14:textId="77777777" w:rsidTr="007C6855">
        <w:tc>
          <w:tcPr>
            <w:tcW w:w="3122" w:type="dxa"/>
          </w:tcPr>
          <w:p w14:paraId="521CE61C"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Male</w:t>
            </w:r>
          </w:p>
        </w:tc>
        <w:tc>
          <w:tcPr>
            <w:tcW w:w="3113" w:type="dxa"/>
          </w:tcPr>
          <w:p w14:paraId="39B48F26"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5EE46983"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50</w:t>
            </w:r>
          </w:p>
        </w:tc>
      </w:tr>
      <w:tr w:rsidR="00421504" w:rsidRPr="00D224EF" w14:paraId="2AAD1609" w14:textId="77777777" w:rsidTr="007C6855">
        <w:tc>
          <w:tcPr>
            <w:tcW w:w="3122" w:type="dxa"/>
          </w:tcPr>
          <w:p w14:paraId="45462842"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Female</w:t>
            </w:r>
          </w:p>
        </w:tc>
        <w:tc>
          <w:tcPr>
            <w:tcW w:w="3113" w:type="dxa"/>
          </w:tcPr>
          <w:p w14:paraId="2F8343B8"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20 </w:t>
            </w:r>
          </w:p>
        </w:tc>
        <w:tc>
          <w:tcPr>
            <w:tcW w:w="3113" w:type="dxa"/>
          </w:tcPr>
          <w:p w14:paraId="59C9B838"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50</w:t>
            </w:r>
          </w:p>
        </w:tc>
      </w:tr>
      <w:tr w:rsidR="00421504" w:rsidRPr="00D224EF" w14:paraId="53AEA554" w14:textId="77777777" w:rsidTr="007C6855">
        <w:tc>
          <w:tcPr>
            <w:tcW w:w="3122" w:type="dxa"/>
          </w:tcPr>
          <w:p w14:paraId="4D331B01"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Preterm</w:t>
            </w:r>
          </w:p>
        </w:tc>
        <w:tc>
          <w:tcPr>
            <w:tcW w:w="3113" w:type="dxa"/>
          </w:tcPr>
          <w:p w14:paraId="3C9FD6FF"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5B07C21C"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52.5</w:t>
            </w:r>
          </w:p>
        </w:tc>
      </w:tr>
      <w:tr w:rsidR="00421504" w:rsidRPr="00D224EF" w14:paraId="063D7456" w14:textId="77777777" w:rsidTr="007C6855">
        <w:tc>
          <w:tcPr>
            <w:tcW w:w="3122" w:type="dxa"/>
          </w:tcPr>
          <w:p w14:paraId="6E097CB3"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Term</w:t>
            </w:r>
          </w:p>
        </w:tc>
        <w:tc>
          <w:tcPr>
            <w:tcW w:w="3113" w:type="dxa"/>
          </w:tcPr>
          <w:p w14:paraId="7D01E286"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19 </w:t>
            </w:r>
          </w:p>
        </w:tc>
        <w:tc>
          <w:tcPr>
            <w:tcW w:w="3113" w:type="dxa"/>
          </w:tcPr>
          <w:p w14:paraId="4C5C267D"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47.5</w:t>
            </w:r>
          </w:p>
        </w:tc>
      </w:tr>
      <w:tr w:rsidR="00421504" w:rsidRPr="00D224EF" w14:paraId="5AA3C5F3" w14:textId="77777777" w:rsidTr="007C6855">
        <w:tc>
          <w:tcPr>
            <w:tcW w:w="3122" w:type="dxa"/>
          </w:tcPr>
          <w:p w14:paraId="7EA4C26F"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Vaginal</w:t>
            </w:r>
          </w:p>
        </w:tc>
        <w:tc>
          <w:tcPr>
            <w:tcW w:w="3113" w:type="dxa"/>
          </w:tcPr>
          <w:p w14:paraId="11C40933"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28A19A28"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w:t>
            </w:r>
          </w:p>
        </w:tc>
      </w:tr>
      <w:tr w:rsidR="00421504" w:rsidRPr="00D224EF" w14:paraId="62C71C7C" w14:textId="77777777" w:rsidTr="007C6855">
        <w:tc>
          <w:tcPr>
            <w:tcW w:w="3122" w:type="dxa"/>
          </w:tcPr>
          <w:p w14:paraId="57EDD7D0"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C/S</w:t>
            </w:r>
          </w:p>
        </w:tc>
        <w:tc>
          <w:tcPr>
            <w:tcW w:w="3113" w:type="dxa"/>
          </w:tcPr>
          <w:p w14:paraId="5A7D2CEA"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38 </w:t>
            </w:r>
          </w:p>
        </w:tc>
        <w:tc>
          <w:tcPr>
            <w:tcW w:w="3113" w:type="dxa"/>
          </w:tcPr>
          <w:p w14:paraId="0F30EB7F"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100</w:t>
            </w:r>
          </w:p>
        </w:tc>
      </w:tr>
      <w:tr w:rsidR="00421504" w:rsidRPr="00D224EF" w14:paraId="606B3C19" w14:textId="77777777" w:rsidTr="007C6855">
        <w:tc>
          <w:tcPr>
            <w:tcW w:w="3122" w:type="dxa"/>
          </w:tcPr>
          <w:p w14:paraId="0B9CA77A"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Blood transfusion</w:t>
            </w:r>
          </w:p>
        </w:tc>
        <w:tc>
          <w:tcPr>
            <w:tcW w:w="3113" w:type="dxa"/>
          </w:tcPr>
          <w:p w14:paraId="13D1B26A"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21 </w:t>
            </w:r>
          </w:p>
        </w:tc>
        <w:tc>
          <w:tcPr>
            <w:tcW w:w="3113" w:type="dxa"/>
          </w:tcPr>
          <w:p w14:paraId="6EB63DBC"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55.3</w:t>
            </w:r>
          </w:p>
        </w:tc>
      </w:tr>
      <w:tr w:rsidR="00421504" w:rsidRPr="00D224EF" w14:paraId="305E6A1C" w14:textId="77777777" w:rsidTr="007C6855">
        <w:tc>
          <w:tcPr>
            <w:tcW w:w="3122" w:type="dxa"/>
          </w:tcPr>
          <w:p w14:paraId="0CED6D04" w14:textId="77777777" w:rsidR="00421504" w:rsidRPr="00D224EF" w:rsidRDefault="00421504" w:rsidP="00D224EF">
            <w:pPr>
              <w:ind w:left="10"/>
              <w:rPr>
                <w:rFonts w:ascii="Times New Roman" w:hAnsi="Times New Roman" w:cs="Times New Roman"/>
                <w:sz w:val="24"/>
                <w:szCs w:val="24"/>
              </w:rPr>
            </w:pPr>
            <w:r w:rsidRPr="00D224EF">
              <w:rPr>
                <w:rFonts w:ascii="Times New Roman" w:hAnsi="Times New Roman" w:cs="Times New Roman"/>
                <w:sz w:val="24"/>
                <w:szCs w:val="24"/>
              </w:rPr>
              <w:t>SCBU Admission</w:t>
            </w:r>
          </w:p>
        </w:tc>
        <w:tc>
          <w:tcPr>
            <w:tcW w:w="3113" w:type="dxa"/>
          </w:tcPr>
          <w:p w14:paraId="0B7BF571"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16 </w:t>
            </w:r>
          </w:p>
        </w:tc>
        <w:tc>
          <w:tcPr>
            <w:tcW w:w="3113" w:type="dxa"/>
          </w:tcPr>
          <w:p w14:paraId="2D83B25D"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40</w:t>
            </w:r>
          </w:p>
        </w:tc>
      </w:tr>
      <w:tr w:rsidR="00421504" w:rsidRPr="00D224EF" w14:paraId="182B3C77" w14:textId="77777777" w:rsidTr="007C6855">
        <w:tc>
          <w:tcPr>
            <w:tcW w:w="3122" w:type="dxa"/>
          </w:tcPr>
          <w:p w14:paraId="31198339" w14:textId="77777777" w:rsidR="00421504" w:rsidRPr="00D224EF" w:rsidRDefault="00421504" w:rsidP="00D224EF">
            <w:pPr>
              <w:ind w:left="10"/>
              <w:rPr>
                <w:rFonts w:ascii="Times New Roman" w:hAnsi="Times New Roman" w:cs="Times New Roman"/>
                <w:sz w:val="24"/>
                <w:szCs w:val="24"/>
              </w:rPr>
            </w:pPr>
            <w:r w:rsidRPr="00D224EF">
              <w:rPr>
                <w:rFonts w:ascii="Times New Roman" w:hAnsi="Times New Roman" w:cs="Times New Roman"/>
                <w:sz w:val="24"/>
                <w:szCs w:val="24"/>
              </w:rPr>
              <w:t>PPH</w:t>
            </w:r>
          </w:p>
        </w:tc>
        <w:tc>
          <w:tcPr>
            <w:tcW w:w="3113" w:type="dxa"/>
          </w:tcPr>
          <w:p w14:paraId="3ACBED63"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 xml:space="preserve">10 </w:t>
            </w:r>
          </w:p>
        </w:tc>
        <w:tc>
          <w:tcPr>
            <w:tcW w:w="3113" w:type="dxa"/>
          </w:tcPr>
          <w:p w14:paraId="3C5EB3F9"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26.3</w:t>
            </w:r>
          </w:p>
        </w:tc>
      </w:tr>
      <w:tr w:rsidR="00421504" w:rsidRPr="00D224EF" w14:paraId="078A7BBB" w14:textId="77777777" w:rsidTr="007C6855">
        <w:tc>
          <w:tcPr>
            <w:tcW w:w="3122" w:type="dxa"/>
          </w:tcPr>
          <w:p w14:paraId="4DBB4F03"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Death</w:t>
            </w:r>
          </w:p>
        </w:tc>
        <w:tc>
          <w:tcPr>
            <w:tcW w:w="3113" w:type="dxa"/>
          </w:tcPr>
          <w:p w14:paraId="25D2FF42"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w:t>
            </w:r>
          </w:p>
        </w:tc>
        <w:tc>
          <w:tcPr>
            <w:tcW w:w="3113" w:type="dxa"/>
          </w:tcPr>
          <w:p w14:paraId="2A97404C" w14:textId="77777777" w:rsidR="00421504" w:rsidRPr="00D224EF" w:rsidRDefault="00421504" w:rsidP="00D224EF">
            <w:pPr>
              <w:rPr>
                <w:rFonts w:ascii="Times New Roman" w:hAnsi="Times New Roman" w:cs="Times New Roman"/>
                <w:sz w:val="24"/>
                <w:szCs w:val="24"/>
              </w:rPr>
            </w:pPr>
            <w:r w:rsidRPr="00D224EF">
              <w:rPr>
                <w:rFonts w:ascii="Times New Roman" w:hAnsi="Times New Roman" w:cs="Times New Roman"/>
                <w:sz w:val="24"/>
                <w:szCs w:val="24"/>
              </w:rPr>
              <w:t>-</w:t>
            </w:r>
          </w:p>
        </w:tc>
      </w:tr>
    </w:tbl>
    <w:p w14:paraId="66B9596C" w14:textId="4B2855C8" w:rsidR="00421504" w:rsidRPr="005C7CF0" w:rsidRDefault="005C7CF0" w:rsidP="00D224EF">
      <w:pPr>
        <w:spacing w:line="240" w:lineRule="auto"/>
        <w:rPr>
          <w:rFonts w:ascii="Times New Roman" w:hAnsi="Times New Roman" w:cs="Times New Roman"/>
        </w:rPr>
      </w:pPr>
      <w:r w:rsidRPr="00096884">
        <w:rPr>
          <w:rFonts w:ascii="Times New Roman" w:hAnsi="Times New Roman" w:cs="Times New Roman"/>
        </w:rPr>
        <w:t>Nearly all women delivered live infants, with only one stillbirth recorded. All cases were managed via cesarean section, and postpartum hemorrhage occurred in 23.6% of cases, while 55.3% required blood transfusion</w:t>
      </w:r>
      <w:r>
        <w:rPr>
          <w:rFonts w:ascii="Times New Roman" w:hAnsi="Times New Roman" w:cs="Times New Roman"/>
        </w:rPr>
        <w:t xml:space="preserve"> with n</w:t>
      </w:r>
      <w:r w:rsidRPr="00096884">
        <w:rPr>
          <w:rFonts w:ascii="Times New Roman" w:hAnsi="Times New Roman" w:cs="Times New Roman"/>
        </w:rPr>
        <w:t>o maternal deaths reported</w:t>
      </w:r>
      <w:r>
        <w:rPr>
          <w:rFonts w:ascii="Times New Roman" w:hAnsi="Times New Roman" w:cs="Times New Roman"/>
        </w:rPr>
        <w:t>.</w:t>
      </w:r>
    </w:p>
    <w:p w14:paraId="48F326F1"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b/>
          <w:bCs/>
        </w:rPr>
        <w:t>DISCUSSION</w:t>
      </w:r>
    </w:p>
    <w:p w14:paraId="3329BFEC"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The reported prevalence of placenta previa differs considerably across populations and regions. In the present study, a prevalence of 1.6% was observed, which is comparable to the 1.4% reported by Reddy et al¹⁰, higher than the 0.84% documented in Bahrain⁵, but lower than the 2% recorded in a Western Nigerian teaching hospital⁴. A relatively high prevalence underscores the need for intensified preventive strategies, as placenta previa is a well-recognized risk factor for recurrence in subsequent pregnancies.</w:t>
      </w:r>
    </w:p>
    <w:p w14:paraId="63B48870"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 xml:space="preserve">Placenta previa occurred more frequently among primiparous women and those aged 31–35 years, accounting for 42.1% of cases compared with women of lower parity. This pattern aligns with findings from studies conducted in Kano⁴, Bahrain⁵, and India⁶. Possible explanations include delayed childbearing due to prolonged education and career pursuits, rising divorce rates, increased use of assisted reproductive technologies, and effective contraceptive practices. Given the global trend toward advancing maternal age, it is increasingly important to evaluate associated risk factors. Although the exact mechanism remains unclear, age-related sclerotic changes in </w:t>
      </w:r>
      <w:proofErr w:type="spellStart"/>
      <w:r w:rsidRPr="00421504">
        <w:rPr>
          <w:rFonts w:ascii="Times New Roman" w:hAnsi="Times New Roman" w:cs="Times New Roman"/>
        </w:rPr>
        <w:t>intramyometrial</w:t>
      </w:r>
      <w:proofErr w:type="spellEnd"/>
      <w:r w:rsidRPr="00421504">
        <w:rPr>
          <w:rFonts w:ascii="Times New Roman" w:hAnsi="Times New Roman" w:cs="Times New Roman"/>
        </w:rPr>
        <w:t xml:space="preserve"> arteries, leading to reduced uteroplacental blood flow, have been suggested as a contributory factor⁶.</w:t>
      </w:r>
    </w:p>
    <w:p w14:paraId="1FE32A60"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 xml:space="preserve">In contrast to some reports, there was no difference in booking status among patients in this study. This finding differs from that of Takai et al⁴, who reported a predominance of </w:t>
      </w:r>
      <w:proofErr w:type="spellStart"/>
      <w:r w:rsidRPr="00421504">
        <w:rPr>
          <w:rFonts w:ascii="Times New Roman" w:hAnsi="Times New Roman" w:cs="Times New Roman"/>
        </w:rPr>
        <w:t>unbooked</w:t>
      </w:r>
      <w:proofErr w:type="spellEnd"/>
      <w:r w:rsidRPr="00421504">
        <w:rPr>
          <w:rFonts w:ascii="Times New Roman" w:hAnsi="Times New Roman" w:cs="Times New Roman"/>
        </w:rPr>
        <w:t xml:space="preserve"> </w:t>
      </w:r>
      <w:r w:rsidRPr="00421504">
        <w:rPr>
          <w:rFonts w:ascii="Times New Roman" w:hAnsi="Times New Roman" w:cs="Times New Roman"/>
        </w:rPr>
        <w:lastRenderedPageBreak/>
        <w:t xml:space="preserve">cases. The higher proportion of </w:t>
      </w:r>
      <w:proofErr w:type="spellStart"/>
      <w:r w:rsidRPr="00421504">
        <w:rPr>
          <w:rFonts w:ascii="Times New Roman" w:hAnsi="Times New Roman" w:cs="Times New Roman"/>
        </w:rPr>
        <w:t>unbooked</w:t>
      </w:r>
      <w:proofErr w:type="spellEnd"/>
      <w:r w:rsidRPr="00421504">
        <w:rPr>
          <w:rFonts w:ascii="Times New Roman" w:hAnsi="Times New Roman" w:cs="Times New Roman"/>
        </w:rPr>
        <w:t xml:space="preserve"> patients in their study may reflect the role of the hospital as a major referral center. This highlights the importance of antenatal care in the early identification and management of women at risk of placenta previa, thereby reducing associated maternal and perinatal morbidity and mortality. Late presentation with complications has been attributed to factors such as illiteracy, cultural practices, and poverty, which often discourage hospital attendance except in emergencies</w:t>
      </w:r>
      <w:proofErr w:type="gramStart"/>
      <w:r w:rsidRPr="00421504">
        <w:rPr>
          <w:rFonts w:ascii="Times New Roman" w:hAnsi="Times New Roman" w:cs="Times New Roman"/>
        </w:rPr>
        <w:t>¹,⁴</w:t>
      </w:r>
      <w:proofErr w:type="gramEnd"/>
      <w:r w:rsidRPr="00421504">
        <w:rPr>
          <w:rFonts w:ascii="Times New Roman" w:hAnsi="Times New Roman" w:cs="Times New Roman"/>
        </w:rPr>
        <w:t>,¹⁰,¹⁴.</w:t>
      </w:r>
    </w:p>
    <w:p w14:paraId="68DD57C0"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Identified risk factors in this study included previous caesarean section (55.3%), prior dilatation and curettage (21.1%), previous history of placenta previa (10.5%), prior myomectomy (7.8%), and multiple gestation (5.3%), findings that are consistent with other studies</w:t>
      </w:r>
      <w:proofErr w:type="gramStart"/>
      <w:r w:rsidRPr="00421504">
        <w:rPr>
          <w:rFonts w:ascii="Times New Roman" w:hAnsi="Times New Roman" w:cs="Times New Roman"/>
        </w:rPr>
        <w:t>⁴,¹</w:t>
      </w:r>
      <w:proofErr w:type="gramEnd"/>
      <w:r w:rsidRPr="00421504">
        <w:rPr>
          <w:rFonts w:ascii="Times New Roman" w:hAnsi="Times New Roman" w:cs="Times New Roman"/>
        </w:rPr>
        <w:t>³,¹⁵. These observations further emphasize the need to reduce unnecessary caesarean deliveries in order to minimize the risk of placenta previa.</w:t>
      </w:r>
    </w:p>
    <w:p w14:paraId="0E7C4768"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Ultrasonography remains the most reliable modality for diagnosing placenta previa, whereas abruptio placentae is largely a clinical diagnosis, consistent with previous reports¹</w:t>
      </w:r>
      <w:proofErr w:type="gramStart"/>
      <w:r w:rsidRPr="00421504">
        <w:rPr>
          <w:rFonts w:ascii="Times New Roman" w:hAnsi="Times New Roman" w:cs="Times New Roman"/>
        </w:rPr>
        <w:t>⁰,¹</w:t>
      </w:r>
      <w:proofErr w:type="gramEnd"/>
      <w:r w:rsidRPr="00421504">
        <w:rPr>
          <w:rFonts w:ascii="Times New Roman" w:hAnsi="Times New Roman" w:cs="Times New Roman"/>
        </w:rPr>
        <w:t>². Obstetric ultrasound is valuable for confirming fetal viability, estimating gestational age, determining placental location, and identifying retroplacental clots in cases of abruption. While initial assessments were performed transabdominally, the introduction of transvaginal ultrasonography since the 1980s has significantly improved diagnostic accuracy¹⁶.</w:t>
      </w:r>
    </w:p>
    <w:p w14:paraId="50CC0E69"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Management of antepartum hemorrhage is individualized, taking into account fetal viability, gestational age, labor status, and the severity of maternal and fetal compromise. Vaginal delivery may be appropriate in cases of intrauterine fetal demise or advanced labor with imminent delivery, whereas caesarean section is preferred in the presence of maternal or fetal compromise or when complications arise during conservative management</w:t>
      </w:r>
      <w:proofErr w:type="gramStart"/>
      <w:r w:rsidRPr="00421504">
        <w:rPr>
          <w:rFonts w:ascii="Times New Roman" w:hAnsi="Times New Roman" w:cs="Times New Roman"/>
        </w:rPr>
        <w:t>¹,²</w:t>
      </w:r>
      <w:proofErr w:type="gramEnd"/>
      <w:r w:rsidRPr="00421504">
        <w:rPr>
          <w:rFonts w:ascii="Times New Roman" w:hAnsi="Times New Roman" w:cs="Times New Roman"/>
        </w:rPr>
        <w:t>,⁹. In this study, all patients were delivered by caesarean section, resulting in a rate of 100%, which is comparable to findings from other studies¹</w:t>
      </w:r>
      <w:proofErr w:type="gramStart"/>
      <w:r w:rsidRPr="00421504">
        <w:rPr>
          <w:rFonts w:ascii="Times New Roman" w:hAnsi="Times New Roman" w:cs="Times New Roman"/>
        </w:rPr>
        <w:t>⁷,¹</w:t>
      </w:r>
      <w:proofErr w:type="gramEnd"/>
      <w:r w:rsidRPr="00421504">
        <w:rPr>
          <w:rFonts w:ascii="Times New Roman" w:hAnsi="Times New Roman" w:cs="Times New Roman"/>
        </w:rPr>
        <w:t>⁸ but differs from reports from India¹⁰. Prompt surgical intervention is known to improve perinatal outcomes.</w:t>
      </w:r>
    </w:p>
    <w:p w14:paraId="3F51C3BC"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 xml:space="preserve">Live births accounted for 97.5% of deliveries, with a stillbirth rate of 2.5%. This outcome contrasts with findings by Reddy et al¹⁰ but is similar to reports by </w:t>
      </w:r>
      <w:proofErr w:type="spellStart"/>
      <w:r w:rsidRPr="00421504">
        <w:rPr>
          <w:rFonts w:ascii="Times New Roman" w:hAnsi="Times New Roman" w:cs="Times New Roman"/>
        </w:rPr>
        <w:t>Nnagbo</w:t>
      </w:r>
      <w:proofErr w:type="spellEnd"/>
      <w:r w:rsidRPr="00421504">
        <w:rPr>
          <w:rFonts w:ascii="Times New Roman" w:hAnsi="Times New Roman" w:cs="Times New Roman"/>
        </w:rPr>
        <w:t xml:space="preserve"> et al¹⁷ and Lakshmipriya et al¹⁷. The favorable perinatal outcome observed may be attributed to timely operative intervention in cases presenting with significant bleeding or at term.</w:t>
      </w:r>
    </w:p>
    <w:p w14:paraId="3ECEEB39"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Special Care Baby Unit (SCBU) admission was required in 40% of cases, and 52.5% of deliveries were preterm, findings consistent with a study from Enugu¹². The high rate of neonatal admissions is likely related to the substantial proportion of preterm births.</w:t>
      </w:r>
    </w:p>
    <w:p w14:paraId="2322C113" w14:textId="77777777" w:rsidR="00421504" w:rsidRPr="00421504" w:rsidRDefault="00421504" w:rsidP="00D224EF">
      <w:pPr>
        <w:spacing w:line="240" w:lineRule="auto"/>
        <w:rPr>
          <w:rFonts w:ascii="Times New Roman" w:hAnsi="Times New Roman" w:cs="Times New Roman"/>
        </w:rPr>
      </w:pPr>
      <w:r w:rsidRPr="00421504">
        <w:rPr>
          <w:rFonts w:ascii="Times New Roman" w:hAnsi="Times New Roman" w:cs="Times New Roman"/>
        </w:rPr>
        <w:t>Postpartum hemorrhage occurred in 26.3% of patients, a rate comparable to reports from Nigeria</w:t>
      </w:r>
      <w:proofErr w:type="gramStart"/>
      <w:r w:rsidRPr="00421504">
        <w:rPr>
          <w:rFonts w:ascii="Times New Roman" w:hAnsi="Times New Roman" w:cs="Times New Roman"/>
        </w:rPr>
        <w:t>⁴,¹</w:t>
      </w:r>
      <w:proofErr w:type="gramEnd"/>
      <w:r w:rsidRPr="00421504">
        <w:rPr>
          <w:rFonts w:ascii="Times New Roman" w:hAnsi="Times New Roman" w:cs="Times New Roman"/>
        </w:rPr>
        <w:t>² but higher than those from India¹⁰,¹¹. Blood transfusion was required in 55.3% of cases, which was lower than the rate reported by Reddy et al¹⁰ and similar to that of Tyagi et al¹¹. This may be related to the frequency of postpartum hemorrhage observed. No maternal deaths were recorded during the study period, a finding consistent with reports from Enugu¹². This favorable outcome may be due to early presentation, efficient blood transfusion services, and timely expert management. The mean duration of hospital stay was 6.6 days.</w:t>
      </w:r>
    </w:p>
    <w:p w14:paraId="264977C6" w14:textId="77777777" w:rsidR="00421504" w:rsidRPr="00096884" w:rsidRDefault="00421504" w:rsidP="00D224EF">
      <w:pPr>
        <w:spacing w:line="240" w:lineRule="auto"/>
        <w:rPr>
          <w:rFonts w:ascii="Times New Roman" w:hAnsi="Times New Roman" w:cs="Times New Roman"/>
        </w:rPr>
      </w:pPr>
    </w:p>
    <w:p w14:paraId="45C35AFB" w14:textId="77777777" w:rsidR="00962AF5" w:rsidRPr="00D224EF" w:rsidRDefault="00962AF5" w:rsidP="00D224EF">
      <w:pPr>
        <w:spacing w:line="240" w:lineRule="auto"/>
        <w:jc w:val="both"/>
        <w:rPr>
          <w:rFonts w:ascii="Times New Roman" w:hAnsi="Times New Roman" w:cs="Times New Roman"/>
          <w:b/>
        </w:rPr>
      </w:pPr>
      <w:r w:rsidRPr="00D224EF">
        <w:rPr>
          <w:rFonts w:ascii="Times New Roman" w:hAnsi="Times New Roman" w:cs="Times New Roman"/>
          <w:b/>
        </w:rPr>
        <w:t>CONCLUSION</w:t>
      </w:r>
    </w:p>
    <w:p w14:paraId="72861F21" w14:textId="77777777" w:rsidR="00962AF5" w:rsidRPr="00D224EF" w:rsidRDefault="00962AF5" w:rsidP="00D224EF">
      <w:pPr>
        <w:spacing w:line="240" w:lineRule="auto"/>
        <w:rPr>
          <w:rFonts w:ascii="Times New Roman" w:hAnsi="Times New Roman" w:cs="Times New Roman"/>
        </w:rPr>
      </w:pPr>
      <w:r w:rsidRPr="00D224EF">
        <w:rPr>
          <w:rFonts w:ascii="Times New Roman" w:hAnsi="Times New Roman" w:cs="Times New Roman"/>
        </w:rPr>
        <w:lastRenderedPageBreak/>
        <w:t>Placenta previa had a prevalence of 1.6%, occurring most commonly in primiparous women aged 31–35 years. Previous caesarean section was the leading risk factor. Despite high rates of caesarean delivery, postpartum hemorrhage, and preterm births, maternal outcomes were excellent with no deaths, and nearly all infants survived. Early detection and timely intervention were key to these favorable outcomes.</w:t>
      </w:r>
    </w:p>
    <w:p w14:paraId="372DAEF4" w14:textId="77777777" w:rsidR="00F77376" w:rsidRPr="00D224EF" w:rsidRDefault="00F77376" w:rsidP="00D224EF">
      <w:pPr>
        <w:spacing w:line="240" w:lineRule="auto"/>
        <w:rPr>
          <w:rFonts w:ascii="Times New Roman" w:hAnsi="Times New Roman" w:cs="Times New Roman"/>
          <w:b/>
        </w:rPr>
      </w:pPr>
      <w:r w:rsidRPr="00D224EF">
        <w:rPr>
          <w:rFonts w:ascii="Times New Roman" w:hAnsi="Times New Roman" w:cs="Times New Roman"/>
          <w:b/>
        </w:rPr>
        <w:t>RECOMMENDATIONS</w:t>
      </w:r>
    </w:p>
    <w:p w14:paraId="177AFFA3" w14:textId="77777777" w:rsidR="00F77376" w:rsidRPr="00D224EF" w:rsidRDefault="00F77376" w:rsidP="00D224EF">
      <w:pPr>
        <w:spacing w:line="240" w:lineRule="auto"/>
        <w:rPr>
          <w:rFonts w:ascii="Times New Roman" w:hAnsi="Times New Roman" w:cs="Times New Roman"/>
        </w:rPr>
      </w:pPr>
      <w:r w:rsidRPr="00F77376">
        <w:rPr>
          <w:rFonts w:ascii="Times New Roman" w:hAnsi="Times New Roman" w:cs="Times New Roman"/>
        </w:rPr>
        <w:t xml:space="preserve">Routine antenatal ultrasonographic screening for placental location should be emphasized, particularly in women with previous caesarean sections or other uterine surgeries. Efforts should be made to reduce unnecessary primary caesarean deliveries. Strengthening referral systems, ensuring availability of blood transfusion services, and promoting early booking for antenatal care will further improve </w:t>
      </w:r>
      <w:proofErr w:type="spellStart"/>
      <w:r w:rsidRPr="00F77376">
        <w:rPr>
          <w:rFonts w:ascii="Times New Roman" w:hAnsi="Times New Roman" w:cs="Times New Roman"/>
        </w:rPr>
        <w:t>fetomaternal</w:t>
      </w:r>
      <w:proofErr w:type="spellEnd"/>
      <w:r w:rsidRPr="00F77376">
        <w:rPr>
          <w:rFonts w:ascii="Times New Roman" w:hAnsi="Times New Roman" w:cs="Times New Roman"/>
        </w:rPr>
        <w:t xml:space="preserve"> outcomes in pregnancies complicated by placenta previa.</w:t>
      </w:r>
    </w:p>
    <w:p w14:paraId="42284B90" w14:textId="77777777" w:rsidR="005347AE" w:rsidRPr="00D224EF" w:rsidRDefault="005347AE" w:rsidP="00D224EF">
      <w:pPr>
        <w:pStyle w:val="BodyText"/>
        <w:spacing w:before="72"/>
        <w:ind w:right="382"/>
        <w:rPr>
          <w:b/>
        </w:rPr>
      </w:pPr>
      <w:bookmarkStart w:id="0" w:name="_GoBack"/>
      <w:bookmarkEnd w:id="0"/>
      <w:r w:rsidRPr="00D224EF">
        <w:rPr>
          <w:b/>
        </w:rPr>
        <w:t>ETHICAL APPROVAL</w:t>
      </w:r>
    </w:p>
    <w:p w14:paraId="565E1B44" w14:textId="6A463BC0" w:rsidR="005347AE" w:rsidRDefault="005347AE" w:rsidP="00D224EF">
      <w:pPr>
        <w:pStyle w:val="BodyText"/>
        <w:spacing w:before="72"/>
        <w:ind w:right="382"/>
        <w:rPr>
          <w:color w:val="0E101A"/>
        </w:rPr>
      </w:pPr>
      <w:r w:rsidRPr="00D224EF">
        <w:t xml:space="preserve">Ethical approval was obtained </w:t>
      </w:r>
      <w:r w:rsidRPr="00D224EF">
        <w:rPr>
          <w:color w:val="0E101A"/>
        </w:rPr>
        <w:t>from the ethical committee of the Federal Medical Centre, Yenagoa, Bayelsa State.</w:t>
      </w:r>
    </w:p>
    <w:p w14:paraId="5278B9C1" w14:textId="77777777" w:rsidR="00121A52" w:rsidRDefault="00121A52" w:rsidP="00D224EF">
      <w:pPr>
        <w:pStyle w:val="BodyText"/>
        <w:spacing w:before="72"/>
        <w:ind w:right="382"/>
        <w:rPr>
          <w:color w:val="0E101A"/>
        </w:rPr>
      </w:pPr>
    </w:p>
    <w:p w14:paraId="5FDF85E8" w14:textId="77777777" w:rsidR="00121A52" w:rsidRPr="00121A52" w:rsidRDefault="00121A52" w:rsidP="00121A52">
      <w:pPr>
        <w:spacing w:after="200" w:line="276" w:lineRule="auto"/>
        <w:rPr>
          <w:rFonts w:ascii="Arial" w:eastAsia="Times New Roman" w:hAnsi="Arial" w:cs="Arial"/>
          <w:b/>
          <w:bCs/>
          <w:kern w:val="0"/>
          <w:sz w:val="22"/>
          <w:szCs w:val="22"/>
          <w:lang w:val="en-GB" w:eastAsia="en-GB"/>
          <w14:ligatures w14:val="none"/>
        </w:rPr>
      </w:pPr>
      <w:r w:rsidRPr="00121A52">
        <w:rPr>
          <w:rFonts w:ascii="Arial" w:eastAsia="Times New Roman" w:hAnsi="Arial" w:cs="Arial"/>
          <w:b/>
          <w:bCs/>
          <w:kern w:val="0"/>
          <w:sz w:val="22"/>
          <w:szCs w:val="22"/>
          <w:lang w:val="en-GB" w:eastAsia="en-GB"/>
          <w14:ligatures w14:val="none"/>
        </w:rPr>
        <w:t>COMPETING INTERESTS DISCLAIMER:</w:t>
      </w:r>
    </w:p>
    <w:p w14:paraId="1D210B25" w14:textId="77777777" w:rsidR="00121A52" w:rsidRPr="00121A52" w:rsidRDefault="00121A52" w:rsidP="00121A52">
      <w:pPr>
        <w:spacing w:after="200" w:line="276" w:lineRule="auto"/>
        <w:rPr>
          <w:rFonts w:ascii="Calibri" w:eastAsia="Times New Roman" w:hAnsi="Calibri" w:cs="Times New Roman"/>
          <w:kern w:val="0"/>
          <w:sz w:val="22"/>
          <w:szCs w:val="22"/>
          <w:lang w:val="en-GB" w:eastAsia="en-GB"/>
          <w14:ligatures w14:val="none"/>
        </w:rPr>
      </w:pPr>
      <w:r w:rsidRPr="00121A52">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530D1DC" w14:textId="77777777" w:rsidR="00121A52" w:rsidRPr="00F77376" w:rsidRDefault="00121A52" w:rsidP="00D224EF">
      <w:pPr>
        <w:pStyle w:val="BodyText"/>
        <w:spacing w:before="72"/>
        <w:ind w:right="382"/>
        <w:rPr>
          <w:color w:val="0E101A"/>
        </w:rPr>
      </w:pPr>
    </w:p>
    <w:p w14:paraId="75E63F4F" w14:textId="77777777" w:rsidR="00F77376" w:rsidRPr="00D224EF" w:rsidRDefault="00F77376" w:rsidP="00D224EF">
      <w:pPr>
        <w:spacing w:line="240" w:lineRule="auto"/>
        <w:rPr>
          <w:rFonts w:ascii="Times New Roman" w:hAnsi="Times New Roman" w:cs="Times New Roman"/>
          <w:b/>
        </w:rPr>
      </w:pPr>
      <w:r w:rsidRPr="00D224EF">
        <w:rPr>
          <w:rFonts w:ascii="Times New Roman" w:hAnsi="Times New Roman" w:cs="Times New Roman"/>
          <w:b/>
        </w:rPr>
        <w:t>REFERENCES</w:t>
      </w:r>
    </w:p>
    <w:p w14:paraId="1D17A7EC" w14:textId="77777777" w:rsidR="00F77376" w:rsidRPr="00D224EF" w:rsidRDefault="00F77376" w:rsidP="00D224EF">
      <w:pPr>
        <w:pStyle w:val="ListParagraph"/>
        <w:numPr>
          <w:ilvl w:val="0"/>
          <w:numId w:val="2"/>
        </w:numPr>
        <w:spacing w:after="200" w:line="240" w:lineRule="auto"/>
        <w:rPr>
          <w:rFonts w:ascii="Times New Roman" w:hAnsi="Times New Roman" w:cs="Times New Roman"/>
        </w:rPr>
      </w:pPr>
      <w:proofErr w:type="spellStart"/>
      <w:r w:rsidRPr="00D224EF">
        <w:rPr>
          <w:rFonts w:ascii="Times New Roman" w:hAnsi="Times New Roman" w:cs="Times New Roman"/>
          <w:bCs/>
          <w:lang w:val="en-GB"/>
        </w:rPr>
        <w:t>Kwawukume</w:t>
      </w:r>
      <w:proofErr w:type="spellEnd"/>
      <w:r w:rsidRPr="00D224EF">
        <w:rPr>
          <w:rFonts w:ascii="Times New Roman" w:hAnsi="Times New Roman" w:cs="Times New Roman"/>
          <w:bCs/>
          <w:lang w:val="en-GB"/>
        </w:rPr>
        <w:t xml:space="preserve"> EY, Omo-</w:t>
      </w:r>
      <w:proofErr w:type="spellStart"/>
      <w:r w:rsidRPr="00D224EF">
        <w:rPr>
          <w:rFonts w:ascii="Times New Roman" w:hAnsi="Times New Roman" w:cs="Times New Roman"/>
          <w:bCs/>
          <w:lang w:val="en-GB"/>
        </w:rPr>
        <w:t>Aghoja</w:t>
      </w:r>
      <w:proofErr w:type="spellEnd"/>
      <w:r w:rsidRPr="00D224EF">
        <w:rPr>
          <w:rFonts w:ascii="Times New Roman" w:hAnsi="Times New Roman" w:cs="Times New Roman"/>
          <w:bCs/>
          <w:lang w:val="en-GB"/>
        </w:rPr>
        <w:t xml:space="preserve"> LA. Antepartum Haemorrhage. </w:t>
      </w:r>
      <w:r w:rsidRPr="00D224EF">
        <w:rPr>
          <w:rFonts w:ascii="Times New Roman" w:eastAsia="SimSun" w:hAnsi="Times New Roman" w:cs="Times New Roman"/>
          <w:bCs/>
          <w:lang w:eastAsia="zh-CN"/>
        </w:rPr>
        <w:t xml:space="preserve">In: </w:t>
      </w:r>
      <w:proofErr w:type="spellStart"/>
      <w:r w:rsidRPr="00D224EF">
        <w:rPr>
          <w:rFonts w:ascii="Times New Roman" w:eastAsia="SimSun" w:hAnsi="Times New Roman" w:cs="Times New Roman"/>
          <w:bCs/>
          <w:lang w:eastAsia="zh-CN"/>
        </w:rPr>
        <w:t>Kwawukume</w:t>
      </w:r>
      <w:proofErr w:type="spellEnd"/>
      <w:r w:rsidRPr="00D224EF">
        <w:rPr>
          <w:rFonts w:ascii="Times New Roman" w:eastAsia="SimSun" w:hAnsi="Times New Roman" w:cs="Times New Roman"/>
          <w:bCs/>
          <w:lang w:eastAsia="zh-CN"/>
        </w:rPr>
        <w:t xml:space="preserve"> EY, </w:t>
      </w:r>
      <w:proofErr w:type="spellStart"/>
      <w:r w:rsidRPr="00D224EF">
        <w:rPr>
          <w:rFonts w:ascii="Times New Roman" w:eastAsia="SimSun" w:hAnsi="Times New Roman" w:cs="Times New Roman"/>
          <w:bCs/>
          <w:lang w:eastAsia="zh-CN"/>
        </w:rPr>
        <w:t>Emuveyan</w:t>
      </w:r>
      <w:proofErr w:type="spellEnd"/>
      <w:r w:rsidRPr="00D224EF">
        <w:rPr>
          <w:rFonts w:ascii="Times New Roman" w:eastAsia="SimSun" w:hAnsi="Times New Roman" w:cs="Times New Roman"/>
          <w:bCs/>
          <w:lang w:eastAsia="zh-CN"/>
        </w:rPr>
        <w:t xml:space="preserve"> EE(Eds), </w:t>
      </w:r>
      <w:proofErr w:type="spellStart"/>
      <w:r w:rsidRPr="00D224EF">
        <w:rPr>
          <w:rFonts w:ascii="Times New Roman" w:eastAsia="SimSun" w:hAnsi="Times New Roman" w:cs="Times New Roman"/>
          <w:bCs/>
          <w:lang w:eastAsia="zh-CN"/>
        </w:rPr>
        <w:t>Danso</w:t>
      </w:r>
      <w:proofErr w:type="spellEnd"/>
      <w:r w:rsidRPr="00D224EF">
        <w:rPr>
          <w:rFonts w:ascii="Times New Roman" w:eastAsia="SimSun" w:hAnsi="Times New Roman" w:cs="Times New Roman"/>
          <w:bCs/>
          <w:lang w:eastAsia="zh-CN"/>
        </w:rPr>
        <w:t xml:space="preserve"> KA, </w:t>
      </w:r>
      <w:proofErr w:type="spellStart"/>
      <w:r w:rsidRPr="00D224EF">
        <w:rPr>
          <w:rFonts w:ascii="Times New Roman" w:eastAsia="SimSun" w:hAnsi="Times New Roman" w:cs="Times New Roman"/>
          <w:bCs/>
          <w:lang w:eastAsia="zh-CN"/>
        </w:rPr>
        <w:t>Ekele</w:t>
      </w:r>
      <w:proofErr w:type="spellEnd"/>
      <w:r w:rsidRPr="00D224EF">
        <w:rPr>
          <w:rFonts w:ascii="Times New Roman" w:eastAsia="SimSun" w:hAnsi="Times New Roman" w:cs="Times New Roman"/>
          <w:bCs/>
          <w:lang w:eastAsia="zh-CN"/>
        </w:rPr>
        <w:t xml:space="preserve"> B. Comprehensive Obstetrics in the tropics 2</w:t>
      </w:r>
      <w:r w:rsidRPr="00D224EF">
        <w:rPr>
          <w:rFonts w:ascii="Times New Roman" w:eastAsia="SimSun" w:hAnsi="Times New Roman" w:cs="Times New Roman"/>
          <w:bCs/>
          <w:vertAlign w:val="superscript"/>
          <w:lang w:eastAsia="zh-CN"/>
        </w:rPr>
        <w:t>nd</w:t>
      </w:r>
      <w:r w:rsidRPr="00D224EF">
        <w:rPr>
          <w:rFonts w:ascii="Times New Roman" w:eastAsia="SimSun" w:hAnsi="Times New Roman" w:cs="Times New Roman"/>
          <w:bCs/>
          <w:lang w:eastAsia="zh-CN"/>
        </w:rPr>
        <w:t xml:space="preserve"> edition. Assemblies of God literature </w:t>
      </w:r>
      <w:proofErr w:type="spellStart"/>
      <w:r w:rsidRPr="00D224EF">
        <w:rPr>
          <w:rFonts w:ascii="Times New Roman" w:eastAsia="SimSun" w:hAnsi="Times New Roman" w:cs="Times New Roman"/>
          <w:bCs/>
          <w:lang w:eastAsia="zh-CN"/>
        </w:rPr>
        <w:t>centre</w:t>
      </w:r>
      <w:proofErr w:type="spellEnd"/>
      <w:r w:rsidRPr="00D224EF">
        <w:rPr>
          <w:rFonts w:ascii="Times New Roman" w:eastAsia="SimSun" w:hAnsi="Times New Roman" w:cs="Times New Roman"/>
          <w:bCs/>
          <w:lang w:eastAsia="zh-CN"/>
        </w:rPr>
        <w:t xml:space="preserve"> Ltd. 2015; P 184 – 198.</w:t>
      </w:r>
    </w:p>
    <w:p w14:paraId="2F91C3B4" w14:textId="77777777" w:rsidR="00F77376" w:rsidRPr="00D224EF" w:rsidRDefault="00F77376" w:rsidP="00D224EF">
      <w:pPr>
        <w:numPr>
          <w:ilvl w:val="0"/>
          <w:numId w:val="2"/>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Kenny LC. Antenatal Obstetric Complications. In: Kenny LC, Meyer JE, eds. Obstetrics by Ten Teachers. 20</w:t>
      </w:r>
      <w:r w:rsidRPr="00D224EF">
        <w:rPr>
          <w:rFonts w:ascii="Times New Roman" w:hAnsi="Times New Roman" w:cs="Times New Roman"/>
          <w:bCs/>
          <w:vertAlign w:val="superscript"/>
          <w:lang w:val="en-GB"/>
        </w:rPr>
        <w:t>th</w:t>
      </w:r>
      <w:r w:rsidRPr="00D224EF">
        <w:rPr>
          <w:rFonts w:ascii="Times New Roman" w:hAnsi="Times New Roman" w:cs="Times New Roman"/>
          <w:bCs/>
          <w:lang w:val="en-GB"/>
        </w:rPr>
        <w:t xml:space="preserve"> Edition: CRC Press. 2017; P 79 – 104.</w:t>
      </w:r>
    </w:p>
    <w:p w14:paraId="060DA85C" w14:textId="77777777" w:rsidR="00F77376" w:rsidRPr="00D224EF" w:rsidRDefault="00F77376" w:rsidP="00D224EF">
      <w:pPr>
        <w:numPr>
          <w:ilvl w:val="0"/>
          <w:numId w:val="2"/>
        </w:numPr>
        <w:spacing w:after="200" w:line="240" w:lineRule="auto"/>
        <w:jc w:val="both"/>
        <w:rPr>
          <w:rFonts w:ascii="Times New Roman" w:hAnsi="Times New Roman" w:cs="Times New Roman"/>
          <w:bCs/>
          <w:lang w:val="en-GB"/>
        </w:rPr>
      </w:pPr>
      <w:proofErr w:type="spellStart"/>
      <w:r w:rsidRPr="00D224EF">
        <w:rPr>
          <w:rFonts w:ascii="Times New Roman" w:hAnsi="Times New Roman" w:cs="Times New Roman"/>
          <w:bCs/>
          <w:lang w:val="en-GB"/>
        </w:rPr>
        <w:t>Varouxaki</w:t>
      </w:r>
      <w:proofErr w:type="spellEnd"/>
      <w:r w:rsidRPr="00D224EF">
        <w:rPr>
          <w:rFonts w:ascii="Times New Roman" w:hAnsi="Times New Roman" w:cs="Times New Roman"/>
          <w:bCs/>
          <w:lang w:val="en-GB"/>
        </w:rPr>
        <w:t xml:space="preserve"> N, Sai G, Datta S, </w:t>
      </w:r>
      <w:proofErr w:type="spellStart"/>
      <w:r w:rsidRPr="00D224EF">
        <w:rPr>
          <w:rFonts w:ascii="Times New Roman" w:hAnsi="Times New Roman" w:cs="Times New Roman"/>
          <w:bCs/>
          <w:lang w:val="en-GB"/>
        </w:rPr>
        <w:t>Amokrane</w:t>
      </w:r>
      <w:proofErr w:type="spellEnd"/>
      <w:r w:rsidRPr="00D224EF">
        <w:rPr>
          <w:rFonts w:ascii="Times New Roman" w:hAnsi="Times New Roman" w:cs="Times New Roman"/>
          <w:bCs/>
          <w:lang w:val="en-GB"/>
        </w:rPr>
        <w:t xml:space="preserve"> N. Antepartum haemorrhage. Obstetrics, Gynaecology and Reproductive Medicine. 2018; 28(8): 237-242.</w:t>
      </w:r>
    </w:p>
    <w:p w14:paraId="55008E56" w14:textId="77777777" w:rsidR="00F77376" w:rsidRPr="00D224EF" w:rsidRDefault="00F77376" w:rsidP="00D224EF">
      <w:pPr>
        <w:numPr>
          <w:ilvl w:val="0"/>
          <w:numId w:val="2"/>
        </w:numPr>
        <w:spacing w:after="200" w:line="240" w:lineRule="auto"/>
        <w:jc w:val="both"/>
        <w:rPr>
          <w:rFonts w:ascii="Times New Roman" w:hAnsi="Times New Roman" w:cs="Times New Roman"/>
        </w:rPr>
      </w:pPr>
      <w:r w:rsidRPr="00D224EF">
        <w:rPr>
          <w:rFonts w:ascii="Times New Roman" w:hAnsi="Times New Roman" w:cs="Times New Roman"/>
          <w:bCs/>
          <w:lang w:val="en-GB"/>
        </w:rPr>
        <w:t xml:space="preserve">Takai IU, </w:t>
      </w:r>
      <w:proofErr w:type="spellStart"/>
      <w:r w:rsidRPr="00D224EF">
        <w:rPr>
          <w:rFonts w:ascii="Times New Roman" w:hAnsi="Times New Roman" w:cs="Times New Roman"/>
          <w:bCs/>
          <w:lang w:val="en-GB"/>
        </w:rPr>
        <w:t>Sayyadi</w:t>
      </w:r>
      <w:proofErr w:type="spellEnd"/>
      <w:r w:rsidRPr="00D224EF">
        <w:rPr>
          <w:rFonts w:ascii="Times New Roman" w:hAnsi="Times New Roman" w:cs="Times New Roman"/>
          <w:bCs/>
          <w:lang w:val="en-GB"/>
        </w:rPr>
        <w:t xml:space="preserve"> BM, </w:t>
      </w:r>
      <w:proofErr w:type="spellStart"/>
      <w:r w:rsidRPr="00D224EF">
        <w:rPr>
          <w:rFonts w:ascii="Times New Roman" w:hAnsi="Times New Roman" w:cs="Times New Roman"/>
          <w:bCs/>
          <w:lang w:val="en-GB"/>
        </w:rPr>
        <w:t>Galadanci</w:t>
      </w:r>
      <w:proofErr w:type="spellEnd"/>
      <w:r w:rsidRPr="00D224EF">
        <w:rPr>
          <w:rFonts w:ascii="Times New Roman" w:hAnsi="Times New Roman" w:cs="Times New Roman"/>
          <w:bCs/>
          <w:lang w:val="en-GB"/>
        </w:rPr>
        <w:t xml:space="preserve"> HS. Antepartum Haemorrhage: A Retrospective Analysis from a Northern Nigeria Teaching Hospital</w:t>
      </w:r>
      <w:r w:rsidRPr="00D224EF">
        <w:rPr>
          <w:rFonts w:ascii="Times New Roman" w:hAnsi="Times New Roman" w:cs="Times New Roman"/>
        </w:rPr>
        <w:t>. International Journal of Applied and Basic Medical Research. 2017; 7(2): 112-117.</w:t>
      </w:r>
    </w:p>
    <w:p w14:paraId="11616CEF" w14:textId="77777777" w:rsidR="00F77376" w:rsidRPr="00D224EF" w:rsidRDefault="00F77376" w:rsidP="00D224EF">
      <w:pPr>
        <w:numPr>
          <w:ilvl w:val="0"/>
          <w:numId w:val="2"/>
        </w:numPr>
        <w:spacing w:after="200" w:line="240" w:lineRule="auto"/>
        <w:jc w:val="both"/>
        <w:rPr>
          <w:rFonts w:ascii="Times New Roman" w:hAnsi="Times New Roman" w:cs="Times New Roman"/>
          <w:bCs/>
          <w:lang w:val="en-GB"/>
        </w:rPr>
      </w:pPr>
      <w:proofErr w:type="spellStart"/>
      <w:r w:rsidRPr="00D224EF">
        <w:rPr>
          <w:rFonts w:ascii="Times New Roman" w:hAnsi="Times New Roman" w:cs="Times New Roman"/>
        </w:rPr>
        <w:t>Alhubaishi</w:t>
      </w:r>
      <w:proofErr w:type="spellEnd"/>
      <w:r w:rsidRPr="00D224EF">
        <w:rPr>
          <w:rFonts w:ascii="Times New Roman" w:hAnsi="Times New Roman" w:cs="Times New Roman"/>
        </w:rPr>
        <w:t xml:space="preserve"> F, Mahmood N. Prevalence and </w:t>
      </w:r>
      <w:proofErr w:type="spellStart"/>
      <w:r w:rsidRPr="00D224EF">
        <w:rPr>
          <w:rFonts w:ascii="Times New Roman" w:hAnsi="Times New Roman" w:cs="Times New Roman"/>
        </w:rPr>
        <w:t>Fetomaternal</w:t>
      </w:r>
      <w:proofErr w:type="spellEnd"/>
      <w:r w:rsidRPr="00D224EF">
        <w:rPr>
          <w:rFonts w:ascii="Times New Roman" w:hAnsi="Times New Roman" w:cs="Times New Roman"/>
        </w:rPr>
        <w:t xml:space="preserve"> Outcome of Placenta Previa at </w:t>
      </w:r>
      <w:proofErr w:type="spellStart"/>
      <w:r w:rsidRPr="00D224EF">
        <w:rPr>
          <w:rFonts w:ascii="Times New Roman" w:hAnsi="Times New Roman" w:cs="Times New Roman"/>
        </w:rPr>
        <w:t>Salmaniya</w:t>
      </w:r>
      <w:proofErr w:type="spellEnd"/>
      <w:r w:rsidRPr="00D224EF">
        <w:rPr>
          <w:rFonts w:ascii="Times New Roman" w:hAnsi="Times New Roman" w:cs="Times New Roman"/>
        </w:rPr>
        <w:t xml:space="preserve"> Medical Complex, Bahrain. 2022; 14(8): e27873. DOI 10.7759/cureus.27873.</w:t>
      </w:r>
    </w:p>
    <w:p w14:paraId="619CD1AE" w14:textId="77777777" w:rsidR="00F77376" w:rsidRPr="00D224EF" w:rsidRDefault="00F77376" w:rsidP="00D224EF">
      <w:pPr>
        <w:numPr>
          <w:ilvl w:val="0"/>
          <w:numId w:val="2"/>
        </w:numPr>
        <w:spacing w:after="200" w:line="240" w:lineRule="auto"/>
        <w:jc w:val="both"/>
        <w:rPr>
          <w:rFonts w:ascii="Times New Roman" w:hAnsi="Times New Roman" w:cs="Times New Roman"/>
          <w:bCs/>
          <w:lang w:val="en-GB"/>
        </w:rPr>
      </w:pPr>
      <w:r w:rsidRPr="00D224EF">
        <w:rPr>
          <w:rFonts w:ascii="Times New Roman" w:hAnsi="Times New Roman" w:cs="Times New Roman"/>
          <w:bCs/>
          <w:lang w:val="en-GB"/>
        </w:rPr>
        <w:t xml:space="preserve"> </w:t>
      </w:r>
      <w:r w:rsidRPr="00D224EF">
        <w:rPr>
          <w:rFonts w:ascii="Times New Roman" w:hAnsi="Times New Roman" w:cs="Times New Roman"/>
        </w:rPr>
        <w:t xml:space="preserve">Kaul S, Mir S. A study on correlation of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with previous caesarean section and other risk factors. Int J Res Med Sci </w:t>
      </w:r>
      <w:proofErr w:type="gramStart"/>
      <w:r w:rsidRPr="00D224EF">
        <w:rPr>
          <w:rFonts w:ascii="Times New Roman" w:hAnsi="Times New Roman" w:cs="Times New Roman"/>
        </w:rPr>
        <w:t>2019;7:2027</w:t>
      </w:r>
      <w:proofErr w:type="gramEnd"/>
      <w:r w:rsidRPr="00D224EF">
        <w:rPr>
          <w:rFonts w:ascii="Times New Roman" w:hAnsi="Times New Roman" w:cs="Times New Roman"/>
        </w:rPr>
        <w:t>-33</w:t>
      </w:r>
      <w:r w:rsidRPr="00D224EF">
        <w:rPr>
          <w:rFonts w:ascii="Times New Roman" w:hAnsi="Times New Roman" w:cs="Times New Roman"/>
          <w:bCs/>
          <w:lang w:val="en-GB"/>
        </w:rPr>
        <w:t xml:space="preserve"> .</w:t>
      </w:r>
    </w:p>
    <w:p w14:paraId="5824FDA4" w14:textId="77777777" w:rsidR="00F77376" w:rsidRPr="00D224EF" w:rsidRDefault="00F77376" w:rsidP="00D224EF">
      <w:pPr>
        <w:numPr>
          <w:ilvl w:val="0"/>
          <w:numId w:val="2"/>
        </w:numPr>
        <w:spacing w:after="66" w:line="240" w:lineRule="auto"/>
        <w:jc w:val="both"/>
        <w:rPr>
          <w:rFonts w:ascii="Times New Roman" w:hAnsi="Times New Roman" w:cs="Times New Roman"/>
        </w:rPr>
      </w:pPr>
      <w:proofErr w:type="spellStart"/>
      <w:r w:rsidRPr="00D224EF">
        <w:rPr>
          <w:rFonts w:ascii="Times New Roman" w:hAnsi="Times New Roman" w:cs="Times New Roman"/>
        </w:rPr>
        <w:t>Borodo</w:t>
      </w:r>
      <w:proofErr w:type="spellEnd"/>
      <w:r w:rsidRPr="00D224EF">
        <w:rPr>
          <w:rFonts w:ascii="Times New Roman" w:hAnsi="Times New Roman" w:cs="Times New Roman"/>
        </w:rPr>
        <w:t xml:space="preserve"> AT, Shehu CE.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at Usman </w:t>
      </w:r>
      <w:proofErr w:type="spellStart"/>
      <w:r w:rsidRPr="00D224EF">
        <w:rPr>
          <w:rFonts w:ascii="Times New Roman" w:hAnsi="Times New Roman" w:cs="Times New Roman"/>
        </w:rPr>
        <w:t>Danfodio</w:t>
      </w:r>
      <w:proofErr w:type="spellEnd"/>
      <w:r w:rsidRPr="00D224EF">
        <w:rPr>
          <w:rFonts w:ascii="Times New Roman" w:hAnsi="Times New Roman" w:cs="Times New Roman"/>
        </w:rPr>
        <w:t xml:space="preserve"> University Teaching Hospital: A </w:t>
      </w:r>
      <w:proofErr w:type="gramStart"/>
      <w:r w:rsidRPr="00D224EF">
        <w:rPr>
          <w:rFonts w:ascii="Times New Roman" w:hAnsi="Times New Roman" w:cs="Times New Roman"/>
        </w:rPr>
        <w:t>5 year</w:t>
      </w:r>
      <w:proofErr w:type="gramEnd"/>
      <w:r w:rsidRPr="00D224EF">
        <w:rPr>
          <w:rFonts w:ascii="Times New Roman" w:hAnsi="Times New Roman" w:cs="Times New Roman"/>
        </w:rPr>
        <w:t xml:space="preserve"> review. Sahel Med J </w:t>
      </w:r>
      <w:r w:rsidRPr="00D224EF">
        <w:rPr>
          <w:rFonts w:ascii="Times New Roman" w:eastAsia="Times New Roman" w:hAnsi="Times New Roman" w:cs="Times New Roman"/>
        </w:rPr>
        <w:t>2013; 16:56‑9.</w:t>
      </w:r>
    </w:p>
    <w:p w14:paraId="1E2358F8" w14:textId="77777777" w:rsidR="00F77376" w:rsidRPr="00D224EF" w:rsidRDefault="00F77376" w:rsidP="00D224EF">
      <w:pPr>
        <w:numPr>
          <w:ilvl w:val="0"/>
          <w:numId w:val="2"/>
        </w:numPr>
        <w:spacing w:after="66" w:line="240" w:lineRule="auto"/>
        <w:jc w:val="both"/>
        <w:rPr>
          <w:rFonts w:ascii="Times New Roman" w:hAnsi="Times New Roman" w:cs="Times New Roman"/>
        </w:rPr>
      </w:pPr>
      <w:proofErr w:type="spellStart"/>
      <w:r w:rsidRPr="00D224EF">
        <w:rPr>
          <w:rFonts w:ascii="Times New Roman" w:hAnsi="Times New Roman" w:cs="Times New Roman"/>
        </w:rPr>
        <w:lastRenderedPageBreak/>
        <w:t>Wasnik</w:t>
      </w:r>
      <w:proofErr w:type="spellEnd"/>
      <w:r w:rsidRPr="00D224EF">
        <w:rPr>
          <w:rFonts w:ascii="Times New Roman" w:hAnsi="Times New Roman" w:cs="Times New Roman"/>
        </w:rPr>
        <w:t xml:space="preserve"> SK, </w:t>
      </w:r>
      <w:proofErr w:type="spellStart"/>
      <w:r w:rsidRPr="00D224EF">
        <w:rPr>
          <w:rFonts w:ascii="Times New Roman" w:hAnsi="Times New Roman" w:cs="Times New Roman"/>
        </w:rPr>
        <w:t>Naiknaware</w:t>
      </w:r>
      <w:proofErr w:type="spellEnd"/>
      <w:r w:rsidRPr="00D224EF">
        <w:rPr>
          <w:rFonts w:ascii="Times New Roman" w:hAnsi="Times New Roman" w:cs="Times New Roman"/>
        </w:rPr>
        <w:t xml:space="preserve"> SV. Antepartum </w:t>
      </w:r>
      <w:proofErr w:type="spellStart"/>
      <w:r w:rsidRPr="00D224EF">
        <w:rPr>
          <w:rFonts w:ascii="Times New Roman" w:hAnsi="Times New Roman" w:cs="Times New Roman"/>
        </w:rPr>
        <w:t>haemorrhage</w:t>
      </w:r>
      <w:proofErr w:type="spellEnd"/>
      <w:r w:rsidRPr="00D224EF">
        <w:rPr>
          <w:rFonts w:ascii="Times New Roman" w:hAnsi="Times New Roman" w:cs="Times New Roman"/>
        </w:rPr>
        <w:t xml:space="preserve">: causes and its effect on mother and child: an evaluation.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Gynaecol</w:t>
      </w:r>
      <w:proofErr w:type="spellEnd"/>
      <w:r w:rsidRPr="00D224EF">
        <w:rPr>
          <w:rFonts w:ascii="Times New Roman" w:hAnsi="Times New Roman" w:cs="Times New Roman"/>
        </w:rPr>
        <w:t xml:space="preserve"> Int J. 2015; 3(1): 255-258.</w:t>
      </w:r>
    </w:p>
    <w:p w14:paraId="4D18D425" w14:textId="77777777" w:rsidR="00F77376" w:rsidRPr="00D224EF" w:rsidRDefault="00F77376" w:rsidP="00D224EF">
      <w:pPr>
        <w:numPr>
          <w:ilvl w:val="0"/>
          <w:numId w:val="2"/>
        </w:numPr>
        <w:spacing w:after="37" w:line="240" w:lineRule="auto"/>
        <w:jc w:val="both"/>
        <w:rPr>
          <w:rFonts w:ascii="Times New Roman" w:hAnsi="Times New Roman" w:cs="Times New Roman"/>
        </w:rPr>
      </w:pPr>
      <w:r w:rsidRPr="00D224EF">
        <w:rPr>
          <w:rFonts w:ascii="Times New Roman" w:eastAsia="Garamond" w:hAnsi="Times New Roman" w:cs="Times New Roman"/>
          <w:color w:val="181717"/>
        </w:rPr>
        <w:t xml:space="preserve">Wagner SA. Third‑trimester vaginal bleeding. </w:t>
      </w:r>
      <w:r w:rsidRPr="00D224EF">
        <w:rPr>
          <w:rFonts w:ascii="Times New Roman" w:hAnsi="Times New Roman" w:cs="Times New Roman"/>
          <w:lang w:val="en-GB"/>
        </w:rPr>
        <w:t xml:space="preserve">In: </w:t>
      </w:r>
      <w:proofErr w:type="spellStart"/>
      <w:r w:rsidRPr="00D224EF">
        <w:rPr>
          <w:rFonts w:ascii="Times New Roman" w:hAnsi="Times New Roman" w:cs="Times New Roman"/>
          <w:lang w:val="en-GB"/>
        </w:rPr>
        <w:t>Decherny</w:t>
      </w:r>
      <w:proofErr w:type="spellEnd"/>
      <w:r w:rsidRPr="00D224EF">
        <w:rPr>
          <w:rFonts w:ascii="Times New Roman" w:hAnsi="Times New Roman" w:cs="Times New Roman"/>
          <w:lang w:val="en-GB"/>
        </w:rPr>
        <w:t xml:space="preserve"> AH, Nathan L, Laufer N et al. Current Diagnosis and Treatment, Obstetrics and Gynaecology. 12</w:t>
      </w:r>
      <w:r w:rsidRPr="00D224EF">
        <w:rPr>
          <w:rFonts w:ascii="Times New Roman" w:hAnsi="Times New Roman" w:cs="Times New Roman"/>
          <w:vertAlign w:val="superscript"/>
          <w:lang w:val="en-GB"/>
        </w:rPr>
        <w:t>th</w:t>
      </w:r>
      <w:r w:rsidRPr="00D224EF">
        <w:rPr>
          <w:rFonts w:ascii="Times New Roman" w:hAnsi="Times New Roman" w:cs="Times New Roman"/>
          <w:lang w:val="en-GB"/>
        </w:rPr>
        <w:t xml:space="preserve"> edition. Lange Medical Books/The McGraw-Hill Companies New York. 2018. P 311- 317.</w:t>
      </w:r>
    </w:p>
    <w:p w14:paraId="4C8F762B" w14:textId="77777777" w:rsidR="00F77376" w:rsidRPr="00D224EF" w:rsidRDefault="00F77376" w:rsidP="00D224EF">
      <w:pPr>
        <w:numPr>
          <w:ilvl w:val="0"/>
          <w:numId w:val="2"/>
        </w:numPr>
        <w:spacing w:after="37" w:line="240" w:lineRule="auto"/>
        <w:jc w:val="both"/>
        <w:rPr>
          <w:rFonts w:ascii="Times New Roman" w:hAnsi="Times New Roman" w:cs="Times New Roman"/>
        </w:rPr>
      </w:pPr>
      <w:r w:rsidRPr="00D224EF">
        <w:rPr>
          <w:rFonts w:ascii="Times New Roman" w:hAnsi="Times New Roman" w:cs="Times New Roman"/>
        </w:rPr>
        <w:t xml:space="preserve">Reddy BP, Reddy GS. Frequency, risk factors and </w:t>
      </w:r>
      <w:proofErr w:type="spellStart"/>
      <w:r w:rsidRPr="00D224EF">
        <w:rPr>
          <w:rFonts w:ascii="Times New Roman" w:hAnsi="Times New Roman" w:cs="Times New Roman"/>
        </w:rPr>
        <w:t>materno-foetal</w:t>
      </w:r>
      <w:proofErr w:type="spellEnd"/>
      <w:r w:rsidRPr="00D224EF">
        <w:rPr>
          <w:rFonts w:ascii="Times New Roman" w:hAnsi="Times New Roman" w:cs="Times New Roman"/>
        </w:rPr>
        <w:t xml:space="preserve"> outcomes among cases of Placenta previa at a tertiary care hospital: a </w:t>
      </w:r>
      <w:proofErr w:type="gramStart"/>
      <w:r w:rsidRPr="00D224EF">
        <w:rPr>
          <w:rFonts w:ascii="Times New Roman" w:hAnsi="Times New Roman" w:cs="Times New Roman"/>
        </w:rPr>
        <w:t>two year</w:t>
      </w:r>
      <w:proofErr w:type="gramEnd"/>
      <w:r w:rsidRPr="00D224EF">
        <w:rPr>
          <w:rFonts w:ascii="Times New Roman" w:hAnsi="Times New Roman" w:cs="Times New Roman"/>
        </w:rPr>
        <w:t xml:space="preserve"> study. Int J </w:t>
      </w:r>
      <w:proofErr w:type="spellStart"/>
      <w:r w:rsidRPr="00D224EF">
        <w:rPr>
          <w:rFonts w:ascii="Times New Roman" w:hAnsi="Times New Roman" w:cs="Times New Roman"/>
        </w:rPr>
        <w:t>Reprod</w:t>
      </w:r>
      <w:proofErr w:type="spellEnd"/>
      <w:r w:rsidRPr="00D224EF">
        <w:rPr>
          <w:rFonts w:ascii="Times New Roman" w:hAnsi="Times New Roman" w:cs="Times New Roman"/>
        </w:rPr>
        <w:t xml:space="preserve"> Contracept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Gynecol</w:t>
      </w:r>
      <w:proofErr w:type="spellEnd"/>
      <w:r w:rsidRPr="00D224EF">
        <w:rPr>
          <w:rFonts w:ascii="Times New Roman" w:hAnsi="Times New Roman" w:cs="Times New Roman"/>
        </w:rPr>
        <w:t xml:space="preserve"> </w:t>
      </w:r>
      <w:proofErr w:type="gramStart"/>
      <w:r w:rsidRPr="00D224EF">
        <w:rPr>
          <w:rFonts w:ascii="Times New Roman" w:hAnsi="Times New Roman" w:cs="Times New Roman"/>
        </w:rPr>
        <w:t>2019;8:2240</w:t>
      </w:r>
      <w:proofErr w:type="gramEnd"/>
      <w:r w:rsidRPr="00D224EF">
        <w:rPr>
          <w:rFonts w:ascii="Times New Roman" w:hAnsi="Times New Roman" w:cs="Times New Roman"/>
        </w:rPr>
        <w:t>-4.</w:t>
      </w:r>
    </w:p>
    <w:p w14:paraId="36B52A96" w14:textId="77777777" w:rsidR="00F77376" w:rsidRPr="00D224EF" w:rsidRDefault="00F77376" w:rsidP="00D224EF">
      <w:pPr>
        <w:numPr>
          <w:ilvl w:val="0"/>
          <w:numId w:val="2"/>
        </w:numPr>
        <w:spacing w:after="37" w:line="240" w:lineRule="auto"/>
        <w:jc w:val="both"/>
        <w:rPr>
          <w:rFonts w:ascii="Times New Roman" w:hAnsi="Times New Roman" w:cs="Times New Roman"/>
        </w:rPr>
      </w:pPr>
      <w:r w:rsidRPr="00D224EF">
        <w:rPr>
          <w:rFonts w:ascii="Times New Roman" w:hAnsi="Times New Roman" w:cs="Times New Roman"/>
        </w:rPr>
        <w:t>Tyagi P. Study of antepartum hemorrhage and its maternal and perinatal outcome. International Journal of Reproduction, Contraception, Obstetrics and Gynecology. 2016; 5(11): 3972-3977.</w:t>
      </w:r>
    </w:p>
    <w:p w14:paraId="5F2F8399" w14:textId="77777777" w:rsidR="00F77376" w:rsidRPr="00D224EF" w:rsidRDefault="00F77376" w:rsidP="00D224EF">
      <w:pPr>
        <w:numPr>
          <w:ilvl w:val="0"/>
          <w:numId w:val="2"/>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w:t>
      </w:r>
      <w:proofErr w:type="spellStart"/>
      <w:r w:rsidRPr="00D224EF">
        <w:rPr>
          <w:rFonts w:ascii="Times New Roman" w:hAnsi="Times New Roman" w:cs="Times New Roman"/>
        </w:rPr>
        <w:t>Nnagbo</w:t>
      </w:r>
      <w:proofErr w:type="spellEnd"/>
      <w:r w:rsidRPr="00D224EF">
        <w:rPr>
          <w:rFonts w:ascii="Times New Roman" w:hAnsi="Times New Roman" w:cs="Times New Roman"/>
        </w:rPr>
        <w:t xml:space="preserve"> JE, </w:t>
      </w:r>
      <w:proofErr w:type="spellStart"/>
      <w:r w:rsidRPr="00D224EF">
        <w:rPr>
          <w:rFonts w:ascii="Times New Roman" w:hAnsi="Times New Roman" w:cs="Times New Roman"/>
        </w:rPr>
        <w:t>Eze</w:t>
      </w:r>
      <w:proofErr w:type="spellEnd"/>
      <w:r w:rsidRPr="00D224EF">
        <w:rPr>
          <w:rFonts w:ascii="Times New Roman" w:hAnsi="Times New Roman" w:cs="Times New Roman"/>
        </w:rPr>
        <w:t xml:space="preserve"> MI, </w:t>
      </w:r>
      <w:proofErr w:type="spellStart"/>
      <w:r w:rsidRPr="00D224EF">
        <w:rPr>
          <w:rFonts w:ascii="Times New Roman" w:hAnsi="Times New Roman" w:cs="Times New Roman"/>
        </w:rPr>
        <w:t>Ezugworie</w:t>
      </w:r>
      <w:proofErr w:type="spellEnd"/>
      <w:r w:rsidRPr="00D224EF">
        <w:rPr>
          <w:rFonts w:ascii="Times New Roman" w:hAnsi="Times New Roman" w:cs="Times New Roman"/>
        </w:rPr>
        <w:t xml:space="preserve"> JO, </w:t>
      </w:r>
      <w:proofErr w:type="spellStart"/>
      <w:r w:rsidRPr="00D224EF">
        <w:rPr>
          <w:rFonts w:ascii="Times New Roman" w:hAnsi="Times New Roman" w:cs="Times New Roman"/>
        </w:rPr>
        <w:t>Ugwu</w:t>
      </w:r>
      <w:proofErr w:type="spellEnd"/>
      <w:r w:rsidRPr="00D224EF">
        <w:rPr>
          <w:rFonts w:ascii="Times New Roman" w:hAnsi="Times New Roman" w:cs="Times New Roman"/>
        </w:rPr>
        <w:t xml:space="preserve"> GO, </w:t>
      </w:r>
      <w:proofErr w:type="spellStart"/>
      <w:r w:rsidRPr="00D224EF">
        <w:rPr>
          <w:rFonts w:ascii="Times New Roman" w:hAnsi="Times New Roman" w:cs="Times New Roman"/>
        </w:rPr>
        <w:t>Iloghalu</w:t>
      </w:r>
      <w:proofErr w:type="spellEnd"/>
      <w:r w:rsidRPr="00D224EF">
        <w:rPr>
          <w:rFonts w:ascii="Times New Roman" w:hAnsi="Times New Roman" w:cs="Times New Roman"/>
        </w:rPr>
        <w:t xml:space="preserve"> EI, </w:t>
      </w:r>
      <w:proofErr w:type="spellStart"/>
      <w:r w:rsidRPr="00D224EF">
        <w:rPr>
          <w:rFonts w:ascii="Times New Roman" w:hAnsi="Times New Roman" w:cs="Times New Roman"/>
        </w:rPr>
        <w:t>Ezenkwele</w:t>
      </w:r>
      <w:proofErr w:type="spellEnd"/>
      <w:r w:rsidRPr="00D224EF">
        <w:rPr>
          <w:rFonts w:ascii="Times New Roman" w:hAnsi="Times New Roman" w:cs="Times New Roman"/>
        </w:rPr>
        <w:t xml:space="preserve"> EP et al. Prevalence, outcomes, and predictors of antepartum hemorrhage due to placenta previa in Nigeria. Int J Med Health Dev </w:t>
      </w:r>
      <w:proofErr w:type="gramStart"/>
      <w:r w:rsidRPr="00D224EF">
        <w:rPr>
          <w:rFonts w:ascii="Times New Roman" w:hAnsi="Times New Roman" w:cs="Times New Roman"/>
        </w:rPr>
        <w:t>2022;27:371</w:t>
      </w:r>
      <w:proofErr w:type="gramEnd"/>
      <w:r w:rsidRPr="00D224EF">
        <w:rPr>
          <w:rFonts w:ascii="Times New Roman" w:hAnsi="Times New Roman" w:cs="Times New Roman"/>
        </w:rPr>
        <w:t>-8.</w:t>
      </w:r>
    </w:p>
    <w:p w14:paraId="3CD86CE2" w14:textId="77777777" w:rsidR="00F77376" w:rsidRPr="00D224EF" w:rsidRDefault="00F77376" w:rsidP="00D224EF">
      <w:pPr>
        <w:numPr>
          <w:ilvl w:val="0"/>
          <w:numId w:val="2"/>
        </w:numPr>
        <w:spacing w:after="37" w:line="240" w:lineRule="auto"/>
        <w:jc w:val="both"/>
        <w:rPr>
          <w:rFonts w:ascii="Times New Roman" w:hAnsi="Times New Roman" w:cs="Times New Roman"/>
        </w:rPr>
      </w:pPr>
      <w:r w:rsidRPr="00D224EF">
        <w:rPr>
          <w:rFonts w:ascii="Times New Roman" w:hAnsi="Times New Roman" w:cs="Times New Roman"/>
        </w:rPr>
        <w:t xml:space="preserve">Das S, Bhattacharyya AR. </w:t>
      </w:r>
      <w:r w:rsidRPr="00D224EF">
        <w:rPr>
          <w:rFonts w:ascii="Times New Roman" w:eastAsia="Times New Roman" w:hAnsi="Times New Roman" w:cs="Times New Roman"/>
        </w:rPr>
        <w:t xml:space="preserve">A study of risk factors and obstetric outcome of antepartum hemorrhage in a tertiary care hospital of eastern India. </w:t>
      </w:r>
      <w:r w:rsidRPr="00D224EF">
        <w:rPr>
          <w:rFonts w:ascii="Times New Roman" w:hAnsi="Times New Roman" w:cs="Times New Roman"/>
        </w:rPr>
        <w:t>Panacea Journal of Medical Sciences. 2020; 10(3):269–27</w:t>
      </w:r>
      <w:hyperlink r:id="rId7">
        <w:r w:rsidRPr="00D224EF">
          <w:rPr>
            <w:rFonts w:ascii="Times New Roman" w:hAnsi="Times New Roman" w:cs="Times New Roman"/>
          </w:rPr>
          <w:t>5</w:t>
        </w:r>
      </w:hyperlink>
      <w:r w:rsidRPr="00D224EF">
        <w:rPr>
          <w:rFonts w:ascii="Times New Roman" w:hAnsi="Times New Roman" w:cs="Times New Roman"/>
        </w:rPr>
        <w:t>.</w:t>
      </w:r>
    </w:p>
    <w:p w14:paraId="55D5EDF2" w14:textId="77777777" w:rsidR="00F77376" w:rsidRPr="00D224EF" w:rsidRDefault="00F77376" w:rsidP="00D224EF">
      <w:pPr>
        <w:numPr>
          <w:ilvl w:val="0"/>
          <w:numId w:val="2"/>
        </w:numPr>
        <w:spacing w:after="66" w:line="240" w:lineRule="auto"/>
        <w:jc w:val="both"/>
        <w:rPr>
          <w:rFonts w:ascii="Times New Roman" w:hAnsi="Times New Roman" w:cs="Times New Roman"/>
        </w:rPr>
      </w:pPr>
      <w:r w:rsidRPr="00D224EF">
        <w:rPr>
          <w:rFonts w:ascii="Times New Roman" w:hAnsi="Times New Roman" w:cs="Times New Roman"/>
        </w:rPr>
        <w:t xml:space="preserve">Bakari M, Takai IU, Bukar M. Rising trend in maternal mortality at the University of Maiduguri Teaching Hospital. Trop J </w:t>
      </w:r>
      <w:proofErr w:type="spellStart"/>
      <w:r w:rsidRPr="00D224EF">
        <w:rPr>
          <w:rFonts w:ascii="Times New Roman" w:hAnsi="Times New Roman" w:cs="Times New Roman"/>
        </w:rPr>
        <w:t>Obstet</w:t>
      </w:r>
      <w:proofErr w:type="spellEnd"/>
      <w:r w:rsidRPr="00D224EF">
        <w:rPr>
          <w:rFonts w:ascii="Times New Roman" w:hAnsi="Times New Roman" w:cs="Times New Roman"/>
        </w:rPr>
        <w:t xml:space="preserve"> </w:t>
      </w:r>
      <w:proofErr w:type="spellStart"/>
      <w:r w:rsidRPr="00D224EF">
        <w:rPr>
          <w:rFonts w:ascii="Times New Roman" w:hAnsi="Times New Roman" w:cs="Times New Roman"/>
        </w:rPr>
        <w:t>Gynaecol</w:t>
      </w:r>
      <w:proofErr w:type="spellEnd"/>
      <w:r w:rsidRPr="00D224EF">
        <w:rPr>
          <w:rFonts w:ascii="Times New Roman" w:hAnsi="Times New Roman" w:cs="Times New Roman"/>
        </w:rPr>
        <w:t>. 2015; 32(1): 124-131.</w:t>
      </w:r>
    </w:p>
    <w:p w14:paraId="0B164092" w14:textId="77777777" w:rsidR="00F77376" w:rsidRPr="00D224EF" w:rsidRDefault="00F77376" w:rsidP="00D224EF">
      <w:pPr>
        <w:numPr>
          <w:ilvl w:val="0"/>
          <w:numId w:val="2"/>
        </w:numPr>
        <w:spacing w:after="66" w:line="240" w:lineRule="auto"/>
        <w:jc w:val="both"/>
        <w:rPr>
          <w:rFonts w:ascii="Times New Roman" w:hAnsi="Times New Roman" w:cs="Times New Roman"/>
        </w:rPr>
      </w:pPr>
      <w:r w:rsidRPr="00D224EF">
        <w:rPr>
          <w:rFonts w:ascii="Times New Roman" w:hAnsi="Times New Roman" w:cs="Times New Roman"/>
        </w:rPr>
        <w:t xml:space="preserve"> </w:t>
      </w:r>
      <w:proofErr w:type="spellStart"/>
      <w:r w:rsidRPr="00D224EF">
        <w:rPr>
          <w:rFonts w:ascii="Times New Roman" w:hAnsi="Times New Roman" w:cs="Times New Roman"/>
        </w:rPr>
        <w:t>Kiondo</w:t>
      </w:r>
      <w:proofErr w:type="spellEnd"/>
      <w:r w:rsidRPr="00D224EF">
        <w:rPr>
          <w:rFonts w:ascii="Times New Roman" w:hAnsi="Times New Roman" w:cs="Times New Roman"/>
        </w:rPr>
        <w:t xml:space="preserve"> P, </w:t>
      </w:r>
      <w:proofErr w:type="spellStart"/>
      <w:r w:rsidRPr="00D224EF">
        <w:rPr>
          <w:rFonts w:ascii="Times New Roman" w:hAnsi="Times New Roman" w:cs="Times New Roman"/>
        </w:rPr>
        <w:t>Wandabwa</w:t>
      </w:r>
      <w:proofErr w:type="spellEnd"/>
      <w:r w:rsidRPr="00D224EF">
        <w:rPr>
          <w:rFonts w:ascii="Times New Roman" w:hAnsi="Times New Roman" w:cs="Times New Roman"/>
        </w:rPr>
        <w:t xml:space="preserve"> J, Doyle P. Risk factors for placenta </w:t>
      </w:r>
      <w:proofErr w:type="spellStart"/>
      <w:r w:rsidRPr="00D224EF">
        <w:rPr>
          <w:rFonts w:ascii="Times New Roman" w:hAnsi="Times New Roman" w:cs="Times New Roman"/>
        </w:rPr>
        <w:t>praevia</w:t>
      </w:r>
      <w:proofErr w:type="spellEnd"/>
      <w:r w:rsidRPr="00D224EF">
        <w:rPr>
          <w:rFonts w:ascii="Times New Roman" w:hAnsi="Times New Roman" w:cs="Times New Roman"/>
        </w:rPr>
        <w:t xml:space="preserve"> presenting with severe vaginal bleeding in Mulago hospital, Kampala, Uganda. African Heal Sci. 2018;8(1):44-9. </w:t>
      </w:r>
    </w:p>
    <w:p w14:paraId="6FB7EAD7" w14:textId="77777777" w:rsidR="00F77376" w:rsidRPr="00D224EF" w:rsidRDefault="00F77376" w:rsidP="00D224EF">
      <w:pPr>
        <w:numPr>
          <w:ilvl w:val="0"/>
          <w:numId w:val="2"/>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 Reem SA. Placenta previa: Practical approach to sonographic evaluation and management. Contemporary OB/GYN Journal. 2019; 64(11) :12-16.     </w:t>
      </w:r>
    </w:p>
    <w:p w14:paraId="7DB93715" w14:textId="77777777" w:rsidR="00F77376" w:rsidRPr="00D224EF" w:rsidRDefault="00F77376" w:rsidP="00D224EF">
      <w:pPr>
        <w:numPr>
          <w:ilvl w:val="0"/>
          <w:numId w:val="2"/>
        </w:numPr>
        <w:spacing w:after="13" w:line="240" w:lineRule="auto"/>
        <w:ind w:right="3"/>
        <w:jc w:val="both"/>
        <w:rPr>
          <w:rFonts w:ascii="Times New Roman" w:hAnsi="Times New Roman" w:cs="Times New Roman"/>
        </w:rPr>
      </w:pPr>
      <w:r w:rsidRPr="00D224EF">
        <w:rPr>
          <w:rFonts w:ascii="Times New Roman" w:hAnsi="Times New Roman" w:cs="Times New Roman"/>
        </w:rPr>
        <w:t xml:space="preserve">Lakshmipriya K, Vijayalakshmi V, Padmanaban S. A study of maternal and fetal outcome in Antepartum hemorrhage. International Journal of Clinical Obstetrics and </w:t>
      </w:r>
      <w:proofErr w:type="spellStart"/>
      <w:r w:rsidRPr="00D224EF">
        <w:rPr>
          <w:rFonts w:ascii="Times New Roman" w:hAnsi="Times New Roman" w:cs="Times New Roman"/>
        </w:rPr>
        <w:t>Gynaecology</w:t>
      </w:r>
      <w:proofErr w:type="spellEnd"/>
      <w:r w:rsidRPr="00D224EF">
        <w:rPr>
          <w:rFonts w:ascii="Times New Roman" w:hAnsi="Times New Roman" w:cs="Times New Roman"/>
        </w:rPr>
        <w:t>. 2019; 3(1): 96-99.</w:t>
      </w:r>
    </w:p>
    <w:p w14:paraId="45831FEF" w14:textId="77777777" w:rsidR="00F77376" w:rsidRPr="00D224EF" w:rsidRDefault="00F77376" w:rsidP="00D224EF">
      <w:pPr>
        <w:numPr>
          <w:ilvl w:val="0"/>
          <w:numId w:val="2"/>
        </w:numPr>
        <w:spacing w:after="13" w:line="240" w:lineRule="auto"/>
        <w:ind w:right="3"/>
        <w:jc w:val="both"/>
        <w:rPr>
          <w:rFonts w:ascii="Times New Roman" w:hAnsi="Times New Roman" w:cs="Times New Roman"/>
        </w:rPr>
      </w:pPr>
      <w:r w:rsidRPr="00D224EF">
        <w:rPr>
          <w:rFonts w:ascii="Times New Roman" w:hAnsi="Times New Roman" w:cs="Times New Roman"/>
        </w:rPr>
        <w:t>Olugbenga EO. Placenta previa with or without antepartum bleeding in a Nigerian suburban tertiary health institution. International Research Journal of Medicine and Medical Sciences. 2019; 7(2): 53-59.</w:t>
      </w:r>
    </w:p>
    <w:p w14:paraId="431143F3" w14:textId="77777777" w:rsidR="00096884" w:rsidRPr="00D224EF" w:rsidRDefault="00096884" w:rsidP="00D224EF">
      <w:pPr>
        <w:spacing w:line="240" w:lineRule="auto"/>
        <w:rPr>
          <w:rFonts w:ascii="Times New Roman" w:hAnsi="Times New Roman" w:cs="Times New Roman"/>
        </w:rPr>
      </w:pPr>
    </w:p>
    <w:sectPr w:rsidR="00096884" w:rsidRPr="00D224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70CBE" w14:textId="77777777" w:rsidR="00122F4A" w:rsidRDefault="00122F4A" w:rsidP="00AC1971">
      <w:pPr>
        <w:spacing w:after="0" w:line="240" w:lineRule="auto"/>
      </w:pPr>
      <w:r>
        <w:separator/>
      </w:r>
    </w:p>
  </w:endnote>
  <w:endnote w:type="continuationSeparator" w:id="0">
    <w:p w14:paraId="66A6CEFE" w14:textId="77777777" w:rsidR="00122F4A" w:rsidRDefault="00122F4A" w:rsidP="00A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6112" w14:textId="77777777" w:rsidR="00AC1971" w:rsidRDefault="00AC1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6F7D" w14:textId="77777777" w:rsidR="00AC1971" w:rsidRDefault="00AC1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D0ED" w14:textId="77777777" w:rsidR="00AC1971" w:rsidRDefault="00AC1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9ECF8" w14:textId="77777777" w:rsidR="00122F4A" w:rsidRDefault="00122F4A" w:rsidP="00AC1971">
      <w:pPr>
        <w:spacing w:after="0" w:line="240" w:lineRule="auto"/>
      </w:pPr>
      <w:r>
        <w:separator/>
      </w:r>
    </w:p>
  </w:footnote>
  <w:footnote w:type="continuationSeparator" w:id="0">
    <w:p w14:paraId="3EF797CF" w14:textId="77777777" w:rsidR="00122F4A" w:rsidRDefault="00122F4A" w:rsidP="00AC1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A56E4" w14:textId="3DC90D2E" w:rsidR="00AC1971" w:rsidRDefault="00AC1971">
    <w:pPr>
      <w:pStyle w:val="Header"/>
    </w:pPr>
    <w:r>
      <w:rPr>
        <w:noProof/>
      </w:rPr>
      <w:pict w14:anchorId="444C4A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B5602" w14:textId="0B58D3B0" w:rsidR="00AC1971" w:rsidRDefault="00AC1971">
    <w:pPr>
      <w:pStyle w:val="Header"/>
    </w:pPr>
    <w:r>
      <w:rPr>
        <w:noProof/>
      </w:rPr>
      <w:pict w14:anchorId="3676E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BC3E" w14:textId="62FB1597" w:rsidR="00AC1971" w:rsidRDefault="00AC1971">
    <w:pPr>
      <w:pStyle w:val="Header"/>
    </w:pPr>
    <w:r>
      <w:rPr>
        <w:noProof/>
      </w:rPr>
      <w:pict w14:anchorId="5382FB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778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E7AD2"/>
    <w:multiLevelType w:val="multilevel"/>
    <w:tmpl w:val="21DE7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C057C8"/>
    <w:multiLevelType w:val="multilevel"/>
    <w:tmpl w:val="96BE5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29E"/>
    <w:rsid w:val="00096884"/>
    <w:rsid w:val="000D21D6"/>
    <w:rsid w:val="00121A52"/>
    <w:rsid w:val="00122F4A"/>
    <w:rsid w:val="00350D85"/>
    <w:rsid w:val="00421504"/>
    <w:rsid w:val="00460196"/>
    <w:rsid w:val="005347AE"/>
    <w:rsid w:val="005C7CF0"/>
    <w:rsid w:val="005D6237"/>
    <w:rsid w:val="007006BA"/>
    <w:rsid w:val="008C23BC"/>
    <w:rsid w:val="00962AF5"/>
    <w:rsid w:val="009E105B"/>
    <w:rsid w:val="00AC1971"/>
    <w:rsid w:val="00B6589F"/>
    <w:rsid w:val="00BA33FD"/>
    <w:rsid w:val="00C251E2"/>
    <w:rsid w:val="00D224EF"/>
    <w:rsid w:val="00E3429E"/>
    <w:rsid w:val="00F7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D14723"/>
  <w15:chartTrackingRefBased/>
  <w15:docId w15:val="{A3BE8916-ACE1-4397-AC08-E0D44E04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2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2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2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2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2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2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2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2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2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2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29E"/>
    <w:rPr>
      <w:rFonts w:eastAsiaTheme="majorEastAsia" w:cstheme="majorBidi"/>
      <w:color w:val="272727" w:themeColor="text1" w:themeTint="D8"/>
    </w:rPr>
  </w:style>
  <w:style w:type="paragraph" w:styleId="Title">
    <w:name w:val="Title"/>
    <w:basedOn w:val="Normal"/>
    <w:next w:val="Normal"/>
    <w:link w:val="TitleChar"/>
    <w:uiPriority w:val="10"/>
    <w:qFormat/>
    <w:rsid w:val="00E34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29E"/>
    <w:pPr>
      <w:spacing w:before="160"/>
      <w:jc w:val="center"/>
    </w:pPr>
    <w:rPr>
      <w:i/>
      <w:iCs/>
      <w:color w:val="404040" w:themeColor="text1" w:themeTint="BF"/>
    </w:rPr>
  </w:style>
  <w:style w:type="character" w:customStyle="1" w:styleId="QuoteChar">
    <w:name w:val="Quote Char"/>
    <w:basedOn w:val="DefaultParagraphFont"/>
    <w:link w:val="Quote"/>
    <w:uiPriority w:val="29"/>
    <w:rsid w:val="00E3429E"/>
    <w:rPr>
      <w:i/>
      <w:iCs/>
      <w:color w:val="404040" w:themeColor="text1" w:themeTint="BF"/>
    </w:rPr>
  </w:style>
  <w:style w:type="paragraph" w:styleId="ListParagraph">
    <w:name w:val="List Paragraph"/>
    <w:basedOn w:val="Normal"/>
    <w:link w:val="ListParagraphChar"/>
    <w:uiPriority w:val="34"/>
    <w:qFormat/>
    <w:rsid w:val="00E3429E"/>
    <w:pPr>
      <w:ind w:left="720"/>
      <w:contextualSpacing/>
    </w:pPr>
  </w:style>
  <w:style w:type="character" w:styleId="IntenseEmphasis">
    <w:name w:val="Intense Emphasis"/>
    <w:basedOn w:val="DefaultParagraphFont"/>
    <w:uiPriority w:val="21"/>
    <w:qFormat/>
    <w:rsid w:val="00E3429E"/>
    <w:rPr>
      <w:i/>
      <w:iCs/>
      <w:color w:val="2F5496" w:themeColor="accent1" w:themeShade="BF"/>
    </w:rPr>
  </w:style>
  <w:style w:type="paragraph" w:styleId="IntenseQuote">
    <w:name w:val="Intense Quote"/>
    <w:basedOn w:val="Normal"/>
    <w:next w:val="Normal"/>
    <w:link w:val="IntenseQuoteChar"/>
    <w:uiPriority w:val="30"/>
    <w:qFormat/>
    <w:rsid w:val="00E34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29E"/>
    <w:rPr>
      <w:i/>
      <w:iCs/>
      <w:color w:val="2F5496" w:themeColor="accent1" w:themeShade="BF"/>
    </w:rPr>
  </w:style>
  <w:style w:type="character" w:styleId="IntenseReference">
    <w:name w:val="Intense Reference"/>
    <w:basedOn w:val="DefaultParagraphFont"/>
    <w:uiPriority w:val="32"/>
    <w:qFormat/>
    <w:rsid w:val="00E3429E"/>
    <w:rPr>
      <w:b/>
      <w:bCs/>
      <w:smallCaps/>
      <w:color w:val="2F5496" w:themeColor="accent1" w:themeShade="BF"/>
      <w:spacing w:val="5"/>
    </w:rPr>
  </w:style>
  <w:style w:type="paragraph" w:styleId="Header">
    <w:name w:val="header"/>
    <w:basedOn w:val="Normal"/>
    <w:link w:val="HeaderChar"/>
    <w:uiPriority w:val="99"/>
    <w:qFormat/>
    <w:rsid w:val="00E3429E"/>
    <w:pPr>
      <w:spacing w:before="100" w:beforeAutospacing="1" w:after="0" w:line="240" w:lineRule="auto"/>
    </w:pPr>
    <w:rPr>
      <w:rFonts w:ascii="Calibri" w:eastAsia="Times New Roman" w:hAnsi="Calibri" w:cs="SimSun"/>
      <w:kern w:val="0"/>
      <w:sz w:val="22"/>
      <w:szCs w:val="22"/>
      <w14:ligatures w14:val="none"/>
    </w:rPr>
  </w:style>
  <w:style w:type="character" w:customStyle="1" w:styleId="HeaderChar">
    <w:name w:val="Header Char"/>
    <w:basedOn w:val="DefaultParagraphFont"/>
    <w:link w:val="Header"/>
    <w:uiPriority w:val="99"/>
    <w:qFormat/>
    <w:rsid w:val="00E3429E"/>
    <w:rPr>
      <w:rFonts w:ascii="Calibri" w:eastAsia="Times New Roman" w:hAnsi="Calibri" w:cs="SimSun"/>
      <w:kern w:val="0"/>
      <w:sz w:val="22"/>
      <w:szCs w:val="22"/>
      <w14:ligatures w14:val="none"/>
    </w:rPr>
  </w:style>
  <w:style w:type="table" w:styleId="TableGrid">
    <w:name w:val="Table Grid"/>
    <w:basedOn w:val="TableNormal"/>
    <w:uiPriority w:val="59"/>
    <w:qFormat/>
    <w:rsid w:val="0042150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F77376"/>
  </w:style>
  <w:style w:type="paragraph" w:styleId="BodyText">
    <w:name w:val="Body Text"/>
    <w:basedOn w:val="Normal"/>
    <w:link w:val="BodyTextChar"/>
    <w:uiPriority w:val="1"/>
    <w:qFormat/>
    <w:rsid w:val="005347AE"/>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5347AE"/>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E105B"/>
    <w:rPr>
      <w:color w:val="0563C1" w:themeColor="hyperlink"/>
      <w:u w:val="single"/>
    </w:rPr>
  </w:style>
  <w:style w:type="character" w:styleId="UnresolvedMention">
    <w:name w:val="Unresolved Mention"/>
    <w:basedOn w:val="DefaultParagraphFont"/>
    <w:uiPriority w:val="99"/>
    <w:semiHidden/>
    <w:unhideWhenUsed/>
    <w:rsid w:val="009E105B"/>
    <w:rPr>
      <w:color w:val="605E5C"/>
      <w:shd w:val="clear" w:color="auto" w:fill="E1DFDD"/>
    </w:rPr>
  </w:style>
  <w:style w:type="paragraph" w:styleId="Footer">
    <w:name w:val="footer"/>
    <w:basedOn w:val="Normal"/>
    <w:link w:val="FooterChar"/>
    <w:uiPriority w:val="99"/>
    <w:unhideWhenUsed/>
    <w:rsid w:val="00AC1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8231/j.pjms.2020.05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7</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SDI 1084</cp:lastModifiedBy>
  <cp:revision>8</cp:revision>
  <dcterms:created xsi:type="dcterms:W3CDTF">2026-01-08T09:43:00Z</dcterms:created>
  <dcterms:modified xsi:type="dcterms:W3CDTF">2026-01-09T07:22:00Z</dcterms:modified>
</cp:coreProperties>
</file>