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E9D00" w14:textId="0E3897E3" w:rsidR="00754C9A" w:rsidRPr="00973C9D" w:rsidRDefault="00973C9D" w:rsidP="00441B6F">
      <w:pPr>
        <w:pStyle w:val="Title"/>
        <w:spacing w:after="0"/>
        <w:jc w:val="both"/>
        <w:rPr>
          <w:rFonts w:ascii="Arial" w:hAnsi="Arial" w:cs="Arial"/>
          <w:sz w:val="28"/>
          <w:szCs w:val="16"/>
          <w:u w:val="single"/>
        </w:rPr>
      </w:pPr>
      <w:r w:rsidRPr="00973C9D">
        <w:rPr>
          <w:rFonts w:ascii="Arial" w:hAnsi="Arial" w:cs="Arial"/>
          <w:sz w:val="28"/>
          <w:szCs w:val="16"/>
          <w:u w:val="single"/>
        </w:rPr>
        <w:t>Original Research Article</w:t>
      </w:r>
    </w:p>
    <w:p w14:paraId="315F11B6" w14:textId="77777777" w:rsidR="00973C9D" w:rsidRDefault="00973C9D" w:rsidP="00441B6F">
      <w:pPr>
        <w:pStyle w:val="Title"/>
        <w:spacing w:after="0"/>
        <w:jc w:val="both"/>
        <w:rPr>
          <w:rFonts w:ascii="Arial" w:hAnsi="Arial" w:cs="Arial"/>
        </w:rPr>
      </w:pPr>
    </w:p>
    <w:p w14:paraId="4ED81FD4" w14:textId="15EB9EC3" w:rsidR="00FE445B" w:rsidRPr="00FE445B" w:rsidRDefault="001E5A72" w:rsidP="00FE445B">
      <w:pPr>
        <w:jc w:val="right"/>
        <w:rPr>
          <w:rFonts w:ascii="Arial" w:hAnsi="Arial" w:cs="Arial"/>
          <w:b/>
          <w:sz w:val="36"/>
          <w:szCs w:val="24"/>
        </w:rPr>
      </w:pPr>
      <w:r w:rsidRPr="001E5A72">
        <w:rPr>
          <w:rFonts w:ascii="Arial" w:hAnsi="Arial" w:cs="Arial"/>
          <w:b/>
          <w:sz w:val="36"/>
          <w:szCs w:val="24"/>
        </w:rPr>
        <w:t>Reproductive Determinants of Histopathological Variants of Cervical Cancer</w:t>
      </w:r>
    </w:p>
    <w:p w14:paraId="5449D50A" w14:textId="77777777" w:rsidR="00A258C3" w:rsidRPr="00FE445B" w:rsidRDefault="00231920" w:rsidP="00FE445B">
      <w:pPr>
        <w:pStyle w:val="Author"/>
        <w:spacing w:line="240" w:lineRule="auto"/>
        <w:rPr>
          <w:rFonts w:ascii="Arial" w:hAnsi="Arial" w:cs="Arial"/>
          <w:bCs/>
          <w:iCs/>
          <w:kern w:val="28"/>
          <w:sz w:val="36"/>
        </w:rPr>
      </w:pPr>
      <w:r>
        <w:rPr>
          <w:rFonts w:ascii="Arial" w:hAnsi="Arial" w:cs="Arial"/>
          <w:bCs/>
          <w:iCs/>
          <w:kern w:val="28"/>
          <w:sz w:val="36"/>
        </w:rPr>
        <w:t xml:space="preserve"> </w:t>
      </w:r>
    </w:p>
    <w:p w14:paraId="7CF7FA79" w14:textId="77777777" w:rsidR="001E5A72" w:rsidRPr="00FE445B" w:rsidRDefault="001E5A72" w:rsidP="00FE445B">
      <w:pPr>
        <w:jc w:val="right"/>
        <w:rPr>
          <w:rFonts w:ascii="Arial" w:hAnsi="Arial" w:cs="Arial"/>
          <w:i/>
        </w:rPr>
      </w:pPr>
    </w:p>
    <w:p w14:paraId="6B992A34" w14:textId="77777777" w:rsidR="002C57D2" w:rsidRPr="00FB3A86" w:rsidRDefault="002C57D2" w:rsidP="00441B6F">
      <w:pPr>
        <w:pStyle w:val="Affiliation"/>
        <w:spacing w:after="0" w:line="240" w:lineRule="auto"/>
        <w:jc w:val="both"/>
        <w:rPr>
          <w:rFonts w:ascii="Arial" w:hAnsi="Arial" w:cs="Arial"/>
        </w:rPr>
      </w:pPr>
    </w:p>
    <w:p w14:paraId="6DF4F364" w14:textId="77777777" w:rsidR="00B01FCD" w:rsidRPr="00FB3A86" w:rsidRDefault="00BE719C" w:rsidP="00441B6F">
      <w:pPr>
        <w:pStyle w:val="Copyright"/>
        <w:spacing w:after="0" w:line="240" w:lineRule="auto"/>
        <w:jc w:val="both"/>
        <w:rPr>
          <w:rFonts w:ascii="Arial" w:hAnsi="Arial" w:cs="Arial"/>
        </w:rPr>
        <w:sectPr w:rsidR="00B01FCD" w:rsidRPr="00FB3A86" w:rsidSect="006843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E0184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2A2FB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BBD61D" w14:textId="77777777" w:rsidTr="001E44FE">
        <w:tc>
          <w:tcPr>
            <w:tcW w:w="9576" w:type="dxa"/>
            <w:shd w:val="clear" w:color="auto" w:fill="F2F2F2"/>
          </w:tcPr>
          <w:p w14:paraId="1276AC4C" w14:textId="77777777" w:rsidR="00BA1B01" w:rsidRPr="00C21D96" w:rsidRDefault="00BA1B01" w:rsidP="00C21D96">
            <w:pPr>
              <w:jc w:val="both"/>
              <w:rPr>
                <w:rFonts w:ascii="Arial" w:hAnsi="Arial" w:cs="Arial"/>
              </w:rPr>
            </w:pPr>
            <w:r w:rsidRPr="00C21D96">
              <w:rPr>
                <w:rFonts w:ascii="Arial" w:eastAsia="Calibri" w:hAnsi="Arial" w:cs="Arial"/>
                <w:b/>
              </w:rPr>
              <w:t xml:space="preserve">Aims: </w:t>
            </w:r>
            <w:r w:rsidR="00C21D96" w:rsidRPr="00C21D96">
              <w:rPr>
                <w:rFonts w:ascii="Arial" w:hAnsi="Arial" w:cs="Arial"/>
              </w:rPr>
              <w:t>To examine the association between reproductive factors and the histopathological type of cervical cancer, specifically comparing squamous cell carcinoma and adenocarcinoma.</w:t>
            </w:r>
          </w:p>
          <w:p w14:paraId="6DBCA763" w14:textId="77777777" w:rsidR="00BA1B01" w:rsidRPr="00C21D96" w:rsidRDefault="00BA1B01" w:rsidP="00C21D96">
            <w:pPr>
              <w:jc w:val="both"/>
              <w:rPr>
                <w:rFonts w:ascii="Arial" w:hAnsi="Arial" w:cs="Arial"/>
              </w:rPr>
            </w:pPr>
            <w:r w:rsidRPr="00C21D96">
              <w:rPr>
                <w:rFonts w:ascii="Arial" w:eastAsia="Calibri" w:hAnsi="Arial" w:cs="Arial"/>
                <w:b/>
              </w:rPr>
              <w:t>Study design:</w:t>
            </w:r>
            <w:r w:rsidRPr="00C21D96">
              <w:rPr>
                <w:rFonts w:ascii="Arial" w:eastAsia="Calibri" w:hAnsi="Arial" w:cs="Arial"/>
              </w:rPr>
              <w:t xml:space="preserve"> </w:t>
            </w:r>
            <w:r w:rsidR="00C21D96" w:rsidRPr="00C21D96">
              <w:rPr>
                <w:rFonts w:ascii="Arial" w:hAnsi="Arial" w:cs="Arial"/>
              </w:rPr>
              <w:t>Retrospective observational study.</w:t>
            </w:r>
          </w:p>
          <w:p w14:paraId="796E819D" w14:textId="77777777" w:rsidR="00BA1B01" w:rsidRPr="00C21D96" w:rsidRDefault="00BA1B01" w:rsidP="00441B6F">
            <w:pPr>
              <w:pStyle w:val="Body"/>
              <w:spacing w:after="0"/>
              <w:rPr>
                <w:rFonts w:ascii="Arial" w:eastAsia="Calibri" w:hAnsi="Arial" w:cs="Arial"/>
                <w:lang w:val="id-ID"/>
              </w:rPr>
            </w:pPr>
            <w:r w:rsidRPr="00C21D96">
              <w:rPr>
                <w:rFonts w:ascii="Arial" w:eastAsia="Calibri" w:hAnsi="Arial" w:cs="Arial"/>
                <w:b/>
              </w:rPr>
              <w:t>Place and Duration of Study:</w:t>
            </w:r>
            <w:r w:rsidRPr="00C21D96">
              <w:rPr>
                <w:rFonts w:ascii="Arial" w:eastAsia="Calibri" w:hAnsi="Arial" w:cs="Arial"/>
              </w:rPr>
              <w:t xml:space="preserve"> </w:t>
            </w:r>
            <w:r w:rsidR="00C21D96" w:rsidRPr="00C21D96">
              <w:rPr>
                <w:rFonts w:ascii="Arial" w:hAnsi="Arial" w:cs="Arial"/>
              </w:rPr>
              <w:t>Abdoel Wahab Sjahranie General Hospital, Samarinda, Indonesia, using medical record data from January 2023 to December 2024.</w:t>
            </w:r>
          </w:p>
          <w:p w14:paraId="1F6F5F98" w14:textId="77777777" w:rsidR="00BA1B01" w:rsidRPr="00C21D96" w:rsidRDefault="00BA1B01" w:rsidP="00441B6F">
            <w:pPr>
              <w:pStyle w:val="Body"/>
              <w:spacing w:after="0"/>
              <w:rPr>
                <w:rFonts w:ascii="Arial" w:eastAsia="Calibri" w:hAnsi="Arial" w:cs="Arial"/>
                <w:lang w:val="id-ID"/>
              </w:rPr>
            </w:pPr>
            <w:r w:rsidRPr="00C21D96">
              <w:rPr>
                <w:rFonts w:ascii="Arial" w:eastAsia="Calibri" w:hAnsi="Arial" w:cs="Arial"/>
                <w:b/>
                <w:bCs/>
              </w:rPr>
              <w:t>Methodology:</w:t>
            </w:r>
            <w:r w:rsidRPr="00C21D96">
              <w:rPr>
                <w:rFonts w:ascii="Arial" w:eastAsia="Calibri" w:hAnsi="Arial" w:cs="Arial"/>
              </w:rPr>
              <w:t xml:space="preserve"> </w:t>
            </w:r>
            <w:r w:rsidR="00C21D96" w:rsidRPr="00C21D96">
              <w:rPr>
                <w:rFonts w:ascii="Arial" w:hAnsi="Arial" w:cs="Arial"/>
              </w:rPr>
              <w:t>Secondary data were obtained from medical records of cervical cancer patients who underwent biopsy during the study period. A total of 97 patients were included through simple random sampling. Histopathological findings were grouped into squamous cell carcinoma (including keratinizing and non-keratinizing subtypes) and adenocarcinoma. Reproductive factors analyzed included number of marriages, age at menarche, age at marriage, parity, and history of abortion and fetal death. Bivariate analysis was performed using the Mann–Whitney U te</w:t>
            </w:r>
            <w:r w:rsidR="00D53C2C">
              <w:rPr>
                <w:rFonts w:ascii="Arial" w:hAnsi="Arial" w:cs="Arial"/>
              </w:rPr>
              <w:t xml:space="preserve">st. Variables with a </w:t>
            </w:r>
            <w:r w:rsidR="00D53C2C" w:rsidRPr="00D53C2C">
              <w:rPr>
                <w:rFonts w:ascii="Arial" w:hAnsi="Arial" w:cs="Arial"/>
                <w:i/>
              </w:rPr>
              <w:t>P</w:t>
            </w:r>
            <w:r w:rsidR="00D53C2C">
              <w:rPr>
                <w:rFonts w:ascii="Arial" w:hAnsi="Arial" w:cs="Arial"/>
              </w:rPr>
              <w:t xml:space="preserve"> &lt; </w:t>
            </w:r>
            <w:r w:rsidR="00C21D96" w:rsidRPr="00C21D96">
              <w:rPr>
                <w:rFonts w:ascii="Arial" w:hAnsi="Arial" w:cs="Arial"/>
              </w:rPr>
              <w:t>.25 were included in multivariate binary logistic regression analysis. Stati</w:t>
            </w:r>
            <w:r w:rsidR="00D53C2C">
              <w:rPr>
                <w:rFonts w:ascii="Arial" w:hAnsi="Arial" w:cs="Arial"/>
              </w:rPr>
              <w:t xml:space="preserve">stical significance was set at </w:t>
            </w:r>
            <w:r w:rsidR="00D53C2C" w:rsidRPr="00D53C2C">
              <w:rPr>
                <w:rFonts w:ascii="Arial" w:hAnsi="Arial" w:cs="Arial"/>
                <w:i/>
              </w:rPr>
              <w:t>P</w:t>
            </w:r>
            <w:r w:rsidR="00D53C2C">
              <w:rPr>
                <w:rFonts w:ascii="Arial" w:hAnsi="Arial" w:cs="Arial"/>
              </w:rPr>
              <w:t xml:space="preserve"> &lt; </w:t>
            </w:r>
            <w:r w:rsidR="00C21D96" w:rsidRPr="00C21D96">
              <w:rPr>
                <w:rFonts w:ascii="Arial" w:hAnsi="Arial" w:cs="Arial"/>
              </w:rPr>
              <w:t>.05</w:t>
            </w:r>
          </w:p>
          <w:p w14:paraId="0EB311EE" w14:textId="77777777" w:rsidR="00BA1B01" w:rsidRPr="00C21D96" w:rsidRDefault="00BA1B01" w:rsidP="00441B6F">
            <w:pPr>
              <w:pStyle w:val="Body"/>
              <w:spacing w:after="0"/>
              <w:rPr>
                <w:rFonts w:ascii="Arial" w:eastAsia="Calibri" w:hAnsi="Arial" w:cs="Arial"/>
                <w:b/>
                <w:bCs/>
                <w:lang w:val="id-ID"/>
              </w:rPr>
            </w:pPr>
            <w:r w:rsidRPr="00C21D96">
              <w:rPr>
                <w:rFonts w:ascii="Arial" w:eastAsia="Calibri" w:hAnsi="Arial" w:cs="Arial"/>
                <w:b/>
                <w:bCs/>
              </w:rPr>
              <w:t>Results:</w:t>
            </w:r>
            <w:r w:rsidRPr="00C21D96">
              <w:rPr>
                <w:rFonts w:ascii="Arial" w:eastAsia="Calibri" w:hAnsi="Arial" w:cs="Arial"/>
              </w:rPr>
              <w:t xml:space="preserve"> </w:t>
            </w:r>
            <w:r w:rsidR="00C21D96" w:rsidRPr="00C21D96">
              <w:rPr>
                <w:rFonts w:ascii="Arial" w:hAnsi="Arial" w:cs="Arial"/>
              </w:rPr>
              <w:t xml:space="preserve">The mean age of patients was 48.87 </w:t>
            </w:r>
            <m:oMath>
              <m:r>
                <w:rPr>
                  <w:rFonts w:ascii="Cambria Math" w:hAnsi="Cambria Math" w:cs="Arial"/>
                </w:rPr>
                <m:t>±</m:t>
              </m:r>
            </m:oMath>
            <w:r w:rsidR="00C21D96" w:rsidRPr="00C21D96">
              <w:rPr>
                <w:rFonts w:ascii="Arial" w:hAnsi="Arial" w:cs="Arial"/>
              </w:rPr>
              <w:t xml:space="preserve"> 9.73 years. Bivariate analysis showed that parity was significantly associated with histopathological type (mean 3.21 </w:t>
            </w:r>
            <m:oMath>
              <m:r>
                <w:rPr>
                  <w:rFonts w:ascii="Cambria Math" w:hAnsi="Cambria Math" w:cs="Arial"/>
                </w:rPr>
                <m:t>±</m:t>
              </m:r>
            </m:oMath>
            <w:r w:rsidR="00D53C2C">
              <w:rPr>
                <w:rFonts w:ascii="Arial" w:hAnsi="Arial" w:cs="Arial"/>
              </w:rPr>
              <w:t xml:space="preserve"> 1.91; </w:t>
            </w:r>
            <w:r w:rsidR="00D53C2C" w:rsidRPr="00D53C2C">
              <w:rPr>
                <w:rFonts w:ascii="Arial" w:hAnsi="Arial" w:cs="Arial"/>
                <w:i/>
              </w:rPr>
              <w:t>P</w:t>
            </w:r>
            <w:r w:rsidR="00D53C2C">
              <w:rPr>
                <w:rFonts w:ascii="Arial" w:hAnsi="Arial" w:cs="Arial"/>
              </w:rPr>
              <w:t xml:space="preserve"> = </w:t>
            </w:r>
            <w:r w:rsidR="00C21D96" w:rsidRPr="00C21D96">
              <w:rPr>
                <w:rFonts w:ascii="Arial" w:hAnsi="Arial" w:cs="Arial"/>
              </w:rPr>
              <w:t xml:space="preserve">.005), while other reproductive factors were not. In multivariate analysis, parity remained the only independent predictor of histopathological type, with higher parity associated with a lower likelihood of adenocarcinoma compared with squamous cell carcinoma (OR </w:t>
            </w:r>
            <w:r w:rsidR="00D53C2C">
              <w:rPr>
                <w:rFonts w:ascii="Arial" w:hAnsi="Arial" w:cs="Arial"/>
              </w:rPr>
              <w:t xml:space="preserve">= 0.68; 95% CI: 0.50–0.92; </w:t>
            </w:r>
            <w:r w:rsidR="00D53C2C" w:rsidRPr="00D53C2C">
              <w:rPr>
                <w:rFonts w:ascii="Arial" w:hAnsi="Arial" w:cs="Arial"/>
                <w:i/>
              </w:rPr>
              <w:t>P</w:t>
            </w:r>
            <w:r w:rsidR="00D53C2C">
              <w:rPr>
                <w:rFonts w:ascii="Arial" w:hAnsi="Arial" w:cs="Arial"/>
              </w:rPr>
              <w:t xml:space="preserve"> = </w:t>
            </w:r>
            <w:r w:rsidR="00D06430">
              <w:rPr>
                <w:rFonts w:ascii="Arial" w:hAnsi="Arial" w:cs="Arial"/>
              </w:rPr>
              <w:t>.01</w:t>
            </w:r>
            <w:r w:rsidR="00C21D96" w:rsidRPr="00C21D96">
              <w:rPr>
                <w:rFonts w:ascii="Arial" w:hAnsi="Arial" w:cs="Arial"/>
              </w:rPr>
              <w:t>). Age at menarche and age at marriage were not independently associated with histopathological type. The regression model explained 14.5% of the variability in histopathological type.</w:t>
            </w:r>
          </w:p>
          <w:p w14:paraId="06C3846C" w14:textId="77777777" w:rsidR="00505F06" w:rsidRPr="00C21D96" w:rsidRDefault="00BA1B01" w:rsidP="00441B6F">
            <w:pPr>
              <w:pStyle w:val="Body"/>
              <w:spacing w:after="0"/>
              <w:rPr>
                <w:rFonts w:ascii="Arial" w:eastAsia="Calibri" w:hAnsi="Arial" w:cs="Arial"/>
              </w:rPr>
            </w:pPr>
            <w:r w:rsidRPr="00C21D96">
              <w:rPr>
                <w:rFonts w:ascii="Arial" w:eastAsia="Calibri" w:hAnsi="Arial" w:cs="Arial"/>
                <w:b/>
                <w:bCs/>
              </w:rPr>
              <w:t>Conclusion:</w:t>
            </w:r>
            <w:r w:rsidRPr="00C21D96">
              <w:rPr>
                <w:rFonts w:ascii="Arial" w:eastAsia="Calibri" w:hAnsi="Arial" w:cs="Arial"/>
              </w:rPr>
              <w:t xml:space="preserve"> </w:t>
            </w:r>
            <w:r w:rsidR="00C21D96" w:rsidRPr="00C21D96">
              <w:rPr>
                <w:rFonts w:ascii="Arial" w:hAnsi="Arial" w:cs="Arial"/>
              </w:rPr>
              <w:t>Parity is the only reproductive factor independently associated with the histopathological type of cervical cancer. Higher parity is more strongly linked to squamous cell carcinoma, while adenocarcinoma is more frequently observed among women with lower parity</w:t>
            </w:r>
            <w:r w:rsidRPr="00C21D96">
              <w:rPr>
                <w:rFonts w:ascii="Arial" w:eastAsia="Calibri" w:hAnsi="Arial" w:cs="Arial"/>
              </w:rPr>
              <w:t>.</w:t>
            </w:r>
          </w:p>
        </w:tc>
      </w:tr>
    </w:tbl>
    <w:p w14:paraId="6211D6D2" w14:textId="77777777" w:rsidR="00636EB2" w:rsidRDefault="00636EB2" w:rsidP="00441B6F">
      <w:pPr>
        <w:pStyle w:val="Body"/>
        <w:spacing w:after="0"/>
        <w:rPr>
          <w:rFonts w:ascii="Arial" w:hAnsi="Arial" w:cs="Arial"/>
          <w:i/>
        </w:rPr>
      </w:pPr>
    </w:p>
    <w:p w14:paraId="616B30A5" w14:textId="77777777" w:rsidR="0024282C" w:rsidRPr="00F21A3A" w:rsidRDefault="00A24E7E" w:rsidP="00F21A3A">
      <w:pPr>
        <w:jc w:val="both"/>
        <w:rPr>
          <w:rFonts w:ascii="Arial" w:hAnsi="Arial" w:cs="Arial"/>
          <w:i/>
          <w:szCs w:val="24"/>
          <w:lang w:val="id-ID"/>
        </w:rPr>
      </w:pPr>
      <w:r>
        <w:rPr>
          <w:rFonts w:ascii="Arial" w:hAnsi="Arial" w:cs="Arial"/>
          <w:i/>
        </w:rPr>
        <w:t>Keywords:</w:t>
      </w:r>
      <w:r w:rsidR="00F21A3A">
        <w:rPr>
          <w:rFonts w:ascii="Arial" w:hAnsi="Arial" w:cs="Arial"/>
          <w:i/>
        </w:rPr>
        <w:t xml:space="preserve"> </w:t>
      </w:r>
      <w:r w:rsidR="00F21A3A">
        <w:rPr>
          <w:rFonts w:ascii="Arial" w:hAnsi="Arial" w:cs="Arial"/>
          <w:i/>
          <w:lang w:val="id-ID"/>
        </w:rPr>
        <w:t xml:space="preserve">Adenocarcinoma; </w:t>
      </w:r>
      <w:r w:rsidR="00C21D96" w:rsidRPr="00F21A3A">
        <w:rPr>
          <w:rFonts w:ascii="Arial" w:hAnsi="Arial" w:cs="Arial"/>
          <w:i/>
          <w:szCs w:val="24"/>
        </w:rPr>
        <w:t xml:space="preserve">Cervical </w:t>
      </w:r>
      <w:r w:rsidR="00F21A3A" w:rsidRPr="00F21A3A">
        <w:rPr>
          <w:rFonts w:ascii="Arial" w:hAnsi="Arial" w:cs="Arial"/>
          <w:i/>
          <w:szCs w:val="24"/>
        </w:rPr>
        <w:t>Cancer</w:t>
      </w:r>
      <w:r w:rsidR="00F21A3A">
        <w:rPr>
          <w:rFonts w:ascii="Arial" w:hAnsi="Arial" w:cs="Arial"/>
          <w:i/>
          <w:szCs w:val="24"/>
          <w:lang w:val="id-ID"/>
        </w:rPr>
        <w:t>; Reproductive F</w:t>
      </w:r>
      <w:r w:rsidR="00F21A3A" w:rsidRPr="00F21A3A">
        <w:rPr>
          <w:rFonts w:ascii="Arial" w:hAnsi="Arial" w:cs="Arial"/>
          <w:i/>
          <w:szCs w:val="24"/>
          <w:lang w:val="id-ID"/>
        </w:rPr>
        <w:t>actors</w:t>
      </w:r>
      <w:r w:rsidR="00F21A3A">
        <w:rPr>
          <w:rFonts w:ascii="Arial" w:hAnsi="Arial" w:cs="Arial"/>
          <w:i/>
          <w:szCs w:val="24"/>
          <w:lang w:val="id-ID"/>
        </w:rPr>
        <w:t>; Squamous Cell Carcinoma</w:t>
      </w:r>
    </w:p>
    <w:p w14:paraId="68361B88" w14:textId="77777777" w:rsidR="00505F06" w:rsidRPr="00A24E7E" w:rsidRDefault="00505F06" w:rsidP="00441B6F">
      <w:pPr>
        <w:pStyle w:val="Body"/>
        <w:spacing w:after="0"/>
        <w:rPr>
          <w:rFonts w:ascii="Arial" w:hAnsi="Arial" w:cs="Arial"/>
          <w:i/>
        </w:rPr>
      </w:pPr>
    </w:p>
    <w:p w14:paraId="7ECB1854" w14:textId="77777777" w:rsidR="00F21A3A" w:rsidRPr="00F21A3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714C3F" w14:textId="77777777" w:rsidR="00F21A3A" w:rsidRPr="00F21A3A" w:rsidRDefault="00F21A3A" w:rsidP="00F21A3A">
      <w:pPr>
        <w:jc w:val="both"/>
        <w:rPr>
          <w:rFonts w:ascii="Arial" w:hAnsi="Arial" w:cs="Arial"/>
          <w:szCs w:val="24"/>
        </w:rPr>
      </w:pPr>
      <w:r w:rsidRPr="00F21A3A">
        <w:rPr>
          <w:rFonts w:ascii="Arial" w:hAnsi="Arial" w:cs="Arial"/>
          <w:szCs w:val="24"/>
        </w:rPr>
        <w:t xml:space="preserve">Cervical cancer remains a major global health concern and continues to rank among the most common malignancies affecting women, particularly in regions where screening programs and </w:t>
      </w:r>
      <w:r w:rsidR="00CA667E" w:rsidRPr="008C4E1D">
        <w:rPr>
          <w:rFonts w:ascii="Arial" w:hAnsi="Arial" w:cs="Arial"/>
          <w:szCs w:val="24"/>
        </w:rPr>
        <w:t xml:space="preserve">human papillomavirus </w:t>
      </w:r>
      <w:r w:rsidR="00CA667E">
        <w:rPr>
          <w:rFonts w:ascii="Arial" w:hAnsi="Arial" w:cs="Arial"/>
          <w:szCs w:val="24"/>
          <w:lang w:val="id-ID"/>
        </w:rPr>
        <w:t>(</w:t>
      </w:r>
      <w:r w:rsidRPr="00F21A3A">
        <w:rPr>
          <w:rFonts w:ascii="Arial" w:hAnsi="Arial" w:cs="Arial"/>
          <w:szCs w:val="24"/>
        </w:rPr>
        <w:t>HPV</w:t>
      </w:r>
      <w:r w:rsidR="00CA667E">
        <w:rPr>
          <w:rFonts w:ascii="Arial" w:hAnsi="Arial" w:cs="Arial"/>
          <w:szCs w:val="24"/>
          <w:lang w:val="id-ID"/>
        </w:rPr>
        <w:t>)</w:t>
      </w:r>
      <w:r w:rsidRPr="00F21A3A">
        <w:rPr>
          <w:rFonts w:ascii="Arial" w:hAnsi="Arial" w:cs="Arial"/>
          <w:szCs w:val="24"/>
        </w:rPr>
        <w:t xml:space="preserve"> vaccination coverage are still limited</w:t>
      </w:r>
      <w:r w:rsidR="00740BA7">
        <w:rPr>
          <w:rFonts w:ascii="Arial" w:hAnsi="Arial" w:cs="Arial"/>
          <w:szCs w:val="24"/>
          <w:lang w:val="id-ID"/>
        </w:rPr>
        <w:t xml:space="preserve"> </w:t>
      </w:r>
      <w:r w:rsidR="00740BA7">
        <w:rPr>
          <w:rFonts w:ascii="Arial" w:hAnsi="Arial" w:cs="Arial"/>
          <w:szCs w:val="24"/>
          <w:lang w:val="id-ID"/>
        </w:rPr>
        <w:fldChar w:fldCharType="begin" w:fldLock="1"/>
      </w:r>
      <w:r w:rsidR="001E4358">
        <w:rPr>
          <w:rFonts w:ascii="Arial" w:hAnsi="Arial" w:cs="Arial"/>
          <w:szCs w:val="24"/>
          <w:lang w:val="id-ID"/>
        </w:rPr>
        <w:instrText>ADDIN CSL_CITATION {"citationItems":[{"id":"ITEM-1","itemData":{"DOI":"10.1200/op.22.00156","ISSN":"2688-1527","PMID":"35385348","author":[{"dropping-particle":"","family":"Mullapally","given":"Sujith Kumar","non-dropping-particle":"","parse-names":false,"suffix":""},{"dropping-particle":"","family":"Digumarti","given":"Leela","non-dropping-particle":"","parse-names":false,"suffix":""},{"dropping-particle":"","family":"Digumarti","given":"Raghunadharao","non-dropping-particle":"","parse-names":false,"suffix":""}],"container-title":"JCO Oncology Practice","id":"ITEM-1","issue":"6","issued":{"date-parts":[["2022"]]},"page":"423-425","title":"Cervical Cancer in Low- and Middle-Income Countries: A Multidimensional Approach to Closing the Gaps","type":"article-journal","volume":"18"},"uris":["http://www.mendeley.com/documents/?uuid=17329379-866d-4ecd-b45e-be3968c52791"]}],"mendeley":{"formattedCitation":"(Mullapally et al., 2022)","plainTextFormattedCitation":"(Mullapally et al., 2022)","previouslyFormattedCitation":"(Mullapally et al., 2022)"},"properties":{"noteIndex":0},"schema":"https://github.com/citation-style-language/schema/raw/master/csl-citation.json"}</w:instrText>
      </w:r>
      <w:r w:rsidR="00740BA7">
        <w:rPr>
          <w:rFonts w:ascii="Arial" w:hAnsi="Arial" w:cs="Arial"/>
          <w:szCs w:val="24"/>
          <w:lang w:val="id-ID"/>
        </w:rPr>
        <w:fldChar w:fldCharType="separate"/>
      </w:r>
      <w:r w:rsidR="001E4358" w:rsidRPr="001E4358">
        <w:rPr>
          <w:rFonts w:ascii="Arial" w:hAnsi="Arial" w:cs="Arial"/>
          <w:noProof/>
          <w:szCs w:val="24"/>
          <w:lang w:val="id-ID"/>
        </w:rPr>
        <w:t>(Mullapally et al., 2022)</w:t>
      </w:r>
      <w:r w:rsidR="00740BA7">
        <w:rPr>
          <w:rFonts w:ascii="Arial" w:hAnsi="Arial" w:cs="Arial"/>
          <w:szCs w:val="24"/>
          <w:lang w:val="id-ID"/>
        </w:rPr>
        <w:fldChar w:fldCharType="end"/>
      </w:r>
      <w:r w:rsidRPr="00F21A3A">
        <w:rPr>
          <w:rFonts w:ascii="Arial" w:hAnsi="Arial" w:cs="Arial"/>
          <w:szCs w:val="24"/>
        </w:rPr>
        <w:t xml:space="preserve">. According to the </w:t>
      </w:r>
      <w:r w:rsidR="00740BA7"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{"citationItems":[{"id":"ITEM-1","itemData":{"URL":"https://www.who.int/news-room/fact-sheets/detail/cervical-cancer","accessed":{"date-parts":[["2025","9","7"]]},"author":[{"dropping-particle":"","family":"World Health Organization (WHO)","given":"","non-dropping-particle":"","parse-names":false,"suffix":""}],"container-title":"WHO","id":"ITEM-1","issued":{"date-parts":[["2024"]]},"title":"Cervical Cancer","type":"webpage"},"uris":["http://www.mendeley.com/documents/?uuid=1e3f18c8-8b4c-38b9-bbef-2fb0c1ffbc00"]}],"mendeley":{"formattedCitation":"(World Health Organization (WHO), 2024)","manualFormatting":"World Health Organization (WHO) (2024)","plainTextFormattedCitation":"(World Health Organization (WHO), 2024)","previouslyFormattedCitation":"(World Health Organization (WHO), 2024)"},"properties":{"noteIndex":0},"schema":"https://github.com/citation-style-language/schema/raw/master/csl-citation.json"}</w:instrText>
      </w:r>
      <w:r w:rsidR="00740BA7" w:rsidRPr="00F21A3A">
        <w:rPr>
          <w:rFonts w:ascii="Arial" w:eastAsia="Helvetica Neue" w:hAnsi="Arial" w:cs="Arial"/>
          <w:szCs w:val="24"/>
          <w:highlight w:val="white"/>
        </w:rPr>
        <w:fldChar w:fldCharType="separate"/>
      </w:r>
      <w:r w:rsidR="00740BA7">
        <w:rPr>
          <w:rFonts w:ascii="Arial" w:eastAsia="Helvetica Neue" w:hAnsi="Arial" w:cs="Arial"/>
          <w:noProof/>
          <w:szCs w:val="24"/>
          <w:highlight w:val="white"/>
        </w:rPr>
        <w:t>World Health Organization (WHO)</w:t>
      </w:r>
      <w:r w:rsidR="00740BA7" w:rsidRPr="00740BA7">
        <w:rPr>
          <w:rFonts w:ascii="Arial" w:eastAsia="Helvetica Neue" w:hAnsi="Arial" w:cs="Arial"/>
          <w:noProof/>
          <w:szCs w:val="24"/>
          <w:highlight w:val="white"/>
        </w:rPr>
        <w:t xml:space="preserve"> </w:t>
      </w:r>
      <w:r w:rsidR="00740BA7">
        <w:rPr>
          <w:rFonts w:ascii="Arial" w:eastAsia="Helvetica Neue" w:hAnsi="Arial" w:cs="Arial"/>
          <w:noProof/>
          <w:szCs w:val="24"/>
          <w:highlight w:val="white"/>
          <w:lang w:val="id-ID"/>
        </w:rPr>
        <w:t>(</w:t>
      </w:r>
      <w:r w:rsidR="00740BA7" w:rsidRPr="00740BA7">
        <w:rPr>
          <w:rFonts w:ascii="Arial" w:eastAsia="Helvetica Neue" w:hAnsi="Arial" w:cs="Arial"/>
          <w:noProof/>
          <w:szCs w:val="24"/>
          <w:highlight w:val="white"/>
        </w:rPr>
        <w:t>2024)</w:t>
      </w:r>
      <w:r w:rsidR="00740BA7" w:rsidRPr="00F21A3A">
        <w:rPr>
          <w:rFonts w:ascii="Arial" w:eastAsia="Helvetica Neue" w:hAnsi="Arial" w:cs="Arial"/>
          <w:szCs w:val="24"/>
          <w:highlight w:val="white"/>
        </w:rPr>
        <w:fldChar w:fldCharType="end"/>
      </w:r>
      <w:r w:rsidRPr="00F21A3A">
        <w:rPr>
          <w:rFonts w:ascii="Arial" w:hAnsi="Arial" w:cs="Arial"/>
          <w:szCs w:val="24"/>
        </w:rPr>
        <w:t>, an estimated 660,000 new cervical cancer cases were identified in 2022, resulting in about 350,000 deaths worldwide. With a global age-standardi</w:t>
      </w:r>
      <w:r w:rsidR="00740BA7">
        <w:rPr>
          <w:rFonts w:ascii="Arial" w:hAnsi="Arial" w:cs="Arial"/>
          <w:szCs w:val="24"/>
        </w:rPr>
        <w:t>zed incidence rate (ASIR) of 13-</w:t>
      </w:r>
      <w:r w:rsidRPr="00F21A3A">
        <w:rPr>
          <w:rFonts w:ascii="Arial" w:hAnsi="Arial" w:cs="Arial"/>
          <w:szCs w:val="24"/>
        </w:rPr>
        <w:t>14 per 100,000 women, cervical cancer persists as one of the leading causes of cancer-related mortality among women</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{"citationItems":[{"id":"ITEM-1","itemData":{"DOI":"10.3390/pathogens14090880","ISSN":"20760817","abstract":"Background: Human papillomavirus (HPV) is responsible for a substantial fraction of anogenital and head and neck cancers (HNC). HPV-related cancers cause a heavy burden globally, with disparities across different cancers. We aimed to present an up-to-date global view of the patterns and incidence trends among HPV-related cancers. Methods: We collected data on HPV-related cancers from the GLOBOCAN 2022 database and the Cancer Incidence in Five Continents plus Compendium. Age-standardized incidence and mortality rate (ASIR and ASMR) were calculated to estimate the cancer burden. Spearman’s correlation tests were used to evaluate the associations with the Human Development Index (HDI). Joinpoint regression was conducted to evaluate the incidence trends in ASIR. Results: In 2022, 1,505,394 HPV-related cancer cases and 755,303 deaths were newly estimated worldwide, corresponding to an overall ASIR and ASMR of 20.9 and 10.2 per 100,000 people, respectively. Africa had the highest ASIR and ASMR compared with Asia, accounting for the most new cases and deaths. The primary cause was cervical cancer (ASIR 14.1 per 100,000 people); however, HNC exhibited the largest number of cases (685,204 cases). The total rates of HPV-related cancers were 1.3 times higher for ASIR and nearly three times higher for ASMR in low-HDI countries than in very high-HDI countries. A decreasing trend was observed for the ASIR of cervical cancer in most studied countries, compared to the increasing trends in HNC in females and anal cancer in both sexes. Conclusions: The global burden and trends of HPV-related cancers vary significantly among different cancer types according to region and sex. Particularly, cervical, HNC, and anal cancers should attract global attention. However, specific cancer types contributing to the heaviest burden should be identified at the country level to adjust resource allocation and improve access to quality health services.","author":[{"dropping-particle":"","family":"Meng","given":"Xiaojun","non-dropping-particle":"","parse-names":false,"suffix":""},{"dropping-particle":"","family":"Yang","given":"Bolin","non-dropping-particle":"","parse-names":false,"suffix":""},{"dropping-particle":"","family":"Yin","given":"Hanlu","non-dropping-particle":"","parse-names":false,"suffix":""},{"dropping-particle":"","family":"Chen","given":"Jibiao","non-dropping-particle":"","parse-names":false,"suffix":""},{"dropping-particle":"","family":"Ma","given":"Wenjuan","non-dropping-particle":"","parse-names":false,"suffix":""},{"dropping-particle":"","family":"Xu","given":"Zhuping","non-dropping-particle":"","parse-names":false,"suffix":""},{"dropping-particle":"","family":"Shen","given":"Yuan","non-dropping-particle":"","parse-names":false,"suffix":""}],"container-title":"Pathogens","id":"ITEM-1","issued":{"date-parts":[["2025"]]},"page":"1-14","title":"Global Burden and Incidence Trends in Cancers Associated with Human Papillomavirus Infection: A Population-Based Systematic Study","type":"article-journal","volume":"14"},"uris":["http://www.mendeley.com/documents/?uuid=3abdc406-ae93-41da-83f1-0bd4061c2513"]},{"id":"ITEM-2","itemData":{"ISBN":"0000000328203","ISSN":"23525789","abstract":"The heart shattering impact afflicted by the notorious cervical cancer is rising rapidly as it emerges as the second most prevalent cancer among women in the developing countries. There was an anticipated 604,127 observed reports and 341,831 fatalities reported worldwide in 2020. The mortality rate was 7.2 deaths per 100,000 women-years, while the age-standardized incidence rate was 13.3 cases per 100,000 women annually. In less developed countries, the accountability was around 87–90% of mortality and roughly 84% of newly diagnosed cases. Resource limitations, inadequate public awareness, and late-stage diagnosis aggravate the complications of cancer mitigation in these regions, compared to the higher income nations. While primary and secondary interventions come off as an enticing solution, international collaborations and the integration of technology also emerge as promising avenues for enhancing cancer care accessibility. This study aims to assess the progress of developing countries in meeting the World Health Organization's mandate to eliminate cervical cancer by scrutinizing the prevalence of cervical cancer incidence and mortality rates, evaluating the impact and execution of HPV vaccination initiatives, and analyzing proposals for cervical cancer eradication within these nations, our objective is to accelerate advancements towards the ultimate goal of eradicating cervical cancer.","author":[{"dropping-particle":"","family":"Reza","given":"Sejuti","non-dropping-particle":"","parse-names":false,"suffix":""},{"dropping-particle":"","family":"Anjum","given":"Ramisa","non-dropping-particle":"","parse-names":false,"suffix":""},{"dropping-particle":"","family":"Khandoker","given":"Rubaiyat Zahan","non-dropping-particle":"","parse-names":false,"suffix":""},{"dropping-particle":"","family":"Khan","given":"Saimur Rahman","non-dropping-particle":"","parse-names":false,"suffix":""},{"dropping-particle":"","family":"Islam","given":"Md Rabiul","non-dropping-particle":"","parse-names":false,"suffix":""},{"dropping-particle":"","family":"Dewan","given":"Syed Masudur Rahman","non-dropping-particle":"","parse-names":false,"suffix":""}],"container-title":"Gynecologic Oncology Reports","id":"ITEM-2","issued":{"date-parts":[["2024"]]},"page":"1-9","publisher":"Elsevier Inc.","title":"Public Health Concern-Driven Insights and Response of Low- and Middle-Income Nations to the World Health Organization Call for Cervical Cancer Risk Eradication","type":"article-journal","volume":"54"},"uris":["http://www.mendeley.com/documents/?uuid=63b75316-3446-4388-a9db-9f79120168a0"]}],"mendeley":{"formattedCitation":"(Meng et al., 2025; Reza et al., 2024)","plainTextFormattedCitation":"(Meng et al., 2025; Reza et al., 2024)","previouslyFormattedCitation":"(Meng et al., 2025; Reza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(Meng et al., 2025; Reza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The burden is disproportionately high in low- and middle-income countries, where socio-economic </w:t>
      </w:r>
      <w:r w:rsidRPr="00F21A3A">
        <w:rPr>
          <w:rFonts w:ascii="Arial" w:hAnsi="Arial" w:cs="Arial"/>
          <w:szCs w:val="24"/>
        </w:rPr>
        <w:lastRenderedPageBreak/>
        <w:t>challenges and limited access to preventive services continue to impede effective disease control efforts.</w:t>
      </w:r>
    </w:p>
    <w:p w14:paraId="2586DEEF" w14:textId="77777777" w:rsidR="00F21A3A" w:rsidRPr="00F21A3A" w:rsidRDefault="00F21A3A" w:rsidP="00F21A3A">
      <w:pPr>
        <w:jc w:val="both"/>
        <w:rPr>
          <w:rFonts w:ascii="Arial" w:hAnsi="Arial" w:cs="Arial"/>
          <w:szCs w:val="24"/>
        </w:rPr>
      </w:pPr>
      <w:r w:rsidRPr="00F21A3A">
        <w:rPr>
          <w:rFonts w:ascii="Arial" w:hAnsi="Arial" w:cs="Arial"/>
          <w:szCs w:val="24"/>
        </w:rPr>
        <w:t>In Indonesia, cervical cancer poses an even more urgent public health challenge. It is the second most common cancer among women, following breast cancer. National data indicate approximately 36,000 new cases and 21,000 deaths annually, corresponding to an incidence rate of 23.3 per 100,000 women, nearly twice the global average</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{"citationItems":[{"id":"ITEM-1","itemData":{"author":[{"dropping-particle":"","family":"World Health Organization (WHO)","given":"","non-dropping-particle":"","parse-names":false,"suffix":""}],"id":"ITEM-1","issued":{"date-parts":[["2025"]]},"number-of-pages":"1-9","title":"Elimination Planning Tool: Advancing Towards Cervical Cancer Elimination","type":"report"},"uris":["http://www.mendeley.com/documents/?uuid=a85a6b4d-d69e-44c0-833d-9665f115b21f"]}],"mendeley":{"formattedCitation":"(World Health Organization (WHO), 2025)","manualFormatting":"(WHO, 2025)","plainTextFormattedCitation":"(World Health Organization (WHO), 2025)","previouslyFormattedCitation":"(World Health Organization (WHO), 2025)"},"properties":{"noteIndex":0},"schema":"https://github.com/citation-style-language/schema/raw/master/csl-citation.json"}</w:instrText>
      </w:r>
      <w:r w:rsidRPr="00F21A3A">
        <w:rPr>
          <w:rFonts w:ascii="Arial" w:eastAsia="Helvetica Neue" w:hAnsi="Arial" w:cs="Arial"/>
          <w:szCs w:val="24"/>
          <w:highlight w:val="white"/>
        </w:rPr>
        <w:fldChar w:fldCharType="separate"/>
      </w:r>
      <w:r w:rsidR="00740BA7" w:rsidRPr="00740BA7">
        <w:rPr>
          <w:rFonts w:ascii="Arial" w:eastAsia="Helvetica Neue" w:hAnsi="Arial" w:cs="Arial"/>
          <w:noProof/>
          <w:szCs w:val="24"/>
          <w:highlight w:val="white"/>
        </w:rPr>
        <w:t>(</w:t>
      </w:r>
      <w:r w:rsidR="00740BA7">
        <w:rPr>
          <w:rFonts w:ascii="Arial" w:eastAsia="Helvetica Neue" w:hAnsi="Arial" w:cs="Arial"/>
          <w:noProof/>
          <w:szCs w:val="24"/>
          <w:highlight w:val="white"/>
        </w:rPr>
        <w:t>WHO</w:t>
      </w:r>
      <w:r w:rsidR="00740BA7" w:rsidRPr="00740BA7">
        <w:rPr>
          <w:rFonts w:ascii="Arial" w:eastAsia="Helvetica Neue" w:hAnsi="Arial" w:cs="Arial"/>
          <w:noProof/>
          <w:szCs w:val="24"/>
          <w:highlight w:val="white"/>
        </w:rPr>
        <w:t>, 2025)</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This substantial burden reflects ongoing gaps in reproductive health education, early detection efforts, and equitable access to screening and treatment services.</w:t>
      </w:r>
    </w:p>
    <w:p w14:paraId="42234CB1" w14:textId="77777777" w:rsidR="00F21A3A" w:rsidRPr="00F21A3A" w:rsidRDefault="00F21A3A" w:rsidP="00F21A3A">
      <w:pPr>
        <w:jc w:val="both"/>
        <w:rPr>
          <w:rFonts w:ascii="Arial" w:hAnsi="Arial" w:cs="Arial"/>
          <w:szCs w:val="24"/>
        </w:rPr>
      </w:pPr>
      <w:r w:rsidRPr="00F21A3A">
        <w:rPr>
          <w:rFonts w:ascii="Arial" w:hAnsi="Arial" w:cs="Arial"/>
          <w:szCs w:val="24"/>
        </w:rPr>
        <w:t>Despite advancements in diagnostic technologies, HPV testing, and treatment modalities, cervical cancer remains a heterogeneous disease influenced by a combination of biological, behavioral, and reproductive factors</w:t>
      </w:r>
      <w:r w:rsidR="00740BA7">
        <w:rPr>
          <w:rFonts w:ascii="Arial" w:hAnsi="Arial" w:cs="Arial"/>
          <w:szCs w:val="24"/>
          <w:lang w:val="id-ID"/>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{"citationItems":[{"id":"ITEM-1","itemData":{"ISSN":"2168-8184","PMID":"39184727","abstract":"The incidence of cervical cancer in India is significantly high, and the average recurrence age is much less. The standard line of treatment consists of concurrent chemoradiotherapy. If a recurrence occurs, the treatment options or set of interventions are limited and suboptimal. Through this review, we have analyzed and classified the possible prognostic factors for cervical cancer into three broad categories, viz., (a) disease-related factors, (b) patient-related factors, and (c) treatment-related factors. Disease-related factors include tumor histology, tumor size, stage, parametrial involvement (PMI), Prognostic Nutritional Index (PNI), lymphovascular space invasion (LVSI), and nodal status. Patient-related factors include overall treatment time (OTT), nutritional status, hemoglobin level, comorbidities, and age. Treatment-related factors include addition of chemotherapy, techniques of external beam radiotherapy (EBRT), techniques of brachytherapy, and quality assurance for radiation therapy delivery. Out of these, extremely significant prognostic factors were tumor size and stage, nodal status, PMI, nutritional status, and addition of chemotherapy. Impactful factors include younger age, histology, LVSI, associated comorbidities, hemoglobin level, OTT, and patient-specific quality assurance. The factor that is not related or significant is the technique used for EBRT and brachytherapy delivery.","author":[{"dropping-particle":"","family":"Uke","given":"Ashish","non-dropping-particle":"","parse-names":false,"suffix":""},{"dropping-particle":"","family":"Dahake","given":"Shweta B","non-dropping-particle":"","parse-names":false,"suffix":""},{"dropping-particle":"","family":"Luharia","given":"Anurag","non-dropping-particle":"","parse-names":false,"suffix":""},{"dropping-particle":"","family":"Luharia","given":"Monika","non-dropping-particle":"","parse-names":false,"suffix":""},{"dropping-particle":"V","family":"Mishra","given":"Gaurav","non-dropping-particle":"","parse-names":false,"suffix":""},{"dropping-particle":"","family":"Mahakalkar","given":"Chanrashekhar","non-dropping-particle":"","parse-names":false,"suffix":""}],"container-title":"Cureus","id":"ITEM-1","issue":"7","issued":{"date-parts":[["2024"]]},"page":"1-12","title":"Investigating and Analyzing Prognostic Factors and Their Impact on Recurrent Cervical Cancers","type":"article-journal","volume":"16"},"uris":["http://www.mendeley.com/documents/?uuid=4df96865-4269-453a-af99-1235154aecbd"]},{"id":"ITEM-2","itemData":{"URL":"https://www.ncbi.nlm.nih.gov/books/NBK431093/","accessed":{"date-parts":[["2025","8","2"]]},"author":[{"dropping-particle":"","family":"Fowler","given":"Josephine R.","non-dropping-particle":"","parse-names":false,"suffix":""},{"dropping-particle":"V.","family":"Maani","given":"Elizabeth","non-dropping-particle":"","parse-names":false,"suffix":""},{"dropping-particle":"","family":"Dunton","given":"Charles J.","non-dropping-particle":"","parse-names":false,"suffix":""},{"dropping-particle":"","family":"Gasalberti","given":"David P.","non-dropping-particle":"","parse-names":false,"suffix":""},{"dropping-particle":"","family":"Jack","given":"Brian W.","non-dropping-particle":"","parse-names":false,"suffix":""}],"container-title":"StatPearls","id":"ITEM-2","issued":{"date-parts":[["2023"]]},"title":"Cervical Cancer","type":"webpage"},"uris":["http://www.mendeley.com/documents/?uuid=8616fe80-c659-4b1e-b280-be9661a3dfd0"]}],"mendeley":{"formattedCitation":"(Fowler et al., 2023; Uke et al., 2024)","plainTextFormattedCitation":"(Fowler et al., 2023; Uke et al., 2024)","previouslyFormattedCitation":"(Fowler et al., 2023; Uke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(Fowler et al., 2023; Uke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Histopathological subtype, such as keratinizing and non-keratinizing squamous cell carcinoma, adenocarcinoma, and other variants serves as an essential prognostic indicator, shaping therapeutic decisions and overall clinical outcomes</w:t>
      </w:r>
      <w:r w:rsidR="00740BA7">
        <w:rPr>
          <w:rFonts w:ascii="Arial" w:hAnsi="Arial" w:cs="Arial"/>
          <w:szCs w:val="24"/>
        </w:rPr>
        <w:t xml:space="preserve"> </w:t>
      </w:r>
      <w:r w:rsidRPr="00F21A3A">
        <w:rPr>
          <w:rFonts w:ascii="Arial" w:hAnsi="Arial" w:cs="Arial"/>
          <w:szCs w:val="24"/>
        </w:rPr>
        <w:fldChar w:fldCharType="begin" w:fldLock="1"/>
      </w:r>
      <w:r w:rsidR="001E4358">
        <w:rPr>
          <w:rFonts w:ascii="Arial" w:hAnsi="Arial" w:cs="Arial"/>
          <w:szCs w:val="24"/>
        </w:rPr>
        <w:instrText>ADDIN CSL_CITATION {"citationItems":[{"id":"ITEM-1","itemData":{"author":[{"dropping-particle":"","family":"Hasugian","given":"Sri Astuty","non-dropping-particle":"","parse-names":false,"suffix":""},{"dropping-particle":"","family":"Lubis","given":"Khairiza","non-dropping-particle":"","parse-names":false,"suffix":""},{"dropping-particle":"V","family":"Doan","given":"Hau","non-dropping-particle":"","parse-names":false,"suffix":""}],"container-title":"The Journal of Biosciences","id":"ITEM-1","issue":"3","issued":{"date-parts":[["2020"]]},"page":"90-97","title":"Profile of Histopathology of Cervical Cancer Tissues in Patients of the Dr. Pirngadi Medan Hospital","type":"article-journal","volume":"6"},"uris":["http://www.mendeley.com/documents/?uuid=2977c2b6-6bea-4e50-b1b4-37dceb8a903f"]},{"id":"ITEM-2","itemData":{"author":[{"dropping-particle":"","family":"Made","given":"Ni","non-dropping-particle":"","parse-names":false,"suffix":""},{"dropping-particle":"","family":"Dewi","given":"Laksmi","non-dropping-particle":"","parse-names":false,"suffix":""},{"dropping-particle":"","family":"Ayu","given":"I Gusti","non-dropping-particle":"","parse-names":false,"suffix":""},{"dropping-particle":"","family":"Mahendra","given":"Sri","non-dropping-particle":"","parse-names":false,"suffix":""},{"dropping-particle":"","family":"Paskarani","given":"Putu Erika","non-dropping-particle":"","parse-names":false,"suffix":""}],"container-title":"Indonesian Journal of Cancer","id":"ITEM-2","issue":"3","issued":{"date-parts":[["2025"]]},"page":"381-385","title":"Clinicopathologic Features of Carcinoma of the Cervix Uteri at Prof . Dr. I. G. N. G. Ngoerah Hospital in 2021 – 2022","type":"article-journal","volume":"19"},"uris":["http://www.mendeley.com/documents/?uuid=a286650a-986e-4c9a-90bd-465494c9d0d6"]}],"mendeley":{"formattedCitation":"(Hasugian et al., 2020; Made et al., 2025)","plainTextFormattedCitation":"(Hasugian et al., 2020; Made et al., 2025)","previouslyFormattedCitation":"(Hasugian et al., 2020; Made et al., 2025)"},"properties":{"noteIndex":0},"schema":"https://github.com/citation-style-language/schema/raw/master/csl-citation.json"}</w:instrText>
      </w:r>
      <w:r w:rsidRPr="00F21A3A">
        <w:rPr>
          <w:rFonts w:ascii="Arial" w:hAnsi="Arial" w:cs="Arial"/>
          <w:szCs w:val="24"/>
        </w:rPr>
        <w:fldChar w:fldCharType="separate"/>
      </w:r>
      <w:r w:rsidR="001E4358" w:rsidRPr="001E4358">
        <w:rPr>
          <w:rFonts w:ascii="Arial" w:hAnsi="Arial" w:cs="Arial"/>
          <w:noProof/>
          <w:szCs w:val="24"/>
        </w:rPr>
        <w:t>(Hasugian et al., 2020; Made et al., 2025)</w:t>
      </w:r>
      <w:r w:rsidRPr="00F21A3A">
        <w:rPr>
          <w:rFonts w:ascii="Arial" w:hAnsi="Arial" w:cs="Arial"/>
          <w:szCs w:val="24"/>
        </w:rPr>
        <w:fldChar w:fldCharType="end"/>
      </w:r>
      <w:r w:rsidR="00740BA7">
        <w:rPr>
          <w:rFonts w:ascii="Arial" w:hAnsi="Arial" w:cs="Arial"/>
          <w:szCs w:val="24"/>
          <w:lang w:val="id-ID"/>
        </w:rPr>
        <w:t xml:space="preserve">. </w:t>
      </w:r>
      <w:r w:rsidRPr="00F21A3A">
        <w:rPr>
          <w:rFonts w:ascii="Arial" w:hAnsi="Arial" w:cs="Arial"/>
          <w:szCs w:val="24"/>
        </w:rPr>
        <w:t>These subtypes may be influenced by upstream determinants, including variations in women's reproductive histories, yet this area remains insufficiently examined in many populations.</w:t>
      </w:r>
    </w:p>
    <w:p w14:paraId="5F420248" w14:textId="77777777" w:rsidR="00F21A3A" w:rsidRPr="00F21A3A" w:rsidRDefault="00F21A3A" w:rsidP="00F21A3A">
      <w:pPr>
        <w:jc w:val="both"/>
        <w:rPr>
          <w:rFonts w:ascii="Arial" w:hAnsi="Arial" w:cs="Arial"/>
          <w:szCs w:val="24"/>
        </w:rPr>
      </w:pPr>
      <w:r w:rsidRPr="00F21A3A">
        <w:rPr>
          <w:rFonts w:ascii="Arial" w:hAnsi="Arial" w:cs="Arial"/>
          <w:szCs w:val="24"/>
        </w:rPr>
        <w:t>Reproductive factors such as age at menarche, age at marriage, age at first childbirth, parity, and history of abortion have been consistently associated with cervical cancer risk</w:t>
      </w:r>
      <w:r w:rsidR="00C858BE">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{"citationItems":[{"id":"ITEM-1","itemData":{"author":[{"dropping-particle":"V.","family":"Akwa","given":"Y.","non-dropping-particle":"","parse-names":false,"suffix":""},{"dropping-particle":"","family":"Umeh","given":"E. U.","non-dropping-particle":"","parse-names":false,"suffix":""},{"dropping-particle":"","family":"U.","given":"Amuta E.","non-dropping-particle":"","parse-names":false,"suffix":""},{"dropping-particle":"","family":"Sar","given":"T.T.","non-dropping-particle":"","parse-names":false,"suffix":""},{"dropping-particle":"","family":"Kela","given":"S. I.","non-dropping-particle":"","parse-names":false,"suffix":""}],"container-title":"Mikailalsys","id":"ITEM-1","issue":"3","issued":{"date-parts":[["2024"]]},"page":"294-305","title":"Socio-Demographic Factors Associated with the Risk of HPV Infection Among Sexually Active Women in Adamawa and Taraba States","type":"article-journal","volume":"2"},"uris":["http://www.mendeley.com/documents/?uuid=ef73225b-9022-4854-8348-1a8b594763ae"]},{"id":"ITEM-2","itemData":{"author":[{"dropping-particle":"","family":"Terrinoni","given":"Matteo","non-dropping-particle":"","parse-names":false,"suffix":""},{"dropping-particle":"","family":"Auge","given":"Tullio Golia D","non-dropping-particle":"","parse-names":false,"suffix":""},{"dropping-particle":"","family":"Mascellino","given":"Giuseppe","non-dropping-particle":"","parse-names":false,"suffix":""},{"dropping-particle":"","family":"Adinolfi","given":"Federica","non-dropping-particle":"","parse-names":false,"suffix":""},{"dropping-particle":"","family":"Palisciano","given":"Michele","non-dropping-particle":"","parse-names":false,"suffix":""},{"dropping-particle":"","family":"Rossetti","given":"Dario","non-dropping-particle":"","parse-names":false,"suffix":""},{"dropping-particle":"Di","family":"Renzo","given":"Gian Carlo","non-dropping-particle":"","parse-names":false,"suffix":""},{"dropping-particle":"","family":"Giannini","given":"Andrea","non-dropping-particle":"","parse-names":false,"suffix":""}],"container-title":"Medicina","id":"ITEM-2","issued":{"date-parts":[["2025"]]},"page":"1-23","title":"Human Papillomavirus Across the Reproductive Lifespan: An Integrative Review of Fertility, Pregnancy Outcomes, and Fertility-Sparing Management","type":"article-journal","volume":"61"},"uris":["http://www.mendeley.com/documents/?uuid=8b331b33-40dd-4900-b03b-927670c8924e"]},{"id":"ITEM-3","itemData":{"author":[{"dropping-particle":"","family":"Rahayu","given":"Mulyati Sri","non-dropping-particle":"","parse-names":false,"suffix":""},{"dropping-particle":"","family":"Maulina","given":"Nora","non-dropping-particle":"","parse-names":false,"suffix":""},{"dropping-particle":"","family":"Nadhira","given":"Cut Sidrah","non-dropping-particle":"","parse-names":false,"suffix":""},{"dropping-particle":"","family":"Sawitri","given":"Harvina","non-dropping-particle":"","parse-names":false,"suffix":""},{"dropping-particle":"","family":"Kautsar","given":"Muhammad","non-dropping-particle":"","parse-names":false,"suffix":""},{"dropping-particle":"","family":"Sakinah","given":"Nur","non-dropping-particle":"","parse-names":false,"suffix":""}],"container-title":"Jurnal Biometrika dan Kependudukan","id":"ITEM-3","issue":"2","issued":{"date-parts":[["2024"]]},"page":"202-210","title":"Cervical Cancer Screening and Associated Factors Among Women of Reproductive Age In Lhokseumawe, Aceh","type":"article-journal","volume":"13"},"uris":["http://www.mendeley.com/documents/?uuid=4fcae272-4cc0-4352-9fd4-f40dc6233a07"]}],"mendeley":{"formattedCitation":"(Akwa et al., 2024; Rahayu et al., 2024; Terrinoni et al., 2025)","plainTextFormattedCitation":"(Akwa et al., 2024; Rahayu et al., 2024; Terrinoni et al., 2025)","previouslyFormattedCitation":"(Akwa et al., 2024; Rahayu et al., 2024; Terrinoni et al., 2025)"},"properties":{"noteIndex":0},"schema":"https://github.com/citation-style-language/schema/raw/master/csl-citation.json"}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(Akwa et al., 2024; Rahayu et al., 2024; Terrinoni et al., 2025)</w:t>
      </w:r>
      <w:r w:rsidR="00BA679A">
        <w:rPr>
          <w:rFonts w:ascii="Arial" w:hAnsi="Arial" w:cs="Arial"/>
          <w:szCs w:val="24"/>
          <w:lang w:val="id-ID"/>
        </w:rPr>
        <w:fldChar w:fldCharType="end"/>
      </w:r>
      <w:r w:rsidRPr="00F21A3A">
        <w:rPr>
          <w:rFonts w:ascii="Arial" w:hAnsi="Arial" w:cs="Arial"/>
          <w:szCs w:val="24"/>
        </w:rPr>
        <w:t>. These variables shape hormonal exposure, cervical epithelial vulnerability, and patterns of HPV infection or persistence throughout a woman’s reproductive lifespan. High parity, early sexual debut or marriage, and early childbirth are frequently linked with increased risk of cervical cancer, particularly squamous cell carcinoma, while adenocarcinoma is more commonly observed in women with lower parity or delayed childbearing</w:t>
      </w:r>
      <w:r w:rsidR="00BA679A">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Tekalegn","given":"Yohannes","non-dropping-particle":"","parse-names":false,"suffix":""},{"dropping-particle":"","family":"Sahiledengle","given":"Biniyam","non-dropping-particle":"","parse-names":false,"suffix":""},{"dropping-particle":"","family":"Woldeyohannes","given":"Demelash","non-dropping-particle":"","parse-names":false,"suffix":""},{"dropping-particle":"","family":"Atlaw","given":"Daniel","non-dropping-particle":"","parse-names":false,"suffix":""},{"dropping-particle":"","family":"Degno","given":"Sisay","non-dropping-particle":"","parse-names":false,"suffix":""},{"dropping-particle":"","family":"Desta","given":"Fikreab","non-dropping-particle":"","parse-names":false,"suffix":""},{"dropping-particle":"","family":"Bekele","given":"Kebebe","non-dropping-particle":"","parse-names":false,"suffix":""},{"dropping-particle":"","family":"Aseffa","given":"Tesfaye","non-dropping-particle":"","parse-names":false,"suffix":""},{"dropping-particle":"","family":"Gezahegn","given":"Habtamu","non-dropping-particle":"","parse-names":false,"suffix":""},{"dropping-particle":"","family":"Kene","given":"Chala","non-dropping-particle":"","parse-names":false,"suffix":""}],"container-title":"Women's Health","id":"ITEM-1","issued":{"date-parts":[["2022"]]},"page":"1-11","title":"High Parity is Associated with Increased Risk of Cervical Cancer: Systematic Review and Meta-Analysis Of Case–Control Studies","type":"article-journal","volume":"18"},"uris":["http://www.mendeley.com/documents/?uuid=8a40d8d9-9c3e-40df-ac04-f1bea4fc0c8a"]}],"mendeley":{"formattedCitation":"(Tekalegn et al., 2022)","plainTextFormattedCitation":"(Tekalegn et al., 2022)","previouslyFormattedCitation":"(Tekalegn et al., 2022)"},"properties":{"noteIndex":0},"schema":"https://github.com/citation-style-language/schema/raw/master/csl-citation.json"}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(Tekalegn et al., 2022)</w:t>
      </w:r>
      <w:r w:rsidR="00BA679A">
        <w:rPr>
          <w:rFonts w:ascii="Arial" w:hAnsi="Arial" w:cs="Arial"/>
          <w:szCs w:val="24"/>
          <w:lang w:val="id-ID"/>
        </w:rPr>
        <w:fldChar w:fldCharType="end"/>
      </w:r>
      <w:r w:rsidRPr="00F21A3A">
        <w:rPr>
          <w:rFonts w:ascii="Arial" w:hAnsi="Arial" w:cs="Arial"/>
          <w:szCs w:val="24"/>
        </w:rPr>
        <w:t>. Although these associations are well documented, only a limited number of studies have specifically explored how reproductive determinants may influence the distribution of histopathological subtypes.</w:t>
      </w:r>
    </w:p>
    <w:p w14:paraId="025E7826" w14:textId="77777777" w:rsidR="00505F06" w:rsidRDefault="00F21A3A" w:rsidP="00F21A3A">
      <w:pPr>
        <w:jc w:val="both"/>
        <w:rPr>
          <w:rFonts w:ascii="Arial" w:hAnsi="Arial" w:cs="Arial"/>
          <w:szCs w:val="24"/>
        </w:rPr>
      </w:pPr>
      <w:r w:rsidRPr="00F21A3A">
        <w:rPr>
          <w:rFonts w:ascii="Arial" w:hAnsi="Arial" w:cs="Arial"/>
          <w:szCs w:val="24"/>
        </w:rPr>
        <w:t>Most existing research focuses on cervical cancer’s overall incidence, risk factors, or clinical outcomes, whereas comparative analyses examining reproductive influences across histopathological variants remain scarce. In Indonesia, studies addressing this topic are even more limited, with much of the available literature centered on prevalence patterns and stage distribution rather than reproductive predictors. Considering that each histopathological variant exhibits unique biological behavior, detection pathways, and treatment responses, understanding reproductive contributions may offer valuable insights for prevention, early detection, and clinical decision-making.</w:t>
      </w:r>
      <w:r w:rsidR="0036381D">
        <w:rPr>
          <w:rFonts w:ascii="Arial" w:hAnsi="Arial" w:cs="Arial"/>
          <w:szCs w:val="24"/>
          <w:lang w:val="id-ID"/>
        </w:rPr>
        <w:t xml:space="preserve"> </w:t>
      </w:r>
      <w:r w:rsidRPr="00F21A3A">
        <w:rPr>
          <w:rFonts w:ascii="Arial" w:hAnsi="Arial" w:cs="Arial"/>
          <w:szCs w:val="24"/>
        </w:rPr>
        <w:t>Therefore, this study aims to investigate the associations between reproductive factors and the histopathological subtypes of cervical cancer, with the goal of identifying which reproductive characteristics most strongly influence tumor type.</w:t>
      </w:r>
    </w:p>
    <w:p w14:paraId="7D34042C" w14:textId="77777777" w:rsidR="00F21A3A" w:rsidRPr="00F21A3A" w:rsidRDefault="00F21A3A" w:rsidP="00F21A3A">
      <w:pPr>
        <w:jc w:val="both"/>
        <w:rPr>
          <w:rFonts w:ascii="Arial" w:hAnsi="Arial" w:cs="Arial"/>
          <w:szCs w:val="24"/>
        </w:rPr>
      </w:pPr>
    </w:p>
    <w:p w14:paraId="4F90F8EF" w14:textId="77777777" w:rsidR="00F21A3A" w:rsidRPr="00F21A3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7AAB76E" w14:textId="77777777" w:rsidR="00F21A3A" w:rsidRPr="00F21A3A" w:rsidRDefault="00F21A3A" w:rsidP="00F21A3A">
      <w:pPr>
        <w:jc w:val="both"/>
        <w:rPr>
          <w:rFonts w:ascii="Arial" w:hAnsi="Arial" w:cs="Arial"/>
          <w:b/>
          <w:szCs w:val="24"/>
          <w:lang w:val="id-ID"/>
        </w:rPr>
      </w:pPr>
      <w:r w:rsidRPr="00F21A3A">
        <w:rPr>
          <w:rFonts w:ascii="Arial" w:hAnsi="Arial" w:cs="Arial"/>
          <w:b/>
          <w:sz w:val="22"/>
          <w:szCs w:val="24"/>
          <w:lang w:val="id-ID"/>
        </w:rPr>
        <w:t>2.1 Design and Setting</w:t>
      </w:r>
    </w:p>
    <w:p w14:paraId="3B4B98D4" w14:textId="77777777" w:rsidR="00930C62" w:rsidRDefault="00F21A3A" w:rsidP="00F21A3A">
      <w:pPr>
        <w:jc w:val="both"/>
        <w:rPr>
          <w:rFonts w:ascii="Arial" w:hAnsi="Arial" w:cs="Arial"/>
          <w:szCs w:val="24"/>
        </w:rPr>
      </w:pPr>
      <w:r w:rsidRPr="00F21A3A">
        <w:rPr>
          <w:rFonts w:ascii="Arial" w:hAnsi="Arial" w:cs="Arial"/>
          <w:szCs w:val="24"/>
        </w:rPr>
        <w:t xml:space="preserve">This retrospective observational study used secondary data obtained from the medical records of cervical cancer patients treated at Abdoel Wahab Sjahranie General Hospital, Samarinda, Indonesia, between 2023 and 2024. The study population included all patients who underwent cervical biopsy during this period, comprising a total of 129 cases. The minimum sample size was determined using the </w:t>
      </w:r>
      <w:proofErr w:type="spellStart"/>
      <w:r w:rsidRPr="00F21A3A">
        <w:rPr>
          <w:rFonts w:ascii="Arial" w:hAnsi="Arial" w:cs="Arial"/>
          <w:szCs w:val="24"/>
        </w:rPr>
        <w:t>Krejcie</w:t>
      </w:r>
      <w:proofErr w:type="spellEnd"/>
      <w:r w:rsidRPr="00F21A3A">
        <w:rPr>
          <w:rFonts w:ascii="Arial" w:hAnsi="Arial" w:cs="Arial"/>
          <w:szCs w:val="24"/>
        </w:rPr>
        <w:t xml:space="preserve"> and Morgan formula, yielding a required sample of at least 97 subjects. Eligible patients were subsequently selected through simple random sampling to ensure equal representation.</w:t>
      </w:r>
    </w:p>
    <w:p w14:paraId="5E32DAC0" w14:textId="77777777" w:rsidR="00F21A3A" w:rsidRPr="00F21A3A" w:rsidRDefault="00F21A3A" w:rsidP="00F21A3A">
      <w:pPr>
        <w:jc w:val="both"/>
        <w:rPr>
          <w:rFonts w:ascii="Arial" w:hAnsi="Arial" w:cs="Arial"/>
          <w:szCs w:val="24"/>
        </w:rPr>
      </w:pPr>
      <w:r w:rsidRPr="00F21A3A">
        <w:rPr>
          <w:rFonts w:ascii="Arial" w:hAnsi="Arial" w:cs="Arial"/>
          <w:szCs w:val="24"/>
        </w:rPr>
        <w:t xml:space="preserve">Patients were included if they had </w:t>
      </w:r>
      <w:proofErr w:type="spellStart"/>
      <w:r w:rsidRPr="00F21A3A">
        <w:rPr>
          <w:rFonts w:ascii="Arial" w:hAnsi="Arial" w:cs="Arial"/>
          <w:szCs w:val="24"/>
        </w:rPr>
        <w:t>histopathologically</w:t>
      </w:r>
      <w:proofErr w:type="spellEnd"/>
      <w:r w:rsidRPr="00F21A3A">
        <w:rPr>
          <w:rFonts w:ascii="Arial" w:hAnsi="Arial" w:cs="Arial"/>
          <w:szCs w:val="24"/>
        </w:rPr>
        <w:t xml:space="preserve"> confirmed cervical cancer diagnosed during the study period and complete reproductive history data documented in their medical records. For analytical purposes, histopathological diagnoses were classified into two groups: squamous cell carcinoma, encompassing both non-keratinizing and keratinizing </w:t>
      </w:r>
      <w:r w:rsidRPr="00F21A3A">
        <w:rPr>
          <w:rFonts w:ascii="Arial" w:hAnsi="Arial" w:cs="Arial"/>
          <w:szCs w:val="24"/>
        </w:rPr>
        <w:lastRenderedPageBreak/>
        <w:t>subtypes, and adenocarcinoma. Patients were excluded if biopsy results revealed non-malignant lesions or diagnoses other than cervical cancer, if duplicate biopsy records were identified (with only the earliest complete record retained), or if biopsy procedures were performed outside the study period or at other healthcare facilities.</w:t>
      </w:r>
    </w:p>
    <w:p w14:paraId="5FFEDA81" w14:textId="77777777" w:rsidR="00F21A3A" w:rsidRDefault="00F21A3A" w:rsidP="00F21A3A">
      <w:pPr>
        <w:jc w:val="both"/>
        <w:rPr>
          <w:rFonts w:ascii="Arial" w:hAnsi="Arial" w:cs="Arial"/>
          <w:szCs w:val="24"/>
        </w:rPr>
      </w:pPr>
      <w:r w:rsidRPr="00F21A3A">
        <w:rPr>
          <w:rFonts w:ascii="Arial" w:hAnsi="Arial" w:cs="Arial"/>
          <w:szCs w:val="24"/>
        </w:rPr>
        <w:t>The histopathological type of cervical cancer, categorized as squamous cell carcinoma or adenocarcinoma, served as the dependent variable. Independent variables consisted of reproductive factors, including number of marriages, age at menarche, age at marriage, parity, and history of abortion or fetal death. All reproductive variables were analyzed as continuous variables and are presented as means with standard deviations.</w:t>
      </w:r>
    </w:p>
    <w:p w14:paraId="4F117023" w14:textId="77777777" w:rsidR="00F21A3A" w:rsidRDefault="00F21A3A" w:rsidP="00F21A3A">
      <w:pPr>
        <w:jc w:val="both"/>
        <w:rPr>
          <w:rFonts w:ascii="Arial" w:hAnsi="Arial" w:cs="Arial"/>
          <w:szCs w:val="24"/>
          <w:lang w:val="id-ID"/>
        </w:rPr>
      </w:pPr>
    </w:p>
    <w:p w14:paraId="6B07D06B" w14:textId="77777777" w:rsidR="00F21A3A" w:rsidRPr="00F21A3A" w:rsidRDefault="00F21A3A" w:rsidP="00F21A3A">
      <w:pPr>
        <w:jc w:val="both"/>
        <w:rPr>
          <w:rFonts w:ascii="Arial" w:hAnsi="Arial" w:cs="Arial"/>
          <w:b/>
          <w:sz w:val="22"/>
          <w:szCs w:val="24"/>
          <w:lang w:val="id-ID"/>
        </w:rPr>
      </w:pPr>
      <w:r w:rsidRPr="00F21A3A">
        <w:rPr>
          <w:rFonts w:ascii="Arial" w:hAnsi="Arial" w:cs="Arial"/>
          <w:b/>
          <w:sz w:val="22"/>
          <w:szCs w:val="24"/>
          <w:lang w:val="id-ID"/>
        </w:rPr>
        <w:t>2.2 Statistical Analysis</w:t>
      </w:r>
    </w:p>
    <w:p w14:paraId="25D393AE" w14:textId="77777777" w:rsidR="00F21A3A" w:rsidRDefault="00F21A3A" w:rsidP="00F21A3A">
      <w:pPr>
        <w:jc w:val="both"/>
        <w:rPr>
          <w:rFonts w:ascii="Arial" w:hAnsi="Arial" w:cs="Arial"/>
          <w:szCs w:val="24"/>
        </w:rPr>
      </w:pPr>
      <w:r w:rsidRPr="00F21A3A">
        <w:rPr>
          <w:rFonts w:ascii="Arial" w:hAnsi="Arial" w:cs="Arial"/>
          <w:szCs w:val="24"/>
        </w:rPr>
        <w:t>Statistical analyses were performed using</w:t>
      </w:r>
      <w:r w:rsidR="00930C62">
        <w:rPr>
          <w:rFonts w:ascii="Arial" w:hAnsi="Arial" w:cs="Arial"/>
          <w:szCs w:val="24"/>
        </w:rPr>
        <w:t xml:space="preserve"> IBM SPSS Statistics</w:t>
      </w:r>
      <w:r w:rsidRPr="00F21A3A">
        <w:rPr>
          <w:rFonts w:ascii="Arial" w:hAnsi="Arial" w:cs="Arial"/>
          <w:szCs w:val="24"/>
        </w:rPr>
        <w:t xml:space="preserve"> version 25.0. Data normality was assessed using the Kolmogorov–Smirnov test and demonstr</w:t>
      </w:r>
      <w:r w:rsidR="00A177CB">
        <w:rPr>
          <w:rFonts w:ascii="Arial" w:hAnsi="Arial" w:cs="Arial"/>
          <w:szCs w:val="24"/>
        </w:rPr>
        <w:t>ated non-normal distributions (</w:t>
      </w:r>
      <w:r w:rsidR="00A177CB" w:rsidRPr="00A177CB">
        <w:rPr>
          <w:rFonts w:ascii="Arial" w:hAnsi="Arial" w:cs="Arial"/>
          <w:i/>
          <w:szCs w:val="24"/>
        </w:rPr>
        <w:t>P</w:t>
      </w:r>
      <w:r w:rsidR="00A177CB">
        <w:rPr>
          <w:rFonts w:ascii="Arial" w:hAnsi="Arial" w:cs="Arial"/>
          <w:szCs w:val="24"/>
        </w:rPr>
        <w:t xml:space="preserve"> &lt; </w:t>
      </w:r>
      <w:r w:rsidRPr="00F21A3A">
        <w:rPr>
          <w:rFonts w:ascii="Arial" w:hAnsi="Arial" w:cs="Arial"/>
          <w:szCs w:val="24"/>
        </w:rPr>
        <w:t xml:space="preserve">.05); therefore, non-parametric methods were applied. Associations between reproductive factors and histopathological groups were initially evaluated using the Mann–Whitney U test. To avoid excluding potentially important predictors at the multivariate stage, variables with a </w:t>
      </w:r>
      <w:r w:rsidR="00930C62" w:rsidRPr="00930C62">
        <w:rPr>
          <w:rFonts w:ascii="Arial" w:hAnsi="Arial" w:cs="Arial"/>
          <w:i/>
          <w:szCs w:val="24"/>
          <w:lang w:val="id-ID"/>
        </w:rPr>
        <w:t>P</w:t>
      </w:r>
      <w:r w:rsidR="00A177CB">
        <w:rPr>
          <w:rFonts w:ascii="Arial" w:hAnsi="Arial" w:cs="Arial"/>
          <w:szCs w:val="24"/>
        </w:rPr>
        <w:t xml:space="preserve"> &lt; </w:t>
      </w:r>
      <w:r w:rsidRPr="00F21A3A">
        <w:rPr>
          <w:rFonts w:ascii="Arial" w:hAnsi="Arial" w:cs="Arial"/>
          <w:szCs w:val="24"/>
        </w:rPr>
        <w:t>.25 in bivariate analysis were subsequently entered into multivariate binary logistic regression models to identify independent predictors of histopathological type. The strength of associations was expressed as odds ratios (ORs) with corresponding 95% confidence intervals (CIs), and statistical significa</w:t>
      </w:r>
      <w:r w:rsidR="00A177CB">
        <w:rPr>
          <w:rFonts w:ascii="Arial" w:hAnsi="Arial" w:cs="Arial"/>
          <w:szCs w:val="24"/>
        </w:rPr>
        <w:t xml:space="preserve">nce was defined as a </w:t>
      </w:r>
      <w:r w:rsidR="00A177CB" w:rsidRPr="00A177CB">
        <w:rPr>
          <w:rFonts w:ascii="Arial" w:hAnsi="Arial" w:cs="Arial"/>
          <w:i/>
          <w:szCs w:val="24"/>
        </w:rPr>
        <w:t>P</w:t>
      </w:r>
      <w:r w:rsidR="00A177CB">
        <w:rPr>
          <w:rFonts w:ascii="Arial" w:hAnsi="Arial" w:cs="Arial"/>
          <w:szCs w:val="24"/>
        </w:rPr>
        <w:t xml:space="preserve"> &lt; </w:t>
      </w:r>
      <w:r w:rsidRPr="00F21A3A">
        <w:rPr>
          <w:rFonts w:ascii="Arial" w:hAnsi="Arial" w:cs="Arial"/>
          <w:szCs w:val="24"/>
        </w:rPr>
        <w:t>.05.</w:t>
      </w:r>
    </w:p>
    <w:p w14:paraId="40D548F6" w14:textId="77777777" w:rsidR="00A03B96" w:rsidRDefault="00A03B96" w:rsidP="00441B6F">
      <w:pPr>
        <w:pStyle w:val="Body"/>
        <w:spacing w:after="0"/>
        <w:rPr>
          <w:rFonts w:ascii="Arial" w:hAnsi="Arial" w:cs="Arial"/>
        </w:rPr>
      </w:pPr>
    </w:p>
    <w:p w14:paraId="515CDB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5EEC43" w14:textId="77777777" w:rsidR="00930C62" w:rsidRPr="00930C62" w:rsidRDefault="003926B1" w:rsidP="00930C62">
      <w:pPr>
        <w:jc w:val="both"/>
        <w:rPr>
          <w:rFonts w:ascii="Arial" w:hAnsi="Arial" w:cs="Arial"/>
        </w:rPr>
      </w:pPr>
      <w:r>
        <w:rPr>
          <w:rFonts w:ascii="Arial" w:hAnsi="Arial" w:cs="Arial"/>
        </w:rPr>
        <w:t>Based on Table 1, t</w:t>
      </w:r>
      <w:r w:rsidR="00930C62" w:rsidRPr="00930C62">
        <w:rPr>
          <w:rFonts w:ascii="Arial" w:hAnsi="Arial" w:cs="Arial"/>
        </w:rPr>
        <w:t xml:space="preserve">he mean age of the patients was 48.87 </w:t>
      </w:r>
      <m:oMath>
        <m:r>
          <w:rPr>
            <w:rFonts w:ascii="Cambria Math" w:hAnsi="Cambria Math" w:cs="Arial"/>
          </w:rPr>
          <m:t>±</m:t>
        </m:r>
      </m:oMath>
      <w:r w:rsidR="00930C62" w:rsidRPr="00930C62">
        <w:rPr>
          <w:rFonts w:ascii="Arial" w:hAnsi="Arial" w:cs="Arial"/>
        </w:rPr>
        <w:t xml:space="preserve"> 9.73 years, indicating that most cases occurred in women in their late reproductive to perimenopausal period. The majority of patients were housewives, accounting for more than three-quarters of the study population (76.30%), while smaller proportions were employed as civil servants (12.40%) or private employees (11.30%).</w:t>
      </w:r>
    </w:p>
    <w:p w14:paraId="3E9AA9D8" w14:textId="77777777" w:rsidR="00930C62" w:rsidRPr="00930C62" w:rsidRDefault="00930C62" w:rsidP="00930C62">
      <w:pPr>
        <w:jc w:val="both"/>
        <w:rPr>
          <w:rFonts w:ascii="Arial" w:hAnsi="Arial" w:cs="Arial"/>
        </w:rPr>
      </w:pPr>
      <w:r w:rsidRPr="00930C62">
        <w:rPr>
          <w:rFonts w:ascii="Arial" w:hAnsi="Arial" w:cs="Arial"/>
        </w:rPr>
        <w:t>Educational attainment was predominantly at the middle level, with over half of the patients having completed senior high school (53.60%). Patients with lower educational levels comprised nearly one-third of the cohort (30.90%), whereas those with higher education represented a smaller proportion (15.50%). This distribution reflects a population largely characterized by moderate educational backgrounds.</w:t>
      </w:r>
    </w:p>
    <w:p w14:paraId="4E72A5B3" w14:textId="77777777" w:rsidR="00930C62" w:rsidRDefault="00930C62" w:rsidP="00930C62">
      <w:pPr>
        <w:jc w:val="both"/>
        <w:rPr>
          <w:rFonts w:ascii="Arial" w:hAnsi="Arial" w:cs="Arial"/>
        </w:rPr>
      </w:pPr>
      <w:r w:rsidRPr="00930C62">
        <w:rPr>
          <w:rFonts w:ascii="Arial" w:hAnsi="Arial" w:cs="Arial"/>
        </w:rPr>
        <w:t>More than half of the patients resided in Samarinda (57.70%), while a substantial proportion (42.30%) came from areas outside the city. In terms of healthcare financing, almost all patients were covered by the National Health Insurance program (94.80%), highlighting the central role of public insurance in facilitating access to diagnostic and treatment services. Only a minority of patients relied on out-of-pocket payment (4.10%) or reimbursement schemes (1.00%).</w:t>
      </w:r>
    </w:p>
    <w:p w14:paraId="1F4BA2E4" w14:textId="77777777" w:rsidR="00A177CB" w:rsidRPr="00A177CB" w:rsidRDefault="00A177CB" w:rsidP="00930C62">
      <w:pPr>
        <w:jc w:val="both"/>
        <w:rPr>
          <w:rFonts w:ascii="Arial" w:hAnsi="Arial" w:cs="Arial"/>
        </w:rPr>
      </w:pPr>
    </w:p>
    <w:p w14:paraId="33B4B6A8" w14:textId="77777777" w:rsidR="00930C62" w:rsidRPr="00785A42" w:rsidRDefault="00930C62" w:rsidP="00930C62">
      <w:pPr>
        <w:jc w:val="center"/>
        <w:rPr>
          <w:rFonts w:ascii="Arial" w:eastAsia="Helvetica Neue" w:hAnsi="Arial" w:cs="Arial"/>
          <w:b/>
          <w:highlight w:val="white"/>
          <w:lang w:val="id-ID"/>
        </w:rPr>
      </w:pPr>
      <w:r w:rsidRPr="00785A42">
        <w:rPr>
          <w:rFonts w:ascii="Arial" w:eastAsia="Helvetica Neue" w:hAnsi="Arial" w:cs="Arial"/>
          <w:b/>
          <w:highlight w:val="white"/>
          <w:lang w:val="id-ID"/>
        </w:rPr>
        <w:t xml:space="preserve">Table 1. </w:t>
      </w:r>
      <w:r w:rsidRPr="00785A42">
        <w:rPr>
          <w:rFonts w:ascii="Arial" w:hAnsi="Arial" w:cs="Arial"/>
          <w:b/>
        </w:rPr>
        <w:t>Characteristics of Cervical Cancer Patients</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417"/>
        <w:gridCol w:w="1985"/>
      </w:tblGrid>
      <w:tr w:rsidR="00930C62" w:rsidRPr="00930C62" w14:paraId="62F5E476" w14:textId="77777777" w:rsidTr="00930C62">
        <w:trPr>
          <w:tblHeader/>
        </w:trPr>
        <w:tc>
          <w:tcPr>
            <w:tcW w:w="3544" w:type="dxa"/>
            <w:tcBorders>
              <w:top w:val="single" w:sz="4" w:space="0" w:color="auto"/>
              <w:bottom w:val="single" w:sz="4" w:space="0" w:color="auto"/>
            </w:tcBorders>
            <w:vAlign w:val="center"/>
          </w:tcPr>
          <w:p w14:paraId="36D01CDB"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Characteristics</w:t>
            </w:r>
          </w:p>
        </w:tc>
        <w:tc>
          <w:tcPr>
            <w:tcW w:w="1276" w:type="dxa"/>
            <w:tcBorders>
              <w:top w:val="single" w:sz="4" w:space="0" w:color="auto"/>
              <w:bottom w:val="single" w:sz="4" w:space="0" w:color="auto"/>
            </w:tcBorders>
            <w:vAlign w:val="center"/>
          </w:tcPr>
          <w:p w14:paraId="68EFBE85" w14:textId="77777777" w:rsidR="00930C62" w:rsidRPr="00930C62" w:rsidRDefault="00930C62" w:rsidP="00930C62">
            <w:pPr>
              <w:ind w:left="179"/>
              <w:jc w:val="center"/>
              <w:rPr>
                <w:rFonts w:ascii="Arial" w:hAnsi="Arial" w:cs="Arial"/>
                <w:b/>
                <w:sz w:val="20"/>
                <w:szCs w:val="20"/>
                <w:lang w:val="id-ID"/>
              </w:rPr>
            </w:pPr>
            <w:r w:rsidRPr="00930C62">
              <w:rPr>
                <w:rFonts w:ascii="Arial" w:hAnsi="Arial" w:cs="Arial"/>
                <w:b/>
                <w:sz w:val="20"/>
                <w:szCs w:val="20"/>
                <w:lang w:val="id-ID"/>
              </w:rPr>
              <w:t>Number</w:t>
            </w:r>
          </w:p>
          <w:p w14:paraId="506CE0A9"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n = 97</w:t>
            </w:r>
          </w:p>
        </w:tc>
        <w:tc>
          <w:tcPr>
            <w:tcW w:w="1417" w:type="dxa"/>
            <w:tcBorders>
              <w:top w:val="single" w:sz="4" w:space="0" w:color="auto"/>
              <w:bottom w:val="single" w:sz="4" w:space="0" w:color="auto"/>
            </w:tcBorders>
            <w:vAlign w:val="center"/>
          </w:tcPr>
          <w:p w14:paraId="7BF3A642"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Percentage (%)</w:t>
            </w:r>
          </w:p>
        </w:tc>
        <w:tc>
          <w:tcPr>
            <w:tcW w:w="1985" w:type="dxa"/>
            <w:tcBorders>
              <w:top w:val="single" w:sz="4" w:space="0" w:color="auto"/>
              <w:bottom w:val="single" w:sz="4" w:space="0" w:color="auto"/>
            </w:tcBorders>
            <w:vAlign w:val="center"/>
          </w:tcPr>
          <w:p w14:paraId="4D3E1D46"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Cumulative Percentage (%)</w:t>
            </w:r>
          </w:p>
        </w:tc>
      </w:tr>
      <w:tr w:rsidR="00930C62" w:rsidRPr="00930C62" w14:paraId="29C1104E" w14:textId="77777777" w:rsidTr="00930C62">
        <w:tc>
          <w:tcPr>
            <w:tcW w:w="3544" w:type="dxa"/>
            <w:tcBorders>
              <w:top w:val="single" w:sz="4" w:space="0" w:color="auto"/>
            </w:tcBorders>
            <w:vAlign w:val="bottom"/>
          </w:tcPr>
          <w:p w14:paraId="0E4A8180"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bCs/>
                <w:sz w:val="20"/>
                <w:szCs w:val="20"/>
                <w:lang w:val="id-ID"/>
              </w:rPr>
              <w:t>Age</w:t>
            </w:r>
            <w:r w:rsidRPr="00930C62">
              <w:rPr>
                <w:rFonts w:ascii="Arial" w:hAnsi="Arial" w:cs="Arial"/>
                <w:b/>
                <w:bCs/>
                <w:sz w:val="20"/>
                <w:szCs w:val="20"/>
              </w:rPr>
              <w:t xml:space="preserve"> (</w:t>
            </w:r>
            <w:r w:rsidRPr="00930C62">
              <w:rPr>
                <w:rFonts w:ascii="Arial" w:hAnsi="Arial" w:cs="Arial"/>
                <w:b/>
                <w:bCs/>
                <w:sz w:val="20"/>
                <w:szCs w:val="20"/>
                <w:lang w:val="id-ID"/>
              </w:rPr>
              <w:t>Years</w:t>
            </w:r>
            <w:r w:rsidRPr="00930C62">
              <w:rPr>
                <w:rFonts w:ascii="Arial" w:hAnsi="Arial" w:cs="Arial"/>
                <w:b/>
                <w:bCs/>
                <w:sz w:val="20"/>
                <w:szCs w:val="20"/>
              </w:rPr>
              <w:t>)</w:t>
            </w:r>
          </w:p>
        </w:tc>
        <w:tc>
          <w:tcPr>
            <w:tcW w:w="4678" w:type="dxa"/>
            <w:gridSpan w:val="3"/>
            <w:tcBorders>
              <w:top w:val="single" w:sz="4" w:space="0" w:color="auto"/>
            </w:tcBorders>
          </w:tcPr>
          <w:p w14:paraId="5B56BDED"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 xml:space="preserve">48.87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9.73</w:t>
            </w:r>
          </w:p>
        </w:tc>
      </w:tr>
      <w:tr w:rsidR="00930C62" w:rsidRPr="00930C62" w14:paraId="23C32048" w14:textId="77777777" w:rsidTr="00930C62">
        <w:tc>
          <w:tcPr>
            <w:tcW w:w="3544" w:type="dxa"/>
            <w:vAlign w:val="bottom"/>
          </w:tcPr>
          <w:p w14:paraId="6E9B46B1"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sz w:val="20"/>
                <w:szCs w:val="20"/>
              </w:rPr>
              <w:t>Occupation</w:t>
            </w:r>
          </w:p>
        </w:tc>
        <w:tc>
          <w:tcPr>
            <w:tcW w:w="1276" w:type="dxa"/>
          </w:tcPr>
          <w:p w14:paraId="55F3E3A5"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087107C9"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3447180"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25BA7A34" w14:textId="77777777" w:rsidTr="00930C62">
        <w:tc>
          <w:tcPr>
            <w:tcW w:w="3544" w:type="dxa"/>
            <w:vAlign w:val="center"/>
          </w:tcPr>
          <w:p w14:paraId="0FBA2979"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Housewife</w:t>
            </w:r>
          </w:p>
        </w:tc>
        <w:tc>
          <w:tcPr>
            <w:tcW w:w="1276" w:type="dxa"/>
          </w:tcPr>
          <w:p w14:paraId="73D5CD1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74</w:t>
            </w:r>
          </w:p>
        </w:tc>
        <w:tc>
          <w:tcPr>
            <w:tcW w:w="1417" w:type="dxa"/>
          </w:tcPr>
          <w:p w14:paraId="6C29C5C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c>
          <w:tcPr>
            <w:tcW w:w="1985" w:type="dxa"/>
          </w:tcPr>
          <w:p w14:paraId="1995DF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r>
      <w:tr w:rsidR="00930C62" w:rsidRPr="00930C62" w14:paraId="42769CD8" w14:textId="77777777" w:rsidTr="00930C62">
        <w:tc>
          <w:tcPr>
            <w:tcW w:w="3544" w:type="dxa"/>
            <w:vAlign w:val="center"/>
          </w:tcPr>
          <w:p w14:paraId="7DEEF0F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lang w:val="id-ID"/>
              </w:rPr>
              <w:t>Civil Servant</w:t>
            </w:r>
          </w:p>
        </w:tc>
        <w:tc>
          <w:tcPr>
            <w:tcW w:w="1276" w:type="dxa"/>
          </w:tcPr>
          <w:p w14:paraId="529EDF9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w:t>
            </w:r>
          </w:p>
        </w:tc>
        <w:tc>
          <w:tcPr>
            <w:tcW w:w="1417" w:type="dxa"/>
          </w:tcPr>
          <w:p w14:paraId="33F37B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12.40</w:t>
            </w:r>
          </w:p>
        </w:tc>
        <w:tc>
          <w:tcPr>
            <w:tcW w:w="1985" w:type="dxa"/>
          </w:tcPr>
          <w:p w14:paraId="1EC9E583"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88.7</w:t>
            </w:r>
            <w:r w:rsidRPr="00930C62">
              <w:rPr>
                <w:rFonts w:ascii="Arial" w:hAnsi="Arial" w:cs="Arial"/>
                <w:color w:val="010205"/>
                <w:sz w:val="20"/>
                <w:szCs w:val="20"/>
                <w:lang w:val="id-ID"/>
              </w:rPr>
              <w:t>0</w:t>
            </w:r>
          </w:p>
        </w:tc>
      </w:tr>
      <w:tr w:rsidR="00930C62" w:rsidRPr="00930C62" w14:paraId="59880260" w14:textId="77777777" w:rsidTr="00930C62">
        <w:tc>
          <w:tcPr>
            <w:tcW w:w="3544" w:type="dxa"/>
            <w:vAlign w:val="center"/>
          </w:tcPr>
          <w:p w14:paraId="5B6BE488"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Private Employee</w:t>
            </w:r>
          </w:p>
        </w:tc>
        <w:tc>
          <w:tcPr>
            <w:tcW w:w="1276" w:type="dxa"/>
          </w:tcPr>
          <w:p w14:paraId="552B1BF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w:t>
            </w:r>
          </w:p>
        </w:tc>
        <w:tc>
          <w:tcPr>
            <w:tcW w:w="1417" w:type="dxa"/>
          </w:tcPr>
          <w:p w14:paraId="71DD5F9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11.30</w:t>
            </w:r>
          </w:p>
        </w:tc>
        <w:tc>
          <w:tcPr>
            <w:tcW w:w="1985" w:type="dxa"/>
          </w:tcPr>
          <w:p w14:paraId="54A859C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36FA5F95" w14:textId="77777777" w:rsidTr="00930C62">
        <w:tc>
          <w:tcPr>
            <w:tcW w:w="3544" w:type="dxa"/>
            <w:vAlign w:val="bottom"/>
          </w:tcPr>
          <w:p w14:paraId="51CFFEBB" w14:textId="77777777" w:rsidR="00930C62" w:rsidRPr="00930C62" w:rsidRDefault="00930C62" w:rsidP="00930C62">
            <w:pPr>
              <w:jc w:val="both"/>
              <w:rPr>
                <w:rFonts w:ascii="Arial" w:eastAsia="Helvetica Neue" w:hAnsi="Arial" w:cs="Arial"/>
                <w:b/>
                <w:sz w:val="20"/>
                <w:szCs w:val="20"/>
                <w:highlight w:val="white"/>
                <w:lang w:val="id-ID"/>
              </w:rPr>
            </w:pPr>
            <w:r w:rsidRPr="00930C62">
              <w:rPr>
                <w:rFonts w:ascii="Arial" w:hAnsi="Arial" w:cs="Arial"/>
                <w:b/>
                <w:sz w:val="20"/>
                <w:szCs w:val="20"/>
                <w:lang w:val="id-ID"/>
              </w:rPr>
              <w:t>Education Level</w:t>
            </w:r>
          </w:p>
        </w:tc>
        <w:tc>
          <w:tcPr>
            <w:tcW w:w="1276" w:type="dxa"/>
          </w:tcPr>
          <w:p w14:paraId="336C2E51"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58399FDB"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35B68ADF"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7A21EAE6" w14:textId="77777777" w:rsidTr="00930C62">
        <w:tc>
          <w:tcPr>
            <w:tcW w:w="3544" w:type="dxa"/>
          </w:tcPr>
          <w:p w14:paraId="3E31B76A"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Low</w:t>
            </w:r>
            <w:r w:rsidRPr="00930C62">
              <w:rPr>
                <w:rFonts w:ascii="Arial" w:hAnsi="Arial" w:cs="Arial"/>
                <w:sz w:val="20"/>
                <w:szCs w:val="20"/>
                <w:lang w:val="id-ID"/>
              </w:rPr>
              <w:t xml:space="preserve"> (</w:t>
            </w:r>
            <w:r w:rsidRPr="00930C62">
              <w:rPr>
                <w:rFonts w:ascii="Arial" w:hAnsi="Arial" w:cs="Arial"/>
                <w:sz w:val="20"/>
                <w:szCs w:val="20"/>
              </w:rPr>
              <w:t>no formal schooling, elementary school, or junior high school</w:t>
            </w:r>
            <w:r w:rsidRPr="00930C62">
              <w:rPr>
                <w:rFonts w:ascii="Arial" w:hAnsi="Arial" w:cs="Arial"/>
                <w:sz w:val="20"/>
                <w:szCs w:val="20"/>
                <w:lang w:val="id-ID"/>
              </w:rPr>
              <w:t>)</w:t>
            </w:r>
          </w:p>
        </w:tc>
        <w:tc>
          <w:tcPr>
            <w:tcW w:w="1276" w:type="dxa"/>
          </w:tcPr>
          <w:p w14:paraId="145620A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w:t>
            </w:r>
          </w:p>
        </w:tc>
        <w:tc>
          <w:tcPr>
            <w:tcW w:w="1417" w:type="dxa"/>
          </w:tcPr>
          <w:p w14:paraId="472F2A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c>
          <w:tcPr>
            <w:tcW w:w="1985" w:type="dxa"/>
          </w:tcPr>
          <w:p w14:paraId="777261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r>
      <w:tr w:rsidR="00930C62" w:rsidRPr="00930C62" w14:paraId="3352F28D" w14:textId="77777777" w:rsidTr="00930C62">
        <w:tc>
          <w:tcPr>
            <w:tcW w:w="3544" w:type="dxa"/>
          </w:tcPr>
          <w:p w14:paraId="023D64A2"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Middle</w:t>
            </w:r>
            <w:r w:rsidRPr="00930C62">
              <w:rPr>
                <w:rFonts w:ascii="Arial" w:hAnsi="Arial" w:cs="Arial"/>
                <w:sz w:val="20"/>
                <w:szCs w:val="20"/>
                <w:lang w:val="id-ID"/>
              </w:rPr>
              <w:t xml:space="preserve"> (</w:t>
            </w:r>
            <w:r w:rsidRPr="00930C62">
              <w:rPr>
                <w:rFonts w:ascii="Arial" w:hAnsi="Arial" w:cs="Arial"/>
                <w:sz w:val="20"/>
                <w:szCs w:val="20"/>
              </w:rPr>
              <w:t>senior high school</w:t>
            </w:r>
            <w:r w:rsidRPr="00930C62">
              <w:rPr>
                <w:rFonts w:ascii="Arial" w:hAnsi="Arial" w:cs="Arial"/>
                <w:sz w:val="20"/>
                <w:szCs w:val="20"/>
                <w:lang w:val="id-ID"/>
              </w:rPr>
              <w:t>)</w:t>
            </w:r>
          </w:p>
        </w:tc>
        <w:tc>
          <w:tcPr>
            <w:tcW w:w="1276" w:type="dxa"/>
          </w:tcPr>
          <w:p w14:paraId="084A3DB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52</w:t>
            </w:r>
          </w:p>
        </w:tc>
        <w:tc>
          <w:tcPr>
            <w:tcW w:w="1417" w:type="dxa"/>
          </w:tcPr>
          <w:p w14:paraId="232D9AE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53.60</w:t>
            </w:r>
          </w:p>
        </w:tc>
        <w:tc>
          <w:tcPr>
            <w:tcW w:w="1985" w:type="dxa"/>
          </w:tcPr>
          <w:p w14:paraId="279C5418"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84.50</w:t>
            </w:r>
          </w:p>
        </w:tc>
      </w:tr>
      <w:tr w:rsidR="00930C62" w:rsidRPr="00930C62" w14:paraId="110E3FE6" w14:textId="77777777" w:rsidTr="00930C62">
        <w:tc>
          <w:tcPr>
            <w:tcW w:w="3544" w:type="dxa"/>
          </w:tcPr>
          <w:p w14:paraId="102FD48B"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lastRenderedPageBreak/>
              <w:t>High</w:t>
            </w:r>
            <w:r w:rsidRPr="00930C62">
              <w:rPr>
                <w:rFonts w:ascii="Arial" w:hAnsi="Arial" w:cs="Arial"/>
                <w:sz w:val="20"/>
                <w:szCs w:val="20"/>
                <w:lang w:val="id-ID"/>
              </w:rPr>
              <w:t xml:space="preserve"> (</w:t>
            </w:r>
            <w:r w:rsidRPr="00930C62">
              <w:rPr>
                <w:rFonts w:ascii="Arial" w:hAnsi="Arial" w:cs="Arial"/>
                <w:sz w:val="20"/>
                <w:szCs w:val="20"/>
              </w:rPr>
              <w:t>diploma, bachelor’s, or master’s degree</w:t>
            </w:r>
            <w:r w:rsidRPr="00930C62">
              <w:rPr>
                <w:rFonts w:ascii="Arial" w:hAnsi="Arial" w:cs="Arial"/>
                <w:sz w:val="20"/>
                <w:szCs w:val="20"/>
                <w:lang w:val="id-ID"/>
              </w:rPr>
              <w:t>)</w:t>
            </w:r>
          </w:p>
        </w:tc>
        <w:tc>
          <w:tcPr>
            <w:tcW w:w="1276" w:type="dxa"/>
          </w:tcPr>
          <w:p w14:paraId="15F9950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15</w:t>
            </w:r>
          </w:p>
        </w:tc>
        <w:tc>
          <w:tcPr>
            <w:tcW w:w="1417" w:type="dxa"/>
          </w:tcPr>
          <w:p w14:paraId="22D6018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15.50</w:t>
            </w:r>
          </w:p>
        </w:tc>
        <w:tc>
          <w:tcPr>
            <w:tcW w:w="1985" w:type="dxa"/>
          </w:tcPr>
          <w:p w14:paraId="07062035"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100.00</w:t>
            </w:r>
          </w:p>
        </w:tc>
      </w:tr>
      <w:tr w:rsidR="00930C62" w:rsidRPr="00930C62" w14:paraId="4D84439B" w14:textId="77777777" w:rsidTr="00930C62">
        <w:tc>
          <w:tcPr>
            <w:tcW w:w="3544" w:type="dxa"/>
            <w:vAlign w:val="center"/>
          </w:tcPr>
          <w:p w14:paraId="6AB623F2" w14:textId="77777777" w:rsidR="00930C62" w:rsidRPr="00930C62" w:rsidRDefault="00930C62" w:rsidP="00930C62">
            <w:pPr>
              <w:jc w:val="both"/>
              <w:rPr>
                <w:rFonts w:ascii="Arial" w:hAnsi="Arial" w:cs="Arial"/>
                <w:sz w:val="20"/>
                <w:szCs w:val="20"/>
                <w:lang w:val="id-ID"/>
              </w:rPr>
            </w:pPr>
            <w:r w:rsidRPr="00930C62">
              <w:rPr>
                <w:rFonts w:ascii="Arial" w:eastAsia="Times New Roman" w:hAnsi="Arial" w:cs="Arial"/>
                <w:b/>
                <w:bCs/>
                <w:sz w:val="20"/>
                <w:szCs w:val="20"/>
              </w:rPr>
              <w:t>Domicile</w:t>
            </w:r>
          </w:p>
        </w:tc>
        <w:tc>
          <w:tcPr>
            <w:tcW w:w="1276" w:type="dxa"/>
          </w:tcPr>
          <w:p w14:paraId="688DE4C0"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268D7637"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1BFCD501"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67DAE619" w14:textId="77777777" w:rsidTr="00930C62">
        <w:tc>
          <w:tcPr>
            <w:tcW w:w="3544" w:type="dxa"/>
            <w:vAlign w:val="center"/>
          </w:tcPr>
          <w:p w14:paraId="66226CA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Samarinda</w:t>
            </w:r>
          </w:p>
        </w:tc>
        <w:tc>
          <w:tcPr>
            <w:tcW w:w="1276" w:type="dxa"/>
          </w:tcPr>
          <w:p w14:paraId="51AEDFE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56</w:t>
            </w:r>
          </w:p>
        </w:tc>
        <w:tc>
          <w:tcPr>
            <w:tcW w:w="1417" w:type="dxa"/>
          </w:tcPr>
          <w:p w14:paraId="3CD0018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57.70</w:t>
            </w:r>
          </w:p>
        </w:tc>
        <w:tc>
          <w:tcPr>
            <w:tcW w:w="1985" w:type="dxa"/>
          </w:tcPr>
          <w:p w14:paraId="12D7476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w:t>
            </w:r>
            <w:r w:rsidRPr="00930C62">
              <w:rPr>
                <w:rFonts w:ascii="Arial" w:hAnsi="Arial" w:cs="Arial"/>
                <w:color w:val="010205"/>
                <w:sz w:val="20"/>
                <w:szCs w:val="20"/>
                <w:lang w:val="id-ID"/>
              </w:rPr>
              <w:t>0</w:t>
            </w:r>
          </w:p>
        </w:tc>
      </w:tr>
      <w:tr w:rsidR="00930C62" w:rsidRPr="00930C62" w14:paraId="36D92FBD" w14:textId="77777777" w:rsidTr="00930C62">
        <w:tc>
          <w:tcPr>
            <w:tcW w:w="3544" w:type="dxa"/>
            <w:vAlign w:val="center"/>
          </w:tcPr>
          <w:p w14:paraId="53BA4950"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Outside Samarinda</w:t>
            </w:r>
          </w:p>
        </w:tc>
        <w:tc>
          <w:tcPr>
            <w:tcW w:w="1276" w:type="dxa"/>
          </w:tcPr>
          <w:p w14:paraId="2C9B620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41</w:t>
            </w:r>
          </w:p>
        </w:tc>
        <w:tc>
          <w:tcPr>
            <w:tcW w:w="1417" w:type="dxa"/>
          </w:tcPr>
          <w:p w14:paraId="600D33F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w:t>
            </w:r>
            <w:r w:rsidRPr="00930C62">
              <w:rPr>
                <w:rFonts w:ascii="Arial" w:hAnsi="Arial" w:cs="Arial"/>
                <w:color w:val="010205"/>
                <w:sz w:val="20"/>
                <w:szCs w:val="20"/>
                <w:lang w:val="id-ID"/>
              </w:rPr>
              <w:t>2.30</w:t>
            </w:r>
          </w:p>
        </w:tc>
        <w:tc>
          <w:tcPr>
            <w:tcW w:w="1985" w:type="dxa"/>
          </w:tcPr>
          <w:p w14:paraId="75902B4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589CC2DC" w14:textId="77777777" w:rsidTr="00930C62">
        <w:tc>
          <w:tcPr>
            <w:tcW w:w="3544" w:type="dxa"/>
            <w:vAlign w:val="bottom"/>
          </w:tcPr>
          <w:p w14:paraId="450943B2" w14:textId="77777777" w:rsidR="00930C62" w:rsidRPr="00930C62" w:rsidRDefault="00930C62" w:rsidP="00930C62">
            <w:pPr>
              <w:jc w:val="both"/>
              <w:rPr>
                <w:rFonts w:ascii="Arial" w:hAnsi="Arial" w:cs="Arial"/>
                <w:sz w:val="20"/>
                <w:szCs w:val="20"/>
              </w:rPr>
            </w:pPr>
            <w:r w:rsidRPr="00930C62">
              <w:rPr>
                <w:rFonts w:ascii="Arial" w:hAnsi="Arial" w:cs="Arial"/>
                <w:b/>
                <w:bCs/>
                <w:sz w:val="20"/>
                <w:szCs w:val="20"/>
                <w:lang w:val="id-ID"/>
              </w:rPr>
              <w:t>Payment Method</w:t>
            </w:r>
          </w:p>
        </w:tc>
        <w:tc>
          <w:tcPr>
            <w:tcW w:w="1276" w:type="dxa"/>
            <w:vAlign w:val="bottom"/>
          </w:tcPr>
          <w:p w14:paraId="0F76DBEF"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vAlign w:val="bottom"/>
          </w:tcPr>
          <w:p w14:paraId="5DE01240"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8290474"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1A8BE82C" w14:textId="77777777" w:rsidTr="00930C62">
        <w:tc>
          <w:tcPr>
            <w:tcW w:w="3544" w:type="dxa"/>
            <w:vAlign w:val="bottom"/>
          </w:tcPr>
          <w:p w14:paraId="10EC6158"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lang w:val="id-ID"/>
              </w:rPr>
              <w:t>National Health Insurance</w:t>
            </w:r>
          </w:p>
        </w:tc>
        <w:tc>
          <w:tcPr>
            <w:tcW w:w="1276" w:type="dxa"/>
          </w:tcPr>
          <w:p w14:paraId="575F244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92</w:t>
            </w:r>
          </w:p>
        </w:tc>
        <w:tc>
          <w:tcPr>
            <w:tcW w:w="1417" w:type="dxa"/>
          </w:tcPr>
          <w:p w14:paraId="77FF207D"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c>
          <w:tcPr>
            <w:tcW w:w="1985" w:type="dxa"/>
          </w:tcPr>
          <w:p w14:paraId="118E48CF"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r>
      <w:tr w:rsidR="00930C62" w:rsidRPr="00930C62" w14:paraId="146223D0" w14:textId="77777777" w:rsidTr="00930C62">
        <w:tc>
          <w:tcPr>
            <w:tcW w:w="3544" w:type="dxa"/>
            <w:vAlign w:val="bottom"/>
          </w:tcPr>
          <w:p w14:paraId="04569197"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rPr>
              <w:t>Out of Pocket</w:t>
            </w:r>
          </w:p>
        </w:tc>
        <w:tc>
          <w:tcPr>
            <w:tcW w:w="1276" w:type="dxa"/>
          </w:tcPr>
          <w:p w14:paraId="081C0AC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w:t>
            </w:r>
          </w:p>
        </w:tc>
        <w:tc>
          <w:tcPr>
            <w:tcW w:w="1417" w:type="dxa"/>
          </w:tcPr>
          <w:p w14:paraId="36D61B4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4.10</w:t>
            </w:r>
          </w:p>
        </w:tc>
        <w:tc>
          <w:tcPr>
            <w:tcW w:w="1985" w:type="dxa"/>
          </w:tcPr>
          <w:p w14:paraId="4EE077D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99.00</w:t>
            </w:r>
          </w:p>
        </w:tc>
      </w:tr>
      <w:tr w:rsidR="00930C62" w:rsidRPr="00930C62" w14:paraId="680D6D68" w14:textId="77777777" w:rsidTr="00930C62">
        <w:tc>
          <w:tcPr>
            <w:tcW w:w="3544" w:type="dxa"/>
            <w:tcBorders>
              <w:bottom w:val="single" w:sz="4" w:space="0" w:color="auto"/>
            </w:tcBorders>
            <w:vAlign w:val="bottom"/>
          </w:tcPr>
          <w:p w14:paraId="14049897"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lang w:val="id-ID"/>
              </w:rPr>
              <w:t>Reimbursement</w:t>
            </w:r>
          </w:p>
        </w:tc>
        <w:tc>
          <w:tcPr>
            <w:tcW w:w="1276" w:type="dxa"/>
            <w:tcBorders>
              <w:bottom w:val="single" w:sz="4" w:space="0" w:color="auto"/>
            </w:tcBorders>
          </w:tcPr>
          <w:p w14:paraId="0F5E8AE9"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w:t>
            </w:r>
          </w:p>
        </w:tc>
        <w:tc>
          <w:tcPr>
            <w:tcW w:w="1417" w:type="dxa"/>
            <w:tcBorders>
              <w:bottom w:val="single" w:sz="4" w:space="0" w:color="auto"/>
            </w:tcBorders>
          </w:tcPr>
          <w:p w14:paraId="3903CD0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w:t>
            </w:r>
          </w:p>
        </w:tc>
        <w:tc>
          <w:tcPr>
            <w:tcW w:w="1985" w:type="dxa"/>
            <w:tcBorders>
              <w:bottom w:val="single" w:sz="4" w:space="0" w:color="auto"/>
            </w:tcBorders>
          </w:tcPr>
          <w:p w14:paraId="61DCA0B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100.00</w:t>
            </w:r>
          </w:p>
        </w:tc>
      </w:tr>
    </w:tbl>
    <w:p w14:paraId="662B1714" w14:textId="77777777" w:rsidR="00930C62" w:rsidRPr="00930C62" w:rsidRDefault="00930C62" w:rsidP="00930C62">
      <w:pPr>
        <w:rPr>
          <w:rFonts w:ascii="Arial" w:hAnsi="Arial" w:cs="Arial"/>
          <w:vertAlign w:val="superscript"/>
          <w:lang w:val="id-ID"/>
        </w:rPr>
      </w:pPr>
    </w:p>
    <w:p w14:paraId="1E21547A" w14:textId="77777777" w:rsidR="00930C62" w:rsidRPr="00930C62" w:rsidRDefault="00A177CB" w:rsidP="00930C62">
      <w:pPr>
        <w:jc w:val="both"/>
        <w:rPr>
          <w:rFonts w:ascii="Arial" w:hAnsi="Arial" w:cs="Arial"/>
        </w:rPr>
      </w:pPr>
      <w:r>
        <w:rPr>
          <w:rFonts w:ascii="Arial" w:hAnsi="Arial" w:cs="Arial"/>
          <w:lang w:val="id-ID"/>
        </w:rPr>
        <w:t>Then</w:t>
      </w:r>
      <w:r w:rsidR="00930C62" w:rsidRPr="00930C62">
        <w:rPr>
          <w:rFonts w:ascii="Arial" w:hAnsi="Arial" w:cs="Arial"/>
        </w:rPr>
        <w:t xml:space="preserve">, the mean number of marriages among the patients was 1.36 </w:t>
      </w:r>
      <m:oMath>
        <m:r>
          <w:rPr>
            <w:rFonts w:ascii="Cambria Math" w:hAnsi="Cambria Math" w:cs="Arial"/>
          </w:rPr>
          <m:t>±</m:t>
        </m:r>
      </m:oMath>
      <w:r w:rsidR="00930C62" w:rsidRPr="00930C62">
        <w:rPr>
          <w:rFonts w:ascii="Arial" w:hAnsi="Arial" w:cs="Arial"/>
        </w:rPr>
        <w:t xml:space="preserve"> 0.66 and no significant difference was observed between the two his</w:t>
      </w:r>
      <w:r w:rsidR="00930C62">
        <w:rPr>
          <w:rFonts w:ascii="Arial" w:hAnsi="Arial" w:cs="Arial"/>
        </w:rPr>
        <w:t>topathological groups (</w:t>
      </w:r>
      <w:r w:rsidR="00930C62" w:rsidRPr="00930C62">
        <w:rPr>
          <w:rFonts w:ascii="Arial" w:hAnsi="Arial" w:cs="Arial"/>
          <w:i/>
        </w:rPr>
        <w:t>P</w:t>
      </w:r>
      <w:r w:rsidR="00930C62">
        <w:rPr>
          <w:rFonts w:ascii="Arial" w:hAnsi="Arial" w:cs="Arial"/>
        </w:rPr>
        <w:t xml:space="preserve"> = .59</w:t>
      </w:r>
      <w:r w:rsidR="00930C62" w:rsidRPr="00930C62">
        <w:rPr>
          <w:rFonts w:ascii="Arial" w:hAnsi="Arial" w:cs="Arial"/>
        </w:rPr>
        <w:t xml:space="preserve">). Age at menarche also showed comparable values across groups, with a mean of 12.97 </w:t>
      </w:r>
      <m:oMath>
        <m:r>
          <w:rPr>
            <w:rFonts w:ascii="Cambria Math" w:hAnsi="Cambria Math" w:cs="Arial"/>
          </w:rPr>
          <m:t>±</m:t>
        </m:r>
      </m:oMath>
      <w:r w:rsidR="00930C62" w:rsidRPr="00930C62">
        <w:rPr>
          <w:rFonts w:ascii="Arial" w:hAnsi="Arial" w:cs="Arial"/>
        </w:rPr>
        <w:t xml:space="preserve"> 1.60 years, and was not significantly associated with histopathologic</w:t>
      </w:r>
      <w:r w:rsidR="00930C62">
        <w:rPr>
          <w:rFonts w:ascii="Arial" w:hAnsi="Arial" w:cs="Arial"/>
        </w:rPr>
        <w:t>al type (</w:t>
      </w:r>
      <w:r w:rsidR="00930C62" w:rsidRPr="00930C62">
        <w:rPr>
          <w:rFonts w:ascii="Arial" w:hAnsi="Arial" w:cs="Arial"/>
          <w:i/>
        </w:rPr>
        <w:t>P</w:t>
      </w:r>
      <w:r w:rsidR="00785A42">
        <w:rPr>
          <w:rFonts w:ascii="Arial" w:hAnsi="Arial" w:cs="Arial"/>
        </w:rPr>
        <w:t xml:space="preserve"> = </w:t>
      </w:r>
      <w:r w:rsidR="00930C62">
        <w:rPr>
          <w:rFonts w:ascii="Arial" w:hAnsi="Arial" w:cs="Arial"/>
        </w:rPr>
        <w:t>.20</w:t>
      </w:r>
      <w:r w:rsidR="00930C62" w:rsidRPr="00930C62">
        <w:rPr>
          <w:rFonts w:ascii="Arial" w:hAnsi="Arial" w:cs="Arial"/>
        </w:rPr>
        <w:t>).</w:t>
      </w:r>
    </w:p>
    <w:p w14:paraId="7FB2899C" w14:textId="77777777" w:rsidR="00930C62" w:rsidRPr="00930C62" w:rsidRDefault="00930C62" w:rsidP="00930C62">
      <w:pPr>
        <w:jc w:val="both"/>
        <w:rPr>
          <w:rFonts w:ascii="Arial" w:hAnsi="Arial" w:cs="Arial"/>
        </w:rPr>
      </w:pPr>
      <w:r w:rsidRPr="00930C62">
        <w:rPr>
          <w:rFonts w:ascii="Arial" w:hAnsi="Arial" w:cs="Arial"/>
        </w:rPr>
        <w:t xml:space="preserve">Age at marriage tended to be younger among patients with different histopathological types, with a mean age of 19.80 </w:t>
      </w:r>
      <m:oMath>
        <m:r>
          <w:rPr>
            <w:rFonts w:ascii="Cambria Math" w:hAnsi="Cambria Math" w:cs="Arial"/>
          </w:rPr>
          <m:t>±</m:t>
        </m:r>
      </m:oMath>
      <w:r w:rsidRPr="00930C62">
        <w:rPr>
          <w:rFonts w:ascii="Arial" w:hAnsi="Arial" w:cs="Arial"/>
        </w:rPr>
        <w:t xml:space="preserve"> 4.52 years; however, this difference did not reach sta</w:t>
      </w:r>
      <w:r>
        <w:rPr>
          <w:rFonts w:ascii="Arial" w:hAnsi="Arial" w:cs="Arial"/>
        </w:rPr>
        <w:t>tistical significance (</w:t>
      </w:r>
      <w:r w:rsidRPr="00930C62">
        <w:rPr>
          <w:rFonts w:ascii="Arial" w:hAnsi="Arial" w:cs="Arial"/>
          <w:i/>
        </w:rPr>
        <w:t>P</w:t>
      </w:r>
      <w:r>
        <w:rPr>
          <w:rFonts w:ascii="Arial" w:hAnsi="Arial" w:cs="Arial"/>
        </w:rPr>
        <w:t xml:space="preserve"> = .08</w:t>
      </w:r>
      <w:r w:rsidRPr="00930C62">
        <w:rPr>
          <w:rFonts w:ascii="Arial" w:hAnsi="Arial" w:cs="Arial"/>
        </w:rPr>
        <w:t xml:space="preserve">). In contrast, parity emerged as a distinguishing reproductive factor. Patients had a mean parity of 3.21 </w:t>
      </w:r>
      <m:oMath>
        <m:r>
          <w:rPr>
            <w:rFonts w:ascii="Cambria Math" w:hAnsi="Cambria Math" w:cs="Arial"/>
          </w:rPr>
          <m:t>±</m:t>
        </m:r>
      </m:oMath>
      <w:r w:rsidRPr="00930C62">
        <w:rPr>
          <w:rFonts w:ascii="Arial" w:hAnsi="Arial" w:cs="Arial"/>
        </w:rPr>
        <w:t xml:space="preserve"> 1.91, and parity was the only variable that differed significantly between squamous cell car</w:t>
      </w:r>
      <w:r>
        <w:rPr>
          <w:rFonts w:ascii="Arial" w:hAnsi="Arial" w:cs="Arial"/>
        </w:rPr>
        <w:t>cinoma and adenocarcinoma (</w:t>
      </w:r>
      <w:r w:rsidRPr="00930C62">
        <w:rPr>
          <w:rFonts w:ascii="Arial" w:hAnsi="Arial" w:cs="Arial"/>
          <w:i/>
        </w:rPr>
        <w:t>P</w:t>
      </w:r>
      <w:r>
        <w:rPr>
          <w:rFonts w:ascii="Arial" w:hAnsi="Arial" w:cs="Arial"/>
        </w:rPr>
        <w:t xml:space="preserve"> = </w:t>
      </w:r>
      <w:r w:rsidRPr="00930C62">
        <w:rPr>
          <w:rFonts w:ascii="Arial" w:hAnsi="Arial" w:cs="Arial"/>
        </w:rPr>
        <w:t>.005).</w:t>
      </w:r>
      <w:r w:rsidRPr="00930C62">
        <w:rPr>
          <w:rFonts w:ascii="Arial" w:hAnsi="Arial" w:cs="Arial"/>
          <w:lang w:val="id-ID"/>
        </w:rPr>
        <w:t xml:space="preserve"> </w:t>
      </w:r>
      <w:r w:rsidRPr="00930C62">
        <w:rPr>
          <w:rFonts w:ascii="Arial" w:hAnsi="Arial" w:cs="Arial"/>
        </w:rPr>
        <w:t xml:space="preserve">The mean number of abortions and fetal deaths was 0.65 </w:t>
      </w:r>
      <m:oMath>
        <m:r>
          <w:rPr>
            <w:rFonts w:ascii="Cambria Math" w:hAnsi="Cambria Math" w:cs="Arial"/>
          </w:rPr>
          <m:t>±</m:t>
        </m:r>
      </m:oMath>
      <w:r w:rsidRPr="00930C62">
        <w:rPr>
          <w:rFonts w:ascii="Arial" w:hAnsi="Arial" w:cs="Arial"/>
        </w:rPr>
        <w:t xml:space="preserve"> 0.85, and this variable did not show a significant association with h</w:t>
      </w:r>
      <w:r>
        <w:rPr>
          <w:rFonts w:ascii="Arial" w:hAnsi="Arial" w:cs="Arial"/>
        </w:rPr>
        <w:t>istopathological type (</w:t>
      </w:r>
      <w:r w:rsidRPr="00930C62">
        <w:rPr>
          <w:rFonts w:ascii="Arial" w:hAnsi="Arial" w:cs="Arial"/>
          <w:i/>
        </w:rPr>
        <w:t>P</w:t>
      </w:r>
      <w:r>
        <w:rPr>
          <w:rFonts w:ascii="Arial" w:hAnsi="Arial" w:cs="Arial"/>
        </w:rPr>
        <w:t xml:space="preserve"> = .31</w:t>
      </w:r>
      <w:r w:rsidRPr="00930C62">
        <w:rPr>
          <w:rFonts w:ascii="Arial" w:hAnsi="Arial" w:cs="Arial"/>
        </w:rPr>
        <w:t>)</w:t>
      </w:r>
      <w:r w:rsidRPr="00930C62">
        <w:rPr>
          <w:rFonts w:ascii="Arial" w:hAnsi="Arial" w:cs="Arial"/>
          <w:lang w:val="id-ID"/>
        </w:rPr>
        <w:t xml:space="preserve"> (Table 2)</w:t>
      </w:r>
      <w:r w:rsidRPr="00930C62">
        <w:rPr>
          <w:rFonts w:ascii="Arial" w:hAnsi="Arial" w:cs="Arial"/>
        </w:rPr>
        <w:t>.</w:t>
      </w:r>
    </w:p>
    <w:p w14:paraId="7F5615D6" w14:textId="77777777" w:rsidR="00930C62" w:rsidRPr="00930C62" w:rsidRDefault="00930C62" w:rsidP="00930C62">
      <w:pPr>
        <w:rPr>
          <w:rFonts w:ascii="Arial" w:hAnsi="Arial" w:cs="Arial"/>
          <w:b/>
          <w:lang w:val="id-ID"/>
        </w:rPr>
      </w:pPr>
    </w:p>
    <w:p w14:paraId="2490AFCD" w14:textId="77777777" w:rsidR="00930C62" w:rsidRPr="00930C62" w:rsidRDefault="00930C62" w:rsidP="00930C62">
      <w:pPr>
        <w:pStyle w:val="NormalWeb"/>
        <w:spacing w:before="0" w:beforeAutospacing="0" w:after="0" w:afterAutospacing="0"/>
        <w:jc w:val="center"/>
        <w:rPr>
          <w:rFonts w:ascii="Arial" w:hAnsi="Arial" w:cs="Arial"/>
          <w:sz w:val="20"/>
          <w:szCs w:val="20"/>
        </w:rPr>
      </w:pPr>
      <w:r w:rsidRPr="00930C62">
        <w:rPr>
          <w:rFonts w:ascii="Arial" w:hAnsi="Arial" w:cs="Arial"/>
          <w:b/>
          <w:sz w:val="20"/>
          <w:szCs w:val="20"/>
        </w:rPr>
        <w:t xml:space="preserve">Table 2. </w:t>
      </w:r>
      <w:r w:rsidRPr="00785A42">
        <w:rPr>
          <w:rFonts w:ascii="Arial" w:hAnsi="Arial" w:cs="Arial"/>
          <w:b/>
          <w:sz w:val="20"/>
          <w:szCs w:val="20"/>
        </w:rPr>
        <w:t>Comparison of Reproductive Factors by Histopathological Type of Cervical Cancer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2128"/>
        <w:gridCol w:w="1330"/>
      </w:tblGrid>
      <w:tr w:rsidR="00930C62" w:rsidRPr="00930C62" w14:paraId="269EBEFA" w14:textId="77777777" w:rsidTr="00785A42">
        <w:tc>
          <w:tcPr>
            <w:tcW w:w="4764" w:type="dxa"/>
            <w:tcBorders>
              <w:top w:val="single" w:sz="4" w:space="0" w:color="auto"/>
              <w:bottom w:val="single" w:sz="4" w:space="0" w:color="auto"/>
            </w:tcBorders>
          </w:tcPr>
          <w:p w14:paraId="5DB50517"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Variable</w:t>
            </w:r>
          </w:p>
        </w:tc>
        <w:tc>
          <w:tcPr>
            <w:tcW w:w="2128" w:type="dxa"/>
            <w:tcBorders>
              <w:top w:val="single" w:sz="4" w:space="0" w:color="auto"/>
              <w:bottom w:val="single" w:sz="4" w:space="0" w:color="auto"/>
            </w:tcBorders>
          </w:tcPr>
          <w:p w14:paraId="04913759"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 xml:space="preserve">Mean </w:t>
            </w:r>
            <m:oMath>
              <m:r>
                <m:rPr>
                  <m:sty m:val="bi"/>
                </m:rPr>
                <w:rPr>
                  <w:rFonts w:ascii="Cambria Math" w:hAnsi="Cambria Math" w:cs="Arial"/>
                  <w:sz w:val="20"/>
                  <w:szCs w:val="20"/>
                  <w:lang w:val="id-ID"/>
                </w:rPr>
                <m:t>±</m:t>
              </m:r>
            </m:oMath>
            <w:r w:rsidRPr="00930C62">
              <w:rPr>
                <w:rFonts w:ascii="Arial" w:hAnsi="Arial" w:cs="Arial"/>
                <w:b/>
                <w:sz w:val="20"/>
                <w:szCs w:val="20"/>
                <w:lang w:val="id-ID"/>
              </w:rPr>
              <w:t xml:space="preserve"> SD</w:t>
            </w:r>
          </w:p>
        </w:tc>
        <w:tc>
          <w:tcPr>
            <w:tcW w:w="1330" w:type="dxa"/>
            <w:tcBorders>
              <w:top w:val="single" w:sz="4" w:space="0" w:color="auto"/>
              <w:bottom w:val="single" w:sz="4" w:space="0" w:color="auto"/>
            </w:tcBorders>
          </w:tcPr>
          <w:p w14:paraId="52050BB3" w14:textId="77777777" w:rsidR="00930C62" w:rsidRPr="00930C62" w:rsidRDefault="00930C62" w:rsidP="00930C62">
            <w:pPr>
              <w:jc w:val="center"/>
              <w:rPr>
                <w:rFonts w:ascii="Arial" w:hAnsi="Arial" w:cs="Arial"/>
                <w:b/>
                <w:i/>
                <w:sz w:val="20"/>
                <w:szCs w:val="20"/>
                <w:lang w:val="id-ID"/>
              </w:rPr>
            </w:pPr>
            <w:r w:rsidRPr="00930C62">
              <w:rPr>
                <w:rFonts w:ascii="Arial" w:hAnsi="Arial" w:cs="Arial"/>
                <w:b/>
                <w:i/>
                <w:sz w:val="20"/>
                <w:szCs w:val="20"/>
                <w:lang w:val="id-ID"/>
              </w:rPr>
              <w:t>P</w:t>
            </w:r>
          </w:p>
        </w:tc>
      </w:tr>
      <w:tr w:rsidR="00930C62" w:rsidRPr="00930C62" w14:paraId="53FB7808" w14:textId="77777777" w:rsidTr="00785A42">
        <w:tc>
          <w:tcPr>
            <w:tcW w:w="4764" w:type="dxa"/>
            <w:tcBorders>
              <w:top w:val="single" w:sz="4" w:space="0" w:color="auto"/>
            </w:tcBorders>
            <w:vAlign w:val="center"/>
          </w:tcPr>
          <w:p w14:paraId="33113458"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rPr>
              <w:t>Number of Marriages</w:t>
            </w:r>
          </w:p>
        </w:tc>
        <w:tc>
          <w:tcPr>
            <w:tcW w:w="2128" w:type="dxa"/>
            <w:tcBorders>
              <w:top w:val="single" w:sz="4" w:space="0" w:color="auto"/>
            </w:tcBorders>
          </w:tcPr>
          <w:p w14:paraId="3611DE4C"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1.36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0.66</w:t>
            </w:r>
          </w:p>
        </w:tc>
        <w:tc>
          <w:tcPr>
            <w:tcW w:w="1330" w:type="dxa"/>
            <w:tcBorders>
              <w:top w:val="single" w:sz="4" w:space="0" w:color="auto"/>
            </w:tcBorders>
          </w:tcPr>
          <w:p w14:paraId="6689EAA4"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.59</w:t>
            </w:r>
          </w:p>
        </w:tc>
      </w:tr>
      <w:tr w:rsidR="00930C62" w:rsidRPr="00930C62" w14:paraId="7F8F117C" w14:textId="77777777" w:rsidTr="00785A42">
        <w:tc>
          <w:tcPr>
            <w:tcW w:w="4764" w:type="dxa"/>
            <w:vAlign w:val="center"/>
          </w:tcPr>
          <w:p w14:paraId="7138BEAB"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Menarche</w:t>
            </w:r>
          </w:p>
        </w:tc>
        <w:tc>
          <w:tcPr>
            <w:tcW w:w="2128" w:type="dxa"/>
          </w:tcPr>
          <w:p w14:paraId="28F79850"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12.97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1.60</w:t>
            </w:r>
          </w:p>
        </w:tc>
        <w:tc>
          <w:tcPr>
            <w:tcW w:w="1330" w:type="dxa"/>
          </w:tcPr>
          <w:p w14:paraId="3D9B0802"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.20</w:t>
            </w:r>
          </w:p>
        </w:tc>
      </w:tr>
      <w:tr w:rsidR="00930C62" w:rsidRPr="00930C62" w14:paraId="7662C35B" w14:textId="77777777" w:rsidTr="00785A42">
        <w:tc>
          <w:tcPr>
            <w:tcW w:w="4764" w:type="dxa"/>
            <w:vAlign w:val="center"/>
          </w:tcPr>
          <w:p w14:paraId="2E9EBD4E"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Marriage</w:t>
            </w:r>
          </w:p>
        </w:tc>
        <w:tc>
          <w:tcPr>
            <w:tcW w:w="2128" w:type="dxa"/>
          </w:tcPr>
          <w:p w14:paraId="1AD12B89"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19.80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4.52</w:t>
            </w:r>
          </w:p>
        </w:tc>
        <w:tc>
          <w:tcPr>
            <w:tcW w:w="1330" w:type="dxa"/>
          </w:tcPr>
          <w:p w14:paraId="657FE435"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.08</w:t>
            </w:r>
          </w:p>
        </w:tc>
      </w:tr>
      <w:tr w:rsidR="00930C62" w:rsidRPr="00930C62" w14:paraId="087EDBAC" w14:textId="77777777" w:rsidTr="00785A42">
        <w:tc>
          <w:tcPr>
            <w:tcW w:w="4764" w:type="dxa"/>
            <w:vAlign w:val="center"/>
          </w:tcPr>
          <w:p w14:paraId="45ED6ECC"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Parity</w:t>
            </w:r>
          </w:p>
        </w:tc>
        <w:tc>
          <w:tcPr>
            <w:tcW w:w="2128" w:type="dxa"/>
          </w:tcPr>
          <w:p w14:paraId="40C061F3"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3.21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1.91</w:t>
            </w:r>
          </w:p>
        </w:tc>
        <w:tc>
          <w:tcPr>
            <w:tcW w:w="1330" w:type="dxa"/>
          </w:tcPr>
          <w:p w14:paraId="2F7A78F3"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.005</w:t>
            </w:r>
          </w:p>
        </w:tc>
      </w:tr>
      <w:tr w:rsidR="00930C62" w:rsidRPr="00930C62" w14:paraId="557108FA" w14:textId="77777777" w:rsidTr="00785A42">
        <w:tc>
          <w:tcPr>
            <w:tcW w:w="4764" w:type="dxa"/>
            <w:tcBorders>
              <w:bottom w:val="single" w:sz="4" w:space="0" w:color="auto"/>
            </w:tcBorders>
            <w:vAlign w:val="center"/>
          </w:tcPr>
          <w:p w14:paraId="05BDFD5A"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Number of Abortions and Fetal Deaths</w:t>
            </w:r>
          </w:p>
        </w:tc>
        <w:tc>
          <w:tcPr>
            <w:tcW w:w="2128" w:type="dxa"/>
            <w:tcBorders>
              <w:bottom w:val="single" w:sz="4" w:space="0" w:color="auto"/>
            </w:tcBorders>
          </w:tcPr>
          <w:p w14:paraId="64AD0B15"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0.65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0.85</w:t>
            </w:r>
          </w:p>
        </w:tc>
        <w:tc>
          <w:tcPr>
            <w:tcW w:w="1330" w:type="dxa"/>
            <w:tcBorders>
              <w:bottom w:val="single" w:sz="4" w:space="0" w:color="auto"/>
            </w:tcBorders>
          </w:tcPr>
          <w:p w14:paraId="5D8F16F8"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.31</w:t>
            </w:r>
          </w:p>
        </w:tc>
      </w:tr>
    </w:tbl>
    <w:p w14:paraId="6C723356" w14:textId="77777777" w:rsidR="00930C62" w:rsidRPr="00930C62" w:rsidRDefault="00930C62" w:rsidP="00930C62">
      <w:pPr>
        <w:autoSpaceDE w:val="0"/>
        <w:autoSpaceDN w:val="0"/>
        <w:adjustRightInd w:val="0"/>
        <w:rPr>
          <w:rFonts w:ascii="Arial" w:hAnsi="Arial" w:cs="Arial"/>
        </w:rPr>
      </w:pPr>
    </w:p>
    <w:p w14:paraId="7428663F" w14:textId="77777777" w:rsidR="00930C62" w:rsidRDefault="00930C62" w:rsidP="00930C62">
      <w:pPr>
        <w:jc w:val="both"/>
        <w:rPr>
          <w:rFonts w:ascii="Arial" w:hAnsi="Arial" w:cs="Arial"/>
        </w:rPr>
      </w:pPr>
      <w:r w:rsidRPr="00930C62">
        <w:rPr>
          <w:rFonts w:ascii="Arial" w:hAnsi="Arial" w:cs="Arial"/>
        </w:rPr>
        <w:t>Reproductive variables that met the inclusion cr</w:t>
      </w:r>
      <w:r>
        <w:rPr>
          <w:rFonts w:ascii="Arial" w:hAnsi="Arial" w:cs="Arial"/>
        </w:rPr>
        <w:t>iterion in bivariate analysis (</w:t>
      </w:r>
      <w:r w:rsidRPr="00930C62">
        <w:rPr>
          <w:rFonts w:ascii="Arial" w:hAnsi="Arial" w:cs="Arial"/>
          <w:i/>
        </w:rPr>
        <w:t>P</w:t>
      </w:r>
      <w:r>
        <w:rPr>
          <w:rFonts w:ascii="Arial" w:hAnsi="Arial" w:cs="Arial"/>
        </w:rPr>
        <w:t xml:space="preserve"> &lt; </w:t>
      </w:r>
      <w:r w:rsidRPr="00930C62">
        <w:rPr>
          <w:rFonts w:ascii="Arial" w:hAnsi="Arial" w:cs="Arial"/>
        </w:rPr>
        <w:t>.25) were further examined using multivariate binary logistic regression. The resulting model showed a Nagelkerke R² value of 0.145, indicating that the included reproductive factors accounted for approximately 14.5% of the variation in cervical cancer histopathological type.</w:t>
      </w:r>
      <w:r w:rsidRPr="00930C62">
        <w:rPr>
          <w:rFonts w:ascii="Arial" w:hAnsi="Arial" w:cs="Arial"/>
          <w:lang w:val="id-ID"/>
        </w:rPr>
        <w:t xml:space="preserve"> </w:t>
      </w:r>
      <w:r w:rsidRPr="00930C62">
        <w:rPr>
          <w:rFonts w:ascii="Arial" w:hAnsi="Arial" w:cs="Arial"/>
        </w:rPr>
        <w:t xml:space="preserve">Among the variables analyzed, parity emerged as the only independent predictor of histopathological type. Higher parity was significantly associated with a lower probability of adenocarcinoma relative to squamous cell carcinoma </w:t>
      </w:r>
      <w:r>
        <w:rPr>
          <w:rFonts w:ascii="Arial" w:hAnsi="Arial" w:cs="Arial"/>
        </w:rPr>
        <w:t xml:space="preserve">(OR = 0.68; 95% CI: 0.50–0.92; </w:t>
      </w:r>
      <w:r w:rsidRPr="00930C62">
        <w:rPr>
          <w:rFonts w:ascii="Arial" w:hAnsi="Arial" w:cs="Arial"/>
          <w:i/>
        </w:rPr>
        <w:t>P</w:t>
      </w:r>
      <w:r>
        <w:rPr>
          <w:rFonts w:ascii="Arial" w:hAnsi="Arial" w:cs="Arial"/>
        </w:rPr>
        <w:t xml:space="preserve"> = .01</w:t>
      </w:r>
      <w:r w:rsidRPr="00930C62">
        <w:rPr>
          <w:rFonts w:ascii="Arial" w:hAnsi="Arial" w:cs="Arial"/>
        </w:rPr>
        <w:t>), suggesting a distinct reproductive influence on tumor differentiation. In contrast, age at menarche and age at marriage did not retain statistical significance after adjustment, with odds ratios of 1</w:t>
      </w:r>
      <w:r w:rsidR="00C41773">
        <w:rPr>
          <w:rFonts w:ascii="Arial" w:hAnsi="Arial" w:cs="Arial"/>
        </w:rPr>
        <w:t xml:space="preserve">.20 (95% CI: 0.90–1.61; </w:t>
      </w:r>
      <w:r w:rsidR="00C41773" w:rsidRPr="00C41773">
        <w:rPr>
          <w:rFonts w:ascii="Arial" w:hAnsi="Arial" w:cs="Arial"/>
          <w:i/>
        </w:rPr>
        <w:t>P</w:t>
      </w:r>
      <w:r w:rsidR="003926B1">
        <w:rPr>
          <w:rFonts w:ascii="Arial" w:hAnsi="Arial" w:cs="Arial"/>
        </w:rPr>
        <w:t xml:space="preserve"> = </w:t>
      </w:r>
      <w:r w:rsidR="00C41773">
        <w:rPr>
          <w:rFonts w:ascii="Arial" w:hAnsi="Arial" w:cs="Arial"/>
        </w:rPr>
        <w:t xml:space="preserve">.22) and 1.02 (95% CI: 0.92–1.13; </w:t>
      </w:r>
      <w:r w:rsidR="00C41773" w:rsidRPr="00C41773">
        <w:rPr>
          <w:rFonts w:ascii="Arial" w:hAnsi="Arial" w:cs="Arial"/>
          <w:i/>
        </w:rPr>
        <w:t>P</w:t>
      </w:r>
      <w:r w:rsidR="00C41773">
        <w:rPr>
          <w:rFonts w:ascii="Arial" w:hAnsi="Arial" w:cs="Arial"/>
        </w:rPr>
        <w:t xml:space="preserve"> = .70</w:t>
      </w:r>
      <w:r w:rsidRPr="00930C62">
        <w:rPr>
          <w:rFonts w:ascii="Arial" w:hAnsi="Arial" w:cs="Arial"/>
        </w:rPr>
        <w:t>), respectively.</w:t>
      </w:r>
    </w:p>
    <w:p w14:paraId="4CE77067" w14:textId="77777777" w:rsidR="003926B1" w:rsidRPr="00785A42" w:rsidRDefault="003926B1" w:rsidP="00930C62">
      <w:pPr>
        <w:jc w:val="both"/>
        <w:rPr>
          <w:rFonts w:ascii="Arial" w:hAnsi="Arial" w:cs="Arial"/>
        </w:rPr>
      </w:pPr>
    </w:p>
    <w:p w14:paraId="65D00073" w14:textId="77777777" w:rsidR="00930C62" w:rsidRPr="00785A42" w:rsidRDefault="00930C62" w:rsidP="00930C62">
      <w:pPr>
        <w:pStyle w:val="NormalWeb"/>
        <w:spacing w:before="0" w:beforeAutospacing="0" w:after="0" w:afterAutospacing="0"/>
        <w:jc w:val="center"/>
        <w:rPr>
          <w:rFonts w:ascii="Arial" w:hAnsi="Arial" w:cs="Arial"/>
          <w:sz w:val="20"/>
        </w:rPr>
      </w:pPr>
      <w:r w:rsidRPr="00785A42">
        <w:rPr>
          <w:rFonts w:ascii="Arial" w:hAnsi="Arial" w:cs="Arial"/>
          <w:b/>
          <w:sz w:val="20"/>
          <w:lang w:val="id-ID"/>
        </w:rPr>
        <w:t>Table 3.</w:t>
      </w:r>
      <w:r w:rsidRPr="00785A42">
        <w:rPr>
          <w:rFonts w:ascii="Arial" w:hAnsi="Arial" w:cs="Arial"/>
          <w:sz w:val="20"/>
          <w:lang w:val="id-ID"/>
        </w:rPr>
        <w:t xml:space="preserve"> </w:t>
      </w:r>
      <w:r w:rsidRPr="00785A42">
        <w:rPr>
          <w:rFonts w:ascii="Arial" w:hAnsi="Arial" w:cs="Arial"/>
          <w:b/>
          <w:sz w:val="20"/>
        </w:rPr>
        <w:t>Multivariate Binary Logistic Regression Analysis of Reproductive Factors Associated with Histopathological Type of Cervical Cancer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2"/>
        <w:gridCol w:w="2087"/>
        <w:gridCol w:w="1690"/>
      </w:tblGrid>
      <w:tr w:rsidR="00930C62" w:rsidRPr="00785A42" w14:paraId="1B708FE3" w14:textId="77777777" w:rsidTr="00785A42">
        <w:trPr>
          <w:jc w:val="center"/>
        </w:trPr>
        <w:tc>
          <w:tcPr>
            <w:tcW w:w="2137" w:type="dxa"/>
            <w:tcBorders>
              <w:top w:val="single" w:sz="4" w:space="0" w:color="auto"/>
              <w:bottom w:val="single" w:sz="4" w:space="0" w:color="auto"/>
            </w:tcBorders>
            <w:vAlign w:val="center"/>
          </w:tcPr>
          <w:p w14:paraId="77AE1E3B"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Variable</w:t>
            </w:r>
          </w:p>
        </w:tc>
        <w:tc>
          <w:tcPr>
            <w:tcW w:w="2132" w:type="dxa"/>
            <w:tcBorders>
              <w:top w:val="single" w:sz="4" w:space="0" w:color="auto"/>
              <w:bottom w:val="single" w:sz="4" w:space="0" w:color="auto"/>
            </w:tcBorders>
            <w:vAlign w:val="center"/>
          </w:tcPr>
          <w:p w14:paraId="6DCAB132" w14:textId="77777777" w:rsidR="00930C62" w:rsidRPr="00785A42" w:rsidRDefault="00785A4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OR (Exp[</w:t>
            </w:r>
            <w:r w:rsidR="00930C62" w:rsidRPr="00785A42">
              <w:rPr>
                <w:rFonts w:ascii="Arial" w:eastAsia="Times New Roman" w:hAnsi="Arial" w:cs="Arial"/>
                <w:b/>
                <w:bCs/>
                <w:sz w:val="20"/>
                <w:szCs w:val="24"/>
              </w:rPr>
              <w:t>B])</w:t>
            </w:r>
          </w:p>
        </w:tc>
        <w:tc>
          <w:tcPr>
            <w:tcW w:w="2087" w:type="dxa"/>
            <w:tcBorders>
              <w:top w:val="single" w:sz="4" w:space="0" w:color="auto"/>
              <w:bottom w:val="single" w:sz="4" w:space="0" w:color="auto"/>
            </w:tcBorders>
            <w:vAlign w:val="center"/>
          </w:tcPr>
          <w:p w14:paraId="13FCBD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95% CI</w:t>
            </w:r>
          </w:p>
        </w:tc>
        <w:tc>
          <w:tcPr>
            <w:tcW w:w="1690" w:type="dxa"/>
            <w:tcBorders>
              <w:top w:val="single" w:sz="4" w:space="0" w:color="auto"/>
              <w:bottom w:val="single" w:sz="4" w:space="0" w:color="auto"/>
            </w:tcBorders>
            <w:vAlign w:val="center"/>
          </w:tcPr>
          <w:p w14:paraId="61FBFEF3" w14:textId="77777777" w:rsidR="00930C62" w:rsidRPr="003926B1" w:rsidRDefault="00930C62" w:rsidP="00C41773">
            <w:pPr>
              <w:jc w:val="center"/>
              <w:rPr>
                <w:rFonts w:ascii="Arial" w:eastAsia="Helvetica Neue" w:hAnsi="Arial" w:cs="Arial"/>
                <w:b/>
                <w:i/>
                <w:sz w:val="20"/>
                <w:szCs w:val="24"/>
                <w:highlight w:val="white"/>
                <w:lang w:val="id-ID"/>
              </w:rPr>
            </w:pPr>
            <w:r w:rsidRPr="003926B1">
              <w:rPr>
                <w:rFonts w:ascii="Arial" w:eastAsia="Times New Roman" w:hAnsi="Arial" w:cs="Arial"/>
                <w:b/>
                <w:bCs/>
                <w:i/>
                <w:iCs/>
                <w:sz w:val="20"/>
                <w:szCs w:val="24"/>
                <w:lang w:val="id-ID"/>
              </w:rPr>
              <w:t>P</w:t>
            </w:r>
          </w:p>
        </w:tc>
      </w:tr>
      <w:tr w:rsidR="00930C62" w:rsidRPr="00785A42" w14:paraId="2F1FFA93" w14:textId="77777777" w:rsidTr="00785A42">
        <w:trPr>
          <w:jc w:val="center"/>
        </w:trPr>
        <w:tc>
          <w:tcPr>
            <w:tcW w:w="2137" w:type="dxa"/>
            <w:tcBorders>
              <w:top w:val="single" w:sz="4" w:space="0" w:color="auto"/>
            </w:tcBorders>
            <w:vAlign w:val="center"/>
          </w:tcPr>
          <w:p w14:paraId="484CC89D"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Parity</w:t>
            </w:r>
          </w:p>
        </w:tc>
        <w:tc>
          <w:tcPr>
            <w:tcW w:w="2132" w:type="dxa"/>
            <w:tcBorders>
              <w:top w:val="single" w:sz="4" w:space="0" w:color="auto"/>
            </w:tcBorders>
            <w:vAlign w:val="center"/>
          </w:tcPr>
          <w:p w14:paraId="44B8FE02"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0.68</w:t>
            </w:r>
          </w:p>
        </w:tc>
        <w:tc>
          <w:tcPr>
            <w:tcW w:w="2087" w:type="dxa"/>
            <w:tcBorders>
              <w:top w:val="single" w:sz="4" w:space="0" w:color="auto"/>
            </w:tcBorders>
            <w:vAlign w:val="center"/>
          </w:tcPr>
          <w:p w14:paraId="07F57DCE"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0.50 – 0.92</w:t>
            </w:r>
          </w:p>
        </w:tc>
        <w:tc>
          <w:tcPr>
            <w:tcW w:w="1690" w:type="dxa"/>
            <w:tcBorders>
              <w:top w:val="single" w:sz="4" w:space="0" w:color="auto"/>
            </w:tcBorders>
            <w:vAlign w:val="center"/>
          </w:tcPr>
          <w:p w14:paraId="6FE7EA9A"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.01</w:t>
            </w:r>
          </w:p>
        </w:tc>
      </w:tr>
      <w:tr w:rsidR="00930C62" w:rsidRPr="00785A42" w14:paraId="1255DBC4" w14:textId="77777777" w:rsidTr="00785A42">
        <w:trPr>
          <w:jc w:val="center"/>
        </w:trPr>
        <w:tc>
          <w:tcPr>
            <w:tcW w:w="2137" w:type="dxa"/>
            <w:vAlign w:val="center"/>
          </w:tcPr>
          <w:p w14:paraId="78DCB124"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Menarche</w:t>
            </w:r>
          </w:p>
        </w:tc>
        <w:tc>
          <w:tcPr>
            <w:tcW w:w="2132" w:type="dxa"/>
            <w:vAlign w:val="center"/>
          </w:tcPr>
          <w:p w14:paraId="4584A6D1"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1.20</w:t>
            </w:r>
          </w:p>
        </w:tc>
        <w:tc>
          <w:tcPr>
            <w:tcW w:w="2087" w:type="dxa"/>
            <w:vAlign w:val="center"/>
          </w:tcPr>
          <w:p w14:paraId="0D0079C5"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0.90 – 1.61</w:t>
            </w:r>
          </w:p>
        </w:tc>
        <w:tc>
          <w:tcPr>
            <w:tcW w:w="1690" w:type="dxa"/>
            <w:vAlign w:val="center"/>
          </w:tcPr>
          <w:p w14:paraId="664C25DF"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.22</w:t>
            </w:r>
          </w:p>
        </w:tc>
      </w:tr>
      <w:tr w:rsidR="00930C62" w:rsidRPr="00785A42" w14:paraId="5A001EC8" w14:textId="77777777" w:rsidTr="00785A42">
        <w:trPr>
          <w:jc w:val="center"/>
        </w:trPr>
        <w:tc>
          <w:tcPr>
            <w:tcW w:w="2137" w:type="dxa"/>
            <w:tcBorders>
              <w:bottom w:val="single" w:sz="4" w:space="0" w:color="auto"/>
            </w:tcBorders>
            <w:vAlign w:val="center"/>
          </w:tcPr>
          <w:p w14:paraId="02DCBC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Marriage</w:t>
            </w:r>
          </w:p>
        </w:tc>
        <w:tc>
          <w:tcPr>
            <w:tcW w:w="2132" w:type="dxa"/>
            <w:tcBorders>
              <w:bottom w:val="single" w:sz="4" w:space="0" w:color="auto"/>
            </w:tcBorders>
            <w:vAlign w:val="center"/>
          </w:tcPr>
          <w:p w14:paraId="693593B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1.02</w:t>
            </w:r>
          </w:p>
        </w:tc>
        <w:tc>
          <w:tcPr>
            <w:tcW w:w="2087" w:type="dxa"/>
            <w:tcBorders>
              <w:bottom w:val="single" w:sz="4" w:space="0" w:color="auto"/>
            </w:tcBorders>
            <w:vAlign w:val="center"/>
          </w:tcPr>
          <w:p w14:paraId="47709F7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0.92 – 1.13</w:t>
            </w:r>
          </w:p>
        </w:tc>
        <w:tc>
          <w:tcPr>
            <w:tcW w:w="1690" w:type="dxa"/>
            <w:tcBorders>
              <w:bottom w:val="single" w:sz="4" w:space="0" w:color="auto"/>
            </w:tcBorders>
            <w:vAlign w:val="center"/>
          </w:tcPr>
          <w:p w14:paraId="46A24364"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.70</w:t>
            </w:r>
          </w:p>
        </w:tc>
      </w:tr>
    </w:tbl>
    <w:p w14:paraId="51A9B51F" w14:textId="77777777" w:rsidR="00376BBE" w:rsidRDefault="00376BBE" w:rsidP="00441B6F">
      <w:pPr>
        <w:pStyle w:val="Body"/>
        <w:spacing w:after="0"/>
        <w:rPr>
          <w:rFonts w:ascii="Arial" w:hAnsi="Arial" w:cs="Arial"/>
        </w:rPr>
      </w:pPr>
    </w:p>
    <w:p w14:paraId="769657A0" w14:textId="77777777" w:rsidR="008C4E1D" w:rsidRPr="008C4E1D" w:rsidRDefault="008C4E1D" w:rsidP="008C4E1D">
      <w:pPr>
        <w:jc w:val="both"/>
        <w:rPr>
          <w:rFonts w:ascii="Arial" w:hAnsi="Arial" w:cs="Arial"/>
          <w:szCs w:val="24"/>
        </w:rPr>
      </w:pPr>
      <w:r w:rsidRPr="008C4E1D">
        <w:rPr>
          <w:rFonts w:ascii="Arial" w:hAnsi="Arial" w:cs="Arial"/>
          <w:szCs w:val="24"/>
        </w:rPr>
        <w:t xml:space="preserve">The inverse association between parity and adenocarcinoma observed in this study implies that women with higher parity were more likely to develop squamous cell carcinoma than </w:t>
      </w:r>
      <w:r w:rsidRPr="008C4E1D">
        <w:rPr>
          <w:rFonts w:ascii="Arial" w:hAnsi="Arial" w:cs="Arial"/>
          <w:szCs w:val="24"/>
        </w:rPr>
        <w:lastRenderedPageBreak/>
        <w:t>adenocarcinoma. This finding is biologically plausible and consistent with previous evidence linking high parity to squamous carcinogenesis</w:t>
      </w:r>
      <w:r w:rsidR="00D755B3">
        <w:rPr>
          <w:rFonts w:ascii="Arial" w:hAnsi="Arial" w:cs="Arial"/>
          <w:szCs w:val="24"/>
          <w:lang w:val="id-ID"/>
        </w:rPr>
        <w:t xml:space="preserve"> </w:t>
      </w:r>
      <w:r w:rsidR="00D755B3">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{"citationItems":[{"id":"ITEM-1","itemData":{"author":[{"dropping-particle":"","family":"Wulan","given":"Ratih Nawang","non-dropping-particle":"","parse-names":false,"suffix":""},{"dropping-particle":"","family":"Abidin","given":"Zaenal","non-dropping-particle":"","parse-names":false,"suffix":""},{"dropping-particle":"","family":"U","given":"Esa Rosyida","non-dropping-particle":"","parse-names":false,"suffix":""},{"dropping-particle":"","family":"R","given":"Elmi Aris","non-dropping-particle":"","parse-names":false,"suffix":""},{"dropping-particle":"","family":"Retnowari","given":"Jajuk","non-dropping-particle":"","parse-names":false,"suffix":""},{"dropping-particle":"","family":"P","given":"Eko Sih","non-dropping-particle":"","parse-names":false,"suffix":""},{"dropping-particle":"","family":"H","given":"Dewi Arini","non-dropping-particle":"","parse-names":false,"suffix":""}],"container-title":"Indian Journal of Public Health Research &amp; Development","id":"ITEM-1","issue":"3","issued":{"date-parts":[["2020"]]},"page":"1229-1233","title":"Relationship between Multiparity and the Types of Histopatology of Cervical Cancer","type":"article-journal","volume":"11"},"uris":["http://www.mendeley.com/documents/?uuid=43635284-9b8d-44e6-9ded-12622829a281"]}],"mendeley":{"formattedCitation":"(Wulan et al., 2020)","plainTextFormattedCitation":"(Wulan et al., 2020)","previouslyFormattedCitation":"(Wulan et al., 2020)"},"properties":{"noteIndex":0},"schema":"https://github.com/citation-style-language/schema/raw/master/csl-citation.json"}</w:instrText>
      </w:r>
      <w:r w:rsidR="00D755B3">
        <w:rPr>
          <w:rFonts w:ascii="Arial" w:hAnsi="Arial" w:cs="Arial"/>
          <w:szCs w:val="24"/>
          <w:lang w:val="id-ID"/>
        </w:rPr>
        <w:fldChar w:fldCharType="separate"/>
      </w:r>
      <w:r w:rsidR="001E4358" w:rsidRPr="001E4358">
        <w:rPr>
          <w:rFonts w:ascii="Arial" w:hAnsi="Arial" w:cs="Arial"/>
          <w:noProof/>
          <w:szCs w:val="24"/>
          <w:lang w:val="id-ID"/>
        </w:rPr>
        <w:t>(Wulan et al., 2020)</w:t>
      </w:r>
      <w:r w:rsidR="00D755B3">
        <w:rPr>
          <w:rFonts w:ascii="Arial" w:hAnsi="Arial" w:cs="Arial"/>
          <w:szCs w:val="24"/>
          <w:lang w:val="id-ID"/>
        </w:rPr>
        <w:fldChar w:fldCharType="end"/>
      </w:r>
      <w:r w:rsidRPr="008C4E1D">
        <w:rPr>
          <w:rFonts w:ascii="Arial" w:hAnsi="Arial" w:cs="Arial"/>
          <w:szCs w:val="24"/>
        </w:rPr>
        <w:t>. Repeated cervical dilation and microtrauma during vaginal delivery may promote chronic inflammation and epithelial remodeling in the transformation zone, thereby facilitating persistent high-risk</w:t>
      </w:r>
      <w:r w:rsidR="00CA667E">
        <w:rPr>
          <w:rFonts w:ascii="Arial" w:hAnsi="Arial" w:cs="Arial"/>
          <w:szCs w:val="24"/>
        </w:rPr>
        <w:t xml:space="preserve"> HPV</w:t>
      </w:r>
      <w:r w:rsidRPr="008C4E1D">
        <w:rPr>
          <w:rFonts w:ascii="Arial" w:hAnsi="Arial" w:cs="Arial"/>
          <w:szCs w:val="24"/>
        </w:rPr>
        <w:t xml:space="preserve"> infection and favoring squamous differentiation</w:t>
      </w:r>
      <w:r w:rsidR="00D755B3">
        <w:rPr>
          <w:rFonts w:ascii="Arial" w:hAnsi="Arial" w:cs="Arial"/>
          <w:szCs w:val="24"/>
          <w:lang w:val="id-ID"/>
        </w:rPr>
        <w:t xml:space="preserve"> </w:t>
      </w:r>
      <w:r w:rsidR="00D755B3">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Raju","given":"Kalyani","non-dropping-particle":"","parse-names":false,"suffix":""},{"dropping-particle":"","family":"Raghuveer","given":"","non-dropping-particle":"","parse-names":false,"suffix":""},{"dropping-particle":"","family":"Sheela","given":"","non-dropping-particle":"","parse-names":false,"suffix":""}],"container-title":"Biomedical Research and Therapy","id":"ITEM-1","issue":"11","issued":{"date-parts":[["2019"]]},"page":"3443-3451","title":"Clinicopathological Correlation of Invasive Squamous Cell Carcinoma of Uterine Cervix : A Cross-Sectional Study","type":"article-journal","volume":"6"},"uris":["http://www.mendeley.com/documents/?uuid=8ebd4da7-7b43-4e06-be8e-f124110f4459"]},{"id":"ITEM-2","itemData":{"ISBN":"0123456789","ISSN":"1432-0711","author":[{"dropping-particle":"","family":"Félix","given":"Joana","non-dropping-particle":"","parse-names":false,"suffix":""},{"dropping-particle":"","family":"Matias","given":"Alexandra","non-dropping-particle":"","parse-names":false,"suffix":""},{"dropping-particle":"","family":"Bartosch","given":"Carla","non-dropping-particle":"","parse-names":false,"suffix":""}],"container-title":"Archives of Gynecology and Obstetrics","id":"ITEM-2","issue":"6","issued":{"date-parts":[["2025"]]},"page":"1553-1560","publisher":"Springer Berlin Heidelberg","title":"Cellular Dynamics of Cervical Remodelling: Insights From Preterm and Term Labour","type":"article-journal","volume":"311"},"uris":["http://www.mendeley.com/documents/?uuid=3d240b64-ed5f-4ee6-8880-77532c669806"]}],"mendeley":{"formattedCitation":"(Félix et al., 2025; Raju et al., 2019)","plainTextFormattedCitation":"(Félix et al., 2025; Raju et al., 2019)","previouslyFormattedCitation":"(Félix et al., 2025; Raju et al., 2019)"},"properties":{"noteIndex":0},"schema":"https://github.com/citation-style-language/schema/raw/master/csl-citation.json"}</w:instrText>
      </w:r>
      <w:r w:rsidR="00D755B3">
        <w:rPr>
          <w:rFonts w:ascii="Arial" w:hAnsi="Arial" w:cs="Arial"/>
          <w:szCs w:val="24"/>
          <w:lang w:val="id-ID"/>
        </w:rPr>
        <w:fldChar w:fldCharType="separate"/>
      </w:r>
      <w:r w:rsidR="001E4358" w:rsidRPr="001E4358">
        <w:rPr>
          <w:rFonts w:ascii="Arial" w:hAnsi="Arial" w:cs="Arial"/>
          <w:noProof/>
          <w:szCs w:val="24"/>
          <w:lang w:val="id-ID"/>
        </w:rPr>
        <w:t>(Félix et al., 2025; Raju et al., 2019)</w:t>
      </w:r>
      <w:r w:rsidR="00D755B3">
        <w:rPr>
          <w:rFonts w:ascii="Arial" w:hAnsi="Arial" w:cs="Arial"/>
          <w:szCs w:val="24"/>
          <w:lang w:val="id-ID"/>
        </w:rPr>
        <w:fldChar w:fldCharType="end"/>
      </w:r>
      <w:r w:rsidRPr="008C4E1D">
        <w:rPr>
          <w:rFonts w:ascii="Arial" w:hAnsi="Arial" w:cs="Arial"/>
          <w:szCs w:val="24"/>
        </w:rPr>
        <w:t>. In contrast, adenocarcinoma arises from the glandular epithelium of the endocervix, which is less directly exposed to mechanical trauma during childbirth but may be more strongly influenced by hormonal factors and specific HPV genotypes, particularly HPV-18</w:t>
      </w:r>
      <w:r w:rsidR="00D755B3">
        <w:rPr>
          <w:rFonts w:ascii="Arial" w:hAnsi="Arial" w:cs="Arial"/>
          <w:szCs w:val="24"/>
          <w:lang w:val="id-ID"/>
        </w:rPr>
        <w:t xml:space="preserve"> </w:t>
      </w:r>
      <w:r w:rsidR="00311B43">
        <w:rPr>
          <w:rFonts w:ascii="Arial" w:hAnsi="Arial" w:cs="Arial"/>
          <w:szCs w:val="24"/>
          <w:lang w:val="id-ID"/>
        </w:rPr>
        <w:fldChar w:fldCharType="begin" w:fldLock="1"/>
      </w:r>
      <w:r w:rsidR="00A1021E">
        <w:rPr>
          <w:rFonts w:ascii="Arial" w:hAnsi="Arial" w:cs="Arial"/>
          <w:szCs w:val="24"/>
          <w:lang w:val="id-ID"/>
        </w:rPr>
        <w:instrText>ADDIN CSL_CITATION {"citationItems":[{"id":"ITEM-1","itemData":{"ISBN":"8126692650","author":[{"dropping-particle":"","family":"Savira","given":"Maya","non-dropping-particle":"","parse-names":false,"suffix":""},{"dropping-particle":"","family":"Suhaimi","given":"Donel","non-dropping-particle":"","parse-names":false,"suffix":""},{"dropping-particle":"","family":"Putra","given":"Andani Eka","non-dropping-particle":"","parse-names":false,"suffix":""},{"dropping-particle":"","family":"Yusrawati","given":"Yusrawati","non-dropping-particle":"","parse-names":false,"suffix":""},{"dropping-particle":"","family":"Lipoeto","given":"Nur Indrawati","non-dropping-particle":"","parse-names":false,"suffix":""}],"container-title":"Reports of Biochemistry &amp; Molecular Biology","id":"ITEM-1","issue":"4","issued":{"date-parts":[["2022"]]},"page":"573-579","title":"Prevalence Oncogenic Human Papillomavirus in Cervical Cancer Patients in Riau Province Indonesia","type":"article-journal","volume":"10"},"uris":["http://www.mendeley.com/documents/?uuid=550e8d9e-f35d-40e0-b2a4-3dd04be11164"]}],"mendeley":{"formattedCitation":"(Savira et al., 2022)","plainTextFormattedCitation":"(Savira et al., 2022)","previouslyFormattedCitation":"(Savira et al., 2022)"},"properties":{"noteIndex":0},"schema":"https://github.com/citation-style-language/schema/raw/master/csl-citation.json"}</w:instrText>
      </w:r>
      <w:r w:rsidR="00311B43">
        <w:rPr>
          <w:rFonts w:ascii="Arial" w:hAnsi="Arial" w:cs="Arial"/>
          <w:szCs w:val="24"/>
          <w:lang w:val="id-ID"/>
        </w:rPr>
        <w:fldChar w:fldCharType="separate"/>
      </w:r>
      <w:r w:rsidR="001E4358" w:rsidRPr="001E4358">
        <w:rPr>
          <w:rFonts w:ascii="Arial" w:hAnsi="Arial" w:cs="Arial"/>
          <w:noProof/>
          <w:szCs w:val="24"/>
          <w:lang w:val="id-ID"/>
        </w:rPr>
        <w:t>(Savira et al., 2022)</w:t>
      </w:r>
      <w:r w:rsidR="00311B43">
        <w:rPr>
          <w:rFonts w:ascii="Arial" w:hAnsi="Arial" w:cs="Arial"/>
          <w:szCs w:val="24"/>
          <w:lang w:val="id-ID"/>
        </w:rPr>
        <w:fldChar w:fldCharType="end"/>
      </w:r>
      <w:r w:rsidRPr="008C4E1D">
        <w:rPr>
          <w:rFonts w:ascii="Arial" w:hAnsi="Arial" w:cs="Arial"/>
          <w:szCs w:val="24"/>
        </w:rPr>
        <w:t>.</w:t>
      </w:r>
    </w:p>
    <w:p w14:paraId="00AC8E83" w14:textId="77777777" w:rsidR="008C4E1D" w:rsidRPr="008C4E1D" w:rsidRDefault="008C4E1D" w:rsidP="008C4E1D">
      <w:pPr>
        <w:jc w:val="both"/>
        <w:rPr>
          <w:rFonts w:ascii="Arial" w:hAnsi="Arial" w:cs="Arial"/>
          <w:szCs w:val="24"/>
        </w:rPr>
      </w:pPr>
      <w:r w:rsidRPr="008C4E1D">
        <w:rPr>
          <w:rFonts w:ascii="Arial" w:hAnsi="Arial" w:cs="Arial"/>
          <w:szCs w:val="24"/>
        </w:rPr>
        <w:t>Other reproductive variables, including age at menarche and age at marriage, were not independently associated with histopathological type in the multivariate analysis. Although these factors are often used as proxies for lifetime hormonal exposure and age at sexual debut, their influence may be more relevant to the initiation of cervical carcinogenesis rather than to tumor differentiation once malignancy has developed. Similarly, the number of marriages and history of abortion or fetal death did not demonstrate significant associations. This lack of association may partly reflect limited variability in these variables within the study population, as well as the indirect nature of their biological effects, which are likely mediated through behavioral patterns, immu</w:t>
      </w:r>
      <w:r w:rsidR="002209DE">
        <w:rPr>
          <w:rFonts w:ascii="Arial" w:hAnsi="Arial" w:cs="Arial"/>
          <w:szCs w:val="24"/>
        </w:rPr>
        <w:t xml:space="preserve">ne response, or HPV persistence </w:t>
      </w:r>
      <w:r w:rsidRPr="008C4E1D">
        <w:rPr>
          <w:rFonts w:ascii="Arial" w:hAnsi="Arial" w:cs="Arial"/>
          <w:szCs w:val="24"/>
        </w:rPr>
        <w:t>factors that could not be assessed in the present study</w:t>
      </w:r>
      <w:r w:rsidR="00311B43">
        <w:rPr>
          <w:rFonts w:ascii="Arial" w:hAnsi="Arial" w:cs="Arial"/>
          <w:szCs w:val="24"/>
          <w:lang w:val="id-ID"/>
        </w:rPr>
        <w:t xml:space="preserve"> </w:t>
      </w:r>
      <w:r w:rsidR="00311B43">
        <w:rPr>
          <w:rFonts w:ascii="Arial" w:hAnsi="Arial" w:cs="Arial"/>
          <w:szCs w:val="24"/>
          <w:lang w:val="id-ID"/>
        </w:rPr>
        <w:fldChar w:fldCharType="begin" w:fldLock="1"/>
      </w:r>
      <w:r w:rsidR="001E4358">
        <w:rPr>
          <w:rFonts w:ascii="Arial" w:hAnsi="Arial" w:cs="Arial"/>
          <w:szCs w:val="24"/>
          <w:lang w:val="id-ID"/>
        </w:rPr>
        <w:instrText>ADDIN CSL_CITATION {"citationItems":[{"id":"ITEM-1","itemData":{"author":[{"dropping-particle":"","family":"Coursey","given":"Tami L","non-dropping-particle":"","parse-names":false,"suffix":""},{"dropping-particle":"Van","family":"Doorslaer","given":"Koenraad","non-dropping-particle":"","parse-names":false,"suffix":""},{"dropping-particle":"","family":"Mcbride","given":"Alison A","non-dropping-particle":"","parse-names":false,"suffix":""}],"container-title":"Journal of Virology","id":"ITEM-1","issue":"19","issued":{"date-parts":[["2021"]]},"page":"1-21","title":"Regulation of Human Papillomavirus 18 Genome Replication, Establishment, and Persistence by Sequences in the Viral Upstream Regulatory Region","type":"article-journal","volume":"95"},"uris":["http://www.mendeley.com/documents/?uuid=af51dab5-48e2-4dd0-b83b-520b9d3815b2"]},{"id":"ITEM-2","itemData":{"author":[{"dropping-particle":"","family":"Yo","given":"Edward Christopher","non-dropping-particle":"","parse-names":false,"suffix":""},{"dropping-particle":"","family":"Nuryanto","given":"Kartiwa Hadi","non-dropping-particle":"","parse-names":false,"suffix":""}],"container-title":"Indonesian Journal of Cancer","id":"ITEM-2","issue":"2","issued":{"date-parts":[["2024"]]},"page":"227-233","title":"Molecular and Host Lifestyle Factors Associated with Persistent Human Papillomavirus Infection and Progression into Cervical Cancer: A Literature Review","type":"article-journal","volume":"18"},"uris":["http://www.mendeley.com/documents/?uuid=b8c3cc36-fe70-4920-af7a-0e968513d5e2"]}],"mendeley":{"formattedCitation":"(Coursey et al., 2021; Yo &amp; Nuryanto, 2024)","plainTextFormattedCitation":"(Coursey et al., 2021; Yo &amp; Nuryanto, 2024)","previouslyFormattedCitation":"(Coursey et al., 2021; Yo &amp; Nuryanto, 2024)"},"properties":{"noteIndex":0},"schema":"https://github.com/citation-style-language/schema/raw/master/csl-citation.json"}</w:instrText>
      </w:r>
      <w:r w:rsidR="00311B43">
        <w:rPr>
          <w:rFonts w:ascii="Arial" w:hAnsi="Arial" w:cs="Arial"/>
          <w:szCs w:val="24"/>
          <w:lang w:val="id-ID"/>
        </w:rPr>
        <w:fldChar w:fldCharType="separate"/>
      </w:r>
      <w:r w:rsidR="001E4358" w:rsidRPr="001E4358">
        <w:rPr>
          <w:rFonts w:ascii="Arial" w:hAnsi="Arial" w:cs="Arial"/>
          <w:noProof/>
          <w:szCs w:val="24"/>
          <w:lang w:val="id-ID"/>
        </w:rPr>
        <w:t>(Coursey et al., 2021; Yo &amp; Nuryanto, 2024)</w:t>
      </w:r>
      <w:r w:rsidR="00311B43">
        <w:rPr>
          <w:rFonts w:ascii="Arial" w:hAnsi="Arial" w:cs="Arial"/>
          <w:szCs w:val="24"/>
          <w:lang w:val="id-ID"/>
        </w:rPr>
        <w:fldChar w:fldCharType="end"/>
      </w:r>
      <w:r w:rsidRPr="008C4E1D">
        <w:rPr>
          <w:rFonts w:ascii="Arial" w:hAnsi="Arial" w:cs="Arial"/>
          <w:szCs w:val="24"/>
        </w:rPr>
        <w:t>.</w:t>
      </w:r>
    </w:p>
    <w:p w14:paraId="76E3F4F4" w14:textId="77777777" w:rsidR="008C4E1D" w:rsidRPr="008C4E1D" w:rsidRDefault="008C4E1D" w:rsidP="008C4E1D">
      <w:pPr>
        <w:jc w:val="both"/>
        <w:rPr>
          <w:rFonts w:ascii="Arial" w:hAnsi="Arial" w:cs="Arial"/>
          <w:szCs w:val="24"/>
        </w:rPr>
      </w:pPr>
      <w:r w:rsidRPr="008C4E1D">
        <w:rPr>
          <w:rFonts w:ascii="Arial" w:hAnsi="Arial" w:cs="Arial"/>
          <w:szCs w:val="24"/>
        </w:rPr>
        <w:t xml:space="preserve">The regression model explained a modest proportion of the variability in histopathological type, as indicated by the Nagelkerke R² value of 0.145. This finding underscores the multifactorial nature of cervical cancer </w:t>
      </w:r>
      <w:proofErr w:type="spellStart"/>
      <w:r w:rsidRPr="008C4E1D">
        <w:rPr>
          <w:rFonts w:ascii="Arial" w:hAnsi="Arial" w:cs="Arial"/>
          <w:szCs w:val="24"/>
        </w:rPr>
        <w:t>histopathogenesis</w:t>
      </w:r>
      <w:proofErr w:type="spellEnd"/>
      <w:r w:rsidRPr="008C4E1D">
        <w:rPr>
          <w:rFonts w:ascii="Arial" w:hAnsi="Arial" w:cs="Arial"/>
          <w:szCs w:val="24"/>
        </w:rPr>
        <w:t xml:space="preserve"> and suggests that reproductive factors represent only one component within a broader etiological framework. Important determinants such as HPV genotype, host immune response, hormonal contraceptive use, and clinical stage at diagnosis were not available in the medical records and therefore could not be included in the analysis. The absence of these variables may have limited the ability to fully characterize the pathways leading to different histopathological types.</w:t>
      </w:r>
    </w:p>
    <w:p w14:paraId="22392BC8" w14:textId="77777777" w:rsidR="008C4E1D" w:rsidRPr="008C4E1D" w:rsidRDefault="008C4E1D" w:rsidP="008C4E1D">
      <w:pPr>
        <w:jc w:val="both"/>
        <w:rPr>
          <w:rFonts w:ascii="Arial" w:hAnsi="Arial" w:cs="Arial"/>
          <w:szCs w:val="24"/>
        </w:rPr>
      </w:pPr>
      <w:r w:rsidRPr="008C4E1D">
        <w:rPr>
          <w:rFonts w:ascii="Arial" w:hAnsi="Arial" w:cs="Arial"/>
          <w:szCs w:val="24"/>
        </w:rPr>
        <w:t>Several methodological considerations should also be acknowledged. The retrospective design relied on the accuracy and completeness of medical record data, which may have introduced misclassification of reproductive variables. In addition, histopathological findings were dichotomized into squamous cell carcinoma and adenocarcinoma to facilitate statistical analysis, a necessary approach that may have obscured biological differences among specific squamous subtypes. The relatively smaller number of adenocarcinoma cases may have further limited statistical power to detect associations with less influential reproductive factors.</w:t>
      </w:r>
    </w:p>
    <w:p w14:paraId="06514F55" w14:textId="77777777" w:rsidR="008C4E1D" w:rsidRDefault="008C4E1D" w:rsidP="00441B6F">
      <w:pPr>
        <w:pStyle w:val="Body"/>
        <w:spacing w:after="0"/>
        <w:rPr>
          <w:rFonts w:ascii="Arial" w:hAnsi="Arial" w:cs="Arial"/>
        </w:rPr>
      </w:pPr>
    </w:p>
    <w:p w14:paraId="785D21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E5CE73" w14:textId="77777777" w:rsidR="002439E6" w:rsidRDefault="008C4E1D" w:rsidP="002439E6">
      <w:pPr>
        <w:jc w:val="both"/>
        <w:rPr>
          <w:rFonts w:ascii="Arial" w:hAnsi="Arial" w:cs="Arial"/>
          <w:szCs w:val="24"/>
        </w:rPr>
      </w:pPr>
      <w:r w:rsidRPr="008C4E1D">
        <w:rPr>
          <w:rFonts w:ascii="Arial" w:hAnsi="Arial" w:cs="Arial"/>
          <w:szCs w:val="24"/>
        </w:rPr>
        <w:t>Parity was the only reproductive factor independently associated with the histopathological type of cervical cancer in this study. Higher parity was more strongly linked to squamous cell carcinoma, whereas adenocarcinoma was more frequently observed among women with lower parity. Other reproductive factors, including age at menarche, age at marriage, number of marriages, and history of abortion or fetal death, showed no significant association with histopathological type. These findings underscore the role of reproductive history, particularly parity, in shaping cervical cancer histopathology and highlight the need for prevention and screening strategies that account for reproductive profiles.</w:t>
      </w:r>
    </w:p>
    <w:p w14:paraId="362DCEB2" w14:textId="77777777" w:rsidR="002439E6" w:rsidRDefault="002439E6" w:rsidP="002439E6">
      <w:pPr>
        <w:jc w:val="both"/>
        <w:rPr>
          <w:rFonts w:ascii="Arial" w:hAnsi="Arial" w:cs="Arial"/>
          <w:szCs w:val="24"/>
        </w:rPr>
      </w:pPr>
    </w:p>
    <w:p w14:paraId="674F576B" w14:textId="77777777" w:rsidR="008C4E1D" w:rsidRPr="008C4E1D" w:rsidRDefault="008C4E1D" w:rsidP="008C4E1D">
      <w:pPr>
        <w:pStyle w:val="Body"/>
        <w:spacing w:after="0"/>
        <w:rPr>
          <w:rFonts w:ascii="Arial" w:hAnsi="Arial" w:cs="Arial"/>
        </w:rPr>
      </w:pPr>
      <w:bookmarkStart w:id="0" w:name="_GoBack"/>
      <w:bookmarkEnd w:id="0"/>
    </w:p>
    <w:p w14:paraId="594FECC7" w14:textId="77777777" w:rsidR="00A1277C" w:rsidRDefault="00A1277C" w:rsidP="00A1277C">
      <w:pPr>
        <w:pStyle w:val="NormalWeb"/>
        <w:spacing w:before="0" w:beforeAutospacing="0" w:after="0" w:afterAutospacing="0"/>
        <w:jc w:val="both"/>
        <w:rPr>
          <w:rFonts w:ascii="Arial" w:hAnsi="Arial" w:cs="Arial"/>
          <w:sz w:val="20"/>
          <w:szCs w:val="20"/>
        </w:rPr>
      </w:pPr>
    </w:p>
    <w:p w14:paraId="6A3B807B" w14:textId="77777777" w:rsidR="002B685A" w:rsidRPr="00A1277C" w:rsidRDefault="00A1277C" w:rsidP="00A1277C">
      <w:pPr>
        <w:pStyle w:val="NormalWeb"/>
        <w:spacing w:before="0" w:beforeAutospacing="0" w:after="0" w:afterAutospacing="0"/>
        <w:jc w:val="both"/>
        <w:rPr>
          <w:rFonts w:ascii="Arial" w:hAnsi="Arial" w:cs="Arial"/>
          <w:sz w:val="20"/>
          <w:szCs w:val="20"/>
        </w:rPr>
      </w:pPr>
      <w:r w:rsidRPr="002439E6">
        <w:rPr>
          <w:rFonts w:ascii="Arial" w:hAnsi="Arial" w:cs="Arial"/>
          <w:b/>
          <w:bCs/>
          <w:sz w:val="22"/>
        </w:rPr>
        <w:t>CONSENT</w:t>
      </w:r>
      <w:r w:rsidRPr="00A1277C">
        <w:rPr>
          <w:rFonts w:ascii="Arial" w:hAnsi="Arial" w:cs="Arial"/>
          <w:b/>
          <w:bCs/>
        </w:rPr>
        <w:t xml:space="preserve"> </w:t>
      </w:r>
    </w:p>
    <w:p w14:paraId="07BCE7FF" w14:textId="77777777" w:rsidR="001A29D8" w:rsidRPr="00A1277C" w:rsidRDefault="00A1277C" w:rsidP="00441B6F">
      <w:pPr>
        <w:pStyle w:val="ReferHead"/>
        <w:spacing w:after="0"/>
        <w:jc w:val="both"/>
        <w:rPr>
          <w:rFonts w:ascii="Arial" w:hAnsi="Arial" w:cs="Arial"/>
          <w:b w:val="0"/>
          <w:caps w:val="0"/>
          <w:sz w:val="20"/>
          <w:u w:val="single"/>
          <w:lang w:val="id-ID"/>
        </w:rPr>
      </w:pPr>
      <w:r>
        <w:rPr>
          <w:rFonts w:ascii="Arial" w:hAnsi="Arial" w:cs="Arial"/>
          <w:b w:val="0"/>
          <w:caps w:val="0"/>
          <w:sz w:val="20"/>
          <w:lang w:val="id-ID"/>
        </w:rPr>
        <w:lastRenderedPageBreak/>
        <w:t>Not applicable.</w:t>
      </w:r>
    </w:p>
    <w:p w14:paraId="751CD808" w14:textId="77777777" w:rsidR="005C784C" w:rsidRDefault="005C784C" w:rsidP="00441B6F">
      <w:pPr>
        <w:pStyle w:val="ReferHead"/>
        <w:spacing w:after="0"/>
        <w:jc w:val="both"/>
        <w:rPr>
          <w:rFonts w:ascii="Arial" w:hAnsi="Arial" w:cs="Arial"/>
          <w:b w:val="0"/>
          <w:caps w:val="0"/>
          <w:sz w:val="20"/>
        </w:rPr>
      </w:pPr>
    </w:p>
    <w:p w14:paraId="6E98A629" w14:textId="77777777" w:rsidR="00A1277C" w:rsidRDefault="005C784C" w:rsidP="00A1277C">
      <w:pPr>
        <w:pStyle w:val="ReferHead"/>
        <w:spacing w:after="0"/>
        <w:jc w:val="both"/>
        <w:rPr>
          <w:rFonts w:ascii="Arial" w:hAnsi="Arial" w:cs="Arial"/>
          <w:bCs/>
        </w:rPr>
      </w:pPr>
      <w:r>
        <w:rPr>
          <w:rFonts w:ascii="Arial" w:hAnsi="Arial" w:cs="Arial"/>
          <w:bCs/>
        </w:rPr>
        <w:t xml:space="preserve">Ethical approval </w:t>
      </w:r>
    </w:p>
    <w:p w14:paraId="712B6B74" w14:textId="77777777" w:rsidR="00A1277C" w:rsidRDefault="00A1277C" w:rsidP="00A1277C">
      <w:pPr>
        <w:pStyle w:val="ReferHead"/>
        <w:spacing w:after="0"/>
        <w:jc w:val="both"/>
        <w:rPr>
          <w:rFonts w:ascii="Arial" w:hAnsi="Arial" w:cs="Arial"/>
          <w:b w:val="0"/>
          <w:caps w:val="0"/>
          <w:sz w:val="20"/>
          <w:szCs w:val="24"/>
        </w:rPr>
      </w:pPr>
      <w:r>
        <w:rPr>
          <w:rFonts w:ascii="Arial" w:hAnsi="Arial" w:cs="Arial"/>
          <w:b w:val="0"/>
          <w:caps w:val="0"/>
          <w:sz w:val="20"/>
          <w:szCs w:val="24"/>
        </w:rPr>
        <w:t>E</w:t>
      </w:r>
      <w:r w:rsidRPr="00A1277C">
        <w:rPr>
          <w:rFonts w:ascii="Arial" w:hAnsi="Arial" w:cs="Arial"/>
          <w:b w:val="0"/>
          <w:caps w:val="0"/>
          <w:sz w:val="20"/>
          <w:szCs w:val="24"/>
        </w:rPr>
        <w:t>thical approval for this study was obtained from the health research ethics committee of Abdoel Wahab Sjahranie General Hospital (approval</w:t>
      </w:r>
      <w:r w:rsidR="00263ED4">
        <w:rPr>
          <w:rFonts w:ascii="Arial" w:hAnsi="Arial" w:cs="Arial"/>
          <w:b w:val="0"/>
          <w:caps w:val="0"/>
          <w:sz w:val="20"/>
          <w:szCs w:val="24"/>
        </w:rPr>
        <w:t xml:space="preserve"> number</w:t>
      </w:r>
      <w:r>
        <w:rPr>
          <w:rFonts w:ascii="Arial" w:hAnsi="Arial" w:cs="Arial"/>
          <w:b w:val="0"/>
          <w:caps w:val="0"/>
          <w:sz w:val="20"/>
          <w:szCs w:val="24"/>
        </w:rPr>
        <w:t xml:space="preserve"> 96/</w:t>
      </w:r>
      <w:r w:rsidR="00263ED4">
        <w:rPr>
          <w:rFonts w:ascii="Arial" w:hAnsi="Arial" w:cs="Arial"/>
          <w:b w:val="0"/>
          <w:caps w:val="0"/>
          <w:sz w:val="20"/>
          <w:szCs w:val="24"/>
        </w:rPr>
        <w:t>KEPK-AWS/IX</w:t>
      </w:r>
      <w:r>
        <w:rPr>
          <w:rFonts w:ascii="Arial" w:hAnsi="Arial" w:cs="Arial"/>
          <w:b w:val="0"/>
          <w:caps w:val="0"/>
          <w:sz w:val="20"/>
          <w:szCs w:val="24"/>
        </w:rPr>
        <w:t>/2025). A</w:t>
      </w:r>
      <w:r w:rsidRPr="00A1277C">
        <w:rPr>
          <w:rFonts w:ascii="Arial" w:hAnsi="Arial" w:cs="Arial"/>
          <w:b w:val="0"/>
          <w:caps w:val="0"/>
          <w:sz w:val="20"/>
          <w:szCs w:val="24"/>
        </w:rPr>
        <w:t>s the study utilized anonymized retrospective data, the requirement for informed consent was waived.</w:t>
      </w:r>
    </w:p>
    <w:p w14:paraId="3E32662B" w14:textId="77777777" w:rsidR="00851499" w:rsidRDefault="00851499" w:rsidP="00A1277C">
      <w:pPr>
        <w:pStyle w:val="ReferHead"/>
        <w:spacing w:after="0"/>
        <w:jc w:val="both"/>
        <w:rPr>
          <w:rFonts w:ascii="Arial" w:hAnsi="Arial" w:cs="Arial"/>
          <w:b w:val="0"/>
          <w:caps w:val="0"/>
          <w:sz w:val="20"/>
          <w:szCs w:val="24"/>
        </w:rPr>
      </w:pPr>
    </w:p>
    <w:p w14:paraId="2209789F" w14:textId="77777777" w:rsidR="00851499" w:rsidRPr="00851499" w:rsidRDefault="00851499" w:rsidP="00851499">
      <w:pPr>
        <w:spacing w:after="200" w:line="276" w:lineRule="auto"/>
        <w:jc w:val="both"/>
        <w:outlineLvl w:val="0"/>
        <w:rPr>
          <w:rFonts w:ascii="Arial" w:eastAsiaTheme="minorEastAsia" w:hAnsi="Arial" w:cs="Arial"/>
          <w:sz w:val="22"/>
          <w:szCs w:val="22"/>
          <w:lang w:val="en-GB" w:eastAsia="en-GB"/>
        </w:rPr>
      </w:pPr>
      <w:r w:rsidRPr="00851499">
        <w:rPr>
          <w:rFonts w:ascii="Arial" w:eastAsiaTheme="minorEastAsia" w:hAnsi="Arial" w:cs="Arial"/>
          <w:b/>
          <w:bCs/>
          <w:sz w:val="22"/>
          <w:szCs w:val="22"/>
          <w:lang w:val="en-GB" w:eastAsia="en-GB"/>
        </w:rPr>
        <w:t>COMPETING INTERESTS DISCLAIMER:</w:t>
      </w:r>
    </w:p>
    <w:p w14:paraId="6065436D" w14:textId="77777777" w:rsidR="00851499" w:rsidRPr="00851499" w:rsidRDefault="00851499" w:rsidP="00851499">
      <w:pPr>
        <w:spacing w:after="200" w:line="276" w:lineRule="auto"/>
        <w:rPr>
          <w:rFonts w:asciiTheme="minorHAnsi" w:eastAsiaTheme="minorEastAsia" w:hAnsiTheme="minorHAnsi" w:cstheme="minorBidi"/>
          <w:sz w:val="22"/>
          <w:szCs w:val="22"/>
          <w:lang w:val="en-GB" w:eastAsia="en-GB"/>
        </w:rPr>
      </w:pPr>
      <w:r w:rsidRPr="0085149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92F91E" w14:textId="77777777" w:rsidR="00851499" w:rsidRPr="00A1277C" w:rsidRDefault="00851499" w:rsidP="00A1277C">
      <w:pPr>
        <w:pStyle w:val="ReferHead"/>
        <w:spacing w:after="0"/>
        <w:jc w:val="both"/>
        <w:rPr>
          <w:rFonts w:ascii="Arial" w:hAnsi="Arial" w:cs="Arial"/>
          <w:b w:val="0"/>
          <w:bCs/>
        </w:rPr>
      </w:pPr>
    </w:p>
    <w:p w14:paraId="29C62506" w14:textId="77777777" w:rsidR="00860000" w:rsidRDefault="00860000" w:rsidP="00441B6F">
      <w:pPr>
        <w:pStyle w:val="ReferHead"/>
        <w:spacing w:after="0"/>
        <w:jc w:val="both"/>
        <w:rPr>
          <w:rFonts w:ascii="Arial" w:hAnsi="Arial" w:cs="Arial"/>
        </w:rPr>
      </w:pPr>
    </w:p>
    <w:p w14:paraId="31870F9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A35F3F9" w14:textId="77777777" w:rsidR="00B403BF" w:rsidRDefault="00B403BF" w:rsidP="00441B6F">
      <w:pPr>
        <w:pStyle w:val="ReferHead"/>
        <w:spacing w:after="0"/>
        <w:jc w:val="both"/>
        <w:rPr>
          <w:rFonts w:ascii="Arial" w:hAnsi="Arial" w:cs="Arial"/>
        </w:rPr>
      </w:pPr>
    </w:p>
    <w:p w14:paraId="42BE43B6" w14:textId="77777777" w:rsidR="00B403BF" w:rsidRPr="000C64A0" w:rsidRDefault="00A1021E" w:rsidP="000C64A0">
      <w:pPr>
        <w:widowControl w:val="0"/>
        <w:autoSpaceDE w:val="0"/>
        <w:autoSpaceDN w:val="0"/>
        <w:adjustRightInd w:val="0"/>
        <w:ind w:left="360"/>
        <w:jc w:val="both"/>
        <w:rPr>
          <w:rFonts w:ascii="Arial" w:hAnsi="Arial" w:cs="Arial"/>
          <w:noProof/>
        </w:rPr>
      </w:pPr>
      <w:r w:rsidRPr="00A1021E">
        <w:rPr>
          <w:rFonts w:ascii="Arial" w:hAnsi="Arial" w:cs="Arial"/>
        </w:rPr>
        <w:fldChar w:fldCharType="begin" w:fldLock="1"/>
      </w:r>
      <w:r w:rsidRPr="000C64A0">
        <w:rPr>
          <w:rFonts w:ascii="Arial" w:hAnsi="Arial" w:cs="Arial"/>
        </w:rPr>
        <w:instrText xml:space="preserve">ADDIN Mendeley Bibliography CSL_BIBLIOGRAPHY </w:instrText>
      </w:r>
      <w:r w:rsidRPr="00A1021E">
        <w:rPr>
          <w:rFonts w:ascii="Arial" w:hAnsi="Arial" w:cs="Arial"/>
        </w:rPr>
        <w:fldChar w:fldCharType="separate"/>
      </w:r>
      <w:r w:rsidR="00B403BF" w:rsidRPr="00B403BF">
        <w:t xml:space="preserve"> </w:t>
      </w:r>
      <w:r w:rsidR="00B403BF" w:rsidRPr="000C64A0">
        <w:rPr>
          <w:rFonts w:ascii="Arial" w:hAnsi="Arial" w:cs="Arial"/>
          <w:noProof/>
        </w:rPr>
        <w:t>Akwa, Y. V., Umeh, E. U., Amuta, E. U., Sar, T. T., &amp; Kela, S. I. (2024). Socio-Demographic Factors Associated with the Risk of HPV Infection Among Sexually Active Women in Adamawa and Taraba States. Journal of Multidisciplinary Science: MIKAILALSYS, 2(3), 294–305. https://doi.org/10.58578/mikailalsys.v2i3.3695</w:t>
      </w:r>
    </w:p>
    <w:p w14:paraId="11E1ECCB"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Coursey, T. L., Van Doorslaer, K., &amp; McBride, A. A. (2021). Regulation of Human Papillomavirus 18 Genome Replication, Establishment, and Persistence by Sequences in the Viral Upstream Regulatory Region. Journal of Virology, 95(19), e0068621. https://doi.org/10.1128/JVI.00686-21</w:t>
      </w:r>
    </w:p>
    <w:p w14:paraId="4B7296E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Félix, J., Matias, A., &amp; Bartosch, C. (2025). Cellular Dynamics of Cervical Remodelling: Insights From Preterm and Term Labour. Archives of Gynecology and Obstetrics. https://doi.org/10.1007/s00404-024-07902-7</w:t>
      </w:r>
    </w:p>
    <w:p w14:paraId="30EF9C8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Fowler, J. R., Maani, E. V., Dunton, C. J., Gasalberti, D. P., &amp; Jack, B. W. (2023). Cervical Cancer. StatPearls. https://www.ncbi.nlm.nih.gov/books/NBK431093/</w:t>
      </w:r>
    </w:p>
    <w:p w14:paraId="62D257C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Hasugian, S. A., Lubis, K., &amp; Doan, H. V. (2020). Profile of Histopathology of Cervical Cancer Tissues in Patients of the Dr. Pirngadi Medan Hospital. The Journal of Biosciences, 6(3), 90–97. https://doi.org/10.24114/jbio.v6i3.19607</w:t>
      </w:r>
    </w:p>
    <w:p w14:paraId="1F22CC90"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Made, N., Dewi, L., Ayu, I. G., Mahendra, S., &amp; Paskarani, P. E. (2025). Clinicopathologic Features of Carcinoma of the Cervix Uteri at Prof. Dr. I. G. N. G. Ngoerah Hospital in 2021 – 2022. Indonesian Journal of Cancer, 19(3), 381–385. https://doi.org/10.33371/ijoc.v19i3.1328</w:t>
      </w:r>
    </w:p>
    <w:p w14:paraId="7D3DA29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Meng, X., Yang, B., Yin, H., Chen, J., Ma, W., Xu, Z., &amp; Shen, Y. (2025). Global Burden and Incidence Trends in Cancers Associated with Human Papillomavirus Infection: A Population-Based Systematic Study. Pathogens, 14(9), 880. https://doi.org/10.3390/pathogens14090880</w:t>
      </w:r>
    </w:p>
    <w:p w14:paraId="4F6ACDA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Mullapally, S. K., Digumarti, L., &amp; Digumarti, R. (2022). Cervical Cancer in Low- and Middle-Income Countries: A Multidimensional Approach to Closing the Gaps. JCO Oncology Practice, 18(6), 423–425. https://doi.org/10.1200/op.22.00156</w:t>
      </w:r>
    </w:p>
    <w:p w14:paraId="01F006E1"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Rahayu, M. S., Maulina, N., Nadhira, C. S., Sawitri, H., Kautsar, M., &amp; Sakinah, N. (2024). Cervical Cancer Screening and Associated Factors Among Women of Reproductive Age In Lhokseumawe, Aceh. Jurnal Biometrika Dan Kependudukan, 13(2), 202–210. https://doi.org/10.20473/jbk.v13i2.2024.202-210</w:t>
      </w:r>
    </w:p>
    <w:p w14:paraId="0FC53BD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Raju, K., Raghuveer, C. V., &amp; Sheela, S. R. (2019). Clinicopathological correlation of invasive squamous cell carcinoma of uterine cervix: A cross-sectional study. Biomedical Research and Therapy. https://doi.org/10.15419/bmrat.v6i11.573</w:t>
      </w:r>
    </w:p>
    <w:p w14:paraId="222F9104"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lastRenderedPageBreak/>
        <w:t>Reza, S., Anjum, R., Khandoker, R. Z., Khan, S. R., Islam, M. R., &amp; Dewan, S. M. R. (2024). Public health concern-driven insights and response of low- and middle-income nations to the World health Organization call for cervical cancer risk eradication. Gynecologic Oncology Reports, 54, 101460. https://doi.org/10.1016/j.gore.2024.101460</w:t>
      </w:r>
    </w:p>
    <w:p w14:paraId="091097FA"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Savira, M., Suhaimi, D., Putra, A. E., Yusrawati, Y., &amp; Lipoeto, N. I. (2022). Prevalence Oncogenic Human Papillomavirus in Cervical Cancer Patients in Riau Province Indonesia. Reports of Biochemistry &amp; Molecular Biology, 10(4), 573–579. https://doi.org/10.52547/rbmb.10.4.573</w:t>
      </w:r>
    </w:p>
    <w:p w14:paraId="624D730A"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Tekalegn, Y., Sahiledengle, B., Woldeyohannes, D., Atlaw, D., Degno, S., Desta, F., Bekele, K., Aseffa, T., Gezahegn, H., &amp; Kene, C. (2022). High parity is associated with increased risk of cervical cancer: Systematic review and meta-analysis of case–control studies. Women’s Health, 18, 1–11. https://doi.org/10.1177/17455065221075904</w:t>
      </w:r>
    </w:p>
    <w:p w14:paraId="599F5A6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Terrinoni, M., Auge, T. G. D., Mascellino, G., Adinolfi, F., Palisciano, M., Rossetti, D., Di Renzo, G. C., &amp; Giannini, A. (2025). Human Papillomavirus Across the Reproductive Lifespan: An Integrative Review of Fertility, Pregnancy Outcomes, and Fertility-Sparing Management. *Medicina*, *61*(8), 1499. https://doi.org/10.3390/medicina61081499</w:t>
      </w:r>
    </w:p>
    <w:p w14:paraId="6A4B2C95"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Uke, A., Dahake, S. B., Luharia, A., Luharia, M., Mishra, G. V., &amp; Mahakalkar, C. (2024). Investigating and Analyzing Prognostic Factors and Their Impact on Recurrent Cervical Cancers. Cureus, 16(7), e65361. https://doi.org/10.7759/cureus.65361</w:t>
      </w:r>
    </w:p>
    <w:p w14:paraId="503A9B52"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World Health Organization. (2024). Cervical Cancer. https://www.who.int/news-room/fact-sheets/detail/cervical-cancer</w:t>
      </w:r>
    </w:p>
    <w:p w14:paraId="0DF555EA" w14:textId="21BFA571" w:rsidR="00A1021E" w:rsidRPr="000C64A0" w:rsidRDefault="00A1021E" w:rsidP="000C64A0">
      <w:pPr>
        <w:widowControl w:val="0"/>
        <w:autoSpaceDE w:val="0"/>
        <w:autoSpaceDN w:val="0"/>
        <w:adjustRightInd w:val="0"/>
        <w:ind w:left="360"/>
        <w:jc w:val="both"/>
        <w:rPr>
          <w:rFonts w:ascii="Arial" w:hAnsi="Arial" w:cs="Arial"/>
          <w:noProof/>
        </w:rPr>
      </w:pPr>
      <w:r w:rsidRPr="000C64A0">
        <w:rPr>
          <w:rFonts w:ascii="Arial" w:hAnsi="Arial" w:cs="Arial"/>
          <w:noProof/>
        </w:rPr>
        <w:t xml:space="preserve">World Health Organization (WHO). (2025). </w:t>
      </w:r>
      <w:r w:rsidRPr="000C64A0">
        <w:rPr>
          <w:rFonts w:ascii="Arial" w:hAnsi="Arial" w:cs="Arial"/>
          <w:i/>
          <w:iCs/>
          <w:noProof/>
        </w:rPr>
        <w:t>Elimination Planning Tool: Advancing Towards Cervical Cancer Elimination</w:t>
      </w:r>
      <w:r w:rsidRPr="000C64A0">
        <w:rPr>
          <w:rFonts w:ascii="Arial" w:hAnsi="Arial" w:cs="Arial"/>
          <w:noProof/>
        </w:rPr>
        <w:t>.</w:t>
      </w:r>
    </w:p>
    <w:p w14:paraId="4DC6D8BE" w14:textId="77777777" w:rsidR="00B403BF" w:rsidRPr="000C64A0" w:rsidRDefault="00B403BF" w:rsidP="000C64A0">
      <w:pPr>
        <w:widowControl w:val="0"/>
        <w:autoSpaceDE w:val="0"/>
        <w:autoSpaceDN w:val="0"/>
        <w:adjustRightInd w:val="0"/>
        <w:ind w:left="360"/>
        <w:jc w:val="both"/>
        <w:rPr>
          <w:rFonts w:ascii="Arial" w:hAnsi="Arial" w:cs="Arial"/>
          <w:noProof/>
        </w:rPr>
      </w:pPr>
      <w:r w:rsidRPr="000C64A0">
        <w:rPr>
          <w:rFonts w:ascii="Arial" w:hAnsi="Arial" w:cs="Arial"/>
          <w:noProof/>
        </w:rPr>
        <w:t>Wulan, R. N., Abidin, Z., U, E. R., R, E. A., Retnowari, J., P, E. S., &amp; H, D. A. (2020). Relationship between Multiparity and the Types of Histopatology of Cervical Cancer. Indian Journal of Public Health Research &amp; Development, 11(3), 1229–1233. https://doi.org/10.37506/ijphrd.v11i3.1583</w:t>
      </w:r>
    </w:p>
    <w:p w14:paraId="150BDF8A" w14:textId="3A89A68A" w:rsidR="00A1021E" w:rsidRPr="000C64A0" w:rsidRDefault="00A1021E" w:rsidP="000C64A0">
      <w:pPr>
        <w:widowControl w:val="0"/>
        <w:autoSpaceDE w:val="0"/>
        <w:autoSpaceDN w:val="0"/>
        <w:adjustRightInd w:val="0"/>
        <w:ind w:left="360"/>
        <w:jc w:val="both"/>
        <w:rPr>
          <w:rFonts w:ascii="Arial" w:hAnsi="Arial" w:cs="Arial"/>
          <w:noProof/>
        </w:rPr>
      </w:pPr>
      <w:r w:rsidRPr="000C64A0">
        <w:rPr>
          <w:rFonts w:ascii="Arial" w:hAnsi="Arial" w:cs="Arial"/>
          <w:noProof/>
        </w:rPr>
        <w:t xml:space="preserve">Yo, E. C., &amp; Nuryanto, K. H. (2024). Molecular and Host Lifestyle Factors Associated with Persistent Human Papillomavirus Infection and Progression into Cervical Cancer: A Literature Review. </w:t>
      </w:r>
      <w:r w:rsidRPr="000C64A0">
        <w:rPr>
          <w:rFonts w:ascii="Arial" w:hAnsi="Arial" w:cs="Arial"/>
          <w:i/>
          <w:iCs/>
          <w:noProof/>
        </w:rPr>
        <w:t>Indonesian Journal of Cancer</w:t>
      </w:r>
      <w:r w:rsidRPr="000C64A0">
        <w:rPr>
          <w:rFonts w:ascii="Arial" w:hAnsi="Arial" w:cs="Arial"/>
          <w:noProof/>
        </w:rPr>
        <w:t xml:space="preserve">, </w:t>
      </w:r>
      <w:r w:rsidRPr="000C64A0">
        <w:rPr>
          <w:rFonts w:ascii="Arial" w:hAnsi="Arial" w:cs="Arial"/>
          <w:i/>
          <w:iCs/>
          <w:noProof/>
        </w:rPr>
        <w:t>18</w:t>
      </w:r>
      <w:r w:rsidRPr="000C64A0">
        <w:rPr>
          <w:rFonts w:ascii="Arial" w:hAnsi="Arial" w:cs="Arial"/>
          <w:noProof/>
        </w:rPr>
        <w:t>(2), 227–233.</w:t>
      </w:r>
    </w:p>
    <w:p w14:paraId="038B60CB" w14:textId="77777777" w:rsidR="004D4277" w:rsidRPr="002A71A2" w:rsidRDefault="00A1021E" w:rsidP="000C64A0">
      <w:pPr>
        <w:pStyle w:val="ReferHead"/>
        <w:spacing w:after="0"/>
        <w:jc w:val="both"/>
        <w:rPr>
          <w:rFonts w:ascii="Arial" w:hAnsi="Arial" w:cs="Arial"/>
        </w:rPr>
        <w:sectPr w:rsidR="004D4277" w:rsidRPr="002A71A2" w:rsidSect="006843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A1021E">
        <w:rPr>
          <w:rFonts w:ascii="Arial" w:hAnsi="Arial" w:cs="Arial"/>
          <w:sz w:val="20"/>
        </w:rPr>
        <w:fldChar w:fldCharType="end"/>
      </w:r>
    </w:p>
    <w:p w14:paraId="150CECF1" w14:textId="77777777" w:rsidR="00B01FCD" w:rsidRPr="00FB3A86" w:rsidRDefault="00B01FCD" w:rsidP="002A71A2">
      <w:pPr>
        <w:pStyle w:val="Appendix"/>
        <w:spacing w:after="0"/>
        <w:jc w:val="both"/>
        <w:rPr>
          <w:rFonts w:ascii="Arial" w:hAnsi="Arial" w:cs="Arial"/>
          <w:b w:val="0"/>
        </w:rPr>
      </w:pPr>
    </w:p>
    <w:sectPr w:rsidR="00B01FCD" w:rsidRPr="00FB3A86" w:rsidSect="006843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E3B1A" w14:textId="77777777" w:rsidR="00BE719C" w:rsidRDefault="00BE719C" w:rsidP="00C37E61">
      <w:r>
        <w:separator/>
      </w:r>
    </w:p>
  </w:endnote>
  <w:endnote w:type="continuationSeparator" w:id="0">
    <w:p w14:paraId="41DC31AB" w14:textId="77777777" w:rsidR="00BE719C" w:rsidRDefault="00BE71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2E63" w14:textId="77777777" w:rsidR="006843B5" w:rsidRDefault="0068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82C8" w14:textId="77777777" w:rsidR="006843B5" w:rsidRDefault="0068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8D9A" w14:textId="77777777" w:rsidR="009E048A" w:rsidRDefault="009E048A">
    <w:pPr>
      <w:pStyle w:val="Footer"/>
      <w:rPr>
        <w:rFonts w:ascii="Arial" w:hAnsi="Arial" w:cs="Arial"/>
        <w:sz w:val="16"/>
      </w:rPr>
    </w:pPr>
  </w:p>
  <w:p w14:paraId="0F2CFE5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258487" w14:textId="77777777" w:rsidR="009E048A" w:rsidRDefault="009E048A">
    <w:pPr>
      <w:pStyle w:val="Footer"/>
      <w:rPr>
        <w:rFonts w:ascii="Arial" w:hAnsi="Arial" w:cs="Arial"/>
        <w:sz w:val="16"/>
      </w:rPr>
    </w:pPr>
  </w:p>
  <w:p w14:paraId="565A08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8C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3A1EE" w14:textId="77777777" w:rsidR="00BE719C" w:rsidRDefault="00BE719C" w:rsidP="00C37E61">
      <w:r>
        <w:separator/>
      </w:r>
    </w:p>
  </w:footnote>
  <w:footnote w:type="continuationSeparator" w:id="0">
    <w:p w14:paraId="7315AB14" w14:textId="77777777" w:rsidR="00BE719C" w:rsidRDefault="00BE71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F610" w14:textId="53B3DADC" w:rsidR="006843B5" w:rsidRDefault="006843B5">
    <w:pPr>
      <w:pStyle w:val="Header"/>
    </w:pPr>
    <w:r>
      <w:rPr>
        <w:noProof/>
      </w:rPr>
      <w:pict w14:anchorId="11F3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C282" w14:textId="522D4478" w:rsidR="006843B5" w:rsidRDefault="006843B5">
    <w:pPr>
      <w:pStyle w:val="Header"/>
    </w:pPr>
    <w:r>
      <w:rPr>
        <w:noProof/>
      </w:rPr>
      <w:pict w14:anchorId="3AA7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0C6E" w14:textId="1CFBF73E" w:rsidR="00296529" w:rsidRPr="00296529" w:rsidRDefault="006843B5" w:rsidP="00296529">
    <w:pPr>
      <w:ind w:left="2160"/>
      <w:jc w:val="center"/>
      <w:rPr>
        <w:rFonts w:ascii="Times New Roman" w:eastAsia="Calibri" w:hAnsi="Times New Roman"/>
        <w:i/>
        <w:sz w:val="18"/>
        <w:szCs w:val="22"/>
      </w:rPr>
    </w:pPr>
    <w:r>
      <w:rPr>
        <w:noProof/>
      </w:rPr>
      <w:pict w14:anchorId="51F0C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9897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A85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43E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E854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FB72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C1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044D" w14:textId="6FDFF2B0" w:rsidR="006843B5" w:rsidRDefault="006843B5">
    <w:pPr>
      <w:pStyle w:val="Header"/>
    </w:pPr>
    <w:r>
      <w:rPr>
        <w:noProof/>
      </w:rPr>
      <w:pict w14:anchorId="7739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34C3" w14:textId="47C85E54" w:rsidR="006843B5" w:rsidRDefault="006843B5">
    <w:pPr>
      <w:pStyle w:val="Header"/>
    </w:pPr>
    <w:r>
      <w:rPr>
        <w:noProof/>
      </w:rPr>
      <w:pict w14:anchorId="393F2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CC32" w14:textId="51B7F79C" w:rsidR="006843B5" w:rsidRDefault="006843B5">
    <w:pPr>
      <w:pStyle w:val="Header"/>
    </w:pPr>
    <w:r>
      <w:rPr>
        <w:noProof/>
      </w:rPr>
      <w:pict w14:anchorId="0426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3F049F"/>
    <w:multiLevelType w:val="hybridMultilevel"/>
    <w:tmpl w:val="AC78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64A0"/>
    <w:rsid w:val="000D689F"/>
    <w:rsid w:val="000E7B7B"/>
    <w:rsid w:val="000E7D62"/>
    <w:rsid w:val="00103357"/>
    <w:rsid w:val="00123C9F"/>
    <w:rsid w:val="00126190"/>
    <w:rsid w:val="00130F17"/>
    <w:rsid w:val="001320BF"/>
    <w:rsid w:val="00163BC4"/>
    <w:rsid w:val="00191062"/>
    <w:rsid w:val="00192B72"/>
    <w:rsid w:val="0019352E"/>
    <w:rsid w:val="001A29D8"/>
    <w:rsid w:val="001A5CAA"/>
    <w:rsid w:val="001B0427"/>
    <w:rsid w:val="001D3A51"/>
    <w:rsid w:val="001E10D2"/>
    <w:rsid w:val="001E25B4"/>
    <w:rsid w:val="001E4358"/>
    <w:rsid w:val="001E44FE"/>
    <w:rsid w:val="001E5A72"/>
    <w:rsid w:val="00200595"/>
    <w:rsid w:val="0020123F"/>
    <w:rsid w:val="00204835"/>
    <w:rsid w:val="002209DE"/>
    <w:rsid w:val="00231920"/>
    <w:rsid w:val="0023195C"/>
    <w:rsid w:val="0024282C"/>
    <w:rsid w:val="002439E6"/>
    <w:rsid w:val="002460DC"/>
    <w:rsid w:val="00250985"/>
    <w:rsid w:val="002556F6"/>
    <w:rsid w:val="00263ED4"/>
    <w:rsid w:val="00283105"/>
    <w:rsid w:val="00284C4C"/>
    <w:rsid w:val="00287E68"/>
    <w:rsid w:val="00296529"/>
    <w:rsid w:val="002A71A2"/>
    <w:rsid w:val="002B27FB"/>
    <w:rsid w:val="002B685A"/>
    <w:rsid w:val="002C57D2"/>
    <w:rsid w:val="002E0D56"/>
    <w:rsid w:val="00311B43"/>
    <w:rsid w:val="00315186"/>
    <w:rsid w:val="0033343E"/>
    <w:rsid w:val="003512C2"/>
    <w:rsid w:val="0036381D"/>
    <w:rsid w:val="00371FB6"/>
    <w:rsid w:val="003763C1"/>
    <w:rsid w:val="00376BBE"/>
    <w:rsid w:val="0039224F"/>
    <w:rsid w:val="003926B1"/>
    <w:rsid w:val="0039375B"/>
    <w:rsid w:val="003A43A4"/>
    <w:rsid w:val="003A7E18"/>
    <w:rsid w:val="003B271F"/>
    <w:rsid w:val="003C4C86"/>
    <w:rsid w:val="003C6258"/>
    <w:rsid w:val="003E2904"/>
    <w:rsid w:val="00401927"/>
    <w:rsid w:val="0041027F"/>
    <w:rsid w:val="00412475"/>
    <w:rsid w:val="00423789"/>
    <w:rsid w:val="00440F43"/>
    <w:rsid w:val="00441B6F"/>
    <w:rsid w:val="00446221"/>
    <w:rsid w:val="00450E62"/>
    <w:rsid w:val="004539DB"/>
    <w:rsid w:val="00471A80"/>
    <w:rsid w:val="004840C9"/>
    <w:rsid w:val="00490CCE"/>
    <w:rsid w:val="004C0F83"/>
    <w:rsid w:val="004D305E"/>
    <w:rsid w:val="004D4277"/>
    <w:rsid w:val="00502516"/>
    <w:rsid w:val="00505F06"/>
    <w:rsid w:val="00506828"/>
    <w:rsid w:val="0053056E"/>
    <w:rsid w:val="00554FDA"/>
    <w:rsid w:val="0057510C"/>
    <w:rsid w:val="005C784C"/>
    <w:rsid w:val="005D17F6"/>
    <w:rsid w:val="005E5539"/>
    <w:rsid w:val="00602BF5"/>
    <w:rsid w:val="00617FDD"/>
    <w:rsid w:val="00633614"/>
    <w:rsid w:val="00633F68"/>
    <w:rsid w:val="00636EB2"/>
    <w:rsid w:val="006375B8"/>
    <w:rsid w:val="0066510A"/>
    <w:rsid w:val="00673F9F"/>
    <w:rsid w:val="006843B5"/>
    <w:rsid w:val="00686953"/>
    <w:rsid w:val="00687DEA"/>
    <w:rsid w:val="00687E67"/>
    <w:rsid w:val="006967F7"/>
    <w:rsid w:val="006A250C"/>
    <w:rsid w:val="006B21D3"/>
    <w:rsid w:val="006B57D0"/>
    <w:rsid w:val="006D30FF"/>
    <w:rsid w:val="006D6940"/>
    <w:rsid w:val="006F11EC"/>
    <w:rsid w:val="0070082C"/>
    <w:rsid w:val="00717457"/>
    <w:rsid w:val="007369E6"/>
    <w:rsid w:val="00740BA7"/>
    <w:rsid w:val="00746E59"/>
    <w:rsid w:val="00754C9A"/>
    <w:rsid w:val="0075599A"/>
    <w:rsid w:val="00761D52"/>
    <w:rsid w:val="0077749E"/>
    <w:rsid w:val="00785A42"/>
    <w:rsid w:val="00790ADA"/>
    <w:rsid w:val="007D2288"/>
    <w:rsid w:val="007E088F"/>
    <w:rsid w:val="007E4C0D"/>
    <w:rsid w:val="007F7B32"/>
    <w:rsid w:val="00804BC2"/>
    <w:rsid w:val="0081431A"/>
    <w:rsid w:val="0083216F"/>
    <w:rsid w:val="00851499"/>
    <w:rsid w:val="00860000"/>
    <w:rsid w:val="00863BD3"/>
    <w:rsid w:val="008641ED"/>
    <w:rsid w:val="00866D66"/>
    <w:rsid w:val="008671C6"/>
    <w:rsid w:val="00875803"/>
    <w:rsid w:val="008B459E"/>
    <w:rsid w:val="008C4E1D"/>
    <w:rsid w:val="008E13AE"/>
    <w:rsid w:val="008E1506"/>
    <w:rsid w:val="008E710C"/>
    <w:rsid w:val="008F69D6"/>
    <w:rsid w:val="00902823"/>
    <w:rsid w:val="00915CA6"/>
    <w:rsid w:val="00927834"/>
    <w:rsid w:val="00930C62"/>
    <w:rsid w:val="009500A6"/>
    <w:rsid w:val="00957C18"/>
    <w:rsid w:val="009659BA"/>
    <w:rsid w:val="00973C9D"/>
    <w:rsid w:val="00983040"/>
    <w:rsid w:val="009835AE"/>
    <w:rsid w:val="009B3FB9"/>
    <w:rsid w:val="009C2465"/>
    <w:rsid w:val="009D35A0"/>
    <w:rsid w:val="009D7EB7"/>
    <w:rsid w:val="009E048A"/>
    <w:rsid w:val="009E08E9"/>
    <w:rsid w:val="009E3DB9"/>
    <w:rsid w:val="009E6E35"/>
    <w:rsid w:val="009F0A20"/>
    <w:rsid w:val="009F0EDA"/>
    <w:rsid w:val="00A03B96"/>
    <w:rsid w:val="00A05B19"/>
    <w:rsid w:val="00A1021E"/>
    <w:rsid w:val="00A1134E"/>
    <w:rsid w:val="00A1277C"/>
    <w:rsid w:val="00A177CB"/>
    <w:rsid w:val="00A24E7E"/>
    <w:rsid w:val="00A258C3"/>
    <w:rsid w:val="00A347C0"/>
    <w:rsid w:val="00A51431"/>
    <w:rsid w:val="00A539AD"/>
    <w:rsid w:val="00A600E6"/>
    <w:rsid w:val="00A94063"/>
    <w:rsid w:val="00AA6219"/>
    <w:rsid w:val="00AA74E0"/>
    <w:rsid w:val="00AB703F"/>
    <w:rsid w:val="00AC6BB8"/>
    <w:rsid w:val="00AD1982"/>
    <w:rsid w:val="00AE008F"/>
    <w:rsid w:val="00B01FCD"/>
    <w:rsid w:val="00B14C02"/>
    <w:rsid w:val="00B1776C"/>
    <w:rsid w:val="00B403BF"/>
    <w:rsid w:val="00B52583"/>
    <w:rsid w:val="00B52896"/>
    <w:rsid w:val="00B95236"/>
    <w:rsid w:val="00B96BD9"/>
    <w:rsid w:val="00BA1B01"/>
    <w:rsid w:val="00BA2641"/>
    <w:rsid w:val="00BA679A"/>
    <w:rsid w:val="00BB37AA"/>
    <w:rsid w:val="00BB4DC8"/>
    <w:rsid w:val="00BC53A0"/>
    <w:rsid w:val="00BE62AD"/>
    <w:rsid w:val="00BE719C"/>
    <w:rsid w:val="00BF121F"/>
    <w:rsid w:val="00BF1F80"/>
    <w:rsid w:val="00C166EF"/>
    <w:rsid w:val="00C17EB0"/>
    <w:rsid w:val="00C21D96"/>
    <w:rsid w:val="00C27F5F"/>
    <w:rsid w:val="00C30A0F"/>
    <w:rsid w:val="00C37E61"/>
    <w:rsid w:val="00C41773"/>
    <w:rsid w:val="00C70F1B"/>
    <w:rsid w:val="00C71A47"/>
    <w:rsid w:val="00C7464C"/>
    <w:rsid w:val="00C85588"/>
    <w:rsid w:val="00C858BE"/>
    <w:rsid w:val="00CA667E"/>
    <w:rsid w:val="00CD6755"/>
    <w:rsid w:val="00CD6856"/>
    <w:rsid w:val="00CE0089"/>
    <w:rsid w:val="00CE793C"/>
    <w:rsid w:val="00CF193C"/>
    <w:rsid w:val="00D053F3"/>
    <w:rsid w:val="00D06430"/>
    <w:rsid w:val="00D173F1"/>
    <w:rsid w:val="00D53C2C"/>
    <w:rsid w:val="00D74CB0"/>
    <w:rsid w:val="00D755B3"/>
    <w:rsid w:val="00D8295D"/>
    <w:rsid w:val="00DC2A65"/>
    <w:rsid w:val="00DD59DB"/>
    <w:rsid w:val="00DE15F0"/>
    <w:rsid w:val="00DE5663"/>
    <w:rsid w:val="00DE78AA"/>
    <w:rsid w:val="00E053D0"/>
    <w:rsid w:val="00E15994"/>
    <w:rsid w:val="00E3114E"/>
    <w:rsid w:val="00E31A70"/>
    <w:rsid w:val="00E35B02"/>
    <w:rsid w:val="00E442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A3A"/>
    <w:rsid w:val="00F469F0"/>
    <w:rsid w:val="00F53273"/>
    <w:rsid w:val="00F755E4"/>
    <w:rsid w:val="00F77D02"/>
    <w:rsid w:val="00FB3A86"/>
    <w:rsid w:val="00FD36C8"/>
    <w:rsid w:val="00FE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1606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E445B"/>
    <w:rPr>
      <w:b/>
      <w:bCs/>
    </w:rPr>
  </w:style>
  <w:style w:type="paragraph" w:styleId="NormalWeb">
    <w:name w:val="Normal (Web)"/>
    <w:basedOn w:val="Normal"/>
    <w:uiPriority w:val="99"/>
    <w:unhideWhenUsed/>
    <w:rsid w:val="00930C62"/>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rsid w:val="00A1021E"/>
    <w:rPr>
      <w:rFonts w:ascii="Helvetica" w:hAnsi="Helvetica"/>
      <w:b/>
      <w:kern w:val="28"/>
      <w:sz w:val="36"/>
    </w:rPr>
  </w:style>
  <w:style w:type="character" w:styleId="UnresolvedMention">
    <w:name w:val="Unresolved Mention"/>
    <w:basedOn w:val="DefaultParagraphFont"/>
    <w:uiPriority w:val="99"/>
    <w:semiHidden/>
    <w:unhideWhenUsed/>
    <w:rsid w:val="001E5A72"/>
    <w:rPr>
      <w:color w:val="605E5C"/>
      <w:shd w:val="clear" w:color="auto" w:fill="E1DFDD"/>
    </w:rPr>
  </w:style>
  <w:style w:type="paragraph" w:styleId="ListParagraph">
    <w:name w:val="List Paragraph"/>
    <w:basedOn w:val="Normal"/>
    <w:uiPriority w:val="34"/>
    <w:qFormat/>
    <w:rsid w:val="00B4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0760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4515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26B7-39D9-4D17-AAFC-B4F02BBF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388</TotalTime>
  <Pages>7</Pages>
  <Words>7536</Words>
  <Characters>42959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2025-12-23T10:01:00Z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f43b4fb9-e662-3f03-b625-19438e9daec4</vt:lpwstr>
  </property>
</Properties>
</file>