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A67A49" w14:textId="7F146C9F" w:rsidR="00260D72" w:rsidRPr="00260D72" w:rsidRDefault="00260D72" w:rsidP="0056087C">
      <w:pPr>
        <w:spacing w:line="360" w:lineRule="auto"/>
        <w:rPr>
          <w:rFonts w:ascii="Times New Roman" w:hAnsi="Times New Roman" w:cs="Times New Roman"/>
          <w:b/>
          <w:sz w:val="24"/>
          <w:szCs w:val="24"/>
          <w:u w:val="single"/>
        </w:rPr>
      </w:pPr>
      <w:bookmarkStart w:id="0" w:name="_Hlk131282538"/>
      <w:r w:rsidRPr="00260D72">
        <w:rPr>
          <w:rFonts w:ascii="Times New Roman" w:hAnsi="Times New Roman" w:cs="Times New Roman"/>
          <w:b/>
          <w:sz w:val="24"/>
          <w:szCs w:val="24"/>
          <w:u w:val="single"/>
        </w:rPr>
        <w:t>Review Article</w:t>
      </w:r>
    </w:p>
    <w:p w14:paraId="1A4C7426" w14:textId="3398F973"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Resilient Techniques for Heat Stress Tolerance in Seed Production of Field Crops</w:t>
      </w:r>
    </w:p>
    <w:p w14:paraId="4675A740" w14:textId="77777777" w:rsidR="0036793E" w:rsidRDefault="0036793E" w:rsidP="0056087C">
      <w:pPr>
        <w:spacing w:line="360" w:lineRule="auto"/>
        <w:jc w:val="both"/>
        <w:rPr>
          <w:rFonts w:ascii="Times New Roman" w:eastAsia="Calibri" w:hAnsi="Times New Roman" w:cs="Times New Roman"/>
          <w:b/>
          <w:sz w:val="24"/>
          <w:szCs w:val="24"/>
          <w:lang w:val="en-IN"/>
        </w:rPr>
      </w:pPr>
    </w:p>
    <w:p w14:paraId="72E82A5F" w14:textId="1E83EF07" w:rsidR="00E120BE" w:rsidRPr="0056087C" w:rsidRDefault="00E120BE" w:rsidP="0056087C">
      <w:pPr>
        <w:spacing w:line="360" w:lineRule="auto"/>
        <w:jc w:val="both"/>
        <w:rPr>
          <w:rFonts w:ascii="Times New Roman" w:eastAsia="Calibri" w:hAnsi="Times New Roman" w:cs="Times New Roman"/>
          <w:b/>
          <w:sz w:val="24"/>
          <w:szCs w:val="24"/>
          <w:lang w:val="en-IN"/>
        </w:rPr>
      </w:pPr>
      <w:r w:rsidRPr="0056087C">
        <w:rPr>
          <w:rFonts w:ascii="Times New Roman" w:eastAsia="Calibri" w:hAnsi="Times New Roman" w:cs="Times New Roman"/>
          <w:b/>
          <w:sz w:val="24"/>
          <w:szCs w:val="24"/>
          <w:lang w:val="en-IN"/>
        </w:rPr>
        <w:t xml:space="preserve">Abstract </w:t>
      </w:r>
    </w:p>
    <w:p w14:paraId="4FAE720D" w14:textId="765518FF" w:rsidR="00E120BE" w:rsidRPr="0056087C" w:rsidRDefault="00E120BE" w:rsidP="0056087C">
      <w:pPr>
        <w:spacing w:line="360" w:lineRule="auto"/>
        <w:ind w:firstLine="720"/>
        <w:jc w:val="both"/>
        <w:rPr>
          <w:rFonts w:ascii="Times New Roman" w:eastAsia="Calibri" w:hAnsi="Times New Roman" w:cs="Times New Roman"/>
          <w:sz w:val="24"/>
          <w:szCs w:val="24"/>
        </w:rPr>
      </w:pPr>
      <w:r w:rsidRPr="0056087C">
        <w:rPr>
          <w:rFonts w:ascii="Times New Roman" w:eastAsia="Calibri" w:hAnsi="Times New Roman" w:cs="Times New Roman"/>
          <w:sz w:val="24"/>
          <w:szCs w:val="24"/>
          <w:lang w:val="en-IN"/>
        </w:rPr>
        <w:t xml:space="preserve">Heat stress is one of the most important stresses that need to be addressed for better crop performance and to boost crop yield. A rise in temperature due to global warming affected plant growth and development and also reduces the quality and yield. Most of the field crops are sensitive to heat stress at the reproductive stage, which results in shortening the duration of seed filling and maturity, reducing the pollen fertility and stigma receptivity; thereby reducing the seed setting and seed yield. </w:t>
      </w:r>
      <w:r w:rsidRPr="0056087C">
        <w:rPr>
          <w:rFonts w:ascii="Times New Roman" w:eastAsia="Calibri" w:hAnsi="Times New Roman" w:cs="Times New Roman"/>
          <w:sz w:val="24"/>
          <w:szCs w:val="24"/>
        </w:rPr>
        <w:t xml:space="preserve">So, there is a need to mitigate the impact of heat stress in seed production for gaining better quality seeds. Even though plants have some morphological, physiological and biochemical adaptations to tolerate heat stress, additional practices are required for improving the quality and yield of seed crops (Hassan </w:t>
      </w:r>
      <w:r w:rsidRPr="0056087C">
        <w:rPr>
          <w:rFonts w:ascii="Times New Roman" w:eastAsia="Calibri" w:hAnsi="Times New Roman" w:cs="Times New Roman"/>
          <w:i/>
          <w:iCs/>
          <w:sz w:val="24"/>
          <w:szCs w:val="24"/>
        </w:rPr>
        <w:t>et al</w:t>
      </w:r>
      <w:r w:rsidRPr="0056087C">
        <w:rPr>
          <w:rFonts w:ascii="Times New Roman" w:eastAsia="Calibri" w:hAnsi="Times New Roman" w:cs="Times New Roman"/>
          <w:sz w:val="24"/>
          <w:szCs w:val="24"/>
        </w:rPr>
        <w:t>., 2021). Breeding and biotechnological approaches can be used to identify the genes that are tolerant to high temperatures and to develop new varieties with heat stress tolerance. To mitigate the adverse effect of climate change and also to further boost the quality of hybrid seed availability in the country, alternative areas for hybrid seed production among major crops have been identified under AICRP-National Seed Project (crops), and this will help to maintain the adequate production and supply of quality seeds. Changing planting dates, nutrient management and irrigation management also can be practiced for improving crop growth under heat stress conditions. Seed priming with various</w:t>
      </w:r>
      <w:r w:rsidR="0056087C">
        <w:rPr>
          <w:rFonts w:ascii="Times New Roman" w:eastAsia="Calibri" w:hAnsi="Times New Roman" w:cs="Times New Roman"/>
          <w:sz w:val="24"/>
          <w:szCs w:val="24"/>
        </w:rPr>
        <w:t xml:space="preserve"> chemical </w:t>
      </w:r>
      <w:r w:rsidRPr="0056087C">
        <w:rPr>
          <w:rFonts w:ascii="Times New Roman" w:eastAsia="Calibri" w:hAnsi="Times New Roman" w:cs="Times New Roman"/>
          <w:sz w:val="24"/>
          <w:szCs w:val="24"/>
        </w:rPr>
        <w:t xml:space="preserve">agents improves crop performances under abiotic stresses including high-temperature stress, low-temperature stress, drought stress, etc. Singh </w:t>
      </w:r>
      <w:r w:rsidRPr="0056087C">
        <w:rPr>
          <w:rFonts w:ascii="Times New Roman" w:eastAsia="Calibri" w:hAnsi="Times New Roman" w:cs="Times New Roman"/>
          <w:i/>
          <w:iCs/>
          <w:sz w:val="24"/>
          <w:szCs w:val="24"/>
        </w:rPr>
        <w:t>et al</w:t>
      </w:r>
      <w:r w:rsidRPr="0056087C">
        <w:rPr>
          <w:rFonts w:ascii="Times New Roman" w:eastAsia="Calibri" w:hAnsi="Times New Roman" w:cs="Times New Roman"/>
          <w:sz w:val="24"/>
          <w:szCs w:val="24"/>
        </w:rPr>
        <w:t xml:space="preserve">., 2018; Ganesh </w:t>
      </w:r>
      <w:r w:rsidRPr="0056087C">
        <w:rPr>
          <w:rFonts w:ascii="Times New Roman" w:eastAsia="Calibri" w:hAnsi="Times New Roman" w:cs="Times New Roman"/>
          <w:i/>
          <w:iCs/>
          <w:sz w:val="24"/>
          <w:szCs w:val="24"/>
        </w:rPr>
        <w:t>et al</w:t>
      </w:r>
      <w:r w:rsidRPr="0056087C">
        <w:rPr>
          <w:rFonts w:ascii="Times New Roman" w:eastAsia="Calibri" w:hAnsi="Times New Roman" w:cs="Times New Roman"/>
          <w:sz w:val="24"/>
          <w:szCs w:val="24"/>
        </w:rPr>
        <w:t xml:space="preserve">., 2017). Seed inoculation with bacteria like plant growth-promoting rhizobacteria </w:t>
      </w:r>
      <w:r w:rsidRPr="0056087C">
        <w:rPr>
          <w:rFonts w:ascii="Times New Roman" w:eastAsia="Calibri" w:hAnsi="Times New Roman" w:cs="Times New Roman"/>
          <w:i/>
          <w:sz w:val="24"/>
          <w:szCs w:val="24"/>
        </w:rPr>
        <w:t>Bacillus</w:t>
      </w:r>
      <w:r w:rsidRPr="0056087C">
        <w:rPr>
          <w:rFonts w:ascii="Times New Roman" w:eastAsia="Calibri" w:hAnsi="Times New Roman" w:cs="Times New Roman"/>
          <w:sz w:val="24"/>
          <w:szCs w:val="24"/>
        </w:rPr>
        <w:t xml:space="preserve"> spp. and </w:t>
      </w:r>
      <w:proofErr w:type="spellStart"/>
      <w:r w:rsidRPr="0056087C">
        <w:rPr>
          <w:rFonts w:ascii="Times New Roman" w:eastAsia="Calibri" w:hAnsi="Times New Roman" w:cs="Times New Roman"/>
          <w:i/>
          <w:sz w:val="24"/>
          <w:szCs w:val="24"/>
        </w:rPr>
        <w:t>Azospirillum</w:t>
      </w:r>
      <w:proofErr w:type="spellEnd"/>
      <w:r w:rsidRPr="0056087C">
        <w:rPr>
          <w:rFonts w:ascii="Times New Roman" w:eastAsia="Calibri" w:hAnsi="Times New Roman" w:cs="Times New Roman"/>
          <w:sz w:val="24"/>
          <w:szCs w:val="24"/>
        </w:rPr>
        <w:t xml:space="preserve"> spp. Abd El-Daim, </w:t>
      </w:r>
      <w:r w:rsidRPr="0056087C">
        <w:rPr>
          <w:rFonts w:ascii="Times New Roman" w:eastAsia="Calibri" w:hAnsi="Times New Roman" w:cs="Times New Roman"/>
          <w:i/>
          <w:iCs/>
          <w:sz w:val="24"/>
          <w:szCs w:val="24"/>
        </w:rPr>
        <w:t>et al</w:t>
      </w:r>
      <w:r w:rsidRPr="0056087C">
        <w:rPr>
          <w:rFonts w:ascii="Times New Roman" w:eastAsia="Calibri" w:hAnsi="Times New Roman" w:cs="Times New Roman"/>
          <w:sz w:val="24"/>
          <w:szCs w:val="24"/>
        </w:rPr>
        <w:t xml:space="preserve">., 2014 improve the tolerance against heat stress by reducing the production of reactive oxygen species. Osmo-protectants have been recently identified as important molecules that have beneficial effects on plants subjected to heat stress, as </w:t>
      </w:r>
      <w:proofErr w:type="spellStart"/>
      <w:r w:rsidRPr="0056087C">
        <w:rPr>
          <w:rFonts w:ascii="Times New Roman" w:eastAsia="Calibri" w:hAnsi="Times New Roman" w:cs="Times New Roman"/>
          <w:sz w:val="24"/>
          <w:szCs w:val="24"/>
        </w:rPr>
        <w:t>osmoprotectant</w:t>
      </w:r>
      <w:proofErr w:type="spellEnd"/>
      <w:r w:rsidRPr="0056087C">
        <w:rPr>
          <w:rFonts w:ascii="Times New Roman" w:eastAsia="Calibri" w:hAnsi="Times New Roman" w:cs="Times New Roman"/>
          <w:sz w:val="24"/>
          <w:szCs w:val="24"/>
        </w:rPr>
        <w:t xml:space="preserve"> spray substantially improves plant growth and the activity of anti-oxidants under heat stress conditions. All these will surely help to mitigate the negative effects of heat stress, and thus, contribute to improved plant productivity and food security under the current scenarios of climate change and global warming. </w:t>
      </w:r>
    </w:p>
    <w:p w14:paraId="7608108D" w14:textId="1C806078" w:rsidR="0056087C" w:rsidRPr="0056087C" w:rsidRDefault="0056087C" w:rsidP="0056087C">
      <w:pPr>
        <w:spacing w:line="360" w:lineRule="auto"/>
        <w:jc w:val="both"/>
        <w:rPr>
          <w:rFonts w:ascii="Times New Roman" w:hAnsi="Times New Roman" w:cs="Times New Roman"/>
          <w:sz w:val="24"/>
          <w:szCs w:val="24"/>
        </w:rPr>
      </w:pPr>
      <w:r w:rsidRPr="0056087C">
        <w:rPr>
          <w:rFonts w:ascii="Times New Roman" w:hAnsi="Times New Roman" w:cs="Times New Roman"/>
          <w:b/>
          <w:sz w:val="24"/>
          <w:szCs w:val="24"/>
        </w:rPr>
        <w:t xml:space="preserve"> Keywords</w:t>
      </w:r>
      <w:r w:rsidRPr="0056087C">
        <w:rPr>
          <w:rFonts w:ascii="Times New Roman" w:hAnsi="Times New Roman" w:cs="Times New Roman"/>
          <w:sz w:val="24"/>
          <w:szCs w:val="24"/>
        </w:rPr>
        <w:t>:</w:t>
      </w:r>
      <w:r w:rsidRPr="0056087C">
        <w:rPr>
          <w:rFonts w:ascii="Times New Roman" w:eastAsia="Calibri" w:hAnsi="Times New Roman" w:cs="Times New Roman"/>
          <w:sz w:val="24"/>
          <w:szCs w:val="24"/>
          <w:lang w:val="en-IN"/>
        </w:rPr>
        <w:t xml:space="preserve"> Heat stress, reproductive stage, </w:t>
      </w:r>
      <w:r w:rsidRPr="0056087C">
        <w:rPr>
          <w:rFonts w:ascii="Times New Roman" w:eastAsia="Calibri" w:hAnsi="Times New Roman" w:cs="Times New Roman"/>
          <w:sz w:val="24"/>
          <w:szCs w:val="24"/>
        </w:rPr>
        <w:t>climate change, global warming</w:t>
      </w:r>
      <w:r w:rsidR="00A46786">
        <w:rPr>
          <w:rFonts w:ascii="Times New Roman" w:eastAsia="Calibri" w:hAnsi="Times New Roman" w:cs="Times New Roman"/>
          <w:sz w:val="24"/>
          <w:szCs w:val="24"/>
        </w:rPr>
        <w:t>,</w:t>
      </w:r>
      <w:r w:rsidRPr="0056087C">
        <w:rPr>
          <w:rFonts w:ascii="Times New Roman" w:eastAsia="Calibri" w:hAnsi="Times New Roman" w:cs="Times New Roman"/>
          <w:sz w:val="24"/>
          <w:szCs w:val="24"/>
        </w:rPr>
        <w:t xml:space="preserve"> </w:t>
      </w:r>
      <w:r w:rsidRPr="0056087C">
        <w:rPr>
          <w:rFonts w:ascii="Times New Roman" w:eastAsia="Calibri" w:hAnsi="Times New Roman" w:cs="Times New Roman"/>
          <w:sz w:val="24"/>
          <w:szCs w:val="24"/>
          <w:lang w:val="en-IN"/>
        </w:rPr>
        <w:t>seed quality</w:t>
      </w:r>
    </w:p>
    <w:p w14:paraId="0A75FDC8" w14:textId="77777777" w:rsidR="00E120BE" w:rsidRPr="0056087C" w:rsidRDefault="00E120BE" w:rsidP="0056087C">
      <w:pPr>
        <w:spacing w:line="360" w:lineRule="auto"/>
        <w:rPr>
          <w:rFonts w:ascii="Times New Roman" w:eastAsia="Calibri" w:hAnsi="Times New Roman" w:cs="Times New Roman"/>
          <w:b/>
          <w:sz w:val="24"/>
          <w:szCs w:val="24"/>
        </w:rPr>
      </w:pPr>
      <w:r w:rsidRPr="0056087C">
        <w:rPr>
          <w:rFonts w:ascii="Times New Roman" w:eastAsia="Calibri" w:hAnsi="Times New Roman" w:cs="Times New Roman"/>
          <w:b/>
          <w:sz w:val="24"/>
          <w:szCs w:val="24"/>
        </w:rPr>
        <w:lastRenderedPageBreak/>
        <w:t>Introduction</w:t>
      </w:r>
    </w:p>
    <w:p w14:paraId="6B958ED6" w14:textId="77777777" w:rsidR="00E120BE" w:rsidRPr="0056087C" w:rsidRDefault="00E120BE" w:rsidP="0056087C">
      <w:pPr>
        <w:spacing w:line="360" w:lineRule="auto"/>
        <w:jc w:val="both"/>
        <w:rPr>
          <w:rFonts w:ascii="Times New Roman" w:eastAsia="Calibri" w:hAnsi="Times New Roman" w:cs="Times New Roman"/>
          <w:bCs/>
          <w:sz w:val="24"/>
          <w:szCs w:val="24"/>
        </w:rPr>
      </w:pPr>
      <w:r w:rsidRPr="0056087C">
        <w:rPr>
          <w:rFonts w:ascii="Times New Roman" w:eastAsia="Calibri" w:hAnsi="Times New Roman" w:cs="Times New Roman"/>
          <w:bCs/>
          <w:sz w:val="24"/>
          <w:szCs w:val="24"/>
        </w:rPr>
        <w:t>Abiotic and biotic stress management for sustainable yield is a wild wide area of research. Abiotic stress, such as drought, heat, floods, etc., causes a substantial amount of loss in agricultural products, particularly in nations like India that rely heavily on agriculture. Despite the fact that heat is the second biggest cause of production loss after drought, the quality of the products also declined.</w:t>
      </w:r>
    </w:p>
    <w:p w14:paraId="639595E3" w14:textId="77777777" w:rsidR="00E120BE" w:rsidRPr="0056087C" w:rsidRDefault="00E120BE" w:rsidP="0056087C">
      <w:pPr>
        <w:spacing w:line="360" w:lineRule="auto"/>
        <w:ind w:firstLine="720"/>
        <w:jc w:val="both"/>
        <w:rPr>
          <w:rFonts w:ascii="Times New Roman" w:hAnsi="Times New Roman" w:cs="Times New Roman"/>
          <w:sz w:val="24"/>
          <w:szCs w:val="24"/>
          <w:lang w:val="en-IN"/>
        </w:rPr>
      </w:pPr>
      <w:r w:rsidRPr="0056087C">
        <w:rPr>
          <w:rFonts w:ascii="Times New Roman" w:hAnsi="Times New Roman" w:cs="Times New Roman"/>
          <w:sz w:val="24"/>
          <w:szCs w:val="24"/>
          <w:lang w:val="en-IN"/>
        </w:rPr>
        <w:t xml:space="preserve">The foundation of global food security is seed commerce, and seed security depends on food security. The development of multinational seed firms, the increased accessibility of F1 hybrids, the protection of intellectual property, and the rising usage of counter-season production have all contributed to the expansion of the global seed market over the past three decades. Due to genetic gains acquired through plant breeding, better agronomic inputs, and unique management techniques, the seed yield for the world's primary crops has increased by 1-3% every year for the past 50 years (Hampton </w:t>
      </w:r>
      <w:r w:rsidRPr="0056087C">
        <w:rPr>
          <w:rFonts w:ascii="Times New Roman" w:hAnsi="Times New Roman" w:cs="Times New Roman"/>
          <w:i/>
          <w:iCs/>
          <w:sz w:val="24"/>
          <w:szCs w:val="24"/>
          <w:lang w:val="en-IN"/>
        </w:rPr>
        <w:t>et al</w:t>
      </w:r>
      <w:r w:rsidRPr="0056087C">
        <w:rPr>
          <w:rFonts w:ascii="Times New Roman" w:hAnsi="Times New Roman" w:cs="Times New Roman"/>
          <w:sz w:val="24"/>
          <w:szCs w:val="24"/>
          <w:lang w:val="en-IN"/>
        </w:rPr>
        <w:t>., 2016).</w:t>
      </w:r>
    </w:p>
    <w:p w14:paraId="7CA3FFE6" w14:textId="77777777" w:rsidR="00E120BE" w:rsidRPr="0056087C" w:rsidRDefault="00E120BE" w:rsidP="0056087C">
      <w:pPr>
        <w:spacing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Can this seed production continue to increase in light of the current climatic change? This climatic change will undoubtedly have an impact on agricultural activities. Since seeds are the foundational element of agriculture, the seed industry must be able to consistently produce and transport adequate amounts of high-quality seeds. However, the manufacturing of high-quality seeds will have greater opportunities to overcome climate change conditions. Stress is used to describe environmental factors that have a negative impact on a plant's ability to grow, develop, or produce. The two main types of stress that plants experience are biotic stress and abiotic stress.</w:t>
      </w:r>
    </w:p>
    <w:p w14:paraId="3A9D23F9" w14:textId="77777777" w:rsidR="00E120BE" w:rsidRPr="0056087C" w:rsidRDefault="00E120BE" w:rsidP="0056087C">
      <w:pPr>
        <w:spacing w:line="360" w:lineRule="auto"/>
        <w:jc w:val="both"/>
        <w:rPr>
          <w:rFonts w:ascii="Times New Roman" w:hAnsi="Times New Roman" w:cs="Times New Roman"/>
          <w:sz w:val="24"/>
          <w:szCs w:val="24"/>
        </w:rPr>
      </w:pPr>
    </w:p>
    <w:p w14:paraId="3979E664" w14:textId="77777777" w:rsidR="00E120BE" w:rsidRPr="0056087C" w:rsidRDefault="00E120BE" w:rsidP="0056087C">
      <w:pPr>
        <w:spacing w:line="360" w:lineRule="auto"/>
        <w:ind w:firstLine="720"/>
        <w:jc w:val="both"/>
        <w:rPr>
          <w:rFonts w:ascii="Times New Roman" w:hAnsi="Times New Roman" w:cs="Times New Roman"/>
          <w:sz w:val="24"/>
          <w:szCs w:val="24"/>
        </w:rPr>
      </w:pPr>
      <w:r w:rsidRPr="0056087C">
        <w:rPr>
          <w:rFonts w:ascii="Times New Roman" w:hAnsi="Times New Roman" w:cs="Times New Roman"/>
          <w:noProof/>
          <w:sz w:val="24"/>
          <w:szCs w:val="24"/>
          <w:lang w:val="en-IN" w:eastAsia="en-IN"/>
        </w:rPr>
        <w:lastRenderedPageBreak/>
        <w:drawing>
          <wp:inline distT="0" distB="0" distL="0" distR="0" wp14:anchorId="14859AF6" wp14:editId="6496840A">
            <wp:extent cx="5002722" cy="301053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6704" cy="3018949"/>
                    </a:xfrm>
                    <a:prstGeom prst="rect">
                      <a:avLst/>
                    </a:prstGeom>
                    <a:ln>
                      <a:noFill/>
                    </a:ln>
                    <a:effectLst>
                      <a:softEdge rad="112500"/>
                    </a:effectLst>
                  </pic:spPr>
                </pic:pic>
              </a:graphicData>
            </a:graphic>
          </wp:inline>
        </w:drawing>
      </w:r>
    </w:p>
    <w:p w14:paraId="1488697D" w14:textId="77777777" w:rsidR="00E120BE" w:rsidRPr="0056087C" w:rsidRDefault="00E120BE" w:rsidP="0056087C">
      <w:pPr>
        <w:spacing w:line="360" w:lineRule="auto"/>
        <w:ind w:firstLine="720"/>
        <w:jc w:val="center"/>
        <w:rPr>
          <w:rFonts w:ascii="Times New Roman" w:hAnsi="Times New Roman" w:cs="Times New Roman"/>
          <w:sz w:val="24"/>
          <w:szCs w:val="24"/>
        </w:rPr>
      </w:pPr>
      <w:r w:rsidRPr="0056087C">
        <w:rPr>
          <w:rFonts w:ascii="Times New Roman" w:hAnsi="Times New Roman" w:cs="Times New Roman"/>
          <w:sz w:val="24"/>
          <w:szCs w:val="24"/>
        </w:rPr>
        <w:t>Fig 1: Classification of different plant stresses</w:t>
      </w:r>
    </w:p>
    <w:p w14:paraId="5043AE1C" w14:textId="77777777" w:rsidR="00E120BE" w:rsidRPr="0056087C" w:rsidRDefault="00E120BE" w:rsidP="0056087C">
      <w:pPr>
        <w:spacing w:line="360" w:lineRule="auto"/>
        <w:ind w:firstLine="720"/>
        <w:jc w:val="both"/>
        <w:rPr>
          <w:rFonts w:ascii="Times New Roman" w:hAnsi="Times New Roman" w:cs="Times New Roman"/>
          <w:sz w:val="24"/>
          <w:szCs w:val="24"/>
          <w:lang w:val="en-IN"/>
        </w:rPr>
      </w:pPr>
      <w:r w:rsidRPr="0056087C">
        <w:rPr>
          <w:rFonts w:ascii="Times New Roman" w:hAnsi="Times New Roman" w:cs="Times New Roman"/>
          <w:sz w:val="24"/>
          <w:szCs w:val="24"/>
        </w:rPr>
        <w:t>Biotic stress is brought on by pests, nematodes, and disease infections. Abiotic stress, on the other hand, can be caused by low light intensity, high light intensity, low temperature, high temperature, low water (drought), high water (flooding), chemicals like salt, pesticides, mineral toxicity, etc.</w:t>
      </w:r>
    </w:p>
    <w:p w14:paraId="4F7B4FDF" w14:textId="77777777" w:rsidR="00E120BE" w:rsidRPr="0056087C" w:rsidRDefault="00E120BE" w:rsidP="0056087C">
      <w:pPr>
        <w:spacing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 As the world's temperature rises year after year, high-temperature stress needs to be addressed. Carbon dioxide and methane concentrations in the atmosphere have increased by 30% and 150%, respectively, over the previous 250 years (</w:t>
      </w:r>
      <w:proofErr w:type="spellStart"/>
      <w:r w:rsidRPr="0056087C">
        <w:rPr>
          <w:rFonts w:ascii="Times New Roman" w:hAnsi="Times New Roman" w:cs="Times New Roman"/>
          <w:sz w:val="24"/>
          <w:szCs w:val="24"/>
        </w:rPr>
        <w:t>Friedlingstein</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2010). They raise the temperature since they are greenhouse gases. The plant will experience heat stress as a result of the temperature rise, which will reduce crop production. Heat stress is defined as an increase in temperature that persists for a length of time long enough to permanently harm plant growth and development. Most crops are susceptible to heat stress.</w:t>
      </w:r>
    </w:p>
    <w:p w14:paraId="48B406D6"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germination of seeds is the beginning of plant life. Low germination percentage, shorter roots, and poor stand establishment brought on by heat stress led to low plant population and hence low output. By interfering with the function of enzymes necessary for the digestion of starch and activating the synthesis of ABA, heat stress inhibits germination. Additionally, it will reduce protein synthesis in seed embryos, which significantly reduced maize seed germination above 37 degrees Celsius (</w:t>
      </w:r>
      <w:proofErr w:type="spellStart"/>
      <w:r w:rsidRPr="0056087C">
        <w:rPr>
          <w:rFonts w:ascii="Times New Roman" w:hAnsi="Times New Roman" w:cs="Times New Roman"/>
          <w:sz w:val="24"/>
          <w:szCs w:val="24"/>
        </w:rPr>
        <w:t>Rilkey</w:t>
      </w:r>
      <w:proofErr w:type="spellEnd"/>
      <w:r w:rsidRPr="0056087C">
        <w:rPr>
          <w:rFonts w:ascii="Times New Roman" w:hAnsi="Times New Roman" w:cs="Times New Roman"/>
          <w:sz w:val="24"/>
          <w:szCs w:val="24"/>
        </w:rPr>
        <w:t>, 1981).</w:t>
      </w:r>
    </w:p>
    <w:tbl>
      <w:tblPr>
        <w:tblStyle w:val="TableGrid"/>
        <w:tblW w:w="83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0"/>
        <w:gridCol w:w="6357"/>
      </w:tblGrid>
      <w:tr w:rsidR="00E120BE" w:rsidRPr="0056087C" w14:paraId="6FA00B69" w14:textId="77777777" w:rsidTr="00E12E39">
        <w:trPr>
          <w:trHeight w:val="162"/>
          <w:jc w:val="center"/>
        </w:trPr>
        <w:tc>
          <w:tcPr>
            <w:tcW w:w="2020" w:type="dxa"/>
            <w:tcBorders>
              <w:top w:val="single" w:sz="4" w:space="0" w:color="auto"/>
              <w:bottom w:val="single" w:sz="4" w:space="0" w:color="auto"/>
            </w:tcBorders>
            <w:hideMark/>
          </w:tcPr>
          <w:p w14:paraId="3D771E01" w14:textId="77777777" w:rsidR="00E120BE" w:rsidRPr="0056087C" w:rsidRDefault="00E120BE" w:rsidP="0056087C">
            <w:pPr>
              <w:spacing w:line="360" w:lineRule="auto"/>
              <w:rPr>
                <w:rFonts w:ascii="Times New Roman" w:hAnsi="Times New Roman" w:cs="Times New Roman"/>
                <w:sz w:val="24"/>
                <w:szCs w:val="24"/>
              </w:rPr>
            </w:pPr>
            <w:r w:rsidRPr="0056087C">
              <w:rPr>
                <w:rFonts w:ascii="Times New Roman" w:hAnsi="Times New Roman" w:cs="Times New Roman"/>
                <w:b/>
                <w:bCs/>
                <w:sz w:val="24"/>
                <w:szCs w:val="24"/>
              </w:rPr>
              <w:lastRenderedPageBreak/>
              <w:t>Crops</w:t>
            </w:r>
          </w:p>
        </w:tc>
        <w:tc>
          <w:tcPr>
            <w:tcW w:w="6357" w:type="dxa"/>
            <w:tcBorders>
              <w:top w:val="single" w:sz="4" w:space="0" w:color="auto"/>
              <w:bottom w:val="single" w:sz="4" w:space="0" w:color="auto"/>
            </w:tcBorders>
            <w:hideMark/>
          </w:tcPr>
          <w:p w14:paraId="1DC6D32C" w14:textId="77777777" w:rsidR="00E120BE" w:rsidRPr="0056087C" w:rsidRDefault="00E120BE" w:rsidP="0056087C">
            <w:pPr>
              <w:spacing w:line="360" w:lineRule="auto"/>
              <w:rPr>
                <w:rFonts w:ascii="Times New Roman" w:hAnsi="Times New Roman" w:cs="Times New Roman"/>
                <w:sz w:val="24"/>
                <w:szCs w:val="24"/>
              </w:rPr>
            </w:pPr>
            <w:r w:rsidRPr="0056087C">
              <w:rPr>
                <w:rFonts w:ascii="Times New Roman" w:hAnsi="Times New Roman" w:cs="Times New Roman"/>
                <w:b/>
                <w:bCs/>
                <w:sz w:val="24"/>
                <w:szCs w:val="24"/>
              </w:rPr>
              <w:t>Stages sensitive to Heat stress</w:t>
            </w:r>
          </w:p>
        </w:tc>
      </w:tr>
      <w:tr w:rsidR="00E120BE" w:rsidRPr="0056087C" w14:paraId="23425B4C" w14:textId="77777777" w:rsidTr="00E12E39">
        <w:trPr>
          <w:trHeight w:val="16"/>
          <w:jc w:val="center"/>
        </w:trPr>
        <w:tc>
          <w:tcPr>
            <w:tcW w:w="2020" w:type="dxa"/>
            <w:tcBorders>
              <w:top w:val="single" w:sz="4" w:space="0" w:color="auto"/>
            </w:tcBorders>
            <w:hideMark/>
          </w:tcPr>
          <w:p w14:paraId="69E29F79"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Rice </w:t>
            </w:r>
          </w:p>
        </w:tc>
        <w:tc>
          <w:tcPr>
            <w:tcW w:w="6357" w:type="dxa"/>
            <w:tcBorders>
              <w:top w:val="single" w:sz="4" w:space="0" w:color="auto"/>
            </w:tcBorders>
            <w:hideMark/>
          </w:tcPr>
          <w:p w14:paraId="360CC730"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Flowering </w:t>
            </w:r>
          </w:p>
        </w:tc>
      </w:tr>
      <w:tr w:rsidR="00E120BE" w:rsidRPr="0056087C" w14:paraId="275E6093" w14:textId="77777777" w:rsidTr="00E12E39">
        <w:trPr>
          <w:trHeight w:val="13"/>
          <w:jc w:val="center"/>
        </w:trPr>
        <w:tc>
          <w:tcPr>
            <w:tcW w:w="2020" w:type="dxa"/>
            <w:hideMark/>
          </w:tcPr>
          <w:p w14:paraId="43B54ACD"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Wheat </w:t>
            </w:r>
          </w:p>
        </w:tc>
        <w:tc>
          <w:tcPr>
            <w:tcW w:w="6357" w:type="dxa"/>
            <w:hideMark/>
          </w:tcPr>
          <w:p w14:paraId="1D036C4C"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Floret formation and anthesis </w:t>
            </w:r>
          </w:p>
        </w:tc>
      </w:tr>
      <w:tr w:rsidR="00E120BE" w:rsidRPr="0056087C" w14:paraId="20B86F88" w14:textId="77777777" w:rsidTr="00E12E39">
        <w:trPr>
          <w:trHeight w:val="96"/>
          <w:jc w:val="center"/>
        </w:trPr>
        <w:tc>
          <w:tcPr>
            <w:tcW w:w="2020" w:type="dxa"/>
            <w:hideMark/>
          </w:tcPr>
          <w:p w14:paraId="6AABAD62"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Maize </w:t>
            </w:r>
          </w:p>
        </w:tc>
        <w:tc>
          <w:tcPr>
            <w:tcW w:w="6357" w:type="dxa"/>
            <w:hideMark/>
          </w:tcPr>
          <w:p w14:paraId="57277B77"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Tasseling and seed set </w:t>
            </w:r>
          </w:p>
        </w:tc>
      </w:tr>
      <w:tr w:rsidR="00E120BE" w:rsidRPr="0056087C" w14:paraId="64902132" w14:textId="77777777" w:rsidTr="00E12E39">
        <w:trPr>
          <w:trHeight w:val="13"/>
          <w:jc w:val="center"/>
        </w:trPr>
        <w:tc>
          <w:tcPr>
            <w:tcW w:w="2020" w:type="dxa"/>
            <w:hideMark/>
          </w:tcPr>
          <w:p w14:paraId="5E9B6C14"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Sorghum </w:t>
            </w:r>
          </w:p>
        </w:tc>
        <w:tc>
          <w:tcPr>
            <w:tcW w:w="6357" w:type="dxa"/>
            <w:hideMark/>
          </w:tcPr>
          <w:p w14:paraId="0B8E1389"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Panicle initiation and anthesis </w:t>
            </w:r>
          </w:p>
        </w:tc>
      </w:tr>
      <w:tr w:rsidR="00E120BE" w:rsidRPr="0056087C" w14:paraId="677FBBFD" w14:textId="77777777" w:rsidTr="00E12E39">
        <w:trPr>
          <w:trHeight w:val="13"/>
          <w:jc w:val="center"/>
        </w:trPr>
        <w:tc>
          <w:tcPr>
            <w:tcW w:w="2020" w:type="dxa"/>
            <w:hideMark/>
          </w:tcPr>
          <w:p w14:paraId="08565E5F"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Kidney bean </w:t>
            </w:r>
          </w:p>
        </w:tc>
        <w:tc>
          <w:tcPr>
            <w:tcW w:w="6357" w:type="dxa"/>
            <w:hideMark/>
          </w:tcPr>
          <w:p w14:paraId="746F28DE"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6–15 days before anthesis and anthesis </w:t>
            </w:r>
          </w:p>
        </w:tc>
      </w:tr>
      <w:tr w:rsidR="00E120BE" w:rsidRPr="0056087C" w14:paraId="39DEE204" w14:textId="77777777" w:rsidTr="00E12E39">
        <w:trPr>
          <w:trHeight w:val="13"/>
          <w:jc w:val="center"/>
        </w:trPr>
        <w:tc>
          <w:tcPr>
            <w:tcW w:w="2020" w:type="dxa"/>
            <w:hideMark/>
          </w:tcPr>
          <w:p w14:paraId="2A5BD61E"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Common bean </w:t>
            </w:r>
          </w:p>
        </w:tc>
        <w:tc>
          <w:tcPr>
            <w:tcW w:w="6357" w:type="dxa"/>
            <w:hideMark/>
          </w:tcPr>
          <w:p w14:paraId="20320462"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6–8 days before anthesis and anthesis </w:t>
            </w:r>
          </w:p>
        </w:tc>
      </w:tr>
      <w:tr w:rsidR="00E120BE" w:rsidRPr="0056087C" w14:paraId="2690CC99" w14:textId="77777777" w:rsidTr="00E12E39">
        <w:trPr>
          <w:trHeight w:val="50"/>
          <w:jc w:val="center"/>
        </w:trPr>
        <w:tc>
          <w:tcPr>
            <w:tcW w:w="2020" w:type="dxa"/>
            <w:hideMark/>
          </w:tcPr>
          <w:p w14:paraId="3691990F"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Cowpea </w:t>
            </w:r>
          </w:p>
        </w:tc>
        <w:tc>
          <w:tcPr>
            <w:tcW w:w="6357" w:type="dxa"/>
            <w:hideMark/>
          </w:tcPr>
          <w:p w14:paraId="0AA9939E"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6–12 days before anthesis </w:t>
            </w:r>
          </w:p>
        </w:tc>
      </w:tr>
      <w:tr w:rsidR="00E120BE" w:rsidRPr="0056087C" w14:paraId="408FDFC0" w14:textId="77777777" w:rsidTr="00E12E39">
        <w:trPr>
          <w:trHeight w:val="63"/>
          <w:jc w:val="center"/>
        </w:trPr>
        <w:tc>
          <w:tcPr>
            <w:tcW w:w="2020" w:type="dxa"/>
            <w:hideMark/>
          </w:tcPr>
          <w:p w14:paraId="1C05C5E7"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Chickpea </w:t>
            </w:r>
          </w:p>
        </w:tc>
        <w:tc>
          <w:tcPr>
            <w:tcW w:w="6357" w:type="dxa"/>
            <w:hideMark/>
          </w:tcPr>
          <w:p w14:paraId="2485EADD"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10 days before flowering, anthesis and pod development </w:t>
            </w:r>
          </w:p>
        </w:tc>
      </w:tr>
      <w:tr w:rsidR="00E120BE" w:rsidRPr="0056087C" w14:paraId="33D7D6DA" w14:textId="77777777" w:rsidTr="00E12E39">
        <w:trPr>
          <w:trHeight w:val="13"/>
          <w:jc w:val="center"/>
        </w:trPr>
        <w:tc>
          <w:tcPr>
            <w:tcW w:w="2020" w:type="dxa"/>
            <w:hideMark/>
          </w:tcPr>
          <w:p w14:paraId="6A879CD1"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Soybean </w:t>
            </w:r>
          </w:p>
        </w:tc>
        <w:tc>
          <w:tcPr>
            <w:tcW w:w="6357" w:type="dxa"/>
            <w:hideMark/>
          </w:tcPr>
          <w:p w14:paraId="6F97F67C"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Flowering and pod set </w:t>
            </w:r>
          </w:p>
        </w:tc>
      </w:tr>
      <w:tr w:rsidR="00E120BE" w:rsidRPr="0056087C" w14:paraId="2B343F27" w14:textId="77777777" w:rsidTr="00E12E39">
        <w:trPr>
          <w:trHeight w:val="77"/>
          <w:jc w:val="center"/>
        </w:trPr>
        <w:tc>
          <w:tcPr>
            <w:tcW w:w="2020" w:type="dxa"/>
            <w:tcBorders>
              <w:bottom w:val="single" w:sz="4" w:space="0" w:color="auto"/>
            </w:tcBorders>
            <w:hideMark/>
          </w:tcPr>
          <w:p w14:paraId="7A5A40EF" w14:textId="77777777" w:rsidR="00E120BE" w:rsidRPr="0056087C" w:rsidRDefault="00E120BE" w:rsidP="0056087C">
            <w:pPr>
              <w:spacing w:line="360" w:lineRule="auto"/>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Groundnut </w:t>
            </w:r>
          </w:p>
        </w:tc>
        <w:tc>
          <w:tcPr>
            <w:tcW w:w="6357" w:type="dxa"/>
            <w:tcBorders>
              <w:bottom w:val="single" w:sz="4" w:space="0" w:color="auto"/>
            </w:tcBorders>
            <w:hideMark/>
          </w:tcPr>
          <w:p w14:paraId="737A058F"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3 days before anthesis and 15 days after anthesis </w:t>
            </w:r>
          </w:p>
        </w:tc>
      </w:tr>
    </w:tbl>
    <w:p w14:paraId="0E678CEB" w14:textId="77777777" w:rsidR="00E120BE" w:rsidRPr="0056087C" w:rsidRDefault="00E120BE" w:rsidP="0056087C">
      <w:pPr>
        <w:spacing w:line="360" w:lineRule="auto"/>
        <w:jc w:val="both"/>
        <w:rPr>
          <w:rFonts w:ascii="Times New Roman" w:hAnsi="Times New Roman" w:cs="Times New Roman"/>
          <w:sz w:val="24"/>
          <w:szCs w:val="24"/>
        </w:rPr>
      </w:pPr>
    </w:p>
    <w:p w14:paraId="3595CD5E" w14:textId="77777777" w:rsidR="00E120BE" w:rsidRPr="0056087C" w:rsidRDefault="00E120BE" w:rsidP="0056087C">
      <w:pPr>
        <w:spacing w:before="240" w:line="360" w:lineRule="auto"/>
        <w:jc w:val="center"/>
        <w:rPr>
          <w:rFonts w:ascii="Times New Roman" w:hAnsi="Times New Roman" w:cs="Times New Roman"/>
          <w:b/>
          <w:bCs/>
          <w:sz w:val="24"/>
          <w:szCs w:val="24"/>
        </w:rPr>
      </w:pPr>
      <w:r w:rsidRPr="0056087C">
        <w:rPr>
          <w:rFonts w:ascii="Times New Roman" w:hAnsi="Times New Roman" w:cs="Times New Roman"/>
          <w:b/>
          <w:bCs/>
          <w:sz w:val="24"/>
          <w:szCs w:val="24"/>
        </w:rPr>
        <w:t>Table 1: Sensitive stages of different crops for heat stress</w:t>
      </w:r>
    </w:p>
    <w:p w14:paraId="4EF45940" w14:textId="77777777"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noProof/>
          <w:sz w:val="24"/>
          <w:szCs w:val="24"/>
          <w:lang w:val="en-IN" w:eastAsia="en-IN"/>
        </w:rPr>
        <w:drawing>
          <wp:inline distT="0" distB="0" distL="0" distR="0" wp14:anchorId="7D546811" wp14:editId="2A295EB8">
            <wp:extent cx="5731510" cy="3370324"/>
            <wp:effectExtent l="19050" t="19050" r="21590" b="20955"/>
            <wp:docPr id="2"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a:stretch>
                      <a:fillRect/>
                    </a:stretch>
                  </pic:blipFill>
                  <pic:spPr bwMode="auto">
                    <a:xfrm>
                      <a:off x="0" y="0"/>
                      <a:ext cx="5731510" cy="3370324"/>
                    </a:xfrm>
                    <a:prstGeom prst="rect">
                      <a:avLst/>
                    </a:prstGeom>
                    <a:noFill/>
                    <a:ln w="6350">
                      <a:solidFill>
                        <a:schemeClr val="tx1"/>
                      </a:solidFill>
                      <a:miter lim="800000"/>
                      <a:headEnd/>
                      <a:tailEnd/>
                    </a:ln>
                    <a:effectLst/>
                  </pic:spPr>
                </pic:pic>
              </a:graphicData>
            </a:graphic>
          </wp:inline>
        </w:drawing>
      </w:r>
    </w:p>
    <w:p w14:paraId="0F10DEBE" w14:textId="3D081A00"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sz w:val="24"/>
          <w:szCs w:val="24"/>
        </w:rPr>
        <w:lastRenderedPageBreak/>
        <w:t>Fig 2: Optimum and damaging temperature at the reproductive stage of various field crops</w:t>
      </w:r>
    </w:p>
    <w:p w14:paraId="7ADA4518" w14:textId="36701788" w:rsidR="0056087C" w:rsidRPr="0056087C" w:rsidRDefault="0056087C" w:rsidP="0056087C">
      <w:pPr>
        <w:spacing w:before="240" w:line="360" w:lineRule="auto"/>
        <w:rPr>
          <w:rFonts w:ascii="Times New Roman" w:hAnsi="Times New Roman" w:cs="Times New Roman"/>
          <w:b/>
          <w:bCs/>
          <w:sz w:val="24"/>
          <w:szCs w:val="24"/>
        </w:rPr>
      </w:pPr>
      <w:r w:rsidRPr="0056087C">
        <w:rPr>
          <w:rFonts w:ascii="Times New Roman" w:hAnsi="Times New Roman" w:cs="Times New Roman"/>
          <w:b/>
          <w:bCs/>
          <w:sz w:val="24"/>
          <w:szCs w:val="24"/>
        </w:rPr>
        <w:t>Discussion:</w:t>
      </w:r>
    </w:p>
    <w:p w14:paraId="153DE77B" w14:textId="77777777" w:rsidR="00E120BE" w:rsidRPr="0056087C" w:rsidRDefault="00E120BE" w:rsidP="0056087C">
      <w:pPr>
        <w:spacing w:before="240" w:line="360" w:lineRule="auto"/>
        <w:rPr>
          <w:rFonts w:ascii="Times New Roman" w:hAnsi="Times New Roman" w:cs="Times New Roman"/>
          <w:b/>
          <w:sz w:val="24"/>
          <w:szCs w:val="24"/>
        </w:rPr>
      </w:pPr>
      <w:r w:rsidRPr="0056087C">
        <w:rPr>
          <w:rFonts w:ascii="Times New Roman" w:hAnsi="Times New Roman" w:cs="Times New Roman"/>
          <w:b/>
          <w:sz w:val="24"/>
          <w:szCs w:val="24"/>
        </w:rPr>
        <w:t>Effect of heat stress on plant growth and development</w:t>
      </w:r>
    </w:p>
    <w:p w14:paraId="02E625F7"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By lowering plant height, tillering, and dry matter production, heat stress slows down plant growth. Additionally, it causes morphological signs such as leaf scorching, fruit </w:t>
      </w:r>
      <w:proofErr w:type="spellStart"/>
      <w:r w:rsidRPr="0056087C">
        <w:rPr>
          <w:rFonts w:ascii="Times New Roman" w:hAnsi="Times New Roman" w:cs="Times New Roman"/>
          <w:sz w:val="24"/>
          <w:szCs w:val="24"/>
        </w:rPr>
        <w:t>discolourations</w:t>
      </w:r>
      <w:proofErr w:type="spellEnd"/>
      <w:r w:rsidRPr="0056087C">
        <w:rPr>
          <w:rFonts w:ascii="Times New Roman" w:hAnsi="Times New Roman" w:cs="Times New Roman"/>
          <w:sz w:val="24"/>
          <w:szCs w:val="24"/>
        </w:rPr>
        <w:t xml:space="preserve">, ageing of the leaves, rolling of the leaves, damage to the tips of the leaves, drying of the leaves, and necrosis (Omae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2012). Later heat stress promotes pollen sterility and reduces the number, size, and weight of wheat kernels (Farooq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2011). An increase in temperature (1-2</w:t>
      </w:r>
      <w:r w:rsidRPr="0056087C">
        <w:rPr>
          <w:rFonts w:ascii="Times New Roman" w:hAnsi="Times New Roman" w:cs="Times New Roman"/>
          <w:sz w:val="24"/>
          <w:szCs w:val="24"/>
          <w:vertAlign w:val="superscript"/>
        </w:rPr>
        <w:t>o</w:t>
      </w:r>
      <w:r w:rsidRPr="0056087C">
        <w:rPr>
          <w:rFonts w:ascii="Times New Roman" w:hAnsi="Times New Roman" w:cs="Times New Roman"/>
          <w:sz w:val="24"/>
          <w:szCs w:val="24"/>
        </w:rPr>
        <w:t>C) above the optimum range shortened the grain filling phase in cereals, which reduced ultimate production. Heat stress also impacted plant phenology, shortening the plant.</w:t>
      </w:r>
    </w:p>
    <w:p w14:paraId="524B24C2"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In plants, photosynthesis is a crucial process that produces a variety of bioproducts, including lipids, proteins, carbohydrates, and proteins. Heat stress results in significant changes in chloroplasts, including thylakoid disarray, grana swelling, and photosystem II reduction, which reduces the number of pigments involved in photosynthetic activity. Low yield is the result of insufficient photosynthesis. Heat stress increases ROS generation, lowers ATP synthesis and increases respiratory carbon loss. Under heat stress, wheat flag leaf respiration considerably increased, which significantly reduced photosynthesis and grain output (</w:t>
      </w:r>
      <w:proofErr w:type="spellStart"/>
      <w:r w:rsidRPr="0056087C">
        <w:rPr>
          <w:rFonts w:ascii="Times New Roman" w:hAnsi="Times New Roman" w:cs="Times New Roman"/>
          <w:sz w:val="24"/>
          <w:szCs w:val="24"/>
        </w:rPr>
        <w:t>Almeselmani</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2012). High-temperature stress also inhibits the uptake of nutrients and water, which significantly slows plant growth. High temperatures also change the source-sink relationships in plants, the number of hormones produced in roots, and the concentration of nutrients in plants. Similar to other abiotic stresses, heat stress causes an accumulation of undesirable and dangerous ROS species, such as hydrogen peroxide, hydroxyl radicals, and superoxide, which are in charge of causing oxidative stress in plants. Plants, that are exposed to ROS can develop a variety of physiological problems. Proteins, lipids, DNA, and even all components of the cell undergo reactions with hydroxyl radicals during the photosynthetic process (Moller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2007). Proteins, unsaturated fats, and plant DNA are all oxidized by superoxide (</w:t>
      </w:r>
      <w:proofErr w:type="spellStart"/>
      <w:r w:rsidRPr="0056087C">
        <w:rPr>
          <w:rFonts w:ascii="Times New Roman" w:hAnsi="Times New Roman" w:cs="Times New Roman"/>
          <w:sz w:val="24"/>
          <w:szCs w:val="24"/>
        </w:rPr>
        <w:t>Karuppanapandian</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2011). Additionally, ROS denatures plant proteins, lowers membrane permeability, and increases lipid peroxidation.</w:t>
      </w:r>
    </w:p>
    <w:p w14:paraId="27CE10E1"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noProof/>
          <w:sz w:val="24"/>
          <w:szCs w:val="24"/>
          <w:lang w:val="en-IN" w:eastAsia="en-IN"/>
        </w:rPr>
        <w:lastRenderedPageBreak/>
        <w:drawing>
          <wp:inline distT="0" distB="0" distL="0" distR="0" wp14:anchorId="10238D24" wp14:editId="3EEA5ED1">
            <wp:extent cx="5213603" cy="291627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b="12531"/>
                    <a:stretch/>
                  </pic:blipFill>
                  <pic:spPr bwMode="auto">
                    <a:xfrm>
                      <a:off x="0" y="0"/>
                      <a:ext cx="5225171" cy="2922748"/>
                    </a:xfrm>
                    <a:prstGeom prst="rect">
                      <a:avLst/>
                    </a:prstGeom>
                    <a:noFill/>
                    <a:ln>
                      <a:noFill/>
                    </a:ln>
                    <a:extLst>
                      <a:ext uri="{53640926-AAD7-44D8-BBD7-CCE9431645EC}">
                        <a14:shadowObscured xmlns:a14="http://schemas.microsoft.com/office/drawing/2010/main"/>
                      </a:ext>
                    </a:extLst>
                  </pic:spPr>
                </pic:pic>
              </a:graphicData>
            </a:graphic>
          </wp:inline>
        </w:drawing>
      </w:r>
    </w:p>
    <w:p w14:paraId="276A4F85" w14:textId="77777777" w:rsidR="00E120BE" w:rsidRPr="0056087C" w:rsidRDefault="00E120BE" w:rsidP="0056087C">
      <w:pPr>
        <w:spacing w:before="240" w:line="360" w:lineRule="auto"/>
        <w:ind w:firstLine="720"/>
        <w:jc w:val="both"/>
        <w:rPr>
          <w:rFonts w:ascii="Times New Roman" w:hAnsi="Times New Roman" w:cs="Times New Roman"/>
          <w:b/>
          <w:bCs/>
          <w:sz w:val="24"/>
          <w:szCs w:val="24"/>
        </w:rPr>
      </w:pPr>
      <w:r w:rsidRPr="0056087C">
        <w:rPr>
          <w:rFonts w:ascii="Times New Roman" w:hAnsi="Times New Roman" w:cs="Times New Roman"/>
          <w:b/>
          <w:bCs/>
          <w:sz w:val="24"/>
          <w:szCs w:val="24"/>
        </w:rPr>
        <w:t xml:space="preserve">Fig.3. Plant responses to optimum and heat stress condition </w:t>
      </w:r>
    </w:p>
    <w:p w14:paraId="34797B9B"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Even under mild heat stress, there has been a considerable decrease in photosynthetic light responses, which has been attributed to an increase in electron leakage from thylakoid membranes as a result of ROS buildup. Additionally, heat stress raises leaf temperature, which decreases the activities of enzyme antioxidants and significantly raises the levels of malondialdehyde (MDA) in plant leaves (</w:t>
      </w:r>
      <w:proofErr w:type="spellStart"/>
      <w:r w:rsidRPr="0056087C">
        <w:rPr>
          <w:rFonts w:ascii="Times New Roman" w:hAnsi="Times New Roman" w:cs="Times New Roman"/>
          <w:sz w:val="24"/>
          <w:szCs w:val="24"/>
        </w:rPr>
        <w:t>Hurkman</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2009). Heat stress affects every plant tissue and stage of growth. Although reproduction is particularly sensitive to heat stress, even little increases in temperature during flowering can have a major impact on the eventual crop's output. When the reproductive stage first begins, a brief period of heat stress might diminish the floral buds and result in flower abortion.</w:t>
      </w:r>
    </w:p>
    <w:p w14:paraId="3387BE6E" w14:textId="77777777" w:rsidR="00E120BE" w:rsidRPr="0056087C" w:rsidRDefault="00E120BE" w:rsidP="0056087C">
      <w:pPr>
        <w:spacing w:line="360" w:lineRule="auto"/>
        <w:jc w:val="center"/>
        <w:rPr>
          <w:rFonts w:ascii="Times New Roman" w:eastAsia="Calibri" w:hAnsi="Times New Roman" w:cs="Times New Roman"/>
          <w:sz w:val="24"/>
          <w:szCs w:val="24"/>
        </w:rPr>
      </w:pPr>
      <w:r w:rsidRPr="0056087C">
        <w:rPr>
          <w:rFonts w:ascii="Times New Roman" w:hAnsi="Times New Roman" w:cs="Times New Roman"/>
          <w:noProof/>
          <w:sz w:val="24"/>
          <w:szCs w:val="24"/>
          <w:lang w:val="en-IN" w:eastAsia="en-IN"/>
        </w:rPr>
        <w:lastRenderedPageBreak/>
        <w:drawing>
          <wp:inline distT="0" distB="0" distL="0" distR="0" wp14:anchorId="40444F5E" wp14:editId="17A5A204">
            <wp:extent cx="5731510" cy="297773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5731510" cy="2977730"/>
                    </a:xfrm>
                    <a:prstGeom prst="rect">
                      <a:avLst/>
                    </a:prstGeom>
                    <a:noFill/>
                  </pic:spPr>
                </pic:pic>
              </a:graphicData>
            </a:graphic>
          </wp:inline>
        </w:drawing>
      </w:r>
      <w:r w:rsidRPr="0056087C">
        <w:rPr>
          <w:rFonts w:ascii="Times New Roman" w:hAnsi="Times New Roman" w:cs="Times New Roman"/>
          <w:sz w:val="24"/>
          <w:szCs w:val="24"/>
        </w:rPr>
        <w:t>Table 2: Effects of high-temperature stress in cereals</w:t>
      </w:r>
    </w:p>
    <w:p w14:paraId="3A85C499" w14:textId="66017AC8"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Early reproductive heat stress prevents the formation of flowers, which prevents the setting of seeds or fruit. Additionally,</w:t>
      </w:r>
      <w:r w:rsidR="00666746">
        <w:rPr>
          <w:rFonts w:ascii="Times New Roman" w:hAnsi="Times New Roman" w:cs="Times New Roman"/>
          <w:sz w:val="24"/>
          <w:szCs w:val="24"/>
        </w:rPr>
        <w:t xml:space="preserve"> the</w:t>
      </w:r>
      <w:r w:rsidRPr="0056087C">
        <w:rPr>
          <w:rFonts w:ascii="Times New Roman" w:hAnsi="Times New Roman" w:cs="Times New Roman"/>
          <w:sz w:val="24"/>
          <w:szCs w:val="24"/>
        </w:rPr>
        <w:t xml:space="preserve"> endosperm and pro-embryo development, as well as the number of pollen grains retained by the stigma, are all reduced by the greater temperature during the reproductive stage. Increased sterility and a resulting decrease in final yield are caused by all of these factors working together</w:t>
      </w:r>
      <w:r w:rsidR="00666746">
        <w:rPr>
          <w:rFonts w:ascii="Times New Roman" w:hAnsi="Times New Roman" w:cs="Times New Roman"/>
          <w:sz w:val="24"/>
          <w:szCs w:val="24"/>
        </w:rPr>
        <w:t>.</w:t>
      </w:r>
      <w:r w:rsidRPr="0056087C">
        <w:rPr>
          <w:rFonts w:ascii="Times New Roman" w:hAnsi="Times New Roman" w:cs="Times New Roman"/>
          <w:sz w:val="24"/>
          <w:szCs w:val="24"/>
        </w:rPr>
        <w:t xml:space="preserve"> When wheat was subjected to heat stress at the plant heading, it experienced reduced anther dehiscence and pollen fertility</w:t>
      </w:r>
      <w:r w:rsidR="00666746">
        <w:rPr>
          <w:rFonts w:ascii="Times New Roman" w:hAnsi="Times New Roman" w:cs="Times New Roman"/>
          <w:sz w:val="24"/>
          <w:szCs w:val="24"/>
        </w:rPr>
        <w:t xml:space="preserve"> which </w:t>
      </w:r>
      <w:r w:rsidRPr="0056087C">
        <w:rPr>
          <w:rFonts w:ascii="Times New Roman" w:hAnsi="Times New Roman" w:cs="Times New Roman"/>
          <w:sz w:val="24"/>
          <w:szCs w:val="24"/>
        </w:rPr>
        <w:t xml:space="preserve">resulted in a considerable drop in seed production (Ahamed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2010). In fact, higher temperatures (over 35</w:t>
      </w:r>
      <w:r w:rsidRPr="0056087C">
        <w:rPr>
          <w:rFonts w:ascii="Times New Roman" w:hAnsi="Times New Roman" w:cs="Times New Roman"/>
          <w:sz w:val="24"/>
          <w:szCs w:val="24"/>
          <w:vertAlign w:val="superscript"/>
        </w:rPr>
        <w:t>o</w:t>
      </w:r>
      <w:r w:rsidRPr="0056087C">
        <w:rPr>
          <w:rFonts w:ascii="Times New Roman" w:hAnsi="Times New Roman" w:cs="Times New Roman"/>
          <w:sz w:val="24"/>
          <w:szCs w:val="24"/>
        </w:rPr>
        <w:t>C) made pollen more sterile, which decreased its germination and, as a result, the yield of seeds in maize (</w:t>
      </w:r>
      <w:proofErr w:type="spellStart"/>
      <w:r w:rsidRPr="0056087C">
        <w:rPr>
          <w:rFonts w:ascii="Times New Roman" w:hAnsi="Times New Roman" w:cs="Times New Roman"/>
          <w:sz w:val="24"/>
          <w:szCs w:val="24"/>
        </w:rPr>
        <w:t>Suwa</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2010).</w:t>
      </w:r>
    </w:p>
    <w:p w14:paraId="38D3FEB8" w14:textId="77777777" w:rsidR="00E120BE" w:rsidRPr="0056087C" w:rsidRDefault="00E120BE" w:rsidP="0056087C">
      <w:pPr>
        <w:spacing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A considerable rise in ethylene synthesis is another effect of high temperature that renders pollen male-sterile. Ethylene production weakens the sink strength, which restricts grain filling and ultimately leads to grain sterility. This is done by inhibiting the enzymes involved in sugar-starch metabolism. The production of seeds and fruits is decreased by heat stress because it causes flower and fruit abortion and abscission. There have been reports of yield reductions of 31% in wheat, 45% in maize, 50% in rice, 46% in soybeans, 31% in peanuts, 44% in sorghum, and 10% in sunflower as a result of high temperature stress (Nadeem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2018). Heat stress impacts plant growth and development and lowers the yield and quality of the finished grain.</w:t>
      </w:r>
    </w:p>
    <w:p w14:paraId="37DFAA37" w14:textId="77777777" w:rsidR="00E120BE" w:rsidRPr="0056087C" w:rsidRDefault="00E120BE" w:rsidP="0056087C">
      <w:pPr>
        <w:tabs>
          <w:tab w:val="left" w:pos="6615"/>
        </w:tabs>
        <w:spacing w:before="240" w:line="360" w:lineRule="auto"/>
        <w:rPr>
          <w:rFonts w:ascii="Times New Roman" w:hAnsi="Times New Roman" w:cs="Times New Roman"/>
          <w:b/>
          <w:sz w:val="24"/>
          <w:szCs w:val="24"/>
        </w:rPr>
      </w:pPr>
      <w:r w:rsidRPr="0056087C">
        <w:rPr>
          <w:rFonts w:ascii="Times New Roman" w:hAnsi="Times New Roman" w:cs="Times New Roman"/>
          <w:b/>
          <w:sz w:val="24"/>
          <w:szCs w:val="24"/>
        </w:rPr>
        <w:t>Effect of Heat stress on seed development and seed quality</w:t>
      </w:r>
    </w:p>
    <w:p w14:paraId="1A91E3DD"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lastRenderedPageBreak/>
        <w:t xml:space="preserve">In accordance with the species and other environmental factors, heat stress can also cause either early or delayed flowering. Accelerated flowering may cause reproductive development before the plant has acquired enough biomass resources to supply growing seeds (Zinn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2010). Asynchronous male and female reproductive development brought on by heat stress can also pose a challenge for the formation of hybrid seeds, which depend on the male parent line's pollen being available when the female parent line's stigmas are open to receiving it.</w:t>
      </w:r>
    </w:p>
    <w:p w14:paraId="69DF4DA1"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Heat stress can shorten the period of time that floral organs are open to pollen and pollen tubes, as well as lower the quantity, size, and shape of those organs. It can also speed up the development of the stigma and ovule (</w:t>
      </w:r>
      <w:proofErr w:type="spellStart"/>
      <w:r w:rsidRPr="0056087C">
        <w:rPr>
          <w:rFonts w:ascii="Times New Roman" w:hAnsi="Times New Roman" w:cs="Times New Roman"/>
          <w:sz w:val="24"/>
          <w:szCs w:val="24"/>
        </w:rPr>
        <w:t>Hedhly</w:t>
      </w:r>
      <w:proofErr w:type="spellEnd"/>
      <w:r w:rsidRPr="0056087C">
        <w:rPr>
          <w:rFonts w:ascii="Times New Roman" w:hAnsi="Times New Roman" w:cs="Times New Roman"/>
          <w:sz w:val="24"/>
          <w:szCs w:val="24"/>
        </w:rPr>
        <w:t xml:space="preserv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2009). Heat can have a deleterious impact on the amount and morphology of pollen, anther dehiscence and pollen wall construction, pollen chemical composition and metabolism, pollen viability, germination, and pollen tube growth. Because heat stress has a negative impact on pollen viability, pollen germination, and pollen tube growth rate, which reduces seed set, it will have a greater impact on seed production (Prasad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2002).</w:t>
      </w:r>
    </w:p>
    <w:p w14:paraId="36B20A1B" w14:textId="77777777"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The ability of the plant to supply the nutrients required to synthesize the storage compounds required for germination can be inhibited by high temperature stress before seeds reach physiological maturity, which can reduce germination. Additionally, the seeds may experience physiological damage to the point where they lose their ability to germinate. Increased temperature may result in decreased seed mass due to rapid seed growth and shorter seed filling times, although decreased seed mass does not always mean decreased germination or </w:t>
      </w:r>
      <w:proofErr w:type="spellStart"/>
      <w:r w:rsidRPr="0056087C">
        <w:rPr>
          <w:rFonts w:ascii="Times New Roman" w:hAnsi="Times New Roman" w:cs="Times New Roman"/>
          <w:sz w:val="24"/>
          <w:szCs w:val="24"/>
        </w:rPr>
        <w:t>vigour</w:t>
      </w:r>
      <w:proofErr w:type="spellEnd"/>
      <w:r w:rsidRPr="0056087C">
        <w:rPr>
          <w:rFonts w:ascii="Times New Roman" w:hAnsi="Times New Roman" w:cs="Times New Roman"/>
          <w:sz w:val="24"/>
          <w:szCs w:val="24"/>
        </w:rPr>
        <w:t xml:space="preserve">. Short-term exposure to high temperatures at critical stages of seed development might diminish seed </w:t>
      </w:r>
      <w:proofErr w:type="spellStart"/>
      <w:r w:rsidRPr="0056087C">
        <w:rPr>
          <w:rFonts w:ascii="Times New Roman" w:hAnsi="Times New Roman" w:cs="Times New Roman"/>
          <w:sz w:val="24"/>
          <w:szCs w:val="24"/>
        </w:rPr>
        <w:t>vigour</w:t>
      </w:r>
      <w:proofErr w:type="spellEnd"/>
      <w:r w:rsidRPr="0056087C">
        <w:rPr>
          <w:rFonts w:ascii="Times New Roman" w:hAnsi="Times New Roman" w:cs="Times New Roman"/>
          <w:sz w:val="24"/>
          <w:szCs w:val="24"/>
        </w:rPr>
        <w:t xml:space="preserve"> by inducing or speeding up the physiological deterioration of seeds (Hampton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2013).         </w:t>
      </w:r>
    </w:p>
    <w:p w14:paraId="673A87DF"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possible loss of genetic quality in open-pollinated, and F1 hybrid cultivars is a crucial effect of climate change on seed production. Elevated temperatures can cause changes in a plant's sexuality, such as the breakdown of male sterility or self-incompatibility processes. These breeding techniques are used in seed production to ensure the production of F1 hybrid seeds or to encourage outcrossing in order to maintain a high level of heterozygosity in many open-pollinated crops.</w:t>
      </w:r>
    </w:p>
    <w:p w14:paraId="569BD9E1" w14:textId="68FAEA19" w:rsidR="00E120BE" w:rsidRPr="0056087C" w:rsidRDefault="00E120BE" w:rsidP="00666746">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lastRenderedPageBreak/>
        <w:t>Self-pollination is the result of these genetic mechanisms breaking down. As a result, the cultivar's genetic integrity is lost, and any seed produced will no longer be true to type. Many forage plants, including clovers and perennial ryegrass, rely on self-incompatibility to maintain outcrossing and heterozygosity within open pollinated open-pollinated populations. Inbreeding could occur quickly in a few generations of seed production if self-incompatibility breaks down.</w:t>
      </w:r>
    </w:p>
    <w:p w14:paraId="34028274"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As a result, there would be a considerable decline in the frequency of heterozygosity at many loci, which would lead to inbreeding depression and much lower crop productivity. A significant source of pollen contamination for the formation of hybrid seeds is the breakdown of self-incompatibility or male sterility caused by heat stress. The use of a single dominant herbicide resistance gene in the homozygous form in the desired pollen parent is one potential remedy. Any true hybrid seed that is collected from the female parent is thus heterozygous for herbicide resistance, and any harvested seed resulting from the self-pollination of the female parent can be destroyed by sensitivity to the herbicide (Hampton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2016).</w:t>
      </w:r>
    </w:p>
    <w:p w14:paraId="5F535D54" w14:textId="77777777"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Plant mechanism to tolerate Heat stress</w:t>
      </w:r>
    </w:p>
    <w:p w14:paraId="1C303A68"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The ability of a plant to develop and grow to generate an acceptable yield under heat stress is known as thermo-tolerance. Under heat stress, plants can modify their morphology and phenology over a lengthy period of time, but they can also use short-term acclimation or avoidance strategies such as </w:t>
      </w:r>
      <w:proofErr w:type="spellStart"/>
      <w:r w:rsidRPr="0056087C">
        <w:rPr>
          <w:rFonts w:ascii="Times New Roman" w:hAnsi="Times New Roman" w:cs="Times New Roman"/>
          <w:sz w:val="24"/>
          <w:szCs w:val="24"/>
        </w:rPr>
        <w:t>transpirational</w:t>
      </w:r>
      <w:proofErr w:type="spellEnd"/>
      <w:r w:rsidRPr="0056087C">
        <w:rPr>
          <w:rFonts w:ascii="Times New Roman" w:hAnsi="Times New Roman" w:cs="Times New Roman"/>
          <w:sz w:val="24"/>
          <w:szCs w:val="24"/>
        </w:rPr>
        <w:t xml:space="preserve"> cooling, shifting the direction of their leaves, or altering the lipid contents of their membranes. Following are some of the adaption strategies plants use to withstand heat stress:</w:t>
      </w:r>
    </w:p>
    <w:p w14:paraId="013D67ED" w14:textId="77777777" w:rsidR="00E120BE" w:rsidRPr="0056087C" w:rsidRDefault="00E120BE" w:rsidP="0056087C">
      <w:pPr>
        <w:spacing w:line="360" w:lineRule="auto"/>
        <w:jc w:val="center"/>
        <w:rPr>
          <w:rFonts w:ascii="Times New Roman" w:eastAsia="Calibri" w:hAnsi="Times New Roman" w:cs="Times New Roman"/>
          <w:sz w:val="24"/>
          <w:szCs w:val="24"/>
        </w:rPr>
      </w:pPr>
      <w:r w:rsidRPr="0056087C">
        <w:rPr>
          <w:rFonts w:ascii="Times New Roman" w:hAnsi="Times New Roman" w:cs="Times New Roman"/>
          <w:noProof/>
          <w:sz w:val="24"/>
          <w:szCs w:val="24"/>
          <w:lang w:val="en-IN" w:eastAsia="en-IN"/>
        </w:rPr>
        <w:lastRenderedPageBreak/>
        <w:drawing>
          <wp:inline distT="0" distB="0" distL="0" distR="0" wp14:anchorId="48453743" wp14:editId="2265EDF1">
            <wp:extent cx="4552950" cy="4965892"/>
            <wp:effectExtent l="57150" t="38100" r="38100" b="25208"/>
            <wp:docPr id="3" name="Picture 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2"/>
                    <a:srcRect/>
                    <a:stretch>
                      <a:fillRect/>
                    </a:stretch>
                  </pic:blipFill>
                  <pic:spPr bwMode="auto">
                    <a:xfrm>
                      <a:off x="0" y="0"/>
                      <a:ext cx="4552950" cy="4965892"/>
                    </a:xfrm>
                    <a:prstGeom prst="rect">
                      <a:avLst/>
                    </a:prstGeom>
                    <a:noFill/>
                    <a:ln w="28575">
                      <a:solidFill>
                        <a:schemeClr val="bg1"/>
                      </a:solidFill>
                      <a:miter lim="800000"/>
                      <a:headEnd/>
                      <a:tailEnd/>
                    </a:ln>
                    <a:effectLst/>
                  </pic:spPr>
                </pic:pic>
              </a:graphicData>
            </a:graphic>
          </wp:inline>
        </w:drawing>
      </w:r>
    </w:p>
    <w:p w14:paraId="2BC88ECB" w14:textId="1FCB486F" w:rsidR="00E120BE" w:rsidRPr="0056087C" w:rsidRDefault="00E120BE" w:rsidP="0056087C">
      <w:pPr>
        <w:spacing w:before="240" w:line="360" w:lineRule="auto"/>
        <w:jc w:val="center"/>
        <w:rPr>
          <w:rFonts w:ascii="Times New Roman" w:hAnsi="Times New Roman" w:cs="Times New Roman"/>
          <w:b/>
          <w:bCs/>
          <w:sz w:val="24"/>
          <w:szCs w:val="24"/>
        </w:rPr>
      </w:pPr>
      <w:r w:rsidRPr="0056087C">
        <w:rPr>
          <w:rFonts w:ascii="Times New Roman" w:hAnsi="Times New Roman" w:cs="Times New Roman"/>
          <w:b/>
          <w:bCs/>
          <w:sz w:val="24"/>
          <w:szCs w:val="24"/>
        </w:rPr>
        <w:t xml:space="preserve">Fig </w:t>
      </w:r>
      <w:r w:rsidR="00FA455D">
        <w:rPr>
          <w:rFonts w:ascii="Times New Roman" w:hAnsi="Times New Roman" w:cs="Times New Roman"/>
          <w:b/>
          <w:bCs/>
          <w:sz w:val="24"/>
          <w:szCs w:val="24"/>
        </w:rPr>
        <w:t>4</w:t>
      </w:r>
      <w:r w:rsidRPr="0056087C">
        <w:rPr>
          <w:rFonts w:ascii="Times New Roman" w:hAnsi="Times New Roman" w:cs="Times New Roman"/>
          <w:b/>
          <w:bCs/>
          <w:sz w:val="24"/>
          <w:szCs w:val="24"/>
        </w:rPr>
        <w:t>: Physiological, biochemical, and morphological adaptations of plants to deal with HS</w:t>
      </w:r>
    </w:p>
    <w:p w14:paraId="481AD538" w14:textId="77777777" w:rsidR="00E120BE" w:rsidRPr="0056087C" w:rsidRDefault="00E120BE" w:rsidP="0056087C">
      <w:pPr>
        <w:spacing w:before="240" w:line="360" w:lineRule="auto"/>
        <w:rPr>
          <w:rFonts w:ascii="Times New Roman" w:hAnsi="Times New Roman" w:cs="Times New Roman"/>
          <w:b/>
          <w:sz w:val="24"/>
          <w:szCs w:val="24"/>
        </w:rPr>
      </w:pPr>
      <w:r w:rsidRPr="0056087C">
        <w:rPr>
          <w:rFonts w:ascii="Times New Roman" w:hAnsi="Times New Roman" w:cs="Times New Roman"/>
          <w:b/>
          <w:sz w:val="24"/>
          <w:szCs w:val="24"/>
        </w:rPr>
        <w:t>Resilient Techniques for heat stress tolerance</w:t>
      </w:r>
    </w:p>
    <w:p w14:paraId="487291A8"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Even though plants have some morphological, physiological and biochemical adaptations to tolerate heat stress, additional practices are required for improving the quality and yield of seed crops. The following mitigation strategies can be practiced for reducing the effect of heat stress and increasing plant performance under heat stress (Hassan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2021).</w:t>
      </w:r>
    </w:p>
    <w:p w14:paraId="6E4AC720" w14:textId="77777777" w:rsidR="00E120BE" w:rsidRPr="0056087C" w:rsidRDefault="00E120BE" w:rsidP="0056087C">
      <w:pPr>
        <w:spacing w:before="240" w:line="360" w:lineRule="auto"/>
        <w:ind w:firstLine="720"/>
        <w:jc w:val="both"/>
        <w:rPr>
          <w:rFonts w:ascii="Times New Roman" w:hAnsi="Times New Roman" w:cs="Times New Roman"/>
          <w:sz w:val="24"/>
          <w:szCs w:val="24"/>
        </w:rPr>
      </w:pPr>
    </w:p>
    <w:p w14:paraId="45C60272" w14:textId="77777777"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Breeding strategies</w:t>
      </w:r>
    </w:p>
    <w:p w14:paraId="5858B7F0" w14:textId="77777777"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Molecular and biotechnological approaches </w:t>
      </w:r>
    </w:p>
    <w:p w14:paraId="5E955AF0" w14:textId="77777777"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Moving sites for seed production</w:t>
      </w:r>
    </w:p>
    <w:p w14:paraId="22CE807B" w14:textId="77777777"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lastRenderedPageBreak/>
        <w:t>Sowing date</w:t>
      </w:r>
    </w:p>
    <w:p w14:paraId="6723B99C" w14:textId="77777777"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Seed priming</w:t>
      </w:r>
    </w:p>
    <w:p w14:paraId="60948816" w14:textId="77777777"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Bacterial seed treatment</w:t>
      </w:r>
    </w:p>
    <w:p w14:paraId="3D359BD8" w14:textId="77777777"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Spray of </w:t>
      </w:r>
      <w:proofErr w:type="spellStart"/>
      <w:r w:rsidRPr="0056087C">
        <w:rPr>
          <w:rFonts w:ascii="Times New Roman" w:hAnsi="Times New Roman" w:cs="Times New Roman"/>
          <w:sz w:val="24"/>
          <w:szCs w:val="24"/>
        </w:rPr>
        <w:t>osmoprotectants</w:t>
      </w:r>
      <w:proofErr w:type="spellEnd"/>
    </w:p>
    <w:p w14:paraId="4CA87DDE" w14:textId="77777777"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Nutrient management</w:t>
      </w:r>
    </w:p>
    <w:p w14:paraId="76F183AA" w14:textId="77777777" w:rsidR="00E120BE" w:rsidRPr="0056087C" w:rsidRDefault="00E120BE" w:rsidP="0056087C">
      <w:pPr>
        <w:pStyle w:val="ListParagraph"/>
        <w:numPr>
          <w:ilvl w:val="0"/>
          <w:numId w:val="1"/>
        </w:num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Water management</w:t>
      </w:r>
    </w:p>
    <w:p w14:paraId="2A54FEAE" w14:textId="77777777"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Breeding strategies</w:t>
      </w:r>
    </w:p>
    <w:p w14:paraId="19BB1EAC"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genetic heterogeneity in wild and farmed plant species needs to be sorted out in order to improve crop performance under stressful circumstances. The polygenic regulation and extreme sensitivity to environmental factors of the genetic features linked to abiotic stress tolerance make them extraordinarily complex. To increase heat stress tolerance in plants, it is also necessary to investigate heat stress resistant genes and quantitative trait loci (QTLs) in wild landraces and non-adapted genotypes.</w:t>
      </w:r>
    </w:p>
    <w:p w14:paraId="3A946E92"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The genetic heterogeneity in wild and farmed plant species needs to be sorted out in order to improve crop performance under stressful circumstances. The polygenic regulation and extreme sensitivity to environmental factors of the genetic features linked to abiotic stress tolerance make them extraordinarily complex. To increase heat stress tolerance in plants, it is also necessary to investigate heat stress resistant genes and quantitative trait loci (QTLs) in wild landraces and non-adapted genotypes.</w:t>
      </w:r>
    </w:p>
    <w:p w14:paraId="6B62B8D1"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 These genotypes can be crossed with superior cultivar cultivars that currently exist to give the superior cultivar the ability to withstand heat stress. This can be accomplished through a variety of breeding techniques, which leads to the creation of new heat-tolerant varieties. For good production, these types can be grown under heat stress.</w:t>
      </w:r>
    </w:p>
    <w:p w14:paraId="45592BB4" w14:textId="77777777" w:rsidR="00E120BE" w:rsidRPr="0056087C" w:rsidRDefault="00E120BE" w:rsidP="0056087C">
      <w:pPr>
        <w:spacing w:after="0"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t>Table 3: Heat tolerant varieties of some field crops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6300"/>
      </w:tblGrid>
      <w:tr w:rsidR="00E120BE" w:rsidRPr="0056087C" w14:paraId="644A6A80" w14:textId="77777777" w:rsidTr="00E12E39">
        <w:trPr>
          <w:jc w:val="center"/>
        </w:trPr>
        <w:tc>
          <w:tcPr>
            <w:tcW w:w="2340" w:type="dxa"/>
            <w:tcBorders>
              <w:top w:val="single" w:sz="4" w:space="0" w:color="auto"/>
              <w:bottom w:val="single" w:sz="4" w:space="0" w:color="auto"/>
            </w:tcBorders>
          </w:tcPr>
          <w:p w14:paraId="08EE62F3" w14:textId="77777777"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t>Crops</w:t>
            </w:r>
          </w:p>
        </w:tc>
        <w:tc>
          <w:tcPr>
            <w:tcW w:w="6300" w:type="dxa"/>
            <w:tcBorders>
              <w:top w:val="single" w:sz="4" w:space="0" w:color="auto"/>
              <w:bottom w:val="single" w:sz="4" w:space="0" w:color="auto"/>
            </w:tcBorders>
          </w:tcPr>
          <w:p w14:paraId="3C56AD7D" w14:textId="77777777"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t>Heat tolerant varieties</w:t>
            </w:r>
          </w:p>
        </w:tc>
      </w:tr>
      <w:tr w:rsidR="00E120BE" w:rsidRPr="0056087C" w14:paraId="2B9BB8B7" w14:textId="77777777" w:rsidTr="00E12E39">
        <w:trPr>
          <w:jc w:val="center"/>
        </w:trPr>
        <w:tc>
          <w:tcPr>
            <w:tcW w:w="2340" w:type="dxa"/>
            <w:tcBorders>
              <w:top w:val="single" w:sz="4" w:space="0" w:color="auto"/>
            </w:tcBorders>
          </w:tcPr>
          <w:p w14:paraId="15E4A564"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Wheat</w:t>
            </w:r>
          </w:p>
        </w:tc>
        <w:tc>
          <w:tcPr>
            <w:tcW w:w="6300" w:type="dxa"/>
            <w:tcBorders>
              <w:top w:val="single" w:sz="4" w:space="0" w:color="auto"/>
            </w:tcBorders>
          </w:tcPr>
          <w:p w14:paraId="7FA9AE96"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HD 2932, HD 2864, HD 3095, HI 8703, HUW 234</w:t>
            </w:r>
          </w:p>
        </w:tc>
      </w:tr>
      <w:tr w:rsidR="00E120BE" w:rsidRPr="0056087C" w14:paraId="0A6B188F" w14:textId="77777777" w:rsidTr="00E12E39">
        <w:trPr>
          <w:jc w:val="center"/>
        </w:trPr>
        <w:tc>
          <w:tcPr>
            <w:tcW w:w="2340" w:type="dxa"/>
          </w:tcPr>
          <w:p w14:paraId="100A00A7"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Maize</w:t>
            </w:r>
          </w:p>
        </w:tc>
        <w:tc>
          <w:tcPr>
            <w:tcW w:w="6300" w:type="dxa"/>
          </w:tcPr>
          <w:p w14:paraId="6AC7B4AC"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DTPYC9F119</w:t>
            </w:r>
          </w:p>
        </w:tc>
      </w:tr>
      <w:tr w:rsidR="00E120BE" w:rsidRPr="0056087C" w14:paraId="02D129DD" w14:textId="77777777" w:rsidTr="00E12E39">
        <w:trPr>
          <w:jc w:val="center"/>
        </w:trPr>
        <w:tc>
          <w:tcPr>
            <w:tcW w:w="2340" w:type="dxa"/>
          </w:tcPr>
          <w:p w14:paraId="4999D2FB"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lastRenderedPageBreak/>
              <w:t>Chick pea</w:t>
            </w:r>
          </w:p>
        </w:tc>
        <w:tc>
          <w:tcPr>
            <w:tcW w:w="6300" w:type="dxa"/>
          </w:tcPr>
          <w:p w14:paraId="2D3FC765"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Pusa 1103, Pusa 1003, KWR 108, BGM 408, BG, 240, PG 95333, JG 14, ICCV 07110, ICCV 92944, ICC 1205</w:t>
            </w:r>
          </w:p>
        </w:tc>
      </w:tr>
      <w:tr w:rsidR="00E120BE" w:rsidRPr="0056087C" w14:paraId="1F31E7F7" w14:textId="77777777" w:rsidTr="00E12E39">
        <w:trPr>
          <w:jc w:val="center"/>
        </w:trPr>
        <w:tc>
          <w:tcPr>
            <w:tcW w:w="2340" w:type="dxa"/>
          </w:tcPr>
          <w:p w14:paraId="2D3FB14B"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Lentil</w:t>
            </w:r>
          </w:p>
        </w:tc>
        <w:tc>
          <w:tcPr>
            <w:tcW w:w="6300" w:type="dxa"/>
          </w:tcPr>
          <w:p w14:paraId="7F8151F4"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IG 2507, IG 3263, IG 3745, IG 4258, FLIP 2009</w:t>
            </w:r>
          </w:p>
        </w:tc>
      </w:tr>
      <w:tr w:rsidR="00E120BE" w:rsidRPr="0056087C" w14:paraId="04BADF81" w14:textId="77777777" w:rsidTr="00E12E39">
        <w:trPr>
          <w:jc w:val="center"/>
        </w:trPr>
        <w:tc>
          <w:tcPr>
            <w:tcW w:w="2340" w:type="dxa"/>
          </w:tcPr>
          <w:p w14:paraId="589CBEFA"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Mung bean</w:t>
            </w:r>
          </w:p>
        </w:tc>
        <w:tc>
          <w:tcPr>
            <w:tcW w:w="6300" w:type="dxa"/>
          </w:tcPr>
          <w:p w14:paraId="10576B45"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EC 693357, EC 693358, EC 693369, Harsha, ML 1299</w:t>
            </w:r>
          </w:p>
        </w:tc>
      </w:tr>
      <w:tr w:rsidR="00E120BE" w:rsidRPr="0056087C" w14:paraId="3BE76825" w14:textId="77777777" w:rsidTr="00E12E39">
        <w:trPr>
          <w:jc w:val="center"/>
        </w:trPr>
        <w:tc>
          <w:tcPr>
            <w:tcW w:w="2340" w:type="dxa"/>
            <w:tcBorders>
              <w:bottom w:val="single" w:sz="4" w:space="0" w:color="auto"/>
            </w:tcBorders>
          </w:tcPr>
          <w:p w14:paraId="101D1C80" w14:textId="77777777" w:rsidR="00E120BE" w:rsidRPr="0056087C" w:rsidRDefault="00E120BE" w:rsidP="0056087C">
            <w:pPr>
              <w:spacing w:line="360" w:lineRule="auto"/>
              <w:rPr>
                <w:rFonts w:ascii="Times New Roman" w:hAnsi="Times New Roman" w:cs="Times New Roman"/>
                <w:b/>
                <w:sz w:val="24"/>
                <w:szCs w:val="24"/>
              </w:rPr>
            </w:pPr>
            <w:r w:rsidRPr="0056087C">
              <w:rPr>
                <w:rFonts w:ascii="Times New Roman" w:hAnsi="Times New Roman" w:cs="Times New Roman"/>
                <w:b/>
                <w:sz w:val="24"/>
                <w:szCs w:val="24"/>
              </w:rPr>
              <w:t>Indian mustard</w:t>
            </w:r>
          </w:p>
        </w:tc>
        <w:tc>
          <w:tcPr>
            <w:tcW w:w="6300" w:type="dxa"/>
            <w:tcBorders>
              <w:bottom w:val="single" w:sz="4" w:space="0" w:color="auto"/>
            </w:tcBorders>
          </w:tcPr>
          <w:p w14:paraId="47DB1CA9"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BPR-538-10, NRCDR-2, RH-0216</w:t>
            </w:r>
          </w:p>
        </w:tc>
      </w:tr>
    </w:tbl>
    <w:p w14:paraId="37932ABC" w14:textId="77777777"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Molecular and biotechnological approaches</w:t>
      </w:r>
    </w:p>
    <w:p w14:paraId="23DB393A"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Identification of heat stress-related QTLs requires expertise in both molecular biology and molecular markers, respectively. Variations in the activities of transcription and translation can influence a plant's tolerance to heat </w:t>
      </w:r>
      <w:proofErr w:type="spellStart"/>
      <w:proofErr w:type="gramStart"/>
      <w:r w:rsidRPr="0056087C">
        <w:rPr>
          <w:rFonts w:ascii="Times New Roman" w:hAnsi="Times New Roman" w:cs="Times New Roman"/>
          <w:sz w:val="24"/>
          <w:szCs w:val="24"/>
        </w:rPr>
        <w:t>stress.The</w:t>
      </w:r>
      <w:proofErr w:type="spellEnd"/>
      <w:proofErr w:type="gramEnd"/>
      <w:r w:rsidRPr="0056087C">
        <w:rPr>
          <w:rFonts w:ascii="Times New Roman" w:hAnsi="Times New Roman" w:cs="Times New Roman"/>
          <w:sz w:val="24"/>
          <w:szCs w:val="24"/>
        </w:rPr>
        <w:t xml:space="preserve"> requisite translational actions during the stressful period require transcription to be supported. Typically, such activities in plants alter swiftly during seed germination, and similarly, amid heat and drought stress (Gallie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1998).</w:t>
      </w:r>
    </w:p>
    <w:p w14:paraId="2C2F3220"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Genetic engineering and marker-assisted selection are the two main biotechnological methods used to increase plants' ability to withstand heat stress (MAS). Both methods have significantly contributed to our understanding of the genetic and metabolic underpinnings of plant heat stress tolerance, which forms the basis for the creation of heat stress tolerant genotypes. Given the complexity of heat stress and the challenges associated with phenotypic selection for heat stress tolerance, MAS is a vital strategy for enhancing plant tolerance to heat stress. Use This method has been used to significantly identify and define a number of QTLs with great effects on heat stress at various plant growth stages (</w:t>
      </w:r>
      <w:proofErr w:type="spellStart"/>
      <w:r w:rsidRPr="0056087C">
        <w:rPr>
          <w:rFonts w:ascii="Times New Roman" w:hAnsi="Times New Roman" w:cs="Times New Roman"/>
          <w:sz w:val="24"/>
          <w:szCs w:val="24"/>
        </w:rPr>
        <w:t>Foolad</w:t>
      </w:r>
      <w:proofErr w:type="spellEnd"/>
      <w:r w:rsidRPr="0056087C">
        <w:rPr>
          <w:rFonts w:ascii="Times New Roman" w:hAnsi="Times New Roman" w:cs="Times New Roman"/>
          <w:sz w:val="24"/>
          <w:szCs w:val="24"/>
        </w:rPr>
        <w:t xml:space="preserve"> 2005).</w:t>
      </w:r>
    </w:p>
    <w:p w14:paraId="29A2B71D"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In order to breed genotypes with a higher tolerance to heat stress, more contemporary techniques, including gene expression and genetic transformation, have promoted a better understanding of plant heat stress tolerance's biochemical and genetic roots. With the aid of transgenic technology, changes in gene expression and the synthesis of targeted genes, proteins, and enzymes have increased the tolerance of several plant species to heat stress. In conclusion, biotechnology methods have promise for creating cultivars that can withstand heat stress. However, further study in this area is needed to comprehend the physiological, molecular, and genetic underpinnings and create cultivars with enhanced heat stress resistance. Omics are the newly developed techniques providing an opportunity to identify translational, transcriptional </w:t>
      </w:r>
      <w:r w:rsidRPr="0056087C">
        <w:rPr>
          <w:rFonts w:ascii="Times New Roman" w:hAnsi="Times New Roman" w:cs="Times New Roman"/>
          <w:sz w:val="24"/>
          <w:szCs w:val="24"/>
        </w:rPr>
        <w:lastRenderedPageBreak/>
        <w:t xml:space="preserve">and post-translational mechanisms and the signaling pathways that appreciably regulate plants’ responses to heat stress. Omics also help in systematically examining and determining the correlations between the variations in the genomes, </w:t>
      </w:r>
      <w:proofErr w:type="spellStart"/>
      <w:r w:rsidRPr="0056087C">
        <w:rPr>
          <w:rFonts w:ascii="Times New Roman" w:hAnsi="Times New Roman" w:cs="Times New Roman"/>
          <w:sz w:val="24"/>
          <w:szCs w:val="24"/>
        </w:rPr>
        <w:t>micromes</w:t>
      </w:r>
      <w:proofErr w:type="spellEnd"/>
      <w:r w:rsidRPr="0056087C">
        <w:rPr>
          <w:rFonts w:ascii="Times New Roman" w:hAnsi="Times New Roman" w:cs="Times New Roman"/>
          <w:sz w:val="24"/>
          <w:szCs w:val="24"/>
        </w:rPr>
        <w:t xml:space="preserve">, and proteomes of different plants in response to high temperatures. </w:t>
      </w:r>
    </w:p>
    <w:p w14:paraId="6257A3EE" w14:textId="77777777"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Moving sites for seed production</w:t>
      </w:r>
    </w:p>
    <w:p w14:paraId="5738DDD7"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A crop variety must be adapted to the local photoperiod and temperature circumstances if it is to be produced there for seed production. Large amounts of sunshine, relatively light rain, and the lack of strong winds are all </w:t>
      </w:r>
      <w:proofErr w:type="spellStart"/>
      <w:r w:rsidRPr="0056087C">
        <w:rPr>
          <w:rFonts w:ascii="Times New Roman" w:hAnsi="Times New Roman" w:cs="Times New Roman"/>
          <w:sz w:val="24"/>
          <w:szCs w:val="24"/>
        </w:rPr>
        <w:t>favourable</w:t>
      </w:r>
      <w:proofErr w:type="spellEnd"/>
      <w:r w:rsidRPr="0056087C">
        <w:rPr>
          <w:rFonts w:ascii="Times New Roman" w:hAnsi="Times New Roman" w:cs="Times New Roman"/>
          <w:sz w:val="24"/>
          <w:szCs w:val="24"/>
        </w:rPr>
        <w:t xml:space="preserve"> conditions for the creation of fruitful, high-quality seeds. Heat stress, however, will degrade seed quality and produce </w:t>
      </w:r>
      <w:proofErr w:type="spellStart"/>
      <w:r w:rsidRPr="0056087C">
        <w:rPr>
          <w:rFonts w:ascii="Times New Roman" w:hAnsi="Times New Roman" w:cs="Times New Roman"/>
          <w:sz w:val="24"/>
          <w:szCs w:val="24"/>
        </w:rPr>
        <w:t>unfavourable</w:t>
      </w:r>
      <w:proofErr w:type="spellEnd"/>
      <w:r w:rsidRPr="0056087C">
        <w:rPr>
          <w:rFonts w:ascii="Times New Roman" w:hAnsi="Times New Roman" w:cs="Times New Roman"/>
          <w:sz w:val="24"/>
          <w:szCs w:val="24"/>
        </w:rPr>
        <w:t xml:space="preserve"> conditions for seed formation. Alternative places for hybrid seed production among important crops have been found under the AICRP-National Seed Project in order to reduce the negative effects of climate change and to further improve the quality of hybrid seed availability in the nation (crops).</w:t>
      </w:r>
    </w:p>
    <w:p w14:paraId="3BA36F07" w14:textId="77777777" w:rsidR="00E120BE" w:rsidRPr="0056087C" w:rsidRDefault="00E120BE" w:rsidP="0056087C">
      <w:pPr>
        <w:spacing w:line="360" w:lineRule="auto"/>
        <w:jc w:val="both"/>
        <w:rPr>
          <w:rFonts w:ascii="Times New Roman" w:eastAsia="Calibri" w:hAnsi="Times New Roman" w:cs="Times New Roman"/>
          <w:sz w:val="24"/>
          <w:szCs w:val="24"/>
        </w:rPr>
      </w:pPr>
      <w:r w:rsidRPr="0056087C">
        <w:rPr>
          <w:rFonts w:ascii="Times New Roman" w:hAnsi="Times New Roman" w:cs="Times New Roman"/>
          <w:noProof/>
          <w:sz w:val="24"/>
          <w:szCs w:val="24"/>
          <w:lang w:val="en-IN" w:eastAsia="en-IN"/>
        </w:rPr>
        <w:drawing>
          <wp:inline distT="0" distB="0" distL="0" distR="0" wp14:anchorId="3B65FFE8" wp14:editId="53173A73">
            <wp:extent cx="5341356" cy="4078840"/>
            <wp:effectExtent l="0" t="0" r="0" b="0"/>
            <wp:docPr id="7" name="Picture 1"/>
            <wp:cNvGraphicFramePr/>
            <a:graphic xmlns:a="http://schemas.openxmlformats.org/drawingml/2006/main">
              <a:graphicData uri="http://schemas.openxmlformats.org/drawingml/2006/picture">
                <pic:pic xmlns:pic="http://schemas.openxmlformats.org/drawingml/2006/picture">
                  <pic:nvPicPr>
                    <pic:cNvPr id="8194" name="Picture 5"/>
                    <pic:cNvPicPr>
                      <a:picLocks noChangeAspect="1" noChangeArrowheads="1"/>
                    </pic:cNvPicPr>
                  </pic:nvPicPr>
                  <pic:blipFill>
                    <a:blip r:embed="rId13"/>
                    <a:srcRect/>
                    <a:stretch>
                      <a:fillRect/>
                    </a:stretch>
                  </pic:blipFill>
                  <pic:spPr bwMode="auto">
                    <a:xfrm>
                      <a:off x="0" y="0"/>
                      <a:ext cx="5371287" cy="4101696"/>
                    </a:xfrm>
                    <a:prstGeom prst="rect">
                      <a:avLst/>
                    </a:prstGeom>
                    <a:noFill/>
                    <a:ln w="9525">
                      <a:noFill/>
                      <a:miter lim="800000"/>
                      <a:headEnd/>
                      <a:tailEnd/>
                    </a:ln>
                  </pic:spPr>
                </pic:pic>
              </a:graphicData>
            </a:graphic>
          </wp:inline>
        </w:drawing>
      </w:r>
    </w:p>
    <w:p w14:paraId="07E724EE" w14:textId="77777777"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sz w:val="24"/>
          <w:szCs w:val="24"/>
        </w:rPr>
        <w:t>Fig. 5. Map showing alternative areas for hybrid seed production of major crops in India</w:t>
      </w:r>
    </w:p>
    <w:tbl>
      <w:tblPr>
        <w:tblStyle w:val="TableGrid"/>
        <w:tblW w:w="943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7073"/>
      </w:tblGrid>
      <w:tr w:rsidR="00E120BE" w:rsidRPr="0056087C" w14:paraId="01EA632A" w14:textId="77777777" w:rsidTr="00E12E39">
        <w:trPr>
          <w:trHeight w:val="431"/>
          <w:jc w:val="center"/>
        </w:trPr>
        <w:tc>
          <w:tcPr>
            <w:tcW w:w="2357" w:type="dxa"/>
            <w:tcBorders>
              <w:top w:val="single" w:sz="4" w:space="0" w:color="auto"/>
              <w:bottom w:val="single" w:sz="4" w:space="0" w:color="auto"/>
            </w:tcBorders>
            <w:vAlign w:val="bottom"/>
          </w:tcPr>
          <w:p w14:paraId="49807994" w14:textId="77777777"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rPr>
              <w:lastRenderedPageBreak/>
              <w:t>Crops</w:t>
            </w:r>
          </w:p>
        </w:tc>
        <w:tc>
          <w:tcPr>
            <w:tcW w:w="7073" w:type="dxa"/>
            <w:tcBorders>
              <w:top w:val="single" w:sz="4" w:space="0" w:color="auto"/>
              <w:bottom w:val="single" w:sz="4" w:space="0" w:color="auto"/>
            </w:tcBorders>
            <w:vAlign w:val="bottom"/>
          </w:tcPr>
          <w:p w14:paraId="60C508AB" w14:textId="77777777" w:rsidR="00E120BE" w:rsidRPr="0056087C" w:rsidRDefault="00E120BE" w:rsidP="0056087C">
            <w:pPr>
              <w:spacing w:line="360" w:lineRule="auto"/>
              <w:jc w:val="center"/>
              <w:rPr>
                <w:rFonts w:ascii="Times New Roman" w:hAnsi="Times New Roman" w:cs="Times New Roman"/>
                <w:b/>
                <w:sz w:val="24"/>
                <w:szCs w:val="24"/>
              </w:rPr>
            </w:pPr>
            <w:r w:rsidRPr="0056087C">
              <w:rPr>
                <w:rFonts w:ascii="Times New Roman" w:hAnsi="Times New Roman" w:cs="Times New Roman"/>
                <w:b/>
                <w:sz w:val="24"/>
                <w:szCs w:val="24"/>
                <w:lang w:val="en-IN"/>
              </w:rPr>
              <w:t>Alternative seed production site</w:t>
            </w:r>
          </w:p>
        </w:tc>
      </w:tr>
      <w:tr w:rsidR="00E120BE" w:rsidRPr="0056087C" w14:paraId="76D06FA6" w14:textId="77777777" w:rsidTr="00E12E39">
        <w:trPr>
          <w:trHeight w:val="1219"/>
          <w:jc w:val="center"/>
        </w:trPr>
        <w:tc>
          <w:tcPr>
            <w:tcW w:w="2357" w:type="dxa"/>
            <w:tcBorders>
              <w:top w:val="single" w:sz="4" w:space="0" w:color="auto"/>
            </w:tcBorders>
          </w:tcPr>
          <w:p w14:paraId="17EAE9F9"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Paddy</w:t>
            </w:r>
          </w:p>
        </w:tc>
        <w:tc>
          <w:tcPr>
            <w:tcW w:w="7073" w:type="dxa"/>
            <w:tcBorders>
              <w:top w:val="single" w:sz="4" w:space="0" w:color="auto"/>
            </w:tcBorders>
          </w:tcPr>
          <w:p w14:paraId="2A1EB347"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lang w:val="en-IN"/>
              </w:rPr>
              <w:t xml:space="preserve">Kolhapur (Maharashtra); </w:t>
            </w:r>
            <w:proofErr w:type="spellStart"/>
            <w:r w:rsidRPr="0056087C">
              <w:rPr>
                <w:rFonts w:ascii="Times New Roman" w:hAnsi="Times New Roman" w:cs="Times New Roman"/>
                <w:bCs/>
                <w:sz w:val="24"/>
                <w:szCs w:val="24"/>
                <w:lang w:val="en-IN"/>
              </w:rPr>
              <w:t>Balaghat</w:t>
            </w:r>
            <w:proofErr w:type="spellEnd"/>
            <w:r w:rsidRPr="0056087C">
              <w:rPr>
                <w:rFonts w:ascii="Times New Roman" w:hAnsi="Times New Roman" w:cs="Times New Roman"/>
                <w:bCs/>
                <w:sz w:val="24"/>
                <w:szCs w:val="24"/>
                <w:lang w:val="en-IN"/>
              </w:rPr>
              <w:t xml:space="preserve"> (Madhya Pradesh); Sira (Tumkur), T. </w:t>
            </w:r>
            <w:proofErr w:type="spellStart"/>
            <w:r w:rsidRPr="0056087C">
              <w:rPr>
                <w:rFonts w:ascii="Times New Roman" w:hAnsi="Times New Roman" w:cs="Times New Roman"/>
                <w:bCs/>
                <w:sz w:val="24"/>
                <w:szCs w:val="24"/>
                <w:lang w:val="en-IN"/>
              </w:rPr>
              <w:t>Narsipura</w:t>
            </w:r>
            <w:proofErr w:type="spellEnd"/>
            <w:r w:rsidRPr="0056087C">
              <w:rPr>
                <w:rFonts w:ascii="Times New Roman" w:hAnsi="Times New Roman" w:cs="Times New Roman"/>
                <w:bCs/>
                <w:sz w:val="24"/>
                <w:szCs w:val="24"/>
                <w:lang w:val="en-IN"/>
              </w:rPr>
              <w:t xml:space="preserve"> (Mysore) in Karnataka; </w:t>
            </w:r>
            <w:proofErr w:type="spellStart"/>
            <w:r w:rsidRPr="0056087C">
              <w:rPr>
                <w:rFonts w:ascii="Times New Roman" w:hAnsi="Times New Roman" w:cs="Times New Roman"/>
                <w:bCs/>
                <w:sz w:val="24"/>
                <w:szCs w:val="24"/>
                <w:lang w:val="en-IN"/>
              </w:rPr>
              <w:t>Dhamtari</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Mahasamund</w:t>
            </w:r>
            <w:proofErr w:type="spellEnd"/>
            <w:r w:rsidRPr="0056087C">
              <w:rPr>
                <w:rFonts w:ascii="Times New Roman" w:hAnsi="Times New Roman" w:cs="Times New Roman"/>
                <w:bCs/>
                <w:sz w:val="24"/>
                <w:szCs w:val="24"/>
                <w:lang w:val="en-IN"/>
              </w:rPr>
              <w:t xml:space="preserve"> &amp; </w:t>
            </w:r>
            <w:proofErr w:type="spellStart"/>
            <w:r w:rsidRPr="0056087C">
              <w:rPr>
                <w:rFonts w:ascii="Times New Roman" w:hAnsi="Times New Roman" w:cs="Times New Roman"/>
                <w:bCs/>
                <w:sz w:val="24"/>
                <w:szCs w:val="24"/>
                <w:lang w:val="en-IN"/>
              </w:rPr>
              <w:t>Gariaband</w:t>
            </w:r>
            <w:proofErr w:type="spellEnd"/>
            <w:r w:rsidRPr="0056087C">
              <w:rPr>
                <w:rFonts w:ascii="Times New Roman" w:hAnsi="Times New Roman" w:cs="Times New Roman"/>
                <w:bCs/>
                <w:sz w:val="24"/>
                <w:szCs w:val="24"/>
                <w:lang w:val="en-IN"/>
              </w:rPr>
              <w:t xml:space="preserve"> in </w:t>
            </w:r>
            <w:proofErr w:type="spellStart"/>
            <w:r w:rsidRPr="0056087C">
              <w:rPr>
                <w:rFonts w:ascii="Times New Roman" w:hAnsi="Times New Roman" w:cs="Times New Roman"/>
                <w:bCs/>
                <w:sz w:val="24"/>
                <w:szCs w:val="24"/>
                <w:lang w:val="en-IN"/>
              </w:rPr>
              <w:t>Chhatisgarh</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Chilakalurpet</w:t>
            </w:r>
            <w:proofErr w:type="spellEnd"/>
            <w:r w:rsidRPr="0056087C">
              <w:rPr>
                <w:rFonts w:ascii="Times New Roman" w:hAnsi="Times New Roman" w:cs="Times New Roman"/>
                <w:bCs/>
                <w:sz w:val="24"/>
                <w:szCs w:val="24"/>
                <w:lang w:val="en-IN"/>
              </w:rPr>
              <w:t xml:space="preserve"> (Guntur) in Andhra Pradesh</w:t>
            </w:r>
            <w:r w:rsidRPr="0056087C">
              <w:rPr>
                <w:rFonts w:ascii="Times New Roman" w:hAnsi="Times New Roman" w:cs="Times New Roman"/>
                <w:bCs/>
                <w:sz w:val="24"/>
                <w:szCs w:val="24"/>
              </w:rPr>
              <w:t xml:space="preserve"> </w:t>
            </w:r>
          </w:p>
        </w:tc>
      </w:tr>
      <w:tr w:rsidR="00E120BE" w:rsidRPr="0056087C" w14:paraId="5DF269BB" w14:textId="77777777" w:rsidTr="00E12E39">
        <w:trPr>
          <w:trHeight w:val="431"/>
          <w:jc w:val="center"/>
        </w:trPr>
        <w:tc>
          <w:tcPr>
            <w:tcW w:w="2357" w:type="dxa"/>
          </w:tcPr>
          <w:p w14:paraId="355830BC"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Sorghum</w:t>
            </w:r>
          </w:p>
        </w:tc>
        <w:tc>
          <w:tcPr>
            <w:tcW w:w="7073" w:type="dxa"/>
          </w:tcPr>
          <w:p w14:paraId="135278D6"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lang w:val="en-IN"/>
              </w:rPr>
              <w:t>Akola region (Maharashtra)</w:t>
            </w:r>
          </w:p>
        </w:tc>
      </w:tr>
      <w:tr w:rsidR="00E120BE" w:rsidRPr="0056087C" w14:paraId="20AD1F8F" w14:textId="77777777" w:rsidTr="00E12E39">
        <w:trPr>
          <w:trHeight w:val="951"/>
          <w:jc w:val="center"/>
        </w:trPr>
        <w:tc>
          <w:tcPr>
            <w:tcW w:w="2357" w:type="dxa"/>
          </w:tcPr>
          <w:p w14:paraId="37CF096B"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Sunflower</w:t>
            </w:r>
          </w:p>
        </w:tc>
        <w:tc>
          <w:tcPr>
            <w:tcW w:w="7073" w:type="dxa"/>
          </w:tcPr>
          <w:p w14:paraId="1CA92996" w14:textId="77777777" w:rsidR="00E120BE" w:rsidRPr="0056087C" w:rsidRDefault="00E120BE" w:rsidP="0056087C">
            <w:pPr>
              <w:spacing w:line="360" w:lineRule="auto"/>
              <w:jc w:val="both"/>
              <w:rPr>
                <w:rFonts w:ascii="Times New Roman" w:hAnsi="Times New Roman" w:cs="Times New Roman"/>
                <w:bCs/>
                <w:sz w:val="24"/>
                <w:szCs w:val="24"/>
              </w:rPr>
            </w:pPr>
            <w:proofErr w:type="spellStart"/>
            <w:r w:rsidRPr="0056087C">
              <w:rPr>
                <w:rFonts w:ascii="Times New Roman" w:hAnsi="Times New Roman" w:cs="Times New Roman"/>
                <w:bCs/>
                <w:sz w:val="24"/>
                <w:szCs w:val="24"/>
                <w:lang w:val="en-IN"/>
              </w:rPr>
              <w:t>Bagepalli</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Gudibande</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Gowribidanur</w:t>
            </w:r>
            <w:proofErr w:type="spellEnd"/>
            <w:r w:rsidRPr="0056087C">
              <w:rPr>
                <w:rFonts w:ascii="Times New Roman" w:hAnsi="Times New Roman" w:cs="Times New Roman"/>
                <w:bCs/>
                <w:sz w:val="24"/>
                <w:szCs w:val="24"/>
                <w:lang w:val="en-IN"/>
              </w:rPr>
              <w:t xml:space="preserve"> in </w:t>
            </w:r>
            <w:proofErr w:type="spellStart"/>
            <w:r w:rsidRPr="0056087C">
              <w:rPr>
                <w:rFonts w:ascii="Times New Roman" w:hAnsi="Times New Roman" w:cs="Times New Roman"/>
                <w:bCs/>
                <w:sz w:val="24"/>
                <w:szCs w:val="24"/>
                <w:lang w:val="en-IN"/>
              </w:rPr>
              <w:t>Chikkaballapura</w:t>
            </w:r>
            <w:proofErr w:type="spellEnd"/>
            <w:r w:rsidRPr="0056087C">
              <w:rPr>
                <w:rFonts w:ascii="Times New Roman" w:hAnsi="Times New Roman" w:cs="Times New Roman"/>
                <w:bCs/>
                <w:sz w:val="24"/>
                <w:szCs w:val="24"/>
                <w:lang w:val="en-IN"/>
              </w:rPr>
              <w:t xml:space="preserve"> district; </w:t>
            </w:r>
            <w:proofErr w:type="spellStart"/>
            <w:r w:rsidRPr="0056087C">
              <w:rPr>
                <w:rFonts w:ascii="Times New Roman" w:hAnsi="Times New Roman" w:cs="Times New Roman"/>
                <w:bCs/>
                <w:sz w:val="24"/>
                <w:szCs w:val="24"/>
                <w:lang w:val="en-IN"/>
              </w:rPr>
              <w:t>Challakere</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Hiriyur</w:t>
            </w:r>
            <w:proofErr w:type="spellEnd"/>
            <w:r w:rsidRPr="0056087C">
              <w:rPr>
                <w:rFonts w:ascii="Times New Roman" w:hAnsi="Times New Roman" w:cs="Times New Roman"/>
                <w:bCs/>
                <w:sz w:val="24"/>
                <w:szCs w:val="24"/>
                <w:lang w:val="en-IN"/>
              </w:rPr>
              <w:t xml:space="preserve"> in </w:t>
            </w:r>
            <w:proofErr w:type="spellStart"/>
            <w:r w:rsidRPr="0056087C">
              <w:rPr>
                <w:rFonts w:ascii="Times New Roman" w:hAnsi="Times New Roman" w:cs="Times New Roman"/>
                <w:bCs/>
                <w:sz w:val="24"/>
                <w:szCs w:val="24"/>
                <w:lang w:val="en-IN"/>
              </w:rPr>
              <w:t>Chitradurga</w:t>
            </w:r>
            <w:proofErr w:type="spellEnd"/>
            <w:r w:rsidRPr="0056087C">
              <w:rPr>
                <w:rFonts w:ascii="Times New Roman" w:hAnsi="Times New Roman" w:cs="Times New Roman"/>
                <w:bCs/>
                <w:sz w:val="24"/>
                <w:szCs w:val="24"/>
                <w:lang w:val="en-IN"/>
              </w:rPr>
              <w:t xml:space="preserve"> district &amp; Sira in Tumkur District of Karnataka</w:t>
            </w:r>
            <w:r w:rsidRPr="0056087C">
              <w:rPr>
                <w:rFonts w:ascii="Times New Roman" w:hAnsi="Times New Roman" w:cs="Times New Roman"/>
                <w:bCs/>
                <w:sz w:val="24"/>
                <w:szCs w:val="24"/>
              </w:rPr>
              <w:t xml:space="preserve"> </w:t>
            </w:r>
          </w:p>
        </w:tc>
      </w:tr>
      <w:tr w:rsidR="00E120BE" w:rsidRPr="0056087C" w14:paraId="1CDCFC83" w14:textId="77777777" w:rsidTr="00E12E39">
        <w:trPr>
          <w:trHeight w:val="951"/>
          <w:jc w:val="center"/>
        </w:trPr>
        <w:tc>
          <w:tcPr>
            <w:tcW w:w="2357" w:type="dxa"/>
          </w:tcPr>
          <w:p w14:paraId="2CA0700A"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Maize</w:t>
            </w:r>
          </w:p>
        </w:tc>
        <w:tc>
          <w:tcPr>
            <w:tcW w:w="7073" w:type="dxa"/>
          </w:tcPr>
          <w:p w14:paraId="21F7073A" w14:textId="77777777" w:rsidR="00E120BE" w:rsidRPr="0056087C" w:rsidRDefault="00E120BE" w:rsidP="0056087C">
            <w:pPr>
              <w:spacing w:line="360" w:lineRule="auto"/>
              <w:jc w:val="both"/>
              <w:rPr>
                <w:rFonts w:ascii="Times New Roman" w:hAnsi="Times New Roman" w:cs="Times New Roman"/>
                <w:bCs/>
                <w:sz w:val="24"/>
                <w:szCs w:val="24"/>
              </w:rPr>
            </w:pPr>
            <w:r w:rsidRPr="0056087C">
              <w:rPr>
                <w:rFonts w:ascii="Times New Roman" w:hAnsi="Times New Roman" w:cs="Times New Roman"/>
                <w:bCs/>
                <w:sz w:val="24"/>
                <w:szCs w:val="24"/>
              </w:rPr>
              <w:t>N</w:t>
            </w:r>
            <w:proofErr w:type="spellStart"/>
            <w:r w:rsidRPr="0056087C">
              <w:rPr>
                <w:rFonts w:ascii="Times New Roman" w:hAnsi="Times New Roman" w:cs="Times New Roman"/>
                <w:bCs/>
                <w:sz w:val="24"/>
                <w:szCs w:val="24"/>
                <w:lang w:val="en-IN"/>
              </w:rPr>
              <w:t>andyal</w:t>
            </w:r>
            <w:proofErr w:type="spellEnd"/>
            <w:r w:rsidRPr="0056087C">
              <w:rPr>
                <w:rFonts w:ascii="Times New Roman" w:hAnsi="Times New Roman" w:cs="Times New Roman"/>
                <w:bCs/>
                <w:sz w:val="24"/>
                <w:szCs w:val="24"/>
                <w:lang w:val="en-IN"/>
              </w:rPr>
              <w:t xml:space="preserve"> (Kurnool) in Andhra Pradesh; </w:t>
            </w:r>
            <w:proofErr w:type="spellStart"/>
            <w:r w:rsidRPr="0056087C">
              <w:rPr>
                <w:rFonts w:ascii="Times New Roman" w:hAnsi="Times New Roman" w:cs="Times New Roman"/>
                <w:bCs/>
                <w:sz w:val="24"/>
                <w:szCs w:val="24"/>
                <w:lang w:val="en-IN"/>
              </w:rPr>
              <w:t>Gadwal</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Mehaboobnagar</w:t>
            </w:r>
            <w:proofErr w:type="spellEnd"/>
            <w:r w:rsidRPr="0056087C">
              <w:rPr>
                <w:rFonts w:ascii="Times New Roman" w:hAnsi="Times New Roman" w:cs="Times New Roman"/>
                <w:bCs/>
                <w:sz w:val="24"/>
                <w:szCs w:val="24"/>
                <w:lang w:val="en-IN"/>
              </w:rPr>
              <w:t xml:space="preserve">) in Telangana; </w:t>
            </w:r>
            <w:proofErr w:type="spellStart"/>
            <w:r w:rsidRPr="0056087C">
              <w:rPr>
                <w:rFonts w:ascii="Times New Roman" w:hAnsi="Times New Roman" w:cs="Times New Roman"/>
                <w:bCs/>
                <w:sz w:val="24"/>
                <w:szCs w:val="24"/>
                <w:lang w:val="en-IN"/>
              </w:rPr>
              <w:t>Pathera</w:t>
            </w:r>
            <w:proofErr w:type="spellEnd"/>
            <w:r w:rsidRPr="0056087C">
              <w:rPr>
                <w:rFonts w:ascii="Times New Roman" w:hAnsi="Times New Roman" w:cs="Times New Roman"/>
                <w:bCs/>
                <w:sz w:val="24"/>
                <w:szCs w:val="24"/>
                <w:lang w:val="en-IN"/>
              </w:rPr>
              <w:t xml:space="preserve"> &amp; </w:t>
            </w:r>
            <w:proofErr w:type="spellStart"/>
            <w:r w:rsidRPr="0056087C">
              <w:rPr>
                <w:rFonts w:ascii="Times New Roman" w:hAnsi="Times New Roman" w:cs="Times New Roman"/>
                <w:bCs/>
                <w:sz w:val="24"/>
                <w:szCs w:val="24"/>
                <w:lang w:val="en-IN"/>
              </w:rPr>
              <w:t>Taprana</w:t>
            </w:r>
            <w:proofErr w:type="spellEnd"/>
            <w:r w:rsidRPr="0056087C">
              <w:rPr>
                <w:rFonts w:ascii="Times New Roman" w:hAnsi="Times New Roman" w:cs="Times New Roman"/>
                <w:bCs/>
                <w:sz w:val="24"/>
                <w:szCs w:val="24"/>
                <w:lang w:val="en-IN"/>
              </w:rPr>
              <w:t xml:space="preserve"> in Haryana; </w:t>
            </w:r>
            <w:proofErr w:type="spellStart"/>
            <w:r w:rsidRPr="0056087C">
              <w:rPr>
                <w:rFonts w:ascii="Times New Roman" w:hAnsi="Times New Roman" w:cs="Times New Roman"/>
                <w:bCs/>
                <w:sz w:val="24"/>
                <w:szCs w:val="24"/>
                <w:lang w:val="en-IN"/>
              </w:rPr>
              <w:t>Hiriyur</w:t>
            </w:r>
            <w:proofErr w:type="spellEnd"/>
            <w:r w:rsidRPr="0056087C">
              <w:rPr>
                <w:rFonts w:ascii="Times New Roman" w:hAnsi="Times New Roman" w:cs="Times New Roman"/>
                <w:bCs/>
                <w:sz w:val="24"/>
                <w:szCs w:val="24"/>
                <w:lang w:val="en-IN"/>
              </w:rPr>
              <w:t xml:space="preserve"> in </w:t>
            </w:r>
            <w:proofErr w:type="spellStart"/>
            <w:r w:rsidRPr="0056087C">
              <w:rPr>
                <w:rFonts w:ascii="Times New Roman" w:hAnsi="Times New Roman" w:cs="Times New Roman"/>
                <w:bCs/>
                <w:sz w:val="24"/>
                <w:szCs w:val="24"/>
                <w:lang w:val="en-IN"/>
              </w:rPr>
              <w:t>Chitradurga</w:t>
            </w:r>
            <w:proofErr w:type="spellEnd"/>
            <w:r w:rsidRPr="0056087C">
              <w:rPr>
                <w:rFonts w:ascii="Times New Roman" w:hAnsi="Times New Roman" w:cs="Times New Roman"/>
                <w:bCs/>
                <w:sz w:val="24"/>
                <w:szCs w:val="24"/>
                <w:lang w:val="en-IN"/>
              </w:rPr>
              <w:t xml:space="preserve"> district &amp; Sira in Tumkur District of Karnataka</w:t>
            </w:r>
          </w:p>
        </w:tc>
      </w:tr>
      <w:tr w:rsidR="00E120BE" w:rsidRPr="0056087C" w14:paraId="3C997C6A" w14:textId="77777777" w:rsidTr="00E12E39">
        <w:trPr>
          <w:trHeight w:val="431"/>
          <w:jc w:val="center"/>
        </w:trPr>
        <w:tc>
          <w:tcPr>
            <w:tcW w:w="2357" w:type="dxa"/>
          </w:tcPr>
          <w:p w14:paraId="64CFE928" w14:textId="77777777" w:rsidR="00E120BE" w:rsidRPr="0056087C" w:rsidRDefault="00E120BE" w:rsidP="0056087C">
            <w:pPr>
              <w:spacing w:line="360" w:lineRule="auto"/>
              <w:rPr>
                <w:rFonts w:ascii="Times New Roman" w:hAnsi="Times New Roman" w:cs="Times New Roman"/>
                <w:bCs/>
                <w:sz w:val="24"/>
                <w:szCs w:val="24"/>
              </w:rPr>
            </w:pPr>
            <w:proofErr w:type="spellStart"/>
            <w:r w:rsidRPr="0056087C">
              <w:rPr>
                <w:rFonts w:ascii="Times New Roman" w:hAnsi="Times New Roman" w:cs="Times New Roman"/>
                <w:bCs/>
                <w:sz w:val="24"/>
                <w:szCs w:val="24"/>
              </w:rPr>
              <w:t>Pearlmillet</w:t>
            </w:r>
            <w:proofErr w:type="spellEnd"/>
          </w:p>
        </w:tc>
        <w:tc>
          <w:tcPr>
            <w:tcW w:w="7073" w:type="dxa"/>
          </w:tcPr>
          <w:p w14:paraId="17308CE2" w14:textId="77777777" w:rsidR="00E120BE" w:rsidRPr="0056087C" w:rsidRDefault="00E120BE" w:rsidP="0056087C">
            <w:pPr>
              <w:spacing w:line="360" w:lineRule="auto"/>
              <w:jc w:val="both"/>
              <w:rPr>
                <w:rFonts w:ascii="Times New Roman" w:hAnsi="Times New Roman" w:cs="Times New Roman"/>
                <w:bCs/>
                <w:sz w:val="24"/>
                <w:szCs w:val="24"/>
              </w:rPr>
            </w:pPr>
            <w:proofErr w:type="spellStart"/>
            <w:r w:rsidRPr="0056087C">
              <w:rPr>
                <w:rFonts w:ascii="Times New Roman" w:hAnsi="Times New Roman" w:cs="Times New Roman"/>
                <w:bCs/>
                <w:sz w:val="24"/>
                <w:szCs w:val="24"/>
                <w:lang w:val="en-IN"/>
              </w:rPr>
              <w:t>Sriganganagar</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Bundi</w:t>
            </w:r>
            <w:proofErr w:type="spellEnd"/>
            <w:r w:rsidRPr="0056087C">
              <w:rPr>
                <w:rFonts w:ascii="Times New Roman" w:hAnsi="Times New Roman" w:cs="Times New Roman"/>
                <w:bCs/>
                <w:sz w:val="24"/>
                <w:szCs w:val="24"/>
                <w:lang w:val="en-IN"/>
              </w:rPr>
              <w:t xml:space="preserve">, </w:t>
            </w:r>
            <w:proofErr w:type="spellStart"/>
            <w:r w:rsidRPr="0056087C">
              <w:rPr>
                <w:rFonts w:ascii="Times New Roman" w:hAnsi="Times New Roman" w:cs="Times New Roman"/>
                <w:bCs/>
                <w:sz w:val="24"/>
                <w:szCs w:val="24"/>
                <w:lang w:val="en-IN"/>
              </w:rPr>
              <w:t>Durgapura</w:t>
            </w:r>
            <w:proofErr w:type="spellEnd"/>
            <w:r w:rsidRPr="0056087C">
              <w:rPr>
                <w:rFonts w:ascii="Times New Roman" w:hAnsi="Times New Roman" w:cs="Times New Roman"/>
                <w:bCs/>
                <w:sz w:val="24"/>
                <w:szCs w:val="24"/>
                <w:lang w:val="en-IN"/>
              </w:rPr>
              <w:t xml:space="preserve"> &amp; </w:t>
            </w:r>
            <w:proofErr w:type="spellStart"/>
            <w:r w:rsidRPr="0056087C">
              <w:rPr>
                <w:rFonts w:ascii="Times New Roman" w:hAnsi="Times New Roman" w:cs="Times New Roman"/>
                <w:bCs/>
                <w:sz w:val="24"/>
                <w:szCs w:val="24"/>
                <w:lang w:val="en-IN"/>
              </w:rPr>
              <w:t>Bharathpur</w:t>
            </w:r>
            <w:proofErr w:type="spellEnd"/>
            <w:r w:rsidRPr="0056087C">
              <w:rPr>
                <w:rFonts w:ascii="Times New Roman" w:hAnsi="Times New Roman" w:cs="Times New Roman"/>
                <w:bCs/>
                <w:sz w:val="24"/>
                <w:szCs w:val="24"/>
                <w:lang w:val="en-IN"/>
              </w:rPr>
              <w:t xml:space="preserve"> in Rajasthan</w:t>
            </w:r>
            <w:r w:rsidRPr="0056087C">
              <w:rPr>
                <w:rFonts w:ascii="Times New Roman" w:hAnsi="Times New Roman" w:cs="Times New Roman"/>
                <w:bCs/>
                <w:sz w:val="24"/>
                <w:szCs w:val="24"/>
              </w:rPr>
              <w:t xml:space="preserve"> </w:t>
            </w:r>
          </w:p>
        </w:tc>
      </w:tr>
      <w:tr w:rsidR="00E120BE" w:rsidRPr="0056087C" w14:paraId="30CA07A4" w14:textId="77777777" w:rsidTr="00E12E39">
        <w:trPr>
          <w:trHeight w:val="431"/>
          <w:jc w:val="center"/>
        </w:trPr>
        <w:tc>
          <w:tcPr>
            <w:tcW w:w="2357" w:type="dxa"/>
          </w:tcPr>
          <w:p w14:paraId="6746BED4"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Pigeon pea</w:t>
            </w:r>
          </w:p>
        </w:tc>
        <w:tc>
          <w:tcPr>
            <w:tcW w:w="7073" w:type="dxa"/>
          </w:tcPr>
          <w:p w14:paraId="2013C06E" w14:textId="77777777" w:rsidR="00E120BE" w:rsidRPr="0056087C" w:rsidRDefault="00E120BE" w:rsidP="0056087C">
            <w:pPr>
              <w:spacing w:line="360" w:lineRule="auto"/>
              <w:jc w:val="both"/>
              <w:rPr>
                <w:rFonts w:ascii="Times New Roman" w:hAnsi="Times New Roman" w:cs="Times New Roman"/>
                <w:bCs/>
                <w:sz w:val="24"/>
                <w:szCs w:val="24"/>
              </w:rPr>
            </w:pPr>
            <w:proofErr w:type="spellStart"/>
            <w:r w:rsidRPr="0056087C">
              <w:rPr>
                <w:rFonts w:ascii="Times New Roman" w:hAnsi="Times New Roman" w:cs="Times New Roman"/>
                <w:bCs/>
                <w:sz w:val="24"/>
                <w:szCs w:val="24"/>
                <w:lang w:val="en-IN"/>
              </w:rPr>
              <w:t>Seoni</w:t>
            </w:r>
            <w:proofErr w:type="spellEnd"/>
            <w:r w:rsidRPr="0056087C">
              <w:rPr>
                <w:rFonts w:ascii="Times New Roman" w:hAnsi="Times New Roman" w:cs="Times New Roman"/>
                <w:bCs/>
                <w:sz w:val="24"/>
                <w:szCs w:val="24"/>
                <w:lang w:val="en-IN"/>
              </w:rPr>
              <w:t xml:space="preserve"> in Madhya Pradesh and </w:t>
            </w:r>
            <w:proofErr w:type="spellStart"/>
            <w:r w:rsidRPr="0056087C">
              <w:rPr>
                <w:rFonts w:ascii="Times New Roman" w:hAnsi="Times New Roman" w:cs="Times New Roman"/>
                <w:bCs/>
                <w:sz w:val="24"/>
                <w:szCs w:val="24"/>
                <w:lang w:val="en-IN"/>
              </w:rPr>
              <w:t>Yeotmal</w:t>
            </w:r>
            <w:proofErr w:type="spellEnd"/>
            <w:r w:rsidRPr="0056087C">
              <w:rPr>
                <w:rFonts w:ascii="Times New Roman" w:hAnsi="Times New Roman" w:cs="Times New Roman"/>
                <w:bCs/>
                <w:sz w:val="24"/>
                <w:szCs w:val="24"/>
                <w:lang w:val="en-IN"/>
              </w:rPr>
              <w:t xml:space="preserve"> in Maharashtra</w:t>
            </w:r>
            <w:r w:rsidRPr="0056087C">
              <w:rPr>
                <w:rFonts w:ascii="Times New Roman" w:hAnsi="Times New Roman" w:cs="Times New Roman"/>
                <w:bCs/>
                <w:sz w:val="24"/>
                <w:szCs w:val="24"/>
              </w:rPr>
              <w:t xml:space="preserve"> </w:t>
            </w:r>
          </w:p>
        </w:tc>
      </w:tr>
      <w:tr w:rsidR="00E120BE" w:rsidRPr="0056087C" w14:paraId="4FC79A48" w14:textId="77777777" w:rsidTr="00E12E39">
        <w:trPr>
          <w:trHeight w:val="416"/>
          <w:jc w:val="center"/>
        </w:trPr>
        <w:tc>
          <w:tcPr>
            <w:tcW w:w="2357" w:type="dxa"/>
            <w:tcBorders>
              <w:bottom w:val="single" w:sz="4" w:space="0" w:color="auto"/>
            </w:tcBorders>
          </w:tcPr>
          <w:p w14:paraId="5193E396" w14:textId="77777777" w:rsidR="00E120BE" w:rsidRPr="0056087C" w:rsidRDefault="00E120BE" w:rsidP="0056087C">
            <w:pPr>
              <w:spacing w:line="360" w:lineRule="auto"/>
              <w:rPr>
                <w:rFonts w:ascii="Times New Roman" w:hAnsi="Times New Roman" w:cs="Times New Roman"/>
                <w:bCs/>
                <w:sz w:val="24"/>
                <w:szCs w:val="24"/>
              </w:rPr>
            </w:pPr>
            <w:r w:rsidRPr="0056087C">
              <w:rPr>
                <w:rFonts w:ascii="Times New Roman" w:hAnsi="Times New Roman" w:cs="Times New Roman"/>
                <w:bCs/>
                <w:sz w:val="24"/>
                <w:szCs w:val="24"/>
              </w:rPr>
              <w:t>Castor</w:t>
            </w:r>
          </w:p>
        </w:tc>
        <w:tc>
          <w:tcPr>
            <w:tcW w:w="7073" w:type="dxa"/>
            <w:tcBorders>
              <w:bottom w:val="single" w:sz="4" w:space="0" w:color="auto"/>
            </w:tcBorders>
          </w:tcPr>
          <w:p w14:paraId="318ED67F" w14:textId="77777777" w:rsidR="00E120BE" w:rsidRPr="0056087C" w:rsidRDefault="00E120BE" w:rsidP="0056087C">
            <w:pPr>
              <w:spacing w:line="360" w:lineRule="auto"/>
              <w:jc w:val="both"/>
              <w:rPr>
                <w:rFonts w:ascii="Times New Roman" w:hAnsi="Times New Roman" w:cs="Times New Roman"/>
                <w:bCs/>
                <w:sz w:val="24"/>
                <w:szCs w:val="24"/>
              </w:rPr>
            </w:pPr>
            <w:proofErr w:type="spellStart"/>
            <w:r w:rsidRPr="0056087C">
              <w:rPr>
                <w:rFonts w:ascii="Times New Roman" w:hAnsi="Times New Roman" w:cs="Times New Roman"/>
                <w:bCs/>
                <w:sz w:val="24"/>
                <w:szCs w:val="24"/>
                <w:lang w:val="en-IN"/>
              </w:rPr>
              <w:t>Surendranagar</w:t>
            </w:r>
            <w:proofErr w:type="spellEnd"/>
            <w:r w:rsidRPr="0056087C">
              <w:rPr>
                <w:rFonts w:ascii="Times New Roman" w:hAnsi="Times New Roman" w:cs="Times New Roman"/>
                <w:bCs/>
                <w:sz w:val="24"/>
                <w:szCs w:val="24"/>
                <w:lang w:val="en-IN"/>
              </w:rPr>
              <w:t xml:space="preserve"> in Gujarat</w:t>
            </w:r>
            <w:r w:rsidRPr="0056087C">
              <w:rPr>
                <w:rFonts w:ascii="Times New Roman" w:hAnsi="Times New Roman" w:cs="Times New Roman"/>
                <w:bCs/>
                <w:sz w:val="24"/>
                <w:szCs w:val="24"/>
              </w:rPr>
              <w:t xml:space="preserve"> </w:t>
            </w:r>
          </w:p>
        </w:tc>
      </w:tr>
    </w:tbl>
    <w:p w14:paraId="37769552" w14:textId="77777777" w:rsidR="00E120BE" w:rsidRPr="0056087C" w:rsidRDefault="00E120BE" w:rsidP="0056087C">
      <w:pPr>
        <w:spacing w:before="240" w:line="360" w:lineRule="auto"/>
        <w:rPr>
          <w:rFonts w:ascii="Times New Roman" w:hAnsi="Times New Roman" w:cs="Times New Roman"/>
          <w:sz w:val="24"/>
          <w:szCs w:val="24"/>
        </w:rPr>
      </w:pPr>
      <w:r w:rsidRPr="0056087C">
        <w:rPr>
          <w:rFonts w:ascii="Times New Roman" w:hAnsi="Times New Roman" w:cs="Times New Roman"/>
          <w:sz w:val="24"/>
          <w:szCs w:val="24"/>
        </w:rPr>
        <w:t xml:space="preserve">            Table 4: Alternative seed production areas to mitigate heat stress effects</w:t>
      </w:r>
    </w:p>
    <w:p w14:paraId="5B4B4A79" w14:textId="77777777" w:rsidR="00E120BE" w:rsidRPr="0056087C" w:rsidRDefault="00E120BE" w:rsidP="0056087C">
      <w:pPr>
        <w:spacing w:before="240" w:line="360" w:lineRule="auto"/>
        <w:rPr>
          <w:rFonts w:ascii="Times New Roman" w:hAnsi="Times New Roman" w:cs="Times New Roman"/>
          <w:b/>
          <w:sz w:val="24"/>
          <w:szCs w:val="24"/>
        </w:rPr>
      </w:pPr>
      <w:r w:rsidRPr="0056087C">
        <w:rPr>
          <w:rFonts w:ascii="Times New Roman" w:hAnsi="Times New Roman" w:cs="Times New Roman"/>
          <w:b/>
          <w:sz w:val="24"/>
          <w:szCs w:val="24"/>
        </w:rPr>
        <w:t>Sowing date</w:t>
      </w:r>
    </w:p>
    <w:p w14:paraId="7274DC12"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To achieve the best yields under various heat stress circumstances, sowing timing is a non-financial management strategy. Anthesis and grain filling are later growth stages that are avoided by choosing an appropriate planting or sowing period, which increases crop production under heat stress. The choice of appropriate sowing timings is a crucial strategy to acquire the highest yield under such challenging circumstances because crop growth and development vary with the planting time. Increase Different effects on seed quality and </w:t>
      </w:r>
      <w:proofErr w:type="spellStart"/>
      <w:r w:rsidRPr="0056087C">
        <w:rPr>
          <w:rFonts w:ascii="Times New Roman" w:hAnsi="Times New Roman" w:cs="Times New Roman"/>
          <w:sz w:val="24"/>
          <w:szCs w:val="24"/>
        </w:rPr>
        <w:t>vigour</w:t>
      </w:r>
      <w:proofErr w:type="spellEnd"/>
      <w:r w:rsidRPr="0056087C">
        <w:rPr>
          <w:rFonts w:ascii="Times New Roman" w:hAnsi="Times New Roman" w:cs="Times New Roman"/>
          <w:sz w:val="24"/>
          <w:szCs w:val="24"/>
        </w:rPr>
        <w:t xml:space="preserve"> result from an increase in temperature during late stages. For instance, seeds from late-sown soybeans had lower protein and oil concentrations and less </w:t>
      </w:r>
      <w:proofErr w:type="spellStart"/>
      <w:r w:rsidRPr="0056087C">
        <w:rPr>
          <w:rFonts w:ascii="Times New Roman" w:hAnsi="Times New Roman" w:cs="Times New Roman"/>
          <w:sz w:val="24"/>
          <w:szCs w:val="24"/>
        </w:rPr>
        <w:t>vigour</w:t>
      </w:r>
      <w:proofErr w:type="spellEnd"/>
      <w:r w:rsidRPr="0056087C">
        <w:rPr>
          <w:rFonts w:ascii="Times New Roman" w:hAnsi="Times New Roman" w:cs="Times New Roman"/>
          <w:sz w:val="24"/>
          <w:szCs w:val="24"/>
        </w:rPr>
        <w:t xml:space="preserve"> than seeds from the crop sown at the ideal time.</w:t>
      </w:r>
    </w:p>
    <w:p w14:paraId="082B8FC2"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Reverse effects on agricultural yield components caused by delayed seeding lower crop yield. In fact, postponing the sowing of wheat results in the generation of less productive tillers </w:t>
      </w:r>
      <w:r w:rsidRPr="0056087C">
        <w:rPr>
          <w:rFonts w:ascii="Times New Roman" w:hAnsi="Times New Roman" w:cs="Times New Roman"/>
          <w:sz w:val="24"/>
          <w:szCs w:val="24"/>
        </w:rPr>
        <w:lastRenderedPageBreak/>
        <w:t xml:space="preserve">and kernels with lower grain weights per thousand grains (Radmehr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2005). When plants are sown at the right moment, they can take advantage of ideal weather conditions for the highest possible yield. The growth and productivity of a crop can be severely hampered by either early or late seeding. Because of this, crops should be planted at the right time to avoid high temperatures during later growth stages in order to attain their greatest yield potential. This approach would considerably increase crop yield in the event of rising temperatures.</w:t>
      </w:r>
    </w:p>
    <w:p w14:paraId="0A36CAA4" w14:textId="77777777"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Seed priming</w:t>
      </w:r>
    </w:p>
    <w:p w14:paraId="73089BCA" w14:textId="77777777"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Globally, seed priming is a promising and cost-effective strategy being employed to enhance crop stand establishment. Seed priming significantly enhances crop stand, emergence, germination, and growth. Crop performance under abiotic conditions, such as heat stress, drought, and low temperate stress, is improved by seed priming with a variety of substances, including water, salicylic acid, KNO</w:t>
      </w:r>
      <w:r w:rsidRPr="0056087C">
        <w:rPr>
          <w:rFonts w:ascii="Times New Roman" w:hAnsi="Times New Roman" w:cs="Times New Roman"/>
          <w:sz w:val="24"/>
          <w:szCs w:val="24"/>
          <w:vertAlign w:val="subscript"/>
        </w:rPr>
        <w:t>3</w:t>
      </w:r>
      <w:r w:rsidRPr="0056087C">
        <w:rPr>
          <w:rFonts w:ascii="Times New Roman" w:hAnsi="Times New Roman" w:cs="Times New Roman"/>
          <w:sz w:val="24"/>
          <w:szCs w:val="24"/>
        </w:rPr>
        <w:t>, CaCl</w:t>
      </w:r>
      <w:r w:rsidRPr="0056087C">
        <w:rPr>
          <w:rFonts w:ascii="Times New Roman" w:hAnsi="Times New Roman" w:cs="Times New Roman"/>
          <w:sz w:val="24"/>
          <w:szCs w:val="24"/>
          <w:vertAlign w:val="subscript"/>
        </w:rPr>
        <w:t>2</w:t>
      </w:r>
      <w:r w:rsidRPr="0056087C">
        <w:rPr>
          <w:rFonts w:ascii="Times New Roman" w:hAnsi="Times New Roman" w:cs="Times New Roman"/>
          <w:sz w:val="24"/>
          <w:szCs w:val="24"/>
        </w:rPr>
        <w:t xml:space="preserve">, and KCl (Farooq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2008).</w:t>
      </w:r>
    </w:p>
    <w:p w14:paraId="2C4D86A6"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In the same way, seed priming improved maize, rice, and chickpea production in semi-arid settings by promoting greater growth, earlier flowering, and optimum germination (Harris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2001). It has been demonstrated that seed priming of normal and low-vigor seeds increases root length and root and shoot growth. Wahid and Shabbir (2005) discovered that barley seeds primed with glycine-betaine (GB) under heat stress exhibited decreased membrane damage and greater photosynthetic rate, osmotic adjustment, root and shoot dry biomass as compared to unprimed seeds</w:t>
      </w:r>
    </w:p>
    <w:p w14:paraId="3533684B" w14:textId="77777777"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Seed priming with various chemicals protects the photosynthetic system from heat stress-related damages by enhancing the antioxidant system's activity. For instance, seed priming with </w:t>
      </w:r>
      <w:r w:rsidRPr="0056087C">
        <w:rPr>
          <w:rFonts w:ascii="Times New Roman" w:hAnsi="Times New Roman" w:cs="Times New Roman"/>
          <w:i/>
          <w:iCs/>
          <w:sz w:val="24"/>
          <w:szCs w:val="24"/>
        </w:rPr>
        <w:t xml:space="preserve">Calpurnia </w:t>
      </w:r>
      <w:proofErr w:type="spellStart"/>
      <w:r w:rsidRPr="0056087C">
        <w:rPr>
          <w:rFonts w:ascii="Times New Roman" w:hAnsi="Times New Roman" w:cs="Times New Roman"/>
          <w:i/>
          <w:iCs/>
          <w:sz w:val="24"/>
          <w:szCs w:val="24"/>
        </w:rPr>
        <w:t>aurea</w:t>
      </w:r>
      <w:proofErr w:type="spellEnd"/>
      <w:r w:rsidRPr="0056087C">
        <w:rPr>
          <w:rFonts w:ascii="Times New Roman" w:hAnsi="Times New Roman" w:cs="Times New Roman"/>
          <w:sz w:val="24"/>
          <w:szCs w:val="24"/>
        </w:rPr>
        <w:t xml:space="preserve"> leaf extract reduced the number of free radicals present when the seeds were exposed to heat stress while also boosting the number of pigments that are involved in photosynthesis (Adedapo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2008). As a result of seed priming, plants are able to preserve their water potential even in high-temperature environments by maintaining higher levels of cell membrane integrity.</w:t>
      </w:r>
    </w:p>
    <w:p w14:paraId="1034E4DC" w14:textId="77777777"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Furthermore, seed priming significantly raises sugar concentration while under heat stress. By maintaining the water balance and osmotic adjustment as well as by defending the cellular structures, the increased buildup of sugars reduces the harmful effects of heat stress (Wahid, 2007). As phenolics can act as hydrogen donors by detoxifying ROS in the stability of membranes, seed priming also encourages their biosynthesis.</w:t>
      </w:r>
    </w:p>
    <w:p w14:paraId="583C76B4" w14:textId="77777777"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lastRenderedPageBreak/>
        <w:t>Bacterial seed treatment</w:t>
      </w:r>
    </w:p>
    <w:p w14:paraId="22A2CCBB"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Increased heat stress tolerance in crops may be determined through the application of biological agents like bacteria and fungi. Under heat stress conditions, growth is benefited by plant growth-promoting rhizobacteria (PGPR). The wheat crop's ability to withstand heat stress was greatly improved by rhizobacteria seed inoculation (Yang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2009). According to Abd-El-Daim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(2014), seed treatments with Bacillus species and </w:t>
      </w:r>
      <w:proofErr w:type="spellStart"/>
      <w:r w:rsidRPr="0056087C">
        <w:rPr>
          <w:rFonts w:ascii="Times New Roman" w:hAnsi="Times New Roman" w:cs="Times New Roman"/>
          <w:i/>
          <w:iCs/>
          <w:sz w:val="24"/>
          <w:szCs w:val="24"/>
        </w:rPr>
        <w:t>Azospirillum</w:t>
      </w:r>
      <w:proofErr w:type="spellEnd"/>
      <w:r w:rsidRPr="0056087C">
        <w:rPr>
          <w:rFonts w:ascii="Times New Roman" w:hAnsi="Times New Roman" w:cs="Times New Roman"/>
          <w:sz w:val="24"/>
          <w:szCs w:val="24"/>
        </w:rPr>
        <w:t xml:space="preserve"> species increase the ability of plants to withstand heat stress by lowering the formation of reactive oxygen species (ROS).</w:t>
      </w:r>
    </w:p>
    <w:p w14:paraId="5A94E6A4" w14:textId="77777777" w:rsidR="00E120BE" w:rsidRPr="0056087C" w:rsidRDefault="00E120BE" w:rsidP="0056087C">
      <w:pPr>
        <w:spacing w:before="240" w:line="360" w:lineRule="auto"/>
        <w:jc w:val="center"/>
        <w:rPr>
          <w:rFonts w:ascii="Times New Roman" w:hAnsi="Times New Roman" w:cs="Times New Roman"/>
          <w:sz w:val="24"/>
          <w:szCs w:val="24"/>
        </w:rPr>
      </w:pPr>
      <w:r w:rsidRPr="0056087C">
        <w:rPr>
          <w:rFonts w:ascii="Times New Roman" w:hAnsi="Times New Roman" w:cs="Times New Roman"/>
          <w:noProof/>
          <w:sz w:val="24"/>
          <w:szCs w:val="24"/>
          <w:lang w:val="en-IN" w:eastAsia="en-IN"/>
        </w:rPr>
        <w:drawing>
          <wp:inline distT="0" distB="0" distL="0" distR="0" wp14:anchorId="3D2A3F72" wp14:editId="18D0C0F3">
            <wp:extent cx="3524250" cy="3257550"/>
            <wp:effectExtent l="19050" t="0" r="0" b="0"/>
            <wp:docPr id="1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a:srcRect l="7028" t="21875" r="59590" b="6250"/>
                    <a:stretch>
                      <a:fillRect/>
                    </a:stretch>
                  </pic:blipFill>
                  <pic:spPr bwMode="auto">
                    <a:xfrm>
                      <a:off x="0" y="0"/>
                      <a:ext cx="3524250" cy="3257550"/>
                    </a:xfrm>
                    <a:prstGeom prst="rect">
                      <a:avLst/>
                    </a:prstGeom>
                    <a:noFill/>
                    <a:ln w="9525">
                      <a:noFill/>
                      <a:miter lim="800000"/>
                      <a:headEnd/>
                      <a:tailEnd/>
                    </a:ln>
                    <a:effectLst/>
                  </pic:spPr>
                </pic:pic>
              </a:graphicData>
            </a:graphic>
          </wp:inline>
        </w:drawing>
      </w:r>
    </w:p>
    <w:p w14:paraId="505A6CAA" w14:textId="77777777" w:rsidR="000F493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Fig. </w:t>
      </w:r>
      <w:r w:rsidR="00FA455D">
        <w:rPr>
          <w:rFonts w:ascii="Times New Roman" w:hAnsi="Times New Roman" w:cs="Times New Roman"/>
          <w:sz w:val="24"/>
          <w:szCs w:val="24"/>
        </w:rPr>
        <w:t>6</w:t>
      </w:r>
      <w:r w:rsidRPr="0056087C">
        <w:rPr>
          <w:rFonts w:ascii="Times New Roman" w:hAnsi="Times New Roman" w:cs="Times New Roman"/>
          <w:sz w:val="24"/>
          <w:szCs w:val="24"/>
        </w:rPr>
        <w:t xml:space="preserve">. Effect of bacterial treatment on plant survival. </w:t>
      </w:r>
    </w:p>
    <w:p w14:paraId="16F6FCEB" w14:textId="77777777" w:rsidR="000F493C" w:rsidRDefault="000F493C" w:rsidP="0056087C">
      <w:pPr>
        <w:spacing w:before="240" w:line="360" w:lineRule="auto"/>
        <w:jc w:val="both"/>
        <w:rPr>
          <w:rFonts w:ascii="Times New Roman" w:hAnsi="Times New Roman" w:cs="Times New Roman"/>
          <w:sz w:val="24"/>
          <w:szCs w:val="24"/>
        </w:rPr>
      </w:pPr>
    </w:p>
    <w:p w14:paraId="1D611113" w14:textId="38079BF6"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Plants were pretreated with </w:t>
      </w:r>
      <w:r w:rsidRPr="0056087C">
        <w:rPr>
          <w:rFonts w:ascii="Times New Roman" w:hAnsi="Times New Roman" w:cs="Times New Roman"/>
          <w:i/>
          <w:sz w:val="24"/>
          <w:szCs w:val="24"/>
        </w:rPr>
        <w:t>Bacillus</w:t>
      </w:r>
      <w:r w:rsidRPr="0056087C">
        <w:rPr>
          <w:rFonts w:ascii="Times New Roman" w:hAnsi="Times New Roman" w:cs="Times New Roman"/>
          <w:sz w:val="24"/>
          <w:szCs w:val="24"/>
        </w:rPr>
        <w:t xml:space="preserve"> </w:t>
      </w:r>
      <w:proofErr w:type="spellStart"/>
      <w:r w:rsidRPr="0056087C">
        <w:rPr>
          <w:rFonts w:ascii="Times New Roman" w:hAnsi="Times New Roman" w:cs="Times New Roman"/>
          <w:i/>
          <w:sz w:val="24"/>
          <w:szCs w:val="24"/>
        </w:rPr>
        <w:t>amyloliquefaciens</w:t>
      </w:r>
      <w:proofErr w:type="spellEnd"/>
      <w:r w:rsidRPr="0056087C">
        <w:rPr>
          <w:rFonts w:ascii="Times New Roman" w:hAnsi="Times New Roman" w:cs="Times New Roman"/>
          <w:sz w:val="24"/>
          <w:szCs w:val="24"/>
        </w:rPr>
        <w:t xml:space="preserve"> 5113 (B5513) or </w:t>
      </w:r>
      <w:proofErr w:type="spellStart"/>
      <w:r w:rsidRPr="0056087C">
        <w:rPr>
          <w:rFonts w:ascii="Times New Roman" w:hAnsi="Times New Roman" w:cs="Times New Roman"/>
          <w:i/>
          <w:sz w:val="24"/>
          <w:szCs w:val="24"/>
        </w:rPr>
        <w:t>Azospirillum</w:t>
      </w:r>
      <w:proofErr w:type="spellEnd"/>
      <w:r w:rsidRPr="0056087C">
        <w:rPr>
          <w:rFonts w:ascii="Times New Roman" w:hAnsi="Times New Roman" w:cs="Times New Roman"/>
          <w:sz w:val="24"/>
          <w:szCs w:val="24"/>
        </w:rPr>
        <w:t xml:space="preserve"> </w:t>
      </w:r>
      <w:proofErr w:type="spellStart"/>
      <w:r w:rsidRPr="0056087C">
        <w:rPr>
          <w:rFonts w:ascii="Times New Roman" w:hAnsi="Times New Roman" w:cs="Times New Roman"/>
          <w:i/>
          <w:sz w:val="24"/>
          <w:szCs w:val="24"/>
        </w:rPr>
        <w:t>brasilense</w:t>
      </w:r>
      <w:proofErr w:type="spellEnd"/>
      <w:r w:rsidRPr="0056087C">
        <w:rPr>
          <w:rFonts w:ascii="Times New Roman" w:hAnsi="Times New Roman" w:cs="Times New Roman"/>
          <w:sz w:val="24"/>
          <w:szCs w:val="24"/>
        </w:rPr>
        <w:t xml:space="preserve"> NO</w:t>
      </w:r>
      <w:r w:rsidRPr="0056087C">
        <w:rPr>
          <w:rFonts w:ascii="Times New Roman" w:hAnsi="Times New Roman" w:cs="Times New Roman"/>
          <w:sz w:val="24"/>
          <w:szCs w:val="24"/>
          <w:vertAlign w:val="subscript"/>
        </w:rPr>
        <w:t>40</w:t>
      </w:r>
      <w:r w:rsidRPr="0056087C">
        <w:rPr>
          <w:rFonts w:ascii="Times New Roman" w:hAnsi="Times New Roman" w:cs="Times New Roman"/>
          <w:sz w:val="24"/>
          <w:szCs w:val="24"/>
        </w:rPr>
        <w:t xml:space="preserve"> (NO</w:t>
      </w:r>
      <w:r w:rsidRPr="0056087C">
        <w:rPr>
          <w:rFonts w:ascii="Times New Roman" w:hAnsi="Times New Roman" w:cs="Times New Roman"/>
          <w:sz w:val="24"/>
          <w:szCs w:val="24"/>
          <w:vertAlign w:val="subscript"/>
        </w:rPr>
        <w:t>40</w:t>
      </w:r>
      <w:r w:rsidRPr="0056087C">
        <w:rPr>
          <w:rFonts w:ascii="Times New Roman" w:hAnsi="Times New Roman" w:cs="Times New Roman"/>
          <w:sz w:val="24"/>
          <w:szCs w:val="24"/>
        </w:rPr>
        <w:t>) or untreated (Heat) and plant survival (%) of heat stressed wheat seedlings were recorded at different time points (0, 6, 12 and 24 h) and compared to untreated and unchallenged plants (Control)</w:t>
      </w:r>
    </w:p>
    <w:p w14:paraId="2FD8C42B" w14:textId="77777777"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Spray of osmo-protectants</w:t>
      </w:r>
    </w:p>
    <w:p w14:paraId="29EA7D4A"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Osmo-protectants, which significantly boost plant growth and antioxidant activity in heat-stressed circumstances, have lately been recognized as significant chemicals that benefit </w:t>
      </w:r>
      <w:r w:rsidRPr="0056087C">
        <w:rPr>
          <w:rFonts w:ascii="Times New Roman" w:hAnsi="Times New Roman" w:cs="Times New Roman"/>
          <w:sz w:val="24"/>
          <w:szCs w:val="24"/>
        </w:rPr>
        <w:lastRenderedPageBreak/>
        <w:t xml:space="preserve">plants. Rasheed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(2011) discovered in a study on sugarcane that exogenously applied glycine-betaine (20 mM) and proline (20 mM) improved a variety of physiological processes and morphological aspects in heat stressed plants.</w:t>
      </w:r>
    </w:p>
    <w:p w14:paraId="23D5474B"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As a result of the application of GB and proline, the concentration of K</w:t>
      </w:r>
      <w:r w:rsidRPr="0056087C">
        <w:rPr>
          <w:rFonts w:ascii="Times New Roman" w:hAnsi="Times New Roman" w:cs="Times New Roman"/>
          <w:sz w:val="24"/>
          <w:szCs w:val="24"/>
          <w:vertAlign w:val="superscript"/>
        </w:rPr>
        <w:t>+</w:t>
      </w:r>
      <w:r w:rsidRPr="0056087C">
        <w:rPr>
          <w:rFonts w:ascii="Times New Roman" w:hAnsi="Times New Roman" w:cs="Times New Roman"/>
          <w:sz w:val="24"/>
          <w:szCs w:val="24"/>
        </w:rPr>
        <w:t xml:space="preserve">, Ca </w:t>
      </w:r>
      <w:r w:rsidRPr="0056087C">
        <w:rPr>
          <w:rFonts w:ascii="Times New Roman" w:hAnsi="Times New Roman" w:cs="Times New Roman"/>
          <w:sz w:val="24"/>
          <w:szCs w:val="24"/>
          <w:vertAlign w:val="superscript"/>
        </w:rPr>
        <w:t>2+</w:t>
      </w:r>
      <w:r w:rsidRPr="0056087C">
        <w:rPr>
          <w:rFonts w:ascii="Times New Roman" w:hAnsi="Times New Roman" w:cs="Times New Roman"/>
          <w:sz w:val="24"/>
          <w:szCs w:val="24"/>
        </w:rPr>
        <w:t xml:space="preserve">, proline, and sugar increased. This improved membrane stability and anti-oxidant system activity helped to mitigate the harmful effects of heat stress. Another study by Kaushal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(2011) found that the protection provided by exogenously administered proline extends to a number of enzymes involved in carbon metabolism and antioxidant systems, which form the basis of chickpea heat stress tolerance. Additionally, they discovered that exogenous proline results in lessened heat stress-induced membrane damage, enhanced water potential, and increased chlorophyll content.</w:t>
      </w:r>
    </w:p>
    <w:p w14:paraId="481CBFB1"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The effect of ABA on the growth of chickpea seedlings under heat stress was investigated by Kumar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in 2012. They discovered that by raising the level of endogenous ABA, exogenously administered ABA enhances plant development. Similar to how they evaluated the impact of different 24-epibrassinolide (24-EBL) concentrations on mustard </w:t>
      </w:r>
      <w:proofErr w:type="spellStart"/>
      <w:r w:rsidRPr="0056087C">
        <w:rPr>
          <w:rFonts w:ascii="Times New Roman" w:hAnsi="Times New Roman" w:cs="Times New Roman"/>
          <w:sz w:val="24"/>
          <w:szCs w:val="24"/>
        </w:rPr>
        <w:t>behaviour</w:t>
      </w:r>
      <w:proofErr w:type="spellEnd"/>
      <w:r w:rsidRPr="0056087C">
        <w:rPr>
          <w:rFonts w:ascii="Times New Roman" w:hAnsi="Times New Roman" w:cs="Times New Roman"/>
          <w:sz w:val="24"/>
          <w:szCs w:val="24"/>
        </w:rPr>
        <w:t xml:space="preserve"> under heat stress, these authors found that exogenously given 24-EBL increased mustard's tolerance to heat stress by enhancing the anti-oxidant system's activity.</w:t>
      </w:r>
    </w:p>
    <w:p w14:paraId="2B967256" w14:textId="27F43BAE"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 Nitric oxide (NO) is an important compound involved in various plant physiological processes, and improves crop performance against heat stress. The exogenously applied NO significantly alleviated the heat stress by decreasing ion leakage, and improving the activities of different anti-oxidant enzymes (Song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2006). Selenium is not considered an essential element for plants. However, it has proved his role as relevant osmo-protectant under various stress conditions including heat stress. </w:t>
      </w:r>
    </w:p>
    <w:p w14:paraId="45AD08F6" w14:textId="77777777"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t>Nutrient management</w:t>
      </w:r>
    </w:p>
    <w:p w14:paraId="1A3D964B"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Mineral nutrients play a significant role in final production. However, poor soil fertility and an inadequate and erratic delivery of essential nutrients reduce crop yield worldwide. Over 60% of soils are said to be nutrient-deficient worldwide. Therefore, good yields require appropriate nutrition availability. Optimum by supporting a number of physiological processes, optimal nutrient availability upholds plant integrity. N and Mg are essential nutrients for the process of photosynthesis, while P and K are needed to regulate stomata and activate enzymes. P is a crucial component of nucleic acids and is needed to produce energy.</w:t>
      </w:r>
    </w:p>
    <w:p w14:paraId="47BB7551"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lastRenderedPageBreak/>
        <w:t xml:space="preserve">N is crucial for the metabolism of carbon and the use of light energy that has been absorbed. N-deficient plants, however, have a surplus of useless energy that causes oxidative damage. Furthermore, under heat-stress situations, N shortage results in lipid peroxidation (Huang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xml:space="preserve">. 2004). Lack of K affects the partitioning and use of assimilates as well as CO2 fixation. Such alterations result in an abundance of photosynthetic electrons, which in turn promotes the generation of ROS (Waraich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2012).</w:t>
      </w:r>
    </w:p>
    <w:p w14:paraId="7D90757F"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Boron is a crucial micronutrient that significantly boosts the anti-oxidant system's activity and lessens the damaging effects of ROS created by heat stress. Mn also lessens the negative effects of high temperatures by enhancing plant photosynthesis and nitrogen metabolism. Similar to how zinc (Zn) aids in the structural formation of GPX, selenium (Se) shields plants against the harmful effects of ROS.</w:t>
      </w:r>
    </w:p>
    <w:p w14:paraId="29F87782" w14:textId="77777777" w:rsidR="00E120BE" w:rsidRPr="0056087C" w:rsidRDefault="00E120BE" w:rsidP="0056087C">
      <w:pPr>
        <w:spacing w:before="240" w:line="360" w:lineRule="auto"/>
        <w:jc w:val="both"/>
        <w:rPr>
          <w:rFonts w:ascii="Times New Roman" w:hAnsi="Times New Roman" w:cs="Times New Roman"/>
          <w:sz w:val="24"/>
          <w:szCs w:val="24"/>
        </w:rPr>
      </w:pPr>
      <w:r w:rsidRPr="0056087C">
        <w:rPr>
          <w:rFonts w:ascii="Times New Roman" w:hAnsi="Times New Roman" w:cs="Times New Roman"/>
          <w:sz w:val="24"/>
          <w:szCs w:val="24"/>
        </w:rPr>
        <w:t xml:space="preserve">           Zn plays a significant role in maintaining membrane permeability and safeguards plants from the damaging effects of heat stress (Peck </w:t>
      </w:r>
      <w:r w:rsidRPr="0056087C">
        <w:rPr>
          <w:rFonts w:ascii="Times New Roman" w:hAnsi="Times New Roman" w:cs="Times New Roman"/>
          <w:i/>
          <w:iCs/>
          <w:sz w:val="24"/>
          <w:szCs w:val="24"/>
        </w:rPr>
        <w:t>et al</w:t>
      </w:r>
      <w:r w:rsidRPr="0056087C">
        <w:rPr>
          <w:rFonts w:ascii="Times New Roman" w:hAnsi="Times New Roman" w:cs="Times New Roman"/>
          <w:sz w:val="24"/>
          <w:szCs w:val="24"/>
        </w:rPr>
        <w:t>. 2010). When temperatures are high, Ca is also necessary for the anti-oxidant enzymes to function, and it is also much more necessary to counteract the harmful effects of heat stress.</w:t>
      </w:r>
    </w:p>
    <w:p w14:paraId="3C0D7F22" w14:textId="77777777" w:rsidR="00E120BE" w:rsidRPr="0056087C" w:rsidRDefault="00E120BE" w:rsidP="0056087C">
      <w:pPr>
        <w:spacing w:before="240" w:line="360" w:lineRule="auto"/>
        <w:ind w:firstLine="720"/>
        <w:jc w:val="both"/>
        <w:rPr>
          <w:rFonts w:ascii="Times New Roman" w:hAnsi="Times New Roman" w:cs="Times New Roman"/>
          <w:b/>
          <w:sz w:val="24"/>
          <w:szCs w:val="24"/>
        </w:rPr>
      </w:pPr>
      <w:r w:rsidRPr="0056087C">
        <w:rPr>
          <w:rFonts w:ascii="Times New Roman" w:hAnsi="Times New Roman" w:cs="Times New Roman"/>
          <w:b/>
          <w:sz w:val="24"/>
          <w:szCs w:val="24"/>
        </w:rPr>
        <w:t>Water management</w:t>
      </w:r>
    </w:p>
    <w:p w14:paraId="6CD30B13"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Water scarcity and heat stress are typically related. So, to increase crop output while under heat stress, water management is essential. It has been noticed that plants can easily withstand heat stress as long as they can quickly perspire. In addition, many field crops can easily endure extreme temperatures (up to 40°C) with adequate water delivery, whereas insufficient water supply dehydrates plant leaves and significantly lowers the yield. The reason for the lower production at high temperatures is because water-stressed plants try to conserve water by closing their stomata; as a result, evaporative cooling significantly declines, and without cooling, leaf temperature rises to as much as 50°C.</w:t>
      </w:r>
    </w:p>
    <w:p w14:paraId="775CBBEE" w14:textId="77777777"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Plant physiological processes are significantly slowed down at such high temperatures, and all of these changes result in poorer production. As a result, it may be inferred that scheduling irrigation and applying water using the proper irrigation techniques are good water management practices. By lessening the effects of heat stress, irrigation scheduling based on important growth stages, effective irrigation methods, provision of extra water (depending on water availability), and application of irrigation based on soil moisture boost crop output.</w:t>
      </w:r>
    </w:p>
    <w:p w14:paraId="3BA2862F" w14:textId="77777777" w:rsidR="00E120BE" w:rsidRPr="0056087C" w:rsidRDefault="00E120BE" w:rsidP="0056087C">
      <w:pPr>
        <w:spacing w:before="240" w:line="360" w:lineRule="auto"/>
        <w:jc w:val="both"/>
        <w:rPr>
          <w:rFonts w:ascii="Times New Roman" w:hAnsi="Times New Roman" w:cs="Times New Roman"/>
          <w:b/>
          <w:sz w:val="24"/>
          <w:szCs w:val="24"/>
        </w:rPr>
      </w:pPr>
      <w:r w:rsidRPr="0056087C">
        <w:rPr>
          <w:rFonts w:ascii="Times New Roman" w:hAnsi="Times New Roman" w:cs="Times New Roman"/>
          <w:b/>
          <w:sz w:val="24"/>
          <w:szCs w:val="24"/>
        </w:rPr>
        <w:lastRenderedPageBreak/>
        <w:t>Conclusion</w:t>
      </w:r>
    </w:p>
    <w:p w14:paraId="65028221" w14:textId="05438850" w:rsidR="00E120BE" w:rsidRPr="0056087C" w:rsidRDefault="00E120BE" w:rsidP="0056087C">
      <w:pPr>
        <w:spacing w:before="240" w:line="360" w:lineRule="auto"/>
        <w:ind w:firstLine="720"/>
        <w:jc w:val="both"/>
        <w:rPr>
          <w:rFonts w:ascii="Times New Roman" w:hAnsi="Times New Roman" w:cs="Times New Roman"/>
          <w:sz w:val="24"/>
          <w:szCs w:val="24"/>
        </w:rPr>
      </w:pPr>
      <w:r w:rsidRPr="0056087C">
        <w:rPr>
          <w:rFonts w:ascii="Times New Roman" w:hAnsi="Times New Roman" w:cs="Times New Roman"/>
          <w:sz w:val="24"/>
          <w:szCs w:val="24"/>
        </w:rPr>
        <w:t xml:space="preserve">Heat stress has a potentially devastating impact on plant growth and development. However, reproductive growth is the major phase affected by heat stress. Thus, the occurrence of heat stress during the reproductive stages (anthesis - seed filling) determines the most serious losses in final seed yield. High temperatures at critical times during seed development will reduce seed quality. The genetic quality of cultivars in open pollinated and F1 hybrid crops is also likely to be reduced. So, there is a need to mitigate the negative effect of high-temperature stress to seed crops. Even though plants have such mechanism to tolerate the heat stress, additional practices are required to improve the performance of plants to give more seed quality and yield. Seed priming, </w:t>
      </w:r>
      <w:proofErr w:type="spellStart"/>
      <w:r w:rsidRPr="0056087C">
        <w:rPr>
          <w:rFonts w:ascii="Times New Roman" w:hAnsi="Times New Roman" w:cs="Times New Roman"/>
          <w:sz w:val="24"/>
          <w:szCs w:val="24"/>
        </w:rPr>
        <w:t>osmoprotectants</w:t>
      </w:r>
      <w:proofErr w:type="spellEnd"/>
      <w:r w:rsidRPr="0056087C">
        <w:rPr>
          <w:rFonts w:ascii="Times New Roman" w:hAnsi="Times New Roman" w:cs="Times New Roman"/>
          <w:sz w:val="24"/>
          <w:szCs w:val="24"/>
        </w:rPr>
        <w:t xml:space="preserve"> spray, water and nutrient management can improve the performance of plants under heat stress. All these will surely help to mitigate the negative effects of heat stress and contribute to improved plant productivity and food security under the current scenarios of climate change and global warming.</w:t>
      </w:r>
    </w:p>
    <w:p w14:paraId="0DAE5B48" w14:textId="77777777" w:rsidR="0036793E" w:rsidRDefault="0036793E" w:rsidP="005777E6">
      <w:pPr>
        <w:spacing w:before="240" w:line="360" w:lineRule="auto"/>
        <w:jc w:val="both"/>
        <w:rPr>
          <w:rFonts w:ascii="Times New Roman" w:hAnsi="Times New Roman" w:cs="Times New Roman"/>
          <w:sz w:val="24"/>
          <w:szCs w:val="24"/>
        </w:rPr>
      </w:pPr>
    </w:p>
    <w:p w14:paraId="0299A972" w14:textId="2A9E1592" w:rsidR="005777E6" w:rsidRPr="005777E6" w:rsidRDefault="005777E6" w:rsidP="005777E6">
      <w:pPr>
        <w:spacing w:before="240" w:line="360" w:lineRule="auto"/>
        <w:jc w:val="both"/>
        <w:rPr>
          <w:rFonts w:ascii="Times New Roman" w:hAnsi="Times New Roman" w:cs="Times New Roman"/>
          <w:sz w:val="24"/>
          <w:szCs w:val="24"/>
        </w:rPr>
      </w:pPr>
      <w:bookmarkStart w:id="1" w:name="_GoBack"/>
      <w:bookmarkEnd w:id="1"/>
      <w:r w:rsidRPr="005777E6">
        <w:rPr>
          <w:rFonts w:ascii="Times New Roman" w:hAnsi="Times New Roman" w:cs="Times New Roman"/>
          <w:sz w:val="24"/>
          <w:szCs w:val="24"/>
        </w:rPr>
        <w:t>COMPETING INTERESTS DISCLAIMER:</w:t>
      </w:r>
    </w:p>
    <w:p w14:paraId="509E0101" w14:textId="5C062D97" w:rsidR="005777E6" w:rsidRPr="0056087C" w:rsidRDefault="005777E6" w:rsidP="005777E6">
      <w:pPr>
        <w:spacing w:before="240" w:line="360" w:lineRule="auto"/>
        <w:jc w:val="both"/>
        <w:rPr>
          <w:rFonts w:ascii="Times New Roman" w:hAnsi="Times New Roman" w:cs="Times New Roman"/>
          <w:sz w:val="24"/>
          <w:szCs w:val="24"/>
        </w:rPr>
      </w:pPr>
      <w:r w:rsidRPr="005777E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C4709A6" w14:textId="77777777" w:rsidR="00E120BE" w:rsidRPr="0056087C" w:rsidRDefault="00E120BE" w:rsidP="0056087C">
      <w:pPr>
        <w:spacing w:after="160" w:line="360" w:lineRule="auto"/>
        <w:ind w:left="720" w:hanging="720"/>
        <w:jc w:val="both"/>
        <w:rPr>
          <w:rFonts w:ascii="Times New Roman" w:eastAsiaTheme="minorHAnsi" w:hAnsi="Times New Roman" w:cs="Times New Roman"/>
          <w:b/>
          <w:sz w:val="24"/>
          <w:szCs w:val="24"/>
          <w:lang w:val="en-IN"/>
        </w:rPr>
      </w:pPr>
      <w:r w:rsidRPr="0056087C">
        <w:rPr>
          <w:rFonts w:ascii="Times New Roman" w:eastAsiaTheme="minorHAnsi" w:hAnsi="Times New Roman" w:cs="Times New Roman"/>
          <w:b/>
          <w:sz w:val="24"/>
          <w:szCs w:val="24"/>
          <w:lang w:val="en-IN"/>
        </w:rPr>
        <w:t>References</w:t>
      </w:r>
    </w:p>
    <w:p w14:paraId="3C4A0118" w14:textId="1C6088EC"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 xml:space="preserve">Abd-El-Daim, A., Islam, A., </w:t>
      </w:r>
      <w:proofErr w:type="spellStart"/>
      <w:r w:rsidRPr="0056087C">
        <w:rPr>
          <w:rFonts w:ascii="Times New Roman" w:eastAsiaTheme="minorHAnsi" w:hAnsi="Times New Roman" w:cs="Times New Roman"/>
          <w:sz w:val="24"/>
          <w:szCs w:val="24"/>
        </w:rPr>
        <w:t>Bejai</w:t>
      </w:r>
      <w:proofErr w:type="spellEnd"/>
      <w:r w:rsidRPr="0056087C">
        <w:rPr>
          <w:rFonts w:ascii="Times New Roman" w:eastAsiaTheme="minorHAnsi" w:hAnsi="Times New Roman" w:cs="Times New Roman"/>
          <w:sz w:val="24"/>
          <w:szCs w:val="24"/>
        </w:rPr>
        <w:t>, S. and Meijer, J., 2014. Improved heat stress tolerance of wheat seedlings by bacterial seed treatment. </w:t>
      </w:r>
      <w:r w:rsidRPr="0056087C">
        <w:rPr>
          <w:rFonts w:ascii="Times New Roman" w:eastAsiaTheme="minorHAnsi" w:hAnsi="Times New Roman" w:cs="Times New Roman"/>
          <w:i/>
          <w:iCs/>
          <w:sz w:val="24"/>
          <w:szCs w:val="24"/>
        </w:rPr>
        <w:t>Plant and Soil</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379</w:t>
      </w:r>
      <w:r w:rsidRPr="0056087C">
        <w:rPr>
          <w:rFonts w:ascii="Times New Roman" w:eastAsiaTheme="minorHAnsi" w:hAnsi="Times New Roman" w:cs="Times New Roman"/>
          <w:sz w:val="24"/>
          <w:szCs w:val="24"/>
        </w:rPr>
        <w:t xml:space="preserve">(1), pp.337-350. </w:t>
      </w:r>
      <w:r w:rsidR="003B5D88">
        <w:rPr>
          <w:rFonts w:ascii="Times New Roman" w:eastAsiaTheme="minorHAnsi" w:hAnsi="Times New Roman" w:cs="Times New Roman"/>
          <w:sz w:val="24"/>
          <w:szCs w:val="24"/>
        </w:rPr>
        <w:t xml:space="preserve"> </w:t>
      </w:r>
      <w:hyperlink r:id="rId15" w:history="1">
        <w:r w:rsidR="003B5D88" w:rsidRPr="007820DE">
          <w:rPr>
            <w:rStyle w:val="Hyperlink"/>
            <w:rFonts w:ascii="Times New Roman" w:eastAsiaTheme="minorHAnsi" w:hAnsi="Times New Roman" w:cs="Times New Roman"/>
            <w:sz w:val="24"/>
            <w:szCs w:val="24"/>
          </w:rPr>
          <w:t>https://doi.org/10.1007/s11104-014-2063-3</w:t>
        </w:r>
      </w:hyperlink>
      <w:r w:rsidR="003B5D88">
        <w:rPr>
          <w:rFonts w:ascii="Times New Roman" w:eastAsiaTheme="minorHAnsi" w:hAnsi="Times New Roman" w:cs="Times New Roman"/>
          <w:sz w:val="24"/>
          <w:szCs w:val="24"/>
        </w:rPr>
        <w:t xml:space="preserve"> </w:t>
      </w:r>
    </w:p>
    <w:p w14:paraId="7E18BCBF" w14:textId="13BF0A92"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 xml:space="preserve">Adedapo, A.A., Jimoh, F.O., Koduru, S., Afolayan, A.J. and Masika, P.J., 2008. Antibacterial and antioxidant properties of the methanol extracts of the leaves and stems of </w:t>
      </w:r>
      <w:r w:rsidRPr="0056087C">
        <w:rPr>
          <w:rFonts w:ascii="Times New Roman" w:eastAsiaTheme="minorHAnsi" w:hAnsi="Times New Roman" w:cs="Times New Roman"/>
          <w:i/>
          <w:iCs/>
          <w:sz w:val="24"/>
          <w:szCs w:val="24"/>
        </w:rPr>
        <w:t xml:space="preserve">Calpurnia </w:t>
      </w:r>
      <w:proofErr w:type="spellStart"/>
      <w:r w:rsidRPr="0056087C">
        <w:rPr>
          <w:rFonts w:ascii="Times New Roman" w:eastAsiaTheme="minorHAnsi" w:hAnsi="Times New Roman" w:cs="Times New Roman"/>
          <w:i/>
          <w:iCs/>
          <w:sz w:val="24"/>
          <w:szCs w:val="24"/>
        </w:rPr>
        <w:t>aurea</w:t>
      </w:r>
      <w:proofErr w:type="spellEnd"/>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BMC Complementary and alternative medicine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8</w:t>
      </w:r>
      <w:r w:rsidRPr="0056087C">
        <w:rPr>
          <w:rFonts w:ascii="Times New Roman" w:eastAsiaTheme="minorHAnsi" w:hAnsi="Times New Roman" w:cs="Times New Roman"/>
          <w:sz w:val="24"/>
          <w:szCs w:val="24"/>
        </w:rPr>
        <w:t xml:space="preserve">(1), pp.1-8. </w:t>
      </w:r>
      <w:r w:rsidR="003B5D88">
        <w:rPr>
          <w:rFonts w:ascii="Times New Roman" w:eastAsiaTheme="minorHAnsi" w:hAnsi="Times New Roman" w:cs="Times New Roman"/>
          <w:sz w:val="24"/>
          <w:szCs w:val="24"/>
        </w:rPr>
        <w:t xml:space="preserve"> </w:t>
      </w:r>
      <w:hyperlink r:id="rId16" w:history="1">
        <w:r w:rsidR="003B5D88" w:rsidRPr="007820DE">
          <w:rPr>
            <w:rStyle w:val="Hyperlink"/>
            <w:rFonts w:ascii="Times New Roman" w:eastAsiaTheme="minorHAnsi" w:hAnsi="Times New Roman" w:cs="Times New Roman"/>
            <w:sz w:val="24"/>
            <w:szCs w:val="24"/>
          </w:rPr>
          <w:t>https://doi.org/10.1186/1472-6882-8-53</w:t>
        </w:r>
      </w:hyperlink>
      <w:r w:rsidR="003B5D88">
        <w:rPr>
          <w:rFonts w:ascii="Times New Roman" w:eastAsiaTheme="minorHAnsi" w:hAnsi="Times New Roman" w:cs="Times New Roman"/>
          <w:sz w:val="24"/>
          <w:szCs w:val="24"/>
        </w:rPr>
        <w:t xml:space="preserve"> </w:t>
      </w:r>
    </w:p>
    <w:p w14:paraId="160DF316" w14:textId="025F45D6"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 xml:space="preserve">Ahamed, K.U., Nahar, K., Fujita, M. and </w:t>
      </w:r>
      <w:proofErr w:type="spellStart"/>
      <w:r w:rsidRPr="0056087C">
        <w:rPr>
          <w:rFonts w:ascii="Times New Roman" w:eastAsiaTheme="minorHAnsi" w:hAnsi="Times New Roman" w:cs="Times New Roman"/>
          <w:sz w:val="24"/>
          <w:szCs w:val="24"/>
        </w:rPr>
        <w:t>Hasanuzzaman</w:t>
      </w:r>
      <w:proofErr w:type="spellEnd"/>
      <w:r w:rsidRPr="0056087C">
        <w:rPr>
          <w:rFonts w:ascii="Times New Roman" w:eastAsiaTheme="minorHAnsi" w:hAnsi="Times New Roman" w:cs="Times New Roman"/>
          <w:sz w:val="24"/>
          <w:szCs w:val="24"/>
        </w:rPr>
        <w:t>, M., 2010. Variation in plant growth, tiller dynamics and yield components of wheat (Triticum aestivum L.) due to high temperature stress. </w:t>
      </w:r>
      <w:r w:rsidRPr="0056087C">
        <w:rPr>
          <w:rFonts w:ascii="Times New Roman" w:eastAsiaTheme="minorHAnsi" w:hAnsi="Times New Roman" w:cs="Times New Roman"/>
          <w:i/>
          <w:iCs/>
          <w:sz w:val="24"/>
          <w:szCs w:val="24"/>
        </w:rPr>
        <w:t xml:space="preserve">Advances in Agriculture &amp; </w:t>
      </w:r>
      <w:proofErr w:type="spellStart"/>
      <w:r w:rsidRPr="0056087C">
        <w:rPr>
          <w:rFonts w:ascii="Times New Roman" w:eastAsiaTheme="minorHAnsi" w:hAnsi="Times New Roman" w:cs="Times New Roman"/>
          <w:i/>
          <w:iCs/>
          <w:sz w:val="24"/>
          <w:szCs w:val="24"/>
        </w:rPr>
        <w:t>Botanics</w:t>
      </w:r>
      <w:proofErr w:type="spellEnd"/>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Cs/>
          <w:sz w:val="24"/>
          <w:szCs w:val="24"/>
        </w:rPr>
        <w:t>2</w:t>
      </w:r>
      <w:r w:rsidRPr="0056087C">
        <w:rPr>
          <w:rFonts w:ascii="Times New Roman" w:eastAsiaTheme="minorHAnsi" w:hAnsi="Times New Roman" w:cs="Times New Roman"/>
          <w:sz w:val="24"/>
          <w:szCs w:val="24"/>
        </w:rPr>
        <w:t>(3), pp.213-224.</w:t>
      </w:r>
      <w:r w:rsidR="003B5D88">
        <w:rPr>
          <w:rFonts w:ascii="Times New Roman" w:eastAsiaTheme="minorHAnsi" w:hAnsi="Times New Roman" w:cs="Times New Roman"/>
          <w:sz w:val="24"/>
          <w:szCs w:val="24"/>
        </w:rPr>
        <w:t xml:space="preserve"> </w:t>
      </w:r>
      <w:hyperlink r:id="rId17" w:history="1">
        <w:r w:rsidR="003B5D88" w:rsidRPr="007820DE">
          <w:rPr>
            <w:rStyle w:val="Hyperlink"/>
            <w:rFonts w:ascii="Times New Roman" w:eastAsiaTheme="minorHAnsi" w:hAnsi="Times New Roman" w:cs="Times New Roman"/>
            <w:sz w:val="24"/>
            <w:szCs w:val="24"/>
          </w:rPr>
          <w:t>https://www.aab.bioflux.com.ro/docs/2010.213-224.pdf</w:t>
        </w:r>
      </w:hyperlink>
      <w:r w:rsidR="003B5D88">
        <w:rPr>
          <w:rFonts w:ascii="Times New Roman" w:eastAsiaTheme="minorHAnsi" w:hAnsi="Times New Roman" w:cs="Times New Roman"/>
          <w:sz w:val="24"/>
          <w:szCs w:val="24"/>
        </w:rPr>
        <w:t xml:space="preserve"> </w:t>
      </w:r>
      <w:r w:rsidRPr="0056087C">
        <w:rPr>
          <w:rFonts w:ascii="Times New Roman" w:eastAsiaTheme="minorHAnsi" w:hAnsi="Times New Roman" w:cs="Times New Roman"/>
          <w:sz w:val="24"/>
          <w:szCs w:val="24"/>
        </w:rPr>
        <w:t xml:space="preserve"> </w:t>
      </w:r>
    </w:p>
    <w:p w14:paraId="303344AC" w14:textId="77777777"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proofErr w:type="spellStart"/>
      <w:r w:rsidRPr="0056087C">
        <w:rPr>
          <w:rFonts w:ascii="Times New Roman" w:eastAsiaTheme="minorHAnsi" w:hAnsi="Times New Roman" w:cs="Times New Roman"/>
          <w:sz w:val="24"/>
          <w:szCs w:val="24"/>
        </w:rPr>
        <w:lastRenderedPageBreak/>
        <w:t>Almeselmani</w:t>
      </w:r>
      <w:proofErr w:type="spellEnd"/>
      <w:r w:rsidRPr="0056087C">
        <w:rPr>
          <w:rFonts w:ascii="Times New Roman" w:eastAsiaTheme="minorHAnsi" w:hAnsi="Times New Roman" w:cs="Times New Roman"/>
          <w:sz w:val="24"/>
          <w:szCs w:val="24"/>
        </w:rPr>
        <w:t>, M. and Deshmukh, P.S., 2012. Effect of high temperature stress on physiological and yield parameters of some wheat genotypes recommended for irrigated and rainfed condition. </w:t>
      </w:r>
      <w:r w:rsidRPr="0056087C">
        <w:rPr>
          <w:rFonts w:ascii="Times New Roman" w:eastAsiaTheme="minorHAnsi" w:hAnsi="Times New Roman" w:cs="Times New Roman"/>
          <w:i/>
          <w:iCs/>
          <w:sz w:val="24"/>
          <w:szCs w:val="24"/>
        </w:rPr>
        <w:t>Jordan Journal of Agricultural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8</w:t>
      </w:r>
      <w:r w:rsidRPr="0056087C">
        <w:rPr>
          <w:rFonts w:ascii="Times New Roman" w:eastAsiaTheme="minorHAnsi" w:hAnsi="Times New Roman" w:cs="Times New Roman"/>
          <w:sz w:val="24"/>
          <w:szCs w:val="24"/>
        </w:rPr>
        <w:t>, pp.66-78.</w:t>
      </w:r>
    </w:p>
    <w:p w14:paraId="39DE3E5F" w14:textId="2B7C68BE"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 xml:space="preserve">Bhardwaj, A., Sita, K., Sehgal, A., Bhandari, K., Kumar, S., Prasad, P.V., Jha, U., Kumar, J., Siddique, K.H. and Nayyar, H., 2021. Heat Priming of Lentil (Lens </w:t>
      </w:r>
      <w:proofErr w:type="spellStart"/>
      <w:r w:rsidRPr="0056087C">
        <w:rPr>
          <w:rFonts w:ascii="Times New Roman" w:eastAsiaTheme="minorHAnsi" w:hAnsi="Times New Roman" w:cs="Times New Roman"/>
          <w:sz w:val="24"/>
          <w:szCs w:val="24"/>
        </w:rPr>
        <w:t>culinaris</w:t>
      </w:r>
      <w:proofErr w:type="spellEnd"/>
      <w:r w:rsidRPr="0056087C">
        <w:rPr>
          <w:rFonts w:ascii="Times New Roman" w:eastAsiaTheme="minorHAnsi" w:hAnsi="Times New Roman" w:cs="Times New Roman"/>
          <w:sz w:val="24"/>
          <w:szCs w:val="24"/>
        </w:rPr>
        <w:t xml:space="preserve"> </w:t>
      </w:r>
      <w:proofErr w:type="spellStart"/>
      <w:r w:rsidRPr="0056087C">
        <w:rPr>
          <w:rFonts w:ascii="Times New Roman" w:eastAsiaTheme="minorHAnsi" w:hAnsi="Times New Roman" w:cs="Times New Roman"/>
          <w:sz w:val="24"/>
          <w:szCs w:val="24"/>
        </w:rPr>
        <w:t>Medik</w:t>
      </w:r>
      <w:proofErr w:type="spellEnd"/>
      <w:r w:rsidRPr="0056087C">
        <w:rPr>
          <w:rFonts w:ascii="Times New Roman" w:eastAsiaTheme="minorHAnsi" w:hAnsi="Times New Roman" w:cs="Times New Roman"/>
          <w:sz w:val="24"/>
          <w:szCs w:val="24"/>
        </w:rPr>
        <w:t>.) seeds and foliar treatment with γ-aminobutyric acid (GABA), confers protection to reproductive function and yield traits under high-temperature stress environments. </w:t>
      </w:r>
      <w:r w:rsidRPr="0056087C">
        <w:rPr>
          <w:rFonts w:ascii="Times New Roman" w:eastAsiaTheme="minorHAnsi" w:hAnsi="Times New Roman" w:cs="Times New Roman"/>
          <w:i/>
          <w:iCs/>
          <w:sz w:val="24"/>
          <w:szCs w:val="24"/>
        </w:rPr>
        <w:t>International Journal of Molecular Sciences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Cs/>
          <w:sz w:val="24"/>
          <w:szCs w:val="24"/>
        </w:rPr>
        <w:t>22</w:t>
      </w:r>
      <w:r w:rsidRPr="0056087C">
        <w:rPr>
          <w:rFonts w:ascii="Times New Roman" w:eastAsiaTheme="minorHAnsi" w:hAnsi="Times New Roman" w:cs="Times New Roman"/>
          <w:sz w:val="24"/>
          <w:szCs w:val="24"/>
        </w:rPr>
        <w:t>(11), p.5825.</w:t>
      </w:r>
      <w:r w:rsidR="003B5D88">
        <w:rPr>
          <w:rFonts w:ascii="Times New Roman" w:eastAsiaTheme="minorHAnsi" w:hAnsi="Times New Roman" w:cs="Times New Roman"/>
          <w:sz w:val="24"/>
          <w:szCs w:val="24"/>
        </w:rPr>
        <w:t xml:space="preserve"> </w:t>
      </w:r>
      <w:hyperlink r:id="rId18" w:history="1">
        <w:r w:rsidR="003B5D88" w:rsidRPr="007820DE">
          <w:rPr>
            <w:rStyle w:val="Hyperlink"/>
            <w:rFonts w:ascii="Times New Roman" w:eastAsiaTheme="minorHAnsi" w:hAnsi="Times New Roman" w:cs="Times New Roman"/>
            <w:sz w:val="24"/>
            <w:szCs w:val="24"/>
          </w:rPr>
          <w:t>https://doi.org/10.3390/ijms22115825</w:t>
        </w:r>
      </w:hyperlink>
      <w:r w:rsidR="003B5D88">
        <w:rPr>
          <w:rFonts w:ascii="Times New Roman" w:eastAsiaTheme="minorHAnsi" w:hAnsi="Times New Roman" w:cs="Times New Roman"/>
          <w:sz w:val="24"/>
          <w:szCs w:val="24"/>
        </w:rPr>
        <w:t xml:space="preserve"> </w:t>
      </w:r>
    </w:p>
    <w:p w14:paraId="1E0B8BB8" w14:textId="1548D622"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proofErr w:type="spellStart"/>
      <w:r w:rsidRPr="0056087C">
        <w:rPr>
          <w:rFonts w:ascii="Times New Roman" w:eastAsiaTheme="minorHAnsi" w:hAnsi="Times New Roman" w:cs="Times New Roman"/>
          <w:sz w:val="24"/>
          <w:szCs w:val="24"/>
        </w:rPr>
        <w:t>Djanaguiraman</w:t>
      </w:r>
      <w:proofErr w:type="spellEnd"/>
      <w:r w:rsidRPr="0056087C">
        <w:rPr>
          <w:rFonts w:ascii="Times New Roman" w:eastAsiaTheme="minorHAnsi" w:hAnsi="Times New Roman" w:cs="Times New Roman"/>
          <w:sz w:val="24"/>
          <w:szCs w:val="24"/>
        </w:rPr>
        <w:t>, M., Prasad, P.V. and Seppanen, M., 2010. Selenium protects sorghum leaves from oxidative damage under high temperature stress by enhancing antioxidant defense system. </w:t>
      </w:r>
      <w:r w:rsidRPr="0056087C">
        <w:rPr>
          <w:rFonts w:ascii="Times New Roman" w:eastAsiaTheme="minorHAnsi" w:hAnsi="Times New Roman" w:cs="Times New Roman"/>
          <w:i/>
          <w:iCs/>
          <w:sz w:val="24"/>
          <w:szCs w:val="24"/>
        </w:rPr>
        <w:t>Plant Physiology and Biochemistry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Cs/>
          <w:sz w:val="24"/>
          <w:szCs w:val="24"/>
        </w:rPr>
        <w:t>48</w:t>
      </w:r>
      <w:r w:rsidRPr="0056087C">
        <w:rPr>
          <w:rFonts w:ascii="Times New Roman" w:eastAsiaTheme="minorHAnsi" w:hAnsi="Times New Roman" w:cs="Times New Roman"/>
          <w:sz w:val="24"/>
          <w:szCs w:val="24"/>
        </w:rPr>
        <w:t>(12), pp.999-1007.</w:t>
      </w:r>
      <w:r w:rsidR="003B5D88">
        <w:rPr>
          <w:rFonts w:ascii="Times New Roman" w:eastAsiaTheme="minorHAnsi" w:hAnsi="Times New Roman" w:cs="Times New Roman"/>
          <w:sz w:val="24"/>
          <w:szCs w:val="24"/>
        </w:rPr>
        <w:t xml:space="preserve"> </w:t>
      </w:r>
      <w:hyperlink r:id="rId19" w:history="1">
        <w:r w:rsidR="003B5D88" w:rsidRPr="007820DE">
          <w:rPr>
            <w:rStyle w:val="Hyperlink"/>
            <w:rFonts w:ascii="Times New Roman" w:eastAsiaTheme="minorHAnsi" w:hAnsi="Times New Roman" w:cs="Times New Roman"/>
            <w:sz w:val="24"/>
            <w:szCs w:val="24"/>
          </w:rPr>
          <w:t>https://doi.org/10.1016/j.plaphy.2010.09.009</w:t>
        </w:r>
      </w:hyperlink>
      <w:r w:rsidR="003B5D88">
        <w:rPr>
          <w:rFonts w:ascii="Times New Roman" w:eastAsiaTheme="minorHAnsi" w:hAnsi="Times New Roman" w:cs="Times New Roman"/>
          <w:sz w:val="24"/>
          <w:szCs w:val="24"/>
        </w:rPr>
        <w:t xml:space="preserve"> </w:t>
      </w:r>
    </w:p>
    <w:p w14:paraId="3BFBD714" w14:textId="0BBFF962"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Farooq, M., Basra, S.M.A., Rehman, H. and Saleem, B.A., 2008. Seed priming enhances the performance of late sown wheat (</w:t>
      </w:r>
      <w:r w:rsidRPr="0056087C">
        <w:rPr>
          <w:rFonts w:ascii="Times New Roman" w:eastAsiaTheme="minorHAnsi" w:hAnsi="Times New Roman" w:cs="Times New Roman"/>
          <w:i/>
          <w:iCs/>
          <w:sz w:val="24"/>
          <w:szCs w:val="24"/>
        </w:rPr>
        <w:t>Triticum aestivum</w:t>
      </w:r>
      <w:r w:rsidRPr="0056087C">
        <w:rPr>
          <w:rFonts w:ascii="Times New Roman" w:eastAsiaTheme="minorHAnsi" w:hAnsi="Times New Roman" w:cs="Times New Roman"/>
          <w:sz w:val="24"/>
          <w:szCs w:val="24"/>
        </w:rPr>
        <w:t xml:space="preserve"> L.) by improving chilling tolerance. </w:t>
      </w:r>
      <w:r w:rsidRPr="0056087C">
        <w:rPr>
          <w:rFonts w:ascii="Times New Roman" w:eastAsiaTheme="minorHAnsi" w:hAnsi="Times New Roman" w:cs="Times New Roman"/>
          <w:i/>
          <w:iCs/>
          <w:sz w:val="24"/>
          <w:szCs w:val="24"/>
        </w:rPr>
        <w:t>Journal of Agronomy and Crop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Cs/>
          <w:sz w:val="24"/>
          <w:szCs w:val="24"/>
        </w:rPr>
        <w:t>194</w:t>
      </w:r>
      <w:r w:rsidRPr="0056087C">
        <w:rPr>
          <w:rFonts w:ascii="Times New Roman" w:eastAsiaTheme="minorHAnsi" w:hAnsi="Times New Roman" w:cs="Times New Roman"/>
          <w:sz w:val="24"/>
          <w:szCs w:val="24"/>
        </w:rPr>
        <w:t>(1), pp.55-60.</w:t>
      </w:r>
      <w:r w:rsidR="003B5D88">
        <w:rPr>
          <w:rFonts w:ascii="Times New Roman" w:eastAsiaTheme="minorHAnsi" w:hAnsi="Times New Roman" w:cs="Times New Roman"/>
          <w:sz w:val="24"/>
          <w:szCs w:val="24"/>
        </w:rPr>
        <w:t xml:space="preserve"> </w:t>
      </w:r>
      <w:hyperlink r:id="rId20" w:history="1">
        <w:r w:rsidR="003B5D88" w:rsidRPr="007820DE">
          <w:rPr>
            <w:rStyle w:val="Hyperlink"/>
            <w:rFonts w:ascii="Times New Roman" w:eastAsiaTheme="minorHAnsi" w:hAnsi="Times New Roman" w:cs="Times New Roman"/>
            <w:sz w:val="24"/>
            <w:szCs w:val="24"/>
          </w:rPr>
          <w:t>https://doi.org/10.1111/j.1439-037X.2007.00287.x</w:t>
        </w:r>
      </w:hyperlink>
      <w:r w:rsidR="003B5D88">
        <w:rPr>
          <w:rFonts w:ascii="Times New Roman" w:eastAsiaTheme="minorHAnsi" w:hAnsi="Times New Roman" w:cs="Times New Roman"/>
          <w:sz w:val="24"/>
          <w:szCs w:val="24"/>
        </w:rPr>
        <w:t xml:space="preserve"> </w:t>
      </w:r>
    </w:p>
    <w:p w14:paraId="4776EDCF" w14:textId="04131463"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Farooq, M., Bramley, H., Palta, J.A. and Siddique, K.H., 2011. Heat stress in wheat during reproductive and grain-filling phases. </w:t>
      </w:r>
      <w:r w:rsidRPr="0056087C">
        <w:rPr>
          <w:rFonts w:ascii="Times New Roman" w:eastAsiaTheme="minorHAnsi" w:hAnsi="Times New Roman" w:cs="Times New Roman"/>
          <w:i/>
          <w:iCs/>
          <w:sz w:val="24"/>
          <w:szCs w:val="24"/>
        </w:rPr>
        <w:t>Critical Reviews in Plant Sciences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Cs/>
          <w:sz w:val="24"/>
          <w:szCs w:val="24"/>
        </w:rPr>
        <w:t>30</w:t>
      </w:r>
      <w:r w:rsidRPr="0056087C">
        <w:rPr>
          <w:rFonts w:ascii="Times New Roman" w:eastAsiaTheme="minorHAnsi" w:hAnsi="Times New Roman" w:cs="Times New Roman"/>
          <w:sz w:val="24"/>
          <w:szCs w:val="24"/>
        </w:rPr>
        <w:t>(6), pp.491-507.</w:t>
      </w:r>
      <w:r w:rsidR="003B5D88">
        <w:rPr>
          <w:rFonts w:ascii="Times New Roman" w:eastAsiaTheme="minorHAnsi" w:hAnsi="Times New Roman" w:cs="Times New Roman"/>
          <w:sz w:val="24"/>
          <w:szCs w:val="24"/>
        </w:rPr>
        <w:t xml:space="preserve"> </w:t>
      </w:r>
      <w:hyperlink r:id="rId21" w:history="1">
        <w:r w:rsidR="003B5D88" w:rsidRPr="007820DE">
          <w:rPr>
            <w:rStyle w:val="Hyperlink"/>
            <w:rFonts w:ascii="Times New Roman" w:eastAsiaTheme="minorHAnsi" w:hAnsi="Times New Roman" w:cs="Times New Roman"/>
            <w:sz w:val="24"/>
            <w:szCs w:val="24"/>
          </w:rPr>
          <w:t>https://doi.org/10.1080/07352689.2011.615687</w:t>
        </w:r>
      </w:hyperlink>
      <w:r w:rsidR="003B5D88">
        <w:rPr>
          <w:rFonts w:ascii="Times New Roman" w:eastAsiaTheme="minorHAnsi" w:hAnsi="Times New Roman" w:cs="Times New Roman"/>
          <w:sz w:val="24"/>
          <w:szCs w:val="24"/>
        </w:rPr>
        <w:t xml:space="preserve"> </w:t>
      </w:r>
    </w:p>
    <w:p w14:paraId="388E0C58" w14:textId="77777777"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proofErr w:type="spellStart"/>
      <w:r w:rsidRPr="0056087C">
        <w:rPr>
          <w:rFonts w:ascii="Times New Roman" w:eastAsiaTheme="minorHAnsi" w:hAnsi="Times New Roman" w:cs="Times New Roman"/>
          <w:sz w:val="24"/>
          <w:szCs w:val="24"/>
        </w:rPr>
        <w:t>Foolad</w:t>
      </w:r>
      <w:proofErr w:type="spellEnd"/>
      <w:r w:rsidRPr="0056087C">
        <w:rPr>
          <w:rFonts w:ascii="Times New Roman" w:eastAsiaTheme="minorHAnsi" w:hAnsi="Times New Roman" w:cs="Times New Roman"/>
          <w:sz w:val="24"/>
          <w:szCs w:val="24"/>
        </w:rPr>
        <w:t>, M.R., 2005. </w:t>
      </w:r>
      <w:r w:rsidRPr="0056087C">
        <w:rPr>
          <w:rFonts w:ascii="Times New Roman" w:eastAsiaTheme="minorHAnsi" w:hAnsi="Times New Roman" w:cs="Times New Roman"/>
          <w:i/>
          <w:iCs/>
          <w:sz w:val="24"/>
          <w:szCs w:val="24"/>
        </w:rPr>
        <w:t>Breeding for abiotic stress tolerance in tomato</w:t>
      </w:r>
      <w:r w:rsidRPr="0056087C">
        <w:rPr>
          <w:rFonts w:ascii="Times New Roman" w:eastAsiaTheme="minorHAnsi" w:hAnsi="Times New Roman" w:cs="Times New Roman"/>
          <w:sz w:val="24"/>
          <w:szCs w:val="24"/>
        </w:rPr>
        <w:t> (No. BOOK). Food Products Press.</w:t>
      </w:r>
    </w:p>
    <w:p w14:paraId="3C7C6642" w14:textId="7B5128B4"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proofErr w:type="spellStart"/>
      <w:r w:rsidRPr="0056087C">
        <w:rPr>
          <w:rFonts w:ascii="Times New Roman" w:eastAsiaTheme="minorHAnsi" w:hAnsi="Times New Roman" w:cs="Times New Roman"/>
          <w:sz w:val="24"/>
          <w:szCs w:val="24"/>
        </w:rPr>
        <w:t>Friedlingstein</w:t>
      </w:r>
      <w:proofErr w:type="spellEnd"/>
      <w:r w:rsidRPr="0056087C">
        <w:rPr>
          <w:rFonts w:ascii="Times New Roman" w:eastAsiaTheme="minorHAnsi" w:hAnsi="Times New Roman" w:cs="Times New Roman"/>
          <w:sz w:val="24"/>
          <w:szCs w:val="24"/>
        </w:rPr>
        <w:t xml:space="preserve">, P., Houghton, R.A., Marland, G., Hackler, J., Boden, T.A., Conway, T.J., </w:t>
      </w:r>
      <w:proofErr w:type="spellStart"/>
      <w:r w:rsidRPr="0056087C">
        <w:rPr>
          <w:rFonts w:ascii="Times New Roman" w:eastAsiaTheme="minorHAnsi" w:hAnsi="Times New Roman" w:cs="Times New Roman"/>
          <w:sz w:val="24"/>
          <w:szCs w:val="24"/>
        </w:rPr>
        <w:t>Canadell</w:t>
      </w:r>
      <w:proofErr w:type="spellEnd"/>
      <w:r w:rsidRPr="0056087C">
        <w:rPr>
          <w:rFonts w:ascii="Times New Roman" w:eastAsiaTheme="minorHAnsi" w:hAnsi="Times New Roman" w:cs="Times New Roman"/>
          <w:sz w:val="24"/>
          <w:szCs w:val="24"/>
        </w:rPr>
        <w:t xml:space="preserve">, J.G., </w:t>
      </w:r>
      <w:proofErr w:type="spellStart"/>
      <w:r w:rsidRPr="0056087C">
        <w:rPr>
          <w:rFonts w:ascii="Times New Roman" w:eastAsiaTheme="minorHAnsi" w:hAnsi="Times New Roman" w:cs="Times New Roman"/>
          <w:sz w:val="24"/>
          <w:szCs w:val="24"/>
        </w:rPr>
        <w:t>Raupach</w:t>
      </w:r>
      <w:proofErr w:type="spellEnd"/>
      <w:r w:rsidRPr="0056087C">
        <w:rPr>
          <w:rFonts w:ascii="Times New Roman" w:eastAsiaTheme="minorHAnsi" w:hAnsi="Times New Roman" w:cs="Times New Roman"/>
          <w:sz w:val="24"/>
          <w:szCs w:val="24"/>
        </w:rPr>
        <w:t>, M.R., Ciais, P. and Le Quéré, C., 2010. Update on CO2 emissions. </w:t>
      </w:r>
      <w:r w:rsidRPr="0056087C">
        <w:rPr>
          <w:rFonts w:ascii="Times New Roman" w:eastAsiaTheme="minorHAnsi" w:hAnsi="Times New Roman" w:cs="Times New Roman"/>
          <w:i/>
          <w:iCs/>
          <w:sz w:val="24"/>
          <w:szCs w:val="24"/>
        </w:rPr>
        <w:t>Nature geoscience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w:t>
      </w:r>
      <w:r w:rsidRPr="0056087C">
        <w:rPr>
          <w:rFonts w:ascii="Times New Roman" w:eastAsiaTheme="minorHAnsi" w:hAnsi="Times New Roman" w:cs="Times New Roman"/>
          <w:sz w:val="24"/>
          <w:szCs w:val="24"/>
        </w:rPr>
        <w:t>(12), pp.811-812.</w:t>
      </w:r>
      <w:r w:rsidR="003B5D88">
        <w:rPr>
          <w:rFonts w:ascii="Times New Roman" w:eastAsiaTheme="minorHAnsi" w:hAnsi="Times New Roman" w:cs="Times New Roman"/>
          <w:sz w:val="24"/>
          <w:szCs w:val="24"/>
        </w:rPr>
        <w:t xml:space="preserve"> </w:t>
      </w:r>
      <w:hyperlink r:id="rId22" w:history="1">
        <w:r w:rsidR="003B5D88" w:rsidRPr="007820DE">
          <w:rPr>
            <w:rStyle w:val="Hyperlink"/>
            <w:rFonts w:ascii="Times New Roman" w:eastAsiaTheme="minorHAnsi" w:hAnsi="Times New Roman" w:cs="Times New Roman"/>
            <w:sz w:val="24"/>
            <w:szCs w:val="24"/>
          </w:rPr>
          <w:t>https://doi.org/10.1038/ngeo1022</w:t>
        </w:r>
      </w:hyperlink>
      <w:r w:rsidR="003B5D88">
        <w:rPr>
          <w:rFonts w:ascii="Times New Roman" w:eastAsiaTheme="minorHAnsi" w:hAnsi="Times New Roman" w:cs="Times New Roman"/>
          <w:sz w:val="24"/>
          <w:szCs w:val="24"/>
        </w:rPr>
        <w:t xml:space="preserve"> </w:t>
      </w:r>
    </w:p>
    <w:p w14:paraId="0B6BC719" w14:textId="73B55A12"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Gallie, D.R., Le, H., Caldwell, C. and Browning, K.S., 1998. Analysis of translation elongation factors from wheat during development and following heat shock. </w:t>
      </w:r>
      <w:r w:rsidRPr="0056087C">
        <w:rPr>
          <w:rFonts w:ascii="Times New Roman" w:eastAsiaTheme="minorHAnsi" w:hAnsi="Times New Roman" w:cs="Times New Roman"/>
          <w:i/>
          <w:iCs/>
          <w:sz w:val="24"/>
          <w:szCs w:val="24"/>
        </w:rPr>
        <w:t>Biochemical and biophysical research communications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245</w:t>
      </w:r>
      <w:r w:rsidRPr="0056087C">
        <w:rPr>
          <w:rFonts w:ascii="Times New Roman" w:eastAsiaTheme="minorHAnsi" w:hAnsi="Times New Roman" w:cs="Times New Roman"/>
          <w:sz w:val="24"/>
          <w:szCs w:val="24"/>
        </w:rPr>
        <w:t>(2), pp.295-300.</w:t>
      </w:r>
      <w:r w:rsidR="003B5D88">
        <w:rPr>
          <w:rFonts w:ascii="Times New Roman" w:eastAsiaTheme="minorHAnsi" w:hAnsi="Times New Roman" w:cs="Times New Roman"/>
          <w:sz w:val="24"/>
          <w:szCs w:val="24"/>
        </w:rPr>
        <w:t xml:space="preserve"> </w:t>
      </w:r>
      <w:hyperlink r:id="rId23" w:history="1">
        <w:r w:rsidR="003B5D88" w:rsidRPr="007820DE">
          <w:rPr>
            <w:rStyle w:val="Hyperlink"/>
            <w:rFonts w:ascii="Times New Roman" w:eastAsiaTheme="minorHAnsi" w:hAnsi="Times New Roman" w:cs="Times New Roman"/>
            <w:sz w:val="24"/>
            <w:szCs w:val="24"/>
          </w:rPr>
          <w:t>https://doi.org/10.1006/bbrc.1998.8427</w:t>
        </w:r>
      </w:hyperlink>
      <w:r w:rsidR="003B5D88">
        <w:rPr>
          <w:rFonts w:ascii="Times New Roman" w:eastAsiaTheme="minorHAnsi" w:hAnsi="Times New Roman" w:cs="Times New Roman"/>
          <w:sz w:val="24"/>
          <w:szCs w:val="24"/>
        </w:rPr>
        <w:t xml:space="preserve"> </w:t>
      </w:r>
    </w:p>
    <w:p w14:paraId="40C1CABF" w14:textId="199BEAC3"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lastRenderedPageBreak/>
        <w:t xml:space="preserve">Gupta, P.K., </w:t>
      </w:r>
      <w:proofErr w:type="spellStart"/>
      <w:r w:rsidRPr="0056087C">
        <w:rPr>
          <w:rFonts w:ascii="Times New Roman" w:eastAsiaTheme="minorHAnsi" w:hAnsi="Times New Roman" w:cs="Times New Roman"/>
          <w:sz w:val="24"/>
          <w:szCs w:val="24"/>
        </w:rPr>
        <w:t>Balyan</w:t>
      </w:r>
      <w:proofErr w:type="spellEnd"/>
      <w:r w:rsidRPr="0056087C">
        <w:rPr>
          <w:rFonts w:ascii="Times New Roman" w:eastAsiaTheme="minorHAnsi" w:hAnsi="Times New Roman" w:cs="Times New Roman"/>
          <w:sz w:val="24"/>
          <w:szCs w:val="24"/>
        </w:rPr>
        <w:t xml:space="preserve">, H.S., </w:t>
      </w:r>
      <w:proofErr w:type="spellStart"/>
      <w:r w:rsidRPr="0056087C">
        <w:rPr>
          <w:rFonts w:ascii="Times New Roman" w:eastAsiaTheme="minorHAnsi" w:hAnsi="Times New Roman" w:cs="Times New Roman"/>
          <w:sz w:val="24"/>
          <w:szCs w:val="24"/>
        </w:rPr>
        <w:t>Gahlaut</w:t>
      </w:r>
      <w:proofErr w:type="spellEnd"/>
      <w:r w:rsidRPr="0056087C">
        <w:rPr>
          <w:rFonts w:ascii="Times New Roman" w:eastAsiaTheme="minorHAnsi" w:hAnsi="Times New Roman" w:cs="Times New Roman"/>
          <w:sz w:val="24"/>
          <w:szCs w:val="24"/>
        </w:rPr>
        <w:t xml:space="preserve">, V. and </w:t>
      </w:r>
      <w:proofErr w:type="spellStart"/>
      <w:r w:rsidRPr="0056087C">
        <w:rPr>
          <w:rFonts w:ascii="Times New Roman" w:eastAsiaTheme="minorHAnsi" w:hAnsi="Times New Roman" w:cs="Times New Roman"/>
          <w:sz w:val="24"/>
          <w:szCs w:val="24"/>
        </w:rPr>
        <w:t>Kulwal</w:t>
      </w:r>
      <w:proofErr w:type="spellEnd"/>
      <w:r w:rsidRPr="0056087C">
        <w:rPr>
          <w:rFonts w:ascii="Times New Roman" w:eastAsiaTheme="minorHAnsi" w:hAnsi="Times New Roman" w:cs="Times New Roman"/>
          <w:sz w:val="24"/>
          <w:szCs w:val="24"/>
        </w:rPr>
        <w:t>, P.L., 2012. Phenotyping, genetic dissection, and breeding for drought and heat tolerance in common wheat: status and prospects. </w:t>
      </w:r>
      <w:r w:rsidRPr="0056087C">
        <w:rPr>
          <w:rFonts w:ascii="Times New Roman" w:eastAsiaTheme="minorHAnsi" w:hAnsi="Times New Roman" w:cs="Times New Roman"/>
          <w:i/>
          <w:iCs/>
          <w:sz w:val="24"/>
          <w:szCs w:val="24"/>
        </w:rPr>
        <w:t>Plant breeding reviews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36</w:t>
      </w:r>
      <w:r w:rsidRPr="0056087C">
        <w:rPr>
          <w:rFonts w:ascii="Times New Roman" w:eastAsiaTheme="minorHAnsi" w:hAnsi="Times New Roman" w:cs="Times New Roman"/>
          <w:sz w:val="24"/>
          <w:szCs w:val="24"/>
        </w:rPr>
        <w:t>, pp.85-168.</w:t>
      </w:r>
      <w:r w:rsidR="003B5D88">
        <w:rPr>
          <w:rFonts w:ascii="Times New Roman" w:eastAsiaTheme="minorHAnsi" w:hAnsi="Times New Roman" w:cs="Times New Roman"/>
          <w:sz w:val="24"/>
          <w:szCs w:val="24"/>
        </w:rPr>
        <w:t xml:space="preserve"> </w:t>
      </w:r>
      <w:hyperlink r:id="rId24" w:history="1">
        <w:r w:rsidR="003B5D88" w:rsidRPr="007820DE">
          <w:rPr>
            <w:rStyle w:val="Hyperlink"/>
            <w:rFonts w:ascii="Times New Roman" w:eastAsiaTheme="minorHAnsi" w:hAnsi="Times New Roman" w:cs="Times New Roman"/>
            <w:sz w:val="24"/>
            <w:szCs w:val="24"/>
          </w:rPr>
          <w:t>https://doi.org/10.1002/9781118358566.ch2</w:t>
        </w:r>
      </w:hyperlink>
      <w:r w:rsidR="003B5D88">
        <w:rPr>
          <w:rFonts w:ascii="Times New Roman" w:eastAsiaTheme="minorHAnsi" w:hAnsi="Times New Roman" w:cs="Times New Roman"/>
          <w:sz w:val="24"/>
          <w:szCs w:val="24"/>
        </w:rPr>
        <w:t xml:space="preserve"> </w:t>
      </w:r>
    </w:p>
    <w:p w14:paraId="658BD1DC" w14:textId="0A4D0BBF" w:rsidR="00E120BE" w:rsidRPr="003B5D88" w:rsidRDefault="00E120BE" w:rsidP="0056087C">
      <w:pPr>
        <w:spacing w:after="160" w:line="360" w:lineRule="auto"/>
        <w:ind w:left="720" w:hanging="720"/>
        <w:jc w:val="both"/>
      </w:pPr>
      <w:r w:rsidRPr="0056087C">
        <w:rPr>
          <w:rFonts w:ascii="Times New Roman" w:eastAsiaTheme="minorHAnsi" w:hAnsi="Times New Roman" w:cs="Times New Roman"/>
          <w:sz w:val="24"/>
          <w:szCs w:val="24"/>
        </w:rPr>
        <w:t>Hampton, J.G., Boelt, B., Rolston, M.P. and Chastain, T.G., 2013. Effects of elevated CO2 and temperature on seed quality. </w:t>
      </w:r>
      <w:r w:rsidRPr="0056087C">
        <w:rPr>
          <w:rFonts w:ascii="Times New Roman" w:eastAsiaTheme="minorHAnsi" w:hAnsi="Times New Roman" w:cs="Times New Roman"/>
          <w:i/>
          <w:iCs/>
          <w:sz w:val="24"/>
          <w:szCs w:val="24"/>
        </w:rPr>
        <w:t>The Journal of agricultural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151</w:t>
      </w:r>
      <w:r w:rsidRPr="0056087C">
        <w:rPr>
          <w:rFonts w:ascii="Times New Roman" w:eastAsiaTheme="minorHAnsi" w:hAnsi="Times New Roman" w:cs="Times New Roman"/>
          <w:sz w:val="24"/>
          <w:szCs w:val="24"/>
        </w:rPr>
        <w:t>(2), pp.154-162.</w:t>
      </w:r>
      <w:r w:rsidR="003B5D88">
        <w:rPr>
          <w:rFonts w:ascii="Times New Roman" w:eastAsiaTheme="minorHAnsi" w:hAnsi="Times New Roman" w:cs="Times New Roman"/>
          <w:sz w:val="24"/>
          <w:szCs w:val="24"/>
        </w:rPr>
        <w:t xml:space="preserve"> </w:t>
      </w:r>
      <w:hyperlink r:id="rId25" w:history="1">
        <w:r w:rsidR="003B5D88" w:rsidRPr="007820DE">
          <w:rPr>
            <w:rStyle w:val="Hyperlink"/>
            <w:rFonts w:ascii="Times New Roman" w:eastAsiaTheme="minorHAnsi" w:hAnsi="Times New Roman" w:cs="Times New Roman"/>
            <w:sz w:val="24"/>
            <w:szCs w:val="24"/>
          </w:rPr>
          <w:t>https://doi.org/10.1017/S0021859612000263</w:t>
        </w:r>
      </w:hyperlink>
      <w:r w:rsidR="003B5D88">
        <w:t xml:space="preserve"> </w:t>
      </w:r>
    </w:p>
    <w:p w14:paraId="3FFEC1E9" w14:textId="3F03825F"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Hampton, J.G., Conner, A.J., Boelt, B., Chastain, T.G. and Rolston, P., 2016. Climate change: seed production and options for adaptation. </w:t>
      </w:r>
      <w:r w:rsidRPr="0056087C">
        <w:rPr>
          <w:rFonts w:ascii="Times New Roman" w:eastAsiaTheme="minorHAnsi" w:hAnsi="Times New Roman" w:cs="Times New Roman"/>
          <w:i/>
          <w:iCs/>
          <w:sz w:val="24"/>
          <w:szCs w:val="24"/>
        </w:rPr>
        <w:t>Agriculture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6</w:t>
      </w:r>
      <w:r w:rsidRPr="0056087C">
        <w:rPr>
          <w:rFonts w:ascii="Times New Roman" w:eastAsiaTheme="minorHAnsi" w:hAnsi="Times New Roman" w:cs="Times New Roman"/>
          <w:sz w:val="24"/>
          <w:szCs w:val="24"/>
        </w:rPr>
        <w:t>(3), p.33.</w:t>
      </w:r>
      <w:r w:rsidR="003B5D88">
        <w:rPr>
          <w:rFonts w:ascii="Times New Roman" w:eastAsiaTheme="minorHAnsi" w:hAnsi="Times New Roman" w:cs="Times New Roman"/>
          <w:sz w:val="24"/>
          <w:szCs w:val="24"/>
        </w:rPr>
        <w:t xml:space="preserve"> </w:t>
      </w:r>
      <w:hyperlink r:id="rId26" w:history="1">
        <w:r w:rsidR="003B5D88" w:rsidRPr="007820DE">
          <w:rPr>
            <w:rStyle w:val="Hyperlink"/>
            <w:rFonts w:ascii="Times New Roman" w:eastAsiaTheme="minorHAnsi" w:hAnsi="Times New Roman" w:cs="Times New Roman"/>
            <w:sz w:val="24"/>
            <w:szCs w:val="24"/>
          </w:rPr>
          <w:t>https://doi.org/10.3390/agriculture6030033</w:t>
        </w:r>
      </w:hyperlink>
      <w:r w:rsidR="003B5D88">
        <w:rPr>
          <w:rFonts w:ascii="Times New Roman" w:eastAsiaTheme="minorHAnsi" w:hAnsi="Times New Roman" w:cs="Times New Roman"/>
          <w:sz w:val="24"/>
          <w:szCs w:val="24"/>
        </w:rPr>
        <w:t xml:space="preserve"> </w:t>
      </w:r>
    </w:p>
    <w:p w14:paraId="2B61CB15" w14:textId="536A7E1E"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 xml:space="preserve">Harris, D.B.S.R., </w:t>
      </w:r>
      <w:proofErr w:type="spellStart"/>
      <w:r w:rsidRPr="0056087C">
        <w:rPr>
          <w:rFonts w:ascii="Times New Roman" w:eastAsiaTheme="minorHAnsi" w:hAnsi="Times New Roman" w:cs="Times New Roman"/>
          <w:sz w:val="24"/>
          <w:szCs w:val="24"/>
        </w:rPr>
        <w:t>Raghuwanshi</w:t>
      </w:r>
      <w:proofErr w:type="spellEnd"/>
      <w:r w:rsidRPr="0056087C">
        <w:rPr>
          <w:rFonts w:ascii="Times New Roman" w:eastAsiaTheme="minorHAnsi" w:hAnsi="Times New Roman" w:cs="Times New Roman"/>
          <w:sz w:val="24"/>
          <w:szCs w:val="24"/>
        </w:rPr>
        <w:t xml:space="preserve">, B.S., </w:t>
      </w:r>
      <w:proofErr w:type="spellStart"/>
      <w:r w:rsidRPr="0056087C">
        <w:rPr>
          <w:rFonts w:ascii="Times New Roman" w:eastAsiaTheme="minorHAnsi" w:hAnsi="Times New Roman" w:cs="Times New Roman"/>
          <w:sz w:val="24"/>
          <w:szCs w:val="24"/>
        </w:rPr>
        <w:t>Gangwar</w:t>
      </w:r>
      <w:proofErr w:type="spellEnd"/>
      <w:r w:rsidRPr="0056087C">
        <w:rPr>
          <w:rFonts w:ascii="Times New Roman" w:eastAsiaTheme="minorHAnsi" w:hAnsi="Times New Roman" w:cs="Times New Roman"/>
          <w:sz w:val="24"/>
          <w:szCs w:val="24"/>
        </w:rPr>
        <w:t>, J.S., Singh, S.C., Joshi, K.D., Rashid, A. and Hollington, P.A., 2001. Participatory evaluation by farmers of on-farm seed priming in wheat in India, Nepal and Pakistan. </w:t>
      </w:r>
      <w:r w:rsidRPr="0056087C">
        <w:rPr>
          <w:rFonts w:ascii="Times New Roman" w:eastAsiaTheme="minorHAnsi" w:hAnsi="Times New Roman" w:cs="Times New Roman"/>
          <w:i/>
          <w:iCs/>
          <w:sz w:val="24"/>
          <w:szCs w:val="24"/>
        </w:rPr>
        <w:t>Experimental Agriculture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37</w:t>
      </w:r>
      <w:r w:rsidRPr="0056087C">
        <w:rPr>
          <w:rFonts w:ascii="Times New Roman" w:eastAsiaTheme="minorHAnsi" w:hAnsi="Times New Roman" w:cs="Times New Roman"/>
          <w:sz w:val="24"/>
          <w:szCs w:val="24"/>
        </w:rPr>
        <w:t>(3), pp.403-415</w:t>
      </w:r>
      <w:r w:rsidR="003B5D88">
        <w:rPr>
          <w:rFonts w:ascii="Times New Roman" w:eastAsiaTheme="minorHAnsi" w:hAnsi="Times New Roman" w:cs="Times New Roman"/>
          <w:sz w:val="24"/>
          <w:szCs w:val="24"/>
        </w:rPr>
        <w:t xml:space="preserve">  </w:t>
      </w:r>
      <w:hyperlink r:id="rId27" w:history="1">
        <w:r w:rsidR="003B5D88" w:rsidRPr="007820DE">
          <w:rPr>
            <w:rStyle w:val="Hyperlink"/>
            <w:rFonts w:ascii="Times New Roman" w:eastAsiaTheme="minorHAnsi" w:hAnsi="Times New Roman" w:cs="Times New Roman"/>
            <w:sz w:val="24"/>
            <w:szCs w:val="24"/>
          </w:rPr>
          <w:t>https://doi.org/10.1017/S001447970100307X</w:t>
        </w:r>
      </w:hyperlink>
      <w:r w:rsidR="003B5D88">
        <w:rPr>
          <w:rFonts w:ascii="Times New Roman" w:eastAsiaTheme="minorHAnsi" w:hAnsi="Times New Roman" w:cs="Times New Roman"/>
          <w:sz w:val="24"/>
          <w:szCs w:val="24"/>
        </w:rPr>
        <w:t xml:space="preserve"> </w:t>
      </w:r>
      <w:r w:rsidRPr="0056087C">
        <w:rPr>
          <w:rFonts w:ascii="Times New Roman" w:eastAsiaTheme="minorHAnsi" w:hAnsi="Times New Roman" w:cs="Times New Roman"/>
          <w:sz w:val="24"/>
          <w:szCs w:val="24"/>
        </w:rPr>
        <w:t>.</w:t>
      </w:r>
    </w:p>
    <w:p w14:paraId="61B8AA63" w14:textId="16957260"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Hassan, M.U., Chattha, M.U., Khan, I., Chattha, M.B., Barbanti, L., Aamer, M., Iqbal, M.M., Nawaz, M., Mahmood, A., Ali, A. and Aslam, M.T., 2021. Heat stress in cultivated plants: Nature, impact, mechanisms, and mitigation strategies—A review. </w:t>
      </w:r>
      <w:r w:rsidRPr="0056087C">
        <w:rPr>
          <w:rFonts w:ascii="Times New Roman" w:eastAsiaTheme="minorHAnsi" w:hAnsi="Times New Roman" w:cs="Times New Roman"/>
          <w:i/>
          <w:iCs/>
          <w:sz w:val="24"/>
          <w:szCs w:val="24"/>
        </w:rPr>
        <w:t>Plant Biosystems-An International Journal Dealing with all Aspects of Plant Biology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155</w:t>
      </w:r>
      <w:r w:rsidRPr="0056087C">
        <w:rPr>
          <w:rFonts w:ascii="Times New Roman" w:eastAsiaTheme="minorHAnsi" w:hAnsi="Times New Roman" w:cs="Times New Roman"/>
          <w:sz w:val="24"/>
          <w:szCs w:val="24"/>
        </w:rPr>
        <w:t>(2), pp.211-234.</w:t>
      </w:r>
      <w:r w:rsidR="003B5D88">
        <w:rPr>
          <w:rFonts w:ascii="Times New Roman" w:eastAsiaTheme="minorHAnsi" w:hAnsi="Times New Roman" w:cs="Times New Roman"/>
          <w:sz w:val="24"/>
          <w:szCs w:val="24"/>
        </w:rPr>
        <w:t xml:space="preserve"> </w:t>
      </w:r>
      <w:hyperlink r:id="rId28" w:history="1">
        <w:r w:rsidR="003B5D88" w:rsidRPr="007820DE">
          <w:rPr>
            <w:rStyle w:val="Hyperlink"/>
            <w:rFonts w:ascii="Times New Roman" w:eastAsiaTheme="minorHAnsi" w:hAnsi="Times New Roman" w:cs="Times New Roman"/>
            <w:sz w:val="24"/>
            <w:szCs w:val="24"/>
          </w:rPr>
          <w:t>https://doi.org/10.1080/11263504.2020.1727987</w:t>
        </w:r>
      </w:hyperlink>
      <w:r w:rsidR="003B5D88">
        <w:rPr>
          <w:rFonts w:ascii="Times New Roman" w:eastAsiaTheme="minorHAnsi" w:hAnsi="Times New Roman" w:cs="Times New Roman"/>
          <w:sz w:val="24"/>
          <w:szCs w:val="24"/>
        </w:rPr>
        <w:t xml:space="preserve"> </w:t>
      </w:r>
    </w:p>
    <w:p w14:paraId="046D75EE" w14:textId="57D50389"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proofErr w:type="spellStart"/>
      <w:r w:rsidRPr="0056087C">
        <w:rPr>
          <w:rFonts w:ascii="Times New Roman" w:eastAsiaTheme="minorHAnsi" w:hAnsi="Times New Roman" w:cs="Times New Roman"/>
          <w:sz w:val="24"/>
          <w:szCs w:val="24"/>
        </w:rPr>
        <w:t>Hedhly</w:t>
      </w:r>
      <w:proofErr w:type="spellEnd"/>
      <w:r w:rsidRPr="0056087C">
        <w:rPr>
          <w:rFonts w:ascii="Times New Roman" w:eastAsiaTheme="minorHAnsi" w:hAnsi="Times New Roman" w:cs="Times New Roman"/>
          <w:sz w:val="24"/>
          <w:szCs w:val="24"/>
        </w:rPr>
        <w:t>, A., Hormaza, J.I. and Herrero, M., 2009. Global warming and sexual plant reproduction. </w:t>
      </w:r>
      <w:r w:rsidRPr="0056087C">
        <w:rPr>
          <w:rFonts w:ascii="Times New Roman" w:eastAsiaTheme="minorHAnsi" w:hAnsi="Times New Roman" w:cs="Times New Roman"/>
          <w:i/>
          <w:iCs/>
          <w:sz w:val="24"/>
          <w:szCs w:val="24"/>
        </w:rPr>
        <w:t>Trends in plant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14</w:t>
      </w:r>
      <w:r w:rsidRPr="0056087C">
        <w:rPr>
          <w:rFonts w:ascii="Times New Roman" w:eastAsiaTheme="minorHAnsi" w:hAnsi="Times New Roman" w:cs="Times New Roman"/>
          <w:sz w:val="24"/>
          <w:szCs w:val="24"/>
        </w:rPr>
        <w:t>(1), pp.30-36.</w:t>
      </w:r>
      <w:r w:rsidR="003B5D88">
        <w:rPr>
          <w:rFonts w:ascii="Times New Roman" w:eastAsiaTheme="minorHAnsi" w:hAnsi="Times New Roman" w:cs="Times New Roman"/>
          <w:sz w:val="24"/>
          <w:szCs w:val="24"/>
        </w:rPr>
        <w:t xml:space="preserve"> </w:t>
      </w:r>
      <w:hyperlink r:id="rId29" w:history="1">
        <w:r w:rsidR="003B5D88" w:rsidRPr="007820DE">
          <w:rPr>
            <w:rStyle w:val="Hyperlink"/>
            <w:rFonts w:ascii="Times New Roman" w:eastAsiaTheme="minorHAnsi" w:hAnsi="Times New Roman" w:cs="Times New Roman"/>
            <w:sz w:val="24"/>
            <w:szCs w:val="24"/>
          </w:rPr>
          <w:t>https://doi.org/10.1016/j.tplants.2008.11.001</w:t>
        </w:r>
      </w:hyperlink>
      <w:r w:rsidR="003B5D88">
        <w:rPr>
          <w:rFonts w:ascii="Times New Roman" w:eastAsiaTheme="minorHAnsi" w:hAnsi="Times New Roman" w:cs="Times New Roman"/>
          <w:sz w:val="24"/>
          <w:szCs w:val="24"/>
        </w:rPr>
        <w:t xml:space="preserve"> </w:t>
      </w:r>
    </w:p>
    <w:p w14:paraId="7651D664" w14:textId="05E3EB27"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Huang, Z.A., Jiang, D.A., Yang, Y., Sun, J.W. and Jin, S.H., 2004. Effects of nitrogen deficiency on gas exchange, chlorophyll fluorescence, and antioxidant enzymes in leaves of rice plants. </w:t>
      </w:r>
      <w:proofErr w:type="spellStart"/>
      <w:r w:rsidRPr="0056087C">
        <w:rPr>
          <w:rFonts w:ascii="Times New Roman" w:eastAsiaTheme="minorHAnsi" w:hAnsi="Times New Roman" w:cs="Times New Roman"/>
          <w:i/>
          <w:iCs/>
          <w:sz w:val="24"/>
          <w:szCs w:val="24"/>
        </w:rPr>
        <w:t>Photosynthetica</w:t>
      </w:r>
      <w:proofErr w:type="spellEnd"/>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42</w:t>
      </w:r>
      <w:r w:rsidRPr="0056087C">
        <w:rPr>
          <w:rFonts w:ascii="Times New Roman" w:eastAsiaTheme="minorHAnsi" w:hAnsi="Times New Roman" w:cs="Times New Roman"/>
          <w:sz w:val="24"/>
          <w:szCs w:val="24"/>
        </w:rPr>
        <w:t>(3), pp.357-364</w:t>
      </w:r>
      <w:r w:rsidR="003B5D88">
        <w:rPr>
          <w:rFonts w:ascii="Times New Roman" w:eastAsiaTheme="minorHAnsi" w:hAnsi="Times New Roman" w:cs="Times New Roman"/>
          <w:sz w:val="24"/>
          <w:szCs w:val="24"/>
        </w:rPr>
        <w:t xml:space="preserve"> </w:t>
      </w:r>
      <w:hyperlink r:id="rId30" w:history="1">
        <w:r w:rsidR="003B5D88" w:rsidRPr="007820DE">
          <w:rPr>
            <w:rStyle w:val="Hyperlink"/>
            <w:rFonts w:ascii="Times New Roman" w:eastAsiaTheme="minorHAnsi" w:hAnsi="Times New Roman" w:cs="Times New Roman"/>
            <w:sz w:val="24"/>
            <w:szCs w:val="24"/>
          </w:rPr>
          <w:t>https://doi.org/10.1023/B:PHOT.0000046153.08935.4c</w:t>
        </w:r>
      </w:hyperlink>
      <w:r w:rsidR="003B5D88">
        <w:rPr>
          <w:rFonts w:ascii="Times New Roman" w:eastAsiaTheme="minorHAnsi" w:hAnsi="Times New Roman" w:cs="Times New Roman"/>
          <w:sz w:val="24"/>
          <w:szCs w:val="24"/>
        </w:rPr>
        <w:t xml:space="preserve"> </w:t>
      </w:r>
      <w:r w:rsidRPr="0056087C">
        <w:rPr>
          <w:rFonts w:ascii="Times New Roman" w:eastAsiaTheme="minorHAnsi" w:hAnsi="Times New Roman" w:cs="Times New Roman"/>
          <w:sz w:val="24"/>
          <w:szCs w:val="24"/>
        </w:rPr>
        <w:t>.</w:t>
      </w:r>
    </w:p>
    <w:p w14:paraId="3C9ABD9A" w14:textId="5A757BCD"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proofErr w:type="spellStart"/>
      <w:r w:rsidRPr="0056087C">
        <w:rPr>
          <w:rFonts w:ascii="Times New Roman" w:eastAsiaTheme="minorHAnsi" w:hAnsi="Times New Roman" w:cs="Times New Roman"/>
          <w:sz w:val="24"/>
          <w:szCs w:val="24"/>
        </w:rPr>
        <w:t>Hurkman</w:t>
      </w:r>
      <w:proofErr w:type="spellEnd"/>
      <w:r w:rsidRPr="0056087C">
        <w:rPr>
          <w:rFonts w:ascii="Times New Roman" w:eastAsiaTheme="minorHAnsi" w:hAnsi="Times New Roman" w:cs="Times New Roman"/>
          <w:sz w:val="24"/>
          <w:szCs w:val="24"/>
        </w:rPr>
        <w:t xml:space="preserve">, W.J., </w:t>
      </w:r>
      <w:proofErr w:type="spellStart"/>
      <w:r w:rsidRPr="0056087C">
        <w:rPr>
          <w:rFonts w:ascii="Times New Roman" w:eastAsiaTheme="minorHAnsi" w:hAnsi="Times New Roman" w:cs="Times New Roman"/>
          <w:sz w:val="24"/>
          <w:szCs w:val="24"/>
        </w:rPr>
        <w:t>Vensel</w:t>
      </w:r>
      <w:proofErr w:type="spellEnd"/>
      <w:r w:rsidRPr="0056087C">
        <w:rPr>
          <w:rFonts w:ascii="Times New Roman" w:eastAsiaTheme="minorHAnsi" w:hAnsi="Times New Roman" w:cs="Times New Roman"/>
          <w:sz w:val="24"/>
          <w:szCs w:val="24"/>
        </w:rPr>
        <w:t>, W.H., Tanaka, C.K., White hand, L. and Altenbach, S.B., 2009. Effect of high temperature on albumin and globulin accumulation in the endosperm proteome of the developing wheat grain. </w:t>
      </w:r>
      <w:r w:rsidRPr="0056087C">
        <w:rPr>
          <w:rFonts w:ascii="Times New Roman" w:eastAsiaTheme="minorHAnsi" w:hAnsi="Times New Roman" w:cs="Times New Roman"/>
          <w:i/>
          <w:iCs/>
          <w:sz w:val="24"/>
          <w:szCs w:val="24"/>
        </w:rPr>
        <w:t>Journal of Cereal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49</w:t>
      </w:r>
      <w:r w:rsidRPr="0056087C">
        <w:rPr>
          <w:rFonts w:ascii="Times New Roman" w:eastAsiaTheme="minorHAnsi" w:hAnsi="Times New Roman" w:cs="Times New Roman"/>
          <w:sz w:val="24"/>
          <w:szCs w:val="24"/>
        </w:rPr>
        <w:t>(1), pp.12-23.</w:t>
      </w:r>
      <w:r w:rsidR="003B5D88">
        <w:rPr>
          <w:rFonts w:ascii="Times New Roman" w:eastAsiaTheme="minorHAnsi" w:hAnsi="Times New Roman" w:cs="Times New Roman"/>
          <w:sz w:val="24"/>
          <w:szCs w:val="24"/>
        </w:rPr>
        <w:t xml:space="preserve"> </w:t>
      </w:r>
      <w:hyperlink r:id="rId31" w:history="1">
        <w:r w:rsidR="003B5D88" w:rsidRPr="007820DE">
          <w:rPr>
            <w:rStyle w:val="Hyperlink"/>
            <w:rFonts w:ascii="Times New Roman" w:eastAsiaTheme="minorHAnsi" w:hAnsi="Times New Roman" w:cs="Times New Roman"/>
            <w:sz w:val="24"/>
            <w:szCs w:val="24"/>
          </w:rPr>
          <w:t>https://doi.org/10.1016/j.jcs.2008.06.014</w:t>
        </w:r>
      </w:hyperlink>
      <w:r w:rsidR="003B5D88">
        <w:rPr>
          <w:rFonts w:ascii="Times New Roman" w:eastAsiaTheme="minorHAnsi" w:hAnsi="Times New Roman" w:cs="Times New Roman"/>
          <w:sz w:val="24"/>
          <w:szCs w:val="24"/>
        </w:rPr>
        <w:t xml:space="preserve"> </w:t>
      </w:r>
    </w:p>
    <w:p w14:paraId="17689FC7" w14:textId="1E4BFBBF"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proofErr w:type="spellStart"/>
      <w:r w:rsidRPr="0056087C">
        <w:rPr>
          <w:rFonts w:ascii="Times New Roman" w:eastAsiaTheme="minorHAnsi" w:hAnsi="Times New Roman" w:cs="Times New Roman"/>
          <w:sz w:val="24"/>
          <w:szCs w:val="24"/>
        </w:rPr>
        <w:lastRenderedPageBreak/>
        <w:t>Karuppanapandian</w:t>
      </w:r>
      <w:proofErr w:type="spellEnd"/>
      <w:r w:rsidRPr="0056087C">
        <w:rPr>
          <w:rFonts w:ascii="Times New Roman" w:eastAsiaTheme="minorHAnsi" w:hAnsi="Times New Roman" w:cs="Times New Roman"/>
          <w:sz w:val="24"/>
          <w:szCs w:val="24"/>
        </w:rPr>
        <w:t>, T., Moon, J.C., Kim, C., Manoharan, K. and Kim, W., 2011. Reactive oxygen species in plants: their generation, signal transduction, and scavenging mechanisms. </w:t>
      </w:r>
      <w:r w:rsidRPr="0056087C">
        <w:rPr>
          <w:rFonts w:ascii="Times New Roman" w:eastAsiaTheme="minorHAnsi" w:hAnsi="Times New Roman" w:cs="Times New Roman"/>
          <w:i/>
          <w:iCs/>
          <w:sz w:val="24"/>
          <w:szCs w:val="24"/>
        </w:rPr>
        <w:t>Australian Journal of Crop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5</w:t>
      </w:r>
      <w:r w:rsidRPr="0056087C">
        <w:rPr>
          <w:rFonts w:ascii="Times New Roman" w:eastAsiaTheme="minorHAnsi" w:hAnsi="Times New Roman" w:cs="Times New Roman"/>
          <w:sz w:val="24"/>
          <w:szCs w:val="24"/>
        </w:rPr>
        <w:t>(6), pp.709-725.</w:t>
      </w:r>
      <w:r w:rsidR="003B5D88">
        <w:rPr>
          <w:rFonts w:ascii="Times New Roman" w:eastAsiaTheme="minorHAnsi" w:hAnsi="Times New Roman" w:cs="Times New Roman"/>
          <w:sz w:val="24"/>
          <w:szCs w:val="24"/>
        </w:rPr>
        <w:t xml:space="preserve"> </w:t>
      </w:r>
      <w:hyperlink r:id="rId32" w:history="1">
        <w:r w:rsidR="003B5D88" w:rsidRPr="007820DE">
          <w:rPr>
            <w:rStyle w:val="Hyperlink"/>
            <w:rFonts w:ascii="Times New Roman" w:eastAsiaTheme="minorHAnsi" w:hAnsi="Times New Roman" w:cs="Times New Roman"/>
            <w:sz w:val="24"/>
            <w:szCs w:val="24"/>
          </w:rPr>
          <w:t>https://www.informit.org/library/browse;res=IELAPA;issn=1835-2693</w:t>
        </w:r>
      </w:hyperlink>
      <w:r w:rsidR="003B5D88">
        <w:rPr>
          <w:rFonts w:ascii="Times New Roman" w:eastAsiaTheme="minorHAnsi" w:hAnsi="Times New Roman" w:cs="Times New Roman"/>
          <w:sz w:val="24"/>
          <w:szCs w:val="24"/>
        </w:rPr>
        <w:t xml:space="preserve"> </w:t>
      </w:r>
    </w:p>
    <w:p w14:paraId="23C65F2D" w14:textId="2D777739"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 xml:space="preserve">Kaushal, N., Gupta, K., </w:t>
      </w:r>
      <w:proofErr w:type="spellStart"/>
      <w:r w:rsidRPr="0056087C">
        <w:rPr>
          <w:rFonts w:ascii="Times New Roman" w:eastAsiaTheme="minorHAnsi" w:hAnsi="Times New Roman" w:cs="Times New Roman"/>
          <w:sz w:val="24"/>
          <w:szCs w:val="24"/>
        </w:rPr>
        <w:t>Bhandhari</w:t>
      </w:r>
      <w:proofErr w:type="spellEnd"/>
      <w:r w:rsidRPr="0056087C">
        <w:rPr>
          <w:rFonts w:ascii="Times New Roman" w:eastAsiaTheme="minorHAnsi" w:hAnsi="Times New Roman" w:cs="Times New Roman"/>
          <w:sz w:val="24"/>
          <w:szCs w:val="24"/>
        </w:rPr>
        <w:t>, K., Kumar, S., Thakur, P. and Nayyar, H., 2011. Proline induces heat tolerance in chickpea (Cicer arietinum L.) plants by protecting vital enzymes of carbon and antioxidative metabolism. </w:t>
      </w:r>
      <w:r w:rsidRPr="0056087C">
        <w:rPr>
          <w:rFonts w:ascii="Times New Roman" w:eastAsiaTheme="minorHAnsi" w:hAnsi="Times New Roman" w:cs="Times New Roman"/>
          <w:i/>
          <w:iCs/>
          <w:sz w:val="24"/>
          <w:szCs w:val="24"/>
        </w:rPr>
        <w:t xml:space="preserve">Physiology </w:t>
      </w:r>
      <w:proofErr w:type="gramStart"/>
      <w:r w:rsidRPr="0056087C">
        <w:rPr>
          <w:rFonts w:ascii="Times New Roman" w:eastAsiaTheme="minorHAnsi" w:hAnsi="Times New Roman" w:cs="Times New Roman"/>
          <w:i/>
          <w:iCs/>
          <w:sz w:val="24"/>
          <w:szCs w:val="24"/>
        </w:rPr>
        <w:t>an</w:t>
      </w:r>
      <w:proofErr w:type="gramEnd"/>
      <w:r w:rsidR="003B5D88">
        <w:rPr>
          <w:rFonts w:ascii="Times New Roman" w:eastAsiaTheme="minorHAnsi" w:hAnsi="Times New Roman" w:cs="Times New Roman"/>
          <w:i/>
          <w:iCs/>
          <w:sz w:val="24"/>
          <w:szCs w:val="24"/>
        </w:rPr>
        <w:t xml:space="preserve"> </w:t>
      </w:r>
      <w:r w:rsidRPr="0056087C">
        <w:rPr>
          <w:rFonts w:ascii="Times New Roman" w:eastAsiaTheme="minorHAnsi" w:hAnsi="Times New Roman" w:cs="Times New Roman"/>
          <w:i/>
          <w:iCs/>
          <w:sz w:val="24"/>
          <w:szCs w:val="24"/>
        </w:rPr>
        <w:t>d Molecular Biology of Plants</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17</w:t>
      </w:r>
      <w:r w:rsidRPr="0056087C">
        <w:rPr>
          <w:rFonts w:ascii="Times New Roman" w:eastAsiaTheme="minorHAnsi" w:hAnsi="Times New Roman" w:cs="Times New Roman"/>
          <w:sz w:val="24"/>
          <w:szCs w:val="24"/>
        </w:rPr>
        <w:t>(3), pp.203-213.</w:t>
      </w:r>
      <w:r w:rsidR="003B5D88">
        <w:rPr>
          <w:rFonts w:ascii="Times New Roman" w:eastAsiaTheme="minorHAnsi" w:hAnsi="Times New Roman" w:cs="Times New Roman"/>
          <w:sz w:val="24"/>
          <w:szCs w:val="24"/>
        </w:rPr>
        <w:t xml:space="preserve"> </w:t>
      </w:r>
      <w:hyperlink r:id="rId33" w:history="1">
        <w:r w:rsidR="003B5D88" w:rsidRPr="007820DE">
          <w:rPr>
            <w:rStyle w:val="Hyperlink"/>
            <w:rFonts w:ascii="Times New Roman" w:eastAsiaTheme="minorHAnsi" w:hAnsi="Times New Roman" w:cs="Times New Roman"/>
            <w:sz w:val="24"/>
            <w:szCs w:val="24"/>
          </w:rPr>
          <w:t>https://doi.org/10.1007/s12298-011-0078-2</w:t>
        </w:r>
      </w:hyperlink>
      <w:r w:rsidR="003B5D88">
        <w:rPr>
          <w:rFonts w:ascii="Times New Roman" w:eastAsiaTheme="minorHAnsi" w:hAnsi="Times New Roman" w:cs="Times New Roman"/>
          <w:sz w:val="24"/>
          <w:szCs w:val="24"/>
        </w:rPr>
        <w:t xml:space="preserve"> </w:t>
      </w:r>
    </w:p>
    <w:p w14:paraId="0C3DF893" w14:textId="4B15D987"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 xml:space="preserve">Kumar, S., Kaushal, N., Nayyar, H. and Gaur, P., 2012. Abscisic acid induces heat tolerance in chickpea (Cicer arietinum L.) seedlings by facilitated accumulation of </w:t>
      </w:r>
      <w:proofErr w:type="spellStart"/>
      <w:r w:rsidRPr="0056087C">
        <w:rPr>
          <w:rFonts w:ascii="Times New Roman" w:eastAsiaTheme="minorHAnsi" w:hAnsi="Times New Roman" w:cs="Times New Roman"/>
          <w:sz w:val="24"/>
          <w:szCs w:val="24"/>
        </w:rPr>
        <w:t>osmoprotectants</w:t>
      </w:r>
      <w:proofErr w:type="spellEnd"/>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 xml:space="preserve">Acta </w:t>
      </w:r>
      <w:proofErr w:type="spellStart"/>
      <w:r w:rsidRPr="0056087C">
        <w:rPr>
          <w:rFonts w:ascii="Times New Roman" w:eastAsiaTheme="minorHAnsi" w:hAnsi="Times New Roman" w:cs="Times New Roman"/>
          <w:i/>
          <w:iCs/>
          <w:sz w:val="24"/>
          <w:szCs w:val="24"/>
        </w:rPr>
        <w:t>Physiologiae</w:t>
      </w:r>
      <w:proofErr w:type="spellEnd"/>
      <w:r w:rsidRPr="0056087C">
        <w:rPr>
          <w:rFonts w:ascii="Times New Roman" w:eastAsiaTheme="minorHAnsi" w:hAnsi="Times New Roman" w:cs="Times New Roman"/>
          <w:i/>
          <w:iCs/>
          <w:sz w:val="24"/>
          <w:szCs w:val="24"/>
        </w:rPr>
        <w:t xml:space="preserve"> Plantarum</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34</w:t>
      </w:r>
      <w:r w:rsidRPr="0056087C">
        <w:rPr>
          <w:rFonts w:ascii="Times New Roman" w:eastAsiaTheme="minorHAnsi" w:hAnsi="Times New Roman" w:cs="Times New Roman"/>
          <w:sz w:val="24"/>
          <w:szCs w:val="24"/>
        </w:rPr>
        <w:t>(5), pp.1651-1658.</w:t>
      </w:r>
      <w:r w:rsidR="003B5D88">
        <w:rPr>
          <w:rFonts w:ascii="Times New Roman" w:eastAsiaTheme="minorHAnsi" w:hAnsi="Times New Roman" w:cs="Times New Roman"/>
          <w:sz w:val="24"/>
          <w:szCs w:val="24"/>
        </w:rPr>
        <w:t xml:space="preserve"> </w:t>
      </w:r>
      <w:hyperlink r:id="rId34" w:history="1">
        <w:r w:rsidR="003B5D88" w:rsidRPr="007820DE">
          <w:rPr>
            <w:rStyle w:val="Hyperlink"/>
            <w:rFonts w:ascii="Times New Roman" w:eastAsiaTheme="minorHAnsi" w:hAnsi="Times New Roman" w:cs="Times New Roman"/>
            <w:sz w:val="24"/>
            <w:szCs w:val="24"/>
          </w:rPr>
          <w:t>https://doi.org/10.1007/s11738-012-0959-1</w:t>
        </w:r>
      </w:hyperlink>
      <w:r w:rsidR="003B5D88">
        <w:rPr>
          <w:rFonts w:ascii="Times New Roman" w:eastAsiaTheme="minorHAnsi" w:hAnsi="Times New Roman" w:cs="Times New Roman"/>
          <w:sz w:val="24"/>
          <w:szCs w:val="24"/>
        </w:rPr>
        <w:t xml:space="preserve"> </w:t>
      </w:r>
    </w:p>
    <w:p w14:paraId="4075CDDC" w14:textId="6606522F"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Møller, I.M., Jensen, P.E. and Hansson, A., 2007. Oxidative modifications to cellular components in plants. </w:t>
      </w:r>
      <w:r w:rsidRPr="0056087C">
        <w:rPr>
          <w:rFonts w:ascii="Times New Roman" w:eastAsiaTheme="minorHAnsi" w:hAnsi="Times New Roman" w:cs="Times New Roman"/>
          <w:i/>
          <w:iCs/>
          <w:sz w:val="24"/>
          <w:szCs w:val="24"/>
        </w:rPr>
        <w:t>Annu. Rev. Plant Biol.</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58</w:t>
      </w:r>
      <w:r w:rsidRPr="0056087C">
        <w:rPr>
          <w:rFonts w:ascii="Times New Roman" w:eastAsiaTheme="minorHAnsi" w:hAnsi="Times New Roman" w:cs="Times New Roman"/>
          <w:sz w:val="24"/>
          <w:szCs w:val="24"/>
        </w:rPr>
        <w:t xml:space="preserve">, pp.459-481. </w:t>
      </w:r>
      <w:r w:rsidR="003B5D88">
        <w:rPr>
          <w:rFonts w:ascii="Times New Roman" w:eastAsiaTheme="minorHAnsi" w:hAnsi="Times New Roman" w:cs="Times New Roman"/>
          <w:sz w:val="24"/>
          <w:szCs w:val="24"/>
        </w:rPr>
        <w:t xml:space="preserve"> </w:t>
      </w:r>
      <w:hyperlink r:id="rId35" w:history="1">
        <w:r w:rsidR="003B5D88" w:rsidRPr="007820DE">
          <w:rPr>
            <w:rStyle w:val="Hyperlink"/>
            <w:rFonts w:ascii="Times New Roman" w:eastAsiaTheme="minorHAnsi" w:hAnsi="Times New Roman" w:cs="Times New Roman"/>
            <w:sz w:val="24"/>
            <w:szCs w:val="24"/>
          </w:rPr>
          <w:t>https://doi.org/10.1146/annurev.arplant.58.032806.103946</w:t>
        </w:r>
      </w:hyperlink>
      <w:r w:rsidR="003B5D88">
        <w:rPr>
          <w:rFonts w:ascii="Times New Roman" w:eastAsiaTheme="minorHAnsi" w:hAnsi="Times New Roman" w:cs="Times New Roman"/>
          <w:sz w:val="24"/>
          <w:szCs w:val="24"/>
        </w:rPr>
        <w:t xml:space="preserve"> </w:t>
      </w:r>
    </w:p>
    <w:p w14:paraId="02673C14" w14:textId="34771B1A"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Nadeem, M., Li, J., Wang, M., Shah, L., Lu, S., Wang, X. and Ma, C., 2018. Unraveling field crops sensitivity to heat stress: Mechanisms, approaches, and future prospects. </w:t>
      </w:r>
      <w:r w:rsidRPr="0056087C">
        <w:rPr>
          <w:rFonts w:ascii="Times New Roman" w:eastAsiaTheme="minorHAnsi" w:hAnsi="Times New Roman" w:cs="Times New Roman"/>
          <w:i/>
          <w:iCs/>
          <w:sz w:val="24"/>
          <w:szCs w:val="24"/>
        </w:rPr>
        <w:t>Agronomy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8</w:t>
      </w:r>
      <w:r w:rsidRPr="0056087C">
        <w:rPr>
          <w:rFonts w:ascii="Times New Roman" w:eastAsiaTheme="minorHAnsi" w:hAnsi="Times New Roman" w:cs="Times New Roman"/>
          <w:sz w:val="24"/>
          <w:szCs w:val="24"/>
        </w:rPr>
        <w:t>(7), p.128.</w:t>
      </w:r>
      <w:r w:rsidR="003B5D88">
        <w:rPr>
          <w:rFonts w:ascii="Times New Roman" w:eastAsiaTheme="minorHAnsi" w:hAnsi="Times New Roman" w:cs="Times New Roman"/>
          <w:sz w:val="24"/>
          <w:szCs w:val="24"/>
        </w:rPr>
        <w:t xml:space="preserve"> </w:t>
      </w:r>
      <w:hyperlink r:id="rId36" w:history="1">
        <w:r w:rsidR="003B5D88" w:rsidRPr="007820DE">
          <w:rPr>
            <w:rStyle w:val="Hyperlink"/>
            <w:rFonts w:ascii="Times New Roman" w:eastAsiaTheme="minorHAnsi" w:hAnsi="Times New Roman" w:cs="Times New Roman"/>
            <w:sz w:val="24"/>
            <w:szCs w:val="24"/>
          </w:rPr>
          <w:t>https://doi.org/10.3390/agronomy8070128</w:t>
        </w:r>
      </w:hyperlink>
      <w:r w:rsidR="003B5D88">
        <w:rPr>
          <w:rFonts w:ascii="Times New Roman" w:eastAsiaTheme="minorHAnsi" w:hAnsi="Times New Roman" w:cs="Times New Roman"/>
          <w:sz w:val="24"/>
          <w:szCs w:val="24"/>
        </w:rPr>
        <w:t xml:space="preserve"> </w:t>
      </w:r>
    </w:p>
    <w:p w14:paraId="4D7885DC" w14:textId="19CBBBE3" w:rsidR="00E120BE" w:rsidRPr="003B5D88" w:rsidRDefault="00E120BE" w:rsidP="0056087C">
      <w:pPr>
        <w:spacing w:after="160" w:line="360" w:lineRule="auto"/>
        <w:ind w:left="720" w:hanging="720"/>
        <w:jc w:val="both"/>
      </w:pPr>
      <w:r w:rsidRPr="0056087C">
        <w:rPr>
          <w:rFonts w:ascii="Times New Roman" w:eastAsiaTheme="minorHAnsi" w:hAnsi="Times New Roman" w:cs="Times New Roman"/>
          <w:sz w:val="24"/>
          <w:szCs w:val="24"/>
        </w:rPr>
        <w:t>Omae, H., Kumar, A. and Shono, M., 2012. Adaptation to high temperature and water deficit in the common bean (Phaseolus vulgaris L.) during the reproductive period. </w:t>
      </w:r>
      <w:r w:rsidRPr="0056087C">
        <w:rPr>
          <w:rFonts w:ascii="Times New Roman" w:eastAsiaTheme="minorHAnsi" w:hAnsi="Times New Roman" w:cs="Times New Roman"/>
          <w:i/>
          <w:iCs/>
          <w:sz w:val="24"/>
          <w:szCs w:val="24"/>
        </w:rPr>
        <w:t>Journal of Botany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2012</w:t>
      </w:r>
      <w:r w:rsidRPr="0056087C">
        <w:rPr>
          <w:rFonts w:ascii="Times New Roman" w:eastAsiaTheme="minorHAnsi" w:hAnsi="Times New Roman" w:cs="Times New Roman"/>
          <w:sz w:val="24"/>
          <w:szCs w:val="24"/>
        </w:rPr>
        <w:t>.</w:t>
      </w:r>
      <w:r w:rsidR="003B5D88">
        <w:rPr>
          <w:rFonts w:ascii="Times New Roman" w:eastAsiaTheme="minorHAnsi" w:hAnsi="Times New Roman" w:cs="Times New Roman"/>
          <w:sz w:val="24"/>
          <w:szCs w:val="24"/>
        </w:rPr>
        <w:t xml:space="preserve"> </w:t>
      </w:r>
      <w:hyperlink r:id="rId37" w:history="1">
        <w:r w:rsidR="003B5D88" w:rsidRPr="007820DE">
          <w:rPr>
            <w:rStyle w:val="Hyperlink"/>
            <w:rFonts w:ascii="Times New Roman" w:eastAsiaTheme="minorHAnsi" w:hAnsi="Times New Roman" w:cs="Times New Roman"/>
            <w:sz w:val="24"/>
            <w:szCs w:val="24"/>
          </w:rPr>
          <w:t>https://doi.org/10.1155/2012/803413</w:t>
        </w:r>
      </w:hyperlink>
      <w:r w:rsidR="003B5D88">
        <w:t xml:space="preserve"> </w:t>
      </w:r>
    </w:p>
    <w:p w14:paraId="23B4246A" w14:textId="33394905"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Peck, A.W. and McDonald, G.K., 2010. Adequate zinc nutrition alleviates the adverse effects of heat stress in bread wheat. </w:t>
      </w:r>
      <w:r w:rsidRPr="0056087C">
        <w:rPr>
          <w:rFonts w:ascii="Times New Roman" w:eastAsiaTheme="minorHAnsi" w:hAnsi="Times New Roman" w:cs="Times New Roman"/>
          <w:i/>
          <w:iCs/>
          <w:sz w:val="24"/>
          <w:szCs w:val="24"/>
        </w:rPr>
        <w:t>Plant and soil</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337</w:t>
      </w:r>
      <w:r w:rsidRPr="0056087C">
        <w:rPr>
          <w:rFonts w:ascii="Times New Roman" w:eastAsiaTheme="minorHAnsi" w:hAnsi="Times New Roman" w:cs="Times New Roman"/>
          <w:sz w:val="24"/>
          <w:szCs w:val="24"/>
        </w:rPr>
        <w:t>(1), pp.355-374.</w:t>
      </w:r>
      <w:r w:rsidR="003B5D88">
        <w:rPr>
          <w:rFonts w:ascii="Times New Roman" w:eastAsiaTheme="minorHAnsi" w:hAnsi="Times New Roman" w:cs="Times New Roman"/>
          <w:sz w:val="24"/>
          <w:szCs w:val="24"/>
        </w:rPr>
        <w:t xml:space="preserve"> </w:t>
      </w:r>
      <w:hyperlink r:id="rId38" w:history="1">
        <w:r w:rsidR="003B5D88" w:rsidRPr="007820DE">
          <w:rPr>
            <w:rStyle w:val="Hyperlink"/>
            <w:rFonts w:ascii="Times New Roman" w:eastAsiaTheme="minorHAnsi" w:hAnsi="Times New Roman" w:cs="Times New Roman"/>
            <w:sz w:val="24"/>
            <w:szCs w:val="24"/>
          </w:rPr>
          <w:t>https://doi.org/10.1007/s11104-010-0532-x</w:t>
        </w:r>
      </w:hyperlink>
      <w:r w:rsidR="003B5D88">
        <w:rPr>
          <w:rFonts w:ascii="Times New Roman" w:eastAsiaTheme="minorHAnsi" w:hAnsi="Times New Roman" w:cs="Times New Roman"/>
          <w:sz w:val="24"/>
          <w:szCs w:val="24"/>
        </w:rPr>
        <w:t xml:space="preserve"> </w:t>
      </w:r>
    </w:p>
    <w:p w14:paraId="50E5B8AB" w14:textId="58A9266E"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Prasad, P.V., Boote, K.J., Allen Jr, L.H. and Thomas, J.M., 2002. Effects of elevated temperature and carbon dioxide on seed‐set and yield of kidney bean (Phaseolus vulgaris L.). </w:t>
      </w:r>
      <w:r w:rsidRPr="0056087C">
        <w:rPr>
          <w:rFonts w:ascii="Times New Roman" w:eastAsiaTheme="minorHAnsi" w:hAnsi="Times New Roman" w:cs="Times New Roman"/>
          <w:i/>
          <w:iCs/>
          <w:sz w:val="24"/>
          <w:szCs w:val="24"/>
        </w:rPr>
        <w:t>Global Change Biology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8</w:t>
      </w:r>
      <w:r w:rsidRPr="0056087C">
        <w:rPr>
          <w:rFonts w:ascii="Times New Roman" w:eastAsiaTheme="minorHAnsi" w:hAnsi="Times New Roman" w:cs="Times New Roman"/>
          <w:sz w:val="24"/>
          <w:szCs w:val="24"/>
        </w:rPr>
        <w:t>(8), pp.710-721.</w:t>
      </w:r>
      <w:r w:rsidR="003B5D88">
        <w:rPr>
          <w:rFonts w:ascii="Times New Roman" w:eastAsiaTheme="minorHAnsi" w:hAnsi="Times New Roman" w:cs="Times New Roman"/>
          <w:sz w:val="24"/>
          <w:szCs w:val="24"/>
        </w:rPr>
        <w:t xml:space="preserve"> </w:t>
      </w:r>
      <w:hyperlink r:id="rId39" w:history="1">
        <w:r w:rsidR="003B5D88" w:rsidRPr="007820DE">
          <w:rPr>
            <w:rStyle w:val="Hyperlink"/>
            <w:rFonts w:ascii="Times New Roman" w:eastAsiaTheme="minorHAnsi" w:hAnsi="Times New Roman" w:cs="Times New Roman"/>
            <w:sz w:val="24"/>
            <w:szCs w:val="24"/>
          </w:rPr>
          <w:t>https://doi.org/10.1046/j.1365-2486.2002.00508.x</w:t>
        </w:r>
      </w:hyperlink>
      <w:r w:rsidR="003B5D88">
        <w:rPr>
          <w:rFonts w:ascii="Times New Roman" w:eastAsiaTheme="minorHAnsi" w:hAnsi="Times New Roman" w:cs="Times New Roman"/>
          <w:sz w:val="24"/>
          <w:szCs w:val="24"/>
        </w:rPr>
        <w:t xml:space="preserve"> </w:t>
      </w:r>
    </w:p>
    <w:p w14:paraId="17EA60E0" w14:textId="6FB76B07"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 xml:space="preserve">Radmehr, M., Lotf, A.A.G.A. and </w:t>
      </w:r>
      <w:proofErr w:type="spellStart"/>
      <w:r w:rsidRPr="0056087C">
        <w:rPr>
          <w:rFonts w:ascii="Times New Roman" w:eastAsiaTheme="minorHAnsi" w:hAnsi="Times New Roman" w:cs="Times New Roman"/>
          <w:sz w:val="24"/>
          <w:szCs w:val="24"/>
        </w:rPr>
        <w:t>Mamghani</w:t>
      </w:r>
      <w:proofErr w:type="spellEnd"/>
      <w:r w:rsidRPr="0056087C">
        <w:rPr>
          <w:rFonts w:ascii="Times New Roman" w:eastAsiaTheme="minorHAnsi" w:hAnsi="Times New Roman" w:cs="Times New Roman"/>
          <w:sz w:val="24"/>
          <w:szCs w:val="24"/>
        </w:rPr>
        <w:t xml:space="preserve">, R., 2005. Responses of late, medium and early maturity bread wheat genotypes to different sowing dates. 1. Effect of sowing date on </w:t>
      </w:r>
      <w:r w:rsidRPr="0056087C">
        <w:rPr>
          <w:rFonts w:ascii="Times New Roman" w:eastAsiaTheme="minorHAnsi" w:hAnsi="Times New Roman" w:cs="Times New Roman"/>
          <w:sz w:val="24"/>
          <w:szCs w:val="24"/>
        </w:rPr>
        <w:lastRenderedPageBreak/>
        <w:t>phenological, morphological and grain yield of four bread wheat genotypes</w:t>
      </w:r>
      <w:r w:rsidRPr="0056087C">
        <w:rPr>
          <w:rFonts w:ascii="Times New Roman" w:eastAsiaTheme="minorHAnsi" w:hAnsi="Times New Roman" w:cs="Times New Roman"/>
          <w:i/>
          <w:sz w:val="24"/>
          <w:szCs w:val="24"/>
        </w:rPr>
        <w:t>. Iran J Seed Sampling</w:t>
      </w:r>
      <w:r w:rsidRPr="0056087C">
        <w:rPr>
          <w:rFonts w:ascii="Times New Roman" w:eastAsiaTheme="minorHAnsi" w:hAnsi="Times New Roman" w:cs="Times New Roman"/>
          <w:sz w:val="24"/>
          <w:szCs w:val="24"/>
        </w:rPr>
        <w:t xml:space="preserve"> </w:t>
      </w:r>
      <w:r w:rsidRPr="0056087C">
        <w:rPr>
          <w:rFonts w:ascii="Times New Roman" w:eastAsiaTheme="minorHAnsi" w:hAnsi="Times New Roman" w:cs="Times New Roman"/>
          <w:i/>
          <w:sz w:val="24"/>
          <w:szCs w:val="24"/>
        </w:rPr>
        <w:t>21</w:t>
      </w:r>
      <w:r w:rsidRPr="0056087C">
        <w:rPr>
          <w:rFonts w:ascii="Times New Roman" w:eastAsiaTheme="minorHAnsi" w:hAnsi="Times New Roman" w:cs="Times New Roman"/>
          <w:sz w:val="24"/>
          <w:szCs w:val="24"/>
        </w:rPr>
        <w:t>,</w:t>
      </w:r>
      <w:r w:rsidRPr="0056087C">
        <w:rPr>
          <w:rFonts w:ascii="Times New Roman" w:eastAsiaTheme="minorHAnsi" w:hAnsi="Times New Roman" w:cs="Times New Roman"/>
          <w:i/>
          <w:sz w:val="24"/>
          <w:szCs w:val="24"/>
        </w:rPr>
        <w:t xml:space="preserve"> </w:t>
      </w:r>
      <w:r w:rsidRPr="0056087C">
        <w:rPr>
          <w:rFonts w:ascii="Times New Roman" w:eastAsiaTheme="minorHAnsi" w:hAnsi="Times New Roman" w:cs="Times New Roman"/>
          <w:sz w:val="24"/>
          <w:szCs w:val="24"/>
        </w:rPr>
        <w:t>pp.175-189.</w:t>
      </w:r>
      <w:r w:rsidR="003B5D88">
        <w:rPr>
          <w:rFonts w:ascii="Times New Roman" w:eastAsiaTheme="minorHAnsi" w:hAnsi="Times New Roman" w:cs="Times New Roman"/>
          <w:sz w:val="24"/>
          <w:szCs w:val="24"/>
        </w:rPr>
        <w:t xml:space="preserve"> </w:t>
      </w:r>
      <w:hyperlink r:id="rId40" w:history="1">
        <w:r w:rsidR="003B5D88" w:rsidRPr="007820DE">
          <w:rPr>
            <w:rStyle w:val="Hyperlink"/>
            <w:rFonts w:ascii="Times New Roman" w:eastAsiaTheme="minorHAnsi" w:hAnsi="Times New Roman" w:cs="Times New Roman"/>
            <w:sz w:val="24"/>
            <w:szCs w:val="24"/>
          </w:rPr>
          <w:t>https://sid.ir/paper/20289/en</w:t>
        </w:r>
      </w:hyperlink>
      <w:r w:rsidR="003B5D88">
        <w:rPr>
          <w:rFonts w:ascii="Times New Roman" w:eastAsiaTheme="minorHAnsi" w:hAnsi="Times New Roman" w:cs="Times New Roman"/>
          <w:sz w:val="24"/>
          <w:szCs w:val="24"/>
        </w:rPr>
        <w:t xml:space="preserve"> </w:t>
      </w:r>
    </w:p>
    <w:p w14:paraId="1593224E" w14:textId="7E2788F9"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 xml:space="preserve">Rasheed, R., Wahid, A., Farooq, M., Hussain, I. and Basra, S., 2011. Role of proline and </w:t>
      </w:r>
      <w:proofErr w:type="spellStart"/>
      <w:r w:rsidRPr="0056087C">
        <w:rPr>
          <w:rFonts w:ascii="Times New Roman" w:eastAsiaTheme="minorHAnsi" w:hAnsi="Times New Roman" w:cs="Times New Roman"/>
          <w:sz w:val="24"/>
          <w:szCs w:val="24"/>
        </w:rPr>
        <w:t>glycinebetaine</w:t>
      </w:r>
      <w:proofErr w:type="spellEnd"/>
      <w:r w:rsidRPr="0056087C">
        <w:rPr>
          <w:rFonts w:ascii="Times New Roman" w:eastAsiaTheme="minorHAnsi" w:hAnsi="Times New Roman" w:cs="Times New Roman"/>
          <w:sz w:val="24"/>
          <w:szCs w:val="24"/>
        </w:rPr>
        <w:t xml:space="preserve"> pretreatments in improving heat tolerance of sprouting sugarcane (Saccharum sp.) buds. </w:t>
      </w:r>
      <w:r w:rsidRPr="0056087C">
        <w:rPr>
          <w:rFonts w:ascii="Times New Roman" w:eastAsiaTheme="minorHAnsi" w:hAnsi="Times New Roman" w:cs="Times New Roman"/>
          <w:i/>
          <w:iCs/>
          <w:sz w:val="24"/>
          <w:szCs w:val="24"/>
        </w:rPr>
        <w:t>Plant growth regulation</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65</w:t>
      </w:r>
      <w:r w:rsidRPr="0056087C">
        <w:rPr>
          <w:rFonts w:ascii="Times New Roman" w:eastAsiaTheme="minorHAnsi" w:hAnsi="Times New Roman" w:cs="Times New Roman"/>
          <w:sz w:val="24"/>
          <w:szCs w:val="24"/>
        </w:rPr>
        <w:t>(1), pp.35-45.</w:t>
      </w:r>
      <w:r w:rsidR="003B5D88">
        <w:rPr>
          <w:rFonts w:ascii="Times New Roman" w:eastAsiaTheme="minorHAnsi" w:hAnsi="Times New Roman" w:cs="Times New Roman"/>
          <w:sz w:val="24"/>
          <w:szCs w:val="24"/>
        </w:rPr>
        <w:t xml:space="preserve"> </w:t>
      </w:r>
      <w:hyperlink r:id="rId41" w:history="1">
        <w:r w:rsidR="003B5D88" w:rsidRPr="007820DE">
          <w:rPr>
            <w:rStyle w:val="Hyperlink"/>
            <w:rFonts w:ascii="Times New Roman" w:eastAsiaTheme="minorHAnsi" w:hAnsi="Times New Roman" w:cs="Times New Roman"/>
            <w:sz w:val="24"/>
            <w:szCs w:val="24"/>
          </w:rPr>
          <w:t>https://doi.org/10.1007/s10725-011-9572-3</w:t>
        </w:r>
      </w:hyperlink>
      <w:r w:rsidR="003B5D88">
        <w:rPr>
          <w:rFonts w:ascii="Times New Roman" w:eastAsiaTheme="minorHAnsi" w:hAnsi="Times New Roman" w:cs="Times New Roman"/>
          <w:sz w:val="24"/>
          <w:szCs w:val="24"/>
        </w:rPr>
        <w:t xml:space="preserve"> </w:t>
      </w:r>
    </w:p>
    <w:p w14:paraId="4897D544" w14:textId="5B25F4ED"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Rilkey, G.J., 1981. Effects of high temperature on protein synthesis during germination of maize (Zea mays L.). </w:t>
      </w:r>
      <w:r w:rsidRPr="0056087C">
        <w:rPr>
          <w:rFonts w:ascii="Times New Roman" w:eastAsiaTheme="minorHAnsi" w:hAnsi="Times New Roman" w:cs="Times New Roman"/>
          <w:i/>
          <w:iCs/>
          <w:sz w:val="24"/>
          <w:szCs w:val="24"/>
        </w:rPr>
        <w:t>Planta</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151</w:t>
      </w:r>
      <w:r w:rsidRPr="0056087C">
        <w:rPr>
          <w:rFonts w:ascii="Times New Roman" w:eastAsiaTheme="minorHAnsi" w:hAnsi="Times New Roman" w:cs="Times New Roman"/>
          <w:sz w:val="24"/>
          <w:szCs w:val="24"/>
        </w:rPr>
        <w:t>(1), pp.75-80.</w:t>
      </w:r>
      <w:r w:rsidR="003B5D88">
        <w:rPr>
          <w:rFonts w:ascii="Times New Roman" w:eastAsiaTheme="minorHAnsi" w:hAnsi="Times New Roman" w:cs="Times New Roman"/>
          <w:sz w:val="24"/>
          <w:szCs w:val="24"/>
        </w:rPr>
        <w:t xml:space="preserve"> </w:t>
      </w:r>
      <w:hyperlink r:id="rId42" w:history="1">
        <w:r w:rsidR="003B5D88" w:rsidRPr="007820DE">
          <w:rPr>
            <w:rStyle w:val="Hyperlink"/>
            <w:rFonts w:ascii="Times New Roman" w:eastAsiaTheme="minorHAnsi" w:hAnsi="Times New Roman" w:cs="Times New Roman"/>
            <w:sz w:val="24"/>
            <w:szCs w:val="24"/>
          </w:rPr>
          <w:t>https://doi.org/10.1007/BF00384240</w:t>
        </w:r>
      </w:hyperlink>
      <w:r w:rsidR="003B5D88">
        <w:rPr>
          <w:rFonts w:ascii="Times New Roman" w:eastAsiaTheme="minorHAnsi" w:hAnsi="Times New Roman" w:cs="Times New Roman"/>
          <w:sz w:val="24"/>
          <w:szCs w:val="24"/>
        </w:rPr>
        <w:t xml:space="preserve"> </w:t>
      </w:r>
    </w:p>
    <w:p w14:paraId="03DD5DC2" w14:textId="3F517447"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Song, L., Ding, W., Zhao, M., Sun, B. and Zhang, L., 2006. Nitric oxide protects against oxidative stress under heat stress in the calluses from two ecotypes of reed. </w:t>
      </w:r>
      <w:r w:rsidRPr="0056087C">
        <w:rPr>
          <w:rFonts w:ascii="Times New Roman" w:eastAsiaTheme="minorHAnsi" w:hAnsi="Times New Roman" w:cs="Times New Roman"/>
          <w:i/>
          <w:iCs/>
          <w:sz w:val="24"/>
          <w:szCs w:val="24"/>
        </w:rPr>
        <w:t>Plant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171</w:t>
      </w:r>
      <w:r w:rsidRPr="0056087C">
        <w:rPr>
          <w:rFonts w:ascii="Times New Roman" w:eastAsiaTheme="minorHAnsi" w:hAnsi="Times New Roman" w:cs="Times New Roman"/>
          <w:sz w:val="24"/>
          <w:szCs w:val="24"/>
        </w:rPr>
        <w:t>(4), pp.449-458.</w:t>
      </w:r>
      <w:r w:rsidR="003B5D88">
        <w:rPr>
          <w:rFonts w:ascii="Times New Roman" w:eastAsiaTheme="minorHAnsi" w:hAnsi="Times New Roman" w:cs="Times New Roman"/>
          <w:sz w:val="24"/>
          <w:szCs w:val="24"/>
        </w:rPr>
        <w:t xml:space="preserve"> </w:t>
      </w:r>
      <w:hyperlink r:id="rId43" w:history="1">
        <w:r w:rsidR="003B5D88" w:rsidRPr="007820DE">
          <w:rPr>
            <w:rStyle w:val="Hyperlink"/>
            <w:rFonts w:ascii="Times New Roman" w:eastAsiaTheme="minorHAnsi" w:hAnsi="Times New Roman" w:cs="Times New Roman"/>
            <w:sz w:val="24"/>
            <w:szCs w:val="24"/>
          </w:rPr>
          <w:t>https://doi.org/10.1016/j.plantsci.2006.05.002</w:t>
        </w:r>
      </w:hyperlink>
      <w:r w:rsidR="003B5D88">
        <w:rPr>
          <w:rFonts w:ascii="Times New Roman" w:eastAsiaTheme="minorHAnsi" w:hAnsi="Times New Roman" w:cs="Times New Roman"/>
          <w:sz w:val="24"/>
          <w:szCs w:val="24"/>
        </w:rPr>
        <w:t xml:space="preserve"> </w:t>
      </w:r>
    </w:p>
    <w:p w14:paraId="5E629CF6" w14:textId="6163F084" w:rsidR="00E120BE" w:rsidRPr="003B5D88" w:rsidRDefault="00E120BE" w:rsidP="0056087C">
      <w:pPr>
        <w:spacing w:after="160" w:line="360" w:lineRule="auto"/>
        <w:ind w:left="720" w:hanging="720"/>
        <w:jc w:val="both"/>
        <w:rPr>
          <w:rFonts w:ascii="Times New Roman" w:eastAsiaTheme="minorHAnsi" w:hAnsi="Times New Roman" w:cs="Times New Roman"/>
          <w:b/>
          <w:bCs/>
          <w:sz w:val="24"/>
          <w:szCs w:val="24"/>
        </w:rPr>
      </w:pPr>
      <w:proofErr w:type="spellStart"/>
      <w:r w:rsidRPr="0056087C">
        <w:rPr>
          <w:rFonts w:ascii="Times New Roman" w:eastAsiaTheme="minorHAnsi" w:hAnsi="Times New Roman" w:cs="Times New Roman"/>
          <w:sz w:val="24"/>
          <w:szCs w:val="24"/>
        </w:rPr>
        <w:t>Suwa</w:t>
      </w:r>
      <w:proofErr w:type="spellEnd"/>
      <w:r w:rsidRPr="0056087C">
        <w:rPr>
          <w:rFonts w:ascii="Times New Roman" w:eastAsiaTheme="minorHAnsi" w:hAnsi="Times New Roman" w:cs="Times New Roman"/>
          <w:sz w:val="24"/>
          <w:szCs w:val="24"/>
        </w:rPr>
        <w:t>, R., Hakata, H., Hara, H., El-</w:t>
      </w:r>
      <w:proofErr w:type="spellStart"/>
      <w:r w:rsidRPr="0056087C">
        <w:rPr>
          <w:rFonts w:ascii="Times New Roman" w:eastAsiaTheme="minorHAnsi" w:hAnsi="Times New Roman" w:cs="Times New Roman"/>
          <w:sz w:val="24"/>
          <w:szCs w:val="24"/>
        </w:rPr>
        <w:t>Shemy</w:t>
      </w:r>
      <w:proofErr w:type="spellEnd"/>
      <w:r w:rsidRPr="0056087C">
        <w:rPr>
          <w:rFonts w:ascii="Times New Roman" w:eastAsiaTheme="minorHAnsi" w:hAnsi="Times New Roman" w:cs="Times New Roman"/>
          <w:sz w:val="24"/>
          <w:szCs w:val="24"/>
        </w:rPr>
        <w:t>, H.A., Adu-Gyamfi, J.J., Nguyen, N.T., Kanai, S., Lightfoot, D.A., Mohapatra, P.K. and Fujita, K., 2010. High temperature effects on photosynthate partitioning and sugar metabolism during ear expansion in maize (Zea mays L.) genotypes. </w:t>
      </w:r>
      <w:r w:rsidRPr="0056087C">
        <w:rPr>
          <w:rFonts w:ascii="Times New Roman" w:eastAsiaTheme="minorHAnsi" w:hAnsi="Times New Roman" w:cs="Times New Roman"/>
          <w:i/>
          <w:iCs/>
          <w:sz w:val="24"/>
          <w:szCs w:val="24"/>
        </w:rPr>
        <w:t>Plant Physiology and Biochemistry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48</w:t>
      </w:r>
      <w:r w:rsidRPr="0056087C">
        <w:rPr>
          <w:rFonts w:ascii="Times New Roman" w:eastAsiaTheme="minorHAnsi" w:hAnsi="Times New Roman" w:cs="Times New Roman"/>
          <w:sz w:val="24"/>
          <w:szCs w:val="24"/>
        </w:rPr>
        <w:t>(2-3), pp.124-130.</w:t>
      </w:r>
      <w:r w:rsidR="003B5D88">
        <w:rPr>
          <w:rFonts w:ascii="Times New Roman" w:eastAsiaTheme="minorHAnsi" w:hAnsi="Times New Roman" w:cs="Times New Roman"/>
          <w:sz w:val="24"/>
          <w:szCs w:val="24"/>
        </w:rPr>
        <w:t xml:space="preserve"> </w:t>
      </w:r>
      <w:r w:rsidR="003B5D88">
        <w:rPr>
          <w:rFonts w:ascii="Times New Roman" w:eastAsiaTheme="minorHAnsi" w:hAnsi="Times New Roman" w:cs="Times New Roman"/>
          <w:b/>
          <w:bCs/>
          <w:sz w:val="24"/>
          <w:szCs w:val="24"/>
        </w:rPr>
        <w:t xml:space="preserve"> </w:t>
      </w:r>
      <w:hyperlink r:id="rId44" w:history="1">
        <w:r w:rsidR="003B5D88" w:rsidRPr="007820DE">
          <w:rPr>
            <w:rStyle w:val="Hyperlink"/>
            <w:rFonts w:ascii="Times New Roman" w:eastAsiaTheme="minorHAnsi" w:hAnsi="Times New Roman" w:cs="Times New Roman"/>
            <w:b/>
            <w:bCs/>
            <w:sz w:val="24"/>
            <w:szCs w:val="24"/>
          </w:rPr>
          <w:t>https://doi.org/10.1016/j.plaphy.2009.12.010</w:t>
        </w:r>
      </w:hyperlink>
      <w:r w:rsidR="003B5D88">
        <w:rPr>
          <w:rFonts w:ascii="Times New Roman" w:eastAsiaTheme="minorHAnsi" w:hAnsi="Times New Roman" w:cs="Times New Roman"/>
          <w:b/>
          <w:bCs/>
          <w:sz w:val="24"/>
          <w:szCs w:val="24"/>
        </w:rPr>
        <w:t xml:space="preserve"> </w:t>
      </w:r>
    </w:p>
    <w:p w14:paraId="082C8022" w14:textId="40302D93"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Wahid, A., 2007. Physiological implications of metabolite biosynthesis for net assimilation and heat-stress tolerance of sugarcane (Saccharum officinarum) sprouts. </w:t>
      </w:r>
      <w:r w:rsidRPr="0056087C">
        <w:rPr>
          <w:rFonts w:ascii="Times New Roman" w:eastAsiaTheme="minorHAnsi" w:hAnsi="Times New Roman" w:cs="Times New Roman"/>
          <w:i/>
          <w:iCs/>
          <w:sz w:val="24"/>
          <w:szCs w:val="24"/>
        </w:rPr>
        <w:t>Journal of plant Research</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120</w:t>
      </w:r>
      <w:r w:rsidRPr="0056087C">
        <w:rPr>
          <w:rFonts w:ascii="Times New Roman" w:eastAsiaTheme="minorHAnsi" w:hAnsi="Times New Roman" w:cs="Times New Roman"/>
          <w:sz w:val="24"/>
          <w:szCs w:val="24"/>
        </w:rPr>
        <w:t>(2), pp.219-228.</w:t>
      </w:r>
      <w:r w:rsidR="003B5D88">
        <w:rPr>
          <w:rFonts w:ascii="Times New Roman" w:eastAsiaTheme="minorHAnsi" w:hAnsi="Times New Roman" w:cs="Times New Roman"/>
          <w:sz w:val="24"/>
          <w:szCs w:val="24"/>
        </w:rPr>
        <w:t xml:space="preserve"> </w:t>
      </w:r>
      <w:hyperlink r:id="rId45" w:history="1">
        <w:r w:rsidR="003B5D88" w:rsidRPr="007820DE">
          <w:rPr>
            <w:rStyle w:val="Hyperlink"/>
            <w:rFonts w:ascii="Times New Roman" w:eastAsiaTheme="minorHAnsi" w:hAnsi="Times New Roman" w:cs="Times New Roman"/>
            <w:sz w:val="24"/>
            <w:szCs w:val="24"/>
          </w:rPr>
          <w:t>https://doi.org/10.1007/s10265-006-0040-5</w:t>
        </w:r>
      </w:hyperlink>
      <w:r w:rsidR="003B5D88">
        <w:rPr>
          <w:rFonts w:ascii="Times New Roman" w:eastAsiaTheme="minorHAnsi" w:hAnsi="Times New Roman" w:cs="Times New Roman"/>
          <w:sz w:val="24"/>
          <w:szCs w:val="24"/>
        </w:rPr>
        <w:t xml:space="preserve"> </w:t>
      </w:r>
    </w:p>
    <w:p w14:paraId="2E3C4802" w14:textId="264CB517"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Wahid, A. and Shabbir, A., 2005. Induction of heat stress tolerance in barley seedlings by pre-sowing seed treatment with glycine betaine. </w:t>
      </w:r>
      <w:r w:rsidRPr="0056087C">
        <w:rPr>
          <w:rFonts w:ascii="Times New Roman" w:eastAsiaTheme="minorHAnsi" w:hAnsi="Times New Roman" w:cs="Times New Roman"/>
          <w:i/>
          <w:iCs/>
          <w:sz w:val="24"/>
          <w:szCs w:val="24"/>
        </w:rPr>
        <w:t>Plant Growth Regulation</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46</w:t>
      </w:r>
      <w:r w:rsidRPr="0056087C">
        <w:rPr>
          <w:rFonts w:ascii="Times New Roman" w:eastAsiaTheme="minorHAnsi" w:hAnsi="Times New Roman" w:cs="Times New Roman"/>
          <w:sz w:val="24"/>
          <w:szCs w:val="24"/>
        </w:rPr>
        <w:t>(2), pp.133-141.</w:t>
      </w:r>
      <w:r w:rsidR="003B5D88">
        <w:rPr>
          <w:rFonts w:ascii="Times New Roman" w:eastAsiaTheme="minorHAnsi" w:hAnsi="Times New Roman" w:cs="Times New Roman"/>
          <w:sz w:val="24"/>
          <w:szCs w:val="24"/>
        </w:rPr>
        <w:t xml:space="preserve"> </w:t>
      </w:r>
      <w:hyperlink r:id="rId46" w:history="1">
        <w:r w:rsidR="003B5D88" w:rsidRPr="007820DE">
          <w:rPr>
            <w:rStyle w:val="Hyperlink"/>
            <w:rFonts w:ascii="Times New Roman" w:eastAsiaTheme="minorHAnsi" w:hAnsi="Times New Roman" w:cs="Times New Roman"/>
            <w:sz w:val="24"/>
            <w:szCs w:val="24"/>
          </w:rPr>
          <w:t>https://doi.org/10.1007/s10725-005-8379-5</w:t>
        </w:r>
      </w:hyperlink>
      <w:r w:rsidR="003B5D88">
        <w:rPr>
          <w:rFonts w:ascii="Times New Roman" w:eastAsiaTheme="minorHAnsi" w:hAnsi="Times New Roman" w:cs="Times New Roman"/>
          <w:sz w:val="24"/>
          <w:szCs w:val="24"/>
        </w:rPr>
        <w:t xml:space="preserve"> </w:t>
      </w:r>
    </w:p>
    <w:p w14:paraId="59A33C48" w14:textId="430FFF15"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Waraich, E.A., Ahmad, R., Halim, A. and Aziz, T., 2012. Alleviation of temperature stress by nutrient management in crop plants: a review. </w:t>
      </w:r>
      <w:r w:rsidRPr="0056087C">
        <w:rPr>
          <w:rFonts w:ascii="Times New Roman" w:eastAsiaTheme="minorHAnsi" w:hAnsi="Times New Roman" w:cs="Times New Roman"/>
          <w:i/>
          <w:iCs/>
          <w:sz w:val="24"/>
          <w:szCs w:val="24"/>
        </w:rPr>
        <w:t>Journal of soil science and plant nutrition</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12</w:t>
      </w:r>
      <w:r w:rsidRPr="0056087C">
        <w:rPr>
          <w:rFonts w:ascii="Times New Roman" w:eastAsiaTheme="minorHAnsi" w:hAnsi="Times New Roman" w:cs="Times New Roman"/>
          <w:sz w:val="24"/>
          <w:szCs w:val="24"/>
        </w:rPr>
        <w:t>(2), pp.221-244.</w:t>
      </w:r>
      <w:r w:rsidR="003B5D88">
        <w:rPr>
          <w:rFonts w:ascii="Times New Roman" w:eastAsiaTheme="minorHAnsi" w:hAnsi="Times New Roman" w:cs="Times New Roman"/>
          <w:sz w:val="24"/>
          <w:szCs w:val="24"/>
        </w:rPr>
        <w:t xml:space="preserve"> </w:t>
      </w:r>
      <w:hyperlink r:id="rId47" w:history="1">
        <w:r w:rsidR="003B5D88" w:rsidRPr="007820DE">
          <w:rPr>
            <w:rStyle w:val="Hyperlink"/>
            <w:rFonts w:ascii="Times New Roman" w:eastAsiaTheme="minorHAnsi" w:hAnsi="Times New Roman" w:cs="Times New Roman"/>
            <w:sz w:val="24"/>
            <w:szCs w:val="24"/>
          </w:rPr>
          <w:t>https://doi.org/10.4067/S0718-95162012000200003</w:t>
        </w:r>
      </w:hyperlink>
      <w:r w:rsidR="003B5D88">
        <w:rPr>
          <w:rFonts w:ascii="Times New Roman" w:eastAsiaTheme="minorHAnsi" w:hAnsi="Times New Roman" w:cs="Times New Roman"/>
          <w:sz w:val="24"/>
          <w:szCs w:val="24"/>
        </w:rPr>
        <w:t xml:space="preserve"> </w:t>
      </w:r>
    </w:p>
    <w:p w14:paraId="664C81E7" w14:textId="4D7C6613"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t>Yang, J., Kloepper, J.W. and Ryu, C.M., 2009. Rhizosphere bacteria help plants tolerate abiotic stress. </w:t>
      </w:r>
      <w:r w:rsidRPr="0056087C">
        <w:rPr>
          <w:rFonts w:ascii="Times New Roman" w:eastAsiaTheme="minorHAnsi" w:hAnsi="Times New Roman" w:cs="Times New Roman"/>
          <w:i/>
          <w:iCs/>
          <w:sz w:val="24"/>
          <w:szCs w:val="24"/>
        </w:rPr>
        <w:t>Trends in plant science</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14</w:t>
      </w:r>
      <w:r w:rsidRPr="0056087C">
        <w:rPr>
          <w:rFonts w:ascii="Times New Roman" w:eastAsiaTheme="minorHAnsi" w:hAnsi="Times New Roman" w:cs="Times New Roman"/>
          <w:sz w:val="24"/>
          <w:szCs w:val="24"/>
        </w:rPr>
        <w:t>(1), pp.1-4.</w:t>
      </w:r>
      <w:r w:rsidR="003B5D88">
        <w:rPr>
          <w:rFonts w:ascii="Times New Roman" w:eastAsiaTheme="minorHAnsi" w:hAnsi="Times New Roman" w:cs="Times New Roman"/>
          <w:sz w:val="24"/>
          <w:szCs w:val="24"/>
        </w:rPr>
        <w:t xml:space="preserve"> </w:t>
      </w:r>
      <w:hyperlink r:id="rId48" w:history="1">
        <w:r w:rsidR="003B5D88" w:rsidRPr="007820DE">
          <w:rPr>
            <w:rStyle w:val="Hyperlink"/>
            <w:rFonts w:ascii="Times New Roman" w:eastAsiaTheme="minorHAnsi" w:hAnsi="Times New Roman" w:cs="Times New Roman"/>
            <w:sz w:val="24"/>
            <w:szCs w:val="24"/>
          </w:rPr>
          <w:t>https://doi.org/10.1016/j.tplants.2008.10.004</w:t>
        </w:r>
      </w:hyperlink>
      <w:r w:rsidR="003B5D88">
        <w:rPr>
          <w:rFonts w:ascii="Times New Roman" w:eastAsiaTheme="minorHAnsi" w:hAnsi="Times New Roman" w:cs="Times New Roman"/>
          <w:sz w:val="24"/>
          <w:szCs w:val="24"/>
        </w:rPr>
        <w:t xml:space="preserve"> </w:t>
      </w:r>
    </w:p>
    <w:p w14:paraId="20205C67" w14:textId="1F199AF3" w:rsidR="00E120BE" w:rsidRPr="0056087C" w:rsidRDefault="00E120BE" w:rsidP="0056087C">
      <w:pPr>
        <w:spacing w:after="160" w:line="360" w:lineRule="auto"/>
        <w:ind w:left="720" w:hanging="720"/>
        <w:jc w:val="both"/>
        <w:rPr>
          <w:rFonts w:ascii="Times New Roman" w:eastAsiaTheme="minorHAnsi" w:hAnsi="Times New Roman" w:cs="Times New Roman"/>
          <w:sz w:val="24"/>
          <w:szCs w:val="24"/>
        </w:rPr>
      </w:pPr>
      <w:r w:rsidRPr="0056087C">
        <w:rPr>
          <w:rFonts w:ascii="Times New Roman" w:eastAsiaTheme="minorHAnsi" w:hAnsi="Times New Roman" w:cs="Times New Roman"/>
          <w:sz w:val="24"/>
          <w:szCs w:val="24"/>
        </w:rPr>
        <w:lastRenderedPageBreak/>
        <w:t>Zinn, K.E., Tunc-Ozdemir, M. and Harper, J.F., 2010. Temperature stress and plant sexual reproduction: uncovering the weakest links. </w:t>
      </w:r>
      <w:r w:rsidRPr="0056087C">
        <w:rPr>
          <w:rFonts w:ascii="Times New Roman" w:eastAsiaTheme="minorHAnsi" w:hAnsi="Times New Roman" w:cs="Times New Roman"/>
          <w:i/>
          <w:iCs/>
          <w:sz w:val="24"/>
          <w:szCs w:val="24"/>
        </w:rPr>
        <w:t>Journal of experimental botany</w:t>
      </w:r>
      <w:r w:rsidRPr="0056087C">
        <w:rPr>
          <w:rFonts w:ascii="Times New Roman" w:eastAsiaTheme="minorHAnsi" w:hAnsi="Times New Roman" w:cs="Times New Roman"/>
          <w:sz w:val="24"/>
          <w:szCs w:val="24"/>
        </w:rPr>
        <w:t>, </w:t>
      </w:r>
      <w:r w:rsidRPr="0056087C">
        <w:rPr>
          <w:rFonts w:ascii="Times New Roman" w:eastAsiaTheme="minorHAnsi" w:hAnsi="Times New Roman" w:cs="Times New Roman"/>
          <w:i/>
          <w:iCs/>
          <w:sz w:val="24"/>
          <w:szCs w:val="24"/>
        </w:rPr>
        <w:t>61</w:t>
      </w:r>
      <w:r w:rsidRPr="0056087C">
        <w:rPr>
          <w:rFonts w:ascii="Times New Roman" w:eastAsiaTheme="minorHAnsi" w:hAnsi="Times New Roman" w:cs="Times New Roman"/>
          <w:sz w:val="24"/>
          <w:szCs w:val="24"/>
        </w:rPr>
        <w:t>(7), pp.1959-1968</w:t>
      </w:r>
      <w:proofErr w:type="gramStart"/>
      <w:r w:rsidRPr="0056087C">
        <w:rPr>
          <w:rFonts w:ascii="Times New Roman" w:eastAsiaTheme="minorHAnsi" w:hAnsi="Times New Roman" w:cs="Times New Roman"/>
          <w:sz w:val="24"/>
          <w:szCs w:val="24"/>
        </w:rPr>
        <w:t>.</w:t>
      </w:r>
      <w:r w:rsidR="003B5D88">
        <w:rPr>
          <w:rFonts w:ascii="Times New Roman" w:eastAsiaTheme="minorHAnsi" w:hAnsi="Times New Roman" w:cs="Times New Roman"/>
          <w:sz w:val="24"/>
          <w:szCs w:val="24"/>
        </w:rPr>
        <w:t xml:space="preserve"> </w:t>
      </w:r>
      <w:r w:rsidR="003B5D88" w:rsidRPr="003B5D88">
        <w:rPr>
          <w:rFonts w:ascii="Times New Roman" w:eastAsiaTheme="minorHAnsi" w:hAnsi="Times New Roman" w:cs="Times New Roman"/>
          <w:sz w:val="24"/>
          <w:szCs w:val="24"/>
        </w:rPr>
        <w:t>.</w:t>
      </w:r>
      <w:proofErr w:type="gramEnd"/>
      <w:r w:rsidR="003B5D88" w:rsidRPr="003B5D88">
        <w:rPr>
          <w:rFonts w:ascii="Times New Roman" w:eastAsiaTheme="minorHAnsi" w:hAnsi="Times New Roman" w:cs="Times New Roman"/>
          <w:sz w:val="24"/>
          <w:szCs w:val="24"/>
        </w:rPr>
        <w:t xml:space="preserve"> </w:t>
      </w:r>
      <w:hyperlink r:id="rId49" w:history="1">
        <w:r w:rsidR="003B5D88" w:rsidRPr="007820DE">
          <w:rPr>
            <w:rStyle w:val="Hyperlink"/>
            <w:rFonts w:ascii="Times New Roman" w:eastAsiaTheme="minorHAnsi" w:hAnsi="Times New Roman" w:cs="Times New Roman"/>
            <w:sz w:val="24"/>
            <w:szCs w:val="24"/>
          </w:rPr>
          <w:t>https://doi.org/10.1093/jxb/erq053</w:t>
        </w:r>
      </w:hyperlink>
      <w:r w:rsidR="003B5D88">
        <w:rPr>
          <w:rFonts w:ascii="Times New Roman" w:eastAsiaTheme="minorHAnsi" w:hAnsi="Times New Roman" w:cs="Times New Roman"/>
          <w:sz w:val="24"/>
          <w:szCs w:val="24"/>
        </w:rPr>
        <w:t xml:space="preserve"> </w:t>
      </w:r>
    </w:p>
    <w:bookmarkEnd w:id="0"/>
    <w:p w14:paraId="28FE8801" w14:textId="77777777" w:rsidR="006A18CD" w:rsidRPr="0056087C" w:rsidRDefault="006A18CD" w:rsidP="0056087C">
      <w:pPr>
        <w:spacing w:line="360" w:lineRule="auto"/>
        <w:rPr>
          <w:rFonts w:ascii="Times New Roman" w:hAnsi="Times New Roman" w:cs="Times New Roman"/>
          <w:sz w:val="24"/>
          <w:szCs w:val="24"/>
        </w:rPr>
      </w:pPr>
    </w:p>
    <w:sectPr w:rsidR="006A18CD" w:rsidRPr="0056087C">
      <w:headerReference w:type="even" r:id="rId50"/>
      <w:headerReference w:type="default" r:id="rId51"/>
      <w:footerReference w:type="even" r:id="rId52"/>
      <w:footerReference w:type="default" r:id="rId53"/>
      <w:headerReference w:type="first" r:id="rId54"/>
      <w:footerReference w:type="first" r:id="rId5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CA90A" w14:textId="77777777" w:rsidR="00FF1EF5" w:rsidRDefault="00FF1EF5" w:rsidP="0036793E">
      <w:pPr>
        <w:spacing w:after="0" w:line="240" w:lineRule="auto"/>
      </w:pPr>
      <w:r>
        <w:separator/>
      </w:r>
    </w:p>
  </w:endnote>
  <w:endnote w:type="continuationSeparator" w:id="0">
    <w:p w14:paraId="77A4A27E" w14:textId="77777777" w:rsidR="00FF1EF5" w:rsidRDefault="00FF1EF5" w:rsidP="00367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F395D" w14:textId="77777777" w:rsidR="0036793E" w:rsidRDefault="003679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6A47B" w14:textId="77777777" w:rsidR="0036793E" w:rsidRDefault="003679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B9A7E" w14:textId="77777777" w:rsidR="0036793E" w:rsidRDefault="003679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17860" w14:textId="77777777" w:rsidR="00FF1EF5" w:rsidRDefault="00FF1EF5" w:rsidP="0036793E">
      <w:pPr>
        <w:spacing w:after="0" w:line="240" w:lineRule="auto"/>
      </w:pPr>
      <w:r>
        <w:separator/>
      </w:r>
    </w:p>
  </w:footnote>
  <w:footnote w:type="continuationSeparator" w:id="0">
    <w:p w14:paraId="6814107D" w14:textId="77777777" w:rsidR="00FF1EF5" w:rsidRDefault="00FF1EF5" w:rsidP="00367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269236" w14:textId="70B44393" w:rsidR="0036793E" w:rsidRDefault="0036793E">
    <w:pPr>
      <w:pStyle w:val="Header"/>
    </w:pPr>
    <w:r>
      <w:rPr>
        <w:noProof/>
      </w:rPr>
      <w:pict w14:anchorId="428B2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07001"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543E" w14:textId="6E7E3057" w:rsidR="0036793E" w:rsidRDefault="0036793E">
    <w:pPr>
      <w:pStyle w:val="Header"/>
    </w:pPr>
    <w:r>
      <w:rPr>
        <w:noProof/>
      </w:rPr>
      <w:pict w14:anchorId="2B2CBD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07002"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8F99D" w14:textId="6B790331" w:rsidR="0036793E" w:rsidRDefault="0036793E">
    <w:pPr>
      <w:pStyle w:val="Header"/>
    </w:pPr>
    <w:r>
      <w:rPr>
        <w:noProof/>
      </w:rPr>
      <w:pict w14:anchorId="2E4D6D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5607000"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A62A5A"/>
    <w:multiLevelType w:val="hybridMultilevel"/>
    <w:tmpl w:val="3DB4A3E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20BE"/>
    <w:rsid w:val="000F493C"/>
    <w:rsid w:val="00260D72"/>
    <w:rsid w:val="00302CB9"/>
    <w:rsid w:val="0036793E"/>
    <w:rsid w:val="003B5D88"/>
    <w:rsid w:val="00421284"/>
    <w:rsid w:val="0056087C"/>
    <w:rsid w:val="005777E6"/>
    <w:rsid w:val="005E44F9"/>
    <w:rsid w:val="005F3D6A"/>
    <w:rsid w:val="00666746"/>
    <w:rsid w:val="006A18CD"/>
    <w:rsid w:val="008109CA"/>
    <w:rsid w:val="00975615"/>
    <w:rsid w:val="00A46786"/>
    <w:rsid w:val="00E120BE"/>
    <w:rsid w:val="00EF46D6"/>
    <w:rsid w:val="00FA455D"/>
    <w:rsid w:val="00FF1EF5"/>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FB1F04"/>
  <w15:chartTrackingRefBased/>
  <w15:docId w15:val="{72CD2A9F-7EA5-49AF-9AC9-9BD9264C6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20BE"/>
    <w:pPr>
      <w:spacing w:after="200" w:line="276" w:lineRule="auto"/>
    </w:pPr>
    <w:rPr>
      <w:rFonts w:eastAsiaTheme="minorEastAsia"/>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120BE"/>
    <w:pPr>
      <w:spacing w:after="0" w:line="240" w:lineRule="auto"/>
    </w:pPr>
    <w:rPr>
      <w:rFonts w:eastAsiaTheme="minorEastAsia"/>
      <w:kern w:val="0"/>
      <w:lang w:val="en-U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E120BE"/>
    <w:pPr>
      <w:ind w:left="720"/>
      <w:contextualSpacing/>
    </w:pPr>
  </w:style>
  <w:style w:type="paragraph" w:customStyle="1" w:styleId="MDPI13authornames">
    <w:name w:val="MDPI_1.3_authornames"/>
    <w:next w:val="Normal"/>
    <w:qFormat/>
    <w:rsid w:val="00E120BE"/>
    <w:pPr>
      <w:adjustRightInd w:val="0"/>
      <w:snapToGrid w:val="0"/>
      <w:spacing w:after="360" w:line="260" w:lineRule="atLeast"/>
    </w:pPr>
    <w:rPr>
      <w:rFonts w:ascii="Palatino Linotype" w:eastAsia="Times New Roman" w:hAnsi="Palatino Linotype" w:cs="Times New Roman"/>
      <w:b/>
      <w:color w:val="000000"/>
      <w:kern w:val="0"/>
      <w:sz w:val="20"/>
      <w:lang w:val="en-US" w:eastAsia="de-DE" w:bidi="en-US"/>
      <w14:ligatures w14:val="none"/>
    </w:rPr>
  </w:style>
  <w:style w:type="character" w:styleId="Hyperlink">
    <w:name w:val="Hyperlink"/>
    <w:uiPriority w:val="99"/>
    <w:rsid w:val="00E120BE"/>
    <w:rPr>
      <w:color w:val="0000FF"/>
      <w:u w:val="single"/>
    </w:rPr>
  </w:style>
  <w:style w:type="character" w:styleId="UnresolvedMention">
    <w:name w:val="Unresolved Mention"/>
    <w:basedOn w:val="DefaultParagraphFont"/>
    <w:uiPriority w:val="99"/>
    <w:semiHidden/>
    <w:unhideWhenUsed/>
    <w:rsid w:val="00421284"/>
    <w:rPr>
      <w:color w:val="605E5C"/>
      <w:shd w:val="clear" w:color="auto" w:fill="E1DFDD"/>
    </w:rPr>
  </w:style>
  <w:style w:type="paragraph" w:styleId="Header">
    <w:name w:val="header"/>
    <w:basedOn w:val="Normal"/>
    <w:link w:val="HeaderChar"/>
    <w:uiPriority w:val="99"/>
    <w:unhideWhenUsed/>
    <w:rsid w:val="00367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6793E"/>
    <w:rPr>
      <w:rFonts w:eastAsiaTheme="minorEastAsia"/>
      <w:kern w:val="0"/>
      <w:lang w:val="en-US"/>
      <w14:ligatures w14:val="none"/>
    </w:rPr>
  </w:style>
  <w:style w:type="paragraph" w:styleId="Footer">
    <w:name w:val="footer"/>
    <w:basedOn w:val="Normal"/>
    <w:link w:val="FooterChar"/>
    <w:uiPriority w:val="99"/>
    <w:unhideWhenUsed/>
    <w:rsid w:val="00367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6793E"/>
    <w:rPr>
      <w:rFonts w:eastAsiaTheme="minorEastAsia"/>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1716450">
      <w:bodyDiv w:val="1"/>
      <w:marLeft w:val="0"/>
      <w:marRight w:val="0"/>
      <w:marTop w:val="0"/>
      <w:marBottom w:val="0"/>
      <w:divBdr>
        <w:top w:val="none" w:sz="0" w:space="0" w:color="auto"/>
        <w:left w:val="none" w:sz="0" w:space="0" w:color="auto"/>
        <w:bottom w:val="none" w:sz="0" w:space="0" w:color="auto"/>
        <w:right w:val="none" w:sz="0" w:space="0" w:color="auto"/>
      </w:divBdr>
      <w:divsChild>
        <w:div w:id="2093088941">
          <w:marLeft w:val="0"/>
          <w:marRight w:val="0"/>
          <w:marTop w:val="120"/>
          <w:marBottom w:val="0"/>
          <w:divBdr>
            <w:top w:val="none" w:sz="0" w:space="0" w:color="auto"/>
            <w:left w:val="none" w:sz="0" w:space="0" w:color="auto"/>
            <w:bottom w:val="none" w:sz="0" w:space="0" w:color="auto"/>
            <w:right w:val="none" w:sz="0" w:space="0" w:color="auto"/>
          </w:divBdr>
          <w:divsChild>
            <w:div w:id="1406340170">
              <w:marLeft w:val="0"/>
              <w:marRight w:val="0"/>
              <w:marTop w:val="0"/>
              <w:marBottom w:val="0"/>
              <w:divBdr>
                <w:top w:val="none" w:sz="0" w:space="0" w:color="auto"/>
                <w:left w:val="none" w:sz="0" w:space="0" w:color="auto"/>
                <w:bottom w:val="none" w:sz="0" w:space="0" w:color="auto"/>
                <w:right w:val="none" w:sz="0" w:space="0" w:color="auto"/>
              </w:divBdr>
              <w:divsChild>
                <w:div w:id="1111320789">
                  <w:marLeft w:val="0"/>
                  <w:marRight w:val="0"/>
                  <w:marTop w:val="0"/>
                  <w:marBottom w:val="0"/>
                  <w:divBdr>
                    <w:top w:val="none" w:sz="0" w:space="0" w:color="auto"/>
                    <w:left w:val="none" w:sz="0" w:space="0" w:color="auto"/>
                    <w:bottom w:val="none" w:sz="0" w:space="0" w:color="auto"/>
                    <w:right w:val="none" w:sz="0" w:space="0" w:color="auto"/>
                  </w:divBdr>
                  <w:divsChild>
                    <w:div w:id="58478135">
                      <w:marLeft w:val="0"/>
                      <w:marRight w:val="0"/>
                      <w:marTop w:val="0"/>
                      <w:marBottom w:val="0"/>
                      <w:divBdr>
                        <w:top w:val="none" w:sz="0" w:space="0" w:color="auto"/>
                        <w:left w:val="none" w:sz="0" w:space="0" w:color="auto"/>
                        <w:bottom w:val="none" w:sz="0" w:space="0" w:color="auto"/>
                        <w:right w:val="none" w:sz="0" w:space="0" w:color="auto"/>
                      </w:divBdr>
                    </w:div>
                    <w:div w:id="1081877122">
                      <w:marLeft w:val="0"/>
                      <w:marRight w:val="0"/>
                      <w:marTop w:val="0"/>
                      <w:marBottom w:val="0"/>
                      <w:divBdr>
                        <w:top w:val="none" w:sz="0" w:space="0" w:color="auto"/>
                        <w:left w:val="none" w:sz="0" w:space="0" w:color="auto"/>
                        <w:bottom w:val="none" w:sz="0" w:space="0" w:color="auto"/>
                        <w:right w:val="none" w:sz="0" w:space="0" w:color="auto"/>
                      </w:divBdr>
                    </w:div>
                    <w:div w:id="1544369499">
                      <w:marLeft w:val="0"/>
                      <w:marRight w:val="0"/>
                      <w:marTop w:val="0"/>
                      <w:marBottom w:val="0"/>
                      <w:divBdr>
                        <w:top w:val="none" w:sz="0" w:space="0" w:color="auto"/>
                        <w:left w:val="none" w:sz="0" w:space="0" w:color="auto"/>
                        <w:bottom w:val="none" w:sz="0" w:space="0" w:color="auto"/>
                        <w:right w:val="none" w:sz="0" w:space="0" w:color="auto"/>
                      </w:divBdr>
                    </w:div>
                    <w:div w:id="1978679316">
                      <w:marLeft w:val="0"/>
                      <w:marRight w:val="0"/>
                      <w:marTop w:val="0"/>
                      <w:marBottom w:val="0"/>
                      <w:divBdr>
                        <w:top w:val="none" w:sz="0" w:space="0" w:color="auto"/>
                        <w:left w:val="none" w:sz="0" w:space="0" w:color="auto"/>
                        <w:bottom w:val="none" w:sz="0" w:space="0" w:color="auto"/>
                        <w:right w:val="none" w:sz="0" w:space="0" w:color="auto"/>
                      </w:divBdr>
                    </w:div>
                    <w:div w:id="126264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doi.org/10.3390/ijms22115825" TargetMode="External"/><Relationship Id="rId26" Type="http://schemas.openxmlformats.org/officeDocument/2006/relationships/hyperlink" Target="https://doi.org/10.3390/agriculture6030033" TargetMode="External"/><Relationship Id="rId39" Type="http://schemas.openxmlformats.org/officeDocument/2006/relationships/hyperlink" Target="https://doi.org/10.1046/j.1365-2486.2002.00508.x" TargetMode="External"/><Relationship Id="rId21" Type="http://schemas.openxmlformats.org/officeDocument/2006/relationships/hyperlink" Target="https://doi.org/10.1080/07352689.2011.615687" TargetMode="External"/><Relationship Id="rId34" Type="http://schemas.openxmlformats.org/officeDocument/2006/relationships/hyperlink" Target="https://doi.org/10.1007/s11738-012-0959-1" TargetMode="External"/><Relationship Id="rId42" Type="http://schemas.openxmlformats.org/officeDocument/2006/relationships/hyperlink" Target="https://doi.org/10.1007/BF00384240" TargetMode="External"/><Relationship Id="rId47" Type="http://schemas.openxmlformats.org/officeDocument/2006/relationships/hyperlink" Target="https://doi.org/10.4067/S0718-95162012000200003"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86/1472-6882-8-53" TargetMode="External"/><Relationship Id="rId29" Type="http://schemas.openxmlformats.org/officeDocument/2006/relationships/hyperlink" Target="https://doi.org/10.1016/j.tplants.2008.11.001" TargetMode="External"/><Relationship Id="rId11" Type="http://schemas.openxmlformats.org/officeDocument/2006/relationships/image" Target="media/image4.png"/><Relationship Id="rId24" Type="http://schemas.openxmlformats.org/officeDocument/2006/relationships/hyperlink" Target="https://doi.org/10.1002/9781118358566.ch2" TargetMode="External"/><Relationship Id="rId32" Type="http://schemas.openxmlformats.org/officeDocument/2006/relationships/hyperlink" Target="https://www.informit.org/library/browse;res=IELAPA;issn=1835-2693" TargetMode="External"/><Relationship Id="rId37" Type="http://schemas.openxmlformats.org/officeDocument/2006/relationships/hyperlink" Target="https://doi.org/10.1155/2012/803413" TargetMode="External"/><Relationship Id="rId40" Type="http://schemas.openxmlformats.org/officeDocument/2006/relationships/hyperlink" Target="https://sid.ir/paper/20289/en" TargetMode="External"/><Relationship Id="rId45" Type="http://schemas.openxmlformats.org/officeDocument/2006/relationships/hyperlink" Target="https://doi.org/10.1007/s10265-006-0040-5" TargetMode="External"/><Relationship Id="rId53"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doi.org/10.1016/j.plaphy.2010.09.0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38/ngeo1022" TargetMode="External"/><Relationship Id="rId27" Type="http://schemas.openxmlformats.org/officeDocument/2006/relationships/hyperlink" Target="https://doi.org/10.1017/S001447970100307X" TargetMode="External"/><Relationship Id="rId30" Type="http://schemas.openxmlformats.org/officeDocument/2006/relationships/hyperlink" Target="https://doi.org/10.1023/B:PHOT.0000046153.08935.4c" TargetMode="External"/><Relationship Id="rId35" Type="http://schemas.openxmlformats.org/officeDocument/2006/relationships/hyperlink" Target="https://doi.org/10.1146/annurev.arplant.58.032806.103946" TargetMode="External"/><Relationship Id="rId43" Type="http://schemas.openxmlformats.org/officeDocument/2006/relationships/hyperlink" Target="https://doi.org/10.1016/j.plantsci.2006.05.002" TargetMode="External"/><Relationship Id="rId48" Type="http://schemas.openxmlformats.org/officeDocument/2006/relationships/hyperlink" Target="https://doi.org/10.1016/j.tplants.2008.10.004"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aab.bioflux.com.ro/docs/2010.213-224.pdf" TargetMode="External"/><Relationship Id="rId25" Type="http://schemas.openxmlformats.org/officeDocument/2006/relationships/hyperlink" Target="https://doi.org/10.1017/S0021859612000263" TargetMode="External"/><Relationship Id="rId33" Type="http://schemas.openxmlformats.org/officeDocument/2006/relationships/hyperlink" Target="https://doi.org/10.1007/s12298-011-0078-2" TargetMode="External"/><Relationship Id="rId38" Type="http://schemas.openxmlformats.org/officeDocument/2006/relationships/hyperlink" Target="https://doi.org/10.1007/s11104-010-0532-x" TargetMode="External"/><Relationship Id="rId46" Type="http://schemas.openxmlformats.org/officeDocument/2006/relationships/hyperlink" Target="https://doi.org/10.1007/s10725-005-8379-5" TargetMode="External"/><Relationship Id="rId20" Type="http://schemas.openxmlformats.org/officeDocument/2006/relationships/hyperlink" Target="https://doi.org/10.1111/j.1439-037X.2007.00287.x" TargetMode="External"/><Relationship Id="rId41" Type="http://schemas.openxmlformats.org/officeDocument/2006/relationships/hyperlink" Target="https://doi.org/10.1007/s10725-011-9572-3"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07/s11104-014-2063-3" TargetMode="External"/><Relationship Id="rId23" Type="http://schemas.openxmlformats.org/officeDocument/2006/relationships/hyperlink" Target="https://doi.org/10.1006/bbrc.1998.8427" TargetMode="External"/><Relationship Id="rId28" Type="http://schemas.openxmlformats.org/officeDocument/2006/relationships/hyperlink" Target="https://doi.org/10.1080/11263504.2020.1727987" TargetMode="External"/><Relationship Id="rId36" Type="http://schemas.openxmlformats.org/officeDocument/2006/relationships/hyperlink" Target="https://doi.org/10.3390/agronomy8070128" TargetMode="External"/><Relationship Id="rId49" Type="http://schemas.openxmlformats.org/officeDocument/2006/relationships/hyperlink" Target="https://doi.org/10.1093/jxb/erq053" TargetMode="Externa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doi.org/10.1016/j.jcs.2008.06.014" TargetMode="External"/><Relationship Id="rId44" Type="http://schemas.openxmlformats.org/officeDocument/2006/relationships/hyperlink" Target="https://doi.org/10.1016/j.plaphy.2009.12.010" TargetMode="External"/><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7C3BE-C76E-4170-9468-2A96C27F8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24</Pages>
  <Words>6716</Words>
  <Characters>38284</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1084</cp:lastModifiedBy>
  <cp:revision>21</cp:revision>
  <dcterms:created xsi:type="dcterms:W3CDTF">2025-12-20T09:02:00Z</dcterms:created>
  <dcterms:modified xsi:type="dcterms:W3CDTF">2025-12-20T14:00:00Z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8f80f8d7-4f2f-43de-9ae8-229584f493bd</vt:lpwstr>
  </property>
</Properties>
</file>