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F0C6" w14:textId="67F9C412" w:rsidR="00235CA5" w:rsidRPr="00235CA5" w:rsidRDefault="00687B7E" w:rsidP="00235CA5">
      <w:pPr>
        <w:jc w:val="center"/>
        <w:rPr>
          <w:b/>
          <w:bCs/>
          <w:noProof/>
        </w:rPr>
      </w:pPr>
      <w:r w:rsidRPr="00687B7E">
        <w:rPr>
          <w:b/>
          <w:bCs/>
          <w:noProof/>
        </w:rPr>
        <w:t>The Impact of Natural Disasters on Community Welfare</w:t>
      </w:r>
    </w:p>
    <w:p w14:paraId="69DE1742" w14:textId="29657848" w:rsidR="00235CA5" w:rsidRDefault="00235CA5" w:rsidP="003758D3">
      <w:pPr>
        <w:jc w:val="center"/>
        <w:rPr>
          <w:noProof/>
        </w:rPr>
      </w:pPr>
    </w:p>
    <w:p w14:paraId="34C41C60" w14:textId="77777777" w:rsidR="00370701" w:rsidRDefault="00370701" w:rsidP="003758D3">
      <w:pPr>
        <w:jc w:val="center"/>
        <w:rPr>
          <w:noProof/>
        </w:rPr>
      </w:pPr>
      <w:bookmarkStart w:id="0" w:name="_GoBack"/>
      <w:bookmarkEnd w:id="0"/>
    </w:p>
    <w:p w14:paraId="47D46AC1" w14:textId="5F5FA123" w:rsidR="003758D3" w:rsidRPr="00477C7B" w:rsidRDefault="003758D3" w:rsidP="003758D3">
      <w:pPr>
        <w:jc w:val="center"/>
        <w:rPr>
          <w:b/>
          <w:bCs/>
          <w:noProof/>
        </w:rPr>
      </w:pPr>
      <w:r w:rsidRPr="00477C7B">
        <w:rPr>
          <w:b/>
          <w:bCs/>
          <w:noProof/>
        </w:rPr>
        <w:t>Abstra</w:t>
      </w:r>
      <w:r w:rsidR="00687B7E">
        <w:rPr>
          <w:b/>
          <w:bCs/>
          <w:noProof/>
        </w:rPr>
        <w:t>ct</w:t>
      </w:r>
    </w:p>
    <w:p w14:paraId="0A3F50F1" w14:textId="2683214B" w:rsidR="003758D3" w:rsidRDefault="00687B7E" w:rsidP="00B65905">
      <w:pPr>
        <w:ind w:left="993" w:right="946"/>
        <w:jc w:val="both"/>
        <w:rPr>
          <w:noProof/>
        </w:rPr>
      </w:pPr>
      <w:r w:rsidRPr="00687B7E">
        <w:rPr>
          <w:noProof/>
        </w:rPr>
        <w:t>Natural disasters are a source of shocks that have the potential to impact community well-being in a sustainable manner, not only through material losses but also through changes in household perceptions and expectations. This study aims to analyze the effect of disaster intensity on community well-being by focusing on two dimensions of subjective well-being: life satisfaction and five-year life expectancy. This study uses household data from the Indonesia Family Life Survey (IFLS) and measures disaster intensity based on the frequency of disaster events experienced by households. Empirical analysis was conducted using linear regression with robust standard errors to estimate the relationship between disaster intensity and well-being indicators, controlling for household socioeconomic characteristics. The results show that disaster intensity significantly influences the decline in life satisfaction and weakens community life expectancy in the future. This finding indicates that disaster impacts are intertemporal, where repeated disaster exposure not only reduces current well-being but also erodes households' hopes and sense of security regarding the sustainability of their livelihoods. Overall, this study emphasizes the importance of incorporating subjective well-being and future expectations into disaster impact analysis to gain a more comprehensive understanding of the implications of disasters on community well-being.</w:t>
      </w:r>
    </w:p>
    <w:p w14:paraId="36E2E0B4" w14:textId="217E6454" w:rsidR="003758D3" w:rsidRDefault="00687B7E" w:rsidP="00687B7E">
      <w:pPr>
        <w:ind w:left="993"/>
        <w:rPr>
          <w:noProof/>
        </w:rPr>
      </w:pPr>
      <w:r>
        <w:rPr>
          <w:noProof/>
        </w:rPr>
        <w:t>Keywords: Natural Disasters; Community Welfare; Indonesia.</w:t>
      </w:r>
    </w:p>
    <w:p w14:paraId="10D42517" w14:textId="77777777" w:rsidR="003758D3" w:rsidRDefault="003758D3">
      <w:pPr>
        <w:rPr>
          <w:noProof/>
        </w:rPr>
      </w:pPr>
    </w:p>
    <w:p w14:paraId="15449428" w14:textId="751D93A9" w:rsidR="00235CA5" w:rsidRPr="00235CA5" w:rsidRDefault="00687B7E" w:rsidP="00235CA5">
      <w:pPr>
        <w:pStyle w:val="ListParagraph"/>
        <w:numPr>
          <w:ilvl w:val="0"/>
          <w:numId w:val="1"/>
        </w:numPr>
        <w:ind w:left="426"/>
        <w:rPr>
          <w:b/>
          <w:bCs/>
          <w:noProof/>
        </w:rPr>
      </w:pPr>
      <w:r>
        <w:rPr>
          <w:b/>
          <w:bCs/>
          <w:noProof/>
        </w:rPr>
        <w:t>Introduction</w:t>
      </w:r>
    </w:p>
    <w:p w14:paraId="60546783" w14:textId="5452E9FC" w:rsidR="0018521D" w:rsidRDefault="00687B7E" w:rsidP="0018521D">
      <w:pPr>
        <w:ind w:left="426"/>
        <w:jc w:val="both"/>
        <w:rPr>
          <w:noProof/>
        </w:rPr>
      </w:pPr>
      <w:r w:rsidRPr="00687B7E">
        <w:rPr>
          <w:noProof/>
        </w:rPr>
        <w:t>Natural disasters are a major source of shocks that directly impact people's well-being. In many regions, disasters not only cause physical damage and economic losses, but also create ongoing uncertainty in household life</w:t>
      </w:r>
      <w:r w:rsidR="004765BD">
        <w:rPr>
          <w:noProof/>
        </w:rPr>
        <w:t xml:space="preserve"> </w:t>
      </w:r>
      <w:r w:rsidR="004765BD" w:rsidRPr="004765BD">
        <w:rPr>
          <w:noProof/>
          <w:color w:val="0070C0"/>
        </w:rPr>
        <w:fldChar w:fldCharType="begin" w:fldLock="1"/>
      </w:r>
      <w:r w:rsidR="004765BD">
        <w:rPr>
          <w:noProof/>
          <w:color w:val="0070C0"/>
        </w:rPr>
        <w:instrText>ADDIN CSL_CITATION {"citationItems":[{"id":"ITEM-1","itemData":{"ISSN":"0264-2751","author":[{"dropping-particle":"","family":"Guo","given":"Xiaona","non-dropping-particle":"","parse-names":false,"suffix":""},{"dropping-particle":"","family":"Cheng","given":"Jie","non-dropping-particle":"","parse-names":false,"suffix":""},{"dropping-particle":"","family":"Yin","given":"Chenglong","non-dropping-particle":"","parse-names":false,"suffix":""},{"dropping-particle":"","family":"Li","given":"Qiang","non-dropping-particle":"","parse-names":false,"suffix":""},{"dropping-particle":"","family":"Chen","given":"Ruishan","non-dropping-particle":"","parse-names":false,"suffix":""},{"dropping-particle":"","family":"Fang","given":"Jiayi","non-dropping-particle":"","parse-names":false,"suffix":""}],"container-title":"Cities","id":"ITEM-1","issued":{"date-parts":[["2023"]]},"page":"104168","publisher":"Elsevier","title":"The extraordinary Zhengzhou flood of 7/20, 2021: How extreme weather and human response compounding to the disaster","type":"article-journal","volume":"134"},"uris":["http://www.mendeley.com/documents/?uuid=973a572f-9548-40b6-b088-4ece2d17b434"]},{"id":"ITEM-2","itemData":{"ISSN":"2212-4209","author":[{"dropping-particle":"","family":"Ahmad","given":"Mokbul Morshed","non-dropping-particle":"","parse-names":false,"suffix":""},{"dropping-particle":"","family":"Yaseen","given":"Muhammad","non-dropping-particle":"","parse-names":false,"suffix":""},{"dropping-particle":"","family":"Saqib","given":"Shahab E","non-dropping-particle":"","parse-names":false,"suffix":""}],"container-title":"International Journal of Disaster Risk Reduction","id":"ITEM-2","issued":{"date-parts":[["2022"]]},"page":"103210","publisher":"Elsevier","title":"Climate change impacts of drought on the livelihood of dryland smallholders: Implications of adaptation challenges","type":"article-journal","volume":"80"},"uris":["http://www.mendeley.com/documents/?uuid=e2ff789e-43b9-47e7-8eb8-d308b8edae3a"]},{"id":"ITEM-3","itemData":{"ISSN":"0066-4308","author":[{"dropping-particle":"","family":"Bonanno","given":"George A","non-dropping-particle":"","parse-names":false,"suffix":""},{"dropping-particle":"","family":"Chen","given":"Shuquan","non-dropping-particle":"","parse-names":false,"suffix":""},{"dropping-particle":"","family":"Bagrodia","given":"Rohini","non-dropping-particle":"","parse-names":false,"suffix":""},{"dropping-particle":"","family":"Galatzer-Levy","given":"Isaac R","non-dropping-particle":"","parse-names":false,"suffix":""}],"container-title":"Annual review of psychology","id":"ITEM-3","issue":"1","issued":{"date-parts":[["2024"]]},"page":"573-599","publisher":"Annual Reviews","title":"Resilience and disaster: flexible adaptation in the face of uncertain threat","type":"article-journal","volume":"75"},"uris":["http://www.mendeley.com/documents/?uuid=ed1776b6-4c14-4160-8c1b-1cb24df6698d"]}],"mendeley":{"formattedCitation":"(Ahmad et al., 2022; Bonanno et al., 2024; Guo et al., 2023)","plainTextFormattedCitation":"(Ahmad et al., 2022; Bonanno et al., 2024; Guo et al., 2023)","previouslyFormattedCitation":"(Ahmad et al., 2022; Bonanno et al., 2024; Guo et al., 2023)"},"properties":{"noteIndex":0},"schema":"https://github.com/citation-style-language/schema/raw/master/csl-citation.json"}</w:instrText>
      </w:r>
      <w:r w:rsidR="004765BD" w:rsidRPr="004765BD">
        <w:rPr>
          <w:noProof/>
          <w:color w:val="0070C0"/>
        </w:rPr>
        <w:fldChar w:fldCharType="separate"/>
      </w:r>
      <w:r w:rsidR="004765BD" w:rsidRPr="004765BD">
        <w:rPr>
          <w:noProof/>
          <w:color w:val="0070C0"/>
        </w:rPr>
        <w:t>(Ahmad et al., 2022; Bonanno et al., 2024; Guo et al., 2023)</w:t>
      </w:r>
      <w:r w:rsidR="004765BD" w:rsidRPr="004765BD">
        <w:rPr>
          <w:noProof/>
          <w:color w:val="0070C0"/>
        </w:rPr>
        <w:fldChar w:fldCharType="end"/>
      </w:r>
      <w:r w:rsidR="0018521D">
        <w:rPr>
          <w:noProof/>
        </w:rPr>
        <w:t xml:space="preserve">. </w:t>
      </w:r>
      <w:r w:rsidRPr="00687B7E">
        <w:rPr>
          <w:noProof/>
        </w:rPr>
        <w:t>These impacts make disasters an important factor in determining the quality of life of people, especially in vulnerable areas and those experiencing repeated disasters.</w:t>
      </w:r>
    </w:p>
    <w:p w14:paraId="151CA8E2" w14:textId="330C977C" w:rsidR="0018521D" w:rsidRDefault="00687B7E" w:rsidP="0018521D">
      <w:pPr>
        <w:ind w:left="426"/>
        <w:jc w:val="both"/>
        <w:rPr>
          <w:noProof/>
        </w:rPr>
      </w:pPr>
      <w:r w:rsidRPr="00687B7E">
        <w:rPr>
          <w:noProof/>
        </w:rPr>
        <w:t>In the context of well-being, the impact of disasters is often analyzed through objective indicators such as income loss, asset damage, or increased poverty levels. However, this approach does not fully reflect how households actually experience and assess the impact of disasters in their daily lives. Community well-being also encompasses a subjective dimension, namely how individuals assess their life satisfaction and how they view future life prospects. This dimension is important because it reflects the psychological state, sense of security, and expectations of households, which are not always reflected in conventional economic indicators.</w:t>
      </w:r>
    </w:p>
    <w:p w14:paraId="7A7A1925" w14:textId="443F13B0" w:rsidR="0018521D" w:rsidRDefault="00687B7E" w:rsidP="0018521D">
      <w:pPr>
        <w:ind w:left="426"/>
        <w:jc w:val="both"/>
        <w:rPr>
          <w:noProof/>
        </w:rPr>
      </w:pPr>
      <w:r w:rsidRPr="00687B7E">
        <w:rPr>
          <w:noProof/>
        </w:rPr>
        <w:t>Disasters, especially those that occur repeatedly, have the potential to reduce the subjective well-being of households</w:t>
      </w:r>
      <w:r w:rsidR="004765BD">
        <w:rPr>
          <w:noProof/>
        </w:rPr>
        <w:t xml:space="preserve"> </w:t>
      </w:r>
      <w:r w:rsidR="004765BD" w:rsidRPr="004765BD">
        <w:rPr>
          <w:noProof/>
          <w:color w:val="0070C0"/>
        </w:rPr>
        <w:fldChar w:fldCharType="begin" w:fldLock="1"/>
      </w:r>
      <w:r w:rsidR="00CD3858">
        <w:rPr>
          <w:noProof/>
          <w:color w:val="0070C0"/>
        </w:rPr>
        <w:instrText>ADDIN CSL_CITATION {"citationItems":[{"id":"ITEM-1","itemData":{"ISSN":"2296-701X","author":[{"dropping-particle":"","family":"Huang","given":"Lei","non-dropping-particle":"","parse-names":false,"suffix":""}],"container-title":"Frontiers in Ecology and Evolution","id":"ITEM-1","issued":{"date-parts":[["2022"]]},"page":"898557","publisher":"Frontiers Media SA","title":"Effect of natural hazards on the income and sense of subjective well-being of rural residents: evidence from rural China","type":"article-journal","volume":"10"},"uris":["http://www.mendeley.com/documents/?uuid=016ff41b-1d72-43a9-b385-ebbbee7e332f"]},{"id":"ITEM-2","itemData":{"ISSN":"0924-6460","author":[{"dropping-particle":"","family":"Gunby","given":"Nicholas","non-dropping-particle":"","parse-names":false,"suffix":""},{"dropping-particle":"","family":"Coupé","given":"Tom","non-dropping-particle":"","parse-names":false,"suffix":""}],"container-title":"Environmental and Resource Economics","id":"ITEM-2","issue":"2","issued":{"date-parts":[["2023"]]},"page":"409-438","publisher":"Springer","title":"Weather-related home damage and subjective well-being","type":"article-journal","volume":"84"},"uris":["http://www.mendeley.com/documents/?uuid=c2aa36ba-7ffc-40e3-812a-a2ce4e2bbc81"]},{"id":"ITEM-3","itemData":{"author":[{"dropping-particle":"","family":"Bhadra","given":"Subhasis","non-dropping-particle":"","parse-names":false,"suffix":""},{"dropping-particle":"","family":"Dyer","given":"Allen R","non-dropping-particle":"","parse-names":false,"suffix":""}],"container-title":"Handbook of health and well-being: Challenges, strategies and future trends","id":"ITEM-3","issued":{"date-parts":[["2022"]]},"page":"637-667","publisher":"Springer","title":"Resilience and well-being among the survivors of natural disasters and conflicts","type":"chapter"},"uris":["http://www.mendeley.com/documents/?uuid=7399d192-1970-4b7c-9ae5-09b6b756d6eb"]}],"mendeley":{"formattedCitation":"(Bhadra &amp; Dyer, 2022; Gunby &amp; Coupé, 2023; Huang, 2022)","plainTextFormattedCitation":"(Bhadra &amp; Dyer, 2022; Gunby &amp; Coupé, 2023; Huang, 2022)","previouslyFormattedCitation":"(Bhadra &amp; Dyer, 2022; Gunby &amp; Coupé, 2023; Huang, 2022)"},"properties":{"noteIndex":0},"schema":"https://github.com/citation-style-language/schema/raw/master/csl-citation.json"}</w:instrText>
      </w:r>
      <w:r w:rsidR="004765BD" w:rsidRPr="004765BD">
        <w:rPr>
          <w:noProof/>
          <w:color w:val="0070C0"/>
        </w:rPr>
        <w:fldChar w:fldCharType="separate"/>
      </w:r>
      <w:r w:rsidR="00CD3858" w:rsidRPr="00CD3858">
        <w:rPr>
          <w:noProof/>
          <w:color w:val="0070C0"/>
        </w:rPr>
        <w:t>(Bhadra &amp; Dyer, 2022; Gunby &amp; Coupé, 2023; Huang, 2022)</w:t>
      </w:r>
      <w:r w:rsidR="004765BD" w:rsidRPr="004765BD">
        <w:rPr>
          <w:noProof/>
          <w:color w:val="0070C0"/>
        </w:rPr>
        <w:fldChar w:fldCharType="end"/>
      </w:r>
      <w:r w:rsidR="0018521D">
        <w:rPr>
          <w:noProof/>
        </w:rPr>
        <w:t xml:space="preserve">. </w:t>
      </w:r>
      <w:r w:rsidRPr="00687B7E">
        <w:rPr>
          <w:noProof/>
        </w:rPr>
        <w:t>The damage and loss experienced can reduce satisfaction with current living conditions, while the uncertainty created by future disaster risks can undermine medium- to long-term optimism and hope</w:t>
      </w:r>
      <w:r w:rsidR="00CD3858">
        <w:rPr>
          <w:noProof/>
        </w:rPr>
        <w:t xml:space="preserve"> </w:t>
      </w:r>
      <w:r w:rsidR="00CD3858" w:rsidRPr="00CD3858">
        <w:rPr>
          <w:noProof/>
          <w:color w:val="0070C0"/>
        </w:rPr>
        <w:fldChar w:fldCharType="begin" w:fldLock="1"/>
      </w:r>
      <w:r w:rsidR="00CD3858">
        <w:rPr>
          <w:noProof/>
          <w:color w:val="0070C0"/>
        </w:rPr>
        <w:instrText>ADDIN CSL_CITATION {"citationItems":[{"id":"ITEM-1","itemData":{"author":[{"dropping-particle":"","family":"Buheji","given":"Mohamed","non-dropping-particle":"","parse-names":false,"suffix":""},{"dropping-particle":"","family":"Mushimiyimana","given":"Emmanuel","non-dropping-particle":"","parse-names":false,"suffix":""}],"container-title":"International Journal of Management (IJM)","id":"ITEM-1","issue":"1","issued":{"date-parts":[["2024"]]},"title":"LIVE’AN ASSESSMENT OF CURRENT SCENARIOS &amp; FORESIGHTED FUTURE","type":"article-journal","volume":"15"},"uris":["http://www.mendeley.com/documents/?uuid=c50980ab-ebb5-417d-a6af-8ac0f9da6d59"]},{"id":"ITEM-2","itemData":{"ISSN":"0092-0703","author":[{"dropping-particle":"","family":"Mende","given":"Martin","non-dropping-particle":"","parse-names":false,"suffix":""},{"dropping-particle":"","family":"Bradford","given":"Tonya Williams","non-dropping-particle":"","parse-names":false,"suffix":""},{"dropping-particle":"","family":"Roggeveen","given":"Anne L","non-dropping-particle":"","parse-names":false,"suffix":""},{"dropping-particle":"","family":"Scott","given":"Maura L","non-dropping-particle":"","parse-names":false,"suffix":""},{"dropping-particle":"","family":"Zavala","given":"Mariella","non-dropping-particle":"","parse-names":false,"suffix":""}],"container-title":"Journal of the Academy of Marketing Science","id":"ITEM-2","issue":"5","issued":{"date-parts":[["2024"]]},"page":"1301-1322","publisher":"Springer","title":"Consumer vulnerability dynamics and marketing: Conceptual foundations and future research opportunities","type":"article-journal","volume":"52"},"uris":["http://www.mendeley.com/documents/?uuid=22aeea09-e339-40a1-b87e-c2c21982b164"]}],"mendeley":{"formattedCitation":"(Buheji &amp; Mushimiyimana, 2024; Mende et al., 2024)","plainTextFormattedCitation":"(Buheji &amp; Mushimiyimana, 2024; Mende et al., 2024)","previouslyFormattedCitation":"(Buheji &amp; Mushimiyimana, 2024; Mende et al., 2024)"},"properties":{"noteIndex":0},"schema":"https://github.com/citation-style-language/schema/raw/master/csl-citation.json"}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 xml:space="preserve">(Buheji </w:t>
      </w:r>
      <w:r w:rsidR="00CD3858" w:rsidRPr="00CD3858">
        <w:rPr>
          <w:noProof/>
          <w:color w:val="0070C0"/>
        </w:rPr>
        <w:lastRenderedPageBreak/>
        <w:t>&amp; Mushimiyimana, 2024; Mende et al., 2024)</w:t>
      </w:r>
      <w:r w:rsidR="00CD3858" w:rsidRPr="00CD3858">
        <w:rPr>
          <w:noProof/>
          <w:color w:val="0070C0"/>
        </w:rPr>
        <w:fldChar w:fldCharType="end"/>
      </w:r>
      <w:r w:rsidR="0018521D">
        <w:rPr>
          <w:noProof/>
        </w:rPr>
        <w:t xml:space="preserve">. </w:t>
      </w:r>
      <w:r w:rsidRPr="00687B7E">
        <w:rPr>
          <w:noProof/>
        </w:rPr>
        <w:t>Thus, disasters not only impact actual well-being, but also shape household perceptions and expectations of future life.</w:t>
      </w:r>
    </w:p>
    <w:p w14:paraId="28B0F647" w14:textId="78C26C45" w:rsidR="0018521D" w:rsidRDefault="00687B7E" w:rsidP="0018521D">
      <w:pPr>
        <w:ind w:left="426"/>
        <w:jc w:val="both"/>
        <w:rPr>
          <w:noProof/>
        </w:rPr>
      </w:pPr>
      <w:r w:rsidRPr="00687B7E">
        <w:rPr>
          <w:noProof/>
        </w:rPr>
        <w:t>Despite their importance, empirical studies specifically linking disaster frequency to community well-being are relatively limited. Most studies view disasters as temporary events with short-term impacts, while the cumulative effects of repeated disaster exposure on household well-being remain underexplored. Yet, repeated exposure can create ongoing stress that has the potential to systematically erode well-being.</w:t>
      </w:r>
    </w:p>
    <w:p w14:paraId="78AA8D86" w14:textId="4115E967" w:rsidR="00235CA5" w:rsidRDefault="00687B7E" w:rsidP="0018521D">
      <w:pPr>
        <w:ind w:left="426"/>
        <w:jc w:val="both"/>
        <w:rPr>
          <w:noProof/>
        </w:rPr>
      </w:pPr>
      <w:r w:rsidRPr="00687B7E">
        <w:rPr>
          <w:noProof/>
        </w:rPr>
        <w:t>This study aims to analyze the impact of disasters on community well-being, focusing on the frequency of disasters experienced by households. Well-being is measured using two main indicators: life satisfaction and expectations of living conditions in the next five years. With this approach, the study assesses not only the impact of disasters on current well-being but also on households' perspectives on their future.</w:t>
      </w:r>
    </w:p>
    <w:p w14:paraId="4F6E8F59" w14:textId="107D6B04" w:rsidR="00235CA5" w:rsidRPr="00235CA5" w:rsidRDefault="00235CA5" w:rsidP="00235CA5">
      <w:pPr>
        <w:pStyle w:val="ListParagraph"/>
        <w:numPr>
          <w:ilvl w:val="0"/>
          <w:numId w:val="1"/>
        </w:numPr>
        <w:ind w:left="426"/>
        <w:rPr>
          <w:b/>
          <w:bCs/>
          <w:noProof/>
        </w:rPr>
      </w:pPr>
      <w:r>
        <w:rPr>
          <w:b/>
          <w:bCs/>
          <w:noProof/>
        </w:rPr>
        <w:t>Data an</w:t>
      </w:r>
      <w:r w:rsidR="00687B7E">
        <w:rPr>
          <w:b/>
          <w:bCs/>
          <w:noProof/>
        </w:rPr>
        <w:t>d</w:t>
      </w:r>
      <w:r>
        <w:rPr>
          <w:b/>
          <w:bCs/>
          <w:noProof/>
        </w:rPr>
        <w:t xml:space="preserve"> Met</w:t>
      </w:r>
      <w:r w:rsidR="00687B7E">
        <w:rPr>
          <w:b/>
          <w:bCs/>
          <w:noProof/>
        </w:rPr>
        <w:t>hod</w:t>
      </w:r>
    </w:p>
    <w:p w14:paraId="50CC0F3B" w14:textId="62A26BED" w:rsidR="0018521D" w:rsidRDefault="00687B7E" w:rsidP="0018521D">
      <w:pPr>
        <w:ind w:left="426"/>
        <w:jc w:val="both"/>
        <w:rPr>
          <w:noProof/>
        </w:rPr>
      </w:pPr>
      <w:r w:rsidRPr="00687B7E">
        <w:rPr>
          <w:noProof/>
        </w:rPr>
        <w:t>This study uses household data containing information on disaster experiences and subjective well-being indicators, sourced from the Indonesia Family Life Survey (IFLS 5). The unit of analysis in this study is the household, with a coverage area representing varying levels of disaster exposure. The data used includes the frequency of disaster events experienced by households over a specific period, as well as well-being assessments based on respondents' perceptions.</w:t>
      </w:r>
    </w:p>
    <w:p w14:paraId="38133809" w14:textId="3AED53E4" w:rsidR="00235CA5" w:rsidRDefault="00687B7E" w:rsidP="0018521D">
      <w:pPr>
        <w:ind w:left="426"/>
        <w:jc w:val="both"/>
        <w:rPr>
          <w:noProof/>
        </w:rPr>
      </w:pPr>
      <w:r w:rsidRPr="00687B7E">
        <w:rPr>
          <w:noProof/>
        </w:rPr>
        <w:t>The welfare indicators analyzed encompass two main dimensions. First, household life satisfaction, which reflects subjective assessments of current living conditions. Second, expectations about living conditions in the next five years, which reflect households' views of their future well-being prospects. The primary variable of interest in this study is disaster frequency. This variable measures how often a household experiences a disaster during the observation period, allowing for analysis of the cumulative impact of repeated disaster exposure.</w:t>
      </w:r>
      <w:r w:rsidR="0018521D">
        <w:rPr>
          <w:noProof/>
        </w:rPr>
        <w:t xml:space="preserve"> </w:t>
      </w:r>
    </w:p>
    <w:p w14:paraId="36D39E03" w14:textId="62CB7B6E" w:rsidR="0018521D" w:rsidRDefault="00687B7E" w:rsidP="0018521D">
      <w:pPr>
        <w:ind w:left="426"/>
        <w:jc w:val="both"/>
        <w:rPr>
          <w:noProof/>
        </w:rPr>
      </w:pPr>
      <w:r w:rsidRPr="00687B7E">
        <w:rPr>
          <w:noProof/>
        </w:rPr>
        <w:t>This study uses regression and descriptive analysis to estimate the relationship between disaster frequency and household well-being. In general, the approach aims to identify the effect of disaster frequency on subjective well-being indicators, controlling for relevant household characteristics. The model specification is designed to capture variations in well-being across households with varying levels of disaster exposure.</w:t>
      </w:r>
    </w:p>
    <w:p w14:paraId="6DE729B1" w14:textId="1474649E" w:rsidR="0018521D" w:rsidRDefault="00687B7E" w:rsidP="0018521D">
      <w:pPr>
        <w:ind w:left="426"/>
        <w:jc w:val="both"/>
        <w:rPr>
          <w:noProof/>
        </w:rPr>
      </w:pPr>
      <w:r w:rsidRPr="00687B7E">
        <w:rPr>
          <w:noProof/>
        </w:rPr>
        <w:t>Disaster frequency is included as an independent variable. The coefficient of this variable is interpreted as the average change in well-being associated with an increase in the frequency of disaster events. To minimize potential bias, the model also controls for various household characteristics that may influence well-being, such as socioeconomic conditions and demographic characteristics. Thus, the estimated relationship reflects the impact of disasters on well-being after accounting for differences in baseline characteristics across households.</w:t>
      </w:r>
    </w:p>
    <w:p w14:paraId="4336E891" w14:textId="662B2A96" w:rsidR="0018521D" w:rsidRDefault="00687B7E" w:rsidP="0018521D">
      <w:pPr>
        <w:ind w:left="426"/>
        <w:jc w:val="both"/>
        <w:rPr>
          <w:noProof/>
        </w:rPr>
      </w:pPr>
      <w:r w:rsidRPr="00687B7E">
        <w:rPr>
          <w:noProof/>
        </w:rPr>
        <w:t>The analysis focused on the significance and direction of the relationship between disaster frequency and household well-being. This approach allows conclusions to be drawn about whether more frequent disaster exposure is associated with decreased life satisfaction and weakened expectations of future well-being. All empirical results were then interpreted within a societal well-being framework.</w:t>
      </w:r>
    </w:p>
    <w:p w14:paraId="4EA91ACB" w14:textId="34323E57" w:rsidR="00235CA5" w:rsidRPr="00235CA5" w:rsidRDefault="00687B7E" w:rsidP="00727E96">
      <w:pPr>
        <w:pStyle w:val="ListParagraph"/>
        <w:numPr>
          <w:ilvl w:val="0"/>
          <w:numId w:val="1"/>
        </w:numPr>
        <w:ind w:left="426"/>
        <w:jc w:val="both"/>
        <w:rPr>
          <w:b/>
          <w:bCs/>
          <w:noProof/>
        </w:rPr>
      </w:pPr>
      <w:r>
        <w:rPr>
          <w:b/>
          <w:bCs/>
          <w:noProof/>
        </w:rPr>
        <w:t>Result</w:t>
      </w:r>
      <w:r w:rsidR="00235CA5">
        <w:rPr>
          <w:b/>
          <w:bCs/>
          <w:noProof/>
        </w:rPr>
        <w:t xml:space="preserve"> </w:t>
      </w:r>
      <w:r>
        <w:rPr>
          <w:b/>
          <w:bCs/>
          <w:noProof/>
        </w:rPr>
        <w:t>and</w:t>
      </w:r>
      <w:r w:rsidR="00235CA5">
        <w:rPr>
          <w:b/>
          <w:bCs/>
          <w:noProof/>
        </w:rPr>
        <w:t xml:space="preserve"> </w:t>
      </w:r>
      <w:r>
        <w:rPr>
          <w:b/>
          <w:bCs/>
          <w:noProof/>
        </w:rPr>
        <w:t>Disscusion</w:t>
      </w:r>
    </w:p>
    <w:p w14:paraId="12BA7EA8" w14:textId="4ADADC5D" w:rsidR="00727E96" w:rsidRDefault="00687B7E" w:rsidP="00727E96">
      <w:pPr>
        <w:ind w:left="426"/>
        <w:jc w:val="both"/>
        <w:rPr>
          <w:noProof/>
        </w:rPr>
      </w:pPr>
      <w:r w:rsidRPr="00687B7E">
        <w:rPr>
          <w:noProof/>
        </w:rPr>
        <w:lastRenderedPageBreak/>
        <w:t>In general, empirical results indicate a consistent and significant relationship between disaster frequency and decreased household well-being. Households experiencing more frequent disasters tend to report lower levels of life satisfaction compared to households with less or no disaster exposure. This finding indicates that disasters act as shocks that directly affect perceived quality of life, beyond their tangible economic impacts.</w:t>
      </w:r>
    </w:p>
    <w:p w14:paraId="7B25AB73" w14:textId="6229E0BE" w:rsidR="00727E96" w:rsidRDefault="00687B7E" w:rsidP="00727E96">
      <w:pPr>
        <w:ind w:left="426"/>
        <w:jc w:val="both"/>
        <w:rPr>
          <w:noProof/>
        </w:rPr>
      </w:pPr>
      <w:r w:rsidRPr="00687B7E">
        <w:rPr>
          <w:noProof/>
        </w:rPr>
        <w:t>In addition to affecting life satisfaction, disaster frequency also negatively impacts household expectations regarding their future living conditions. Households experiencing repeated disasters exhibit lower levels of optimism regarding their living conditions in the next five years. This confirms the intertemporal nature of disaster impacts, where ongoing risk exposure not only reduces current well-being but also erodes hope and a sense of security for the future.</w:t>
      </w:r>
    </w:p>
    <w:p w14:paraId="0540F244" w14:textId="394389B1" w:rsidR="00727E96" w:rsidRDefault="00687B7E" w:rsidP="00727E96">
      <w:pPr>
        <w:ind w:left="426"/>
        <w:jc w:val="both"/>
        <w:rPr>
          <w:noProof/>
        </w:rPr>
      </w:pPr>
      <w:r w:rsidRPr="00687B7E">
        <w:rPr>
          <w:noProof/>
        </w:rPr>
        <w:t>These findings reinforce the argument that disasters cannot be viewed solely as temporary events with short-term effects. Instead, recurring disasters create ongoing stress that has the potential to undermine the resilience of household well-being</w:t>
      </w:r>
      <w:r w:rsidR="00CD3858">
        <w:rPr>
          <w:noProof/>
        </w:rPr>
        <w:t xml:space="preserve"> </w:t>
      </w:r>
      <w:r w:rsidR="00CD3858" w:rsidRPr="00CD3858">
        <w:rPr>
          <w:noProof/>
          <w:color w:val="0070C0"/>
        </w:rPr>
        <w:fldChar w:fldCharType="begin" w:fldLock="1"/>
      </w:r>
      <w:r w:rsidR="00CD3858">
        <w:rPr>
          <w:noProof/>
          <w:color w:val="0070C0"/>
        </w:rPr>
        <w:instrText>ADDIN CSL_CITATION {"citationItems":[{"id":"ITEM-1","itemData":{"ISSN":"0016-9013","author":[{"dropping-particle":"","family":"Strough","given":"JoNell","non-dropping-particle":"","parse-names":false,"suffix":""},{"dropping-particle":"","family":"Parker","given":"Andrew M","non-dropping-particle":"","parse-names":false,"suffix":""},{"dropping-particle":"","family":"Ayer","given":"Lynsay","non-dropping-particle":"","parse-names":false,"suffix":""},{"dropping-particle":"","family":"Parks","given":"Vanessa","non-dropping-particle":"","parse-names":false,"suffix":""},{"dropping-particle":"","family":"Finucane","given":"Melissa L","non-dropping-particle":"","parse-names":false,"suffix":""}],"container-title":"The Gerontologist","id":"ITEM-1","issue":"3","issued":{"date-parts":[["2024"]]},"page":"gnad099","publisher":"Oxford University Press US","title":"Aging and emotional well-being after disasters: Vulnerability and resilience","type":"article-journal","volume":"64"},"uris":["http://www.mendeley.com/documents/?uuid=70123122-6e11-4b0e-96b8-21521f880b1e"]},{"id":"ITEM-2","itemData":{"ISSN":"0959-3780","author":[{"dropping-particle":"","family":"Frijters","given":"Paul","non-dropping-particle":"","parse-names":false,"suffix":""},{"dropping-particle":"","family":"Johnston","given":"David W","non-dropping-particle":"","parse-names":false,"suffix":""},{"dropping-particle":"","family":"Knott","given":"Rachel J","non-dropping-particle":"","parse-names":false,"suffix":""},{"dropping-particle":"","family":"Torgler","given":"Benno","non-dropping-particle":"","parse-names":false,"suffix":""}],"container-title":"Global environmental change","id":"ITEM-2","issued":{"date-parts":[["2023"]]},"page":"102639","publisher":"Elsevier","title":"Resilience to disaster: Evidence from American wellbeing data","type":"article-journal","volume":"79"},"uris":["http://www.mendeley.com/documents/?uuid=b7ecb438-ef0f-4ea1-9c8d-c1325ca2ed79"]}],"mendeley":{"formattedCitation":"(Frijters et al., 2023; Strough et al., 2024)","plainTextFormattedCitation":"(Frijters et al., 2023; Strough et al., 2024)","previouslyFormattedCitation":"(Frijters et al., 2023; Strough et al., 2024)"},"properties":{"noteIndex":0},"schema":"https://github.com/citation-style-language/schema/raw/master/csl-citation.json"}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(Frijters et al., 2023; Strough et al., 2024)</w:t>
      </w:r>
      <w:r w:rsidR="00CD3858" w:rsidRPr="00CD3858">
        <w:rPr>
          <w:noProof/>
          <w:color w:val="0070C0"/>
        </w:rPr>
        <w:fldChar w:fldCharType="end"/>
      </w:r>
      <w:r w:rsidR="00727E96">
        <w:rPr>
          <w:noProof/>
        </w:rPr>
        <w:t xml:space="preserve">. </w:t>
      </w:r>
      <w:r w:rsidRPr="00687B7E">
        <w:rPr>
          <w:noProof/>
        </w:rPr>
        <w:t>Persistent uncertainty, the risk of asset loss, and disruption to the stability of daily life can create persistent negative perceptions, reflected in low life satisfaction and weakened expectations for the future.</w:t>
      </w:r>
    </w:p>
    <w:p w14:paraId="76666917" w14:textId="446F3FEA" w:rsidR="00727E96" w:rsidRDefault="00687B7E" w:rsidP="00727E96">
      <w:pPr>
        <w:ind w:left="426"/>
        <w:jc w:val="both"/>
        <w:rPr>
          <w:noProof/>
        </w:rPr>
      </w:pPr>
      <w:r w:rsidRPr="00687B7E">
        <w:rPr>
          <w:noProof/>
        </w:rPr>
        <w:t>From a societal well-being perspective, these results indicate that disaster impacts extend beyond the material dimension to encompass psychological and perceptual aspects. Decreases in subjective well-being and future expectations have the potential to influence household decisions in the medium to long term, including investment decisions in education, health, and livelihood strategies. Thus, disasters can exacerbate structural vulnerabilities and hinder the process of sustainable well-being recovery.</w:t>
      </w:r>
    </w:p>
    <w:p w14:paraId="4AD80A45" w14:textId="3B99351E" w:rsidR="00727E96" w:rsidRDefault="00B076F7" w:rsidP="00B076F7">
      <w:pPr>
        <w:ind w:left="426"/>
        <w:jc w:val="center"/>
        <w:rPr>
          <w:noProof/>
        </w:rPr>
      </w:pPr>
      <w:r w:rsidRPr="00B076F7">
        <w:rPr>
          <w:b/>
          <w:bCs/>
          <w:noProof/>
        </w:rPr>
        <w:t>Tabl</w:t>
      </w:r>
      <w:r w:rsidR="00687B7E">
        <w:rPr>
          <w:b/>
          <w:bCs/>
          <w:noProof/>
        </w:rPr>
        <w:t>e</w:t>
      </w:r>
      <w:r w:rsidRPr="00B076F7">
        <w:rPr>
          <w:b/>
          <w:bCs/>
          <w:noProof/>
        </w:rPr>
        <w:t xml:space="preserve"> 1.</w:t>
      </w:r>
      <w:r>
        <w:rPr>
          <w:noProof/>
        </w:rPr>
        <w:t xml:space="preserve"> </w:t>
      </w:r>
      <w:r w:rsidR="00687B7E" w:rsidRPr="00687B7E">
        <w:rPr>
          <w:noProof/>
        </w:rPr>
        <w:t>The Influence of Disaster Intensity on the Level of Community Welfare</w:t>
      </w:r>
    </w:p>
    <w:tbl>
      <w:tblPr>
        <w:tblStyle w:val="TableGrid"/>
        <w:tblW w:w="0" w:type="auto"/>
        <w:tblInd w:w="426" w:type="dxa"/>
        <w:tblLook w:val="04A0" w:firstRow="1" w:lastRow="0" w:firstColumn="1" w:lastColumn="0" w:noHBand="0" w:noVBand="1"/>
      </w:tblPr>
      <w:tblGrid>
        <w:gridCol w:w="1270"/>
        <w:gridCol w:w="1263"/>
        <w:gridCol w:w="1262"/>
        <w:gridCol w:w="1192"/>
        <w:gridCol w:w="1233"/>
        <w:gridCol w:w="1185"/>
        <w:gridCol w:w="1185"/>
      </w:tblGrid>
      <w:tr w:rsidR="00727E96" w14:paraId="37CBC373" w14:textId="77777777" w:rsidTr="00727E96">
        <w:tc>
          <w:tcPr>
            <w:tcW w:w="1270" w:type="dxa"/>
            <w:vAlign w:val="center"/>
          </w:tcPr>
          <w:p w14:paraId="7FD51820" w14:textId="7393349E" w:rsidR="00727E96" w:rsidRPr="00727E96" w:rsidRDefault="00727E96" w:rsidP="00727E96">
            <w:pPr>
              <w:jc w:val="center"/>
              <w:rPr>
                <w:b/>
                <w:bCs/>
                <w:noProof/>
              </w:rPr>
            </w:pPr>
            <w:r w:rsidRPr="00727E96">
              <w:rPr>
                <w:b/>
                <w:bCs/>
                <w:noProof/>
              </w:rPr>
              <w:t>Variabl</w:t>
            </w:r>
            <w:r w:rsidR="00687B7E">
              <w:rPr>
                <w:b/>
                <w:bCs/>
                <w:noProof/>
              </w:rPr>
              <w:t>e</w:t>
            </w:r>
          </w:p>
        </w:tc>
        <w:tc>
          <w:tcPr>
            <w:tcW w:w="1263" w:type="dxa"/>
            <w:vAlign w:val="center"/>
          </w:tcPr>
          <w:p w14:paraId="2D0B7B70" w14:textId="0FCBA3FB" w:rsidR="00727E96" w:rsidRPr="00727E96" w:rsidRDefault="00687B7E" w:rsidP="00727E96">
            <w:pPr>
              <w:jc w:val="center"/>
              <w:rPr>
                <w:b/>
                <w:bCs/>
                <w:noProof/>
              </w:rPr>
            </w:pPr>
            <w:r>
              <w:rPr>
                <w:b/>
                <w:bCs/>
                <w:noProof/>
              </w:rPr>
              <w:t>C</w:t>
            </w:r>
            <w:r w:rsidR="00727E96" w:rsidRPr="00727E96">
              <w:rPr>
                <w:b/>
                <w:bCs/>
                <w:noProof/>
              </w:rPr>
              <w:t>oefisien</w:t>
            </w:r>
            <w:r>
              <w:rPr>
                <w:b/>
                <w:bCs/>
                <w:noProof/>
              </w:rPr>
              <w:t>t</w:t>
            </w:r>
          </w:p>
        </w:tc>
        <w:tc>
          <w:tcPr>
            <w:tcW w:w="1262" w:type="dxa"/>
            <w:vAlign w:val="center"/>
          </w:tcPr>
          <w:p w14:paraId="2C8B3C40" w14:textId="51DCB00B" w:rsidR="00727E96" w:rsidRPr="00727E96" w:rsidRDefault="00727E96" w:rsidP="00727E96">
            <w:pPr>
              <w:jc w:val="center"/>
              <w:rPr>
                <w:b/>
                <w:bCs/>
                <w:noProof/>
              </w:rPr>
            </w:pPr>
            <w:r w:rsidRPr="00727E96">
              <w:rPr>
                <w:b/>
                <w:bCs/>
                <w:noProof/>
              </w:rPr>
              <w:t>Robust Standard Error</w:t>
            </w:r>
          </w:p>
        </w:tc>
        <w:tc>
          <w:tcPr>
            <w:tcW w:w="1192" w:type="dxa"/>
            <w:vAlign w:val="center"/>
          </w:tcPr>
          <w:p w14:paraId="74931E71" w14:textId="1A5A7143" w:rsidR="00727E96" w:rsidRPr="00727E96" w:rsidRDefault="00727E96" w:rsidP="00727E96">
            <w:pPr>
              <w:jc w:val="center"/>
              <w:rPr>
                <w:b/>
                <w:bCs/>
                <w:noProof/>
              </w:rPr>
            </w:pPr>
            <w:r w:rsidRPr="00727E96">
              <w:rPr>
                <w:b/>
                <w:bCs/>
                <w:noProof/>
              </w:rPr>
              <w:t>t</w:t>
            </w:r>
          </w:p>
        </w:tc>
        <w:tc>
          <w:tcPr>
            <w:tcW w:w="1233" w:type="dxa"/>
            <w:vAlign w:val="center"/>
          </w:tcPr>
          <w:p w14:paraId="4B03C1EC" w14:textId="66419D7E" w:rsidR="00727E96" w:rsidRPr="00727E96" w:rsidRDefault="00727E96" w:rsidP="00727E96">
            <w:pPr>
              <w:jc w:val="center"/>
              <w:rPr>
                <w:b/>
                <w:bCs/>
                <w:noProof/>
              </w:rPr>
            </w:pPr>
            <w:r w:rsidRPr="00727E96">
              <w:rPr>
                <w:b/>
                <w:bCs/>
                <w:noProof/>
              </w:rPr>
              <w:t>p&gt;|t|</w:t>
            </w:r>
          </w:p>
        </w:tc>
        <w:tc>
          <w:tcPr>
            <w:tcW w:w="2370" w:type="dxa"/>
            <w:gridSpan w:val="2"/>
            <w:vAlign w:val="center"/>
          </w:tcPr>
          <w:p w14:paraId="4DD321FD" w14:textId="08CD310E" w:rsidR="00727E96" w:rsidRPr="00727E96" w:rsidRDefault="00727E96" w:rsidP="00727E96">
            <w:pPr>
              <w:jc w:val="center"/>
              <w:rPr>
                <w:b/>
                <w:bCs/>
                <w:noProof/>
              </w:rPr>
            </w:pPr>
            <w:r w:rsidRPr="00727E96">
              <w:rPr>
                <w:b/>
                <w:bCs/>
                <w:noProof/>
              </w:rPr>
              <w:t>[95% Conf. Interval]</w:t>
            </w:r>
          </w:p>
        </w:tc>
      </w:tr>
      <w:tr w:rsidR="00727E96" w14:paraId="22ED9E1A" w14:textId="77777777" w:rsidTr="00727E96">
        <w:tc>
          <w:tcPr>
            <w:tcW w:w="1270" w:type="dxa"/>
          </w:tcPr>
          <w:p w14:paraId="1F15D2C5" w14:textId="0B0CDFC6" w:rsidR="00727E96" w:rsidRDefault="002A6679" w:rsidP="00235CA5">
            <w:pPr>
              <w:rPr>
                <w:noProof/>
              </w:rPr>
            </w:pPr>
            <w:r w:rsidRPr="002A6679">
              <w:rPr>
                <w:noProof/>
              </w:rPr>
              <w:t>Disaster Intensity</w:t>
            </w:r>
          </w:p>
        </w:tc>
        <w:tc>
          <w:tcPr>
            <w:tcW w:w="1263" w:type="dxa"/>
          </w:tcPr>
          <w:p w14:paraId="234387B1" w14:textId="2D0F7EB9" w:rsidR="00727E96" w:rsidRDefault="00B076F7" w:rsidP="00B076F7">
            <w:pPr>
              <w:jc w:val="right"/>
              <w:rPr>
                <w:noProof/>
              </w:rPr>
            </w:pPr>
            <w:r>
              <w:rPr>
                <w:noProof/>
              </w:rPr>
              <w:t>0.0074664</w:t>
            </w:r>
          </w:p>
        </w:tc>
        <w:tc>
          <w:tcPr>
            <w:tcW w:w="1262" w:type="dxa"/>
          </w:tcPr>
          <w:p w14:paraId="70B946A6" w14:textId="665DBE96" w:rsidR="00727E96" w:rsidRDefault="00B076F7" w:rsidP="00B076F7">
            <w:pPr>
              <w:jc w:val="right"/>
              <w:rPr>
                <w:noProof/>
              </w:rPr>
            </w:pPr>
            <w:r>
              <w:rPr>
                <w:noProof/>
              </w:rPr>
              <w:t>0.0017332</w:t>
            </w:r>
          </w:p>
        </w:tc>
        <w:tc>
          <w:tcPr>
            <w:tcW w:w="1192" w:type="dxa"/>
          </w:tcPr>
          <w:p w14:paraId="0ED834BC" w14:textId="6FF2E3B3" w:rsidR="00727E96" w:rsidRDefault="00B076F7" w:rsidP="00B076F7">
            <w:pPr>
              <w:jc w:val="right"/>
              <w:rPr>
                <w:noProof/>
              </w:rPr>
            </w:pPr>
            <w:r>
              <w:rPr>
                <w:noProof/>
              </w:rPr>
              <w:t>4.31</w:t>
            </w:r>
          </w:p>
        </w:tc>
        <w:tc>
          <w:tcPr>
            <w:tcW w:w="1233" w:type="dxa"/>
          </w:tcPr>
          <w:p w14:paraId="176BCF77" w14:textId="35EC7306" w:rsidR="00727E96" w:rsidRDefault="00B076F7" w:rsidP="00B076F7">
            <w:pPr>
              <w:jc w:val="right"/>
              <w:rPr>
                <w:noProof/>
              </w:rPr>
            </w:pPr>
            <w:r>
              <w:rPr>
                <w:noProof/>
              </w:rPr>
              <w:t>0.000</w:t>
            </w:r>
          </w:p>
        </w:tc>
        <w:tc>
          <w:tcPr>
            <w:tcW w:w="1185" w:type="dxa"/>
          </w:tcPr>
          <w:p w14:paraId="1E02C06E" w14:textId="27BB543B" w:rsidR="00727E96" w:rsidRDefault="00B076F7" w:rsidP="00B076F7">
            <w:pPr>
              <w:jc w:val="right"/>
              <w:rPr>
                <w:noProof/>
              </w:rPr>
            </w:pPr>
            <w:r>
              <w:rPr>
                <w:noProof/>
              </w:rPr>
              <w:t>0.0040688</w:t>
            </w:r>
          </w:p>
        </w:tc>
        <w:tc>
          <w:tcPr>
            <w:tcW w:w="1185" w:type="dxa"/>
          </w:tcPr>
          <w:p w14:paraId="6A9CF847" w14:textId="6DC3EF20" w:rsidR="00727E96" w:rsidRDefault="00B076F7" w:rsidP="00B076F7">
            <w:pPr>
              <w:jc w:val="right"/>
              <w:rPr>
                <w:noProof/>
              </w:rPr>
            </w:pPr>
            <w:r>
              <w:rPr>
                <w:noProof/>
              </w:rPr>
              <w:t>0.010864</w:t>
            </w:r>
          </w:p>
        </w:tc>
      </w:tr>
      <w:tr w:rsidR="00727E96" w14:paraId="7E7DDAC3" w14:textId="77777777" w:rsidTr="00727E96">
        <w:tc>
          <w:tcPr>
            <w:tcW w:w="1270" w:type="dxa"/>
          </w:tcPr>
          <w:p w14:paraId="10D70AEA" w14:textId="5432FAB2" w:rsidR="00727E96" w:rsidRDefault="002A6679" w:rsidP="00235CA5">
            <w:pPr>
              <w:rPr>
                <w:noProof/>
              </w:rPr>
            </w:pPr>
            <w:r>
              <w:rPr>
                <w:noProof/>
              </w:rPr>
              <w:t>Constanta</w:t>
            </w:r>
          </w:p>
        </w:tc>
        <w:tc>
          <w:tcPr>
            <w:tcW w:w="1263" w:type="dxa"/>
          </w:tcPr>
          <w:p w14:paraId="24CA60B7" w14:textId="281B453A" w:rsidR="00727E96" w:rsidRDefault="00B076F7" w:rsidP="00B076F7">
            <w:pPr>
              <w:jc w:val="right"/>
              <w:rPr>
                <w:noProof/>
              </w:rPr>
            </w:pPr>
            <w:r>
              <w:rPr>
                <w:noProof/>
              </w:rPr>
              <w:t>2.738035</w:t>
            </w:r>
          </w:p>
        </w:tc>
        <w:tc>
          <w:tcPr>
            <w:tcW w:w="1262" w:type="dxa"/>
          </w:tcPr>
          <w:p w14:paraId="02ED1EAE" w14:textId="48D1D8EE" w:rsidR="00727E96" w:rsidRDefault="00B076F7" w:rsidP="00B076F7">
            <w:pPr>
              <w:jc w:val="right"/>
              <w:rPr>
                <w:noProof/>
              </w:rPr>
            </w:pPr>
            <w:r>
              <w:rPr>
                <w:noProof/>
              </w:rPr>
              <w:t>0.0107939</w:t>
            </w:r>
          </w:p>
        </w:tc>
        <w:tc>
          <w:tcPr>
            <w:tcW w:w="1192" w:type="dxa"/>
          </w:tcPr>
          <w:p w14:paraId="5DBEB6A7" w14:textId="39D4EFDC" w:rsidR="00727E96" w:rsidRDefault="00B076F7" w:rsidP="00B076F7">
            <w:pPr>
              <w:jc w:val="right"/>
              <w:rPr>
                <w:noProof/>
              </w:rPr>
            </w:pPr>
            <w:r>
              <w:rPr>
                <w:noProof/>
              </w:rPr>
              <w:t>253.66</w:t>
            </w:r>
          </w:p>
        </w:tc>
        <w:tc>
          <w:tcPr>
            <w:tcW w:w="1233" w:type="dxa"/>
          </w:tcPr>
          <w:p w14:paraId="7871FC69" w14:textId="3482F27B" w:rsidR="00727E96" w:rsidRDefault="00B076F7" w:rsidP="00B076F7">
            <w:pPr>
              <w:jc w:val="right"/>
              <w:rPr>
                <w:noProof/>
              </w:rPr>
            </w:pPr>
            <w:r>
              <w:rPr>
                <w:noProof/>
              </w:rPr>
              <w:t>0.000</w:t>
            </w:r>
          </w:p>
        </w:tc>
        <w:tc>
          <w:tcPr>
            <w:tcW w:w="1185" w:type="dxa"/>
          </w:tcPr>
          <w:p w14:paraId="47ED2D86" w14:textId="4CF38E5A" w:rsidR="00727E96" w:rsidRDefault="00B076F7" w:rsidP="00B076F7">
            <w:pPr>
              <w:jc w:val="right"/>
              <w:rPr>
                <w:noProof/>
              </w:rPr>
            </w:pPr>
            <w:r>
              <w:rPr>
                <w:noProof/>
              </w:rPr>
              <w:t>2.7168760</w:t>
            </w:r>
          </w:p>
        </w:tc>
        <w:tc>
          <w:tcPr>
            <w:tcW w:w="1185" w:type="dxa"/>
          </w:tcPr>
          <w:p w14:paraId="70F83E60" w14:textId="65857C04" w:rsidR="00727E96" w:rsidRDefault="00B076F7" w:rsidP="00B076F7">
            <w:pPr>
              <w:jc w:val="right"/>
              <w:rPr>
                <w:noProof/>
              </w:rPr>
            </w:pPr>
            <w:r>
              <w:rPr>
                <w:noProof/>
              </w:rPr>
              <w:t>2.759195</w:t>
            </w:r>
          </w:p>
        </w:tc>
      </w:tr>
    </w:tbl>
    <w:p w14:paraId="2DF30241" w14:textId="63195F84" w:rsidR="00727E96" w:rsidRPr="00BB3659" w:rsidRDefault="002A6679" w:rsidP="00BB3659">
      <w:pPr>
        <w:spacing w:after="0" w:line="240" w:lineRule="auto"/>
        <w:ind w:left="426"/>
        <w:rPr>
          <w:noProof/>
          <w:sz w:val="18"/>
          <w:szCs w:val="18"/>
        </w:rPr>
      </w:pPr>
      <w:r>
        <w:rPr>
          <w:noProof/>
          <w:sz w:val="18"/>
          <w:szCs w:val="18"/>
        </w:rPr>
        <w:t>Note</w:t>
      </w:r>
      <w:r w:rsidR="00BB3659" w:rsidRPr="00BB3659">
        <w:rPr>
          <w:noProof/>
          <w:sz w:val="18"/>
          <w:szCs w:val="18"/>
        </w:rPr>
        <w:t xml:space="preserve"> - </w:t>
      </w:r>
      <w:r w:rsidRPr="002A6679">
        <w:rPr>
          <w:noProof/>
          <w:sz w:val="18"/>
          <w:szCs w:val="18"/>
        </w:rPr>
        <w:t>Dependent Variable: Level of Community Welfare</w:t>
      </w:r>
    </w:p>
    <w:p w14:paraId="189E6F62" w14:textId="51997933" w:rsidR="00BB3659" w:rsidRPr="00BB3659" w:rsidRDefault="00BB3659" w:rsidP="00BB3659">
      <w:pPr>
        <w:spacing w:after="0" w:line="240" w:lineRule="auto"/>
        <w:ind w:left="720"/>
        <w:rPr>
          <w:noProof/>
          <w:sz w:val="18"/>
          <w:szCs w:val="18"/>
        </w:rPr>
      </w:pPr>
      <w:r>
        <w:rPr>
          <w:noProof/>
          <w:sz w:val="18"/>
          <w:szCs w:val="18"/>
        </w:rPr>
        <w:t xml:space="preserve">   </w:t>
      </w:r>
      <w:r w:rsidRPr="00BB3659">
        <w:rPr>
          <w:noProof/>
          <w:sz w:val="18"/>
          <w:szCs w:val="18"/>
        </w:rPr>
        <w:t xml:space="preserve">- </w:t>
      </w:r>
      <w:r w:rsidR="002A6679" w:rsidRPr="002A6679">
        <w:rPr>
          <w:noProof/>
          <w:sz w:val="18"/>
          <w:szCs w:val="18"/>
        </w:rPr>
        <w:t>Independent Variable: Disaster Intensity</w:t>
      </w:r>
    </w:p>
    <w:p w14:paraId="00093D29" w14:textId="58522650" w:rsidR="0041180D" w:rsidRDefault="002A6679" w:rsidP="002A6679">
      <w:pPr>
        <w:spacing w:before="240"/>
        <w:ind w:left="425"/>
        <w:jc w:val="both"/>
        <w:rPr>
          <w:noProof/>
        </w:rPr>
      </w:pPr>
      <w:r w:rsidRPr="002A6679">
        <w:rPr>
          <w:noProof/>
        </w:rPr>
        <w:t>The results in Table 1 show that disaster intensity significantly impacts community well-being. This relationship reflects the reality of Indonesia as a country with a high level of disaster vulnerability, where floods, earthquakes, landslides, and droughts occur repeatedly in various regions. Continuous exposure to disasters not only causes material losses but also creates prolonged uncertainty in household life. In such situations, community well-being is difficult to fully recover because the sense of security, livelihood stability, and life satisfaction are continuously eroded by the risk of recurring disasters. This phenomenon indicates that the impacts of disasters are cumulative and can structurally weaken community well-being, especially for households located in vulnerable areas and with limited adaptive capacity.</w:t>
      </w:r>
    </w:p>
    <w:p w14:paraId="7E59BD32" w14:textId="40CA6CA3" w:rsidR="00B076F7" w:rsidRDefault="002A6679" w:rsidP="0041180D">
      <w:pPr>
        <w:ind w:left="426"/>
        <w:jc w:val="both"/>
        <w:rPr>
          <w:noProof/>
        </w:rPr>
      </w:pPr>
      <w:r w:rsidRPr="002A6679">
        <w:rPr>
          <w:noProof/>
        </w:rPr>
        <w:t xml:space="preserve">This finding also indicates that the recovery of community welfare after a disaster is not solely determined by physical improvements or short-term economic recovery </w:t>
      </w:r>
      <w:r w:rsidR="00CD3858" w:rsidRPr="00CD3858">
        <w:rPr>
          <w:noProof/>
          <w:color w:val="0070C0"/>
        </w:rPr>
        <w:fldChar w:fldCharType="begin" w:fldLock="1"/>
      </w:r>
      <w:r w:rsidR="00CD3858">
        <w:rPr>
          <w:noProof/>
          <w:color w:val="0070C0"/>
        </w:rPr>
        <w:instrText>ADDIN CSL_CITATION {"citationItems":[{"id":"ITEM-1","itemData":{"ISSN":"0198-9715","author":[{"dropping-particle":"","family":"Park","given":"Sangung","non-dropping-particle":"","parse-names":false,"suffix":""},{"dropping-particle":"","family":"Yabe","given":"Takahiro","non-dropping-particle":"","parse-names":false,"suffix":""},{"dropping-particle":"V","family":"Ukkusuri","given":"Satish","non-dropping-particle":"","parse-names":false,"suffix":""}],"container-title":"Computers, Environment and Urban Systems","id":"ITEM-1","issued":{"date-parts":[["2024"]]},"page":"102184","publisher":"Elsevier","title":"Post-disaster recovery policy assessment of urban socio-physical systems","type":"article-journal","volume":"114"},"uris":["http://www.mendeley.com/documents/?uuid=ba6f441a-4693-41a3-b1d0-168520d7e247"]},{"id":"ITEM-2","itemData":{"author":[{"dropping-particle":"","family":"Galderisi","given":"Adriana","non-dropping-particle":"","parse-names":false,"suffix":""},{"dropping-particle":"","family":"Menoni","given":"Scira","non-dropping-particle":"","parse-names":false,"suffix":""},{"dropping-particle":"","family":"Setti","given":"Giulia","non-dropping-particle":"","parse-names":false,"suffix":""},{"dropping-particle":"","family":"Tognon","given":"Alisia","non-dropping-particle":"","parse-names":false,"suffix":""}],"container-title":"Disaster risk reduction for resilience: Disaster and social aspects","id":"ITEM-2","issued":{"date-parts":[["2022"]]},"page":"25-54","publisher":"Springer","title":"Disaster recovery reform and resilience","type":"chapter"},"uris":["http://www.mendeley.com/documents/?uuid=d7da9004-ffe9-4cbd-a320-f66339b7e2b7"]}],"mendeley":{"formattedCitation":"(Galderisi et al., 2022; Park et al., 2024)","plainTextFormattedCitation":"(Galderisi et al., 2022; Park et al., 2024)","previouslyFormattedCitation":"(Galderisi et al., 2022; Park et al., 2024)"},"properties":{"noteIndex":0},"schema":"https://github.com/citation-style-language/schema/raw/master/csl-citation.json"}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(Galderisi et al., 2022; Park et al., 2024)</w:t>
      </w:r>
      <w:r w:rsidR="00CD3858" w:rsidRPr="00CD3858">
        <w:rPr>
          <w:noProof/>
          <w:color w:val="0070C0"/>
        </w:rPr>
        <w:fldChar w:fldCharType="end"/>
      </w:r>
      <w:r w:rsidR="0041180D">
        <w:rPr>
          <w:noProof/>
        </w:rPr>
        <w:t xml:space="preserve">. </w:t>
      </w:r>
      <w:r w:rsidRPr="002A6679">
        <w:rPr>
          <w:noProof/>
        </w:rPr>
        <w:t xml:space="preserve">Household well-being appears to be strongly influenced by the ability of social and institutional systems to reduce uncertainty and rebuild a sense of security in daily life. In the </w:t>
      </w:r>
      <w:r w:rsidRPr="002A6679">
        <w:rPr>
          <w:noProof/>
        </w:rPr>
        <w:lastRenderedPageBreak/>
        <w:t>Indonesian context, this underscores the importance of a development approach that implicitly integrates disaster risk reduction with efforts to improve community well-being. Infrastructure resilience, livelihood stability, and the sustainability of social support are key factors that indirectly determine the extent to which communities can maintain and restore their well-being amidst recurring disaster risks.</w:t>
      </w:r>
    </w:p>
    <w:p w14:paraId="5774B11C" w14:textId="156DC0CF" w:rsidR="00B076F7" w:rsidRDefault="00B076F7" w:rsidP="00B076F7">
      <w:pPr>
        <w:ind w:left="426"/>
        <w:jc w:val="center"/>
        <w:rPr>
          <w:noProof/>
        </w:rPr>
      </w:pPr>
      <w:r w:rsidRPr="00B076F7">
        <w:rPr>
          <w:b/>
          <w:bCs/>
          <w:noProof/>
        </w:rPr>
        <w:t>Tabl</w:t>
      </w:r>
      <w:r w:rsidR="002A6679">
        <w:rPr>
          <w:b/>
          <w:bCs/>
          <w:noProof/>
        </w:rPr>
        <w:t>e</w:t>
      </w:r>
      <w:r w:rsidRPr="00B076F7">
        <w:rPr>
          <w:b/>
          <w:bCs/>
          <w:noProof/>
        </w:rPr>
        <w:t xml:space="preserve"> </w:t>
      </w:r>
      <w:r>
        <w:rPr>
          <w:b/>
          <w:bCs/>
          <w:noProof/>
        </w:rPr>
        <w:t>2</w:t>
      </w:r>
      <w:r w:rsidRPr="00B076F7">
        <w:rPr>
          <w:b/>
          <w:bCs/>
          <w:noProof/>
        </w:rPr>
        <w:t>.</w:t>
      </w:r>
      <w:r>
        <w:rPr>
          <w:noProof/>
        </w:rPr>
        <w:t xml:space="preserve"> </w:t>
      </w:r>
      <w:r w:rsidR="002A6679" w:rsidRPr="002A6679">
        <w:rPr>
          <w:noProof/>
        </w:rPr>
        <w:t>The Influence of Disaster Intensity on People's Life Expectancies in the Next 5 Years</w:t>
      </w:r>
    </w:p>
    <w:tbl>
      <w:tblPr>
        <w:tblStyle w:val="TableGrid"/>
        <w:tblW w:w="0" w:type="auto"/>
        <w:tblInd w:w="426" w:type="dxa"/>
        <w:tblLook w:val="04A0" w:firstRow="1" w:lastRow="0" w:firstColumn="1" w:lastColumn="0" w:noHBand="0" w:noVBand="1"/>
      </w:tblPr>
      <w:tblGrid>
        <w:gridCol w:w="1270"/>
        <w:gridCol w:w="1263"/>
        <w:gridCol w:w="1262"/>
        <w:gridCol w:w="1192"/>
        <w:gridCol w:w="1233"/>
        <w:gridCol w:w="1185"/>
        <w:gridCol w:w="1185"/>
      </w:tblGrid>
      <w:tr w:rsidR="002A6679" w14:paraId="6BEBDDF4" w14:textId="77777777" w:rsidTr="004C1743">
        <w:tc>
          <w:tcPr>
            <w:tcW w:w="1270" w:type="dxa"/>
            <w:vAlign w:val="center"/>
          </w:tcPr>
          <w:p w14:paraId="32BB5364" w14:textId="008B1D2D" w:rsidR="002A6679" w:rsidRPr="00727E96" w:rsidRDefault="002A6679" w:rsidP="002A6679">
            <w:pPr>
              <w:jc w:val="center"/>
              <w:rPr>
                <w:b/>
                <w:bCs/>
                <w:noProof/>
              </w:rPr>
            </w:pPr>
            <w:r w:rsidRPr="00727E96">
              <w:rPr>
                <w:b/>
                <w:bCs/>
                <w:noProof/>
              </w:rPr>
              <w:t>Variabl</w:t>
            </w:r>
            <w:r>
              <w:rPr>
                <w:b/>
                <w:bCs/>
                <w:noProof/>
              </w:rPr>
              <w:t>e</w:t>
            </w:r>
          </w:p>
        </w:tc>
        <w:tc>
          <w:tcPr>
            <w:tcW w:w="1263" w:type="dxa"/>
            <w:vAlign w:val="center"/>
          </w:tcPr>
          <w:p w14:paraId="577B0376" w14:textId="19407B58" w:rsidR="002A6679" w:rsidRPr="00727E96" w:rsidRDefault="002A6679" w:rsidP="002A6679">
            <w:pPr>
              <w:jc w:val="center"/>
              <w:rPr>
                <w:b/>
                <w:bCs/>
                <w:noProof/>
              </w:rPr>
            </w:pPr>
            <w:r>
              <w:rPr>
                <w:b/>
                <w:bCs/>
                <w:noProof/>
              </w:rPr>
              <w:t>C</w:t>
            </w:r>
            <w:r w:rsidRPr="00727E96">
              <w:rPr>
                <w:b/>
                <w:bCs/>
                <w:noProof/>
              </w:rPr>
              <w:t>oefisien</w:t>
            </w:r>
            <w:r>
              <w:rPr>
                <w:b/>
                <w:bCs/>
                <w:noProof/>
              </w:rPr>
              <w:t>t</w:t>
            </w:r>
          </w:p>
        </w:tc>
        <w:tc>
          <w:tcPr>
            <w:tcW w:w="1262" w:type="dxa"/>
            <w:vAlign w:val="center"/>
          </w:tcPr>
          <w:p w14:paraId="2540A16E" w14:textId="64D6A2CE" w:rsidR="002A6679" w:rsidRPr="00727E96" w:rsidRDefault="002A6679" w:rsidP="002A6679">
            <w:pPr>
              <w:jc w:val="center"/>
              <w:rPr>
                <w:b/>
                <w:bCs/>
                <w:noProof/>
              </w:rPr>
            </w:pPr>
            <w:r w:rsidRPr="00727E96">
              <w:rPr>
                <w:b/>
                <w:bCs/>
                <w:noProof/>
              </w:rPr>
              <w:t>Robust Standard Error</w:t>
            </w:r>
          </w:p>
        </w:tc>
        <w:tc>
          <w:tcPr>
            <w:tcW w:w="1192" w:type="dxa"/>
            <w:vAlign w:val="center"/>
          </w:tcPr>
          <w:p w14:paraId="3B7DD174" w14:textId="1930A470" w:rsidR="002A6679" w:rsidRPr="00727E96" w:rsidRDefault="002A6679" w:rsidP="002A6679">
            <w:pPr>
              <w:jc w:val="center"/>
              <w:rPr>
                <w:b/>
                <w:bCs/>
                <w:noProof/>
              </w:rPr>
            </w:pPr>
            <w:r w:rsidRPr="00727E96">
              <w:rPr>
                <w:b/>
                <w:bCs/>
                <w:noProof/>
              </w:rPr>
              <w:t>t</w:t>
            </w:r>
          </w:p>
        </w:tc>
        <w:tc>
          <w:tcPr>
            <w:tcW w:w="1233" w:type="dxa"/>
            <w:vAlign w:val="center"/>
          </w:tcPr>
          <w:p w14:paraId="64D91678" w14:textId="7A2109DE" w:rsidR="002A6679" w:rsidRPr="00727E96" w:rsidRDefault="002A6679" w:rsidP="002A6679">
            <w:pPr>
              <w:jc w:val="center"/>
              <w:rPr>
                <w:b/>
                <w:bCs/>
                <w:noProof/>
              </w:rPr>
            </w:pPr>
            <w:r w:rsidRPr="00727E96">
              <w:rPr>
                <w:b/>
                <w:bCs/>
                <w:noProof/>
              </w:rPr>
              <w:t>p&gt;|t|</w:t>
            </w:r>
          </w:p>
        </w:tc>
        <w:tc>
          <w:tcPr>
            <w:tcW w:w="2370" w:type="dxa"/>
            <w:gridSpan w:val="2"/>
            <w:vAlign w:val="center"/>
          </w:tcPr>
          <w:p w14:paraId="773FF6CC" w14:textId="608477CB" w:rsidR="002A6679" w:rsidRPr="00727E96" w:rsidRDefault="002A6679" w:rsidP="002A6679">
            <w:pPr>
              <w:jc w:val="center"/>
              <w:rPr>
                <w:b/>
                <w:bCs/>
                <w:noProof/>
              </w:rPr>
            </w:pPr>
            <w:r w:rsidRPr="00727E96">
              <w:rPr>
                <w:b/>
                <w:bCs/>
                <w:noProof/>
              </w:rPr>
              <w:t>[95% Conf. Interval]</w:t>
            </w:r>
          </w:p>
        </w:tc>
      </w:tr>
      <w:tr w:rsidR="002A6679" w14:paraId="5C4F7424" w14:textId="77777777" w:rsidTr="004C1743">
        <w:tc>
          <w:tcPr>
            <w:tcW w:w="1270" w:type="dxa"/>
          </w:tcPr>
          <w:p w14:paraId="52AEBE91" w14:textId="0A2DD9B3" w:rsidR="002A6679" w:rsidRDefault="002A6679" w:rsidP="002A6679">
            <w:pPr>
              <w:rPr>
                <w:noProof/>
              </w:rPr>
            </w:pPr>
            <w:r w:rsidRPr="002A6679">
              <w:rPr>
                <w:noProof/>
              </w:rPr>
              <w:t>Disaster Intensity</w:t>
            </w:r>
          </w:p>
        </w:tc>
        <w:tc>
          <w:tcPr>
            <w:tcW w:w="1263" w:type="dxa"/>
          </w:tcPr>
          <w:p w14:paraId="14D1B44B" w14:textId="106631A8" w:rsidR="002A6679" w:rsidRDefault="002A6679" w:rsidP="002A6679">
            <w:pPr>
              <w:jc w:val="right"/>
              <w:rPr>
                <w:noProof/>
              </w:rPr>
            </w:pPr>
            <w:r>
              <w:rPr>
                <w:noProof/>
              </w:rPr>
              <w:t>0.0053251</w:t>
            </w:r>
          </w:p>
        </w:tc>
        <w:tc>
          <w:tcPr>
            <w:tcW w:w="1262" w:type="dxa"/>
          </w:tcPr>
          <w:p w14:paraId="4BFE5F23" w14:textId="2A71696F" w:rsidR="002A6679" w:rsidRDefault="002A6679" w:rsidP="002A6679">
            <w:pPr>
              <w:jc w:val="right"/>
              <w:rPr>
                <w:noProof/>
              </w:rPr>
            </w:pPr>
            <w:r>
              <w:rPr>
                <w:noProof/>
              </w:rPr>
              <w:t>0.0016165</w:t>
            </w:r>
          </w:p>
        </w:tc>
        <w:tc>
          <w:tcPr>
            <w:tcW w:w="1192" w:type="dxa"/>
          </w:tcPr>
          <w:p w14:paraId="78949CE6" w14:textId="590E7E49" w:rsidR="002A6679" w:rsidRDefault="002A6679" w:rsidP="002A6679">
            <w:pPr>
              <w:jc w:val="right"/>
              <w:rPr>
                <w:noProof/>
              </w:rPr>
            </w:pPr>
            <w:r>
              <w:rPr>
                <w:noProof/>
              </w:rPr>
              <w:t>3.29</w:t>
            </w:r>
          </w:p>
        </w:tc>
        <w:tc>
          <w:tcPr>
            <w:tcW w:w="1233" w:type="dxa"/>
          </w:tcPr>
          <w:p w14:paraId="785425ED" w14:textId="1A3F1766" w:rsidR="002A6679" w:rsidRDefault="002A6679" w:rsidP="002A6679">
            <w:pPr>
              <w:jc w:val="right"/>
              <w:rPr>
                <w:noProof/>
              </w:rPr>
            </w:pPr>
            <w:r>
              <w:rPr>
                <w:noProof/>
              </w:rPr>
              <w:t>0.001</w:t>
            </w:r>
          </w:p>
        </w:tc>
        <w:tc>
          <w:tcPr>
            <w:tcW w:w="1185" w:type="dxa"/>
          </w:tcPr>
          <w:p w14:paraId="4F3FF766" w14:textId="48B5929D" w:rsidR="002A6679" w:rsidRDefault="002A6679" w:rsidP="002A6679">
            <w:pPr>
              <w:jc w:val="right"/>
              <w:rPr>
                <w:noProof/>
              </w:rPr>
            </w:pPr>
            <w:r>
              <w:rPr>
                <w:noProof/>
              </w:rPr>
              <w:t>0.0021563</w:t>
            </w:r>
          </w:p>
        </w:tc>
        <w:tc>
          <w:tcPr>
            <w:tcW w:w="1185" w:type="dxa"/>
          </w:tcPr>
          <w:p w14:paraId="6402D919" w14:textId="3CFE891A" w:rsidR="002A6679" w:rsidRDefault="002A6679" w:rsidP="002A6679">
            <w:pPr>
              <w:jc w:val="right"/>
              <w:rPr>
                <w:noProof/>
              </w:rPr>
            </w:pPr>
            <w:r>
              <w:rPr>
                <w:noProof/>
              </w:rPr>
              <w:t>0.0084939</w:t>
            </w:r>
          </w:p>
        </w:tc>
      </w:tr>
      <w:tr w:rsidR="002A6679" w14:paraId="26C7915D" w14:textId="77777777" w:rsidTr="004C1743">
        <w:tc>
          <w:tcPr>
            <w:tcW w:w="1270" w:type="dxa"/>
          </w:tcPr>
          <w:p w14:paraId="6F275DAB" w14:textId="17B63175" w:rsidR="002A6679" w:rsidRDefault="002A6679" w:rsidP="002A6679">
            <w:pPr>
              <w:rPr>
                <w:noProof/>
              </w:rPr>
            </w:pPr>
            <w:r>
              <w:rPr>
                <w:noProof/>
              </w:rPr>
              <w:t>Constanta</w:t>
            </w:r>
          </w:p>
        </w:tc>
        <w:tc>
          <w:tcPr>
            <w:tcW w:w="1263" w:type="dxa"/>
          </w:tcPr>
          <w:p w14:paraId="54416C18" w14:textId="523FF944" w:rsidR="002A6679" w:rsidRDefault="002A6679" w:rsidP="002A6679">
            <w:pPr>
              <w:jc w:val="right"/>
              <w:rPr>
                <w:noProof/>
              </w:rPr>
            </w:pPr>
            <w:r>
              <w:rPr>
                <w:noProof/>
              </w:rPr>
              <w:t>2.4224640</w:t>
            </w:r>
          </w:p>
        </w:tc>
        <w:tc>
          <w:tcPr>
            <w:tcW w:w="1262" w:type="dxa"/>
          </w:tcPr>
          <w:p w14:paraId="6CDCC209" w14:textId="3367B125" w:rsidR="002A6679" w:rsidRDefault="002A6679" w:rsidP="002A6679">
            <w:pPr>
              <w:jc w:val="right"/>
              <w:rPr>
                <w:noProof/>
              </w:rPr>
            </w:pPr>
            <w:r>
              <w:rPr>
                <w:noProof/>
              </w:rPr>
              <w:t>0.0092620</w:t>
            </w:r>
          </w:p>
        </w:tc>
        <w:tc>
          <w:tcPr>
            <w:tcW w:w="1192" w:type="dxa"/>
          </w:tcPr>
          <w:p w14:paraId="6C0CD3FE" w14:textId="3EF3C964" w:rsidR="002A6679" w:rsidRDefault="002A6679" w:rsidP="002A6679">
            <w:pPr>
              <w:jc w:val="right"/>
              <w:rPr>
                <w:noProof/>
              </w:rPr>
            </w:pPr>
            <w:r>
              <w:rPr>
                <w:noProof/>
              </w:rPr>
              <w:t>264.55</w:t>
            </w:r>
          </w:p>
        </w:tc>
        <w:tc>
          <w:tcPr>
            <w:tcW w:w="1233" w:type="dxa"/>
          </w:tcPr>
          <w:p w14:paraId="432DB9E0" w14:textId="5F42D415" w:rsidR="002A6679" w:rsidRDefault="002A6679" w:rsidP="002A6679">
            <w:pPr>
              <w:jc w:val="right"/>
              <w:rPr>
                <w:noProof/>
              </w:rPr>
            </w:pPr>
            <w:r>
              <w:rPr>
                <w:noProof/>
              </w:rPr>
              <w:t>0.000</w:t>
            </w:r>
          </w:p>
        </w:tc>
        <w:tc>
          <w:tcPr>
            <w:tcW w:w="1185" w:type="dxa"/>
          </w:tcPr>
          <w:p w14:paraId="4C4090EE" w14:textId="3E8CCA03" w:rsidR="002A6679" w:rsidRDefault="002A6679" w:rsidP="002A6679">
            <w:pPr>
              <w:jc w:val="right"/>
              <w:rPr>
                <w:noProof/>
              </w:rPr>
            </w:pPr>
            <w:r>
              <w:rPr>
                <w:noProof/>
              </w:rPr>
              <w:t>2.404308</w:t>
            </w:r>
          </w:p>
        </w:tc>
        <w:tc>
          <w:tcPr>
            <w:tcW w:w="1185" w:type="dxa"/>
          </w:tcPr>
          <w:p w14:paraId="6404CA08" w14:textId="28AABC59" w:rsidR="002A6679" w:rsidRDefault="002A6679" w:rsidP="002A6679">
            <w:pPr>
              <w:jc w:val="right"/>
              <w:rPr>
                <w:noProof/>
              </w:rPr>
            </w:pPr>
            <w:r>
              <w:rPr>
                <w:noProof/>
              </w:rPr>
              <w:t>2.4406210</w:t>
            </w:r>
          </w:p>
        </w:tc>
      </w:tr>
    </w:tbl>
    <w:p w14:paraId="1752A52B" w14:textId="34B34A6C" w:rsidR="00003664" w:rsidRPr="00BB3659" w:rsidRDefault="002A6679" w:rsidP="00003664">
      <w:pPr>
        <w:spacing w:after="0" w:line="240" w:lineRule="auto"/>
        <w:ind w:left="426"/>
        <w:rPr>
          <w:noProof/>
          <w:sz w:val="18"/>
          <w:szCs w:val="18"/>
        </w:rPr>
      </w:pPr>
      <w:r>
        <w:rPr>
          <w:noProof/>
          <w:sz w:val="18"/>
          <w:szCs w:val="18"/>
        </w:rPr>
        <w:t>Note</w:t>
      </w:r>
      <w:r w:rsidR="00003664" w:rsidRPr="00BB3659">
        <w:rPr>
          <w:noProof/>
          <w:sz w:val="18"/>
          <w:szCs w:val="18"/>
        </w:rPr>
        <w:t xml:space="preserve"> - </w:t>
      </w:r>
      <w:r w:rsidRPr="002A6679">
        <w:rPr>
          <w:noProof/>
          <w:sz w:val="18"/>
          <w:szCs w:val="18"/>
        </w:rPr>
        <w:t>Dependent Variable: Expectations of Community Life in the Next 5 Years</w:t>
      </w:r>
    </w:p>
    <w:p w14:paraId="58972CA6" w14:textId="58FF1E1B" w:rsidR="00003664" w:rsidRPr="00BB3659" w:rsidRDefault="00003664" w:rsidP="00003664">
      <w:pPr>
        <w:spacing w:after="0" w:line="240" w:lineRule="auto"/>
        <w:ind w:left="720"/>
        <w:rPr>
          <w:noProof/>
          <w:sz w:val="18"/>
          <w:szCs w:val="18"/>
        </w:rPr>
      </w:pPr>
      <w:r>
        <w:rPr>
          <w:noProof/>
          <w:sz w:val="18"/>
          <w:szCs w:val="18"/>
        </w:rPr>
        <w:t xml:space="preserve">   </w:t>
      </w:r>
      <w:r w:rsidRPr="00BB3659">
        <w:rPr>
          <w:noProof/>
          <w:sz w:val="18"/>
          <w:szCs w:val="18"/>
        </w:rPr>
        <w:t xml:space="preserve">- </w:t>
      </w:r>
      <w:r w:rsidR="002A6679" w:rsidRPr="002A6679">
        <w:rPr>
          <w:noProof/>
          <w:sz w:val="18"/>
          <w:szCs w:val="18"/>
        </w:rPr>
        <w:t>Independent Variable: Disaster Intensity</w:t>
      </w:r>
    </w:p>
    <w:p w14:paraId="1F934249" w14:textId="1FF8A73E" w:rsidR="0041180D" w:rsidRDefault="002A6679" w:rsidP="0041180D">
      <w:pPr>
        <w:spacing w:before="240"/>
        <w:ind w:left="425"/>
        <w:jc w:val="both"/>
        <w:rPr>
          <w:noProof/>
        </w:rPr>
      </w:pPr>
      <w:r w:rsidRPr="002A6679">
        <w:rPr>
          <w:noProof/>
        </w:rPr>
        <w:t>The results in Table 2 show that disaster intensity significantly influences people's expectations of life in the next five years. This finding indicates that disasters not only affect current perceived well-being but also shape how households view their future. In the Indonesian context, where disasters are often recurrent and difficult to predict, the experience of facing a disaster can undermine households' optimism about improving their living conditions in the medium term. Uncertainty about the sustainability of livelihoods, the risk of asset loss, and the potential for repeated disruptions to daily life lead households to assess the future more pessimistically, even though the immediate impact of the disaster may have passed.</w:t>
      </w:r>
    </w:p>
    <w:p w14:paraId="53BC1D2D" w14:textId="584CC0BA" w:rsidR="00B076F7" w:rsidRDefault="002A6679" w:rsidP="0041180D">
      <w:pPr>
        <w:ind w:left="426"/>
        <w:jc w:val="both"/>
        <w:rPr>
          <w:noProof/>
        </w:rPr>
      </w:pPr>
      <w:r w:rsidRPr="002A6679">
        <w:rPr>
          <w:noProof/>
        </w:rPr>
        <w:t>This decline in five-year life expectancy reflects the intertemporal effects of disasters on community well-being. Lower expectations can influence household behavior and choices, such as the tendency to delay investments, limit spending on education or health, and adopt more defensive survival strategies. In the Indonesian context, this phenomenon demonstrates that disasters have the potential to prolong socioeconomic vulnerability through perceptions and expectations, not just through direct losses</w:t>
      </w:r>
      <w:r w:rsidR="00CD3858">
        <w:rPr>
          <w:noProof/>
        </w:rPr>
        <w:t xml:space="preserve"> </w:t>
      </w:r>
      <w:r w:rsidR="00CD3858" w:rsidRPr="00CD3858">
        <w:rPr>
          <w:noProof/>
          <w:color w:val="0070C0"/>
        </w:rPr>
        <w:fldChar w:fldCharType="begin" w:fldLock="1"/>
      </w:r>
      <w:r w:rsidR="00A8024C">
        <w:rPr>
          <w:noProof/>
          <w:color w:val="0070C0"/>
        </w:rPr>
        <w:instrText>ADDIN CSL_CITATION {"citationItems":[{"id":"ITEM-1","itemData":{"ISSN":"2597-4874","author":[{"dropping-particle":"","family":"Wahyono","given":"Eko","non-dropping-particle":"","parse-names":false,"suffix":""},{"dropping-particle":"","family":"Prayoga","given":"Reza Amarta","non-dropping-particle":"","parse-names":false,"suffix":""},{"dropping-particle":"","family":"Hakim","given":"Fatwa Nurul","non-dropping-particle":"","parse-names":false,"suffix":""},{"dropping-particle":"","family":"Solekha","given":"Nuzul","non-dropping-particle":"","parse-names":false,"suffix":""},{"dropping-particle":"","family":"Fatimah","given":"Siti","non-dropping-particle":"","parse-names":false,"suffix":""},{"dropping-particle":"","family":"Purbandini","given":"Lis","non-dropping-particle":"","parse-names":false,"suffix":""},{"dropping-particle":"","family":"Wibowo","given":"Djoko Puguh","non-dropping-particle":"","parse-names":false,"suffix":""},{"dropping-particle":"","family":"Saparita","given":"Rachmini","non-dropping-particle":"","parse-names":false,"suffix":""}],"container-title":"Society","id":"ITEM-1","issue":"1","issued":{"date-parts":[["2023"]]},"page":"52-63","title":"Economic mitigation institutions: A new approach to livelihood systems in disaster-prone areas","type":"article-journal","volume":"11"},"uris":["http://www.mendeley.com/documents/?uuid=92206f37-b798-4812-8ba1-d65a1b496e2d"]},{"id":"ITEM-2","itemData":{"ISSN":"2071-1050","author":[{"dropping-particle":"","family":"Cvetković","given":"Vladimir M","non-dropping-particle":"","parse-names":false,"suffix":""},{"dropping-particle":"","family":"Šišović","given":"Vanja","non-dropping-particle":"","parse-names":false,"suffix":""}],"container-title":"Sustainability","id":"ITEM-2","issue":"7","issued":{"date-parts":[["2024"]]},"page":"2620","publisher":"MDPI","title":"Understanding the sustainable development of community (social) disaster resilience in Serbia: Demographic and socio-economic impacts","type":"article-journal","volume":"16"},"uris":["http://www.mendeley.com/documents/?uuid=287d433f-5212-45db-8361-6b9b4a227712"]}],"mendeley":{"formattedCitation":"(Cvetković &amp; Šišović, 2024; Wahyono et al., 2023)","plainTextFormattedCitation":"(Cvetković &amp; Šišović, 2024; Wahyono et al., 2023)","previouslyFormattedCitation":"(Cvetković &amp; Šišović, 2024; Wahyono et al., 2023)"},"properties":{"noteIndex":0},"schema":"https://github.com/citation-style-language/schema/raw/master/csl-citation.json"}</w:instrText>
      </w:r>
      <w:r w:rsidR="00CD3858" w:rsidRPr="00CD3858">
        <w:rPr>
          <w:noProof/>
          <w:color w:val="0070C0"/>
        </w:rPr>
        <w:fldChar w:fldCharType="separate"/>
      </w:r>
      <w:r w:rsidR="00CD3858" w:rsidRPr="00CD3858">
        <w:rPr>
          <w:noProof/>
          <w:color w:val="0070C0"/>
        </w:rPr>
        <w:t>(Cvetković &amp; Šišović, 2024; Wahyono et al., 2023)</w:t>
      </w:r>
      <w:r w:rsidR="00CD3858" w:rsidRPr="00CD3858">
        <w:rPr>
          <w:noProof/>
          <w:color w:val="0070C0"/>
        </w:rPr>
        <w:fldChar w:fldCharType="end"/>
      </w:r>
      <w:r w:rsidR="0041180D">
        <w:rPr>
          <w:noProof/>
        </w:rPr>
        <w:t xml:space="preserve">. </w:t>
      </w:r>
      <w:r w:rsidRPr="002A6679">
        <w:rPr>
          <w:noProof/>
        </w:rPr>
        <w:t>Thus, these results confirm that environmental stability and certainty play an important role in shaping people's views of the future, which in turn influences the dynamics of development and long-term welfare.</w:t>
      </w:r>
    </w:p>
    <w:p w14:paraId="34D9D662" w14:textId="3EEFE2E8" w:rsidR="00923906" w:rsidRDefault="00923906" w:rsidP="00923906">
      <w:pPr>
        <w:ind w:left="426"/>
        <w:jc w:val="center"/>
        <w:rPr>
          <w:noProof/>
        </w:rPr>
      </w:pPr>
      <w:r w:rsidRPr="00B076F7">
        <w:rPr>
          <w:b/>
          <w:bCs/>
          <w:noProof/>
        </w:rPr>
        <w:t>Tabl</w:t>
      </w:r>
      <w:r w:rsidR="002A6679">
        <w:rPr>
          <w:b/>
          <w:bCs/>
          <w:noProof/>
        </w:rPr>
        <w:t>e</w:t>
      </w:r>
      <w:r w:rsidRPr="00B076F7">
        <w:rPr>
          <w:b/>
          <w:bCs/>
          <w:noProof/>
        </w:rPr>
        <w:t xml:space="preserve"> </w:t>
      </w:r>
      <w:r>
        <w:rPr>
          <w:b/>
          <w:bCs/>
          <w:noProof/>
        </w:rPr>
        <w:t>3</w:t>
      </w:r>
      <w:r w:rsidRPr="00B076F7">
        <w:rPr>
          <w:b/>
          <w:bCs/>
          <w:noProof/>
        </w:rPr>
        <w:t>.</w:t>
      </w:r>
      <w:r>
        <w:rPr>
          <w:noProof/>
        </w:rPr>
        <w:t xml:space="preserve"> </w:t>
      </w:r>
      <w:r w:rsidR="002A6679" w:rsidRPr="002A6679">
        <w:rPr>
          <w:noProof/>
        </w:rPr>
        <w:t>Number of Households by Satisfaction Category</w:t>
      </w:r>
    </w:p>
    <w:tbl>
      <w:tblPr>
        <w:tblStyle w:val="TableGrid"/>
        <w:tblW w:w="0" w:type="auto"/>
        <w:tblInd w:w="426" w:type="dxa"/>
        <w:tblLook w:val="04A0" w:firstRow="1" w:lastRow="0" w:firstColumn="1" w:lastColumn="0" w:noHBand="0" w:noVBand="1"/>
      </w:tblPr>
      <w:tblGrid>
        <w:gridCol w:w="2148"/>
        <w:gridCol w:w="2148"/>
        <w:gridCol w:w="2147"/>
        <w:gridCol w:w="2147"/>
      </w:tblGrid>
      <w:tr w:rsidR="00923906" w14:paraId="54DD0891" w14:textId="77777777" w:rsidTr="00923906">
        <w:tc>
          <w:tcPr>
            <w:tcW w:w="2148" w:type="dxa"/>
          </w:tcPr>
          <w:p w14:paraId="5AC36A14" w14:textId="3B907294" w:rsidR="00923906" w:rsidRPr="00D87DBB" w:rsidRDefault="002A6679" w:rsidP="00D87DBB">
            <w:pPr>
              <w:jc w:val="center"/>
              <w:rPr>
                <w:b/>
                <w:bCs/>
                <w:noProof/>
              </w:rPr>
            </w:pPr>
            <w:r w:rsidRPr="002A6679">
              <w:rPr>
                <w:b/>
                <w:bCs/>
                <w:noProof/>
              </w:rPr>
              <w:t>Satisfaction Category</w:t>
            </w:r>
          </w:p>
        </w:tc>
        <w:tc>
          <w:tcPr>
            <w:tcW w:w="2148" w:type="dxa"/>
          </w:tcPr>
          <w:p w14:paraId="15C971D0" w14:textId="743206C2" w:rsidR="00923906" w:rsidRPr="00D87DBB" w:rsidRDefault="00D87DBB" w:rsidP="00D87DBB">
            <w:pPr>
              <w:jc w:val="center"/>
              <w:rPr>
                <w:b/>
                <w:bCs/>
                <w:noProof/>
              </w:rPr>
            </w:pPr>
            <w:r w:rsidRPr="00D87DBB">
              <w:rPr>
                <w:b/>
                <w:bCs/>
                <w:noProof/>
              </w:rPr>
              <w:t>Fre</w:t>
            </w:r>
            <w:r w:rsidR="002A6679">
              <w:rPr>
                <w:b/>
                <w:bCs/>
                <w:noProof/>
              </w:rPr>
              <w:t>q</w:t>
            </w:r>
            <w:r w:rsidRPr="00D87DBB">
              <w:rPr>
                <w:b/>
                <w:bCs/>
                <w:noProof/>
              </w:rPr>
              <w:t>uens</w:t>
            </w:r>
            <w:r w:rsidR="002A6679">
              <w:rPr>
                <w:b/>
                <w:bCs/>
                <w:noProof/>
              </w:rPr>
              <w:t>y</w:t>
            </w:r>
          </w:p>
        </w:tc>
        <w:tc>
          <w:tcPr>
            <w:tcW w:w="2147" w:type="dxa"/>
          </w:tcPr>
          <w:p w14:paraId="6C1FE54B" w14:textId="4B890861" w:rsidR="00923906" w:rsidRPr="00D87DBB" w:rsidRDefault="00D87DBB" w:rsidP="00D87DBB">
            <w:pPr>
              <w:jc w:val="center"/>
              <w:rPr>
                <w:b/>
                <w:bCs/>
                <w:noProof/>
              </w:rPr>
            </w:pPr>
            <w:r w:rsidRPr="00D87DBB">
              <w:rPr>
                <w:b/>
                <w:bCs/>
                <w:noProof/>
              </w:rPr>
              <w:t>Per</w:t>
            </w:r>
            <w:r w:rsidR="002A6679">
              <w:rPr>
                <w:b/>
                <w:bCs/>
                <w:noProof/>
              </w:rPr>
              <w:t>centage</w:t>
            </w:r>
            <w:r>
              <w:rPr>
                <w:b/>
                <w:bCs/>
                <w:noProof/>
              </w:rPr>
              <w:t xml:space="preserve"> (%)</w:t>
            </w:r>
          </w:p>
        </w:tc>
        <w:tc>
          <w:tcPr>
            <w:tcW w:w="2147" w:type="dxa"/>
          </w:tcPr>
          <w:p w14:paraId="1EAC58F2" w14:textId="162C0C39" w:rsidR="00923906" w:rsidRPr="00D87DBB" w:rsidRDefault="002A6679" w:rsidP="00D87DBB">
            <w:pPr>
              <w:jc w:val="center"/>
              <w:rPr>
                <w:b/>
                <w:bCs/>
                <w:noProof/>
              </w:rPr>
            </w:pPr>
            <w:r>
              <w:rPr>
                <w:b/>
                <w:bCs/>
                <w:noProof/>
              </w:rPr>
              <w:t>C</w:t>
            </w:r>
            <w:r w:rsidR="00D87DBB" w:rsidRPr="00D87DBB">
              <w:rPr>
                <w:b/>
                <w:bCs/>
                <w:noProof/>
              </w:rPr>
              <w:t>umulait</w:t>
            </w:r>
            <w:r>
              <w:rPr>
                <w:b/>
                <w:bCs/>
                <w:noProof/>
              </w:rPr>
              <w:t>ve</w:t>
            </w:r>
            <w:r w:rsidR="00D87DBB">
              <w:rPr>
                <w:b/>
                <w:bCs/>
                <w:noProof/>
              </w:rPr>
              <w:t xml:space="preserve"> (%)</w:t>
            </w:r>
          </w:p>
        </w:tc>
      </w:tr>
      <w:tr w:rsidR="00923906" w14:paraId="4DE2D539" w14:textId="77777777" w:rsidTr="00923906">
        <w:tc>
          <w:tcPr>
            <w:tcW w:w="2148" w:type="dxa"/>
          </w:tcPr>
          <w:p w14:paraId="3E9E758C" w14:textId="5F5FEA57" w:rsidR="00923906" w:rsidRDefault="002A6679" w:rsidP="00235CA5">
            <w:pPr>
              <w:rPr>
                <w:noProof/>
              </w:rPr>
            </w:pPr>
            <w:r w:rsidRPr="002A6679">
              <w:rPr>
                <w:noProof/>
              </w:rPr>
              <w:t>Very satisfied</w:t>
            </w:r>
          </w:p>
        </w:tc>
        <w:tc>
          <w:tcPr>
            <w:tcW w:w="2148" w:type="dxa"/>
          </w:tcPr>
          <w:p w14:paraId="601051A7" w14:textId="2542289B" w:rsidR="00923906" w:rsidRDefault="00D87DBB" w:rsidP="00D87DBB">
            <w:pPr>
              <w:jc w:val="right"/>
              <w:rPr>
                <w:noProof/>
              </w:rPr>
            </w:pPr>
            <w:r>
              <w:rPr>
                <w:noProof/>
              </w:rPr>
              <w:t>291</w:t>
            </w:r>
          </w:p>
        </w:tc>
        <w:tc>
          <w:tcPr>
            <w:tcW w:w="2147" w:type="dxa"/>
          </w:tcPr>
          <w:p w14:paraId="6D194CAE" w14:textId="3BF8BBA0" w:rsidR="00923906" w:rsidRDefault="00D87DBB" w:rsidP="00D87DBB">
            <w:pPr>
              <w:jc w:val="right"/>
              <w:rPr>
                <w:noProof/>
              </w:rPr>
            </w:pPr>
            <w:r>
              <w:rPr>
                <w:noProof/>
              </w:rPr>
              <w:t>4.07</w:t>
            </w:r>
          </w:p>
        </w:tc>
        <w:tc>
          <w:tcPr>
            <w:tcW w:w="2147" w:type="dxa"/>
          </w:tcPr>
          <w:p w14:paraId="7E9FA751" w14:textId="70581B75" w:rsidR="00923906" w:rsidRDefault="00D87DBB" w:rsidP="00D87DBB">
            <w:pPr>
              <w:jc w:val="right"/>
              <w:rPr>
                <w:noProof/>
              </w:rPr>
            </w:pPr>
            <w:r>
              <w:rPr>
                <w:noProof/>
              </w:rPr>
              <w:t>4.07</w:t>
            </w:r>
          </w:p>
        </w:tc>
      </w:tr>
      <w:tr w:rsidR="00923906" w14:paraId="44495331" w14:textId="77777777" w:rsidTr="00923906">
        <w:tc>
          <w:tcPr>
            <w:tcW w:w="2148" w:type="dxa"/>
          </w:tcPr>
          <w:p w14:paraId="121ABCDC" w14:textId="693918F3" w:rsidR="00923906" w:rsidRDefault="002A6679" w:rsidP="00235CA5">
            <w:pPr>
              <w:rPr>
                <w:noProof/>
              </w:rPr>
            </w:pPr>
            <w:r w:rsidRPr="002A6679">
              <w:rPr>
                <w:noProof/>
              </w:rPr>
              <w:t>Satisfied</w:t>
            </w:r>
          </w:p>
        </w:tc>
        <w:tc>
          <w:tcPr>
            <w:tcW w:w="2148" w:type="dxa"/>
          </w:tcPr>
          <w:p w14:paraId="26CBEC89" w14:textId="44957A60" w:rsidR="00923906" w:rsidRDefault="00D87DBB" w:rsidP="00D87DBB">
            <w:pPr>
              <w:jc w:val="right"/>
              <w:rPr>
                <w:noProof/>
              </w:rPr>
            </w:pPr>
            <w:r>
              <w:rPr>
                <w:noProof/>
              </w:rPr>
              <w:t>2570</w:t>
            </w:r>
          </w:p>
        </w:tc>
        <w:tc>
          <w:tcPr>
            <w:tcW w:w="2147" w:type="dxa"/>
          </w:tcPr>
          <w:p w14:paraId="783E087A" w14:textId="7700A4FB" w:rsidR="00923906" w:rsidRDefault="00D87DBB" w:rsidP="00D87DBB">
            <w:pPr>
              <w:jc w:val="right"/>
              <w:rPr>
                <w:noProof/>
              </w:rPr>
            </w:pPr>
            <w:r>
              <w:rPr>
                <w:noProof/>
              </w:rPr>
              <w:t>35.97</w:t>
            </w:r>
          </w:p>
        </w:tc>
        <w:tc>
          <w:tcPr>
            <w:tcW w:w="2147" w:type="dxa"/>
          </w:tcPr>
          <w:p w14:paraId="7ED81FCF" w14:textId="1A1DE425" w:rsidR="00923906" w:rsidRDefault="00D87DBB" w:rsidP="00D87DBB">
            <w:pPr>
              <w:jc w:val="right"/>
              <w:rPr>
                <w:noProof/>
              </w:rPr>
            </w:pPr>
            <w:r>
              <w:rPr>
                <w:noProof/>
              </w:rPr>
              <w:t>40.05</w:t>
            </w:r>
          </w:p>
        </w:tc>
      </w:tr>
      <w:tr w:rsidR="00923906" w14:paraId="03881A43" w14:textId="77777777" w:rsidTr="00923906">
        <w:tc>
          <w:tcPr>
            <w:tcW w:w="2148" w:type="dxa"/>
          </w:tcPr>
          <w:p w14:paraId="4C09568B" w14:textId="7C32C0FC" w:rsidR="00923906" w:rsidRDefault="002A6679" w:rsidP="00235CA5">
            <w:pPr>
              <w:rPr>
                <w:noProof/>
              </w:rPr>
            </w:pPr>
            <w:r w:rsidRPr="002A6679">
              <w:rPr>
                <w:noProof/>
              </w:rPr>
              <w:t>Moderately satisfied</w:t>
            </w:r>
          </w:p>
        </w:tc>
        <w:tc>
          <w:tcPr>
            <w:tcW w:w="2148" w:type="dxa"/>
          </w:tcPr>
          <w:p w14:paraId="1D49E0E0" w14:textId="5D141978" w:rsidR="00923906" w:rsidRDefault="00D87DBB" w:rsidP="00D87DBB">
            <w:pPr>
              <w:jc w:val="right"/>
              <w:rPr>
                <w:noProof/>
              </w:rPr>
            </w:pPr>
            <w:r>
              <w:rPr>
                <w:noProof/>
              </w:rPr>
              <w:t>3036</w:t>
            </w:r>
          </w:p>
        </w:tc>
        <w:tc>
          <w:tcPr>
            <w:tcW w:w="2147" w:type="dxa"/>
          </w:tcPr>
          <w:p w14:paraId="3644A4B4" w14:textId="3934662A" w:rsidR="00923906" w:rsidRDefault="00D87DBB" w:rsidP="00D87DBB">
            <w:pPr>
              <w:jc w:val="right"/>
              <w:rPr>
                <w:noProof/>
              </w:rPr>
            </w:pPr>
            <w:r>
              <w:rPr>
                <w:noProof/>
              </w:rPr>
              <w:t>42.50</w:t>
            </w:r>
          </w:p>
        </w:tc>
        <w:tc>
          <w:tcPr>
            <w:tcW w:w="2147" w:type="dxa"/>
          </w:tcPr>
          <w:p w14:paraId="026F5121" w14:textId="64860DBA" w:rsidR="00923906" w:rsidRDefault="00D87DBB" w:rsidP="00D87DBB">
            <w:pPr>
              <w:jc w:val="right"/>
              <w:rPr>
                <w:noProof/>
              </w:rPr>
            </w:pPr>
            <w:r>
              <w:rPr>
                <w:noProof/>
              </w:rPr>
              <w:t>82.54</w:t>
            </w:r>
          </w:p>
        </w:tc>
      </w:tr>
      <w:tr w:rsidR="00923906" w14:paraId="6F3680D6" w14:textId="77777777" w:rsidTr="00923906">
        <w:tc>
          <w:tcPr>
            <w:tcW w:w="2148" w:type="dxa"/>
          </w:tcPr>
          <w:p w14:paraId="17642375" w14:textId="6E26D304" w:rsidR="00923906" w:rsidRDefault="002A6679" w:rsidP="00235CA5">
            <w:pPr>
              <w:rPr>
                <w:noProof/>
              </w:rPr>
            </w:pPr>
            <w:r w:rsidRPr="002A6679">
              <w:rPr>
                <w:noProof/>
              </w:rPr>
              <w:t>Dissatisfied</w:t>
            </w:r>
          </w:p>
        </w:tc>
        <w:tc>
          <w:tcPr>
            <w:tcW w:w="2148" w:type="dxa"/>
          </w:tcPr>
          <w:p w14:paraId="77B102ED" w14:textId="0F096C3B" w:rsidR="00923906" w:rsidRDefault="00D87DBB" w:rsidP="00D87DBB">
            <w:pPr>
              <w:jc w:val="right"/>
              <w:rPr>
                <w:noProof/>
              </w:rPr>
            </w:pPr>
            <w:r>
              <w:rPr>
                <w:noProof/>
              </w:rPr>
              <w:t>1084</w:t>
            </w:r>
          </w:p>
        </w:tc>
        <w:tc>
          <w:tcPr>
            <w:tcW w:w="2147" w:type="dxa"/>
          </w:tcPr>
          <w:p w14:paraId="5CCA4155" w14:textId="14567615" w:rsidR="00923906" w:rsidRDefault="00D87DBB" w:rsidP="00D87DBB">
            <w:pPr>
              <w:jc w:val="right"/>
              <w:rPr>
                <w:noProof/>
              </w:rPr>
            </w:pPr>
            <w:r>
              <w:rPr>
                <w:noProof/>
              </w:rPr>
              <w:t>15.17</w:t>
            </w:r>
          </w:p>
        </w:tc>
        <w:tc>
          <w:tcPr>
            <w:tcW w:w="2147" w:type="dxa"/>
          </w:tcPr>
          <w:p w14:paraId="56394C71" w14:textId="7D6CE9F1" w:rsidR="00923906" w:rsidRDefault="00D87DBB" w:rsidP="00D87DBB">
            <w:pPr>
              <w:jc w:val="right"/>
              <w:rPr>
                <w:noProof/>
              </w:rPr>
            </w:pPr>
            <w:r>
              <w:rPr>
                <w:noProof/>
              </w:rPr>
              <w:t>97.72</w:t>
            </w:r>
          </w:p>
        </w:tc>
      </w:tr>
      <w:tr w:rsidR="00923906" w14:paraId="3C129863" w14:textId="77777777" w:rsidTr="00923906">
        <w:tc>
          <w:tcPr>
            <w:tcW w:w="2148" w:type="dxa"/>
          </w:tcPr>
          <w:p w14:paraId="18F98044" w14:textId="2B431C37" w:rsidR="00923906" w:rsidRDefault="002A6679" w:rsidP="00235CA5">
            <w:pPr>
              <w:rPr>
                <w:noProof/>
              </w:rPr>
            </w:pPr>
            <w:r w:rsidRPr="002A6679">
              <w:rPr>
                <w:noProof/>
              </w:rPr>
              <w:t>Very dissatisfied</w:t>
            </w:r>
          </w:p>
        </w:tc>
        <w:tc>
          <w:tcPr>
            <w:tcW w:w="2148" w:type="dxa"/>
          </w:tcPr>
          <w:p w14:paraId="36BA612F" w14:textId="2010A07C" w:rsidR="00923906" w:rsidRDefault="00D87DBB" w:rsidP="00D87DBB">
            <w:pPr>
              <w:jc w:val="right"/>
              <w:rPr>
                <w:noProof/>
              </w:rPr>
            </w:pPr>
            <w:r>
              <w:rPr>
                <w:noProof/>
              </w:rPr>
              <w:t>163</w:t>
            </w:r>
          </w:p>
        </w:tc>
        <w:tc>
          <w:tcPr>
            <w:tcW w:w="2147" w:type="dxa"/>
          </w:tcPr>
          <w:p w14:paraId="272F0F8F" w14:textId="0B0E6DA8" w:rsidR="00923906" w:rsidRDefault="00D87DBB" w:rsidP="00D87DBB">
            <w:pPr>
              <w:jc w:val="right"/>
              <w:rPr>
                <w:noProof/>
              </w:rPr>
            </w:pPr>
            <w:r>
              <w:rPr>
                <w:noProof/>
              </w:rPr>
              <w:t>2.28</w:t>
            </w:r>
          </w:p>
        </w:tc>
        <w:tc>
          <w:tcPr>
            <w:tcW w:w="2147" w:type="dxa"/>
          </w:tcPr>
          <w:p w14:paraId="53749F5D" w14:textId="00FCD2B2" w:rsidR="00923906" w:rsidRDefault="00D87DBB" w:rsidP="00D87DBB">
            <w:pPr>
              <w:jc w:val="right"/>
              <w:rPr>
                <w:noProof/>
              </w:rPr>
            </w:pPr>
            <w:r>
              <w:rPr>
                <w:noProof/>
              </w:rPr>
              <w:t>100.00</w:t>
            </w:r>
          </w:p>
        </w:tc>
      </w:tr>
      <w:tr w:rsidR="00D87DBB" w14:paraId="7143FC8E" w14:textId="77777777" w:rsidTr="00D87DBB">
        <w:tc>
          <w:tcPr>
            <w:tcW w:w="2148" w:type="dxa"/>
          </w:tcPr>
          <w:p w14:paraId="4F7CF703" w14:textId="00AF195A" w:rsidR="00D87DBB" w:rsidRPr="00D87DBB" w:rsidRDefault="00D87DBB" w:rsidP="00D87DBB">
            <w:pPr>
              <w:jc w:val="center"/>
              <w:rPr>
                <w:b/>
                <w:bCs/>
                <w:noProof/>
              </w:rPr>
            </w:pPr>
            <w:r w:rsidRPr="00D87DBB">
              <w:rPr>
                <w:b/>
                <w:bCs/>
                <w:noProof/>
              </w:rPr>
              <w:t>Total</w:t>
            </w:r>
          </w:p>
        </w:tc>
        <w:tc>
          <w:tcPr>
            <w:tcW w:w="2148" w:type="dxa"/>
          </w:tcPr>
          <w:p w14:paraId="081D0576" w14:textId="47B1C5C7" w:rsidR="00D87DBB" w:rsidRPr="00D87DBB" w:rsidRDefault="00D87DBB" w:rsidP="00D87DBB">
            <w:pPr>
              <w:jc w:val="right"/>
              <w:rPr>
                <w:b/>
                <w:bCs/>
                <w:noProof/>
              </w:rPr>
            </w:pPr>
            <w:r>
              <w:rPr>
                <w:b/>
                <w:bCs/>
                <w:noProof/>
              </w:rPr>
              <w:t>7144</w:t>
            </w:r>
          </w:p>
        </w:tc>
        <w:tc>
          <w:tcPr>
            <w:tcW w:w="2147" w:type="dxa"/>
          </w:tcPr>
          <w:p w14:paraId="5C672B66" w14:textId="0FC68731" w:rsidR="00D87DBB" w:rsidRPr="00D87DBB" w:rsidRDefault="00D87DBB" w:rsidP="00D87DBB">
            <w:pPr>
              <w:jc w:val="right"/>
              <w:rPr>
                <w:b/>
                <w:bCs/>
                <w:noProof/>
              </w:rPr>
            </w:pPr>
            <w:r>
              <w:rPr>
                <w:b/>
                <w:bCs/>
                <w:noProof/>
              </w:rPr>
              <w:t>100.00</w:t>
            </w:r>
          </w:p>
        </w:tc>
        <w:tc>
          <w:tcPr>
            <w:tcW w:w="2147" w:type="dxa"/>
            <w:shd w:val="clear" w:color="auto" w:fill="808080" w:themeFill="background1" w:themeFillShade="80"/>
          </w:tcPr>
          <w:p w14:paraId="7CF8D659" w14:textId="77777777" w:rsidR="00D87DBB" w:rsidRPr="00D87DBB" w:rsidRDefault="00D87DBB" w:rsidP="00D87DBB">
            <w:pPr>
              <w:jc w:val="right"/>
              <w:rPr>
                <w:b/>
                <w:bCs/>
                <w:noProof/>
              </w:rPr>
            </w:pPr>
          </w:p>
        </w:tc>
      </w:tr>
    </w:tbl>
    <w:p w14:paraId="4A553137" w14:textId="77777777" w:rsidR="00923906" w:rsidRDefault="00923906" w:rsidP="00235CA5">
      <w:pPr>
        <w:ind w:left="426"/>
        <w:rPr>
          <w:noProof/>
        </w:rPr>
      </w:pPr>
    </w:p>
    <w:p w14:paraId="1F3F58DE" w14:textId="608879EB" w:rsidR="00D87DBB" w:rsidRDefault="002A6679" w:rsidP="00D87DBB">
      <w:pPr>
        <w:ind w:left="426"/>
        <w:jc w:val="both"/>
        <w:rPr>
          <w:noProof/>
        </w:rPr>
      </w:pPr>
      <w:r w:rsidRPr="002A6679">
        <w:rPr>
          <w:noProof/>
        </w:rPr>
        <w:t xml:space="preserve">Table 3 presents the distribution of people's life satisfaction levels based on respondents' perceptions of their lives as a whole. Overall, the majority of households fall into the moderate satisfaction category. 42.50 percent of respondents reported being somewhat satisfied, while 35.97 percent were satisfied. Combined, more than three-quarters of respondents (78.47 percent) reported relatively positive levels of life satisfaction. Conversely, the proportion of </w:t>
      </w:r>
      <w:r w:rsidRPr="002A6679">
        <w:rPr>
          <w:noProof/>
        </w:rPr>
        <w:lastRenderedPageBreak/>
        <w:t>respondents with low subjective well-being was relatively smaller, with 15.17 percent reporting some dissatisfaction and 2.28 percent stating they were not satisfied at all. These findings indicate that while most people still maintain moderate levels of life satisfaction, a significant group is experiencing a vulnerable state of well-being.</w:t>
      </w:r>
    </w:p>
    <w:p w14:paraId="654FF273" w14:textId="11F3A0AB" w:rsidR="00923906" w:rsidRDefault="002A6679" w:rsidP="00D87DBB">
      <w:pPr>
        <w:ind w:left="426"/>
        <w:jc w:val="both"/>
        <w:rPr>
          <w:noProof/>
        </w:rPr>
      </w:pPr>
      <w:r w:rsidRPr="002A6679">
        <w:rPr>
          <w:noProof/>
        </w:rPr>
        <w:t>This distribution provides important context for understanding the results of previous empirical analyses related to disaster impacts. The dominance of the medium satisfaction category indicates that community well-being is in a relatively fragile position, where external shocks such as disasters have the potential to shift perceptions from relatively satisfied to dissatisfied. In the context of disaster-prone Indonesia, this structure of life satisfaction reflects that disaster impacts do not always trigger extreme dissatisfaction immediately, but more often erode well-being gradually. Thus, these descriptive findings reinforce the regression results indicating that disaster intensity significantly influences community well-being, primarily through a decline in perceived quality of life and increased well-being vulnerability in certain household groups.</w:t>
      </w:r>
    </w:p>
    <w:p w14:paraId="322A273C" w14:textId="37E795A2" w:rsidR="00D87DBB" w:rsidRDefault="00D87DBB" w:rsidP="00D87DBB">
      <w:pPr>
        <w:ind w:left="426"/>
        <w:jc w:val="center"/>
        <w:rPr>
          <w:noProof/>
        </w:rPr>
      </w:pPr>
      <w:r w:rsidRPr="00B076F7">
        <w:rPr>
          <w:b/>
          <w:bCs/>
          <w:noProof/>
        </w:rPr>
        <w:t>Tabl</w:t>
      </w:r>
      <w:r w:rsidR="002A6679">
        <w:rPr>
          <w:b/>
          <w:bCs/>
          <w:noProof/>
        </w:rPr>
        <w:t>e</w:t>
      </w:r>
      <w:r w:rsidRPr="00B076F7">
        <w:rPr>
          <w:b/>
          <w:bCs/>
          <w:noProof/>
        </w:rPr>
        <w:t xml:space="preserve"> </w:t>
      </w:r>
      <w:r>
        <w:rPr>
          <w:b/>
          <w:bCs/>
          <w:noProof/>
        </w:rPr>
        <w:t>4</w:t>
      </w:r>
      <w:r w:rsidRPr="00B076F7">
        <w:rPr>
          <w:b/>
          <w:bCs/>
          <w:noProof/>
        </w:rPr>
        <w:t>.</w:t>
      </w:r>
      <w:r>
        <w:rPr>
          <w:noProof/>
        </w:rPr>
        <w:t xml:space="preserve"> </w:t>
      </w:r>
      <w:r w:rsidR="002A6679" w:rsidRPr="002A6679">
        <w:rPr>
          <w:noProof/>
        </w:rPr>
        <w:t>Number of Households by Life Expectancy Category in the Next 5 Years</w:t>
      </w:r>
    </w:p>
    <w:tbl>
      <w:tblPr>
        <w:tblStyle w:val="TableGrid"/>
        <w:tblW w:w="0" w:type="auto"/>
        <w:tblInd w:w="426" w:type="dxa"/>
        <w:tblLook w:val="04A0" w:firstRow="1" w:lastRow="0" w:firstColumn="1" w:lastColumn="0" w:noHBand="0" w:noVBand="1"/>
      </w:tblPr>
      <w:tblGrid>
        <w:gridCol w:w="2148"/>
        <w:gridCol w:w="2148"/>
        <w:gridCol w:w="2147"/>
        <w:gridCol w:w="2147"/>
      </w:tblGrid>
      <w:tr w:rsidR="00D87DBB" w14:paraId="1B9387A7" w14:textId="77777777" w:rsidTr="004C1743">
        <w:tc>
          <w:tcPr>
            <w:tcW w:w="2148" w:type="dxa"/>
          </w:tcPr>
          <w:p w14:paraId="7F762D9C" w14:textId="1DF57AAB" w:rsidR="00D87DBB" w:rsidRPr="00D87DBB" w:rsidRDefault="002A6679" w:rsidP="004C1743">
            <w:pPr>
              <w:jc w:val="center"/>
              <w:rPr>
                <w:b/>
                <w:bCs/>
                <w:noProof/>
              </w:rPr>
            </w:pPr>
            <w:r w:rsidRPr="002A6679">
              <w:rPr>
                <w:b/>
                <w:bCs/>
                <w:noProof/>
              </w:rPr>
              <w:t>Expectation Category</w:t>
            </w:r>
          </w:p>
        </w:tc>
        <w:tc>
          <w:tcPr>
            <w:tcW w:w="2148" w:type="dxa"/>
          </w:tcPr>
          <w:p w14:paraId="73C0A4D1" w14:textId="2AD29E1D" w:rsidR="00D87DBB" w:rsidRPr="00D87DBB" w:rsidRDefault="00D87DBB" w:rsidP="004C1743">
            <w:pPr>
              <w:jc w:val="center"/>
              <w:rPr>
                <w:b/>
                <w:bCs/>
                <w:noProof/>
              </w:rPr>
            </w:pPr>
            <w:r w:rsidRPr="00D87DBB">
              <w:rPr>
                <w:b/>
                <w:bCs/>
                <w:noProof/>
              </w:rPr>
              <w:t>Fre</w:t>
            </w:r>
            <w:r w:rsidR="002A6679">
              <w:rPr>
                <w:b/>
                <w:bCs/>
                <w:noProof/>
              </w:rPr>
              <w:t>q</w:t>
            </w:r>
            <w:r w:rsidRPr="00D87DBB">
              <w:rPr>
                <w:b/>
                <w:bCs/>
                <w:noProof/>
              </w:rPr>
              <w:t>uen</w:t>
            </w:r>
            <w:r w:rsidR="002A6679">
              <w:rPr>
                <w:b/>
                <w:bCs/>
                <w:noProof/>
              </w:rPr>
              <w:t>cy</w:t>
            </w:r>
          </w:p>
        </w:tc>
        <w:tc>
          <w:tcPr>
            <w:tcW w:w="2147" w:type="dxa"/>
          </w:tcPr>
          <w:p w14:paraId="407FDC8A" w14:textId="084799E5" w:rsidR="00D87DBB" w:rsidRPr="00D87DBB" w:rsidRDefault="00D87DBB" w:rsidP="004C1743">
            <w:pPr>
              <w:jc w:val="center"/>
              <w:rPr>
                <w:b/>
                <w:bCs/>
                <w:noProof/>
              </w:rPr>
            </w:pPr>
            <w:r w:rsidRPr="00D87DBB">
              <w:rPr>
                <w:b/>
                <w:bCs/>
                <w:noProof/>
              </w:rPr>
              <w:t>Per</w:t>
            </w:r>
            <w:r w:rsidR="002A6679">
              <w:rPr>
                <w:b/>
                <w:bCs/>
                <w:noProof/>
              </w:rPr>
              <w:t>centage</w:t>
            </w:r>
            <w:r>
              <w:rPr>
                <w:b/>
                <w:bCs/>
                <w:noProof/>
              </w:rPr>
              <w:t xml:space="preserve"> (%)</w:t>
            </w:r>
          </w:p>
        </w:tc>
        <w:tc>
          <w:tcPr>
            <w:tcW w:w="2147" w:type="dxa"/>
          </w:tcPr>
          <w:p w14:paraId="043C624B" w14:textId="577F4848" w:rsidR="00D87DBB" w:rsidRPr="00D87DBB" w:rsidRDefault="002A6679" w:rsidP="004C1743">
            <w:pPr>
              <w:jc w:val="center"/>
              <w:rPr>
                <w:b/>
                <w:bCs/>
                <w:noProof/>
              </w:rPr>
            </w:pPr>
            <w:r>
              <w:rPr>
                <w:b/>
                <w:bCs/>
                <w:noProof/>
              </w:rPr>
              <w:t>C</w:t>
            </w:r>
            <w:r w:rsidR="00D87DBB" w:rsidRPr="00D87DBB">
              <w:rPr>
                <w:b/>
                <w:bCs/>
                <w:noProof/>
              </w:rPr>
              <w:t>umulait</w:t>
            </w:r>
            <w:r>
              <w:rPr>
                <w:b/>
                <w:bCs/>
                <w:noProof/>
              </w:rPr>
              <w:t>ve</w:t>
            </w:r>
            <w:r w:rsidR="00D87DBB">
              <w:rPr>
                <w:b/>
                <w:bCs/>
                <w:noProof/>
              </w:rPr>
              <w:t xml:space="preserve"> (%)</w:t>
            </w:r>
          </w:p>
        </w:tc>
      </w:tr>
      <w:tr w:rsidR="00D87DBB" w14:paraId="6930871C" w14:textId="77777777" w:rsidTr="004C1743">
        <w:tc>
          <w:tcPr>
            <w:tcW w:w="2148" w:type="dxa"/>
          </w:tcPr>
          <w:p w14:paraId="05C7D22F" w14:textId="370A7FEE" w:rsidR="00D87DBB" w:rsidRDefault="002A6679" w:rsidP="004C1743">
            <w:pPr>
              <w:rPr>
                <w:noProof/>
              </w:rPr>
            </w:pPr>
            <w:r w:rsidRPr="002A6679">
              <w:rPr>
                <w:noProof/>
              </w:rPr>
              <w:t>Very Good</w:t>
            </w:r>
          </w:p>
        </w:tc>
        <w:tc>
          <w:tcPr>
            <w:tcW w:w="2148" w:type="dxa"/>
          </w:tcPr>
          <w:p w14:paraId="5DD7179C" w14:textId="5A337F4A" w:rsidR="00D87DBB" w:rsidRDefault="004C6A3F" w:rsidP="004C1743">
            <w:pPr>
              <w:jc w:val="right"/>
              <w:rPr>
                <w:noProof/>
              </w:rPr>
            </w:pPr>
            <w:r>
              <w:rPr>
                <w:noProof/>
              </w:rPr>
              <w:t>366</w:t>
            </w:r>
          </w:p>
        </w:tc>
        <w:tc>
          <w:tcPr>
            <w:tcW w:w="2147" w:type="dxa"/>
          </w:tcPr>
          <w:p w14:paraId="1FB1A0E7" w14:textId="7F03E809" w:rsidR="00D87DBB" w:rsidRDefault="004C6A3F" w:rsidP="004C1743">
            <w:pPr>
              <w:jc w:val="right"/>
              <w:rPr>
                <w:noProof/>
              </w:rPr>
            </w:pPr>
            <w:r>
              <w:rPr>
                <w:noProof/>
              </w:rPr>
              <w:t>5.12</w:t>
            </w:r>
          </w:p>
        </w:tc>
        <w:tc>
          <w:tcPr>
            <w:tcW w:w="2147" w:type="dxa"/>
          </w:tcPr>
          <w:p w14:paraId="7C76809A" w14:textId="2E367385" w:rsidR="00D87DBB" w:rsidRDefault="004C6A3F" w:rsidP="004C1743">
            <w:pPr>
              <w:jc w:val="right"/>
              <w:rPr>
                <w:noProof/>
              </w:rPr>
            </w:pPr>
            <w:r>
              <w:rPr>
                <w:noProof/>
              </w:rPr>
              <w:t>5.12</w:t>
            </w:r>
          </w:p>
        </w:tc>
      </w:tr>
      <w:tr w:rsidR="00D87DBB" w14:paraId="151461FC" w14:textId="77777777" w:rsidTr="004C1743">
        <w:tc>
          <w:tcPr>
            <w:tcW w:w="2148" w:type="dxa"/>
          </w:tcPr>
          <w:p w14:paraId="05BC1E0F" w14:textId="4122518F" w:rsidR="00D87DBB" w:rsidRDefault="002A6679" w:rsidP="004C1743">
            <w:pPr>
              <w:rPr>
                <w:noProof/>
              </w:rPr>
            </w:pPr>
            <w:r w:rsidRPr="002A6679">
              <w:rPr>
                <w:noProof/>
              </w:rPr>
              <w:t>Good</w:t>
            </w:r>
          </w:p>
        </w:tc>
        <w:tc>
          <w:tcPr>
            <w:tcW w:w="2148" w:type="dxa"/>
          </w:tcPr>
          <w:p w14:paraId="1CD9D39C" w14:textId="73948A25" w:rsidR="00D87DBB" w:rsidRDefault="004C6A3F" w:rsidP="004C1743">
            <w:pPr>
              <w:jc w:val="right"/>
              <w:rPr>
                <w:noProof/>
              </w:rPr>
            </w:pPr>
            <w:r>
              <w:rPr>
                <w:noProof/>
              </w:rPr>
              <w:t>3868</w:t>
            </w:r>
          </w:p>
        </w:tc>
        <w:tc>
          <w:tcPr>
            <w:tcW w:w="2147" w:type="dxa"/>
          </w:tcPr>
          <w:p w14:paraId="6B97B6F3" w14:textId="2E0B3126" w:rsidR="00D87DBB" w:rsidRDefault="004C6A3F" w:rsidP="004C1743">
            <w:pPr>
              <w:jc w:val="right"/>
              <w:rPr>
                <w:noProof/>
              </w:rPr>
            </w:pPr>
            <w:r>
              <w:rPr>
                <w:noProof/>
              </w:rPr>
              <w:t>54.15</w:t>
            </w:r>
          </w:p>
        </w:tc>
        <w:tc>
          <w:tcPr>
            <w:tcW w:w="2147" w:type="dxa"/>
          </w:tcPr>
          <w:p w14:paraId="365279B8" w14:textId="6BDC9E1D" w:rsidR="00D87DBB" w:rsidRDefault="004C6A3F" w:rsidP="004C1743">
            <w:pPr>
              <w:jc w:val="right"/>
              <w:rPr>
                <w:noProof/>
              </w:rPr>
            </w:pPr>
            <w:r>
              <w:rPr>
                <w:noProof/>
              </w:rPr>
              <w:t>59.27</w:t>
            </w:r>
          </w:p>
        </w:tc>
      </w:tr>
      <w:tr w:rsidR="00D87DBB" w14:paraId="4E81F3B7" w14:textId="77777777" w:rsidTr="004C1743">
        <w:tc>
          <w:tcPr>
            <w:tcW w:w="2148" w:type="dxa"/>
          </w:tcPr>
          <w:p w14:paraId="49FFC7BA" w14:textId="0C4A071A" w:rsidR="00D87DBB" w:rsidRDefault="002A6679" w:rsidP="004C1743">
            <w:pPr>
              <w:rPr>
                <w:noProof/>
              </w:rPr>
            </w:pPr>
            <w:r w:rsidRPr="002A6679">
              <w:rPr>
                <w:noProof/>
              </w:rPr>
              <w:t>Poor</w:t>
            </w:r>
          </w:p>
        </w:tc>
        <w:tc>
          <w:tcPr>
            <w:tcW w:w="2148" w:type="dxa"/>
          </w:tcPr>
          <w:p w14:paraId="749E19D6" w14:textId="22C169CC" w:rsidR="00D87DBB" w:rsidRDefault="004C6A3F" w:rsidP="004C1743">
            <w:pPr>
              <w:jc w:val="right"/>
              <w:rPr>
                <w:noProof/>
              </w:rPr>
            </w:pPr>
            <w:r>
              <w:rPr>
                <w:noProof/>
              </w:rPr>
              <w:t>2342</w:t>
            </w:r>
          </w:p>
        </w:tc>
        <w:tc>
          <w:tcPr>
            <w:tcW w:w="2147" w:type="dxa"/>
          </w:tcPr>
          <w:p w14:paraId="70521CD4" w14:textId="27F29286" w:rsidR="00D87DBB" w:rsidRDefault="004C6A3F" w:rsidP="004C1743">
            <w:pPr>
              <w:jc w:val="right"/>
              <w:rPr>
                <w:noProof/>
              </w:rPr>
            </w:pPr>
            <w:r>
              <w:rPr>
                <w:noProof/>
              </w:rPr>
              <w:t>32.79</w:t>
            </w:r>
          </w:p>
        </w:tc>
        <w:tc>
          <w:tcPr>
            <w:tcW w:w="2147" w:type="dxa"/>
          </w:tcPr>
          <w:p w14:paraId="1928D50C" w14:textId="6C37440E" w:rsidR="00D87DBB" w:rsidRDefault="004C6A3F" w:rsidP="004C1743">
            <w:pPr>
              <w:jc w:val="right"/>
              <w:rPr>
                <w:noProof/>
              </w:rPr>
            </w:pPr>
            <w:r>
              <w:rPr>
                <w:noProof/>
              </w:rPr>
              <w:t>92.06</w:t>
            </w:r>
          </w:p>
        </w:tc>
      </w:tr>
      <w:tr w:rsidR="00D87DBB" w14:paraId="58D41F9E" w14:textId="77777777" w:rsidTr="004C1743">
        <w:tc>
          <w:tcPr>
            <w:tcW w:w="2148" w:type="dxa"/>
          </w:tcPr>
          <w:p w14:paraId="6A6FA2D2" w14:textId="1D3EB777" w:rsidR="00D87DBB" w:rsidRDefault="002A6679" w:rsidP="004C1743">
            <w:pPr>
              <w:rPr>
                <w:noProof/>
              </w:rPr>
            </w:pPr>
            <w:r w:rsidRPr="002A6679">
              <w:rPr>
                <w:noProof/>
              </w:rPr>
              <w:t>Very Poor</w:t>
            </w:r>
          </w:p>
        </w:tc>
        <w:tc>
          <w:tcPr>
            <w:tcW w:w="2148" w:type="dxa"/>
          </w:tcPr>
          <w:p w14:paraId="57C64F58" w14:textId="07771431" w:rsidR="00D87DBB" w:rsidRDefault="004C6A3F" w:rsidP="004C1743">
            <w:pPr>
              <w:jc w:val="right"/>
              <w:rPr>
                <w:noProof/>
              </w:rPr>
            </w:pPr>
            <w:r>
              <w:rPr>
                <w:noProof/>
              </w:rPr>
              <w:t>567</w:t>
            </w:r>
          </w:p>
        </w:tc>
        <w:tc>
          <w:tcPr>
            <w:tcW w:w="2147" w:type="dxa"/>
          </w:tcPr>
          <w:p w14:paraId="6DDEC2E0" w14:textId="356F7BBF" w:rsidR="00D87DBB" w:rsidRDefault="004C6A3F" w:rsidP="004C1743">
            <w:pPr>
              <w:jc w:val="right"/>
              <w:rPr>
                <w:noProof/>
              </w:rPr>
            </w:pPr>
            <w:r>
              <w:rPr>
                <w:noProof/>
              </w:rPr>
              <w:t>7.94</w:t>
            </w:r>
          </w:p>
        </w:tc>
        <w:tc>
          <w:tcPr>
            <w:tcW w:w="2147" w:type="dxa"/>
          </w:tcPr>
          <w:p w14:paraId="15E6F866" w14:textId="7760AC88" w:rsidR="00D87DBB" w:rsidRDefault="004C6A3F" w:rsidP="004C1743">
            <w:pPr>
              <w:jc w:val="right"/>
              <w:rPr>
                <w:noProof/>
              </w:rPr>
            </w:pPr>
            <w:r>
              <w:rPr>
                <w:noProof/>
              </w:rPr>
              <w:t>100.00</w:t>
            </w:r>
          </w:p>
        </w:tc>
      </w:tr>
      <w:tr w:rsidR="00D87DBB" w14:paraId="75F28681" w14:textId="77777777" w:rsidTr="004C1743">
        <w:tc>
          <w:tcPr>
            <w:tcW w:w="2148" w:type="dxa"/>
          </w:tcPr>
          <w:p w14:paraId="5BE18041" w14:textId="77777777" w:rsidR="00D87DBB" w:rsidRPr="00D87DBB" w:rsidRDefault="00D87DBB" w:rsidP="004C1743">
            <w:pPr>
              <w:jc w:val="center"/>
              <w:rPr>
                <w:b/>
                <w:bCs/>
                <w:noProof/>
              </w:rPr>
            </w:pPr>
            <w:r w:rsidRPr="00D87DBB">
              <w:rPr>
                <w:b/>
                <w:bCs/>
                <w:noProof/>
              </w:rPr>
              <w:t>Total</w:t>
            </w:r>
          </w:p>
        </w:tc>
        <w:tc>
          <w:tcPr>
            <w:tcW w:w="2148" w:type="dxa"/>
          </w:tcPr>
          <w:p w14:paraId="75023712" w14:textId="1D9D4475" w:rsidR="00D87DBB" w:rsidRPr="00D87DBB" w:rsidRDefault="00D87DBB" w:rsidP="004C1743">
            <w:pPr>
              <w:jc w:val="right"/>
              <w:rPr>
                <w:b/>
                <w:bCs/>
                <w:noProof/>
              </w:rPr>
            </w:pPr>
            <w:r>
              <w:rPr>
                <w:b/>
                <w:bCs/>
                <w:noProof/>
              </w:rPr>
              <w:t>714</w:t>
            </w:r>
            <w:r w:rsidR="004C6A3F">
              <w:rPr>
                <w:b/>
                <w:bCs/>
                <w:noProof/>
              </w:rPr>
              <w:t>3</w:t>
            </w:r>
          </w:p>
        </w:tc>
        <w:tc>
          <w:tcPr>
            <w:tcW w:w="2147" w:type="dxa"/>
          </w:tcPr>
          <w:p w14:paraId="7107983C" w14:textId="77777777" w:rsidR="00D87DBB" w:rsidRPr="00D87DBB" w:rsidRDefault="00D87DBB" w:rsidP="004C1743">
            <w:pPr>
              <w:jc w:val="right"/>
              <w:rPr>
                <w:b/>
                <w:bCs/>
                <w:noProof/>
              </w:rPr>
            </w:pPr>
            <w:r>
              <w:rPr>
                <w:b/>
                <w:bCs/>
                <w:noProof/>
              </w:rPr>
              <w:t>100.00</w:t>
            </w:r>
          </w:p>
        </w:tc>
        <w:tc>
          <w:tcPr>
            <w:tcW w:w="2147" w:type="dxa"/>
            <w:shd w:val="clear" w:color="auto" w:fill="808080" w:themeFill="background1" w:themeFillShade="80"/>
          </w:tcPr>
          <w:p w14:paraId="4B6828D0" w14:textId="77777777" w:rsidR="00D87DBB" w:rsidRPr="00D87DBB" w:rsidRDefault="00D87DBB" w:rsidP="004C1743">
            <w:pPr>
              <w:jc w:val="right"/>
              <w:rPr>
                <w:b/>
                <w:bCs/>
                <w:noProof/>
              </w:rPr>
            </w:pPr>
          </w:p>
        </w:tc>
      </w:tr>
    </w:tbl>
    <w:p w14:paraId="7BD1ED2E" w14:textId="77777777" w:rsidR="00D87DBB" w:rsidRDefault="00D87DBB" w:rsidP="00D87DBB">
      <w:pPr>
        <w:ind w:left="426"/>
        <w:jc w:val="both"/>
        <w:rPr>
          <w:noProof/>
        </w:rPr>
      </w:pPr>
    </w:p>
    <w:p w14:paraId="352778A9" w14:textId="16933D3D" w:rsidR="00D87DBB" w:rsidRDefault="002A6679" w:rsidP="00D87DBB">
      <w:pPr>
        <w:ind w:left="426"/>
        <w:jc w:val="both"/>
        <w:rPr>
          <w:noProof/>
        </w:rPr>
      </w:pPr>
      <w:r w:rsidRPr="002A6679">
        <w:rPr>
          <w:noProof/>
        </w:rPr>
        <w:t>The distribution of life expectancies for the next five years in Table 4 shows that the majority of the population still holds a relatively optimistic view of their ability to maintain their standard of living. Fifty-four percent of respondents stated that it was possible and 5.12 percent stated that it was very likely, resulting in a total of approximately 59.27 percent of households holding positive expectations regarding their future living conditions. However, the proportion of respondents with negative expectations was also quite large. Thirty-two percent stated that it was unlikely and 7.94 percent stated that it was very unlikely, meaning that approximately 40.73 percent of households viewed their future with a relatively high level of pessimism. This pattern indicates a fragmentation of expectations in society, where optimism and vulnerability about the future coexist significantly.</w:t>
      </w:r>
    </w:p>
    <w:p w14:paraId="6B8C71A6" w14:textId="34A3FD76" w:rsidR="00D87DBB" w:rsidRDefault="00923056" w:rsidP="00D87DBB">
      <w:pPr>
        <w:ind w:left="426"/>
        <w:jc w:val="both"/>
        <w:rPr>
          <w:noProof/>
        </w:rPr>
      </w:pPr>
      <w:r w:rsidRPr="00923056">
        <w:rPr>
          <w:noProof/>
        </w:rPr>
        <w:t>This distribution provides important insights into how uncertainty shapes people's perceptions of the future, particularly in a country like Indonesia with a high level of disaster exposure. The proportion of households with negative expectations reflects structural concerns about livelihood stability and the sustainability of well-being. In this context, the experience of repeated shocks, including disasters, has the potential to weaken people's confidence in their ability to maintain their standard of living in the medium term. Thus, these descriptive findings reinforce previous empirical results showing that disaster intensity not only impacts current well-being but also erodes people's hopes and optimism for their future.</w:t>
      </w:r>
    </w:p>
    <w:p w14:paraId="70222F35" w14:textId="4FE7EF37" w:rsidR="00B153F3" w:rsidRDefault="00B153F3" w:rsidP="00B153F3">
      <w:pPr>
        <w:ind w:left="426"/>
        <w:jc w:val="center"/>
        <w:rPr>
          <w:noProof/>
        </w:rPr>
      </w:pPr>
      <w:r w:rsidRPr="00B076F7">
        <w:rPr>
          <w:b/>
          <w:bCs/>
          <w:noProof/>
        </w:rPr>
        <w:t>Tabl</w:t>
      </w:r>
      <w:r w:rsidR="00923056">
        <w:rPr>
          <w:b/>
          <w:bCs/>
          <w:noProof/>
        </w:rPr>
        <w:t>e</w:t>
      </w:r>
      <w:r w:rsidRPr="00B076F7">
        <w:rPr>
          <w:b/>
          <w:bCs/>
          <w:noProof/>
        </w:rPr>
        <w:t xml:space="preserve"> </w:t>
      </w:r>
      <w:r>
        <w:rPr>
          <w:b/>
          <w:bCs/>
          <w:noProof/>
        </w:rPr>
        <w:t>5</w:t>
      </w:r>
      <w:r w:rsidRPr="00B076F7">
        <w:rPr>
          <w:b/>
          <w:bCs/>
          <w:noProof/>
        </w:rPr>
        <w:t>.</w:t>
      </w:r>
      <w:r>
        <w:rPr>
          <w:noProof/>
        </w:rPr>
        <w:t xml:space="preserve"> </w:t>
      </w:r>
      <w:r w:rsidR="00923056" w:rsidRPr="00923056">
        <w:rPr>
          <w:noProof/>
        </w:rPr>
        <w:t>Number of Households by Standard of Living Assessment Category</w:t>
      </w:r>
    </w:p>
    <w:tbl>
      <w:tblPr>
        <w:tblStyle w:val="TableGrid"/>
        <w:tblW w:w="0" w:type="auto"/>
        <w:tblInd w:w="426" w:type="dxa"/>
        <w:tblLook w:val="04A0" w:firstRow="1" w:lastRow="0" w:firstColumn="1" w:lastColumn="0" w:noHBand="0" w:noVBand="1"/>
      </w:tblPr>
      <w:tblGrid>
        <w:gridCol w:w="2148"/>
        <w:gridCol w:w="2148"/>
        <w:gridCol w:w="2147"/>
        <w:gridCol w:w="2147"/>
      </w:tblGrid>
      <w:tr w:rsidR="00B153F3" w14:paraId="6BA498FC" w14:textId="77777777" w:rsidTr="004C1743">
        <w:tc>
          <w:tcPr>
            <w:tcW w:w="2148" w:type="dxa"/>
          </w:tcPr>
          <w:p w14:paraId="6A79E788" w14:textId="7470DB37" w:rsidR="00B153F3" w:rsidRPr="00D87DBB" w:rsidRDefault="00923056" w:rsidP="004C1743">
            <w:pPr>
              <w:jc w:val="center"/>
              <w:rPr>
                <w:b/>
                <w:bCs/>
                <w:noProof/>
              </w:rPr>
            </w:pPr>
            <w:r w:rsidRPr="00923056">
              <w:rPr>
                <w:b/>
                <w:bCs/>
                <w:noProof/>
              </w:rPr>
              <w:t>Standard of Living Assessment Categories</w:t>
            </w:r>
          </w:p>
        </w:tc>
        <w:tc>
          <w:tcPr>
            <w:tcW w:w="2148" w:type="dxa"/>
          </w:tcPr>
          <w:p w14:paraId="61B4402B" w14:textId="434EBCD7" w:rsidR="00B153F3" w:rsidRPr="00D87DBB" w:rsidRDefault="00B153F3" w:rsidP="004C1743">
            <w:pPr>
              <w:jc w:val="center"/>
              <w:rPr>
                <w:b/>
                <w:bCs/>
                <w:noProof/>
              </w:rPr>
            </w:pPr>
            <w:r w:rsidRPr="00D87DBB">
              <w:rPr>
                <w:b/>
                <w:bCs/>
                <w:noProof/>
              </w:rPr>
              <w:t>Fre</w:t>
            </w:r>
            <w:r w:rsidR="00923056">
              <w:rPr>
                <w:b/>
                <w:bCs/>
                <w:noProof/>
              </w:rPr>
              <w:t>q</w:t>
            </w:r>
            <w:r w:rsidRPr="00D87DBB">
              <w:rPr>
                <w:b/>
                <w:bCs/>
                <w:noProof/>
              </w:rPr>
              <w:t>uen</w:t>
            </w:r>
            <w:r w:rsidR="00923056">
              <w:rPr>
                <w:b/>
                <w:bCs/>
                <w:noProof/>
              </w:rPr>
              <w:t>cy</w:t>
            </w:r>
          </w:p>
        </w:tc>
        <w:tc>
          <w:tcPr>
            <w:tcW w:w="2147" w:type="dxa"/>
          </w:tcPr>
          <w:p w14:paraId="5B0EA3CF" w14:textId="419F5FB9" w:rsidR="00B153F3" w:rsidRPr="00D87DBB" w:rsidRDefault="00B153F3" w:rsidP="004C1743">
            <w:pPr>
              <w:jc w:val="center"/>
              <w:rPr>
                <w:b/>
                <w:bCs/>
                <w:noProof/>
              </w:rPr>
            </w:pPr>
            <w:r w:rsidRPr="00D87DBB">
              <w:rPr>
                <w:b/>
                <w:bCs/>
                <w:noProof/>
              </w:rPr>
              <w:t>Per</w:t>
            </w:r>
            <w:r w:rsidR="00923056">
              <w:rPr>
                <w:b/>
                <w:bCs/>
                <w:noProof/>
              </w:rPr>
              <w:t>c</w:t>
            </w:r>
            <w:r w:rsidRPr="00D87DBB">
              <w:rPr>
                <w:b/>
                <w:bCs/>
                <w:noProof/>
              </w:rPr>
              <w:t>enta</w:t>
            </w:r>
            <w:r w:rsidR="00923056">
              <w:rPr>
                <w:b/>
                <w:bCs/>
                <w:noProof/>
              </w:rPr>
              <w:t>g</w:t>
            </w:r>
            <w:r w:rsidRPr="00D87DBB">
              <w:rPr>
                <w:b/>
                <w:bCs/>
                <w:noProof/>
              </w:rPr>
              <w:t>e</w:t>
            </w:r>
            <w:r>
              <w:rPr>
                <w:b/>
                <w:bCs/>
                <w:noProof/>
              </w:rPr>
              <w:t xml:space="preserve"> (%)</w:t>
            </w:r>
          </w:p>
        </w:tc>
        <w:tc>
          <w:tcPr>
            <w:tcW w:w="2147" w:type="dxa"/>
          </w:tcPr>
          <w:p w14:paraId="5BAF3582" w14:textId="111F9CA3" w:rsidR="00B153F3" w:rsidRPr="00D87DBB" w:rsidRDefault="00923056" w:rsidP="004C1743">
            <w:pPr>
              <w:jc w:val="center"/>
              <w:rPr>
                <w:b/>
                <w:bCs/>
                <w:noProof/>
              </w:rPr>
            </w:pPr>
            <w:r>
              <w:rPr>
                <w:b/>
                <w:bCs/>
                <w:noProof/>
              </w:rPr>
              <w:t>C</w:t>
            </w:r>
            <w:r w:rsidR="00B153F3" w:rsidRPr="00D87DBB">
              <w:rPr>
                <w:b/>
                <w:bCs/>
                <w:noProof/>
              </w:rPr>
              <w:t>umulait</w:t>
            </w:r>
            <w:r>
              <w:rPr>
                <w:b/>
                <w:bCs/>
                <w:noProof/>
              </w:rPr>
              <w:t>ve</w:t>
            </w:r>
            <w:r w:rsidR="00B153F3">
              <w:rPr>
                <w:b/>
                <w:bCs/>
                <w:noProof/>
              </w:rPr>
              <w:t xml:space="preserve"> (%)</w:t>
            </w:r>
          </w:p>
        </w:tc>
      </w:tr>
      <w:tr w:rsidR="00B153F3" w14:paraId="3E5DE04D" w14:textId="77777777" w:rsidTr="004C1743">
        <w:tc>
          <w:tcPr>
            <w:tcW w:w="2148" w:type="dxa"/>
          </w:tcPr>
          <w:p w14:paraId="248DF6CE" w14:textId="18409029" w:rsidR="00B153F3" w:rsidRDefault="00923056" w:rsidP="004C1743">
            <w:pPr>
              <w:rPr>
                <w:noProof/>
              </w:rPr>
            </w:pPr>
            <w:r w:rsidRPr="00923056">
              <w:rPr>
                <w:noProof/>
              </w:rPr>
              <w:lastRenderedPageBreak/>
              <w:t>Less Than Needs</w:t>
            </w:r>
          </w:p>
        </w:tc>
        <w:tc>
          <w:tcPr>
            <w:tcW w:w="2148" w:type="dxa"/>
          </w:tcPr>
          <w:p w14:paraId="75420F08" w14:textId="6148E58F" w:rsidR="00B153F3" w:rsidRDefault="00B153F3" w:rsidP="004C1743">
            <w:pPr>
              <w:jc w:val="right"/>
              <w:rPr>
                <w:noProof/>
              </w:rPr>
            </w:pPr>
            <w:r>
              <w:rPr>
                <w:noProof/>
              </w:rPr>
              <w:t>1773</w:t>
            </w:r>
          </w:p>
        </w:tc>
        <w:tc>
          <w:tcPr>
            <w:tcW w:w="2147" w:type="dxa"/>
          </w:tcPr>
          <w:p w14:paraId="024789B7" w14:textId="37036043" w:rsidR="00B153F3" w:rsidRDefault="00B153F3" w:rsidP="004C1743">
            <w:pPr>
              <w:jc w:val="right"/>
              <w:rPr>
                <w:noProof/>
              </w:rPr>
            </w:pPr>
            <w:r>
              <w:rPr>
                <w:noProof/>
              </w:rPr>
              <w:t>24.82</w:t>
            </w:r>
          </w:p>
        </w:tc>
        <w:tc>
          <w:tcPr>
            <w:tcW w:w="2147" w:type="dxa"/>
          </w:tcPr>
          <w:p w14:paraId="0D7AE2DD" w14:textId="7322F16F" w:rsidR="00B153F3" w:rsidRDefault="00B153F3" w:rsidP="004C1743">
            <w:pPr>
              <w:jc w:val="right"/>
              <w:rPr>
                <w:noProof/>
              </w:rPr>
            </w:pPr>
            <w:r>
              <w:rPr>
                <w:noProof/>
              </w:rPr>
              <w:t>24.82</w:t>
            </w:r>
          </w:p>
        </w:tc>
      </w:tr>
      <w:tr w:rsidR="00B153F3" w14:paraId="02C675E0" w14:textId="77777777" w:rsidTr="004C1743">
        <w:tc>
          <w:tcPr>
            <w:tcW w:w="2148" w:type="dxa"/>
          </w:tcPr>
          <w:p w14:paraId="3272B44D" w14:textId="040BB1BB" w:rsidR="00B153F3" w:rsidRDefault="00923056" w:rsidP="004C1743">
            <w:pPr>
              <w:rPr>
                <w:noProof/>
              </w:rPr>
            </w:pPr>
            <w:r w:rsidRPr="00923056">
              <w:rPr>
                <w:noProof/>
              </w:rPr>
              <w:t>Sufficient for Household Needs</w:t>
            </w:r>
          </w:p>
        </w:tc>
        <w:tc>
          <w:tcPr>
            <w:tcW w:w="2148" w:type="dxa"/>
          </w:tcPr>
          <w:p w14:paraId="757BCF00" w14:textId="7E5B3F57" w:rsidR="00B153F3" w:rsidRDefault="00B153F3" w:rsidP="004C1743">
            <w:pPr>
              <w:jc w:val="right"/>
              <w:rPr>
                <w:noProof/>
              </w:rPr>
            </w:pPr>
            <w:r>
              <w:rPr>
                <w:noProof/>
              </w:rPr>
              <w:t>3971</w:t>
            </w:r>
          </w:p>
        </w:tc>
        <w:tc>
          <w:tcPr>
            <w:tcW w:w="2147" w:type="dxa"/>
          </w:tcPr>
          <w:p w14:paraId="29C13BD2" w14:textId="026E2E05" w:rsidR="00B153F3" w:rsidRDefault="00B153F3" w:rsidP="004C1743">
            <w:pPr>
              <w:jc w:val="right"/>
              <w:rPr>
                <w:noProof/>
              </w:rPr>
            </w:pPr>
            <w:r>
              <w:rPr>
                <w:noProof/>
              </w:rPr>
              <w:t>55.59</w:t>
            </w:r>
          </w:p>
        </w:tc>
        <w:tc>
          <w:tcPr>
            <w:tcW w:w="2147" w:type="dxa"/>
          </w:tcPr>
          <w:p w14:paraId="7520B4D6" w14:textId="0DFB11A1" w:rsidR="00B153F3" w:rsidRDefault="00B153F3" w:rsidP="004C1743">
            <w:pPr>
              <w:jc w:val="right"/>
              <w:rPr>
                <w:noProof/>
              </w:rPr>
            </w:pPr>
            <w:r>
              <w:rPr>
                <w:noProof/>
              </w:rPr>
              <w:t>80.41</w:t>
            </w:r>
          </w:p>
        </w:tc>
      </w:tr>
      <w:tr w:rsidR="00B153F3" w14:paraId="4D7D464F" w14:textId="77777777" w:rsidTr="004C1743">
        <w:tc>
          <w:tcPr>
            <w:tcW w:w="2148" w:type="dxa"/>
          </w:tcPr>
          <w:p w14:paraId="12A4B6DE" w14:textId="1C581C72" w:rsidR="00B153F3" w:rsidRDefault="00923056" w:rsidP="004C1743">
            <w:pPr>
              <w:rPr>
                <w:noProof/>
              </w:rPr>
            </w:pPr>
            <w:r w:rsidRPr="00923056">
              <w:rPr>
                <w:noProof/>
              </w:rPr>
              <w:t>More Than Needs</w:t>
            </w:r>
          </w:p>
        </w:tc>
        <w:tc>
          <w:tcPr>
            <w:tcW w:w="2148" w:type="dxa"/>
          </w:tcPr>
          <w:p w14:paraId="540827BC" w14:textId="0CB4275F" w:rsidR="00B153F3" w:rsidRDefault="00B153F3" w:rsidP="004C1743">
            <w:pPr>
              <w:jc w:val="right"/>
              <w:rPr>
                <w:noProof/>
              </w:rPr>
            </w:pPr>
            <w:r>
              <w:rPr>
                <w:noProof/>
              </w:rPr>
              <w:t>1399</w:t>
            </w:r>
          </w:p>
        </w:tc>
        <w:tc>
          <w:tcPr>
            <w:tcW w:w="2147" w:type="dxa"/>
          </w:tcPr>
          <w:p w14:paraId="57E933E8" w14:textId="55DA35E0" w:rsidR="00B153F3" w:rsidRDefault="00B153F3" w:rsidP="004C1743">
            <w:pPr>
              <w:jc w:val="right"/>
              <w:rPr>
                <w:noProof/>
              </w:rPr>
            </w:pPr>
            <w:r>
              <w:rPr>
                <w:noProof/>
              </w:rPr>
              <w:t>19.59</w:t>
            </w:r>
          </w:p>
        </w:tc>
        <w:tc>
          <w:tcPr>
            <w:tcW w:w="2147" w:type="dxa"/>
          </w:tcPr>
          <w:p w14:paraId="2879389A" w14:textId="1164DAA9" w:rsidR="00B153F3" w:rsidRDefault="00B153F3" w:rsidP="004C1743">
            <w:pPr>
              <w:jc w:val="right"/>
              <w:rPr>
                <w:noProof/>
              </w:rPr>
            </w:pPr>
            <w:r>
              <w:rPr>
                <w:noProof/>
              </w:rPr>
              <w:t>100.00</w:t>
            </w:r>
          </w:p>
        </w:tc>
      </w:tr>
      <w:tr w:rsidR="00B153F3" w14:paraId="45A30731" w14:textId="77777777" w:rsidTr="004C1743">
        <w:tc>
          <w:tcPr>
            <w:tcW w:w="2148" w:type="dxa"/>
          </w:tcPr>
          <w:p w14:paraId="50C06A08" w14:textId="77777777" w:rsidR="00B153F3" w:rsidRPr="00D87DBB" w:rsidRDefault="00B153F3" w:rsidP="004C1743">
            <w:pPr>
              <w:jc w:val="center"/>
              <w:rPr>
                <w:b/>
                <w:bCs/>
                <w:noProof/>
              </w:rPr>
            </w:pPr>
            <w:r w:rsidRPr="00D87DBB">
              <w:rPr>
                <w:b/>
                <w:bCs/>
                <w:noProof/>
              </w:rPr>
              <w:t>Total</w:t>
            </w:r>
          </w:p>
        </w:tc>
        <w:tc>
          <w:tcPr>
            <w:tcW w:w="2148" w:type="dxa"/>
          </w:tcPr>
          <w:p w14:paraId="00B0883B" w14:textId="77777777" w:rsidR="00B153F3" w:rsidRPr="00D87DBB" w:rsidRDefault="00B153F3" w:rsidP="004C1743">
            <w:pPr>
              <w:jc w:val="right"/>
              <w:rPr>
                <w:b/>
                <w:bCs/>
                <w:noProof/>
              </w:rPr>
            </w:pPr>
            <w:r>
              <w:rPr>
                <w:b/>
                <w:bCs/>
                <w:noProof/>
              </w:rPr>
              <w:t>7143</w:t>
            </w:r>
          </w:p>
        </w:tc>
        <w:tc>
          <w:tcPr>
            <w:tcW w:w="2147" w:type="dxa"/>
          </w:tcPr>
          <w:p w14:paraId="0F66F250" w14:textId="77777777" w:rsidR="00B153F3" w:rsidRPr="00D87DBB" w:rsidRDefault="00B153F3" w:rsidP="004C1743">
            <w:pPr>
              <w:jc w:val="right"/>
              <w:rPr>
                <w:b/>
                <w:bCs/>
                <w:noProof/>
              </w:rPr>
            </w:pPr>
            <w:r>
              <w:rPr>
                <w:b/>
                <w:bCs/>
                <w:noProof/>
              </w:rPr>
              <w:t>100.00</w:t>
            </w:r>
          </w:p>
        </w:tc>
        <w:tc>
          <w:tcPr>
            <w:tcW w:w="2147" w:type="dxa"/>
            <w:shd w:val="clear" w:color="auto" w:fill="808080" w:themeFill="background1" w:themeFillShade="80"/>
          </w:tcPr>
          <w:p w14:paraId="7B6AA759" w14:textId="77777777" w:rsidR="00B153F3" w:rsidRPr="00D87DBB" w:rsidRDefault="00B153F3" w:rsidP="004C1743">
            <w:pPr>
              <w:jc w:val="right"/>
              <w:rPr>
                <w:b/>
                <w:bCs/>
                <w:noProof/>
              </w:rPr>
            </w:pPr>
          </w:p>
        </w:tc>
      </w:tr>
    </w:tbl>
    <w:p w14:paraId="0E14A5C0" w14:textId="77777777" w:rsidR="00923906" w:rsidRDefault="00923906" w:rsidP="00235CA5">
      <w:pPr>
        <w:ind w:left="426"/>
        <w:rPr>
          <w:noProof/>
        </w:rPr>
      </w:pPr>
    </w:p>
    <w:p w14:paraId="78897621" w14:textId="59B6D0F4" w:rsidR="00B153F3" w:rsidRDefault="00923056" w:rsidP="00B153F3">
      <w:pPr>
        <w:ind w:left="426"/>
        <w:jc w:val="both"/>
        <w:rPr>
          <w:noProof/>
        </w:rPr>
      </w:pPr>
      <w:r w:rsidRPr="00923056">
        <w:rPr>
          <w:noProof/>
        </w:rPr>
        <w:t>The distribution of household living standards assessments in Table 5 shows that the majority of households assess their living conditions as adequate to meet their needs. Fifty-five percent of respondents stated that their standard of living was adequate, while 19.59 percent assessed it as exceeding their needs. However, the proportion of households assessing their standard of living as below their needs was still relatively large, at 24.82 percent. This pattern indicates that although most households enjoy relatively adequate living conditions, nearly a quarter of households still face limitations in meeting their basic needs, placing them in a vulnerable welfare position.</w:t>
      </w:r>
    </w:p>
    <w:p w14:paraId="3FDB6092" w14:textId="3A20BA47" w:rsidR="00B153F3" w:rsidRDefault="00923056" w:rsidP="00B153F3">
      <w:pPr>
        <w:ind w:left="426"/>
        <w:jc w:val="both"/>
        <w:rPr>
          <w:noProof/>
        </w:rPr>
      </w:pPr>
      <w:r w:rsidRPr="00923056">
        <w:rPr>
          <w:noProof/>
        </w:rPr>
        <w:t>This structure of living standards provides important context for understanding the vulnerability of community well-being, particularly amidst the risk of external shocks such as disasters. Households in the subsistence category tend to have more limited adaptive capacity when faced with disruptions to livelihoods or assets. In the context of disaster-prone Indonesia, this situation suggests that disaster shocks have the potential to push households already on the edge of sufficiency into deeper deprivation. Thus, this distribution of living standards demonstrates how inequality in initial well-being capacity can magnify the impact of disasters on overall community well-being, consistent with previous empirical findings on the influence of disaster intensity on household well-being and life expectations.</w:t>
      </w:r>
    </w:p>
    <w:p w14:paraId="213B0457" w14:textId="77777777" w:rsidR="00B153F3" w:rsidRDefault="00B153F3" w:rsidP="00235CA5">
      <w:pPr>
        <w:ind w:left="426"/>
        <w:rPr>
          <w:noProof/>
        </w:rPr>
      </w:pPr>
    </w:p>
    <w:p w14:paraId="03B09F18" w14:textId="180C09CD" w:rsidR="00235CA5" w:rsidRDefault="00923056" w:rsidP="00235CA5">
      <w:pPr>
        <w:pStyle w:val="ListParagraph"/>
        <w:numPr>
          <w:ilvl w:val="0"/>
          <w:numId w:val="1"/>
        </w:numPr>
        <w:ind w:left="426"/>
        <w:rPr>
          <w:b/>
          <w:bCs/>
          <w:noProof/>
        </w:rPr>
      </w:pPr>
      <w:r>
        <w:rPr>
          <w:b/>
          <w:bCs/>
          <w:noProof/>
        </w:rPr>
        <w:t>Conclusion</w:t>
      </w:r>
    </w:p>
    <w:p w14:paraId="612902DE" w14:textId="0CC33D3A" w:rsidR="00235CA5" w:rsidRDefault="00923056" w:rsidP="006B62E7">
      <w:pPr>
        <w:ind w:left="426"/>
        <w:jc w:val="both"/>
        <w:rPr>
          <w:noProof/>
        </w:rPr>
      </w:pPr>
      <w:r w:rsidRPr="00923056">
        <w:rPr>
          <w:noProof/>
        </w:rPr>
        <w:t>This study shows that disaster intensity significantly impacts community well-being, both in terms of current perceived well-being and life expectancy over the next five years. Households exposed to disasters more frequently tend to have lower levels of life satisfaction and more pessimistic views of the future, indicating that disaster impacts are continuous and intertemporal. These findings emphasize that disasters not only cause material losses but also shape households' perceptions, sense of security, and expectations regarding the sustainability of their livelihoods. The community's welfare structure, dominated by the middle class, increasingly demonstrates vulnerability to external shocks, with repeated disaster exposure potentially eroding well-being gradually. Therefore, this study broadens understanding of disaster impacts by emphasizing the importance of subjective well-being and future expectations in assessing the implications of disasters on overall community well-being.</w:t>
      </w:r>
    </w:p>
    <w:p w14:paraId="7F0691AE" w14:textId="77777777" w:rsidR="00212FFB" w:rsidRDefault="00212FFB" w:rsidP="006B62E7">
      <w:pPr>
        <w:ind w:left="426"/>
        <w:jc w:val="both"/>
        <w:rPr>
          <w:noProof/>
        </w:rPr>
      </w:pPr>
    </w:p>
    <w:p w14:paraId="0724ED67" w14:textId="77777777" w:rsidR="00212FFB" w:rsidRDefault="00212FFB" w:rsidP="006B62E7">
      <w:pPr>
        <w:ind w:left="426"/>
        <w:jc w:val="both"/>
        <w:rPr>
          <w:noProof/>
        </w:rPr>
      </w:pPr>
    </w:p>
    <w:p w14:paraId="45B67AAE" w14:textId="77777777" w:rsidR="00212FFB" w:rsidRPr="00212FFB" w:rsidRDefault="00212FFB" w:rsidP="00212FFB">
      <w:pPr>
        <w:spacing w:after="200" w:line="276" w:lineRule="auto"/>
        <w:jc w:val="both"/>
        <w:outlineLvl w:val="0"/>
        <w:rPr>
          <w:rFonts w:ascii="Arial" w:eastAsia="Times New Roman" w:hAnsi="Arial" w:cs="Arial"/>
          <w:kern w:val="0"/>
          <w:lang w:val="en-GB" w:eastAsia="en-GB"/>
          <w14:ligatures w14:val="none"/>
        </w:rPr>
      </w:pPr>
      <w:r w:rsidRPr="00212FFB">
        <w:rPr>
          <w:rFonts w:ascii="Arial" w:eastAsia="Times New Roman" w:hAnsi="Arial" w:cs="Arial"/>
          <w:b/>
          <w:bCs/>
          <w:kern w:val="0"/>
          <w:lang w:val="en-GB" w:eastAsia="en-GB"/>
          <w14:ligatures w14:val="none"/>
        </w:rPr>
        <w:t>COMPETING INTERESTS DISCLAIMER:</w:t>
      </w:r>
    </w:p>
    <w:p w14:paraId="048D4A25" w14:textId="77777777" w:rsidR="00212FFB" w:rsidRPr="00212FFB" w:rsidRDefault="00212FFB" w:rsidP="00212FFB">
      <w:pPr>
        <w:spacing w:after="200" w:line="276" w:lineRule="auto"/>
        <w:rPr>
          <w:rFonts w:ascii="Calibri" w:eastAsia="Times New Roman" w:hAnsi="Calibri" w:cs="Times New Roman"/>
          <w:kern w:val="0"/>
          <w:lang w:val="en-GB" w:eastAsia="en-GB"/>
          <w14:ligatures w14:val="none"/>
        </w:rPr>
      </w:pPr>
      <w:r w:rsidRPr="00212FF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30BB621" w14:textId="77777777" w:rsidR="00212FFB" w:rsidRPr="006B62E7" w:rsidRDefault="00212FFB" w:rsidP="006B62E7">
      <w:pPr>
        <w:ind w:left="426"/>
        <w:jc w:val="both"/>
        <w:rPr>
          <w:noProof/>
        </w:rPr>
      </w:pPr>
    </w:p>
    <w:p w14:paraId="0EC65D25" w14:textId="77777777" w:rsidR="00235CA5" w:rsidRDefault="00235CA5" w:rsidP="00235CA5">
      <w:pPr>
        <w:ind w:left="426"/>
        <w:rPr>
          <w:b/>
          <w:bCs/>
          <w:noProof/>
        </w:rPr>
      </w:pPr>
    </w:p>
    <w:p w14:paraId="12083D6C" w14:textId="2A9DD6DF" w:rsidR="00235CA5" w:rsidRPr="00235CA5" w:rsidRDefault="00923056" w:rsidP="00235CA5">
      <w:pPr>
        <w:rPr>
          <w:b/>
          <w:bCs/>
          <w:noProof/>
        </w:rPr>
      </w:pPr>
      <w:r>
        <w:rPr>
          <w:b/>
          <w:bCs/>
          <w:noProof/>
        </w:rPr>
        <w:t>References</w:t>
      </w:r>
    </w:p>
    <w:p w14:paraId="1CEAD066" w14:textId="77777777" w:rsidR="00174EB9" w:rsidRPr="00083FB3" w:rsidRDefault="00A8024C" w:rsidP="00083FB3">
      <w:pPr>
        <w:widowControl w:val="0"/>
        <w:autoSpaceDE w:val="0"/>
        <w:autoSpaceDN w:val="0"/>
        <w:adjustRightInd w:val="0"/>
        <w:spacing w:line="240" w:lineRule="auto"/>
        <w:ind w:left="360"/>
        <w:rPr>
          <w:rFonts w:ascii="Calibri" w:hAnsi="Calibri" w:cs="Calibri"/>
          <w:noProof/>
          <w:kern w:val="0"/>
        </w:rPr>
      </w:pPr>
      <w:r>
        <w:rPr>
          <w:noProof/>
        </w:rPr>
        <w:fldChar w:fldCharType="begin" w:fldLock="1"/>
      </w:r>
      <w:r>
        <w:rPr>
          <w:noProof/>
        </w:rPr>
        <w:instrText xml:space="preserve">ADDIN Mendeley Bibliography CSL_BIBLIOGRAPHY </w:instrText>
      </w:r>
      <w:r>
        <w:rPr>
          <w:noProof/>
        </w:rPr>
        <w:fldChar w:fldCharType="separate"/>
      </w:r>
      <w:r w:rsidR="00174EB9" w:rsidRPr="00174EB9">
        <w:t xml:space="preserve"> </w:t>
      </w:r>
      <w:r w:rsidR="00174EB9" w:rsidRPr="00083FB3">
        <w:rPr>
          <w:rFonts w:ascii="Calibri" w:hAnsi="Calibri" w:cs="Calibri"/>
          <w:noProof/>
          <w:kern w:val="0"/>
        </w:rPr>
        <w:t>Ahmad, M. M., Yaseen, M., &amp; Saqib, S. E. (2022). Climate change impacts of drought on the livelihood of dryland smallholders: Implications of adaptation challenges. International Journal of Disaster Risk Reduction, 80, 103210. https://doi.org/10.1016/j.ijdrr.2022.103210</w:t>
      </w:r>
    </w:p>
    <w:p w14:paraId="27D30696"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Bhadra, S., &amp; Dyer, A. R. (2022). Resilience and well-being among the survivors of natural disasters and conflicts. In Handbook of health and well-being: Challenges, strategies and future trends (pp. 637–667). Springer. https://doi.org/10.1007/978-981-16-8263-6_27</w:t>
      </w:r>
    </w:p>
    <w:p w14:paraId="65C96AC5"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Bonanno, G. A., Chen, S., Bagrodia, R., &amp; Galatzer-Levy, I. R. (2024). Resilience and disaster: Flexible adaptation in the face of uncertain threat. Annual Review of Psychology, 75(1), 573–599. https://doi.org/10.1146/annurev-psych-011123-024224</w:t>
      </w:r>
    </w:p>
    <w:p w14:paraId="5B462A51"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Buheji, M., &amp; Mushimiyimana, E. (2024). (Gaza 2024) Revising the 'Reasons to Live' An Assessment of Current Scenarios &amp; Foresighted Future. International Journal of Management (IJM), 15(1). https://doi.org/10.17605/OSF.IO/9RMSN</w:t>
      </w:r>
    </w:p>
    <w:p w14:paraId="658B4F34"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Cvetković, V. M., &amp; Šišović, V. (2024). Understanding the sustainable development of community (social) disaster resilience in Serbia: Demographic and socio-economic impacts. Sustainability, 16(7), 2620. https://doi.org/10.3390/su16072620</w:t>
      </w:r>
    </w:p>
    <w:p w14:paraId="468B1EE8"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Frijters, P., Johnston, D. W., Knott, R. J., &amp; Torgler, B. (2023). Resilience to disaster: Evidence from American wellbeing data. Global Environmental Change, 79, 102639. https://doi.org/10.1016/j.gloenvcha.2023.102639</w:t>
      </w:r>
    </w:p>
    <w:p w14:paraId="3528F958"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Galderisi, A., Menoni, S., Setti, G., &amp; Tognon, A. (2022). Disaster recovery reform and resilience. In Disaster risk reduction for resilience: Disaster and social aspects (pp. 25–54). Springer. https://doi.org/10.1007/978-3-030-99063-3_2</w:t>
      </w:r>
    </w:p>
    <w:p w14:paraId="2875B038"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Gunby, N., &amp; Coupé, T. (2023). Weather-Related Home Damage and Subjective Well-Being. Environmental and Resource Economics, 84(2), 409–438. https://doi.org/10.1007/s10640-022-00728-4</w:t>
      </w:r>
    </w:p>
    <w:p w14:paraId="66735D74" w14:textId="77777777" w:rsidR="00174EB9"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Guo, X., Cheng, J., Yin, C., Li, Q., Chen, R., &amp; Fang, J. (2023). The extraordinary Zhengzhou flood of 7/20, 2021: How extreme weather and human response compounding to the disaster. Cities. https://doi.org/10.1016/j.cities.2022.104168</w:t>
      </w:r>
    </w:p>
    <w:p w14:paraId="0B3AE87D" w14:textId="7CD9808B" w:rsidR="00A8024C"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Huang, L. (2022). Effect of natural hazards on the income and sense of subjective well-being of rural residents: evidence from rural China. Frontiers in Ecology and Evolution, 10, 898557. https://doi.org/10.3389/fevo.2022.898557</w:t>
      </w:r>
      <w:r w:rsidR="00A8024C" w:rsidRPr="00083FB3">
        <w:rPr>
          <w:rFonts w:ascii="Calibri" w:hAnsi="Calibri" w:cs="Calibri"/>
          <w:noProof/>
          <w:kern w:val="0"/>
        </w:rPr>
        <w:t>.</w:t>
      </w:r>
    </w:p>
    <w:p w14:paraId="6DF5C27F" w14:textId="20E88342" w:rsidR="00A8024C"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Mende, M., Bradford, T. W., Roggeveen, A. L., Scott, M. L., &amp; Zavala, M. (2024). Consumer vulnerability dynamics and marketing: Conceptual foundations and future research opportunities. Journal of the Academy of Marketing Science, 52(5), 1301–1322. https://doi.org/10.1007/s11747-024-01039-4</w:t>
      </w:r>
      <w:r w:rsidR="00A8024C" w:rsidRPr="00083FB3">
        <w:rPr>
          <w:rFonts w:ascii="Calibri" w:hAnsi="Calibri" w:cs="Calibri"/>
          <w:noProof/>
          <w:kern w:val="0"/>
        </w:rPr>
        <w:t>.</w:t>
      </w:r>
    </w:p>
    <w:p w14:paraId="08338018" w14:textId="7C794DD9" w:rsidR="00A8024C"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Park, S., Yabe, T., &amp; Ukkusuri, S. V. (2024). Post-disaster recovery policy assessment of urban socio-physical systems. Computers, Environment and Urban Systems, 114, 102184. https://doi.org/10.1016/j.compenvurbsys.2024.102184</w:t>
      </w:r>
      <w:r w:rsidR="00A8024C" w:rsidRPr="00083FB3">
        <w:rPr>
          <w:rFonts w:ascii="Calibri" w:hAnsi="Calibri" w:cs="Calibri"/>
          <w:noProof/>
          <w:kern w:val="0"/>
        </w:rPr>
        <w:t>.</w:t>
      </w:r>
    </w:p>
    <w:p w14:paraId="3AC5D93C" w14:textId="40E67EF5" w:rsidR="00A8024C" w:rsidRPr="00083FB3" w:rsidRDefault="00174EB9" w:rsidP="00083FB3">
      <w:pPr>
        <w:widowControl w:val="0"/>
        <w:autoSpaceDE w:val="0"/>
        <w:autoSpaceDN w:val="0"/>
        <w:adjustRightInd w:val="0"/>
        <w:spacing w:line="240" w:lineRule="auto"/>
        <w:ind w:left="360"/>
        <w:rPr>
          <w:rFonts w:ascii="Calibri" w:hAnsi="Calibri" w:cs="Calibri"/>
          <w:noProof/>
          <w:kern w:val="0"/>
        </w:rPr>
      </w:pPr>
      <w:r w:rsidRPr="00083FB3">
        <w:rPr>
          <w:rFonts w:ascii="Calibri" w:hAnsi="Calibri" w:cs="Calibri"/>
          <w:noProof/>
          <w:kern w:val="0"/>
        </w:rPr>
        <w:t xml:space="preserve">Strough, J., Parker, A. M., Ayer, L., Parks, V., &amp; Finucane, M. L. (2024). Aging and emotional well-being after disasters: Vulnerability and resilience. The Gerontologist, 64(3), gnad099. </w:t>
      </w:r>
      <w:r w:rsidRPr="00083FB3">
        <w:rPr>
          <w:rFonts w:ascii="Calibri" w:hAnsi="Calibri" w:cs="Calibri"/>
          <w:noProof/>
          <w:kern w:val="0"/>
        </w:rPr>
        <w:lastRenderedPageBreak/>
        <w:t>https://doi.org/10.1093/geront/gnad099</w:t>
      </w:r>
      <w:r w:rsidR="00A8024C" w:rsidRPr="00083FB3">
        <w:rPr>
          <w:rFonts w:ascii="Calibri" w:hAnsi="Calibri" w:cs="Calibri"/>
          <w:noProof/>
          <w:kern w:val="0"/>
        </w:rPr>
        <w:t>.</w:t>
      </w:r>
    </w:p>
    <w:p w14:paraId="532B9555" w14:textId="260F7436" w:rsidR="00A8024C" w:rsidRPr="00083FB3" w:rsidRDefault="00174EB9" w:rsidP="00083FB3">
      <w:pPr>
        <w:widowControl w:val="0"/>
        <w:autoSpaceDE w:val="0"/>
        <w:autoSpaceDN w:val="0"/>
        <w:adjustRightInd w:val="0"/>
        <w:spacing w:line="240" w:lineRule="auto"/>
        <w:ind w:left="360"/>
        <w:rPr>
          <w:rFonts w:ascii="Calibri" w:hAnsi="Calibri" w:cs="Calibri"/>
          <w:noProof/>
        </w:rPr>
      </w:pPr>
      <w:r w:rsidRPr="00083FB3">
        <w:rPr>
          <w:rFonts w:ascii="Calibri" w:hAnsi="Calibri" w:cs="Calibri"/>
          <w:noProof/>
          <w:kern w:val="0"/>
        </w:rPr>
        <w:t>Wahyono, E., Prayoga, R. A., Hakim, F. N., Solekha, N., Fatimah, S., Purbandini, L., Wibowo, D. P., &amp; Saparita, R. (2023). Economic mitigation institutions: A new approach to livelihood systems in disaster-prone areas. Society, 11(1), 52–63 https://doi.org/10.33019/society.v11i1.538</w:t>
      </w:r>
      <w:r w:rsidR="00A8024C" w:rsidRPr="00083FB3">
        <w:rPr>
          <w:rFonts w:ascii="Calibri" w:hAnsi="Calibri" w:cs="Calibri"/>
          <w:noProof/>
          <w:kern w:val="0"/>
        </w:rPr>
        <w:t>.</w:t>
      </w:r>
    </w:p>
    <w:p w14:paraId="68D412DC" w14:textId="018A83BA" w:rsidR="00235CA5" w:rsidRDefault="00A8024C" w:rsidP="00083FB3">
      <w:pPr>
        <w:rPr>
          <w:noProof/>
        </w:rPr>
      </w:pPr>
      <w:r>
        <w:rPr>
          <w:noProof/>
        </w:rPr>
        <w:fldChar w:fldCharType="end"/>
      </w:r>
    </w:p>
    <w:p w14:paraId="5B532495" w14:textId="05F0CE44" w:rsidR="00325D1F" w:rsidRDefault="00325D1F"/>
    <w:p w14:paraId="3116A4F1" w14:textId="77777777" w:rsidR="00D87DBB" w:rsidRDefault="00D87DBB"/>
    <w:p w14:paraId="5B28B281" w14:textId="77777777" w:rsidR="00D87DBB" w:rsidRDefault="00D87DBB"/>
    <w:p w14:paraId="2FAD9790" w14:textId="72E3F82E" w:rsidR="00D51206" w:rsidRDefault="00D51206"/>
    <w:p w14:paraId="09890AC3" w14:textId="77777777" w:rsidR="00D51206" w:rsidRDefault="00D51206"/>
    <w:sectPr w:rsidR="00D512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C84B7" w14:textId="77777777" w:rsidR="00715239" w:rsidRDefault="00715239" w:rsidP="00BB3659">
      <w:pPr>
        <w:spacing w:after="0" w:line="240" w:lineRule="auto"/>
      </w:pPr>
      <w:r>
        <w:separator/>
      </w:r>
    </w:p>
  </w:endnote>
  <w:endnote w:type="continuationSeparator" w:id="0">
    <w:p w14:paraId="70C4EE3C" w14:textId="77777777" w:rsidR="00715239" w:rsidRDefault="00715239" w:rsidP="00BB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52F8" w14:textId="77777777" w:rsidR="00370701" w:rsidRDefault="00370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E493" w14:textId="77777777" w:rsidR="00370701" w:rsidRDefault="00370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FD38" w14:textId="77777777" w:rsidR="00370701" w:rsidRDefault="0037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928BB" w14:textId="77777777" w:rsidR="00715239" w:rsidRDefault="00715239" w:rsidP="00BB3659">
      <w:pPr>
        <w:spacing w:after="0" w:line="240" w:lineRule="auto"/>
      </w:pPr>
      <w:r>
        <w:separator/>
      </w:r>
    </w:p>
  </w:footnote>
  <w:footnote w:type="continuationSeparator" w:id="0">
    <w:p w14:paraId="2B25AE70" w14:textId="77777777" w:rsidR="00715239" w:rsidRDefault="00715239" w:rsidP="00BB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5D3B" w14:textId="6308C874" w:rsidR="00370701" w:rsidRDefault="00370701">
    <w:pPr>
      <w:pStyle w:val="Header"/>
    </w:pPr>
    <w:r>
      <w:rPr>
        <w:noProof/>
      </w:rPr>
      <w:pict w14:anchorId="4D020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56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DD2B" w14:textId="1A8915FE" w:rsidR="00370701" w:rsidRDefault="00370701">
    <w:pPr>
      <w:pStyle w:val="Header"/>
    </w:pPr>
    <w:r>
      <w:rPr>
        <w:noProof/>
      </w:rPr>
      <w:pict w14:anchorId="11663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56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841A" w14:textId="500A24D7" w:rsidR="00370701" w:rsidRDefault="00370701">
    <w:pPr>
      <w:pStyle w:val="Header"/>
    </w:pPr>
    <w:r>
      <w:rPr>
        <w:noProof/>
      </w:rPr>
      <w:pict w14:anchorId="4DF52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556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6752"/>
    <w:multiLevelType w:val="hybridMultilevel"/>
    <w:tmpl w:val="A0BE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D43387"/>
    <w:multiLevelType w:val="hybridMultilevel"/>
    <w:tmpl w:val="1E2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D7CD1"/>
    <w:multiLevelType w:val="hybridMultilevel"/>
    <w:tmpl w:val="885EF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84534"/>
    <w:multiLevelType w:val="hybridMultilevel"/>
    <w:tmpl w:val="3C6C6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B0E20"/>
    <w:multiLevelType w:val="hybridMultilevel"/>
    <w:tmpl w:val="471C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39"/>
    <w:rsid w:val="00003664"/>
    <w:rsid w:val="00083FB3"/>
    <w:rsid w:val="001714D6"/>
    <w:rsid w:val="00174EB9"/>
    <w:rsid w:val="0018521D"/>
    <w:rsid w:val="00190C83"/>
    <w:rsid w:val="001D0ED7"/>
    <w:rsid w:val="002122B9"/>
    <w:rsid w:val="00212FFB"/>
    <w:rsid w:val="00235CA5"/>
    <w:rsid w:val="002A6679"/>
    <w:rsid w:val="003202A5"/>
    <w:rsid w:val="00325D1F"/>
    <w:rsid w:val="00334140"/>
    <w:rsid w:val="0034567C"/>
    <w:rsid w:val="00370701"/>
    <w:rsid w:val="003758D3"/>
    <w:rsid w:val="0041180D"/>
    <w:rsid w:val="004765BD"/>
    <w:rsid w:val="00477C7B"/>
    <w:rsid w:val="004C6A3F"/>
    <w:rsid w:val="006472C6"/>
    <w:rsid w:val="0065690D"/>
    <w:rsid w:val="00687B7E"/>
    <w:rsid w:val="006A645B"/>
    <w:rsid w:val="006B62E7"/>
    <w:rsid w:val="00715239"/>
    <w:rsid w:val="00727E96"/>
    <w:rsid w:val="007522EF"/>
    <w:rsid w:val="00861AEA"/>
    <w:rsid w:val="008A2560"/>
    <w:rsid w:val="008E6FA5"/>
    <w:rsid w:val="008F4917"/>
    <w:rsid w:val="008F5A5A"/>
    <w:rsid w:val="00923056"/>
    <w:rsid w:val="00923906"/>
    <w:rsid w:val="00990CCA"/>
    <w:rsid w:val="009E0748"/>
    <w:rsid w:val="00A8024C"/>
    <w:rsid w:val="00B076F7"/>
    <w:rsid w:val="00B153F3"/>
    <w:rsid w:val="00B65905"/>
    <w:rsid w:val="00BB3659"/>
    <w:rsid w:val="00CD3858"/>
    <w:rsid w:val="00D51206"/>
    <w:rsid w:val="00D87DBB"/>
    <w:rsid w:val="00E12E06"/>
    <w:rsid w:val="00E41CA5"/>
    <w:rsid w:val="00E76A0B"/>
    <w:rsid w:val="00EC2367"/>
    <w:rsid w:val="00F31A27"/>
    <w:rsid w:val="00F90CFF"/>
    <w:rsid w:val="00FC01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8E540"/>
  <w15:chartTrackingRefBased/>
  <w15:docId w15:val="{BA1F5314-87B3-46D6-95BA-38963005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39"/>
    <w:rPr>
      <w:rFonts w:eastAsiaTheme="majorEastAsia" w:cstheme="majorBidi"/>
      <w:color w:val="272727" w:themeColor="text1" w:themeTint="D8"/>
    </w:rPr>
  </w:style>
  <w:style w:type="paragraph" w:styleId="Title">
    <w:name w:val="Title"/>
    <w:basedOn w:val="Normal"/>
    <w:next w:val="Normal"/>
    <w:link w:val="TitleChar"/>
    <w:uiPriority w:val="10"/>
    <w:qFormat/>
    <w:rsid w:val="00FC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39"/>
    <w:pPr>
      <w:spacing w:before="160"/>
      <w:jc w:val="center"/>
    </w:pPr>
    <w:rPr>
      <w:i/>
      <w:iCs/>
      <w:color w:val="404040" w:themeColor="text1" w:themeTint="BF"/>
    </w:rPr>
  </w:style>
  <w:style w:type="character" w:customStyle="1" w:styleId="QuoteChar">
    <w:name w:val="Quote Char"/>
    <w:basedOn w:val="DefaultParagraphFont"/>
    <w:link w:val="Quote"/>
    <w:uiPriority w:val="29"/>
    <w:rsid w:val="00FC0139"/>
    <w:rPr>
      <w:i/>
      <w:iCs/>
      <w:color w:val="404040" w:themeColor="text1" w:themeTint="BF"/>
    </w:rPr>
  </w:style>
  <w:style w:type="paragraph" w:styleId="ListParagraph">
    <w:name w:val="List Paragraph"/>
    <w:basedOn w:val="Normal"/>
    <w:uiPriority w:val="34"/>
    <w:qFormat/>
    <w:rsid w:val="00FC0139"/>
    <w:pPr>
      <w:ind w:left="720"/>
      <w:contextualSpacing/>
    </w:pPr>
  </w:style>
  <w:style w:type="character" w:styleId="IntenseEmphasis">
    <w:name w:val="Intense Emphasis"/>
    <w:basedOn w:val="DefaultParagraphFont"/>
    <w:uiPriority w:val="21"/>
    <w:qFormat/>
    <w:rsid w:val="00FC0139"/>
    <w:rPr>
      <w:i/>
      <w:iCs/>
      <w:color w:val="2F5496" w:themeColor="accent1" w:themeShade="BF"/>
    </w:rPr>
  </w:style>
  <w:style w:type="paragraph" w:styleId="IntenseQuote">
    <w:name w:val="Intense Quote"/>
    <w:basedOn w:val="Normal"/>
    <w:next w:val="Normal"/>
    <w:link w:val="IntenseQuoteChar"/>
    <w:uiPriority w:val="30"/>
    <w:qFormat/>
    <w:rsid w:val="00FC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139"/>
    <w:rPr>
      <w:i/>
      <w:iCs/>
      <w:color w:val="2F5496" w:themeColor="accent1" w:themeShade="BF"/>
    </w:rPr>
  </w:style>
  <w:style w:type="character" w:styleId="IntenseReference">
    <w:name w:val="Intense Reference"/>
    <w:basedOn w:val="DefaultParagraphFont"/>
    <w:uiPriority w:val="32"/>
    <w:qFormat/>
    <w:rsid w:val="00FC0139"/>
    <w:rPr>
      <w:b/>
      <w:bCs/>
      <w:smallCaps/>
      <w:color w:val="2F5496" w:themeColor="accent1" w:themeShade="BF"/>
      <w:spacing w:val="5"/>
    </w:rPr>
  </w:style>
  <w:style w:type="table" w:styleId="TableGrid">
    <w:name w:val="Table Grid"/>
    <w:basedOn w:val="TableNormal"/>
    <w:uiPriority w:val="39"/>
    <w:rsid w:val="0072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659"/>
  </w:style>
  <w:style w:type="paragraph" w:styleId="Footer">
    <w:name w:val="footer"/>
    <w:basedOn w:val="Normal"/>
    <w:link w:val="FooterChar"/>
    <w:uiPriority w:val="99"/>
    <w:unhideWhenUsed/>
    <w:rsid w:val="00BB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659"/>
  </w:style>
  <w:style w:type="character" w:styleId="Hyperlink">
    <w:name w:val="Hyperlink"/>
    <w:basedOn w:val="DefaultParagraphFont"/>
    <w:uiPriority w:val="99"/>
    <w:unhideWhenUsed/>
    <w:rsid w:val="001D0ED7"/>
    <w:rPr>
      <w:color w:val="0563C1" w:themeColor="hyperlink"/>
      <w:u w:val="single"/>
    </w:rPr>
  </w:style>
  <w:style w:type="character" w:styleId="UnresolvedMention">
    <w:name w:val="Unresolved Mention"/>
    <w:basedOn w:val="DefaultParagraphFont"/>
    <w:uiPriority w:val="99"/>
    <w:semiHidden/>
    <w:unhideWhenUsed/>
    <w:rsid w:val="001D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557C-8B09-4D46-B45D-51172F32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1084</cp:lastModifiedBy>
  <cp:revision>27</cp:revision>
  <dcterms:created xsi:type="dcterms:W3CDTF">2025-12-30T04:19:00Z</dcterms:created>
  <dcterms:modified xsi:type="dcterms:W3CDTF">2026-01-03T09:38:00Z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