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855BB6A" w14:textId="63BCFD30" w:rsidR="009D77D1" w:rsidRDefault="00FE4473" w:rsidP="007E0EA4">
      <w:pPr>
        <w:jc w:val="both"/>
        <w:rPr>
          <w:rFonts w:ascii="Times New Roman" w:hAnsi="Times New Roman" w:cs="Times New Roman"/>
          <w:b/>
          <w:bCs/>
          <w:sz w:val="24"/>
          <w:szCs w:val="24"/>
        </w:rPr>
      </w:pPr>
      <w:r w:rsidRPr="006614C8">
        <w:rPr>
          <w:rFonts w:ascii="Times New Roman" w:hAnsi="Times New Roman" w:cs="Times New Roman"/>
          <w:b/>
          <w:bCs/>
          <w:sz w:val="24"/>
          <w:szCs w:val="24"/>
        </w:rPr>
        <w:t>Greening the Public Sector: Institutionalizing Green Human Resource Management for Sustainable Governance</w:t>
      </w:r>
    </w:p>
    <w:p w14:paraId="60AB4C08" w14:textId="55FBE2D6" w:rsidR="00FB6A26" w:rsidRDefault="00FB6A26" w:rsidP="007E0EA4">
      <w:pPr>
        <w:jc w:val="both"/>
        <w:rPr>
          <w:rFonts w:ascii="Times New Roman" w:hAnsi="Times New Roman" w:cs="Times New Roman"/>
          <w:b/>
          <w:bCs/>
          <w:sz w:val="24"/>
          <w:szCs w:val="24"/>
        </w:rPr>
      </w:pPr>
    </w:p>
    <w:p w14:paraId="3B3A049C" w14:textId="77777777" w:rsidR="00B22C89" w:rsidRPr="006614C8" w:rsidRDefault="00B22C89" w:rsidP="007E0EA4">
      <w:pPr>
        <w:jc w:val="both"/>
        <w:rPr>
          <w:rFonts w:ascii="Times New Roman" w:hAnsi="Times New Roman" w:cs="Times New Roman"/>
          <w:b/>
          <w:bCs/>
          <w:sz w:val="24"/>
          <w:szCs w:val="24"/>
        </w:rPr>
      </w:pPr>
    </w:p>
    <w:p w14:paraId="49CB773C" w14:textId="77777777" w:rsidR="006614C8" w:rsidRPr="006614C8" w:rsidRDefault="006614C8" w:rsidP="006614C8">
      <w:pPr>
        <w:jc w:val="both"/>
        <w:rPr>
          <w:rFonts w:ascii="Times New Roman" w:hAnsi="Times New Roman" w:cs="Times New Roman"/>
          <w:b/>
          <w:bCs/>
          <w:sz w:val="24"/>
          <w:szCs w:val="24"/>
        </w:rPr>
      </w:pPr>
      <w:r w:rsidRPr="006614C8">
        <w:rPr>
          <w:rFonts w:ascii="Times New Roman" w:hAnsi="Times New Roman" w:cs="Times New Roman"/>
          <w:b/>
          <w:bCs/>
          <w:sz w:val="24"/>
          <w:szCs w:val="24"/>
        </w:rPr>
        <w:t>Abstract</w:t>
      </w:r>
    </w:p>
    <w:p w14:paraId="258DCA41" w14:textId="47905B15" w:rsidR="006614C8" w:rsidRPr="006614C8" w:rsidRDefault="006614C8" w:rsidP="006614C8">
      <w:pPr>
        <w:jc w:val="both"/>
        <w:rPr>
          <w:rFonts w:ascii="Times New Roman" w:hAnsi="Times New Roman" w:cs="Times New Roman"/>
          <w:sz w:val="24"/>
          <w:szCs w:val="24"/>
        </w:rPr>
      </w:pPr>
      <w:r w:rsidRPr="006614C8">
        <w:rPr>
          <w:rFonts w:ascii="Times New Roman" w:hAnsi="Times New Roman" w:cs="Times New Roman"/>
          <w:sz w:val="24"/>
          <w:szCs w:val="24"/>
        </w:rPr>
        <w:t>This study investigates how Green Human Resource Management (GHRM) practices are adopted and institutionalized within Uganda’s public sector, examining why sustainability-oriented reforms often remain symbolic despite increasing global and national commitments to environmental governance. Guided by Institutional Theory and the Ability–Motivation–Opportunity (AMO) model, the study employs a qualitative multiple-case study design involving 28 participants drawn from ministries, municipal councils, and semi-autonomous regulatory agencies. Data were collected through semi-structured interviews, document reviews, and observations, and analyzed thematically using NVivo 14. The findings reveal that while public agencies increasingly adopt the language of sustainability in HR policies, implementation remains shallow. Coercive and normative pressures from government and donors promote policy adoption, but rigid civil service rules, fragmented coordination, and limited technical capacity constrain operationalization. Weak incentives and minimal employee participation further undermine motivation and ownership of green initiatives. GHRM adoption thus reflects institutional decoupling, where legitimacy is achieved symbolically rather than through behavioral or structural transformation. To embed GHRM effectively, public agencies should strengthen cross-functional collaboration between HR and environmental units, reform civil service appraisal systems to include green indicators, invest in capacity development, and institutionalize participatory mechanisms that enhance legitimacy and employee engagement. This study extends GHRM research into the public sector of a developing country, demonstrating how institutional constraints and AMO mechanisms interact to shape sustainability implementation. It provides a nuanced, multi-level framework linking external legitimacy pressures with internal behavioral capability in public administration.</w:t>
      </w:r>
    </w:p>
    <w:p w14:paraId="4B94D509" w14:textId="77777777" w:rsidR="006614C8" w:rsidRPr="006614C8" w:rsidRDefault="006614C8" w:rsidP="006614C8">
      <w:pPr>
        <w:jc w:val="both"/>
        <w:rPr>
          <w:rFonts w:ascii="Times New Roman" w:hAnsi="Times New Roman" w:cs="Times New Roman"/>
          <w:sz w:val="24"/>
          <w:szCs w:val="24"/>
        </w:rPr>
      </w:pPr>
      <w:r w:rsidRPr="006614C8">
        <w:rPr>
          <w:rFonts w:ascii="Times New Roman" w:hAnsi="Times New Roman" w:cs="Times New Roman"/>
          <w:b/>
          <w:bCs/>
          <w:sz w:val="24"/>
          <w:szCs w:val="24"/>
        </w:rPr>
        <w:t>Keywords:</w:t>
      </w:r>
      <w:r w:rsidRPr="006614C8">
        <w:rPr>
          <w:rFonts w:ascii="Times New Roman" w:hAnsi="Times New Roman" w:cs="Times New Roman"/>
          <w:sz w:val="24"/>
          <w:szCs w:val="24"/>
        </w:rPr>
        <w:t xml:space="preserve"> Green Human Resource Management (GHRM); Institutional Theory; AMO model; Public Sector; Sustainability; Uganda.</w:t>
      </w:r>
    </w:p>
    <w:p w14:paraId="0099F465" w14:textId="77777777" w:rsidR="00FE4473" w:rsidRPr="00FE4473" w:rsidRDefault="00FE4473" w:rsidP="007E0EA4">
      <w:pPr>
        <w:jc w:val="both"/>
        <w:rPr>
          <w:rFonts w:ascii="Times New Roman" w:hAnsi="Times New Roman" w:cs="Times New Roman"/>
          <w:b/>
          <w:bCs/>
          <w:sz w:val="24"/>
          <w:szCs w:val="24"/>
        </w:rPr>
      </w:pPr>
      <w:r w:rsidRPr="00FE4473">
        <w:rPr>
          <w:rFonts w:ascii="Times New Roman" w:hAnsi="Times New Roman" w:cs="Times New Roman"/>
          <w:b/>
          <w:bCs/>
          <w:sz w:val="24"/>
          <w:szCs w:val="24"/>
        </w:rPr>
        <w:t>1. Introduction</w:t>
      </w:r>
    </w:p>
    <w:p w14:paraId="0D6708FD" w14:textId="145BFBE1" w:rsidR="00FE4473" w:rsidRPr="00FE4473" w:rsidRDefault="00FE4473" w:rsidP="007E0EA4">
      <w:pPr>
        <w:jc w:val="both"/>
        <w:rPr>
          <w:rFonts w:ascii="Times New Roman" w:hAnsi="Times New Roman" w:cs="Times New Roman"/>
          <w:sz w:val="24"/>
          <w:szCs w:val="24"/>
        </w:rPr>
      </w:pPr>
      <w:r w:rsidRPr="00FE4473">
        <w:rPr>
          <w:rFonts w:ascii="Times New Roman" w:hAnsi="Times New Roman" w:cs="Times New Roman"/>
          <w:sz w:val="24"/>
          <w:szCs w:val="24"/>
        </w:rPr>
        <w:t>The discourse on environmental sustainability has long been anchored in private sector responsibility, particularly in sectors with high emissions or resource use (de Oliveira et al., 2023). Yet in recent years, public institutions have come under increasing pressure to internalize ecological stewardship</w:t>
      </w:r>
      <w:r w:rsidR="00FF7075" w:rsidRPr="007E0EA4">
        <w:rPr>
          <w:rFonts w:ascii="Times New Roman" w:hAnsi="Times New Roman" w:cs="Times New Roman"/>
          <w:sz w:val="24"/>
          <w:szCs w:val="24"/>
        </w:rPr>
        <w:t>,</w:t>
      </w:r>
      <w:r w:rsidRPr="00FE4473">
        <w:rPr>
          <w:rFonts w:ascii="Times New Roman" w:hAnsi="Times New Roman" w:cs="Times New Roman"/>
          <w:sz w:val="24"/>
          <w:szCs w:val="24"/>
        </w:rPr>
        <w:t xml:space="preserve"> not merely as regulators or policymakers, but as organizational actors whose operations must themselves reflect sustainability (</w:t>
      </w:r>
      <w:proofErr w:type="spellStart"/>
      <w:r w:rsidRPr="00FE4473">
        <w:rPr>
          <w:rFonts w:ascii="Times New Roman" w:hAnsi="Times New Roman" w:cs="Times New Roman"/>
          <w:sz w:val="24"/>
          <w:szCs w:val="24"/>
        </w:rPr>
        <w:t>Borrás</w:t>
      </w:r>
      <w:proofErr w:type="spellEnd"/>
      <w:r w:rsidRPr="00FE4473">
        <w:rPr>
          <w:rFonts w:ascii="Times New Roman" w:hAnsi="Times New Roman" w:cs="Times New Roman"/>
          <w:sz w:val="24"/>
          <w:szCs w:val="24"/>
        </w:rPr>
        <w:t xml:space="preserve"> et al., 2024). Governments, ministries, municipalities, and public agencies are not passive endorsers of environmental regulation: they are major employers, resource consumers, and service providers (e.g. utilities, health services, water systems). As such, credible public action on sustainability requires coherence between the external mandates that public organizations promulgate and their internal </w:t>
      </w:r>
      <w:r w:rsidRPr="00FE4473">
        <w:rPr>
          <w:rFonts w:ascii="Times New Roman" w:hAnsi="Times New Roman" w:cs="Times New Roman"/>
          <w:sz w:val="24"/>
          <w:szCs w:val="24"/>
        </w:rPr>
        <w:lastRenderedPageBreak/>
        <w:t>operations, including procurement, energy use, waste management, and human resource systems (Mol et al., 2025; Saba et al., 2025).</w:t>
      </w:r>
    </w:p>
    <w:p w14:paraId="44D080F7" w14:textId="7B24D538" w:rsidR="00FE4473" w:rsidRPr="00FE4473" w:rsidRDefault="00FE4473" w:rsidP="007E0EA4">
      <w:pPr>
        <w:jc w:val="both"/>
        <w:rPr>
          <w:rFonts w:ascii="Times New Roman" w:hAnsi="Times New Roman" w:cs="Times New Roman"/>
          <w:sz w:val="24"/>
          <w:szCs w:val="24"/>
        </w:rPr>
      </w:pPr>
      <w:r w:rsidRPr="00FE4473">
        <w:rPr>
          <w:rFonts w:ascii="Times New Roman" w:hAnsi="Times New Roman" w:cs="Times New Roman"/>
          <w:sz w:val="24"/>
          <w:szCs w:val="24"/>
        </w:rPr>
        <w:t>Public agencies occupy a dual role: they must regulate private sector behavior (for example via environmental standards, permits, waste disposal rules), while also delivering public goods and services such as water, sanitation, healthcare</w:t>
      </w:r>
      <w:r w:rsidR="00FF7075" w:rsidRPr="007E0EA4">
        <w:rPr>
          <w:rFonts w:ascii="Times New Roman" w:hAnsi="Times New Roman" w:cs="Times New Roman"/>
          <w:sz w:val="24"/>
          <w:szCs w:val="24"/>
        </w:rPr>
        <w:t>,</w:t>
      </w:r>
      <w:r w:rsidRPr="00FE4473">
        <w:rPr>
          <w:rFonts w:ascii="Times New Roman" w:hAnsi="Times New Roman" w:cs="Times New Roman"/>
          <w:sz w:val="24"/>
          <w:szCs w:val="24"/>
        </w:rPr>
        <w:t xml:space="preserve"> which themselves have environmental footprints (Du et al., 2023). When public bodies fail to embody green practices in procurement, energy use, waste management, or personnel policies, they undermine normative legitimacy and risk incoherence in the broader sustainability agenda (Saba et al., 2025). Navigating this complexity is particularly acute in developing countries, where institutional capacity, resource constraints, and governance challenges amplify the risks of “doing green on paper” but not in practice (</w:t>
      </w:r>
      <w:proofErr w:type="spellStart"/>
      <w:r w:rsidRPr="00FE4473">
        <w:rPr>
          <w:rFonts w:ascii="Times New Roman" w:hAnsi="Times New Roman" w:cs="Times New Roman"/>
          <w:sz w:val="24"/>
          <w:szCs w:val="24"/>
        </w:rPr>
        <w:t>Borrás</w:t>
      </w:r>
      <w:proofErr w:type="spellEnd"/>
      <w:r w:rsidRPr="00FE4473">
        <w:rPr>
          <w:rFonts w:ascii="Times New Roman" w:hAnsi="Times New Roman" w:cs="Times New Roman"/>
          <w:sz w:val="24"/>
          <w:szCs w:val="24"/>
        </w:rPr>
        <w:t xml:space="preserve"> et al., 2024; Mol et al., 2025).</w:t>
      </w:r>
    </w:p>
    <w:p w14:paraId="69A766D0" w14:textId="6B2E3C19"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A growing literature on sustainability in the public sector underscores this tension. For example, a recent review shows that while many studies examine “sustainability practices in the public sector,” the focus is predominantly on output measures (e.g. recycling, emissions) rather than on the internal organizational capabilities needed to sustain those practices over time. In other words, institutions rarely transpose strategic commitments into daily routines without internal change. This underscores the need to look inward—toward organizational design, culture, and human systems</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to understand why sustainability often remains aspirational in public organizations.</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To bridge that gap between vision and operation, Green Human Resource Management (GHRM) emerges as a potent lever. GHRM encompasses the integration of environmental objectives into HR functions: recruitment, selection, training and development, performance appraisal, compensation, and employee participation (</w:t>
      </w:r>
      <w:proofErr w:type="spellStart"/>
      <w:r w:rsidRPr="00FF7075">
        <w:rPr>
          <w:rFonts w:ascii="Times New Roman" w:hAnsi="Times New Roman" w:cs="Times New Roman"/>
          <w:sz w:val="24"/>
          <w:szCs w:val="24"/>
        </w:rPr>
        <w:t>Lawter</w:t>
      </w:r>
      <w:proofErr w:type="spellEnd"/>
      <w:r w:rsidRPr="00FF7075">
        <w:rPr>
          <w:rFonts w:ascii="Times New Roman" w:hAnsi="Times New Roman" w:cs="Times New Roman"/>
          <w:sz w:val="24"/>
          <w:szCs w:val="24"/>
        </w:rPr>
        <w:t xml:space="preserve">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2025). In essence, GHRM transforms HRM from a neutral administrative function into a strategic driver of ecological behavior and organizational culture (</w:t>
      </w:r>
      <w:proofErr w:type="spellStart"/>
      <w:r w:rsidRPr="00FF7075">
        <w:rPr>
          <w:rFonts w:ascii="Times New Roman" w:hAnsi="Times New Roman" w:cs="Times New Roman"/>
          <w:sz w:val="24"/>
          <w:szCs w:val="24"/>
        </w:rPr>
        <w:t>Zihan</w:t>
      </w:r>
      <w:proofErr w:type="spellEnd"/>
      <w:r w:rsidRPr="00FF7075">
        <w:rPr>
          <w:rFonts w:ascii="Times New Roman" w:hAnsi="Times New Roman" w:cs="Times New Roman"/>
          <w:sz w:val="24"/>
          <w:szCs w:val="24"/>
        </w:rPr>
        <w:t xml:space="preserve"> et al., 2024).</w:t>
      </w:r>
    </w:p>
    <w:p w14:paraId="56202515" w14:textId="52B1A7EE"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 xml:space="preserve">Empirical studies suggest that GHRM can systematically foster eco-friendly behaviors, job commitment, and pro-environmental attitudes among employees. For instance, Ly et al. (2023) in a study of Cambodian firms found that GHRM practices significantly elevated employee commitment and environmentally oriented actions. Similarly, systematic reviews (e.g., </w:t>
      </w:r>
      <w:proofErr w:type="spellStart"/>
      <w:r w:rsidRPr="00FF7075">
        <w:rPr>
          <w:rFonts w:ascii="Times New Roman" w:hAnsi="Times New Roman" w:cs="Times New Roman"/>
          <w:sz w:val="24"/>
          <w:szCs w:val="24"/>
        </w:rPr>
        <w:t>Lawter</w:t>
      </w:r>
      <w:proofErr w:type="spellEnd"/>
      <w:r w:rsidRPr="00FF7075">
        <w:rPr>
          <w:rFonts w:ascii="Times New Roman" w:hAnsi="Times New Roman" w:cs="Times New Roman"/>
          <w:sz w:val="24"/>
          <w:szCs w:val="24"/>
        </w:rPr>
        <w:t xml:space="preserve">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xml:space="preserve">, 2025) have shown that GHRM practices correlate positively with organizational environmental and sustainable performance, although the pathways and boundary conditions remain under investigation </w:t>
      </w:r>
    </w:p>
    <w:p w14:paraId="5426FE1B" w14:textId="5B5BFE98"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However, most of this evidence emerges from the private or mixed sectors. The public sector presents unique challenges: rigid civil service systems, hierarchical bureaucracies, chronic resource constraints, multiple lines of political accountability, and mandates toward competing stakeholder groups. In public agencies, human resource reforms are often tightly bound by civil service rules, union agreements, and bureaucratic protocols, which limit flexibility in introducing innovative HR practices (</w:t>
      </w:r>
      <w:proofErr w:type="spellStart"/>
      <w:r w:rsidRPr="00FF7075">
        <w:rPr>
          <w:rFonts w:ascii="Times New Roman" w:hAnsi="Times New Roman" w:cs="Times New Roman"/>
          <w:sz w:val="24"/>
          <w:szCs w:val="24"/>
        </w:rPr>
        <w:t>Knies</w:t>
      </w:r>
      <w:proofErr w:type="spellEnd"/>
      <w:r w:rsidRPr="00FF7075">
        <w:rPr>
          <w:rFonts w:ascii="Times New Roman" w:hAnsi="Times New Roman" w:cs="Times New Roman"/>
          <w:sz w:val="24"/>
          <w:szCs w:val="24"/>
        </w:rPr>
        <w:t xml:space="preserve"> et al., 2022). Moreover, institutional isomorphism and path dependency can reinforce status quo practices in public organizations, making change slow or symbolic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 GHRM initiatives in public agencies must therefore contend with these structural constraints while attempting to translate broader environmental policies into the day-to-day behavior of public servants.</w:t>
      </w:r>
    </w:p>
    <w:p w14:paraId="5172C514" w14:textId="705428DD"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lastRenderedPageBreak/>
        <w:t>In such constrained settings, GHRM can perform three critical functions. First, alignment of goals and practices: linking external environmental mandates with internal HR policies and processes so that sustainability becomes part of recruitment, job descriptions, performance metrics, and incentives. Second, behavioral translation: shaping employees’ motivations, competencies, and opportunities to act in line with ecological objectives (e.g. training, green tasks, participatory schemes). Third, institutional legitimation: embedding green norms and values within organizational culture, so that sustainability is not merely a compliance checkbox but an internalized principle guiding organizational behavior.</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Yet success is far from guaranteed. In many public organizations, GHRM initiatives remain tokenistic or symbolic: HR manuals may include environmental clauses that are weakly enforced; green responsibilities are tacked on to job descriptions without corresponding authority or support; and employees may perceive “green tasks” as peripheral to their core role rather than central to organizational purpose. This symbolic adoption is consistent with institutional theory’s concept of decoupling, where organizations adopt superficial practices to garner legitimacy while maintaining existing routines.</w:t>
      </w:r>
    </w:p>
    <w:p w14:paraId="4BBC10A7" w14:textId="112EB421"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Despite strong political and policy commitments to environmental sustainability, many public organizations struggle to operationalize green HR practices in a consistent and meaningful way. Public agencies often revert to business as usual, especially after pilot phases or when external pressures (e.g. donor mandates) subside. In many cases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GHRM practices are adopted superficially and lack integration across HR functions.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Implementation suffers from lack of capacity, unclear leadership ownership, weak incentives, or tension with entrenched routines.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Employee resistance or low buy-in undermines sustainable behavioral change.</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This intention–implementation gap is well documented in both the HRM and institutional literature. Institutional scholars argue that organizations may adopt practices to gain external legitimacy (through mimetic or coercive pressure) without truly embedding them internally</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a phenomenon of symbolic isomorphism (García-Cruz et al., 2024). Recent work further extends institutional theory by showing how social and environmental pressures interact with internal constraints to influence the depth of sustainable practice adoption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w:t>
      </w:r>
    </w:p>
    <w:p w14:paraId="08D7ADBD" w14:textId="67B09793"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In the public sector, rigid rules, overlapping mandates, and resource scarcity amplify these challenges. HR systems may lack discretionary levers to reward green behavior or restructure roles in response to environmental objectives. The result is a disconnect between organizational ambition and daily staff behavior, which undermines both the legitimacy and effectiveness of public sustainability efforts.</w:t>
      </w:r>
      <w:r w:rsidR="00925BA1">
        <w:rPr>
          <w:rFonts w:ascii="Times New Roman" w:hAnsi="Times New Roman" w:cs="Times New Roman"/>
          <w:sz w:val="24"/>
          <w:szCs w:val="24"/>
        </w:rPr>
        <w:t xml:space="preserve"> </w:t>
      </w:r>
    </w:p>
    <w:p w14:paraId="4F4ECEFD"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To explore this problem space, this paper is guided by the following central research questions:</w:t>
      </w:r>
    </w:p>
    <w:p w14:paraId="1D67A6A4"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What GHRM practices are being adopted by public sector organizations, and to what extent are they institutionalized?</w:t>
      </w:r>
    </w:p>
    <w:p w14:paraId="2C70962E"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What institutional, leadership, and capacity constraints hinder the full integration of GHRM into public sector HR systems?</w:t>
      </w:r>
    </w:p>
    <w:p w14:paraId="763E29D1" w14:textId="77777777" w:rsidR="00FF7075" w:rsidRPr="00FF7075" w:rsidRDefault="00FF7075" w:rsidP="007E0EA4">
      <w:pPr>
        <w:numPr>
          <w:ilvl w:val="0"/>
          <w:numId w:val="16"/>
        </w:numPr>
        <w:jc w:val="both"/>
        <w:rPr>
          <w:rFonts w:ascii="Times New Roman" w:hAnsi="Times New Roman" w:cs="Times New Roman"/>
          <w:sz w:val="24"/>
          <w:szCs w:val="24"/>
        </w:rPr>
      </w:pPr>
      <w:r w:rsidRPr="00FF7075">
        <w:rPr>
          <w:rFonts w:ascii="Times New Roman" w:hAnsi="Times New Roman" w:cs="Times New Roman"/>
          <w:sz w:val="24"/>
          <w:szCs w:val="24"/>
        </w:rPr>
        <w:t>How do public sector employees perceive, interpret, and respond to GHRM initiatives within their organizations?</w:t>
      </w:r>
    </w:p>
    <w:p w14:paraId="49D71F3A"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lastRenderedPageBreak/>
        <w:t>By answering these questions, the study aims to surface both the design (macro/structural) and behavioral (micro/agentic) dimensions of GHRM adoption in public agencies.</w:t>
      </w:r>
    </w:p>
    <w:p w14:paraId="7AAF2084" w14:textId="76327AF2"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This study makes several significant contributions to theory, empirical knowledge, and practice. First, it provides a theoretical extension of the Green Human Resource Management (GHRM) literature, which has traditionally focused on private sector organizations, by expanding its application to the domain of public administration. In doing so, the study illuminates how institutional and human resource management perspectives interact within bureaucratic settings characterized by hierarchical control, limited flexibility, and political accountability (</w:t>
      </w:r>
      <w:proofErr w:type="spellStart"/>
      <w:r w:rsidRPr="00FF7075">
        <w:rPr>
          <w:rFonts w:ascii="Times New Roman" w:hAnsi="Times New Roman" w:cs="Times New Roman"/>
          <w:sz w:val="24"/>
          <w:szCs w:val="24"/>
        </w:rPr>
        <w:t>Knies</w:t>
      </w:r>
      <w:proofErr w:type="spellEnd"/>
      <w:r w:rsidRPr="00FF7075">
        <w:rPr>
          <w:rFonts w:ascii="Times New Roman" w:hAnsi="Times New Roman" w:cs="Times New Roman"/>
          <w:sz w:val="24"/>
          <w:szCs w:val="24"/>
        </w:rPr>
        <w:t xml:space="preserve"> et al., 2022). This integration contributes to a deeper understanding of how public organizations can strategically embed sustainability objectives into their human resource systems despite structural rigidity.</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Second, the study offers institutional insight by linking institutional theory to HRM frameworks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 xml:space="preserve">particularly through the lenses of legitimacy, decoupling, and organizational pressures. It explores how coercive forces (e.g., government mandates), normative expectations (e.g., professional ethics and environmental standards), and mimetic tendencies (e.g., benchmarking against other agencies) interact with internal organizational dynamics to influence the adoption and institutionalization of GHRM practices (García-Cruz et al., 2024; </w:t>
      </w:r>
      <w:proofErr w:type="spellStart"/>
      <w:r w:rsidRPr="00FF7075">
        <w:rPr>
          <w:rFonts w:ascii="Times New Roman" w:hAnsi="Times New Roman" w:cs="Times New Roman"/>
          <w:sz w:val="24"/>
          <w:szCs w:val="24"/>
        </w:rPr>
        <w:t>Eitrem</w:t>
      </w:r>
      <w:proofErr w:type="spellEnd"/>
      <w:r w:rsidRPr="00FF7075">
        <w:rPr>
          <w:rFonts w:ascii="Times New Roman" w:hAnsi="Times New Roman" w:cs="Times New Roman"/>
          <w:sz w:val="24"/>
          <w:szCs w:val="24"/>
        </w:rPr>
        <w:t>, 2024). This intersection of theories provides a more holistic perspective on why some public institutions successfully embed sustainability into HRM systems while others remain trapped in symbolic compliance.</w:t>
      </w:r>
    </w:p>
    <w:p w14:paraId="4FCECF3E" w14:textId="2425628E"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Third, the study contributes a behavioral perspective by examining how employees interpret and respond to green HR initiatives. It foregrounds the micro-level mechanisms</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such as motivation, sense-making, and resistance</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that either mediate or moderate the success of sustainability-oriented HRM reforms (Ly, Phan, &amp; Nguyen, 2023). By focusing on employees’ perceptions, the study underscores that effective implementation of GHRM in public organizations requires not only structural alignment but also behavioral commitment and cultural transformation among staff.</w:t>
      </w:r>
      <w:r w:rsidRPr="007E0EA4">
        <w:rPr>
          <w:rFonts w:ascii="Times New Roman" w:hAnsi="Times New Roman" w:cs="Times New Roman"/>
          <w:sz w:val="24"/>
          <w:szCs w:val="24"/>
        </w:rPr>
        <w:t xml:space="preserve"> </w:t>
      </w:r>
      <w:r w:rsidRPr="00FF7075">
        <w:rPr>
          <w:rFonts w:ascii="Times New Roman" w:hAnsi="Times New Roman" w:cs="Times New Roman"/>
          <w:sz w:val="24"/>
          <w:szCs w:val="24"/>
        </w:rPr>
        <w:t>Finally, the study provides practical guidance relevant to policymakers, HR professionals, and public managers. It highlights actionable strategies that can enhance the institutionalization of GHRM in the public sector, including adaptive incentive structures that reward pro-environmental behavior, capacity-building programs to develop green competencies, stakeholder inclusion in sustainability initiatives, and leadership alignment to ensure consistent vision and accountability (</w:t>
      </w:r>
      <w:proofErr w:type="spellStart"/>
      <w:r w:rsidRPr="00FF7075">
        <w:rPr>
          <w:rFonts w:ascii="Times New Roman" w:hAnsi="Times New Roman" w:cs="Times New Roman"/>
          <w:sz w:val="24"/>
          <w:szCs w:val="24"/>
        </w:rPr>
        <w:t>Lawter</w:t>
      </w:r>
      <w:proofErr w:type="spellEnd"/>
      <w:r w:rsidRPr="00FF7075">
        <w:rPr>
          <w:rFonts w:ascii="Times New Roman" w:hAnsi="Times New Roman" w:cs="Times New Roman"/>
          <w:sz w:val="24"/>
          <w:szCs w:val="24"/>
        </w:rPr>
        <w:t xml:space="preserve"> &amp; </w:t>
      </w:r>
      <w:proofErr w:type="spellStart"/>
      <w:r w:rsidRPr="00FF7075">
        <w:rPr>
          <w:rFonts w:ascii="Times New Roman" w:hAnsi="Times New Roman" w:cs="Times New Roman"/>
          <w:sz w:val="24"/>
          <w:szCs w:val="24"/>
        </w:rPr>
        <w:t>Garnjost</w:t>
      </w:r>
      <w:proofErr w:type="spellEnd"/>
      <w:r w:rsidRPr="00FF7075">
        <w:rPr>
          <w:rFonts w:ascii="Times New Roman" w:hAnsi="Times New Roman" w:cs="Times New Roman"/>
          <w:sz w:val="24"/>
          <w:szCs w:val="24"/>
        </w:rPr>
        <w:t>, 2025). Collectively, these insights offer a roadmap for transforming public human resource systems into enablers of sustainability and environmental stewardship rather than administrative barriers.</w:t>
      </w:r>
    </w:p>
    <w:p w14:paraId="239267A5" w14:textId="34A8C566" w:rsidR="00FF7075" w:rsidRPr="00FF7075" w:rsidRDefault="00FF7075" w:rsidP="007E0EA4">
      <w:pPr>
        <w:jc w:val="both"/>
        <w:rPr>
          <w:rFonts w:ascii="Times New Roman" w:hAnsi="Times New Roman" w:cs="Times New Roman"/>
          <w:sz w:val="24"/>
          <w:szCs w:val="24"/>
        </w:rPr>
      </w:pPr>
      <w:r w:rsidRPr="007E0EA4">
        <w:rPr>
          <w:rFonts w:ascii="Times New Roman" w:hAnsi="Times New Roman" w:cs="Times New Roman"/>
          <w:sz w:val="24"/>
          <w:szCs w:val="24"/>
        </w:rPr>
        <w:t>Therefore</w:t>
      </w:r>
      <w:r w:rsidRPr="00FF7075">
        <w:rPr>
          <w:rFonts w:ascii="Times New Roman" w:hAnsi="Times New Roman" w:cs="Times New Roman"/>
          <w:sz w:val="24"/>
          <w:szCs w:val="24"/>
        </w:rPr>
        <w:t xml:space="preserve">, this </w:t>
      </w:r>
      <w:r w:rsidRPr="007E0EA4">
        <w:rPr>
          <w:rFonts w:ascii="Times New Roman" w:hAnsi="Times New Roman" w:cs="Times New Roman"/>
          <w:sz w:val="24"/>
          <w:szCs w:val="24"/>
        </w:rPr>
        <w:t>study</w:t>
      </w:r>
      <w:r w:rsidRPr="00FF7075">
        <w:rPr>
          <w:rFonts w:ascii="Times New Roman" w:hAnsi="Times New Roman" w:cs="Times New Roman"/>
          <w:sz w:val="24"/>
          <w:szCs w:val="24"/>
        </w:rPr>
        <w:t xml:space="preserve"> argues that greening the public sector hinges not simply on top-down mandates but on how HR systems, organizational culture, and employee agency either enable or inhibit environmental values. The subsequent sections review related theory and empirical work, describe the methodology, present findings, discuss implications, and conclude with directions for policy and future research.</w:t>
      </w:r>
    </w:p>
    <w:p w14:paraId="25BFBA70" w14:textId="77777777" w:rsidR="00FE4473" w:rsidRPr="007E0EA4" w:rsidRDefault="00FE4473" w:rsidP="007E0EA4">
      <w:pPr>
        <w:jc w:val="both"/>
        <w:rPr>
          <w:rFonts w:ascii="Times New Roman" w:hAnsi="Times New Roman" w:cs="Times New Roman"/>
          <w:b/>
          <w:bCs/>
          <w:sz w:val="24"/>
          <w:szCs w:val="24"/>
        </w:rPr>
      </w:pPr>
    </w:p>
    <w:p w14:paraId="4D700403" w14:textId="5631919E"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2. Literature Review</w:t>
      </w:r>
    </w:p>
    <w:p w14:paraId="1D2E98BB" w14:textId="7424CE2B"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lastRenderedPageBreak/>
        <w:t>Green Human Resource Management (GHRM) refers to the deliberate integration of environmental and sustainability concerns into human resource policies and practices (Sinclair-Desgagné, 2021). In effect, GHRM transforms HRM from a purely administrative or strategic function into a tool for guiding employee behavior toward ecological ends. Through mechanisms such as green recruitment and selection, environmental training and development, green performance appraisal, reward systems attuned to sustainability goals, and initiatives fostering green awareness and participation, GHRM seeks to align individual capabilities and motivations with the organization’s environmental agenda (Freire et al., 2022).</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A growing body of literature has sought to classify and systematize GHRM practices. For example, Freire et al. (2022) use the AMO (Ability–Motivation–Opportunity) framework to show how HRM intervenes via enhancing skills/training (ability), shaping incentives/commitment (motivation), and enabling participatory structures (opportunity) in the green domain. Reviews of GHRM research (e.g. San Román-</w:t>
      </w:r>
      <w:proofErr w:type="spellStart"/>
      <w:r w:rsidRPr="00FF7075">
        <w:rPr>
          <w:rFonts w:ascii="Times New Roman" w:hAnsi="Times New Roman" w:cs="Times New Roman"/>
          <w:sz w:val="24"/>
          <w:szCs w:val="24"/>
        </w:rPr>
        <w:t>Niaves</w:t>
      </w:r>
      <w:proofErr w:type="spellEnd"/>
      <w:r w:rsidRPr="00FF7075">
        <w:rPr>
          <w:rFonts w:ascii="Times New Roman" w:hAnsi="Times New Roman" w:cs="Times New Roman"/>
          <w:sz w:val="24"/>
          <w:szCs w:val="24"/>
        </w:rPr>
        <w:t xml:space="preserve"> et al., 2025) indicate that the most commonly adopted green practices include environmental training, eco-selection criteria, green appraisal, and sustainable reward systems (e.g. performance bonuses tied to environmental metrics). In addition, recent work proposes frameworks like ESPI (Environmental Selection, Performance appraisal, Incentives) as a compact way to operationalize GHRM across firms and public organizations (Chowdhury et al., 2025)</w:t>
      </w:r>
      <w:r w:rsidR="00B835DC" w:rsidRPr="007E0EA4">
        <w:rPr>
          <w:rFonts w:ascii="Times New Roman" w:hAnsi="Times New Roman" w:cs="Times New Roman"/>
          <w:sz w:val="24"/>
          <w:szCs w:val="24"/>
        </w:rPr>
        <w:t>,</w:t>
      </w:r>
      <w:r w:rsidRPr="00FF7075">
        <w:rPr>
          <w:rFonts w:ascii="Times New Roman" w:hAnsi="Times New Roman" w:cs="Times New Roman"/>
          <w:sz w:val="24"/>
          <w:szCs w:val="24"/>
        </w:rPr>
        <w:t xml:space="preserve"> though note that evidence remains emergent in the public sector.</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However, critical gaps remain. Many studies remain descriptive or cross-sectional; fewer have examined implementation depth, context contingency, institutional barriers, or the role of leadership and legitimacy. Moreover, the literature is still dominated by private sector cases, often in manufacturing, services, or energy-intensive industries, leaving the public sector relatively underexamined.</w:t>
      </w:r>
    </w:p>
    <w:p w14:paraId="597D17D9" w14:textId="1D75ED85"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Although the conceptual logic of GHRM is broadly applicable, deploying it in public sector settings introduces distinctive challenges and contextual dynamics. A nascent but growing literature has begun to explore GHRM in public institutions. For instance, a study of “Green HRM and Resource Optimization in the Public Sector” argues that GHRM offers a mechanism for public agencies to better align their daily operations with environmental mandates, thereby enhancing legitimacy and resource efficiency (public sector preprint). Yet, empirical validation in public organizations remains sparse.</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Public institutions typically operate in environments marked by political accountability, rigid civil service rules, budgetary constraints, and multi-stakeholder oversight. These features reduce managerial discretion, constrain performance-based incentives, and impose procedural requirements that may conflict with green innovations. Hierarchical bureaucracies may resist change due to entrenched routines and power structures. Moreover, public organizations often have broader mandates (social welfare, equity, public health), which may compete with or dilute the salience of environmental objectives. In such settings, GHRM must tread a delicate balance: it must be sensitive and legitimate within public administration norms while still pushing enough behavioral and structural change to make sustainability credible and operational.</w:t>
      </w:r>
      <w:r w:rsidR="00B835DC" w:rsidRPr="007E0EA4">
        <w:rPr>
          <w:rFonts w:ascii="Times New Roman" w:hAnsi="Times New Roman" w:cs="Times New Roman"/>
          <w:sz w:val="24"/>
          <w:szCs w:val="24"/>
        </w:rPr>
        <w:t xml:space="preserve"> </w:t>
      </w:r>
      <w:r w:rsidRPr="00FF7075">
        <w:rPr>
          <w:rFonts w:ascii="Times New Roman" w:hAnsi="Times New Roman" w:cs="Times New Roman"/>
          <w:sz w:val="24"/>
          <w:szCs w:val="24"/>
        </w:rPr>
        <w:t>Given these tensions, successful public sector GHRM often requires not only HR design but institutional reform (e.g., civil service flexibility, budgetary alignment, interdepartmental coordination) and cultural transformation. When public agencies fail to embody green practices in procurement, energy use, or human resource management, they risk undermining their legitimacy to enforce sustainability norms on others.</w:t>
      </w:r>
    </w:p>
    <w:p w14:paraId="2F08C98F" w14:textId="3BB74EED"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lastRenderedPageBreak/>
        <w:t>Theoretical Lens</w:t>
      </w:r>
    </w:p>
    <w:p w14:paraId="7F2931BC" w14:textId="42CE92BB"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t>To explain how and why public agencies adopt</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or resist</w:t>
      </w:r>
      <w:r w:rsidR="00925BA1">
        <w:rPr>
          <w:rFonts w:ascii="Times New Roman" w:hAnsi="Times New Roman" w:cs="Times New Roman"/>
          <w:sz w:val="24"/>
          <w:szCs w:val="24"/>
        </w:rPr>
        <w:t xml:space="preserve"> </w:t>
      </w:r>
      <w:r w:rsidRPr="00FF7075">
        <w:rPr>
          <w:rFonts w:ascii="Times New Roman" w:hAnsi="Times New Roman" w:cs="Times New Roman"/>
          <w:sz w:val="24"/>
          <w:szCs w:val="24"/>
        </w:rPr>
        <w:t>GHRM, and to decipher how these practices translate (or fail to) into behavior, it is useful to integrate Institutional Theory with the AMO (Ability–Motivation–Opportunity) conceptual model.</w:t>
      </w:r>
    </w:p>
    <w:p w14:paraId="6A6601BD" w14:textId="77777777"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t>Institutional Theory</w:t>
      </w:r>
    </w:p>
    <w:p w14:paraId="7E54D639"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Institutional Theory offers a useful lens for understanding why organizations adopt practices not only to improve efficiency but also to gain and maintain legitimacy within their environments (DiMaggio &amp; Powell, 1983). Organizational behavior is shaped by external political, cultural, and social pressures that define what is viewed as appropriate conduct (Scott, 2014). Within this context, coercive, normative, and mimetic pressures drive organizations toward similar behaviors. Coercive pressures arise from state regulations, donor requirements, and international sustainability mandates (Riaz, Saeed, &amp; Qureshi, 2023). Normative pressures stem from professional and societal expectations that public organizations should model environmental responsibility (</w:t>
      </w:r>
      <w:proofErr w:type="spellStart"/>
      <w:r w:rsidRPr="00B835DC">
        <w:rPr>
          <w:rFonts w:ascii="Times New Roman" w:hAnsi="Times New Roman" w:cs="Times New Roman"/>
          <w:sz w:val="24"/>
          <w:szCs w:val="24"/>
        </w:rPr>
        <w:t>Borrás</w:t>
      </w:r>
      <w:proofErr w:type="spellEnd"/>
      <w:r w:rsidRPr="00B835DC">
        <w:rPr>
          <w:rFonts w:ascii="Times New Roman" w:hAnsi="Times New Roman" w:cs="Times New Roman"/>
          <w:sz w:val="24"/>
          <w:szCs w:val="24"/>
        </w:rPr>
        <w:t xml:space="preserve">, Kuhlmann, &amp; </w:t>
      </w:r>
      <w:proofErr w:type="spellStart"/>
      <w:r w:rsidRPr="00B835DC">
        <w:rPr>
          <w:rFonts w:ascii="Times New Roman" w:hAnsi="Times New Roman" w:cs="Times New Roman"/>
          <w:sz w:val="24"/>
          <w:szCs w:val="24"/>
        </w:rPr>
        <w:t>Edler</w:t>
      </w:r>
      <w:proofErr w:type="spellEnd"/>
      <w:r w:rsidRPr="00B835DC">
        <w:rPr>
          <w:rFonts w:ascii="Times New Roman" w:hAnsi="Times New Roman" w:cs="Times New Roman"/>
          <w:sz w:val="24"/>
          <w:szCs w:val="24"/>
        </w:rPr>
        <w:t>, 2024). Mimetic pressures occur under uncertainty, when institutions imitate peers or donor-funded programs perceived as legitimate or progressive (</w:t>
      </w:r>
      <w:proofErr w:type="spellStart"/>
      <w:r w:rsidRPr="00B835DC">
        <w:rPr>
          <w:rFonts w:ascii="Times New Roman" w:hAnsi="Times New Roman" w:cs="Times New Roman"/>
          <w:sz w:val="24"/>
          <w:szCs w:val="24"/>
        </w:rPr>
        <w:t>Pache</w:t>
      </w:r>
      <w:proofErr w:type="spellEnd"/>
      <w:r w:rsidRPr="00B835DC">
        <w:rPr>
          <w:rFonts w:ascii="Times New Roman" w:hAnsi="Times New Roman" w:cs="Times New Roman"/>
          <w:sz w:val="24"/>
          <w:szCs w:val="24"/>
        </w:rPr>
        <w:t xml:space="preserve"> &amp; Santos, 2010).</w:t>
      </w:r>
    </w:p>
    <w:p w14:paraId="17AB3415" w14:textId="5DC80A6C"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However, such external pressures often lead to symbolic adoption rather than real change. Organizations may formalize policies like Green Human Resource Management (GHRM) to meet legitimacy demands while retaining traditional routines</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a phenomenon known as decoupling (Meyer &amp; Rowan, 1977; García-Cruz, López-</w:t>
      </w:r>
      <w:proofErr w:type="spellStart"/>
      <w:r w:rsidRPr="00B835DC">
        <w:rPr>
          <w:rFonts w:ascii="Times New Roman" w:hAnsi="Times New Roman" w:cs="Times New Roman"/>
          <w:sz w:val="24"/>
          <w:szCs w:val="24"/>
        </w:rPr>
        <w:t>Cabrales</w:t>
      </w:r>
      <w:proofErr w:type="spellEnd"/>
      <w:r w:rsidRPr="00B835DC">
        <w:rPr>
          <w:rFonts w:ascii="Times New Roman" w:hAnsi="Times New Roman" w:cs="Times New Roman"/>
          <w:sz w:val="24"/>
          <w:szCs w:val="24"/>
        </w:rPr>
        <w:t xml:space="preserve">, &amp; Valle-Cabrera, 2024). In the public sector, bureaucratic traditions, rigid hierarchies, and political oversight frequently sustain conformity without fostering innovation. As </w:t>
      </w:r>
      <w:proofErr w:type="spellStart"/>
      <w:r w:rsidRPr="00B835DC">
        <w:rPr>
          <w:rFonts w:ascii="Times New Roman" w:hAnsi="Times New Roman" w:cs="Times New Roman"/>
          <w:sz w:val="24"/>
          <w:szCs w:val="24"/>
        </w:rPr>
        <w:t>Eitrem</w:t>
      </w:r>
      <w:proofErr w:type="spellEnd"/>
      <w:r w:rsidRPr="00B835DC">
        <w:rPr>
          <w:rFonts w:ascii="Times New Roman" w:hAnsi="Times New Roman" w:cs="Times New Roman"/>
          <w:sz w:val="24"/>
          <w:szCs w:val="24"/>
        </w:rPr>
        <w:t xml:space="preserve"> (2024) notes, many agencies produce “green” statements or reports to satisfy accountability requirements yet lack the autonomy, budgets, or incentives needed to implement them meaningfully.</w:t>
      </w:r>
    </w:p>
    <w:p w14:paraId="1DF9C859" w14:textId="2988C4B5"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This institutional inertia</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shaped by legacy systems, budget cycles, and competing mandates</w:t>
      </w:r>
      <w:r w:rsidR="00925BA1">
        <w:rPr>
          <w:rFonts w:ascii="Times New Roman" w:hAnsi="Times New Roman" w:cs="Times New Roman"/>
          <w:sz w:val="24"/>
          <w:szCs w:val="24"/>
        </w:rPr>
        <w:t xml:space="preserve">, </w:t>
      </w:r>
      <w:r w:rsidRPr="00B835DC">
        <w:rPr>
          <w:rFonts w:ascii="Times New Roman" w:hAnsi="Times New Roman" w:cs="Times New Roman"/>
          <w:sz w:val="24"/>
          <w:szCs w:val="24"/>
        </w:rPr>
        <w:t>limits the deep integration of sustainability principles into HRM (</w:t>
      </w:r>
      <w:proofErr w:type="spellStart"/>
      <w:r w:rsidRPr="00B835DC">
        <w:rPr>
          <w:rFonts w:ascii="Times New Roman" w:hAnsi="Times New Roman" w:cs="Times New Roman"/>
          <w:sz w:val="24"/>
          <w:szCs w:val="24"/>
        </w:rPr>
        <w:t>Knies</w:t>
      </w:r>
      <w:proofErr w:type="spellEnd"/>
      <w:r w:rsidRPr="00B835DC">
        <w:rPr>
          <w:rFonts w:ascii="Times New Roman" w:hAnsi="Times New Roman" w:cs="Times New Roman"/>
          <w:sz w:val="24"/>
          <w:szCs w:val="24"/>
        </w:rPr>
        <w:t xml:space="preserve">, </w:t>
      </w:r>
      <w:proofErr w:type="spellStart"/>
      <w:r w:rsidRPr="00B835DC">
        <w:rPr>
          <w:rFonts w:ascii="Times New Roman" w:hAnsi="Times New Roman" w:cs="Times New Roman"/>
          <w:sz w:val="24"/>
          <w:szCs w:val="24"/>
        </w:rPr>
        <w:t>Boselie</w:t>
      </w:r>
      <w:proofErr w:type="spellEnd"/>
      <w:r w:rsidRPr="00B835DC">
        <w:rPr>
          <w:rFonts w:ascii="Times New Roman" w:hAnsi="Times New Roman" w:cs="Times New Roman"/>
          <w:sz w:val="24"/>
          <w:szCs w:val="24"/>
        </w:rPr>
        <w:t xml:space="preserve">, Gould-Williams, &amp; </w:t>
      </w:r>
      <w:proofErr w:type="spellStart"/>
      <w:r w:rsidRPr="00B835DC">
        <w:rPr>
          <w:rFonts w:ascii="Times New Roman" w:hAnsi="Times New Roman" w:cs="Times New Roman"/>
          <w:sz w:val="24"/>
          <w:szCs w:val="24"/>
        </w:rPr>
        <w:t>Vandenabeele</w:t>
      </w:r>
      <w:proofErr w:type="spellEnd"/>
      <w:r w:rsidRPr="00B835DC">
        <w:rPr>
          <w:rFonts w:ascii="Times New Roman" w:hAnsi="Times New Roman" w:cs="Times New Roman"/>
          <w:sz w:val="24"/>
          <w:szCs w:val="24"/>
        </w:rPr>
        <w:t>, 2022). Ministries may, for instance, adopt environmental objectives in strategy documents without aligning performance appraisals or reward systems to encourage green behavior. Such gaps reveal isomorphic conformity, where organizations appear sustainable to secure legitimacy but fail to embed environmental values internally (</w:t>
      </w:r>
      <w:proofErr w:type="spellStart"/>
      <w:r w:rsidRPr="00B835DC">
        <w:rPr>
          <w:rFonts w:ascii="Times New Roman" w:hAnsi="Times New Roman" w:cs="Times New Roman"/>
          <w:sz w:val="24"/>
          <w:szCs w:val="24"/>
        </w:rPr>
        <w:t>Boxenbaum</w:t>
      </w:r>
      <w:proofErr w:type="spellEnd"/>
      <w:r w:rsidRPr="00B835DC">
        <w:rPr>
          <w:rFonts w:ascii="Times New Roman" w:hAnsi="Times New Roman" w:cs="Times New Roman"/>
          <w:sz w:val="24"/>
          <w:szCs w:val="24"/>
        </w:rPr>
        <w:t xml:space="preserve"> &amp; Jonsson, 2017).</w:t>
      </w:r>
    </w:p>
    <w:p w14:paraId="1287B316"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 xml:space="preserve">Applied to GHRM, Institutional Theory explains why many green HR initiatives in the public sector remain fragmented or symbolic. Coercive pressures may prompt initial adoption, but without reinforcing institutional norms, leadership commitment, and managerial discretion, these initiatives risk becoming procedural rather than transformative. Conflicting political, economic, and environmental priorities further dilute implementation (Delmas &amp; </w:t>
      </w:r>
      <w:proofErr w:type="spellStart"/>
      <w:r w:rsidRPr="00B835DC">
        <w:rPr>
          <w:rFonts w:ascii="Times New Roman" w:hAnsi="Times New Roman" w:cs="Times New Roman"/>
          <w:sz w:val="24"/>
          <w:szCs w:val="24"/>
        </w:rPr>
        <w:t>Toffel</w:t>
      </w:r>
      <w:proofErr w:type="spellEnd"/>
      <w:r w:rsidRPr="00B835DC">
        <w:rPr>
          <w:rFonts w:ascii="Times New Roman" w:hAnsi="Times New Roman" w:cs="Times New Roman"/>
          <w:sz w:val="24"/>
          <w:szCs w:val="24"/>
        </w:rPr>
        <w:t>, 2008). Ultimately, adopting GHRM in the public sector is less a technical process than a legitimacy-seeking response shaped by multiple institutional forces. Understanding these dynamics clarifies why some agencies institutionalize sustainability in HR systems while others remain stuck at the compliance stage.</w:t>
      </w:r>
    </w:p>
    <w:p w14:paraId="12A7FB4C" w14:textId="77777777" w:rsidR="00FF7075" w:rsidRPr="00FF7075" w:rsidRDefault="00FF7075" w:rsidP="007E0EA4">
      <w:pPr>
        <w:jc w:val="both"/>
        <w:rPr>
          <w:rFonts w:ascii="Times New Roman" w:hAnsi="Times New Roman" w:cs="Times New Roman"/>
          <w:b/>
          <w:bCs/>
          <w:sz w:val="24"/>
          <w:szCs w:val="24"/>
        </w:rPr>
      </w:pPr>
      <w:r w:rsidRPr="00FF7075">
        <w:rPr>
          <w:rFonts w:ascii="Times New Roman" w:hAnsi="Times New Roman" w:cs="Times New Roman"/>
          <w:b/>
          <w:bCs/>
          <w:sz w:val="24"/>
          <w:szCs w:val="24"/>
        </w:rPr>
        <w:lastRenderedPageBreak/>
        <w:t>AMO Framework</w:t>
      </w:r>
    </w:p>
    <w:p w14:paraId="1DD16275"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Ability–Motivation–Opportunity (AMO) model, a foundational framework in human resource management theory, explains how HR practices influence employee performance by enhancing three interrelated dimensions: ability, motivation, and opportunity (Appelbaum et al., 2000). The model posits that employees are more likely to perform desired behaviors when they possess the necessary abilities, are motivated to apply them, and are provided with opportunities to act. In the context of Green Human Resource Management (GHRM), the AMO model provides a useful lens for understanding how HR interventions can promote pro-environmental behavior and build a sustainability-oriented organizational culture (Renwick, Redman, &amp; Maguire, 2013).</w:t>
      </w:r>
    </w:p>
    <w:p w14:paraId="04BAE3B2"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ability dimension focuses on equipping employees with the technical and cognitive competencies required to engage in environmentally responsible actions. This involves green training programs, environmental awareness workshops, and capacity-building initiatives that enhance employees’ understanding of sustainability goals and practices (Miah, 2024). By improving employees’ environmental literacy and skills, organizations can strengthen their capacity to implement eco-efficient processes, manage waste responsibly, and align daily operations with sustainability objectives.</w:t>
      </w:r>
    </w:p>
    <w:p w14:paraId="10BDD831"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 xml:space="preserve">The motivation component emphasizes the importance of incentives, recognition, and performance management systems that reward environmentally responsible behavior. When employees are motivated through performance-based rewards, recognition programs, or sustainability-linked bonuses, they are more likely to commit to green initiatives and take ownership of environmental outcomes (Chowdhury, </w:t>
      </w:r>
      <w:proofErr w:type="spellStart"/>
      <w:r w:rsidRPr="00B835DC">
        <w:rPr>
          <w:rFonts w:ascii="Times New Roman" w:hAnsi="Times New Roman" w:cs="Times New Roman"/>
          <w:sz w:val="24"/>
          <w:szCs w:val="24"/>
        </w:rPr>
        <w:t>Saha</w:t>
      </w:r>
      <w:proofErr w:type="spellEnd"/>
      <w:r w:rsidRPr="00B835DC">
        <w:rPr>
          <w:rFonts w:ascii="Times New Roman" w:hAnsi="Times New Roman" w:cs="Times New Roman"/>
          <w:sz w:val="24"/>
          <w:szCs w:val="24"/>
        </w:rPr>
        <w:t>, &amp; Rahman, 2025). Conversely, the absence of such motivational structures often leads to low engagement, where sustainability is perceived as a peripheral concern rather than a shared organizational value.</w:t>
      </w:r>
    </w:p>
    <w:p w14:paraId="5E1B8FF0" w14:textId="31823FF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The opportunity dimension highlights the role of organizational structures and job design in facilitating participation and empowerment. Providing employees with autonomy, participatory mechanisms, and involvement in decision-making</w:t>
      </w:r>
      <w:r w:rsidRPr="007E0EA4">
        <w:rPr>
          <w:rFonts w:ascii="Times New Roman" w:hAnsi="Times New Roman" w:cs="Times New Roman"/>
          <w:sz w:val="24"/>
          <w:szCs w:val="24"/>
        </w:rPr>
        <w:t xml:space="preserve"> </w:t>
      </w:r>
      <w:r w:rsidRPr="00B835DC">
        <w:rPr>
          <w:rFonts w:ascii="Times New Roman" w:hAnsi="Times New Roman" w:cs="Times New Roman"/>
          <w:sz w:val="24"/>
          <w:szCs w:val="24"/>
        </w:rPr>
        <w:t>such as green committees, environmental suggestion schemes, or cross-functional sustainability teams</w:t>
      </w:r>
      <w:r w:rsidRPr="007E0EA4">
        <w:rPr>
          <w:rFonts w:ascii="Times New Roman" w:hAnsi="Times New Roman" w:cs="Times New Roman"/>
          <w:sz w:val="24"/>
          <w:szCs w:val="24"/>
        </w:rPr>
        <w:t xml:space="preserve">, </w:t>
      </w:r>
      <w:r w:rsidRPr="00B835DC">
        <w:rPr>
          <w:rFonts w:ascii="Times New Roman" w:hAnsi="Times New Roman" w:cs="Times New Roman"/>
          <w:sz w:val="24"/>
          <w:szCs w:val="24"/>
        </w:rPr>
        <w:t>enables them to contribute meaningfully to green innovation and environmental problem-solving (Kim, 2022). When employees have opportunities to act on their environmental knowledge and motivation, they become active agents in implementing and sustaining eco-friendly practices.</w:t>
      </w:r>
    </w:p>
    <w:p w14:paraId="626DD69B" w14:textId="77777777" w:rsidR="00B835DC" w:rsidRPr="00B835DC" w:rsidRDefault="00B835DC" w:rsidP="007E0EA4">
      <w:pPr>
        <w:jc w:val="both"/>
        <w:rPr>
          <w:rFonts w:ascii="Times New Roman" w:hAnsi="Times New Roman" w:cs="Times New Roman"/>
          <w:sz w:val="24"/>
          <w:szCs w:val="24"/>
        </w:rPr>
      </w:pPr>
      <w:r w:rsidRPr="00B835DC">
        <w:rPr>
          <w:rFonts w:ascii="Times New Roman" w:hAnsi="Times New Roman" w:cs="Times New Roman"/>
          <w:sz w:val="24"/>
          <w:szCs w:val="24"/>
        </w:rPr>
        <w:t>Empirical evidence supports these propositions. San Román-</w:t>
      </w:r>
      <w:proofErr w:type="spellStart"/>
      <w:r w:rsidRPr="00B835DC">
        <w:rPr>
          <w:rFonts w:ascii="Times New Roman" w:hAnsi="Times New Roman" w:cs="Times New Roman"/>
          <w:sz w:val="24"/>
          <w:szCs w:val="24"/>
        </w:rPr>
        <w:t>Niaves</w:t>
      </w:r>
      <w:proofErr w:type="spellEnd"/>
      <w:r w:rsidRPr="00B835DC">
        <w:rPr>
          <w:rFonts w:ascii="Times New Roman" w:hAnsi="Times New Roman" w:cs="Times New Roman"/>
          <w:sz w:val="24"/>
          <w:szCs w:val="24"/>
        </w:rPr>
        <w:t xml:space="preserve">, Pérez-Calero, and </w:t>
      </w:r>
      <w:proofErr w:type="spellStart"/>
      <w:r w:rsidRPr="00B835DC">
        <w:rPr>
          <w:rFonts w:ascii="Times New Roman" w:hAnsi="Times New Roman" w:cs="Times New Roman"/>
          <w:sz w:val="24"/>
          <w:szCs w:val="24"/>
        </w:rPr>
        <w:t>Zornoza</w:t>
      </w:r>
      <w:proofErr w:type="spellEnd"/>
      <w:r w:rsidRPr="00B835DC">
        <w:rPr>
          <w:rFonts w:ascii="Times New Roman" w:hAnsi="Times New Roman" w:cs="Times New Roman"/>
          <w:sz w:val="24"/>
          <w:szCs w:val="24"/>
        </w:rPr>
        <w:t xml:space="preserve"> (2025) demonstrated that GHRM practices positively influence the Green Psychological Climate (GPC) of organizations through AMO pathways. Specifically, green training (ability), rewards (motivation), and participation (opportunity) foster a workplace climate where employees perceive strong organizational support for environmental sustainability, which in turn encourages pro-environmental behavior. Similarly, Kim (2022) found that applying the AMO model in GHRM enhances Green Organizational Citizenship Behavior (OCB) and improves overall environmental performance. These findings reaffirm that the AMO framework provides a robust mechanism for understanding how GHRM translates institutional goals into individual actions, thereby strengthening organizational sustainability outcomes.</w:t>
      </w:r>
    </w:p>
    <w:p w14:paraId="075BEA46" w14:textId="77777777" w:rsidR="00FF7075" w:rsidRPr="00FF7075" w:rsidRDefault="00FF7075" w:rsidP="007E0EA4">
      <w:pPr>
        <w:jc w:val="both"/>
        <w:rPr>
          <w:rFonts w:ascii="Times New Roman" w:hAnsi="Times New Roman" w:cs="Times New Roman"/>
          <w:sz w:val="24"/>
          <w:szCs w:val="24"/>
        </w:rPr>
      </w:pPr>
      <w:r w:rsidRPr="00FF7075">
        <w:rPr>
          <w:rFonts w:ascii="Times New Roman" w:hAnsi="Times New Roman" w:cs="Times New Roman"/>
          <w:sz w:val="24"/>
          <w:szCs w:val="24"/>
        </w:rPr>
        <w:lastRenderedPageBreak/>
        <w:t>By combining institutional theory with the AMO model, one can explain both the macro-level pressures shaping adoption and the micro-level mechanisms through which HR practices influence individual behavior. This dual lens is especially useful in public sector contexts, where institutional rigidity and resource constraints interact with employee motivations and agency.</w:t>
      </w:r>
    </w:p>
    <w:p w14:paraId="3514420D" w14:textId="77777777" w:rsidR="00FF7075" w:rsidRPr="007E0EA4" w:rsidRDefault="00FF7075" w:rsidP="007E0EA4">
      <w:pPr>
        <w:jc w:val="both"/>
        <w:rPr>
          <w:rFonts w:ascii="Times New Roman" w:hAnsi="Times New Roman" w:cs="Times New Roman"/>
          <w:b/>
          <w:bCs/>
          <w:sz w:val="24"/>
          <w:szCs w:val="24"/>
        </w:rPr>
      </w:pPr>
    </w:p>
    <w:p w14:paraId="4B85A550"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 Methodology</w:t>
      </w:r>
    </w:p>
    <w:p w14:paraId="6123C56D"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3.1 Research Design</w:t>
      </w:r>
    </w:p>
    <w:p w14:paraId="3459DEDC"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study adopts a qualitative multiple-case study design to explore how Green Human Resource Management (GHRM) practices are conceptualized, implemented, and institutionalized within public sector organizations. A qualitative approach is most appropriate because it allows for an in-depth understanding of the contextual, behavioral, and institutional processes that underpin sustainability adoption in complex bureaucratic settings (Creswell &amp; Poth, 2018). Unlike quantitative methods that measure the prevalence of GHRM practices, qualitative inquiry facilitates the exploration of meanings, interpretations, and lived experiences of organizational actors who shape or are affected by such practices (Denzin &amp; Lincoln, 2018).</w:t>
      </w:r>
    </w:p>
    <w:p w14:paraId="5A9B446B" w14:textId="5CB3C64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choice of a multiple-case study (Yin, 2018) strengthens the analytical depth and external validity of the research. By examining several public agencies operating under different mandates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such as ministries, local government departments, and regulatory bodies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the study identifies patterns of convergence and divergence in how institutional pressures and organizational dynamics influence GHRM adoption. A multiple-case approach also allows for comparative analysis, revealing how organizational size, governance culture, or leadership orientation mediate the effectiveness of green HR initiatives. This comparative logic of replication enhances the robustness and credibility of findings (Eisenhardt, 1989).</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In addition, the study incorporates elements of process tracing to capture the temporal dimension of GHRM institutionalization (Beach &amp; Pedersen, 2019). This approach helps uncover causal mechanisms by mapping how sustainability policies evolve from policy formulation through implementation to everyday HR practices.</w:t>
      </w:r>
    </w:p>
    <w:p w14:paraId="72D36235"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3.2 Study Setting and Sampling Strategy</w:t>
      </w:r>
    </w:p>
    <w:p w14:paraId="5F0644F6" w14:textId="0583969E"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study was conducted among selected public sector agencies in Uganda, specifically targeting central government ministries, municipal councils, and semi-autonomous regulatory authorities mandated with environmental management, water and sanitation, and human resource policy. These organizations were deliberately chosen because they operate at the interface of environmental governance and public administration, making them ideal contexts for examining how Green Human Resource Management (GHRM) practices are conceptualized and institutionalized. The Ugandan public sector presents a dynamic setting where sustainability policies often intersect with bureaucratic structures, providing a fertile ground for exploring both the opportunities and constraints associated with implementing GHRM.</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 xml:space="preserve">A purposive sampling strategy (Palinkas et al., 2015) was employed to select participants with substantial experience and institutional knowledge of HR functions, environmental management, and organizational </w:t>
      </w:r>
      <w:r w:rsidRPr="001F5F7A">
        <w:rPr>
          <w:rFonts w:ascii="Times New Roman" w:hAnsi="Times New Roman" w:cs="Times New Roman"/>
          <w:sz w:val="24"/>
          <w:szCs w:val="24"/>
        </w:rPr>
        <w:lastRenderedPageBreak/>
        <w:t>leadership. The study sought to capture a diverse range of perspectives from different administrative levels and functional areas. The participants included human resource managers and officers responsible for recruitment, performance appraisal, and staff training; environmental or sustainability officers engaged in the design and coordination of green initiatives; senior administrators and departmental heads involved in strategic decision-making; and general staff members or public servants directly affected by GHRM interventions, whose experiences offered valuable insights into implementation realities.</w:t>
      </w:r>
    </w:p>
    <w:p w14:paraId="582DE23D" w14:textId="3FC59F4B"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 xml:space="preserve">In total, 28 participants were interviewed across five public sector organizations, representing a mix of central and local government entities. This sample size was deemed sufficient to achieve thematic saturation, defined as the point at which additional interviews no longer produced new insights or themes relevant to the study’s research questions (Guest, </w:t>
      </w:r>
      <w:proofErr w:type="spellStart"/>
      <w:r w:rsidRPr="001F5F7A">
        <w:rPr>
          <w:rFonts w:ascii="Times New Roman" w:hAnsi="Times New Roman" w:cs="Times New Roman"/>
          <w:sz w:val="24"/>
          <w:szCs w:val="24"/>
        </w:rPr>
        <w:t>Namey</w:t>
      </w:r>
      <w:proofErr w:type="spellEnd"/>
      <w:r w:rsidRPr="001F5F7A">
        <w:rPr>
          <w:rFonts w:ascii="Times New Roman" w:hAnsi="Times New Roman" w:cs="Times New Roman"/>
          <w:sz w:val="24"/>
          <w:szCs w:val="24"/>
        </w:rPr>
        <w:t>, &amp; Chen, 2020). Data collection continued until redundancy was observed—where participant narratives consistently reinforced existing categories without yielding novel dimensions. The use of a multi-level participant pool ensured that the data captured both top-down institutional perspectives and bottom-up experiential insights, thereby strengthening the analytical richness and validity of the findings.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This sampling approach aligns with qualitative research principles that prioritize depth over breadth, focusing on the richness and contextual relevance of information rather than statistical generalization. Moreover, by including participants from multiple agencies, the study allowed for cross-case comparison, which enhanced understanding of how different institutional contexts and governance structures influence the implementation and sustainability of GHRM practices within Uganda’s public sector.</w:t>
      </w:r>
    </w:p>
    <w:p w14:paraId="627A63D9"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3.3 Data Collection Methods</w:t>
      </w:r>
    </w:p>
    <w:p w14:paraId="3EA81329" w14:textId="79D77431" w:rsid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collection employed multiple qualitative techniques to enhance triangulation and credibility (Flick, 2018). The main methods included semi-structured interviews, document analysis, and direct observation.</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The core data source consisted of in-depth, semi-structured interviews conducted with key informants. Interview guides were developed around central themes of the study: the understanding of GHRM, organizational motivation for adoption, institutional constraints, employee engagement, and perceived outcomes. Questions were open-ended to allow participants to express their perspectives freely while providing flexibility for follow-up probing.</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Each interview lasted between 45 and 90 minutes and was audio-recorded with consent. Where recording was not permitted, detailed field notes were taken. Interviews were conducted face-to-face where possible, and in some cases via virtual platforms (e.g., Zoom or Microsoft Teams), particularly for senior officials with limited availability.</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To complement interview data, a document review was conducted covering HR policy manuals, sustainability strategies, performance management guidelines, and internal circulars. These documents provided insights into how environmental objectives were formally integrated (or not) into HR functions. Document analysis helped validate and contextualize interview findings by comparing espoused policies with actual implementation frameworks (Bowen, 2009).</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 xml:space="preserve">In selected cases, limited non-participant observations were carried out during training sessions, departmental meetings, and environmental awareness campaigns. Observations focused on workplace behavior, employee participation, and the visible integration of green practices such as recycling initiatives, energy-saving measures, and </w:t>
      </w:r>
      <w:r w:rsidRPr="001F5F7A">
        <w:rPr>
          <w:rFonts w:ascii="Times New Roman" w:hAnsi="Times New Roman" w:cs="Times New Roman"/>
          <w:sz w:val="24"/>
          <w:szCs w:val="24"/>
        </w:rPr>
        <w:lastRenderedPageBreak/>
        <w:t>waste management. These observations enriched the understanding of the “lived reality” of GHRM in public sector contexts.</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Data triangulation across methods (interviews, documents, and observations) and sources (different organizations and roles) increased the reliability and validity of the findings (Patton, 2015). Divergences and convergences in the data were critically compared to identify consistent patterns and plausible explanations.</w:t>
      </w:r>
    </w:p>
    <w:p w14:paraId="34FE0EC9" w14:textId="5A10BA88"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3.4 Data Analysis</w:t>
      </w:r>
    </w:p>
    <w:p w14:paraId="111BE8D1"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analysis in this study followed an inductive thematic approach as outlined by Braun and Clarke (2019). This approach was chosen because it allows for flexibility and depth in identifying patterns and meanings emerging from qualitative data without being constrained by predetermined categories. All interviews were transcribed verbatim immediately after data collection to ensure accuracy and immersion in the data. The transcribed materials, together with field notes and relevant documents, were imported into NVivo 14 software to facilitate systematic organization, coding, and retrieval of information. NVivo supported the researcher in managing large volumes of textual data and ensuring transparency and traceability throughout the analytical process.</w:t>
      </w:r>
    </w:p>
    <w:p w14:paraId="26D7D9C3" w14:textId="147A3B8E"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analysis occurred in three iterative stages. The first stage, open coding, involved close reading of the transcripts and field notes to generate initial codes that reflected recurring ideas, phrases, and concepts related to Green Human Resource Management (GHRM) practices, institutional pressures, leadership dynamics, and behavioral responses. These open codes served as descriptive labels capturing the diversity of participants’ perspectives.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 xml:space="preserve">The second stage, axial coding, entailed grouping similar codes into broader conceptual categories that represented higher-order patterns within the data. This stage emphasized relationships between codes and explored how different factors interacted. Categories such as </w:t>
      </w:r>
      <w:r w:rsidRPr="001F5F7A">
        <w:rPr>
          <w:rFonts w:ascii="Times New Roman" w:hAnsi="Times New Roman" w:cs="Times New Roman"/>
          <w:i/>
          <w:iCs/>
          <w:sz w:val="24"/>
          <w:szCs w:val="24"/>
        </w:rPr>
        <w:t>policy alignment</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capacity constraints</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symbolic adoption</w:t>
      </w:r>
      <w:r w:rsidRPr="001F5F7A">
        <w:rPr>
          <w:rFonts w:ascii="Times New Roman" w:hAnsi="Times New Roman" w:cs="Times New Roman"/>
          <w:sz w:val="24"/>
          <w:szCs w:val="24"/>
        </w:rPr>
        <w:t xml:space="preserve">, </w:t>
      </w:r>
      <w:r w:rsidRPr="001F5F7A">
        <w:rPr>
          <w:rFonts w:ascii="Times New Roman" w:hAnsi="Times New Roman" w:cs="Times New Roman"/>
          <w:i/>
          <w:iCs/>
          <w:sz w:val="24"/>
          <w:szCs w:val="24"/>
        </w:rPr>
        <w:t>employee motivation</w:t>
      </w:r>
      <w:r w:rsidRPr="001F5F7A">
        <w:rPr>
          <w:rFonts w:ascii="Times New Roman" w:hAnsi="Times New Roman" w:cs="Times New Roman"/>
          <w:sz w:val="24"/>
          <w:szCs w:val="24"/>
        </w:rPr>
        <w:t xml:space="preserve">, and </w:t>
      </w:r>
      <w:r w:rsidRPr="001F5F7A">
        <w:rPr>
          <w:rFonts w:ascii="Times New Roman" w:hAnsi="Times New Roman" w:cs="Times New Roman"/>
          <w:i/>
          <w:iCs/>
          <w:sz w:val="24"/>
          <w:szCs w:val="24"/>
        </w:rPr>
        <w:t>leadership commitment</w:t>
      </w:r>
      <w:r w:rsidRPr="001F5F7A">
        <w:rPr>
          <w:rFonts w:ascii="Times New Roman" w:hAnsi="Times New Roman" w:cs="Times New Roman"/>
          <w:sz w:val="24"/>
          <w:szCs w:val="24"/>
        </w:rPr>
        <w:t xml:space="preserve"> began to emerge, revealing how institutional and organizational dynamics jointly shaped GHRM implementation in public agencies.</w:t>
      </w:r>
    </w:p>
    <w:p w14:paraId="74CD894D" w14:textId="2543EFBF"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In the final stage, selective coding, the researcher integrated the axial categories into overarching themes that captured the interplay between macro-level institutional drivers and micro-level HR mechanisms influencing the institutionalization of GHRM. This process facilitated the identification of core explanatory patterns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such as how coercive and normative pressures from government or donors intersected with individual motivation and organizational opportunity structures to enable or hinder green HR adoption.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Throughout the entire analytical process, the researcher maintained analytic memos to document reflections on emerging insights, contradictions, and evolving interpretations. These memos served as an audit trail, linking empirical evidence to theoretical constructs derived from Institutional Theory and the Ability–Motivation–Opportunity (AMO) model. Constant comparison across cases and data sources enhanced analytical rigor, ensuring that the final themes accurately represented the complexity and contextual realities of GHRM practices within the public sector.</w:t>
      </w:r>
    </w:p>
    <w:p w14:paraId="090D48A3" w14:textId="44AF6715"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analysis also incorporated process tracing techniques (Beach &amp; Pedersen, 2019) to reconstruct the causal sequence of GHRM adoption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identifying key events, actors, and decisions that shaped how policies were translated into practice. This helped uncover both formal mechanisms (policy directives, regulations) and informal dynamics (leadership attitudes, employee sensemaking).</w:t>
      </w:r>
    </w:p>
    <w:p w14:paraId="1F1B7BE5"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lastRenderedPageBreak/>
        <w:t>3.5 Trustworthiness and Ethical Considerations</w:t>
      </w:r>
    </w:p>
    <w:p w14:paraId="714F57A0" w14:textId="6D358DF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To ensure methodological rigor, the study adhered to Lincoln and Guba’s (1985) criteria for trustworthiness</w:t>
      </w:r>
      <w:r w:rsidR="00925BA1">
        <w:rPr>
          <w:rFonts w:ascii="Times New Roman" w:hAnsi="Times New Roman" w:cs="Times New Roman"/>
          <w:sz w:val="24"/>
          <w:szCs w:val="24"/>
        </w:rPr>
        <w:t xml:space="preserve"> that’s </w:t>
      </w:r>
      <w:r w:rsidRPr="001F5F7A">
        <w:rPr>
          <w:rFonts w:ascii="Times New Roman" w:hAnsi="Times New Roman" w:cs="Times New Roman"/>
          <w:sz w:val="24"/>
          <w:szCs w:val="24"/>
        </w:rPr>
        <w:t>credibility, dependability, confirmability, and transferability. Credibility was strengthened through triangulation and participant validation (member checking). Dependability was ensured through an audit trail documenting all research decisions, coding processes, and data sources. Confirmability was enhanced by maintaining reflexive journals to minimize researcher bias. Transferability was supported by providing detailed contextual descriptions, allowing readers to judge the applicability of findings to other public sector contexts.</w:t>
      </w:r>
      <w:r w:rsidRPr="007E0EA4">
        <w:rPr>
          <w:rFonts w:ascii="Times New Roman" w:hAnsi="Times New Roman" w:cs="Times New Roman"/>
          <w:sz w:val="24"/>
          <w:szCs w:val="24"/>
        </w:rPr>
        <w:t xml:space="preserve"> </w:t>
      </w:r>
      <w:r w:rsidRPr="001F5F7A">
        <w:rPr>
          <w:rFonts w:ascii="Times New Roman" w:hAnsi="Times New Roman" w:cs="Times New Roman"/>
          <w:sz w:val="24"/>
          <w:szCs w:val="24"/>
        </w:rPr>
        <w:t>Informed consent was secured from all participants, who were assured of confidentiality and the voluntary nature of participation. Pseudonyms were used in transcripts and reports to protect identities, and data were stored securely in password-protected files.</w:t>
      </w:r>
    </w:p>
    <w:p w14:paraId="6E2DA662" w14:textId="44569330"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Overall, this methodological design</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grounded in qualitative multiple-case study logic</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enables a comprehensive understanding of how GHRM is interpreted and implemented within the complex institutional environment of public administration. By integrating interviews, documents, and observations, the study captures both the formal structures and lived experiences that shape sustainability in HR practices. The combination of thematic analysis and process tracing allows the research not only to describe GHRM practices but also to explain how and why they evolve in response to institutional pressures, leadership choices, and employee engagement.</w:t>
      </w:r>
    </w:p>
    <w:p w14:paraId="0598EC54" w14:textId="77777777" w:rsidR="001F5F7A" w:rsidRPr="007E0EA4" w:rsidRDefault="001F5F7A" w:rsidP="007E0EA4">
      <w:pPr>
        <w:jc w:val="both"/>
        <w:rPr>
          <w:rFonts w:ascii="Times New Roman" w:hAnsi="Times New Roman" w:cs="Times New Roman"/>
          <w:b/>
          <w:bCs/>
          <w:sz w:val="24"/>
          <w:szCs w:val="24"/>
        </w:rPr>
      </w:pPr>
    </w:p>
    <w:p w14:paraId="2776733D" w14:textId="7E49C2C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 Findings</w:t>
      </w:r>
    </w:p>
    <w:p w14:paraId="062FAEC0"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Data from interviews, document reviews, and observations revealed five overarching themes that capture how Green Human Resource Management (GHRM) practices are understood and operationalized within Uganda’s public sector. These themes illustrate both progress and persistent challenges in embedding environmental sustainability within bureaucratic systems.</w:t>
      </w:r>
    </w:p>
    <w:p w14:paraId="0116605A"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4.1 Superficial Adoption versus Deep Integration</w:t>
      </w:r>
    </w:p>
    <w:p w14:paraId="527B0861"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Most respondents acknowledged that environmental sustainability has become part of institutional rhetoric, but actual implementation remains superficial. While some agencies had introduced “green” statements in HR policy documents or strategic plans, these were often symbolic responses to external or political pressures rather than deeply institutionalized practices.</w:t>
      </w:r>
    </w:p>
    <w:p w14:paraId="54FD471B"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“Our ministry has a section in the HR manual about environmental responsibility, but to be honest, it’s just words on paper. We’ve never been trained or evaluated based on it.”</w:t>
      </w:r>
      <w:r w:rsidRPr="001F5F7A">
        <w:rPr>
          <w:rFonts w:ascii="Times New Roman" w:hAnsi="Times New Roman" w:cs="Times New Roman"/>
          <w:sz w:val="24"/>
          <w:szCs w:val="24"/>
        </w:rPr>
        <w:t xml:space="preserve"> (HR Officer, Ministry of Public Service)</w:t>
      </w:r>
    </w:p>
    <w:p w14:paraId="139DC242"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“Sometimes we put environmental goals in our reports because donors expect it, not because there’s an internal plan to make it work.”</w:t>
      </w:r>
      <w:r w:rsidRPr="001F5F7A">
        <w:rPr>
          <w:rFonts w:ascii="Times New Roman" w:hAnsi="Times New Roman" w:cs="Times New Roman"/>
          <w:sz w:val="24"/>
          <w:szCs w:val="24"/>
        </w:rPr>
        <w:t xml:space="preserve"> (Senior Administrator, National Environmental Authority)</w:t>
      </w:r>
    </w:p>
    <w:p w14:paraId="26322396"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 xml:space="preserve">These findings reflect what institutional theorists describe as decoupling—the separation between formal policy adoption and operational practice (Meyer &amp; Rowan, 1977). Public agencies appear motivated by coercive and mimetic pressures to demonstrate compliance with sustainability </w:t>
      </w:r>
      <w:r w:rsidRPr="001F5F7A">
        <w:rPr>
          <w:rFonts w:ascii="Times New Roman" w:hAnsi="Times New Roman" w:cs="Times New Roman"/>
          <w:sz w:val="24"/>
          <w:szCs w:val="24"/>
        </w:rPr>
        <w:lastRenderedPageBreak/>
        <w:t>mandates, yet lack the structural and motivational mechanisms to integrate such principles into daily HR routines. As a result, GHRM remains more performative than transformative, reflecting legitimacy-seeking rather than genuine institutional reform.</w:t>
      </w:r>
    </w:p>
    <w:p w14:paraId="5222FE7E"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4.2 Institutional and Regulatory Constraints</w:t>
      </w:r>
    </w:p>
    <w:p w14:paraId="238A0403"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A major barrier to effective GHRM adoption stemmed from institutional rigidity and bureaucratic procedures that limit innovation and flexibility. Many participants pointed to centralized civil service regulations that prescribe uniform job descriptions, reward structures, and performance appraisal systems, leaving little room for green adaptation.</w:t>
      </w:r>
    </w:p>
    <w:p w14:paraId="00C8B193"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“Our hands are tied by the civil service rules. You can’t introduce green incentives without approval from the Public Service Commission.”</w:t>
      </w:r>
      <w:r w:rsidRPr="001F5F7A">
        <w:rPr>
          <w:rFonts w:ascii="Times New Roman" w:hAnsi="Times New Roman" w:cs="Times New Roman"/>
          <w:sz w:val="24"/>
          <w:szCs w:val="24"/>
        </w:rPr>
        <w:t xml:space="preserve"> (Director, Municipal Council)</w:t>
      </w:r>
    </w:p>
    <w:p w14:paraId="2E50F6A5"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“Procurement is very rigid. Even if we want to purchase energy-efficient equipment, the process is long and controlled from the center.”</w:t>
      </w:r>
      <w:r w:rsidRPr="001F5F7A">
        <w:rPr>
          <w:rFonts w:ascii="Times New Roman" w:hAnsi="Times New Roman" w:cs="Times New Roman"/>
          <w:sz w:val="24"/>
          <w:szCs w:val="24"/>
        </w:rPr>
        <w:t xml:space="preserve"> (Environmental Officer, Local Government)</w:t>
      </w:r>
    </w:p>
    <w:p w14:paraId="7312F227"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Such structural constraints exemplify the coercive pressures and institutional inertia described by Institutional Theory. Agencies operate within tight accountability frameworks that emphasize procedural compliance rather than outcomes, discouraging experimentation. Moreover, the lack of coordination between environmental policy units and HR departments was repeatedly cited as a challenge.</w:t>
      </w:r>
    </w:p>
    <w:p w14:paraId="38E0C22F" w14:textId="59784FEE"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 environment department has its own agenda, HR has another. There’s no joint planning</w:t>
      </w:r>
      <w:r w:rsidR="00925BA1">
        <w:rPr>
          <w:rFonts w:ascii="Times New Roman" w:hAnsi="Times New Roman" w:cs="Times New Roman"/>
          <w:i/>
          <w:iCs/>
          <w:sz w:val="24"/>
          <w:szCs w:val="24"/>
        </w:rPr>
        <w:t xml:space="preserve">, </w:t>
      </w:r>
      <w:r w:rsidRPr="001F5F7A">
        <w:rPr>
          <w:rFonts w:ascii="Times New Roman" w:hAnsi="Times New Roman" w:cs="Times New Roman"/>
          <w:i/>
          <w:iCs/>
          <w:sz w:val="24"/>
          <w:szCs w:val="24"/>
        </w:rPr>
        <w:t>everyone works in silos.”</w:t>
      </w:r>
      <w:r w:rsidRPr="001F5F7A">
        <w:rPr>
          <w:rFonts w:ascii="Times New Roman" w:hAnsi="Times New Roman" w:cs="Times New Roman"/>
          <w:sz w:val="24"/>
          <w:szCs w:val="24"/>
        </w:rPr>
        <w:t xml:space="preserve"> (HR Manager, Semi-Autonomous Agency)</w:t>
      </w:r>
    </w:p>
    <w:p w14:paraId="2186589F"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siloed approach weakens cross-departmental ownership of GHRM, making sustainability appear peripheral to HR strategy.</w:t>
      </w:r>
    </w:p>
    <w:p w14:paraId="0FE315CA"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4.3 Capacity and Competency Gaps</w:t>
      </w:r>
    </w:p>
    <w:p w14:paraId="15C79524"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 study revealed substantial capacity limitations at both institutional and individual levels. HR professionals and line managers frequently admitted lacking the technical expertise to design or implement environmentally focused HR programs. Training programs, when available, tended to be generic, donor-driven, or ad hoc, with limited emphasis on behavioral change or internal learning.</w:t>
      </w:r>
    </w:p>
    <w:p w14:paraId="24B146BE" w14:textId="4AE81BFE"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“We received some training on sustainability, but it was one workshop</w:t>
      </w:r>
      <w:r w:rsidR="00925BA1">
        <w:rPr>
          <w:rFonts w:ascii="Times New Roman" w:hAnsi="Times New Roman" w:cs="Times New Roman"/>
          <w:i/>
          <w:iCs/>
          <w:sz w:val="24"/>
          <w:szCs w:val="24"/>
        </w:rPr>
        <w:t xml:space="preserve">, </w:t>
      </w:r>
      <w:r w:rsidRPr="001F5F7A">
        <w:rPr>
          <w:rFonts w:ascii="Times New Roman" w:hAnsi="Times New Roman" w:cs="Times New Roman"/>
          <w:i/>
          <w:iCs/>
          <w:sz w:val="24"/>
          <w:szCs w:val="24"/>
        </w:rPr>
        <w:t>it didn’t go beyond awareness.”</w:t>
      </w:r>
      <w:r w:rsidRPr="001F5F7A">
        <w:rPr>
          <w:rFonts w:ascii="Times New Roman" w:hAnsi="Times New Roman" w:cs="Times New Roman"/>
          <w:sz w:val="24"/>
          <w:szCs w:val="24"/>
        </w:rPr>
        <w:t xml:space="preserve"> (HR Officer, Ministry of Water and Environment)</w:t>
      </w:r>
    </w:p>
    <w:p w14:paraId="3FF3B77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“I don’t think our HR staff fully understand what Green HRM means. They think it’s about planting trees during environment week.”</w:t>
      </w:r>
      <w:r w:rsidRPr="001F5F7A">
        <w:rPr>
          <w:rFonts w:ascii="Times New Roman" w:hAnsi="Times New Roman" w:cs="Times New Roman"/>
          <w:sz w:val="24"/>
          <w:szCs w:val="24"/>
        </w:rPr>
        <w:t xml:space="preserve"> (Senior Policy Analyst, Regulatory Authority)</w:t>
      </w:r>
    </w:p>
    <w:p w14:paraId="03D36020"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These capacity constraints align with the Ability dimension of the AMO model, suggesting that insufficient skill development hinders employees’ ability to engage in sustainability-oriented tasks. Furthermore, weak institutional investment in continuous training undermines long-term learning and knowledge retention. Without targeted programs to build competencies, GHRM risks being reduced to episodic campaigns rather than sustained organizational change.</w:t>
      </w:r>
    </w:p>
    <w:p w14:paraId="3A807E92"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lastRenderedPageBreak/>
        <w:t>4.4 Motivational Barriers and Incentive Misalignment</w:t>
      </w:r>
    </w:p>
    <w:p w14:paraId="6E8484FF"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Findings also pointed to low motivation and poor alignment of incentives as critical obstacles. In most agencies, environmental performance was not tied to performance appraisal or promotion criteria. Employees perceived green initiatives as extra work that was neither recognized nor rewarded.</w:t>
      </w:r>
    </w:p>
    <w:p w14:paraId="6CEF224B"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“You can’t expect people to put effort into something that doesn’t affect their appraisal. Environmental activities are seen as voluntary, not part of our job.”</w:t>
      </w:r>
      <w:r w:rsidRPr="001F5F7A">
        <w:rPr>
          <w:rFonts w:ascii="Times New Roman" w:hAnsi="Times New Roman" w:cs="Times New Roman"/>
          <w:sz w:val="24"/>
          <w:szCs w:val="24"/>
        </w:rPr>
        <w:t xml:space="preserve"> (Administrative Officer, Central Government)</w:t>
      </w:r>
    </w:p>
    <w:p w14:paraId="2D039A99"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“There are no rewards for innovation or environmental ideas. The system rewards compliance, not creativity.”</w:t>
      </w:r>
      <w:r w:rsidRPr="001F5F7A">
        <w:rPr>
          <w:rFonts w:ascii="Times New Roman" w:hAnsi="Times New Roman" w:cs="Times New Roman"/>
          <w:sz w:val="24"/>
          <w:szCs w:val="24"/>
        </w:rPr>
        <w:t xml:space="preserve"> (Mid-Level Manager, Local Government)</w:t>
      </w:r>
    </w:p>
    <w:p w14:paraId="7E4EA317" w14:textId="247914BA"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This reflects a broader cultural challenge within the public sector, where compliance and risk aversion often take precedence over innovation. From an AMO perspective, the Motivation element is underdeveloped</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there are few mechanisms to encourage sustained employee engagement in environmental practices. Additionally, some respondents expressed frustration with inconsistent leadership messaging, noting that top management often “talks green but funds otherwise.” Such contradictions demotivate employees and reinforce cynicism about the institution’s commitment to sustainability.</w:t>
      </w:r>
    </w:p>
    <w:p w14:paraId="36259B41" w14:textId="77777777" w:rsidR="001F5F7A" w:rsidRPr="001F5F7A" w:rsidRDefault="001F5F7A" w:rsidP="007E0EA4">
      <w:pPr>
        <w:jc w:val="both"/>
        <w:rPr>
          <w:rFonts w:ascii="Times New Roman" w:hAnsi="Times New Roman" w:cs="Times New Roman"/>
          <w:b/>
          <w:bCs/>
          <w:sz w:val="24"/>
          <w:szCs w:val="24"/>
        </w:rPr>
      </w:pPr>
      <w:r w:rsidRPr="001F5F7A">
        <w:rPr>
          <w:rFonts w:ascii="Times New Roman" w:hAnsi="Times New Roman" w:cs="Times New Roman"/>
          <w:b/>
          <w:bCs/>
          <w:sz w:val="24"/>
          <w:szCs w:val="24"/>
        </w:rPr>
        <w:t>4.5 Participation, Voice, and Institutional Legitimacy</w:t>
      </w:r>
    </w:p>
    <w:p w14:paraId="5BC1DE49"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Finally, the study revealed that employee participation and voice play a crucial role in shaping perceptions of GHRM legitimacy. Many employees felt excluded from decision-making about green initiatives, leading to limited buy-in and occasional resistance.</w:t>
      </w:r>
    </w:p>
    <w:p w14:paraId="37796FE9"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“Most green activities are designed by top management or consultants. We are only informed when they want us to implement.”</w:t>
      </w:r>
      <w:r w:rsidRPr="001F5F7A">
        <w:rPr>
          <w:rFonts w:ascii="Times New Roman" w:hAnsi="Times New Roman" w:cs="Times New Roman"/>
          <w:sz w:val="24"/>
          <w:szCs w:val="24"/>
        </w:rPr>
        <w:t xml:space="preserve"> (Environmental Officer, Municipal Council)</w:t>
      </w:r>
    </w:p>
    <w:p w14:paraId="48C70BD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“If we were part of designing these programs, we would own them. But now it feels like an external project imposed on us.”</w:t>
      </w:r>
      <w:r w:rsidRPr="001F5F7A">
        <w:rPr>
          <w:rFonts w:ascii="Times New Roman" w:hAnsi="Times New Roman" w:cs="Times New Roman"/>
          <w:sz w:val="24"/>
          <w:szCs w:val="24"/>
        </w:rPr>
        <w:t xml:space="preserve"> (Public Servant, Local Government)</w:t>
      </w:r>
    </w:p>
    <w:p w14:paraId="171F35C4" w14:textId="5A022D19"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Exclusion from participatory processes fosters low institutional legitimacy, as employees perceive GHRM as externally imposed rather than internally generated. This finding resonates with the Opportunity dimension of the AMO model</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employees lack spaces for involvement and autonomy to contribute meaningfully to green initiatives. Moreover, weak communication and feedback loops exacerbate mistrust and disconnect between leadership and staff.</w:t>
      </w:r>
    </w:p>
    <w:p w14:paraId="235E6C2F" w14:textId="77777777" w:rsidR="001F5F7A" w:rsidRPr="001F5F7A" w:rsidRDefault="001F5F7A" w:rsidP="00925BA1">
      <w:pPr>
        <w:ind w:left="720"/>
        <w:jc w:val="both"/>
        <w:rPr>
          <w:rFonts w:ascii="Times New Roman" w:hAnsi="Times New Roman" w:cs="Times New Roman"/>
          <w:sz w:val="24"/>
          <w:szCs w:val="24"/>
        </w:rPr>
      </w:pPr>
      <w:r w:rsidRPr="001F5F7A">
        <w:rPr>
          <w:rFonts w:ascii="Times New Roman" w:hAnsi="Times New Roman" w:cs="Times New Roman"/>
          <w:i/>
          <w:iCs/>
          <w:sz w:val="24"/>
          <w:szCs w:val="24"/>
        </w:rPr>
        <w:t>“There’s no feedback after we submit reports. You don’t know whether your effort makes any difference.”</w:t>
      </w:r>
      <w:r w:rsidRPr="001F5F7A">
        <w:rPr>
          <w:rFonts w:ascii="Times New Roman" w:hAnsi="Times New Roman" w:cs="Times New Roman"/>
          <w:sz w:val="24"/>
          <w:szCs w:val="24"/>
        </w:rPr>
        <w:t xml:space="preserve"> (HR Assistant, Environmental Agency)</w:t>
      </w:r>
    </w:p>
    <w:p w14:paraId="78690197" w14:textId="77777777" w:rsidR="001F5F7A" w:rsidRPr="001F5F7A"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When employees are given platforms to share ideas, however, engagement and ownership improve markedly. Agencies with internal sustainability committees or participatory planning sessions reported stronger morale and commitment to environmental goals.</w:t>
      </w:r>
    </w:p>
    <w:p w14:paraId="0834BB7E" w14:textId="56B4AF6A" w:rsidR="001F5F7A" w:rsidRPr="007E0EA4" w:rsidRDefault="001F5F7A" w:rsidP="007E0EA4">
      <w:pPr>
        <w:jc w:val="both"/>
        <w:rPr>
          <w:rFonts w:ascii="Times New Roman" w:hAnsi="Times New Roman" w:cs="Times New Roman"/>
          <w:sz w:val="24"/>
          <w:szCs w:val="24"/>
        </w:rPr>
      </w:pPr>
      <w:r w:rsidRPr="001F5F7A">
        <w:rPr>
          <w:rFonts w:ascii="Times New Roman" w:hAnsi="Times New Roman" w:cs="Times New Roman"/>
          <w:sz w:val="24"/>
          <w:szCs w:val="24"/>
        </w:rPr>
        <w:t xml:space="preserve">Across the five themes, the findings reveal that while public agencies in Uganda recognize the strategic importance of GHRM, implementation remains constrained by institutional rigidity, </w:t>
      </w:r>
      <w:r w:rsidRPr="001F5F7A">
        <w:rPr>
          <w:rFonts w:ascii="Times New Roman" w:hAnsi="Times New Roman" w:cs="Times New Roman"/>
          <w:sz w:val="24"/>
          <w:szCs w:val="24"/>
        </w:rPr>
        <w:lastRenderedPageBreak/>
        <w:t>limited capacity, weak incentives, and lack of participatory structures. These challenges mirror the tension between institutional legitimacy and operational effectiveness emphasized in Institutional Theory, as well as gaps in the Ability–Motivation–Opportunity framework. Collectively, the evidence suggests that successful institutionalization of GHRM requires simultaneous reforms at both structural and behavioral levels</w:t>
      </w:r>
      <w:r w:rsidR="00925BA1">
        <w:rPr>
          <w:rFonts w:ascii="Times New Roman" w:hAnsi="Times New Roman" w:cs="Times New Roman"/>
          <w:sz w:val="24"/>
          <w:szCs w:val="24"/>
        </w:rPr>
        <w:t xml:space="preserve">, </w:t>
      </w:r>
      <w:r w:rsidRPr="001F5F7A">
        <w:rPr>
          <w:rFonts w:ascii="Times New Roman" w:hAnsi="Times New Roman" w:cs="Times New Roman"/>
          <w:sz w:val="24"/>
          <w:szCs w:val="24"/>
        </w:rPr>
        <w:t>addressing policy coherence, leadership commitment, employee empowerment, and continuous learning.</w:t>
      </w:r>
    </w:p>
    <w:p w14:paraId="732FCEDC" w14:textId="77777777" w:rsidR="006936EF" w:rsidRPr="007E0EA4" w:rsidRDefault="006936EF" w:rsidP="007E0EA4">
      <w:pPr>
        <w:jc w:val="both"/>
        <w:rPr>
          <w:rFonts w:ascii="Times New Roman" w:hAnsi="Times New Roman" w:cs="Times New Roman"/>
          <w:b/>
          <w:bCs/>
          <w:sz w:val="24"/>
          <w:szCs w:val="24"/>
        </w:rPr>
      </w:pPr>
    </w:p>
    <w:p w14:paraId="11F97D0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 Discussion</w:t>
      </w:r>
    </w:p>
    <w:p w14:paraId="2B3EAD7E" w14:textId="5F7D32C4"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study examined how Green Human Resource Management (GHRM) practices are adopted and institutionalized within Uganda’s public sector and explored why many remain symbolic or partially implemented despite growing global and national commitments to environmental sustainability. The findings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interpreted through the lenses of Institutional Theory and the Ability–Motivation–Opportunity (AMO) framework</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reveal that while coercive and normative pressures have driven public agencies to adopt sustainability-oriented HR rhetoric, deep integration is hindered by bureaucratic inertia, limited capacity, and weak motivational and participatory systems. The discussion below contextualizes these results in relation to existing scholarship, highlighting how institutional logics, organizational culture, and behavioral mechanisms jointly shape the trajectory of GHRM in the public sector.</w:t>
      </w:r>
    </w:p>
    <w:p w14:paraId="77F1C17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5.1 Institutional Pressures and the Isomorphism of Adoption</w:t>
      </w:r>
    </w:p>
    <w:p w14:paraId="1098D731" w14:textId="677A65EB"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Institutional Theory (DiMaggio &amp; Powell, 1983; Scott, 2014) posits that organizations adopt certain practices not purely for technical efficiency but to gain legitimacy within their institutional environments. In the case of GHRM, coercive pressures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emanating from international frameworks such as the Sustainable Development Goals (SDGs), the Paris Climate Agreement, and donor-driven environmental programs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have compelled public agencies to align their HR policies with sustainability rhetoric. These pressures are reinforced by normative expectations from citizens, civil society, and global development partners who increasingly demand transparency and environmental accountability in governance (Riaz, Saeed, &amp; Qureshi, 2023). Additionally, mimetic pressures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driven by uncertainty or imitation of perceived best practices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encourage agencies to reproduce “green language” in HR documents to mirror international trends or peer institutions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Kuhlmann, &amp; </w:t>
      </w:r>
      <w:proofErr w:type="spellStart"/>
      <w:r w:rsidRPr="00B33026">
        <w:rPr>
          <w:rFonts w:ascii="Times New Roman" w:hAnsi="Times New Roman" w:cs="Times New Roman"/>
          <w:sz w:val="24"/>
          <w:szCs w:val="24"/>
        </w:rPr>
        <w:t>Edler</w:t>
      </w:r>
      <w:proofErr w:type="spellEnd"/>
      <w:r w:rsidRPr="00B33026">
        <w:rPr>
          <w:rFonts w:ascii="Times New Roman" w:hAnsi="Times New Roman" w:cs="Times New Roman"/>
          <w:sz w:val="24"/>
          <w:szCs w:val="24"/>
        </w:rPr>
        <w:t>, 2024).</w:t>
      </w:r>
    </w:p>
    <w:p w14:paraId="5284332A" w14:textId="0E7D602B"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However, consistent with prior institutional analyses (Meyer &amp; Rowan, 1977; </w:t>
      </w:r>
      <w:proofErr w:type="spellStart"/>
      <w:r w:rsidRPr="00B33026">
        <w:rPr>
          <w:rFonts w:ascii="Times New Roman" w:hAnsi="Times New Roman" w:cs="Times New Roman"/>
          <w:sz w:val="24"/>
          <w:szCs w:val="24"/>
        </w:rPr>
        <w:t>Eitrem</w:t>
      </w:r>
      <w:proofErr w:type="spellEnd"/>
      <w:r w:rsidRPr="00B33026">
        <w:rPr>
          <w:rFonts w:ascii="Times New Roman" w:hAnsi="Times New Roman" w:cs="Times New Roman"/>
          <w:sz w:val="24"/>
          <w:szCs w:val="24"/>
        </w:rPr>
        <w:t xml:space="preserve">, 2024), the findings reveal a persistent decoupling between formal policy adoption and practical implementation. Public agencies frequently include sustainability statements in HR manuals or strategic plans, but without corresponding resource allocation, leadership commitment, or monitoring frameworks. This symbolic adoption illustrates what </w:t>
      </w:r>
      <w:proofErr w:type="spellStart"/>
      <w:r w:rsidRPr="00B33026">
        <w:rPr>
          <w:rFonts w:ascii="Times New Roman" w:hAnsi="Times New Roman" w:cs="Times New Roman"/>
          <w:sz w:val="24"/>
          <w:szCs w:val="24"/>
        </w:rPr>
        <w:t>Boxenbaum</w:t>
      </w:r>
      <w:proofErr w:type="spellEnd"/>
      <w:r w:rsidRPr="00B33026">
        <w:rPr>
          <w:rFonts w:ascii="Times New Roman" w:hAnsi="Times New Roman" w:cs="Times New Roman"/>
          <w:sz w:val="24"/>
          <w:szCs w:val="24"/>
        </w:rPr>
        <w:t xml:space="preserve"> and Jonsson (2017) describe as isomorphic conformity</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where organizations emulate institutional norms to signal legitimacy while retaining traditional routines. The result is a pattern of “green-washing bureaucracy,” where sustainability discourse satisfies external scrutiny but fails to translate into tangible behavioral or structural change.</w:t>
      </w:r>
    </w:p>
    <w:p w14:paraId="34ABAD3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lastRenderedPageBreak/>
        <w:t>Such superficiality is not unique to Uganda. Studies in other developing contexts (García-Cruz, López-</w:t>
      </w:r>
      <w:proofErr w:type="spellStart"/>
      <w:r w:rsidRPr="00B33026">
        <w:rPr>
          <w:rFonts w:ascii="Times New Roman" w:hAnsi="Times New Roman" w:cs="Times New Roman"/>
          <w:sz w:val="24"/>
          <w:szCs w:val="24"/>
        </w:rPr>
        <w:t>Cabrales</w:t>
      </w:r>
      <w:proofErr w:type="spellEnd"/>
      <w:r w:rsidRPr="00B33026">
        <w:rPr>
          <w:rFonts w:ascii="Times New Roman" w:hAnsi="Times New Roman" w:cs="Times New Roman"/>
          <w:sz w:val="24"/>
          <w:szCs w:val="24"/>
        </w:rPr>
        <w:t xml:space="preserve">, &amp; Valle-Cabrera, 2024; </w:t>
      </w:r>
      <w:proofErr w:type="spellStart"/>
      <w:r w:rsidRPr="00B33026">
        <w:rPr>
          <w:rFonts w:ascii="Times New Roman" w:hAnsi="Times New Roman" w:cs="Times New Roman"/>
          <w:sz w:val="24"/>
          <w:szCs w:val="24"/>
        </w:rPr>
        <w:t>Makau</w:t>
      </w:r>
      <w:proofErr w:type="spellEnd"/>
      <w:r w:rsidRPr="00B33026">
        <w:rPr>
          <w:rFonts w:ascii="Times New Roman" w:hAnsi="Times New Roman" w:cs="Times New Roman"/>
          <w:sz w:val="24"/>
          <w:szCs w:val="24"/>
        </w:rPr>
        <w:t xml:space="preserve"> &amp; </w:t>
      </w:r>
      <w:proofErr w:type="spellStart"/>
      <w:r w:rsidRPr="00B33026">
        <w:rPr>
          <w:rFonts w:ascii="Times New Roman" w:hAnsi="Times New Roman" w:cs="Times New Roman"/>
          <w:sz w:val="24"/>
          <w:szCs w:val="24"/>
        </w:rPr>
        <w:t>Kiarie</w:t>
      </w:r>
      <w:proofErr w:type="spellEnd"/>
      <w:r w:rsidRPr="00B33026">
        <w:rPr>
          <w:rFonts w:ascii="Times New Roman" w:hAnsi="Times New Roman" w:cs="Times New Roman"/>
          <w:sz w:val="24"/>
          <w:szCs w:val="24"/>
        </w:rPr>
        <w:t xml:space="preserve">, 2024) report that coercive and mimetic pressures often lead to compliance-oriented responses, especially when organizations face resource scarcity or political uncertainty. This suggests that the adoption of GHRM in the public sector is legitimacy-driven rather than performance-driven. Institutional pressures create visibility but not necessarily internal coherence, echoing Delmas and </w:t>
      </w:r>
      <w:proofErr w:type="spellStart"/>
      <w:r w:rsidRPr="00B33026">
        <w:rPr>
          <w:rFonts w:ascii="Times New Roman" w:hAnsi="Times New Roman" w:cs="Times New Roman"/>
          <w:sz w:val="24"/>
          <w:szCs w:val="24"/>
        </w:rPr>
        <w:t>Toffel’s</w:t>
      </w:r>
      <w:proofErr w:type="spellEnd"/>
      <w:r w:rsidRPr="00B33026">
        <w:rPr>
          <w:rFonts w:ascii="Times New Roman" w:hAnsi="Times New Roman" w:cs="Times New Roman"/>
          <w:sz w:val="24"/>
          <w:szCs w:val="24"/>
        </w:rPr>
        <w:t xml:space="preserve"> (2008) observation that organizations frequently “adopt green policies for show” under external scrutiny.</w:t>
      </w:r>
    </w:p>
    <w:p w14:paraId="487455D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5.2 Bureaucratic Inertia and Institutional Fragmentation</w:t>
      </w:r>
    </w:p>
    <w:p w14:paraId="320ED322"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further confirm that institutional and regulatory constraints significantly impede deep GHRM integration. Uganda’s public sector, like many in sub-Saharan Africa, operates under highly centralized administrative systems governed by fixed civil service rules and budgetary protocols (</w:t>
      </w:r>
      <w:proofErr w:type="spellStart"/>
      <w:r w:rsidRPr="00B33026">
        <w:rPr>
          <w:rFonts w:ascii="Times New Roman" w:hAnsi="Times New Roman" w:cs="Times New Roman"/>
          <w:sz w:val="24"/>
          <w:szCs w:val="24"/>
        </w:rPr>
        <w:t>Knies</w:t>
      </w:r>
      <w:proofErr w:type="spellEnd"/>
      <w:r w:rsidRPr="00B33026">
        <w:rPr>
          <w:rFonts w:ascii="Times New Roman" w:hAnsi="Times New Roman" w:cs="Times New Roman"/>
          <w:sz w:val="24"/>
          <w:szCs w:val="24"/>
        </w:rPr>
        <w:t xml:space="preserve">, </w:t>
      </w:r>
      <w:proofErr w:type="spellStart"/>
      <w:r w:rsidRPr="00B33026">
        <w:rPr>
          <w:rFonts w:ascii="Times New Roman" w:hAnsi="Times New Roman" w:cs="Times New Roman"/>
          <w:sz w:val="24"/>
          <w:szCs w:val="24"/>
        </w:rPr>
        <w:t>Boselie</w:t>
      </w:r>
      <w:proofErr w:type="spellEnd"/>
      <w:r w:rsidRPr="00B33026">
        <w:rPr>
          <w:rFonts w:ascii="Times New Roman" w:hAnsi="Times New Roman" w:cs="Times New Roman"/>
          <w:sz w:val="24"/>
          <w:szCs w:val="24"/>
        </w:rPr>
        <w:t xml:space="preserve">, Gould-Williams, &amp; </w:t>
      </w:r>
      <w:proofErr w:type="spellStart"/>
      <w:r w:rsidRPr="00B33026">
        <w:rPr>
          <w:rFonts w:ascii="Times New Roman" w:hAnsi="Times New Roman" w:cs="Times New Roman"/>
          <w:sz w:val="24"/>
          <w:szCs w:val="24"/>
        </w:rPr>
        <w:t>Vandenabeele</w:t>
      </w:r>
      <w:proofErr w:type="spellEnd"/>
      <w:r w:rsidRPr="00B33026">
        <w:rPr>
          <w:rFonts w:ascii="Times New Roman" w:hAnsi="Times New Roman" w:cs="Times New Roman"/>
          <w:sz w:val="24"/>
          <w:szCs w:val="24"/>
        </w:rPr>
        <w:t>, 2022). These rigid structures limit managerial discretion to modify job designs, introduce performance-based rewards, or incentivize green behavior. Respondents repeatedly noted that even when environmental policies are endorsed, implementation is stalled by approval delays from higher administrative authorities or by fragmented coordination between HR and environmental departments.</w:t>
      </w:r>
    </w:p>
    <w:p w14:paraId="7DC67CA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institutional fragmentation aligns with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 who argue that the transformative capacity of public sector organizations is often weakened by the separation of functional mandates and the absence of integrative mechanisms. In Uganda’s case, environmental departments and HR units frequently operate in silos, each pursuing its agenda with minimal collaboration. This disconnect prevents GHRM from becoming a cohesive organizational strategy and instead reduces it to isolated initiatives led by individual champions or donor projects.</w:t>
      </w:r>
    </w:p>
    <w:p w14:paraId="42A88FBF"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Institutional inertia is also reinforced by path dependency, where established routines and accountability frameworks prioritize compliance with administrative rules rather than innovation. This is consistent with Scott’s (2014) view that institutions “stabilize social behavior but also constrain organizational change.” Consequently, even well-intentioned green policies struggle to take root in bureaucracies designed for control and uniformity rather than experimentation.</w:t>
      </w:r>
    </w:p>
    <w:p w14:paraId="198F042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5.3 Diagnosing Implementation Gaps through the AMO Lens</w:t>
      </w:r>
    </w:p>
    <w:p w14:paraId="1E9FF902"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The Ability–Motivation–Opportunity (AMO) model provides a micro-level explanation for the observed gaps between policy and practice. While Institutional Theory explains </w:t>
      </w:r>
      <w:r w:rsidRPr="00B33026">
        <w:rPr>
          <w:rFonts w:ascii="Times New Roman" w:hAnsi="Times New Roman" w:cs="Times New Roman"/>
          <w:i/>
          <w:iCs/>
          <w:sz w:val="24"/>
          <w:szCs w:val="24"/>
        </w:rPr>
        <w:t>why</w:t>
      </w:r>
      <w:r w:rsidRPr="00B33026">
        <w:rPr>
          <w:rFonts w:ascii="Times New Roman" w:hAnsi="Times New Roman" w:cs="Times New Roman"/>
          <w:sz w:val="24"/>
          <w:szCs w:val="24"/>
        </w:rPr>
        <w:t xml:space="preserve"> organizations adopt GHRM rhetorically, the AMO framework helps unpack </w:t>
      </w:r>
      <w:r w:rsidRPr="00B33026">
        <w:rPr>
          <w:rFonts w:ascii="Times New Roman" w:hAnsi="Times New Roman" w:cs="Times New Roman"/>
          <w:i/>
          <w:iCs/>
          <w:sz w:val="24"/>
          <w:szCs w:val="24"/>
        </w:rPr>
        <w:t>how</w:t>
      </w:r>
      <w:r w:rsidRPr="00B33026">
        <w:rPr>
          <w:rFonts w:ascii="Times New Roman" w:hAnsi="Times New Roman" w:cs="Times New Roman"/>
          <w:sz w:val="24"/>
          <w:szCs w:val="24"/>
        </w:rPr>
        <w:t xml:space="preserve"> or </w:t>
      </w:r>
      <w:r w:rsidRPr="00B33026">
        <w:rPr>
          <w:rFonts w:ascii="Times New Roman" w:hAnsi="Times New Roman" w:cs="Times New Roman"/>
          <w:i/>
          <w:iCs/>
          <w:sz w:val="24"/>
          <w:szCs w:val="24"/>
        </w:rPr>
        <w:t>why not</w:t>
      </w:r>
      <w:r w:rsidRPr="00B33026">
        <w:rPr>
          <w:rFonts w:ascii="Times New Roman" w:hAnsi="Times New Roman" w:cs="Times New Roman"/>
          <w:sz w:val="24"/>
          <w:szCs w:val="24"/>
        </w:rPr>
        <w:t xml:space="preserve"> these practices translate into employee behavior (Appelbaum et al., 2000; Renwick, Redman, &amp; Maguire, 2013). The findings reveal systemic weaknesses across all three AMO dimensions.</w:t>
      </w:r>
    </w:p>
    <w:p w14:paraId="4BE3AA8D"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At the ability level, most HR professionals and employees lacked technical expertise in environmental management. Training programs were sporadic, donor-driven, and primarily awareness-oriented rather than skill-based. This resonates with Miah’s (2024) review, which found that the capacity-building component of GHRM remains underdeveloped, especially in the public sector. Without sustained training or contextualized learning materials, employees often equate “green initiatives” with symbolic gestures (e.g., tree planting campaigns) rather than continuous </w:t>
      </w:r>
      <w:r w:rsidRPr="00B33026">
        <w:rPr>
          <w:rFonts w:ascii="Times New Roman" w:hAnsi="Times New Roman" w:cs="Times New Roman"/>
          <w:sz w:val="24"/>
          <w:szCs w:val="24"/>
        </w:rPr>
        <w:lastRenderedPageBreak/>
        <w:t>process improvement or eco-efficiency. Limited ability thus constrains the institutionalization of GHRM and reinforces superficial compliance.</w:t>
      </w:r>
    </w:p>
    <w:p w14:paraId="0311134C"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Motivation emerged as a major bottleneck. Public servants reported that environmental performance was rarely reflected in appraisal systems or linked to promotion and recognition. This finding aligns with Chowdhury, </w:t>
      </w:r>
      <w:proofErr w:type="spellStart"/>
      <w:r w:rsidRPr="00B33026">
        <w:rPr>
          <w:rFonts w:ascii="Times New Roman" w:hAnsi="Times New Roman" w:cs="Times New Roman"/>
          <w:sz w:val="24"/>
          <w:szCs w:val="24"/>
        </w:rPr>
        <w:t>Saha</w:t>
      </w:r>
      <w:proofErr w:type="spellEnd"/>
      <w:r w:rsidRPr="00B33026">
        <w:rPr>
          <w:rFonts w:ascii="Times New Roman" w:hAnsi="Times New Roman" w:cs="Times New Roman"/>
          <w:sz w:val="24"/>
          <w:szCs w:val="24"/>
        </w:rPr>
        <w:t>, and Rahman’s (2025) ESPI framework, which emphasizes performance appraisal and incentive alignment as crucial pillars of GHRM effectiveness. The absence of motivational levers stems from the broader public service culture, where compliance and procedural adherence are valued more than creativity or sustainability outcomes. From an AMO perspective, this lack of motivation undermines intrinsic commitment and reinforces the perception that sustainability is peripheral to employees’ core roles.</w:t>
      </w:r>
    </w:p>
    <w:p w14:paraId="36D7619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opportunity dimension was equally constrained. Many employees described being excluded from the design or evaluation of green initiatives, which reduced ownership and legitimacy. This finding echoes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Pérez-Calero, and </w:t>
      </w:r>
      <w:proofErr w:type="spellStart"/>
      <w:r w:rsidRPr="00B33026">
        <w:rPr>
          <w:rFonts w:ascii="Times New Roman" w:hAnsi="Times New Roman" w:cs="Times New Roman"/>
          <w:sz w:val="24"/>
          <w:szCs w:val="24"/>
        </w:rPr>
        <w:t>Zornoza</w:t>
      </w:r>
      <w:proofErr w:type="spellEnd"/>
      <w:r w:rsidRPr="00B33026">
        <w:rPr>
          <w:rFonts w:ascii="Times New Roman" w:hAnsi="Times New Roman" w:cs="Times New Roman"/>
          <w:sz w:val="24"/>
          <w:szCs w:val="24"/>
        </w:rPr>
        <w:t xml:space="preserve"> (2025), who observed that participatory structures enhance the green psychological climate and encourage voluntary pro-environmental behavior. However, in hierarchical bureaucracies, decision-making remains top-down, limiting employees’ autonomy to act innovatively. Weak feedback mechanisms and communication further erode opportunities for meaningful engagement, leaving GHRM initiatives vulnerable to resistance or apathy.</w:t>
      </w:r>
    </w:p>
    <w:p w14:paraId="7FC7FF66" w14:textId="5C9D003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Collectively, the AMO analysis underscores that successful institutionalization of GHRM requires simultaneous strengthening of ability, motivation, and opportunity mechanisms. The breakdown of even one dimension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especially motivation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can significantly weaken sustainability outcomes in public organizations.</w:t>
      </w:r>
    </w:p>
    <w:p w14:paraId="614A0B12"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5.4 Contrasting Public and Private Sector Experiences</w:t>
      </w:r>
    </w:p>
    <w:p w14:paraId="709793FE"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Comparing these results with existing literature highlights stark differences between public and private sector approaches to GHRM. In private firms, flexible organizational structures and competitive market pressures often enable faster and more comprehensive integration of green practices (Renwick et al., 2013; </w:t>
      </w:r>
      <w:proofErr w:type="spellStart"/>
      <w:r w:rsidRPr="00B33026">
        <w:rPr>
          <w:rFonts w:ascii="Times New Roman" w:hAnsi="Times New Roman" w:cs="Times New Roman"/>
          <w:sz w:val="24"/>
          <w:szCs w:val="24"/>
        </w:rPr>
        <w:t>Lawter</w:t>
      </w:r>
      <w:proofErr w:type="spellEnd"/>
      <w:r w:rsidRPr="00B33026">
        <w:rPr>
          <w:rFonts w:ascii="Times New Roman" w:hAnsi="Times New Roman" w:cs="Times New Roman"/>
          <w:sz w:val="24"/>
          <w:szCs w:val="24"/>
        </w:rPr>
        <w:t xml:space="preserve"> &amp; </w:t>
      </w:r>
      <w:proofErr w:type="spellStart"/>
      <w:r w:rsidRPr="00B33026">
        <w:rPr>
          <w:rFonts w:ascii="Times New Roman" w:hAnsi="Times New Roman" w:cs="Times New Roman"/>
          <w:sz w:val="24"/>
          <w:szCs w:val="24"/>
        </w:rPr>
        <w:t>Garnjost</w:t>
      </w:r>
      <w:proofErr w:type="spellEnd"/>
      <w:r w:rsidRPr="00B33026">
        <w:rPr>
          <w:rFonts w:ascii="Times New Roman" w:hAnsi="Times New Roman" w:cs="Times New Roman"/>
          <w:sz w:val="24"/>
          <w:szCs w:val="24"/>
        </w:rPr>
        <w:t>, 2025). Companies can experiment with green performance-based bonuses, eco-innovation teams, and employee recognition programs, which have been shown to enhance environmental commitment and organizational citizenship behavior (Ly, Phan, &amp; Nguyen, 2023).</w:t>
      </w:r>
    </w:p>
    <w:p w14:paraId="02156B0B"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By contrast, public sector organizations are constrained by standardized pay scales, rigid appraisal systems, and limited discretion to reward individual performance (</w:t>
      </w:r>
      <w:proofErr w:type="spellStart"/>
      <w:r w:rsidRPr="00B33026">
        <w:rPr>
          <w:rFonts w:ascii="Times New Roman" w:hAnsi="Times New Roman" w:cs="Times New Roman"/>
          <w:sz w:val="24"/>
          <w:szCs w:val="24"/>
        </w:rPr>
        <w:t>Knies</w:t>
      </w:r>
      <w:proofErr w:type="spellEnd"/>
      <w:r w:rsidRPr="00B33026">
        <w:rPr>
          <w:rFonts w:ascii="Times New Roman" w:hAnsi="Times New Roman" w:cs="Times New Roman"/>
          <w:sz w:val="24"/>
          <w:szCs w:val="24"/>
        </w:rPr>
        <w:t xml:space="preserve"> et al., 2022). Their accountability frameworks are geared toward compliance and procedural fairness, not innovation. As a result, even when public servants are motivated by environmental values, institutional barriers often suppress initiative. Moreover, while private organizations are primarily driven by market competitiveness and stakeholder reputation, public agencies operate under political oversight and resource dependence, making long-term sustainability planning more difficult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w:t>
      </w:r>
    </w:p>
    <w:p w14:paraId="0AB82A8A" w14:textId="1D6BDBE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These contrasts underscore the importance of institutional adaptation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 xml:space="preserve">public organizations must tailor GHRM frameworks to fit their bureaucratic realities. For example, instead of financial </w:t>
      </w:r>
      <w:r w:rsidRPr="00B33026">
        <w:rPr>
          <w:rFonts w:ascii="Times New Roman" w:hAnsi="Times New Roman" w:cs="Times New Roman"/>
          <w:sz w:val="24"/>
          <w:szCs w:val="24"/>
        </w:rPr>
        <w:lastRenderedPageBreak/>
        <w:t>rewards, governments could emphasize non-monetary recognition systems, collective incentives, and institutional learning programs that foster shared responsibility for sustainability. Such adaptations would help bridge the motivational and opportunity gaps highlighted by the AMO framework.</w:t>
      </w:r>
    </w:p>
    <w:p w14:paraId="22486036"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5.5 Integrating Institutional and Behavioral Perspectives</w:t>
      </w:r>
    </w:p>
    <w:p w14:paraId="4D9FB489" w14:textId="3B8ACA46"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key contribution of this study lies in demonstrating the complementarity between Institutional Theory and the AMO model in explaining GHRM adoption in the public sector. Institutional Theory accounts for macro-level dynamics</w:t>
      </w:r>
      <w:r w:rsidR="00925BA1" w:rsidRPr="00925BA1">
        <w:rPr>
          <w:rFonts w:ascii="Times New Roman" w:hAnsi="Times New Roman" w:cs="Times New Roman"/>
          <w:sz w:val="24"/>
          <w:szCs w:val="24"/>
        </w:rPr>
        <w:t xml:space="preserve">, </w:t>
      </w:r>
      <w:r w:rsidRPr="00B33026">
        <w:rPr>
          <w:rFonts w:ascii="Times New Roman" w:hAnsi="Times New Roman" w:cs="Times New Roman"/>
          <w:sz w:val="24"/>
          <w:szCs w:val="24"/>
        </w:rPr>
        <w:t>how external pressures, legitimacy concerns, and organizational structures shape policy adoption</w:t>
      </w:r>
      <w:r w:rsidR="00925BA1" w:rsidRPr="00925BA1">
        <w:rPr>
          <w:rFonts w:ascii="Times New Roman" w:hAnsi="Times New Roman" w:cs="Times New Roman"/>
          <w:sz w:val="24"/>
          <w:szCs w:val="24"/>
        </w:rPr>
        <w:t xml:space="preserve"> </w:t>
      </w:r>
      <w:r w:rsidRPr="00B33026">
        <w:rPr>
          <w:rFonts w:ascii="Times New Roman" w:hAnsi="Times New Roman" w:cs="Times New Roman"/>
          <w:sz w:val="24"/>
          <w:szCs w:val="24"/>
        </w:rPr>
        <w:t>while the AMO model explains the micro-level mechanisms through which HR practices influence employee behavior. When combined, these frameworks reveal that institutional compliance does not automatically yield behavioral transformation; rather, it depends on employees’ capacity, motivation, and autonomy to act.</w:t>
      </w:r>
    </w:p>
    <w:p w14:paraId="02DDB919"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For instance, coercive pressures from donors or government decrees may push agencies to introduce sustainability clauses, but without internal ability (training), motivation (incentives), and opportunity (participation), implementation remains shallow. This integration supports recent scholarship advocating multilevel approaches to sustainability implementation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et al., 2025; García-Cruz et al., 2024), where institutional legitimacy and behavioral activation are treated as complementary rather than separate phenomena.</w:t>
      </w:r>
    </w:p>
    <w:p w14:paraId="315C24F9" w14:textId="77777777" w:rsidR="00B33026" w:rsidRPr="001F5F7A" w:rsidRDefault="00B33026" w:rsidP="007E0EA4">
      <w:pPr>
        <w:jc w:val="both"/>
        <w:rPr>
          <w:rFonts w:ascii="Times New Roman" w:hAnsi="Times New Roman" w:cs="Times New Roman"/>
          <w:sz w:val="24"/>
          <w:szCs w:val="24"/>
        </w:rPr>
      </w:pPr>
    </w:p>
    <w:p w14:paraId="42C410F4"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 Implications</w:t>
      </w:r>
    </w:p>
    <w:p w14:paraId="76CB364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of this study have both theoretical and practical implications, particularly in advancing understanding of Green Human Resource Management (GHRM) in the public sector. The study extends existing literature by illustrating how institutional environments and behavioral mechanisms jointly shape the adoption and institutionalization of green HR practices. It also provides concrete recommendations for policymakers and practitioners seeking to embed sustainability in bureaucratic systems.</w:t>
      </w:r>
    </w:p>
    <w:p w14:paraId="0EF01CB9"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6.1 Theoretical Implications</w:t>
      </w:r>
    </w:p>
    <w:p w14:paraId="2C8AAC77"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This study contributes to the growing but still limited body of knowledge on Green Human Resource Management in the public sector, a domain historically dominated by research on private firms (Renwick, Redman, &amp; Maguire, 2013; </w:t>
      </w:r>
      <w:proofErr w:type="spellStart"/>
      <w:r w:rsidRPr="00B33026">
        <w:rPr>
          <w:rFonts w:ascii="Times New Roman" w:hAnsi="Times New Roman" w:cs="Times New Roman"/>
          <w:sz w:val="24"/>
          <w:szCs w:val="24"/>
        </w:rPr>
        <w:t>Lawter</w:t>
      </w:r>
      <w:proofErr w:type="spellEnd"/>
      <w:r w:rsidRPr="00B33026">
        <w:rPr>
          <w:rFonts w:ascii="Times New Roman" w:hAnsi="Times New Roman" w:cs="Times New Roman"/>
          <w:sz w:val="24"/>
          <w:szCs w:val="24"/>
        </w:rPr>
        <w:t xml:space="preserve"> &amp; </w:t>
      </w:r>
      <w:proofErr w:type="spellStart"/>
      <w:r w:rsidRPr="00B33026">
        <w:rPr>
          <w:rFonts w:ascii="Times New Roman" w:hAnsi="Times New Roman" w:cs="Times New Roman"/>
          <w:sz w:val="24"/>
          <w:szCs w:val="24"/>
        </w:rPr>
        <w:t>Garnjost</w:t>
      </w:r>
      <w:proofErr w:type="spellEnd"/>
      <w:r w:rsidRPr="00B33026">
        <w:rPr>
          <w:rFonts w:ascii="Times New Roman" w:hAnsi="Times New Roman" w:cs="Times New Roman"/>
          <w:sz w:val="24"/>
          <w:szCs w:val="24"/>
        </w:rPr>
        <w:t>, 2025). While prior studies have primarily emphasized how GHRM enhances environmental performance in corporate settings (Ly, Phan, &amp; Nguyen, 2023), this research demonstrates that the dynamics of adoption and implementation differ significantly within public bureaucracies, where institutional constraints, political accountability, and hierarchical control shape organizational behavior.</w:t>
      </w:r>
    </w:p>
    <w:p w14:paraId="5F07211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Extending GHRM Theory into the Public Sector Context</w:t>
      </w:r>
    </w:p>
    <w:p w14:paraId="2F8DD46A"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By situating GHRM within Uganda’s public administration system, the study identifies boundary conditions that limit the transferability of private-sector models. Unlike profit-oriented firms that can autonomously modify HR practices to achieve efficiency or reputation gains, public </w:t>
      </w:r>
      <w:r w:rsidRPr="00B33026">
        <w:rPr>
          <w:rFonts w:ascii="Times New Roman" w:hAnsi="Times New Roman" w:cs="Times New Roman"/>
          <w:sz w:val="24"/>
          <w:szCs w:val="24"/>
        </w:rPr>
        <w:lastRenderedPageBreak/>
        <w:t>institutions operate within layers of administrative rules, procurement regulations, and centralized budget systems that constrain innovation (</w:t>
      </w:r>
      <w:proofErr w:type="spellStart"/>
      <w:r w:rsidRPr="00B33026">
        <w:rPr>
          <w:rFonts w:ascii="Times New Roman" w:hAnsi="Times New Roman" w:cs="Times New Roman"/>
          <w:sz w:val="24"/>
          <w:szCs w:val="24"/>
        </w:rPr>
        <w:t>Knies</w:t>
      </w:r>
      <w:proofErr w:type="spellEnd"/>
      <w:r w:rsidRPr="00B33026">
        <w:rPr>
          <w:rFonts w:ascii="Times New Roman" w:hAnsi="Times New Roman" w:cs="Times New Roman"/>
          <w:sz w:val="24"/>
          <w:szCs w:val="24"/>
        </w:rPr>
        <w:t xml:space="preserve">, </w:t>
      </w:r>
      <w:proofErr w:type="spellStart"/>
      <w:r w:rsidRPr="00B33026">
        <w:rPr>
          <w:rFonts w:ascii="Times New Roman" w:hAnsi="Times New Roman" w:cs="Times New Roman"/>
          <w:sz w:val="24"/>
          <w:szCs w:val="24"/>
        </w:rPr>
        <w:t>Boselie</w:t>
      </w:r>
      <w:proofErr w:type="spellEnd"/>
      <w:r w:rsidRPr="00B33026">
        <w:rPr>
          <w:rFonts w:ascii="Times New Roman" w:hAnsi="Times New Roman" w:cs="Times New Roman"/>
          <w:sz w:val="24"/>
          <w:szCs w:val="24"/>
        </w:rPr>
        <w:t xml:space="preserve">, Gould-Williams, &amp; </w:t>
      </w:r>
      <w:proofErr w:type="spellStart"/>
      <w:r w:rsidRPr="00B33026">
        <w:rPr>
          <w:rFonts w:ascii="Times New Roman" w:hAnsi="Times New Roman" w:cs="Times New Roman"/>
          <w:sz w:val="24"/>
          <w:szCs w:val="24"/>
        </w:rPr>
        <w:t>Vandenabeele</w:t>
      </w:r>
      <w:proofErr w:type="spellEnd"/>
      <w:r w:rsidRPr="00B33026">
        <w:rPr>
          <w:rFonts w:ascii="Times New Roman" w:hAnsi="Times New Roman" w:cs="Times New Roman"/>
          <w:sz w:val="24"/>
          <w:szCs w:val="24"/>
        </w:rPr>
        <w:t>, 2022). The findings therefore extend GHRM theory by showing how institutional rigidity and fragmented governance affect the design and sustainability of green HR initiatives. This contextual insight is critical for scholars seeking to understand how GHRM unfolds under bureaucratic and resource-constrained environments, particularly in developing countries.</w:t>
      </w:r>
    </w:p>
    <w:p w14:paraId="6F1AA48C"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Integrating Institutional Theory and the AMO Model</w:t>
      </w:r>
    </w:p>
    <w:p w14:paraId="6C2777FB"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major theoretical contribution of this study lies in integrating Institutional Theory and the Ability–Motivation–Opportunity (AMO) model to provide a multi-level explanation of GHRM processes. Institutional Theory explains why public organizations adopt green HR rhetoric—primarily in response to coercive pressures (e.g., government regulations, donor mandates), normative expectations (e.g., citizen demands for transparency), and mimetic influences (e.g., imitation of peer agencies) (DiMaggio &amp; Powell, 1983; Scott, 2014). However, it is the AMO model that reveals why such adoption often fails to translate into real behavioral change—due to limited ability (skills), weak motivation (incentives), and lack of opportunity (participation) (Appelbaum et al., 2000;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Pérez-Calero, &amp; </w:t>
      </w:r>
      <w:proofErr w:type="spellStart"/>
      <w:r w:rsidRPr="00B33026">
        <w:rPr>
          <w:rFonts w:ascii="Times New Roman" w:hAnsi="Times New Roman" w:cs="Times New Roman"/>
          <w:sz w:val="24"/>
          <w:szCs w:val="24"/>
        </w:rPr>
        <w:t>Zornoza</w:t>
      </w:r>
      <w:proofErr w:type="spellEnd"/>
      <w:r w:rsidRPr="00B33026">
        <w:rPr>
          <w:rFonts w:ascii="Times New Roman" w:hAnsi="Times New Roman" w:cs="Times New Roman"/>
          <w:sz w:val="24"/>
          <w:szCs w:val="24"/>
        </w:rPr>
        <w:t>, 2025).</w:t>
      </w:r>
    </w:p>
    <w:p w14:paraId="4132D26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combination offers a richer analytical lens for future research. The institutional perspective captures macro-level legitimacy-seeking behaviors, while the AMO framework explains micro-level behavioral activation within organizations. Together, they bridge the structural and human dimensions of sustainability transformation. Theoretically, this integration responds to calls for multi-level theorization in HRM and sustainability research (García-Cruz, López-</w:t>
      </w:r>
      <w:proofErr w:type="spellStart"/>
      <w:r w:rsidRPr="00B33026">
        <w:rPr>
          <w:rFonts w:ascii="Times New Roman" w:hAnsi="Times New Roman" w:cs="Times New Roman"/>
          <w:sz w:val="24"/>
          <w:szCs w:val="24"/>
        </w:rPr>
        <w:t>Cabrales</w:t>
      </w:r>
      <w:proofErr w:type="spellEnd"/>
      <w:r w:rsidRPr="00B33026">
        <w:rPr>
          <w:rFonts w:ascii="Times New Roman" w:hAnsi="Times New Roman" w:cs="Times New Roman"/>
          <w:sz w:val="24"/>
          <w:szCs w:val="24"/>
        </w:rPr>
        <w:t>, &amp; Valle-Cabrera, 2024), emphasizing that systemic legitimacy pressures and individual behavioral mechanisms are interdependent rather than isolated.</w:t>
      </w:r>
    </w:p>
    <w:p w14:paraId="55BE2A0F"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Reframing Sustainability as a Human Capability Process</w:t>
      </w:r>
    </w:p>
    <w:p w14:paraId="7B60523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A further theoretical implication is the reconceptualization of sustainability as not merely a compliance or policy outcome, but a human capability process. The study demonstrates that environmental goals in the public sector cannot be achieved solely through institutional mandates; they depend on cultivating employee skills, intrinsic motivation, and opportunities for meaningful participation. This resonates with recent calls to humanize sustainability transitions by embedding ecological responsibility within the everyday behaviors and competencies of public servants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Kuhlmann, &amp; </w:t>
      </w:r>
      <w:proofErr w:type="spellStart"/>
      <w:r w:rsidRPr="00B33026">
        <w:rPr>
          <w:rFonts w:ascii="Times New Roman" w:hAnsi="Times New Roman" w:cs="Times New Roman"/>
          <w:sz w:val="24"/>
          <w:szCs w:val="24"/>
        </w:rPr>
        <w:t>Edler</w:t>
      </w:r>
      <w:proofErr w:type="spellEnd"/>
      <w:r w:rsidRPr="00B33026">
        <w:rPr>
          <w:rFonts w:ascii="Times New Roman" w:hAnsi="Times New Roman" w:cs="Times New Roman"/>
          <w:sz w:val="24"/>
          <w:szCs w:val="24"/>
        </w:rPr>
        <w:t>, 2024). Thus, GHRM emerges as both an institutional and human development mechanism that connects environmental objectives with workforce transformation.</w:t>
      </w:r>
    </w:p>
    <w:p w14:paraId="3C0E6DA7" w14:textId="77777777" w:rsidR="00A60057" w:rsidRDefault="00A60057" w:rsidP="007E0EA4">
      <w:pPr>
        <w:jc w:val="both"/>
        <w:rPr>
          <w:rFonts w:ascii="Times New Roman" w:hAnsi="Times New Roman" w:cs="Times New Roman"/>
          <w:b/>
          <w:bCs/>
          <w:sz w:val="24"/>
          <w:szCs w:val="24"/>
        </w:rPr>
      </w:pPr>
    </w:p>
    <w:p w14:paraId="46CFCF48" w14:textId="2B4CCAD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6.2 Practical and Policy Implications</w:t>
      </w:r>
    </w:p>
    <w:p w14:paraId="2D4FCB62" w14:textId="36276BC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findings also carry important practical implications for policymakers, public managers, and development partners seeking to enhance the institutionalization of GHRM within the public sector. Addressing the challenges identified</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such as policy fragmentation, weak capacity, low motivation, and limited participation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requires systemic reforms grounded in collaboration, learning, and adaptive governance.</w:t>
      </w:r>
    </w:p>
    <w:p w14:paraId="693A3A5A"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lastRenderedPageBreak/>
        <w:t>1. Strengthening Cross-Functional Linkages</w:t>
      </w:r>
    </w:p>
    <w:p w14:paraId="79DD8108"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Public agencies should establish cross-functional linkages between HR departments, environmental management units, and strategic planning divisions. Sustainability cannot be siloed as a purely environmental or administrative issue; rather, it must be embedded across all organizational functions. Establishing joint committees or working groups involving HR, finance, and environment officers would enable policy coherence, align resource allocation, and ensure that green goals are reflected in recruitment, training, and performance management. As </w:t>
      </w:r>
      <w:proofErr w:type="spellStart"/>
      <w:r w:rsidRPr="00B33026">
        <w:rPr>
          <w:rFonts w:ascii="Times New Roman" w:hAnsi="Times New Roman" w:cs="Times New Roman"/>
          <w:sz w:val="24"/>
          <w:szCs w:val="24"/>
        </w:rPr>
        <w:t>Borrás</w:t>
      </w:r>
      <w:proofErr w:type="spellEnd"/>
      <w:r w:rsidRPr="00B33026">
        <w:rPr>
          <w:rFonts w:ascii="Times New Roman" w:hAnsi="Times New Roman" w:cs="Times New Roman"/>
          <w:sz w:val="24"/>
          <w:szCs w:val="24"/>
        </w:rPr>
        <w:t xml:space="preserve"> et al. (2024) emphasize, the transformative capacity of public organizations depends on how effectively they coordinate across policy domains.</w:t>
      </w:r>
    </w:p>
    <w:p w14:paraId="41AC1727"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2. Reforming Civil Service Rules to Enable Flexibility</w:t>
      </w:r>
    </w:p>
    <w:p w14:paraId="020107C4"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 xml:space="preserve">Public sector reforms should focus on adapting civil service regulations to allow greater flexibility in rewarding sustainability-oriented performance. Traditional performance management systems emphasize procedural compliance rather than innovation or environmental outcomes. Government agencies, through the Ministry of Public Service, could revise HR guidelines to include environmental performance indicators and introduce non-monetary rewards—such as public recognition, professional development opportunities, or team-based awards—for green contributions. This approach aligns with Chowdhury, </w:t>
      </w:r>
      <w:proofErr w:type="spellStart"/>
      <w:r w:rsidRPr="00B33026">
        <w:rPr>
          <w:rFonts w:ascii="Times New Roman" w:hAnsi="Times New Roman" w:cs="Times New Roman"/>
          <w:sz w:val="24"/>
          <w:szCs w:val="24"/>
        </w:rPr>
        <w:t>Saha</w:t>
      </w:r>
      <w:proofErr w:type="spellEnd"/>
      <w:r w:rsidRPr="00B33026">
        <w:rPr>
          <w:rFonts w:ascii="Times New Roman" w:hAnsi="Times New Roman" w:cs="Times New Roman"/>
          <w:sz w:val="24"/>
          <w:szCs w:val="24"/>
        </w:rPr>
        <w:t>, and Rahman’s (2025) ESPI framework, which highlights performance appraisal and incentives as key levers for GHRM success.</w:t>
      </w:r>
    </w:p>
    <w:p w14:paraId="7C93A073"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3. Building Institutional and Human Capacity</w:t>
      </w:r>
    </w:p>
    <w:p w14:paraId="467F491A"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 study underscores the urgent need for capacity building among HR professionals and public managers to enhance their environmental competencies. Continuous learning programs should be integrated into national training institutions, such as the Uganda Management Institute, to ensure that HR staff are equipped with knowledge on sustainability integration, environmental auditing, and change management. Training should move beyond one-off workshops toward experiential learning and mentorship models that build long-term capability. This responds directly to the “ability gap” identified in the AMO analysis and supports the development of environmentally literate public servants who can champion green transformation.</w:t>
      </w:r>
    </w:p>
    <w:p w14:paraId="1C243573"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4. Piloting and Scaling Green HRM Innovations</w:t>
      </w:r>
    </w:p>
    <w:p w14:paraId="34234FCD"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Given resource constraints and institutional inertia, governments should consider pilot-testing GHRM innovations within selected departments before large-scale rollouts. For instance, agencies can experiment with green performance appraisals, employee suggestion systems, or departmental sustainability challenges to identify feasible practices that fit within existing bureaucratic structures. Successful pilots can then be scaled gradually across ministries, accompanied by clear evaluation metrics and feedback mechanisms. Such incremental experimentation encourages learning, reduces resistance, and builds credibility for reform (Yin, 2018).</w:t>
      </w:r>
    </w:p>
    <w:p w14:paraId="49B928D7"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5. Fostering Participation and Legitimacy through Communication</w:t>
      </w:r>
    </w:p>
    <w:p w14:paraId="5F6090E0" w14:textId="1DBA2558"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lastRenderedPageBreak/>
        <w:t>Employee participation and voice are critical for building legitimacy and ownership of GHRM initiatives. Public managers should institutionalize participatory design processes, where employees at all levels are involved in co-creating environmental policies and monitoring progress. Regular communication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through workshops, newsletters, and recognition events</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helps reinforce shared values and transparency. As the study found, participation enhances employees’ sense of belonging and transforms sustainability from a compliance-driven task into a collective mission. This aligns with the “opportunity” dimension of the AMO model and findings from San Román-</w:t>
      </w:r>
      <w:proofErr w:type="spellStart"/>
      <w:r w:rsidRPr="00B33026">
        <w:rPr>
          <w:rFonts w:ascii="Times New Roman" w:hAnsi="Times New Roman" w:cs="Times New Roman"/>
          <w:sz w:val="24"/>
          <w:szCs w:val="24"/>
        </w:rPr>
        <w:t>Niaves</w:t>
      </w:r>
      <w:proofErr w:type="spellEnd"/>
      <w:r w:rsidRPr="00B33026">
        <w:rPr>
          <w:rFonts w:ascii="Times New Roman" w:hAnsi="Times New Roman" w:cs="Times New Roman"/>
          <w:sz w:val="24"/>
          <w:szCs w:val="24"/>
        </w:rPr>
        <w:t xml:space="preserve"> et al. (2025), who demonstrated that participatory structures strengthen pro-environmental climate and behavior.</w:t>
      </w:r>
    </w:p>
    <w:p w14:paraId="16A2DA3D"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6. Aligning Donor Support with Institutional Learning</w:t>
      </w:r>
    </w:p>
    <w:p w14:paraId="009B091E" w14:textId="77777777"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Donor agencies and international partners should reorient funding priorities from short-term project deliverables toward long-term institutional learning and systemic capacity building. Many sustainability initiatives in Uganda’s public sector remain donor-driven and time-bound, leading to discontinuity after project completion. Embedding GHRM in public institutions requires a sustained commitment to developing endogenous capabilities rather than external dependency. Policymakers should therefore negotiate aid frameworks that prioritize institutional memory, adaptive management, and knowledge sharing as integral outcomes of donor-funded environmental programs.</w:t>
      </w:r>
    </w:p>
    <w:p w14:paraId="76FE9DD3" w14:textId="1541D521"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Theoretically, this study advances the understanding of GHRM by revealing how institutional constraints and human behavioral dynamics interact in shaping sustainability practices within the public sector. Practically, it provides a roadmap for public administrators and policymakers to transition from symbolic compliance toward genuine institutionalization of green HRM. The overarching implication is that sustainability transformation in the public sector is not a purely technical reform but a cultural and institutional evolution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one that requires empowered employees, adaptive leadership, and cross-functional collaboration. When institutional legitimacy pressures are complemented by internal ability, motivation, and opportunity structures, GHRM can move from rhetoric to reality, enabling governments to model the sustainable behavior they seek to promote across society.</w:t>
      </w:r>
    </w:p>
    <w:p w14:paraId="0AFE359F"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7. Conclusion and Future Research Directions</w:t>
      </w:r>
    </w:p>
    <w:p w14:paraId="5BC0E71C" w14:textId="5450D72A"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This study examined how Green Human Resource Management (GHRM) practices are adopted and institutionalized within Uganda’s public sector, focusing on the interaction between institutional structures and employee behavior. Drawing on Institutional Theory and the Ability–Motivation–Opportunity (AMO) model, the research explored why sustainability-oriented HR reforms often remain superficial despite strong policy commitments. The findings reveal that while GHRM offers significant potential for promoting environmental accountability and organizational learning, implementation is hindered by bureaucratic rigidity, fragmented mandates, weak incentives, and limited participation.</w:t>
      </w:r>
      <w:r w:rsidRPr="007E0EA4">
        <w:rPr>
          <w:rFonts w:ascii="Times New Roman" w:hAnsi="Times New Roman" w:cs="Times New Roman"/>
          <w:sz w:val="24"/>
          <w:szCs w:val="24"/>
        </w:rPr>
        <w:t xml:space="preserve"> </w:t>
      </w:r>
      <w:r w:rsidRPr="00B33026">
        <w:rPr>
          <w:rFonts w:ascii="Times New Roman" w:hAnsi="Times New Roman" w:cs="Times New Roman"/>
          <w:sz w:val="24"/>
          <w:szCs w:val="24"/>
        </w:rPr>
        <w:t>Overall, GHRM in the public sector is both promising and problematic</w:t>
      </w:r>
      <w:r w:rsidR="007E0EA4" w:rsidRPr="007E0EA4">
        <w:rPr>
          <w:rFonts w:ascii="Times New Roman" w:hAnsi="Times New Roman" w:cs="Times New Roman"/>
          <w:sz w:val="24"/>
          <w:szCs w:val="24"/>
        </w:rPr>
        <w:t xml:space="preserve">, </w:t>
      </w:r>
      <w:r w:rsidRPr="00B33026">
        <w:rPr>
          <w:rFonts w:ascii="Times New Roman" w:hAnsi="Times New Roman" w:cs="Times New Roman"/>
          <w:sz w:val="24"/>
          <w:szCs w:val="24"/>
        </w:rPr>
        <w:t xml:space="preserve">it provides a framework for aligning environmental goals with workforce management but is constrained by institutional inertia and symbolic compliance (Meyer &amp; Rowan, 1977; </w:t>
      </w:r>
      <w:proofErr w:type="spellStart"/>
      <w:r w:rsidRPr="00B33026">
        <w:rPr>
          <w:rFonts w:ascii="Times New Roman" w:hAnsi="Times New Roman" w:cs="Times New Roman"/>
          <w:sz w:val="24"/>
          <w:szCs w:val="24"/>
        </w:rPr>
        <w:t>Eitrem</w:t>
      </w:r>
      <w:proofErr w:type="spellEnd"/>
      <w:r w:rsidRPr="00B33026">
        <w:rPr>
          <w:rFonts w:ascii="Times New Roman" w:hAnsi="Times New Roman" w:cs="Times New Roman"/>
          <w:sz w:val="24"/>
          <w:szCs w:val="24"/>
        </w:rPr>
        <w:t xml:space="preserve">, 2024). Genuine integration requires institutional reform, aligning HR policies, </w:t>
      </w:r>
      <w:r w:rsidRPr="00B33026">
        <w:rPr>
          <w:rFonts w:ascii="Times New Roman" w:hAnsi="Times New Roman" w:cs="Times New Roman"/>
          <w:sz w:val="24"/>
          <w:szCs w:val="24"/>
        </w:rPr>
        <w:lastRenderedPageBreak/>
        <w:t>budgetary systems, and appraisal mechanisms with sustainability objectives. Building capacity, through continuous environmental training and leadership development, is essential for strengthening the “Ability” dimension of the AMO model. Likewise, motivation and opportunity must be enhanced through participatory structures and recognition systems that encourage employee ownership of green initiatives.</w:t>
      </w:r>
      <w:r w:rsidRPr="007E0EA4">
        <w:rPr>
          <w:rFonts w:ascii="Times New Roman" w:hAnsi="Times New Roman" w:cs="Times New Roman"/>
          <w:sz w:val="24"/>
          <w:szCs w:val="24"/>
        </w:rPr>
        <w:t xml:space="preserve"> </w:t>
      </w:r>
      <w:r w:rsidRPr="00B33026">
        <w:rPr>
          <w:rFonts w:ascii="Times New Roman" w:hAnsi="Times New Roman" w:cs="Times New Roman"/>
          <w:sz w:val="24"/>
          <w:szCs w:val="24"/>
        </w:rPr>
        <w:t>The study concludes that achieving meaningful sustainability transformation in public institutions demands more than policy rhetoric—it requires legitimacy, capability, and engagement, supported by coherent institutional and human resource reforms.</w:t>
      </w:r>
    </w:p>
    <w:p w14:paraId="417911D1" w14:textId="77777777" w:rsidR="00B33026" w:rsidRPr="00B33026" w:rsidRDefault="00B33026" w:rsidP="007E0EA4">
      <w:pPr>
        <w:jc w:val="both"/>
        <w:rPr>
          <w:rFonts w:ascii="Times New Roman" w:hAnsi="Times New Roman" w:cs="Times New Roman"/>
          <w:b/>
          <w:bCs/>
          <w:sz w:val="24"/>
          <w:szCs w:val="24"/>
        </w:rPr>
      </w:pPr>
      <w:r w:rsidRPr="00B33026">
        <w:rPr>
          <w:rFonts w:ascii="Times New Roman" w:hAnsi="Times New Roman" w:cs="Times New Roman"/>
          <w:b/>
          <w:bCs/>
          <w:sz w:val="24"/>
          <w:szCs w:val="24"/>
        </w:rPr>
        <w:t>Future Research Directions</w:t>
      </w:r>
    </w:p>
    <w:p w14:paraId="47186E32" w14:textId="346ABDB2" w:rsidR="00B33026" w:rsidRPr="00B33026" w:rsidRDefault="00B33026" w:rsidP="007E0EA4">
      <w:pPr>
        <w:jc w:val="both"/>
        <w:rPr>
          <w:rFonts w:ascii="Times New Roman" w:hAnsi="Times New Roman" w:cs="Times New Roman"/>
          <w:sz w:val="24"/>
          <w:szCs w:val="24"/>
        </w:rPr>
      </w:pPr>
      <w:r w:rsidRPr="00B33026">
        <w:rPr>
          <w:rFonts w:ascii="Times New Roman" w:hAnsi="Times New Roman" w:cs="Times New Roman"/>
          <w:sz w:val="24"/>
          <w:szCs w:val="24"/>
        </w:rPr>
        <w:t>Building on these insights, future research should pursue several avenues. First, there is a need for quantitative validation of the qualitative findings presented here. Future studies could employ survey-based methods or structural equation modeling to empirically test the relationships between institutional pressures, AMO components, and sustainability performance across a broader range of public organizations. Such quantitative analysis would help establish the strength and direction of causal links observed qualitatively.</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Second, comparative cross-country studies would be valuable in identifying contextual similarities and differences in how public institutions operationalize GHRM. Comparing Uganda with other sub-Saharan African nations or with developed economies could illuminate how governance structures, political systems, and administrative traditions influence GHRM adoption.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Third, longitudinal studies could examine the evolution of GHRM practices over time, tracking how pilot projects, leadership transitions, or policy reforms affect sustainability outcomes. Long-term observation would also capture whether current symbolic practices evolve into genuine institutionalization.</w:t>
      </w:r>
      <w:r w:rsidR="00925BA1">
        <w:rPr>
          <w:rFonts w:ascii="Times New Roman" w:hAnsi="Times New Roman" w:cs="Times New Roman"/>
          <w:sz w:val="24"/>
          <w:szCs w:val="24"/>
        </w:rPr>
        <w:t xml:space="preserve"> </w:t>
      </w:r>
      <w:r w:rsidRPr="00B33026">
        <w:rPr>
          <w:rFonts w:ascii="Times New Roman" w:hAnsi="Times New Roman" w:cs="Times New Roman"/>
          <w:sz w:val="24"/>
          <w:szCs w:val="24"/>
        </w:rPr>
        <w:t>Finally, researchers should explore sector-specific dynamics, such as how GHRM manifests in critical areas like health care, education, and local government, where environmental performance directly affects service delivery quality. The public health and sanitation sectors, for instance, present opportunities for integrating environmental management into workforce planning and capacity-building initiatives.</w:t>
      </w:r>
    </w:p>
    <w:p w14:paraId="10C6DC0A" w14:textId="372441AC" w:rsidR="00FE4473" w:rsidRPr="00FE4473" w:rsidRDefault="00FE4473" w:rsidP="007E0EA4">
      <w:pPr>
        <w:jc w:val="both"/>
        <w:rPr>
          <w:rFonts w:ascii="Times New Roman" w:hAnsi="Times New Roman" w:cs="Times New Roman"/>
          <w:sz w:val="24"/>
          <w:szCs w:val="24"/>
        </w:rPr>
      </w:pPr>
    </w:p>
    <w:p w14:paraId="7244D471" w14:textId="77777777" w:rsidR="00B6069A" w:rsidRPr="00B6069A" w:rsidRDefault="00B6069A" w:rsidP="00B6069A">
      <w:pPr>
        <w:spacing w:after="200" w:line="276" w:lineRule="auto"/>
        <w:jc w:val="both"/>
        <w:outlineLvl w:val="0"/>
        <w:rPr>
          <w:rFonts w:ascii="Arial" w:eastAsia="Times New Roman" w:hAnsi="Arial" w:cs="Arial"/>
          <w:kern w:val="0"/>
          <w:lang w:val="en-GB" w:eastAsia="en-GB"/>
          <w14:ligatures w14:val="none"/>
        </w:rPr>
      </w:pPr>
      <w:r w:rsidRPr="00B6069A">
        <w:rPr>
          <w:rFonts w:ascii="Arial" w:eastAsia="Times New Roman" w:hAnsi="Arial" w:cs="Arial"/>
          <w:b/>
          <w:bCs/>
          <w:kern w:val="0"/>
          <w:lang w:val="en-GB" w:eastAsia="en-GB"/>
          <w14:ligatures w14:val="none"/>
        </w:rPr>
        <w:t>COMPETING INTERESTS DISCLAIMER:</w:t>
      </w:r>
    </w:p>
    <w:p w14:paraId="5596F101" w14:textId="77777777" w:rsidR="00B6069A" w:rsidRPr="00B6069A" w:rsidRDefault="00B6069A" w:rsidP="00B6069A">
      <w:pPr>
        <w:spacing w:after="200" w:line="276" w:lineRule="auto"/>
        <w:rPr>
          <w:rFonts w:ascii="Calibri" w:eastAsia="Times New Roman" w:hAnsi="Calibri" w:cs="Times New Roman"/>
          <w:kern w:val="0"/>
          <w:lang w:val="en-GB" w:eastAsia="en-GB"/>
          <w14:ligatures w14:val="none"/>
        </w:rPr>
      </w:pPr>
      <w:r w:rsidRPr="00B6069A">
        <w:rPr>
          <w:rFonts w:ascii="Calibri" w:eastAsia="Times New Roman" w:hAnsi="Calibri" w:cs="Times New Roman"/>
          <w:kern w:val="0"/>
          <w:lang w:val="en-GB" w:eastAsia="en-GB"/>
          <w14:ligatures w14:val="none"/>
        </w:rPr>
        <w:t>Authors have declared that they have no known competing financial interests OR non-financial interests OR personal relationships that could have appeared to influence the work reported in this paper.</w:t>
      </w:r>
    </w:p>
    <w:p w14:paraId="26198F49" w14:textId="77777777" w:rsidR="00B22C89" w:rsidRDefault="00B22C89" w:rsidP="007E0EA4">
      <w:pPr>
        <w:jc w:val="both"/>
        <w:rPr>
          <w:rFonts w:ascii="Times New Roman" w:hAnsi="Times New Roman" w:cs="Times New Roman"/>
          <w:b/>
          <w:bCs/>
          <w:sz w:val="24"/>
          <w:szCs w:val="24"/>
        </w:rPr>
      </w:pPr>
    </w:p>
    <w:p w14:paraId="08A805DE" w14:textId="3BCF987C" w:rsidR="00FE4473" w:rsidRPr="00A60057" w:rsidRDefault="00A60057" w:rsidP="007E0EA4">
      <w:pPr>
        <w:jc w:val="both"/>
        <w:rPr>
          <w:rFonts w:ascii="Times New Roman" w:hAnsi="Times New Roman" w:cs="Times New Roman"/>
          <w:b/>
          <w:bCs/>
          <w:sz w:val="24"/>
          <w:szCs w:val="24"/>
        </w:rPr>
      </w:pPr>
      <w:bookmarkStart w:id="0" w:name="_GoBack"/>
      <w:bookmarkEnd w:id="0"/>
      <w:r w:rsidRPr="00A60057">
        <w:rPr>
          <w:rFonts w:ascii="Times New Roman" w:hAnsi="Times New Roman" w:cs="Times New Roman"/>
          <w:b/>
          <w:bCs/>
          <w:sz w:val="24"/>
          <w:szCs w:val="24"/>
        </w:rPr>
        <w:t>References</w:t>
      </w:r>
    </w:p>
    <w:p w14:paraId="6B587A68"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Appelbaum, E., Bailey, T., Berg, P., &amp; </w:t>
      </w:r>
      <w:proofErr w:type="spellStart"/>
      <w:r w:rsidRPr="0064081A">
        <w:rPr>
          <w:rFonts w:ascii="Times New Roman" w:hAnsi="Times New Roman" w:cs="Times New Roman"/>
          <w:sz w:val="24"/>
          <w:szCs w:val="24"/>
        </w:rPr>
        <w:t>Kalleberg</w:t>
      </w:r>
      <w:proofErr w:type="spellEnd"/>
      <w:r w:rsidRPr="0064081A">
        <w:rPr>
          <w:rFonts w:ascii="Times New Roman" w:hAnsi="Times New Roman" w:cs="Times New Roman"/>
          <w:sz w:val="24"/>
          <w:szCs w:val="24"/>
        </w:rPr>
        <w:t xml:space="preserve">, A. L. (2000). </w:t>
      </w:r>
      <w:r w:rsidRPr="0064081A">
        <w:rPr>
          <w:rFonts w:ascii="Times New Roman" w:hAnsi="Times New Roman" w:cs="Times New Roman"/>
          <w:i/>
          <w:iCs/>
          <w:sz w:val="24"/>
          <w:szCs w:val="24"/>
        </w:rPr>
        <w:t>Manufacturing advantage: Why high-performance work systems pay off.</w:t>
      </w:r>
      <w:r w:rsidRPr="0064081A">
        <w:rPr>
          <w:rFonts w:ascii="Times New Roman" w:hAnsi="Times New Roman" w:cs="Times New Roman"/>
          <w:sz w:val="24"/>
          <w:szCs w:val="24"/>
        </w:rPr>
        <w:t xml:space="preserve"> Cornell University Press.</w:t>
      </w:r>
    </w:p>
    <w:p w14:paraId="3C5CC691"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Beach, D., &amp; Pedersen, R. B. (2019). </w:t>
      </w:r>
      <w:r w:rsidRPr="00587132">
        <w:rPr>
          <w:rFonts w:ascii="Times New Roman" w:hAnsi="Times New Roman" w:cs="Times New Roman"/>
          <w:i/>
          <w:iCs/>
          <w:sz w:val="24"/>
          <w:szCs w:val="24"/>
        </w:rPr>
        <w:t>Process-tracing methods: Foundations and guidelines.</w:t>
      </w:r>
      <w:r w:rsidRPr="00587132">
        <w:rPr>
          <w:rFonts w:ascii="Times New Roman" w:hAnsi="Times New Roman" w:cs="Times New Roman"/>
          <w:sz w:val="24"/>
          <w:szCs w:val="24"/>
        </w:rPr>
        <w:t xml:space="preserve"> University of Michigan Press.</w:t>
      </w:r>
    </w:p>
    <w:p w14:paraId="4D4152FA"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lastRenderedPageBreak/>
        <w:t>Borrás</w:t>
      </w:r>
      <w:proofErr w:type="spellEnd"/>
      <w:r w:rsidRPr="0064081A">
        <w:rPr>
          <w:rFonts w:ascii="Times New Roman" w:hAnsi="Times New Roman" w:cs="Times New Roman"/>
          <w:sz w:val="24"/>
          <w:szCs w:val="24"/>
        </w:rPr>
        <w:t xml:space="preserve">, S., Kuhlmann, S., &amp; </w:t>
      </w:r>
      <w:proofErr w:type="spellStart"/>
      <w:r w:rsidRPr="0064081A">
        <w:rPr>
          <w:rFonts w:ascii="Times New Roman" w:hAnsi="Times New Roman" w:cs="Times New Roman"/>
          <w:sz w:val="24"/>
          <w:szCs w:val="24"/>
        </w:rPr>
        <w:t>Edler</w:t>
      </w:r>
      <w:proofErr w:type="spellEnd"/>
      <w:r w:rsidRPr="0064081A">
        <w:rPr>
          <w:rFonts w:ascii="Times New Roman" w:hAnsi="Times New Roman" w:cs="Times New Roman"/>
          <w:sz w:val="24"/>
          <w:szCs w:val="24"/>
        </w:rPr>
        <w:t xml:space="preserve">, J. (2024). </w:t>
      </w:r>
      <w:r w:rsidRPr="0064081A">
        <w:rPr>
          <w:rFonts w:ascii="Times New Roman" w:hAnsi="Times New Roman" w:cs="Times New Roman"/>
          <w:i/>
          <w:iCs/>
          <w:sz w:val="24"/>
          <w:szCs w:val="24"/>
        </w:rPr>
        <w:t xml:space="preserve">The transformative capacity of public sector </w:t>
      </w:r>
      <w:proofErr w:type="spellStart"/>
      <w:r w:rsidRPr="0064081A">
        <w:rPr>
          <w:rFonts w:ascii="Times New Roman" w:hAnsi="Times New Roman" w:cs="Times New Roman"/>
          <w:i/>
          <w:iCs/>
          <w:sz w:val="24"/>
          <w:szCs w:val="24"/>
        </w:rPr>
        <w:t>organisations</w:t>
      </w:r>
      <w:proofErr w:type="spellEnd"/>
      <w:r w:rsidRPr="0064081A">
        <w:rPr>
          <w:rFonts w:ascii="Times New Roman" w:hAnsi="Times New Roman" w:cs="Times New Roman"/>
          <w:i/>
          <w:iCs/>
          <w:sz w:val="24"/>
          <w:szCs w:val="24"/>
        </w:rPr>
        <w:t>: Roles, resources and abilities in transitions.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Technological Forecasting &amp; Social Change, 198</w:t>
      </w:r>
      <w:r w:rsidRPr="0064081A">
        <w:rPr>
          <w:rFonts w:ascii="Times New Roman" w:hAnsi="Times New Roman" w:cs="Times New Roman"/>
          <w:sz w:val="24"/>
          <w:szCs w:val="24"/>
        </w:rPr>
        <w:t>, 122041.</w:t>
      </w:r>
    </w:p>
    <w:p w14:paraId="5E19311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Bowen, G. A. (2009). </w:t>
      </w:r>
      <w:r w:rsidRPr="00587132">
        <w:rPr>
          <w:rFonts w:ascii="Times New Roman" w:hAnsi="Times New Roman" w:cs="Times New Roman"/>
          <w:i/>
          <w:iCs/>
          <w:sz w:val="24"/>
          <w:szCs w:val="24"/>
        </w:rPr>
        <w:t>Document analysis as a qualitative research method.</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Qualitative Research Journal, 9</w:t>
      </w:r>
      <w:r w:rsidRPr="00587132">
        <w:rPr>
          <w:rFonts w:ascii="Times New Roman" w:hAnsi="Times New Roman" w:cs="Times New Roman"/>
          <w:sz w:val="24"/>
          <w:szCs w:val="24"/>
        </w:rPr>
        <w:t>(2), 27–40.</w:t>
      </w:r>
    </w:p>
    <w:p w14:paraId="077C1067"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Boxenbaum</w:t>
      </w:r>
      <w:proofErr w:type="spellEnd"/>
      <w:r w:rsidRPr="0064081A">
        <w:rPr>
          <w:rFonts w:ascii="Times New Roman" w:hAnsi="Times New Roman" w:cs="Times New Roman"/>
          <w:sz w:val="24"/>
          <w:szCs w:val="24"/>
        </w:rPr>
        <w:t xml:space="preserve">, E., &amp; Jonsson, S. (2017). </w:t>
      </w:r>
      <w:r w:rsidRPr="0064081A">
        <w:rPr>
          <w:rFonts w:ascii="Times New Roman" w:hAnsi="Times New Roman" w:cs="Times New Roman"/>
          <w:i/>
          <w:iCs/>
          <w:sz w:val="24"/>
          <w:szCs w:val="24"/>
        </w:rPr>
        <w:t>Isomorphism, diffusion and decoupling: Concept evolution and theoretical challenges.</w:t>
      </w:r>
      <w:r w:rsidRPr="0064081A">
        <w:rPr>
          <w:rFonts w:ascii="Times New Roman" w:hAnsi="Times New Roman" w:cs="Times New Roman"/>
          <w:sz w:val="24"/>
          <w:szCs w:val="24"/>
        </w:rPr>
        <w:t xml:space="preserve"> In R. Greenwood et al. (Eds.), </w:t>
      </w:r>
      <w:r w:rsidRPr="0064081A">
        <w:rPr>
          <w:rFonts w:ascii="Times New Roman" w:hAnsi="Times New Roman" w:cs="Times New Roman"/>
          <w:i/>
          <w:iCs/>
          <w:sz w:val="24"/>
          <w:szCs w:val="24"/>
        </w:rPr>
        <w:t>The SAGE Handbook of Organizational Institutionalism</w:t>
      </w:r>
      <w:r w:rsidRPr="0064081A">
        <w:rPr>
          <w:rFonts w:ascii="Times New Roman" w:hAnsi="Times New Roman" w:cs="Times New Roman"/>
          <w:sz w:val="24"/>
          <w:szCs w:val="24"/>
        </w:rPr>
        <w:t xml:space="preserve"> (pp. 79–104). SAGE.</w:t>
      </w:r>
    </w:p>
    <w:p w14:paraId="3D8DEDE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Braun, V., &amp; Clarke, V. (2019). </w:t>
      </w:r>
      <w:r w:rsidRPr="00587132">
        <w:rPr>
          <w:rFonts w:ascii="Times New Roman" w:hAnsi="Times New Roman" w:cs="Times New Roman"/>
          <w:i/>
          <w:iCs/>
          <w:sz w:val="24"/>
          <w:szCs w:val="24"/>
        </w:rPr>
        <w:t>Reflecting on reflexive thematic analysis.</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Qualitative Research in Sport, Exercise and Health, 11</w:t>
      </w:r>
      <w:r w:rsidRPr="00587132">
        <w:rPr>
          <w:rFonts w:ascii="Times New Roman" w:hAnsi="Times New Roman" w:cs="Times New Roman"/>
          <w:sz w:val="24"/>
          <w:szCs w:val="24"/>
        </w:rPr>
        <w:t>(4), 589–597.</w:t>
      </w:r>
    </w:p>
    <w:p w14:paraId="4C089D00"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Chowdhury, M. M., </w:t>
      </w:r>
      <w:proofErr w:type="spellStart"/>
      <w:r w:rsidRPr="0064081A">
        <w:rPr>
          <w:rFonts w:ascii="Times New Roman" w:hAnsi="Times New Roman" w:cs="Times New Roman"/>
          <w:sz w:val="24"/>
          <w:szCs w:val="24"/>
        </w:rPr>
        <w:t>Saha</w:t>
      </w:r>
      <w:proofErr w:type="spellEnd"/>
      <w:r w:rsidRPr="0064081A">
        <w:rPr>
          <w:rFonts w:ascii="Times New Roman" w:hAnsi="Times New Roman" w:cs="Times New Roman"/>
          <w:sz w:val="24"/>
          <w:szCs w:val="24"/>
        </w:rPr>
        <w:t xml:space="preserve">, P., &amp; Rahman, M. H. (2025). </w:t>
      </w:r>
      <w:r w:rsidRPr="0064081A">
        <w:rPr>
          <w:rFonts w:ascii="Times New Roman" w:hAnsi="Times New Roman" w:cs="Times New Roman"/>
          <w:i/>
          <w:iCs/>
          <w:sz w:val="24"/>
          <w:szCs w:val="24"/>
        </w:rPr>
        <w:t>The ESPI framework for operationalizing green HRM practices: Evidence from emerging economies.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Future Business Journal, 11</w:t>
      </w:r>
      <w:r w:rsidRPr="0064081A">
        <w:rPr>
          <w:rFonts w:ascii="Times New Roman" w:hAnsi="Times New Roman" w:cs="Times New Roman"/>
          <w:sz w:val="24"/>
          <w:szCs w:val="24"/>
        </w:rPr>
        <w:t>(1), 1–16.</w:t>
      </w:r>
    </w:p>
    <w:p w14:paraId="017BE47E"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Creswell, J. W., &amp; Poth, C. N. (2018). </w:t>
      </w:r>
      <w:r w:rsidRPr="00587132">
        <w:rPr>
          <w:rFonts w:ascii="Times New Roman" w:hAnsi="Times New Roman" w:cs="Times New Roman"/>
          <w:i/>
          <w:iCs/>
          <w:sz w:val="24"/>
          <w:szCs w:val="24"/>
        </w:rPr>
        <w:t>Qualitative inquiry and research design: Choosing among five approaches</w:t>
      </w:r>
      <w:r w:rsidRPr="00587132">
        <w:rPr>
          <w:rFonts w:ascii="Times New Roman" w:hAnsi="Times New Roman" w:cs="Times New Roman"/>
          <w:sz w:val="24"/>
          <w:szCs w:val="24"/>
        </w:rPr>
        <w:t xml:space="preserve"> (4th ed.). SAGE Publications.</w:t>
      </w:r>
    </w:p>
    <w:p w14:paraId="08F960F0"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de Oliveira, U. R., </w:t>
      </w:r>
      <w:proofErr w:type="spellStart"/>
      <w:r w:rsidRPr="00A9651F">
        <w:rPr>
          <w:rFonts w:ascii="Times New Roman" w:hAnsi="Times New Roman" w:cs="Times New Roman"/>
          <w:sz w:val="24"/>
          <w:szCs w:val="24"/>
        </w:rPr>
        <w:t>Cezarino</w:t>
      </w:r>
      <w:proofErr w:type="spellEnd"/>
      <w:r w:rsidRPr="00A9651F">
        <w:rPr>
          <w:rFonts w:ascii="Times New Roman" w:hAnsi="Times New Roman" w:cs="Times New Roman"/>
          <w:sz w:val="24"/>
          <w:szCs w:val="24"/>
        </w:rPr>
        <w:t xml:space="preserve">, L. O., </w:t>
      </w:r>
      <w:proofErr w:type="spellStart"/>
      <w:r w:rsidRPr="00A9651F">
        <w:rPr>
          <w:rFonts w:ascii="Times New Roman" w:hAnsi="Times New Roman" w:cs="Times New Roman"/>
          <w:sz w:val="24"/>
          <w:szCs w:val="24"/>
        </w:rPr>
        <w:t>Liboni</w:t>
      </w:r>
      <w:proofErr w:type="spellEnd"/>
      <w:r w:rsidRPr="00A9651F">
        <w:rPr>
          <w:rFonts w:ascii="Times New Roman" w:hAnsi="Times New Roman" w:cs="Times New Roman"/>
          <w:sz w:val="24"/>
          <w:szCs w:val="24"/>
        </w:rPr>
        <w:t xml:space="preserve">, L. B., &amp; Schnitzer, M. (2023). </w:t>
      </w:r>
      <w:r w:rsidRPr="00A9651F">
        <w:rPr>
          <w:rFonts w:ascii="Times New Roman" w:hAnsi="Times New Roman" w:cs="Times New Roman"/>
          <w:i/>
          <w:iCs/>
          <w:sz w:val="24"/>
          <w:szCs w:val="24"/>
        </w:rPr>
        <w:t>A systematic literature review on corporate sustainability: Insights and future research directions.</w:t>
      </w:r>
      <w:r w:rsidRPr="00A9651F">
        <w:rPr>
          <w:rFonts w:ascii="Times New Roman" w:hAnsi="Times New Roman" w:cs="Times New Roman"/>
          <w:sz w:val="24"/>
          <w:szCs w:val="24"/>
        </w:rPr>
        <w:t xml:space="preserve"> Journal of Cleaner Production, 413, 137426.</w:t>
      </w:r>
    </w:p>
    <w:p w14:paraId="62087C47"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Delmas, M. A., &amp; </w:t>
      </w:r>
      <w:proofErr w:type="spellStart"/>
      <w:r w:rsidRPr="0064081A">
        <w:rPr>
          <w:rFonts w:ascii="Times New Roman" w:hAnsi="Times New Roman" w:cs="Times New Roman"/>
          <w:sz w:val="24"/>
          <w:szCs w:val="24"/>
        </w:rPr>
        <w:t>Toffel</w:t>
      </w:r>
      <w:proofErr w:type="spellEnd"/>
      <w:r w:rsidRPr="0064081A">
        <w:rPr>
          <w:rFonts w:ascii="Times New Roman" w:hAnsi="Times New Roman" w:cs="Times New Roman"/>
          <w:sz w:val="24"/>
          <w:szCs w:val="24"/>
        </w:rPr>
        <w:t xml:space="preserve">, M. W. (2008). </w:t>
      </w:r>
      <w:r w:rsidRPr="0064081A">
        <w:rPr>
          <w:rFonts w:ascii="Times New Roman" w:hAnsi="Times New Roman" w:cs="Times New Roman"/>
          <w:i/>
          <w:iCs/>
          <w:sz w:val="24"/>
          <w:szCs w:val="24"/>
        </w:rPr>
        <w:t>Organizational responses to environmental demands: Opening the black box.</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Strategic Management Journal, 29</w:t>
      </w:r>
      <w:r w:rsidRPr="0064081A">
        <w:rPr>
          <w:rFonts w:ascii="Times New Roman" w:hAnsi="Times New Roman" w:cs="Times New Roman"/>
          <w:sz w:val="24"/>
          <w:szCs w:val="24"/>
        </w:rPr>
        <w:t>(10), 1027–1055.</w:t>
      </w:r>
    </w:p>
    <w:p w14:paraId="7A9491C2"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Denzin, N. K., &amp; Lincoln, Y. S. (2018). </w:t>
      </w:r>
      <w:r w:rsidRPr="00587132">
        <w:rPr>
          <w:rFonts w:ascii="Times New Roman" w:hAnsi="Times New Roman" w:cs="Times New Roman"/>
          <w:i/>
          <w:iCs/>
          <w:sz w:val="24"/>
          <w:szCs w:val="24"/>
        </w:rPr>
        <w:t>The SAGE handbook of qualitative research</w:t>
      </w:r>
      <w:r w:rsidRPr="00587132">
        <w:rPr>
          <w:rFonts w:ascii="Times New Roman" w:hAnsi="Times New Roman" w:cs="Times New Roman"/>
          <w:sz w:val="24"/>
          <w:szCs w:val="24"/>
        </w:rPr>
        <w:t xml:space="preserve"> (5th ed.). SAGE Publications.</w:t>
      </w:r>
    </w:p>
    <w:p w14:paraId="54C5A845"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DiMaggio, P. J., &amp; Powell, W. W. (1983). </w:t>
      </w:r>
      <w:r w:rsidRPr="0064081A">
        <w:rPr>
          <w:rFonts w:ascii="Times New Roman" w:hAnsi="Times New Roman" w:cs="Times New Roman"/>
          <w:i/>
          <w:iCs/>
          <w:sz w:val="24"/>
          <w:szCs w:val="24"/>
        </w:rPr>
        <w:t>The iron cage revisited: Institutional isomorphism and collective rationality in organizational fields.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American Sociological Review, 48</w:t>
      </w:r>
      <w:r w:rsidRPr="0064081A">
        <w:rPr>
          <w:rFonts w:ascii="Times New Roman" w:hAnsi="Times New Roman" w:cs="Times New Roman"/>
          <w:sz w:val="24"/>
          <w:szCs w:val="24"/>
        </w:rPr>
        <w:t>(2), 147–160.</w:t>
      </w:r>
    </w:p>
    <w:p w14:paraId="3DD544D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Du, J., Wang, J., Zhao, Y., &amp; Sun, M. (2023). </w:t>
      </w:r>
      <w:r w:rsidRPr="00A9651F">
        <w:rPr>
          <w:rFonts w:ascii="Times New Roman" w:hAnsi="Times New Roman" w:cs="Times New Roman"/>
          <w:i/>
          <w:iCs/>
          <w:sz w:val="24"/>
          <w:szCs w:val="24"/>
        </w:rPr>
        <w:t xml:space="preserve">Explaining the green development </w:t>
      </w:r>
      <w:proofErr w:type="spellStart"/>
      <w:r w:rsidRPr="00A9651F">
        <w:rPr>
          <w:rFonts w:ascii="Times New Roman" w:hAnsi="Times New Roman" w:cs="Times New Roman"/>
          <w:i/>
          <w:iCs/>
          <w:sz w:val="24"/>
          <w:szCs w:val="24"/>
        </w:rPr>
        <w:t>behaviour</w:t>
      </w:r>
      <w:proofErr w:type="spellEnd"/>
      <w:r w:rsidRPr="00A9651F">
        <w:rPr>
          <w:rFonts w:ascii="Times New Roman" w:hAnsi="Times New Roman" w:cs="Times New Roman"/>
          <w:i/>
          <w:iCs/>
          <w:sz w:val="24"/>
          <w:szCs w:val="24"/>
        </w:rPr>
        <w:t xml:space="preserve"> of local governments: Evidence from China.</w:t>
      </w:r>
      <w:r w:rsidRPr="00A9651F">
        <w:rPr>
          <w:rFonts w:ascii="Times New Roman" w:hAnsi="Times New Roman" w:cs="Times New Roman"/>
          <w:sz w:val="24"/>
          <w:szCs w:val="24"/>
        </w:rPr>
        <w:t xml:space="preserve"> Frontiers in Environmental Science, 11, 1225871. </w:t>
      </w:r>
    </w:p>
    <w:p w14:paraId="39BDF964"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Eisenhardt, K. M. (1989). </w:t>
      </w:r>
      <w:r w:rsidRPr="00587132">
        <w:rPr>
          <w:rFonts w:ascii="Times New Roman" w:hAnsi="Times New Roman" w:cs="Times New Roman"/>
          <w:i/>
          <w:iCs/>
          <w:sz w:val="24"/>
          <w:szCs w:val="24"/>
        </w:rPr>
        <w:t>Building theories from case study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Academy of Management Review, 14</w:t>
      </w:r>
      <w:r w:rsidRPr="00587132">
        <w:rPr>
          <w:rFonts w:ascii="Times New Roman" w:hAnsi="Times New Roman" w:cs="Times New Roman"/>
          <w:sz w:val="24"/>
          <w:szCs w:val="24"/>
        </w:rPr>
        <w:t>(4), 532–550.</w:t>
      </w:r>
    </w:p>
    <w:p w14:paraId="481547A5"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Eitrem</w:t>
      </w:r>
      <w:proofErr w:type="spellEnd"/>
      <w:r w:rsidRPr="0064081A">
        <w:rPr>
          <w:rFonts w:ascii="Times New Roman" w:hAnsi="Times New Roman" w:cs="Times New Roman"/>
          <w:sz w:val="24"/>
          <w:szCs w:val="24"/>
        </w:rPr>
        <w:t xml:space="preserve">, R. (2024). </w:t>
      </w:r>
      <w:r w:rsidRPr="0064081A">
        <w:rPr>
          <w:rFonts w:ascii="Times New Roman" w:hAnsi="Times New Roman" w:cs="Times New Roman"/>
          <w:i/>
          <w:iCs/>
          <w:sz w:val="24"/>
          <w:szCs w:val="24"/>
        </w:rPr>
        <w:t>Institutional pressures and symbolic adoption of sustainability practices in public organizations.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Accounting, Auditing &amp; Accountability Journal, 37</w:t>
      </w:r>
      <w:r w:rsidRPr="0064081A">
        <w:rPr>
          <w:rFonts w:ascii="Times New Roman" w:hAnsi="Times New Roman" w:cs="Times New Roman"/>
          <w:sz w:val="24"/>
          <w:szCs w:val="24"/>
        </w:rPr>
        <w:t>(5), 1123–1145.</w:t>
      </w:r>
    </w:p>
    <w:p w14:paraId="736A685E"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Flick, U. (2018). </w:t>
      </w:r>
      <w:r w:rsidRPr="00587132">
        <w:rPr>
          <w:rFonts w:ascii="Times New Roman" w:hAnsi="Times New Roman" w:cs="Times New Roman"/>
          <w:i/>
          <w:iCs/>
          <w:sz w:val="24"/>
          <w:szCs w:val="24"/>
        </w:rPr>
        <w:t>An introduction to qualitative research</w:t>
      </w:r>
      <w:r w:rsidRPr="00587132">
        <w:rPr>
          <w:rFonts w:ascii="Times New Roman" w:hAnsi="Times New Roman" w:cs="Times New Roman"/>
          <w:sz w:val="24"/>
          <w:szCs w:val="24"/>
        </w:rPr>
        <w:t xml:space="preserve"> (6th ed.). SAGE Publications.</w:t>
      </w:r>
    </w:p>
    <w:p w14:paraId="3EBF920F"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García-Cruz, J., López-</w:t>
      </w:r>
      <w:proofErr w:type="spellStart"/>
      <w:r w:rsidRPr="0064081A">
        <w:rPr>
          <w:rFonts w:ascii="Times New Roman" w:hAnsi="Times New Roman" w:cs="Times New Roman"/>
          <w:sz w:val="24"/>
          <w:szCs w:val="24"/>
        </w:rPr>
        <w:t>Cabrales</w:t>
      </w:r>
      <w:proofErr w:type="spellEnd"/>
      <w:r w:rsidRPr="0064081A">
        <w:rPr>
          <w:rFonts w:ascii="Times New Roman" w:hAnsi="Times New Roman" w:cs="Times New Roman"/>
          <w:sz w:val="24"/>
          <w:szCs w:val="24"/>
        </w:rPr>
        <w:t xml:space="preserve">, Á., &amp; Valle-Cabrera, R. (2024). </w:t>
      </w:r>
      <w:r w:rsidRPr="0064081A">
        <w:rPr>
          <w:rFonts w:ascii="Times New Roman" w:hAnsi="Times New Roman" w:cs="Times New Roman"/>
          <w:i/>
          <w:iCs/>
          <w:sz w:val="24"/>
          <w:szCs w:val="24"/>
        </w:rPr>
        <w:t xml:space="preserve">Institutional and stakeholder pressures on </w:t>
      </w:r>
      <w:proofErr w:type="spellStart"/>
      <w:r w:rsidRPr="0064081A">
        <w:rPr>
          <w:rFonts w:ascii="Times New Roman" w:hAnsi="Times New Roman" w:cs="Times New Roman"/>
          <w:i/>
          <w:iCs/>
          <w:sz w:val="24"/>
          <w:szCs w:val="24"/>
        </w:rPr>
        <w:t>organisational</w:t>
      </w:r>
      <w:proofErr w:type="spellEnd"/>
      <w:r w:rsidRPr="0064081A">
        <w:rPr>
          <w:rFonts w:ascii="Times New Roman" w:hAnsi="Times New Roman" w:cs="Times New Roman"/>
          <w:i/>
          <w:iCs/>
          <w:sz w:val="24"/>
          <w:szCs w:val="24"/>
        </w:rPr>
        <w:t xml:space="preserve"> performance and green human resources management.</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International Journal of Management Reviews, 26</w:t>
      </w:r>
      <w:r w:rsidRPr="0064081A">
        <w:rPr>
          <w:rFonts w:ascii="Times New Roman" w:hAnsi="Times New Roman" w:cs="Times New Roman"/>
          <w:sz w:val="24"/>
          <w:szCs w:val="24"/>
        </w:rPr>
        <w:t>(3), 425–442.</w:t>
      </w:r>
    </w:p>
    <w:p w14:paraId="56532F33"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lastRenderedPageBreak/>
        <w:t xml:space="preserve">Guest, G., </w:t>
      </w:r>
      <w:proofErr w:type="spellStart"/>
      <w:r w:rsidRPr="00587132">
        <w:rPr>
          <w:rFonts w:ascii="Times New Roman" w:hAnsi="Times New Roman" w:cs="Times New Roman"/>
          <w:sz w:val="24"/>
          <w:szCs w:val="24"/>
        </w:rPr>
        <w:t>Namey</w:t>
      </w:r>
      <w:proofErr w:type="spellEnd"/>
      <w:r w:rsidRPr="00587132">
        <w:rPr>
          <w:rFonts w:ascii="Times New Roman" w:hAnsi="Times New Roman" w:cs="Times New Roman"/>
          <w:sz w:val="24"/>
          <w:szCs w:val="24"/>
        </w:rPr>
        <w:t xml:space="preserve">, E., &amp; Chen, M. (2020). </w:t>
      </w:r>
      <w:r w:rsidRPr="00587132">
        <w:rPr>
          <w:rFonts w:ascii="Times New Roman" w:hAnsi="Times New Roman" w:cs="Times New Roman"/>
          <w:i/>
          <w:iCs/>
          <w:sz w:val="24"/>
          <w:szCs w:val="24"/>
        </w:rPr>
        <w:t>A simple method to assess and report thematic saturation in qualitative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PLOS ONE, 15</w:t>
      </w:r>
      <w:r w:rsidRPr="00587132">
        <w:rPr>
          <w:rFonts w:ascii="Times New Roman" w:hAnsi="Times New Roman" w:cs="Times New Roman"/>
          <w:sz w:val="24"/>
          <w:szCs w:val="24"/>
        </w:rPr>
        <w:t>(5), e0232076.</w:t>
      </w:r>
    </w:p>
    <w:p w14:paraId="421AA897"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Knies</w:t>
      </w:r>
      <w:proofErr w:type="spellEnd"/>
      <w:r w:rsidRPr="0064081A">
        <w:rPr>
          <w:rFonts w:ascii="Times New Roman" w:hAnsi="Times New Roman" w:cs="Times New Roman"/>
          <w:sz w:val="24"/>
          <w:szCs w:val="24"/>
        </w:rPr>
        <w:t xml:space="preserve">, E., </w:t>
      </w:r>
      <w:proofErr w:type="spellStart"/>
      <w:r w:rsidRPr="0064081A">
        <w:rPr>
          <w:rFonts w:ascii="Times New Roman" w:hAnsi="Times New Roman" w:cs="Times New Roman"/>
          <w:sz w:val="24"/>
          <w:szCs w:val="24"/>
        </w:rPr>
        <w:t>Boselie</w:t>
      </w:r>
      <w:proofErr w:type="spellEnd"/>
      <w:r w:rsidRPr="0064081A">
        <w:rPr>
          <w:rFonts w:ascii="Times New Roman" w:hAnsi="Times New Roman" w:cs="Times New Roman"/>
          <w:sz w:val="24"/>
          <w:szCs w:val="24"/>
        </w:rPr>
        <w:t xml:space="preserve">, P., Gould-Williams, J., &amp; </w:t>
      </w:r>
      <w:proofErr w:type="spellStart"/>
      <w:r w:rsidRPr="0064081A">
        <w:rPr>
          <w:rFonts w:ascii="Times New Roman" w:hAnsi="Times New Roman" w:cs="Times New Roman"/>
          <w:sz w:val="24"/>
          <w:szCs w:val="24"/>
        </w:rPr>
        <w:t>Vandenabeele</w:t>
      </w:r>
      <w:proofErr w:type="spellEnd"/>
      <w:r w:rsidRPr="0064081A">
        <w:rPr>
          <w:rFonts w:ascii="Times New Roman" w:hAnsi="Times New Roman" w:cs="Times New Roman"/>
          <w:sz w:val="24"/>
          <w:szCs w:val="24"/>
        </w:rPr>
        <w:t xml:space="preserve">, W. (2022). </w:t>
      </w:r>
      <w:r w:rsidRPr="0064081A">
        <w:rPr>
          <w:rFonts w:ascii="Times New Roman" w:hAnsi="Times New Roman" w:cs="Times New Roman"/>
          <w:i/>
          <w:iCs/>
          <w:sz w:val="24"/>
          <w:szCs w:val="24"/>
        </w:rPr>
        <w:t>Strategic human resource management and public sector performance: Context, concepts, and controversies.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Human Resource Management Journal, 32</w:t>
      </w:r>
      <w:r w:rsidRPr="0064081A">
        <w:rPr>
          <w:rFonts w:ascii="Times New Roman" w:hAnsi="Times New Roman" w:cs="Times New Roman"/>
          <w:sz w:val="24"/>
          <w:szCs w:val="24"/>
        </w:rPr>
        <w:t>(4), 833–848.</w:t>
      </w:r>
    </w:p>
    <w:p w14:paraId="140D86A4" w14:textId="77777777" w:rsidR="00A60057" w:rsidRPr="0064081A" w:rsidRDefault="00A60057" w:rsidP="00A60057">
      <w:pPr>
        <w:ind w:left="720" w:hanging="720"/>
        <w:jc w:val="both"/>
        <w:rPr>
          <w:rFonts w:ascii="Times New Roman" w:hAnsi="Times New Roman" w:cs="Times New Roman"/>
          <w:sz w:val="24"/>
          <w:szCs w:val="24"/>
        </w:rPr>
      </w:pPr>
      <w:proofErr w:type="spellStart"/>
      <w:r w:rsidRPr="0064081A">
        <w:rPr>
          <w:rFonts w:ascii="Times New Roman" w:hAnsi="Times New Roman" w:cs="Times New Roman"/>
          <w:sz w:val="24"/>
          <w:szCs w:val="24"/>
        </w:rPr>
        <w:t>Lawter</w:t>
      </w:r>
      <w:proofErr w:type="spellEnd"/>
      <w:r w:rsidRPr="0064081A">
        <w:rPr>
          <w:rFonts w:ascii="Times New Roman" w:hAnsi="Times New Roman" w:cs="Times New Roman"/>
          <w:sz w:val="24"/>
          <w:szCs w:val="24"/>
        </w:rPr>
        <w:t xml:space="preserve">, L., &amp; </w:t>
      </w:r>
      <w:proofErr w:type="spellStart"/>
      <w:r w:rsidRPr="0064081A">
        <w:rPr>
          <w:rFonts w:ascii="Times New Roman" w:hAnsi="Times New Roman" w:cs="Times New Roman"/>
          <w:sz w:val="24"/>
          <w:szCs w:val="24"/>
        </w:rPr>
        <w:t>Garnjost</w:t>
      </w:r>
      <w:proofErr w:type="spellEnd"/>
      <w:r w:rsidRPr="0064081A">
        <w:rPr>
          <w:rFonts w:ascii="Times New Roman" w:hAnsi="Times New Roman" w:cs="Times New Roman"/>
          <w:sz w:val="24"/>
          <w:szCs w:val="24"/>
        </w:rPr>
        <w:t xml:space="preserve">, P. (2025). </w:t>
      </w:r>
      <w:r w:rsidRPr="0064081A">
        <w:rPr>
          <w:rFonts w:ascii="Times New Roman" w:hAnsi="Times New Roman" w:cs="Times New Roman"/>
          <w:i/>
          <w:iCs/>
          <w:sz w:val="24"/>
          <w:szCs w:val="24"/>
        </w:rPr>
        <w:t>Green Human Resource Management and Organizational Performance: A Systematic Review and Future Research Directions.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Sustainability, 17</w:t>
      </w:r>
      <w:r w:rsidRPr="0064081A">
        <w:rPr>
          <w:rFonts w:ascii="Times New Roman" w:hAnsi="Times New Roman" w:cs="Times New Roman"/>
          <w:sz w:val="24"/>
          <w:szCs w:val="24"/>
        </w:rPr>
        <w:t>(7), 3132.</w:t>
      </w:r>
    </w:p>
    <w:p w14:paraId="65F2F307"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Lincoln, Y. S., &amp; Guba, E. G. (1985). </w:t>
      </w:r>
      <w:r w:rsidRPr="00587132">
        <w:rPr>
          <w:rFonts w:ascii="Times New Roman" w:hAnsi="Times New Roman" w:cs="Times New Roman"/>
          <w:i/>
          <w:iCs/>
          <w:sz w:val="24"/>
          <w:szCs w:val="24"/>
        </w:rPr>
        <w:t>Naturalistic inquiry.</w:t>
      </w:r>
      <w:r w:rsidRPr="00587132">
        <w:rPr>
          <w:rFonts w:ascii="Times New Roman" w:hAnsi="Times New Roman" w:cs="Times New Roman"/>
          <w:sz w:val="24"/>
          <w:szCs w:val="24"/>
        </w:rPr>
        <w:t xml:space="preserve"> SAGE Publications.</w:t>
      </w:r>
    </w:p>
    <w:p w14:paraId="6CDC7F65"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Ly, P., Phan, A. C., &amp; Nguyen, H. N. (2023). </w:t>
      </w:r>
      <w:r w:rsidRPr="0064081A">
        <w:rPr>
          <w:rFonts w:ascii="Times New Roman" w:hAnsi="Times New Roman" w:cs="Times New Roman"/>
          <w:i/>
          <w:iCs/>
          <w:sz w:val="24"/>
          <w:szCs w:val="24"/>
        </w:rPr>
        <w:t>Green human resource management practices and employee environmental commitment: Evidence from developing countries.</w:t>
      </w:r>
      <w:r w:rsidRPr="0064081A">
        <w:rPr>
          <w:rFonts w:ascii="Times New Roman" w:hAnsi="Times New Roman" w:cs="Times New Roman"/>
          <w:sz w:val="24"/>
          <w:szCs w:val="24"/>
        </w:rPr>
        <w:t xml:space="preserve"> </w:t>
      </w:r>
      <w:proofErr w:type="spellStart"/>
      <w:r w:rsidRPr="0064081A">
        <w:rPr>
          <w:rFonts w:ascii="Times New Roman" w:hAnsi="Times New Roman" w:cs="Times New Roman"/>
          <w:i/>
          <w:iCs/>
          <w:sz w:val="24"/>
          <w:szCs w:val="24"/>
        </w:rPr>
        <w:t>Heliyon</w:t>
      </w:r>
      <w:proofErr w:type="spellEnd"/>
      <w:r w:rsidRPr="0064081A">
        <w:rPr>
          <w:rFonts w:ascii="Times New Roman" w:hAnsi="Times New Roman" w:cs="Times New Roman"/>
          <w:i/>
          <w:iCs/>
          <w:sz w:val="24"/>
          <w:szCs w:val="24"/>
        </w:rPr>
        <w:t>, 9</w:t>
      </w:r>
      <w:r w:rsidRPr="0064081A">
        <w:rPr>
          <w:rFonts w:ascii="Times New Roman" w:hAnsi="Times New Roman" w:cs="Times New Roman"/>
          <w:sz w:val="24"/>
          <w:szCs w:val="24"/>
        </w:rPr>
        <w:t>(3), e13892.</w:t>
      </w:r>
    </w:p>
    <w:p w14:paraId="25FA0C7E"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Miah, M. M. (2024). </w:t>
      </w:r>
      <w:r w:rsidRPr="0064081A">
        <w:rPr>
          <w:rFonts w:ascii="Times New Roman" w:hAnsi="Times New Roman" w:cs="Times New Roman"/>
          <w:i/>
          <w:iCs/>
          <w:sz w:val="24"/>
          <w:szCs w:val="24"/>
        </w:rPr>
        <w:t>A systematic review of Green Human Resource Management: Trends, gaps, and future directions.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Cogent Business &amp; Management, 11</w:t>
      </w:r>
      <w:r w:rsidRPr="0064081A">
        <w:rPr>
          <w:rFonts w:ascii="Times New Roman" w:hAnsi="Times New Roman" w:cs="Times New Roman"/>
          <w:sz w:val="24"/>
          <w:szCs w:val="24"/>
        </w:rPr>
        <w:t>(1), 2371983.</w:t>
      </w:r>
    </w:p>
    <w:p w14:paraId="04BE127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Mol, A. P. J., Kraus, S., Vismara, S., &amp; Mishra, S. (2025). </w:t>
      </w:r>
      <w:r w:rsidRPr="00A9651F">
        <w:rPr>
          <w:rFonts w:ascii="Times New Roman" w:hAnsi="Times New Roman" w:cs="Times New Roman"/>
          <w:i/>
          <w:iCs/>
          <w:sz w:val="24"/>
          <w:szCs w:val="24"/>
        </w:rPr>
        <w:t xml:space="preserve">Drivers of sustainability reporting by local governments: Institutional and </w:t>
      </w:r>
      <w:proofErr w:type="spellStart"/>
      <w:r w:rsidRPr="00A9651F">
        <w:rPr>
          <w:rFonts w:ascii="Times New Roman" w:hAnsi="Times New Roman" w:cs="Times New Roman"/>
          <w:i/>
          <w:iCs/>
          <w:sz w:val="24"/>
          <w:szCs w:val="24"/>
        </w:rPr>
        <w:t>organisational</w:t>
      </w:r>
      <w:proofErr w:type="spellEnd"/>
      <w:r w:rsidRPr="00A9651F">
        <w:rPr>
          <w:rFonts w:ascii="Times New Roman" w:hAnsi="Times New Roman" w:cs="Times New Roman"/>
          <w:i/>
          <w:iCs/>
          <w:sz w:val="24"/>
          <w:szCs w:val="24"/>
        </w:rPr>
        <w:t xml:space="preserve"> determinants.</w:t>
      </w:r>
      <w:r w:rsidRPr="00A9651F">
        <w:rPr>
          <w:rFonts w:ascii="Times New Roman" w:hAnsi="Times New Roman" w:cs="Times New Roman"/>
          <w:sz w:val="24"/>
          <w:szCs w:val="24"/>
        </w:rPr>
        <w:t xml:space="preserve"> Financial Accountability &amp; Management. Advance online publication.</w:t>
      </w:r>
    </w:p>
    <w:p w14:paraId="0AD65CA2"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Navigating Sustainable Practices in the Public Sector. (2024). </w:t>
      </w:r>
      <w:r w:rsidRPr="00A9651F">
        <w:rPr>
          <w:rFonts w:ascii="Times New Roman" w:hAnsi="Times New Roman" w:cs="Times New Roman"/>
          <w:i/>
          <w:iCs/>
          <w:sz w:val="24"/>
          <w:szCs w:val="24"/>
        </w:rPr>
        <w:t>Sustainability Practices in Public Administration: A Review of Capabilities and Implementation Challenges.</w:t>
      </w:r>
      <w:r w:rsidRPr="00A9651F">
        <w:rPr>
          <w:rFonts w:ascii="Times New Roman" w:hAnsi="Times New Roman" w:cs="Times New Roman"/>
          <w:sz w:val="24"/>
          <w:szCs w:val="24"/>
        </w:rPr>
        <w:t xml:space="preserve"> Public Administration Review, 84(2), 311–327.</w:t>
      </w:r>
    </w:p>
    <w:p w14:paraId="5CAC75B0"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Palinkas, L. A., Horwitz, S. M., Green, C. A., Wisdom, J. P., </w:t>
      </w:r>
      <w:proofErr w:type="spellStart"/>
      <w:r w:rsidRPr="00587132">
        <w:rPr>
          <w:rFonts w:ascii="Times New Roman" w:hAnsi="Times New Roman" w:cs="Times New Roman"/>
          <w:sz w:val="24"/>
          <w:szCs w:val="24"/>
        </w:rPr>
        <w:t>Duan</w:t>
      </w:r>
      <w:proofErr w:type="spellEnd"/>
      <w:r w:rsidRPr="00587132">
        <w:rPr>
          <w:rFonts w:ascii="Times New Roman" w:hAnsi="Times New Roman" w:cs="Times New Roman"/>
          <w:sz w:val="24"/>
          <w:szCs w:val="24"/>
        </w:rPr>
        <w:t xml:space="preserve">, N., &amp; </w:t>
      </w:r>
      <w:proofErr w:type="spellStart"/>
      <w:r w:rsidRPr="00587132">
        <w:rPr>
          <w:rFonts w:ascii="Times New Roman" w:hAnsi="Times New Roman" w:cs="Times New Roman"/>
          <w:sz w:val="24"/>
          <w:szCs w:val="24"/>
        </w:rPr>
        <w:t>Hoagwood</w:t>
      </w:r>
      <w:proofErr w:type="spellEnd"/>
      <w:r w:rsidRPr="00587132">
        <w:rPr>
          <w:rFonts w:ascii="Times New Roman" w:hAnsi="Times New Roman" w:cs="Times New Roman"/>
          <w:sz w:val="24"/>
          <w:szCs w:val="24"/>
        </w:rPr>
        <w:t xml:space="preserve">, K. (2015). </w:t>
      </w:r>
      <w:r w:rsidRPr="00587132">
        <w:rPr>
          <w:rFonts w:ascii="Times New Roman" w:hAnsi="Times New Roman" w:cs="Times New Roman"/>
          <w:i/>
          <w:iCs/>
          <w:sz w:val="24"/>
          <w:szCs w:val="24"/>
        </w:rPr>
        <w:t>Purposeful sampling for qualitative data collection and analysis in mixed method implementation research.</w:t>
      </w:r>
      <w:r w:rsidRPr="00587132">
        <w:rPr>
          <w:rFonts w:ascii="Times New Roman" w:hAnsi="Times New Roman" w:cs="Times New Roman"/>
          <w:sz w:val="24"/>
          <w:szCs w:val="24"/>
        </w:rPr>
        <w:t xml:space="preserve"> </w:t>
      </w:r>
      <w:r w:rsidRPr="00587132">
        <w:rPr>
          <w:rFonts w:ascii="Times New Roman" w:hAnsi="Times New Roman" w:cs="Times New Roman"/>
          <w:i/>
          <w:iCs/>
          <w:sz w:val="24"/>
          <w:szCs w:val="24"/>
        </w:rPr>
        <w:t>Administration and Policy in Mental Health and Mental Health Services Research, 42</w:t>
      </w:r>
      <w:r w:rsidRPr="00587132">
        <w:rPr>
          <w:rFonts w:ascii="Times New Roman" w:hAnsi="Times New Roman" w:cs="Times New Roman"/>
          <w:sz w:val="24"/>
          <w:szCs w:val="24"/>
        </w:rPr>
        <w:t>(5), 533–544.</w:t>
      </w:r>
    </w:p>
    <w:p w14:paraId="5F2BBBAD" w14:textId="77777777" w:rsidR="00A60057" w:rsidRPr="00587132" w:rsidRDefault="00A60057" w:rsidP="00A60057">
      <w:pPr>
        <w:ind w:left="720" w:hanging="720"/>
        <w:jc w:val="both"/>
        <w:rPr>
          <w:rFonts w:ascii="Times New Roman" w:hAnsi="Times New Roman" w:cs="Times New Roman"/>
          <w:sz w:val="24"/>
          <w:szCs w:val="24"/>
        </w:rPr>
      </w:pPr>
      <w:r w:rsidRPr="00587132">
        <w:rPr>
          <w:rFonts w:ascii="Times New Roman" w:hAnsi="Times New Roman" w:cs="Times New Roman"/>
          <w:sz w:val="24"/>
          <w:szCs w:val="24"/>
        </w:rPr>
        <w:t xml:space="preserve">Patton, M. Q. (2015). </w:t>
      </w:r>
      <w:r w:rsidRPr="00587132">
        <w:rPr>
          <w:rFonts w:ascii="Times New Roman" w:hAnsi="Times New Roman" w:cs="Times New Roman"/>
          <w:i/>
          <w:iCs/>
          <w:sz w:val="24"/>
          <w:szCs w:val="24"/>
        </w:rPr>
        <w:t>Qualitative research and evaluation methods</w:t>
      </w:r>
      <w:r w:rsidRPr="00587132">
        <w:rPr>
          <w:rFonts w:ascii="Times New Roman" w:hAnsi="Times New Roman" w:cs="Times New Roman"/>
          <w:sz w:val="24"/>
          <w:szCs w:val="24"/>
        </w:rPr>
        <w:t xml:space="preserve"> (4th ed.). SAGE Publications.</w:t>
      </w:r>
    </w:p>
    <w:p w14:paraId="40D514CF"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Renwick, D. W. S., Redman, T., &amp; Maguire, S. (2013). </w:t>
      </w:r>
      <w:r w:rsidRPr="0064081A">
        <w:rPr>
          <w:rFonts w:ascii="Times New Roman" w:hAnsi="Times New Roman" w:cs="Times New Roman"/>
          <w:i/>
          <w:iCs/>
          <w:sz w:val="24"/>
          <w:szCs w:val="24"/>
        </w:rPr>
        <w:t>Green human resource management: A review and research agenda.</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International Journal of Management Reviews, 15</w:t>
      </w:r>
      <w:r w:rsidRPr="0064081A">
        <w:rPr>
          <w:rFonts w:ascii="Times New Roman" w:hAnsi="Times New Roman" w:cs="Times New Roman"/>
          <w:sz w:val="24"/>
          <w:szCs w:val="24"/>
        </w:rPr>
        <w:t>(1), 1–14.</w:t>
      </w:r>
    </w:p>
    <w:p w14:paraId="498C1BEB"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Riaz, H., Saeed, A., &amp; Qureshi, M. A. (2023). </w:t>
      </w:r>
      <w:r w:rsidRPr="0064081A">
        <w:rPr>
          <w:rFonts w:ascii="Times New Roman" w:hAnsi="Times New Roman" w:cs="Times New Roman"/>
          <w:i/>
          <w:iCs/>
          <w:sz w:val="24"/>
          <w:szCs w:val="24"/>
        </w:rPr>
        <w:t>Institutional pressures, green innovation, and environmental performance: Evidence from emerging economies.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Journal of Cleaner Production, 393</w:t>
      </w:r>
      <w:r w:rsidRPr="0064081A">
        <w:rPr>
          <w:rFonts w:ascii="Times New Roman" w:hAnsi="Times New Roman" w:cs="Times New Roman"/>
          <w:sz w:val="24"/>
          <w:szCs w:val="24"/>
        </w:rPr>
        <w:t>, 136357.</w:t>
      </w:r>
    </w:p>
    <w:p w14:paraId="1F17F498"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t xml:space="preserve">Saba, C. S., </w:t>
      </w:r>
      <w:proofErr w:type="spellStart"/>
      <w:r w:rsidRPr="00A9651F">
        <w:rPr>
          <w:rFonts w:ascii="Times New Roman" w:hAnsi="Times New Roman" w:cs="Times New Roman"/>
          <w:sz w:val="24"/>
          <w:szCs w:val="24"/>
        </w:rPr>
        <w:t>Alharthi</w:t>
      </w:r>
      <w:proofErr w:type="spellEnd"/>
      <w:r w:rsidRPr="00A9651F">
        <w:rPr>
          <w:rFonts w:ascii="Times New Roman" w:hAnsi="Times New Roman" w:cs="Times New Roman"/>
          <w:sz w:val="24"/>
          <w:szCs w:val="24"/>
        </w:rPr>
        <w:t xml:space="preserve">, M., &amp; Ali, S. H. (2025). </w:t>
      </w:r>
      <w:r w:rsidRPr="00A9651F">
        <w:rPr>
          <w:rFonts w:ascii="Times New Roman" w:hAnsi="Times New Roman" w:cs="Times New Roman"/>
          <w:i/>
          <w:iCs/>
          <w:sz w:val="24"/>
          <w:szCs w:val="24"/>
        </w:rPr>
        <w:t>Exploring the role of governance and institutional pressures in environmental outcomes: Evidence from emerging economies.</w:t>
      </w:r>
      <w:r w:rsidRPr="00A9651F">
        <w:rPr>
          <w:rFonts w:ascii="Times New Roman" w:hAnsi="Times New Roman" w:cs="Times New Roman"/>
          <w:sz w:val="24"/>
          <w:szCs w:val="24"/>
        </w:rPr>
        <w:t xml:space="preserve"> Corporate Social Responsibility and Environmental Management, 32(2), 399–412. </w:t>
      </w:r>
    </w:p>
    <w:p w14:paraId="750F261C"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San Román-</w:t>
      </w:r>
      <w:proofErr w:type="spellStart"/>
      <w:r w:rsidRPr="0064081A">
        <w:rPr>
          <w:rFonts w:ascii="Times New Roman" w:hAnsi="Times New Roman" w:cs="Times New Roman"/>
          <w:sz w:val="24"/>
          <w:szCs w:val="24"/>
        </w:rPr>
        <w:t>Niaves</w:t>
      </w:r>
      <w:proofErr w:type="spellEnd"/>
      <w:r w:rsidRPr="0064081A">
        <w:rPr>
          <w:rFonts w:ascii="Times New Roman" w:hAnsi="Times New Roman" w:cs="Times New Roman"/>
          <w:sz w:val="24"/>
          <w:szCs w:val="24"/>
        </w:rPr>
        <w:t xml:space="preserve">, R., Pérez-Calero, L., &amp; </w:t>
      </w:r>
      <w:proofErr w:type="spellStart"/>
      <w:r w:rsidRPr="0064081A">
        <w:rPr>
          <w:rFonts w:ascii="Times New Roman" w:hAnsi="Times New Roman" w:cs="Times New Roman"/>
          <w:sz w:val="24"/>
          <w:szCs w:val="24"/>
        </w:rPr>
        <w:t>Zornoza</w:t>
      </w:r>
      <w:proofErr w:type="spellEnd"/>
      <w:r w:rsidRPr="0064081A">
        <w:rPr>
          <w:rFonts w:ascii="Times New Roman" w:hAnsi="Times New Roman" w:cs="Times New Roman"/>
          <w:sz w:val="24"/>
          <w:szCs w:val="24"/>
        </w:rPr>
        <w:t xml:space="preserve">, A. (2025). </w:t>
      </w:r>
      <w:r w:rsidRPr="0064081A">
        <w:rPr>
          <w:rFonts w:ascii="Times New Roman" w:hAnsi="Times New Roman" w:cs="Times New Roman"/>
          <w:i/>
          <w:iCs/>
          <w:sz w:val="24"/>
          <w:szCs w:val="24"/>
        </w:rPr>
        <w:t>Linking green HRM to green psychological climate through AMO mechanisms.</w:t>
      </w:r>
      <w:r w:rsidRPr="0064081A">
        <w:rPr>
          <w:rFonts w:ascii="Times New Roman" w:hAnsi="Times New Roman" w:cs="Times New Roman"/>
          <w:sz w:val="24"/>
          <w:szCs w:val="24"/>
        </w:rPr>
        <w:t xml:space="preserve"> </w:t>
      </w:r>
      <w:r w:rsidRPr="0064081A">
        <w:rPr>
          <w:rFonts w:ascii="Times New Roman" w:hAnsi="Times New Roman" w:cs="Times New Roman"/>
          <w:i/>
          <w:iCs/>
          <w:sz w:val="24"/>
          <w:szCs w:val="24"/>
        </w:rPr>
        <w:t>Sustainability, 17</w:t>
      </w:r>
      <w:r w:rsidRPr="0064081A">
        <w:rPr>
          <w:rFonts w:ascii="Times New Roman" w:hAnsi="Times New Roman" w:cs="Times New Roman"/>
          <w:sz w:val="24"/>
          <w:szCs w:val="24"/>
        </w:rPr>
        <w:t>(6), 2535.</w:t>
      </w:r>
    </w:p>
    <w:p w14:paraId="6E6603E1"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Scott, W. R. (2014). </w:t>
      </w:r>
      <w:r w:rsidRPr="0064081A">
        <w:rPr>
          <w:rFonts w:ascii="Times New Roman" w:hAnsi="Times New Roman" w:cs="Times New Roman"/>
          <w:i/>
          <w:iCs/>
          <w:sz w:val="24"/>
          <w:szCs w:val="24"/>
        </w:rPr>
        <w:t>Institutions and organizations: Ideas, interests, and identities</w:t>
      </w:r>
      <w:r w:rsidRPr="0064081A">
        <w:rPr>
          <w:rFonts w:ascii="Times New Roman" w:hAnsi="Times New Roman" w:cs="Times New Roman"/>
          <w:sz w:val="24"/>
          <w:szCs w:val="24"/>
        </w:rPr>
        <w:t xml:space="preserve"> (4th ed.). SAGE.</w:t>
      </w:r>
    </w:p>
    <w:p w14:paraId="24BFAF71" w14:textId="77777777" w:rsidR="00A60057" w:rsidRPr="00A9651F" w:rsidRDefault="00A60057" w:rsidP="00A60057">
      <w:pPr>
        <w:ind w:left="720" w:hanging="720"/>
        <w:jc w:val="both"/>
        <w:rPr>
          <w:rFonts w:ascii="Times New Roman" w:hAnsi="Times New Roman" w:cs="Times New Roman"/>
          <w:sz w:val="24"/>
          <w:szCs w:val="24"/>
        </w:rPr>
      </w:pPr>
      <w:r w:rsidRPr="00A9651F">
        <w:rPr>
          <w:rFonts w:ascii="Times New Roman" w:hAnsi="Times New Roman" w:cs="Times New Roman"/>
          <w:sz w:val="24"/>
          <w:szCs w:val="24"/>
        </w:rPr>
        <w:lastRenderedPageBreak/>
        <w:t xml:space="preserve">Sinclair-Desgagné, B. (2021). </w:t>
      </w:r>
      <w:r w:rsidRPr="00A9651F">
        <w:rPr>
          <w:rFonts w:ascii="Times New Roman" w:hAnsi="Times New Roman" w:cs="Times New Roman"/>
          <w:i/>
          <w:iCs/>
          <w:sz w:val="24"/>
          <w:szCs w:val="24"/>
        </w:rPr>
        <w:t>A Framework for Green Human Resource Management.</w:t>
      </w:r>
      <w:r w:rsidRPr="00A9651F">
        <w:rPr>
          <w:rFonts w:ascii="Times New Roman" w:hAnsi="Times New Roman" w:cs="Times New Roman"/>
          <w:sz w:val="24"/>
          <w:szCs w:val="24"/>
        </w:rPr>
        <w:t xml:space="preserve"> Ecological Economics, 183, 106957. </w:t>
      </w:r>
    </w:p>
    <w:p w14:paraId="4D5ECE4A" w14:textId="77777777" w:rsidR="00A60057" w:rsidRPr="0064081A" w:rsidRDefault="00A60057" w:rsidP="00A60057">
      <w:pPr>
        <w:ind w:left="720" w:hanging="720"/>
        <w:jc w:val="both"/>
        <w:rPr>
          <w:rFonts w:ascii="Times New Roman" w:hAnsi="Times New Roman" w:cs="Times New Roman"/>
          <w:sz w:val="24"/>
          <w:szCs w:val="24"/>
        </w:rPr>
      </w:pPr>
      <w:r w:rsidRPr="0064081A">
        <w:rPr>
          <w:rFonts w:ascii="Times New Roman" w:hAnsi="Times New Roman" w:cs="Times New Roman"/>
          <w:sz w:val="24"/>
          <w:szCs w:val="24"/>
        </w:rPr>
        <w:t xml:space="preserve">Yin, R. K. (2018). </w:t>
      </w:r>
      <w:r w:rsidRPr="0064081A">
        <w:rPr>
          <w:rFonts w:ascii="Times New Roman" w:hAnsi="Times New Roman" w:cs="Times New Roman"/>
          <w:i/>
          <w:iCs/>
          <w:sz w:val="24"/>
          <w:szCs w:val="24"/>
        </w:rPr>
        <w:t>Case study research and applications: Design and methods</w:t>
      </w:r>
      <w:r w:rsidRPr="0064081A">
        <w:rPr>
          <w:rFonts w:ascii="Times New Roman" w:hAnsi="Times New Roman" w:cs="Times New Roman"/>
          <w:sz w:val="24"/>
          <w:szCs w:val="24"/>
        </w:rPr>
        <w:t xml:space="preserve"> (6th ed.). SAGE Publications.</w:t>
      </w:r>
    </w:p>
    <w:p w14:paraId="491CC24D" w14:textId="77777777" w:rsidR="00A60057" w:rsidRPr="00A9651F" w:rsidRDefault="00A60057" w:rsidP="00A60057">
      <w:pPr>
        <w:ind w:left="720" w:hanging="720"/>
        <w:jc w:val="both"/>
        <w:rPr>
          <w:rFonts w:ascii="Times New Roman" w:hAnsi="Times New Roman" w:cs="Times New Roman"/>
          <w:sz w:val="24"/>
          <w:szCs w:val="24"/>
        </w:rPr>
      </w:pPr>
      <w:proofErr w:type="spellStart"/>
      <w:r w:rsidRPr="00A9651F">
        <w:rPr>
          <w:rFonts w:ascii="Times New Roman" w:hAnsi="Times New Roman" w:cs="Times New Roman"/>
          <w:sz w:val="24"/>
          <w:szCs w:val="24"/>
        </w:rPr>
        <w:t>Zihan</w:t>
      </w:r>
      <w:proofErr w:type="spellEnd"/>
      <w:r w:rsidRPr="00A9651F">
        <w:rPr>
          <w:rFonts w:ascii="Times New Roman" w:hAnsi="Times New Roman" w:cs="Times New Roman"/>
          <w:sz w:val="24"/>
          <w:szCs w:val="24"/>
        </w:rPr>
        <w:t xml:space="preserve">, Z., Liu, Y., &amp; Tian, Y. (2024). </w:t>
      </w:r>
      <w:r w:rsidRPr="00A9651F">
        <w:rPr>
          <w:rFonts w:ascii="Times New Roman" w:hAnsi="Times New Roman" w:cs="Times New Roman"/>
          <w:i/>
          <w:iCs/>
          <w:sz w:val="24"/>
          <w:szCs w:val="24"/>
        </w:rPr>
        <w:t>Green HRM Practices and Sustainable Organizational Culture: Mediating Role of Environmental Awareness.</w:t>
      </w:r>
      <w:r w:rsidRPr="00A9651F">
        <w:rPr>
          <w:rFonts w:ascii="Times New Roman" w:hAnsi="Times New Roman" w:cs="Times New Roman"/>
          <w:sz w:val="24"/>
          <w:szCs w:val="24"/>
        </w:rPr>
        <w:t xml:space="preserve"> Sustainability, 16(3), 1153.</w:t>
      </w:r>
    </w:p>
    <w:sectPr w:rsidR="00A60057" w:rsidRPr="00A9651F" w:rsidSect="00462C52">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2A195B5" w14:textId="77777777" w:rsidR="0056082C" w:rsidRDefault="0056082C" w:rsidP="00B22C89">
      <w:pPr>
        <w:spacing w:after="0" w:line="240" w:lineRule="auto"/>
      </w:pPr>
      <w:r>
        <w:separator/>
      </w:r>
    </w:p>
  </w:endnote>
  <w:endnote w:type="continuationSeparator" w:id="0">
    <w:p w14:paraId="60021994" w14:textId="77777777" w:rsidR="0056082C" w:rsidRDefault="0056082C" w:rsidP="00B22C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D110C9" w14:textId="77777777" w:rsidR="00B22C89" w:rsidRDefault="00B22C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88D6B47" w14:textId="77777777" w:rsidR="00B22C89" w:rsidRDefault="00B22C8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9AFE87A" w14:textId="77777777" w:rsidR="00B22C89" w:rsidRDefault="00B22C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00E0A5C" w14:textId="77777777" w:rsidR="0056082C" w:rsidRDefault="0056082C" w:rsidP="00B22C89">
      <w:pPr>
        <w:spacing w:after="0" w:line="240" w:lineRule="auto"/>
      </w:pPr>
      <w:r>
        <w:separator/>
      </w:r>
    </w:p>
  </w:footnote>
  <w:footnote w:type="continuationSeparator" w:id="0">
    <w:p w14:paraId="7421E6BF" w14:textId="77777777" w:rsidR="0056082C" w:rsidRDefault="0056082C" w:rsidP="00B22C8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0769AB" w14:textId="11C5D049" w:rsidR="00B22C89" w:rsidRDefault="00B22C89">
    <w:pPr>
      <w:pStyle w:val="Header"/>
    </w:pPr>
    <w:r>
      <w:rPr>
        <w:noProof/>
      </w:rPr>
      <w:pict w14:anchorId="745F943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7" o:spid="_x0000_s2050" type="#_x0000_t136" style="position:absolute;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411CA44" w14:textId="0A22A3A1" w:rsidR="00B22C89" w:rsidRDefault="00B22C89">
    <w:pPr>
      <w:pStyle w:val="Header"/>
    </w:pPr>
    <w:r>
      <w:rPr>
        <w:noProof/>
      </w:rPr>
      <w:pict w14:anchorId="3CA7BDA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8" o:spid="_x0000_s2051" type="#_x0000_t136" style="position:absolute;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CEE4D76" w14:textId="215ABB7F" w:rsidR="00B22C89" w:rsidRDefault="00B22C89">
    <w:pPr>
      <w:pStyle w:val="Header"/>
    </w:pPr>
    <w:r>
      <w:rPr>
        <w:noProof/>
      </w:rPr>
      <w:pict w14:anchorId="3457A4D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421457156" o:spid="_x0000_s2049" type="#_x0000_t136" style="position:absolute;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2A7571"/>
    <w:multiLevelType w:val="multilevel"/>
    <w:tmpl w:val="6A522F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8B423A"/>
    <w:multiLevelType w:val="multilevel"/>
    <w:tmpl w:val="B4466F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F531FD1"/>
    <w:multiLevelType w:val="multilevel"/>
    <w:tmpl w:val="9DA678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5464A22"/>
    <w:multiLevelType w:val="multilevel"/>
    <w:tmpl w:val="609CDF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D493596"/>
    <w:multiLevelType w:val="multilevel"/>
    <w:tmpl w:val="0C44F1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1765706"/>
    <w:multiLevelType w:val="multilevel"/>
    <w:tmpl w:val="AFE436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57C44C4"/>
    <w:multiLevelType w:val="multilevel"/>
    <w:tmpl w:val="C43A65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369D6083"/>
    <w:multiLevelType w:val="multilevel"/>
    <w:tmpl w:val="B82E5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80B2DBF"/>
    <w:multiLevelType w:val="multilevel"/>
    <w:tmpl w:val="6818C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3AD84021"/>
    <w:multiLevelType w:val="multilevel"/>
    <w:tmpl w:val="F1C490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3F26EC2"/>
    <w:multiLevelType w:val="multilevel"/>
    <w:tmpl w:val="8E3E51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446B6CCE"/>
    <w:multiLevelType w:val="multilevel"/>
    <w:tmpl w:val="C6CE8A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DB21E4"/>
    <w:multiLevelType w:val="multilevel"/>
    <w:tmpl w:val="9EA6B6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7467A1D"/>
    <w:multiLevelType w:val="multilevel"/>
    <w:tmpl w:val="0136AD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4B472639"/>
    <w:multiLevelType w:val="multilevel"/>
    <w:tmpl w:val="4AF87C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5F3A0933"/>
    <w:multiLevelType w:val="multilevel"/>
    <w:tmpl w:val="45A429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1401E02"/>
    <w:multiLevelType w:val="multilevel"/>
    <w:tmpl w:val="B90462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7062C0A"/>
    <w:multiLevelType w:val="multilevel"/>
    <w:tmpl w:val="7A6E63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6D6A4A6C"/>
    <w:multiLevelType w:val="multilevel"/>
    <w:tmpl w:val="B98221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77EB55F6"/>
    <w:multiLevelType w:val="multilevel"/>
    <w:tmpl w:val="0E60B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7"/>
  </w:num>
  <w:num w:numId="4">
    <w:abstractNumId w:val="16"/>
  </w:num>
  <w:num w:numId="5">
    <w:abstractNumId w:val="4"/>
  </w:num>
  <w:num w:numId="6">
    <w:abstractNumId w:val="17"/>
  </w:num>
  <w:num w:numId="7">
    <w:abstractNumId w:val="12"/>
  </w:num>
  <w:num w:numId="8">
    <w:abstractNumId w:val="15"/>
  </w:num>
  <w:num w:numId="9">
    <w:abstractNumId w:val="5"/>
  </w:num>
  <w:num w:numId="10">
    <w:abstractNumId w:val="9"/>
  </w:num>
  <w:num w:numId="11">
    <w:abstractNumId w:val="6"/>
  </w:num>
  <w:num w:numId="12">
    <w:abstractNumId w:val="0"/>
  </w:num>
  <w:num w:numId="13">
    <w:abstractNumId w:val="13"/>
  </w:num>
  <w:num w:numId="14">
    <w:abstractNumId w:val="11"/>
  </w:num>
  <w:num w:numId="15">
    <w:abstractNumId w:val="1"/>
  </w:num>
  <w:num w:numId="16">
    <w:abstractNumId w:val="18"/>
  </w:num>
  <w:num w:numId="17">
    <w:abstractNumId w:val="8"/>
  </w:num>
  <w:num w:numId="18">
    <w:abstractNumId w:val="10"/>
  </w:num>
  <w:num w:numId="19">
    <w:abstractNumId w:val="2"/>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4"/>
  <w:proofState w:spelling="clean" w:grammar="clean"/>
  <w:defaultTabStop w:val="720"/>
  <w:drawingGridHorizontalSpacing w:val="120"/>
  <w:displayHorizontalDrawingGridEvery w:val="2"/>
  <w:displayVerticalDrawingGridEvery w:val="2"/>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4473"/>
    <w:rsid w:val="001147F2"/>
    <w:rsid w:val="001F5F7A"/>
    <w:rsid w:val="002541EF"/>
    <w:rsid w:val="003377A7"/>
    <w:rsid w:val="00462C52"/>
    <w:rsid w:val="00532AB6"/>
    <w:rsid w:val="005371F2"/>
    <w:rsid w:val="00553162"/>
    <w:rsid w:val="0056082C"/>
    <w:rsid w:val="0065547E"/>
    <w:rsid w:val="006614C8"/>
    <w:rsid w:val="006936EF"/>
    <w:rsid w:val="00695608"/>
    <w:rsid w:val="006E21E5"/>
    <w:rsid w:val="007E0EA4"/>
    <w:rsid w:val="008A1375"/>
    <w:rsid w:val="00925BA1"/>
    <w:rsid w:val="009D77D1"/>
    <w:rsid w:val="00A24EDB"/>
    <w:rsid w:val="00A60057"/>
    <w:rsid w:val="00AD0270"/>
    <w:rsid w:val="00B22C89"/>
    <w:rsid w:val="00B33026"/>
    <w:rsid w:val="00B6069A"/>
    <w:rsid w:val="00B835DC"/>
    <w:rsid w:val="00BC0A48"/>
    <w:rsid w:val="00BD7C6A"/>
    <w:rsid w:val="00D60B95"/>
    <w:rsid w:val="00EE1C03"/>
    <w:rsid w:val="00F66183"/>
    <w:rsid w:val="00FB6A26"/>
    <w:rsid w:val="00FC5F27"/>
    <w:rsid w:val="00FE4473"/>
    <w:rsid w:val="00FF707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4:docId w14:val="20275780"/>
  <w15:chartTrackingRefBased/>
  <w15:docId w15:val="{1722ED33-1748-4FA7-8470-A187A08A79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E447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FE447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FE4473"/>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FE4473"/>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FE4473"/>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FE447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E447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E447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E447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E4473"/>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FE4473"/>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FE4473"/>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FE4473"/>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FE4473"/>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FE447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E447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E447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E4473"/>
    <w:rPr>
      <w:rFonts w:eastAsiaTheme="majorEastAsia" w:cstheme="majorBidi"/>
      <w:color w:val="272727" w:themeColor="text1" w:themeTint="D8"/>
    </w:rPr>
  </w:style>
  <w:style w:type="paragraph" w:styleId="Title">
    <w:name w:val="Title"/>
    <w:basedOn w:val="Normal"/>
    <w:next w:val="Normal"/>
    <w:link w:val="TitleChar"/>
    <w:uiPriority w:val="10"/>
    <w:qFormat/>
    <w:rsid w:val="00FE447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E447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E447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E447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E4473"/>
    <w:pPr>
      <w:spacing w:before="160"/>
      <w:jc w:val="center"/>
    </w:pPr>
    <w:rPr>
      <w:i/>
      <w:iCs/>
      <w:color w:val="404040" w:themeColor="text1" w:themeTint="BF"/>
    </w:rPr>
  </w:style>
  <w:style w:type="character" w:customStyle="1" w:styleId="QuoteChar">
    <w:name w:val="Quote Char"/>
    <w:basedOn w:val="DefaultParagraphFont"/>
    <w:link w:val="Quote"/>
    <w:uiPriority w:val="29"/>
    <w:rsid w:val="00FE4473"/>
    <w:rPr>
      <w:i/>
      <w:iCs/>
      <w:color w:val="404040" w:themeColor="text1" w:themeTint="BF"/>
    </w:rPr>
  </w:style>
  <w:style w:type="paragraph" w:styleId="ListParagraph">
    <w:name w:val="List Paragraph"/>
    <w:basedOn w:val="Normal"/>
    <w:uiPriority w:val="34"/>
    <w:qFormat/>
    <w:rsid w:val="00FE4473"/>
    <w:pPr>
      <w:ind w:left="720"/>
      <w:contextualSpacing/>
    </w:pPr>
  </w:style>
  <w:style w:type="character" w:styleId="IntenseEmphasis">
    <w:name w:val="Intense Emphasis"/>
    <w:basedOn w:val="DefaultParagraphFont"/>
    <w:uiPriority w:val="21"/>
    <w:qFormat/>
    <w:rsid w:val="00FE4473"/>
    <w:rPr>
      <w:i/>
      <w:iCs/>
      <w:color w:val="2F5496" w:themeColor="accent1" w:themeShade="BF"/>
    </w:rPr>
  </w:style>
  <w:style w:type="paragraph" w:styleId="IntenseQuote">
    <w:name w:val="Intense Quote"/>
    <w:basedOn w:val="Normal"/>
    <w:next w:val="Normal"/>
    <w:link w:val="IntenseQuoteChar"/>
    <w:uiPriority w:val="30"/>
    <w:qFormat/>
    <w:rsid w:val="00FE447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FE4473"/>
    <w:rPr>
      <w:i/>
      <w:iCs/>
      <w:color w:val="2F5496" w:themeColor="accent1" w:themeShade="BF"/>
    </w:rPr>
  </w:style>
  <w:style w:type="character" w:styleId="IntenseReference">
    <w:name w:val="Intense Reference"/>
    <w:basedOn w:val="DefaultParagraphFont"/>
    <w:uiPriority w:val="32"/>
    <w:qFormat/>
    <w:rsid w:val="00FE4473"/>
    <w:rPr>
      <w:b/>
      <w:bCs/>
      <w:smallCaps/>
      <w:color w:val="2F5496" w:themeColor="accent1" w:themeShade="BF"/>
      <w:spacing w:val="5"/>
    </w:rPr>
  </w:style>
  <w:style w:type="character" w:styleId="Hyperlink">
    <w:name w:val="Hyperlink"/>
    <w:basedOn w:val="DefaultParagraphFont"/>
    <w:uiPriority w:val="99"/>
    <w:unhideWhenUsed/>
    <w:rsid w:val="00FE4473"/>
    <w:rPr>
      <w:color w:val="0563C1" w:themeColor="hyperlink"/>
      <w:u w:val="single"/>
    </w:rPr>
  </w:style>
  <w:style w:type="character" w:styleId="UnresolvedMention">
    <w:name w:val="Unresolved Mention"/>
    <w:basedOn w:val="DefaultParagraphFont"/>
    <w:uiPriority w:val="99"/>
    <w:semiHidden/>
    <w:unhideWhenUsed/>
    <w:rsid w:val="00FE4473"/>
    <w:rPr>
      <w:color w:val="605E5C"/>
      <w:shd w:val="clear" w:color="auto" w:fill="E1DFDD"/>
    </w:rPr>
  </w:style>
  <w:style w:type="paragraph" w:styleId="Header">
    <w:name w:val="header"/>
    <w:basedOn w:val="Normal"/>
    <w:link w:val="HeaderChar"/>
    <w:uiPriority w:val="99"/>
    <w:unhideWhenUsed/>
    <w:rsid w:val="00B22C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B22C89"/>
  </w:style>
  <w:style w:type="paragraph" w:styleId="Footer">
    <w:name w:val="footer"/>
    <w:basedOn w:val="Normal"/>
    <w:link w:val="FooterChar"/>
    <w:uiPriority w:val="99"/>
    <w:unhideWhenUsed/>
    <w:rsid w:val="00B22C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B22C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6803206">
      <w:bodyDiv w:val="1"/>
      <w:marLeft w:val="0"/>
      <w:marRight w:val="0"/>
      <w:marTop w:val="0"/>
      <w:marBottom w:val="0"/>
      <w:divBdr>
        <w:top w:val="none" w:sz="0" w:space="0" w:color="auto"/>
        <w:left w:val="none" w:sz="0" w:space="0" w:color="auto"/>
        <w:bottom w:val="none" w:sz="0" w:space="0" w:color="auto"/>
        <w:right w:val="none" w:sz="0" w:space="0" w:color="auto"/>
      </w:divBdr>
    </w:div>
    <w:div w:id="55785116">
      <w:bodyDiv w:val="1"/>
      <w:marLeft w:val="0"/>
      <w:marRight w:val="0"/>
      <w:marTop w:val="0"/>
      <w:marBottom w:val="0"/>
      <w:divBdr>
        <w:top w:val="none" w:sz="0" w:space="0" w:color="auto"/>
        <w:left w:val="none" w:sz="0" w:space="0" w:color="auto"/>
        <w:bottom w:val="none" w:sz="0" w:space="0" w:color="auto"/>
        <w:right w:val="none" w:sz="0" w:space="0" w:color="auto"/>
      </w:divBdr>
    </w:div>
    <w:div w:id="104927979">
      <w:bodyDiv w:val="1"/>
      <w:marLeft w:val="0"/>
      <w:marRight w:val="0"/>
      <w:marTop w:val="0"/>
      <w:marBottom w:val="0"/>
      <w:divBdr>
        <w:top w:val="none" w:sz="0" w:space="0" w:color="auto"/>
        <w:left w:val="none" w:sz="0" w:space="0" w:color="auto"/>
        <w:bottom w:val="none" w:sz="0" w:space="0" w:color="auto"/>
        <w:right w:val="none" w:sz="0" w:space="0" w:color="auto"/>
      </w:divBdr>
    </w:div>
    <w:div w:id="182548704">
      <w:bodyDiv w:val="1"/>
      <w:marLeft w:val="0"/>
      <w:marRight w:val="0"/>
      <w:marTop w:val="0"/>
      <w:marBottom w:val="0"/>
      <w:divBdr>
        <w:top w:val="none" w:sz="0" w:space="0" w:color="auto"/>
        <w:left w:val="none" w:sz="0" w:space="0" w:color="auto"/>
        <w:bottom w:val="none" w:sz="0" w:space="0" w:color="auto"/>
        <w:right w:val="none" w:sz="0" w:space="0" w:color="auto"/>
      </w:divBdr>
      <w:divsChild>
        <w:div w:id="1802845197">
          <w:blockQuote w:val="1"/>
          <w:marLeft w:val="720"/>
          <w:marRight w:val="720"/>
          <w:marTop w:val="100"/>
          <w:marBottom w:val="100"/>
          <w:divBdr>
            <w:top w:val="none" w:sz="0" w:space="0" w:color="auto"/>
            <w:left w:val="none" w:sz="0" w:space="0" w:color="auto"/>
            <w:bottom w:val="none" w:sz="0" w:space="0" w:color="auto"/>
            <w:right w:val="none" w:sz="0" w:space="0" w:color="auto"/>
          </w:divBdr>
        </w:div>
        <w:div w:id="1589383772">
          <w:blockQuote w:val="1"/>
          <w:marLeft w:val="720"/>
          <w:marRight w:val="720"/>
          <w:marTop w:val="100"/>
          <w:marBottom w:val="100"/>
          <w:divBdr>
            <w:top w:val="none" w:sz="0" w:space="0" w:color="auto"/>
            <w:left w:val="none" w:sz="0" w:space="0" w:color="auto"/>
            <w:bottom w:val="none" w:sz="0" w:space="0" w:color="auto"/>
            <w:right w:val="none" w:sz="0" w:space="0" w:color="auto"/>
          </w:divBdr>
        </w:div>
        <w:div w:id="1810633504">
          <w:blockQuote w:val="1"/>
          <w:marLeft w:val="720"/>
          <w:marRight w:val="720"/>
          <w:marTop w:val="100"/>
          <w:marBottom w:val="100"/>
          <w:divBdr>
            <w:top w:val="none" w:sz="0" w:space="0" w:color="auto"/>
            <w:left w:val="none" w:sz="0" w:space="0" w:color="auto"/>
            <w:bottom w:val="none" w:sz="0" w:space="0" w:color="auto"/>
            <w:right w:val="none" w:sz="0" w:space="0" w:color="auto"/>
          </w:divBdr>
        </w:div>
        <w:div w:id="1153908679">
          <w:blockQuote w:val="1"/>
          <w:marLeft w:val="720"/>
          <w:marRight w:val="720"/>
          <w:marTop w:val="100"/>
          <w:marBottom w:val="100"/>
          <w:divBdr>
            <w:top w:val="none" w:sz="0" w:space="0" w:color="auto"/>
            <w:left w:val="none" w:sz="0" w:space="0" w:color="auto"/>
            <w:bottom w:val="none" w:sz="0" w:space="0" w:color="auto"/>
            <w:right w:val="none" w:sz="0" w:space="0" w:color="auto"/>
          </w:divBdr>
        </w:div>
        <w:div w:id="1065377054">
          <w:blockQuote w:val="1"/>
          <w:marLeft w:val="720"/>
          <w:marRight w:val="720"/>
          <w:marTop w:val="100"/>
          <w:marBottom w:val="100"/>
          <w:divBdr>
            <w:top w:val="none" w:sz="0" w:space="0" w:color="auto"/>
            <w:left w:val="none" w:sz="0" w:space="0" w:color="auto"/>
            <w:bottom w:val="none" w:sz="0" w:space="0" w:color="auto"/>
            <w:right w:val="none" w:sz="0" w:space="0" w:color="auto"/>
          </w:divBdr>
        </w:div>
        <w:div w:id="1769227402">
          <w:blockQuote w:val="1"/>
          <w:marLeft w:val="720"/>
          <w:marRight w:val="720"/>
          <w:marTop w:val="100"/>
          <w:marBottom w:val="100"/>
          <w:divBdr>
            <w:top w:val="none" w:sz="0" w:space="0" w:color="auto"/>
            <w:left w:val="none" w:sz="0" w:space="0" w:color="auto"/>
            <w:bottom w:val="none" w:sz="0" w:space="0" w:color="auto"/>
            <w:right w:val="none" w:sz="0" w:space="0" w:color="auto"/>
          </w:divBdr>
        </w:div>
        <w:div w:id="136411052">
          <w:blockQuote w:val="1"/>
          <w:marLeft w:val="720"/>
          <w:marRight w:val="720"/>
          <w:marTop w:val="100"/>
          <w:marBottom w:val="100"/>
          <w:divBdr>
            <w:top w:val="none" w:sz="0" w:space="0" w:color="auto"/>
            <w:left w:val="none" w:sz="0" w:space="0" w:color="auto"/>
            <w:bottom w:val="none" w:sz="0" w:space="0" w:color="auto"/>
            <w:right w:val="none" w:sz="0" w:space="0" w:color="auto"/>
          </w:divBdr>
        </w:div>
        <w:div w:id="482312104">
          <w:blockQuote w:val="1"/>
          <w:marLeft w:val="720"/>
          <w:marRight w:val="720"/>
          <w:marTop w:val="100"/>
          <w:marBottom w:val="100"/>
          <w:divBdr>
            <w:top w:val="none" w:sz="0" w:space="0" w:color="auto"/>
            <w:left w:val="none" w:sz="0" w:space="0" w:color="auto"/>
            <w:bottom w:val="none" w:sz="0" w:space="0" w:color="auto"/>
            <w:right w:val="none" w:sz="0" w:space="0" w:color="auto"/>
          </w:divBdr>
        </w:div>
        <w:div w:id="147670301">
          <w:blockQuote w:val="1"/>
          <w:marLeft w:val="720"/>
          <w:marRight w:val="720"/>
          <w:marTop w:val="100"/>
          <w:marBottom w:val="100"/>
          <w:divBdr>
            <w:top w:val="none" w:sz="0" w:space="0" w:color="auto"/>
            <w:left w:val="none" w:sz="0" w:space="0" w:color="auto"/>
            <w:bottom w:val="none" w:sz="0" w:space="0" w:color="auto"/>
            <w:right w:val="none" w:sz="0" w:space="0" w:color="auto"/>
          </w:divBdr>
        </w:div>
        <w:div w:id="356590010">
          <w:blockQuote w:val="1"/>
          <w:marLeft w:val="720"/>
          <w:marRight w:val="720"/>
          <w:marTop w:val="100"/>
          <w:marBottom w:val="100"/>
          <w:divBdr>
            <w:top w:val="none" w:sz="0" w:space="0" w:color="auto"/>
            <w:left w:val="none" w:sz="0" w:space="0" w:color="auto"/>
            <w:bottom w:val="none" w:sz="0" w:space="0" w:color="auto"/>
            <w:right w:val="none" w:sz="0" w:space="0" w:color="auto"/>
          </w:divBdr>
        </w:div>
        <w:div w:id="2079790363">
          <w:blockQuote w:val="1"/>
          <w:marLeft w:val="720"/>
          <w:marRight w:val="720"/>
          <w:marTop w:val="100"/>
          <w:marBottom w:val="100"/>
          <w:divBdr>
            <w:top w:val="none" w:sz="0" w:space="0" w:color="auto"/>
            <w:left w:val="none" w:sz="0" w:space="0" w:color="auto"/>
            <w:bottom w:val="none" w:sz="0" w:space="0" w:color="auto"/>
            <w:right w:val="none" w:sz="0" w:space="0" w:color="auto"/>
          </w:divBdr>
        </w:div>
        <w:div w:id="118767047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07954913">
      <w:bodyDiv w:val="1"/>
      <w:marLeft w:val="0"/>
      <w:marRight w:val="0"/>
      <w:marTop w:val="0"/>
      <w:marBottom w:val="0"/>
      <w:divBdr>
        <w:top w:val="none" w:sz="0" w:space="0" w:color="auto"/>
        <w:left w:val="none" w:sz="0" w:space="0" w:color="auto"/>
        <w:bottom w:val="none" w:sz="0" w:space="0" w:color="auto"/>
        <w:right w:val="none" w:sz="0" w:space="0" w:color="auto"/>
      </w:divBdr>
    </w:div>
    <w:div w:id="235626954">
      <w:bodyDiv w:val="1"/>
      <w:marLeft w:val="0"/>
      <w:marRight w:val="0"/>
      <w:marTop w:val="0"/>
      <w:marBottom w:val="0"/>
      <w:divBdr>
        <w:top w:val="none" w:sz="0" w:space="0" w:color="auto"/>
        <w:left w:val="none" w:sz="0" w:space="0" w:color="auto"/>
        <w:bottom w:val="none" w:sz="0" w:space="0" w:color="auto"/>
        <w:right w:val="none" w:sz="0" w:space="0" w:color="auto"/>
      </w:divBdr>
    </w:div>
    <w:div w:id="246236294">
      <w:bodyDiv w:val="1"/>
      <w:marLeft w:val="0"/>
      <w:marRight w:val="0"/>
      <w:marTop w:val="0"/>
      <w:marBottom w:val="0"/>
      <w:divBdr>
        <w:top w:val="none" w:sz="0" w:space="0" w:color="auto"/>
        <w:left w:val="none" w:sz="0" w:space="0" w:color="auto"/>
        <w:bottom w:val="none" w:sz="0" w:space="0" w:color="auto"/>
        <w:right w:val="none" w:sz="0" w:space="0" w:color="auto"/>
      </w:divBdr>
      <w:divsChild>
        <w:div w:id="518008341">
          <w:blockQuote w:val="1"/>
          <w:marLeft w:val="720"/>
          <w:marRight w:val="720"/>
          <w:marTop w:val="100"/>
          <w:marBottom w:val="100"/>
          <w:divBdr>
            <w:top w:val="none" w:sz="0" w:space="0" w:color="auto"/>
            <w:left w:val="none" w:sz="0" w:space="0" w:color="auto"/>
            <w:bottom w:val="none" w:sz="0" w:space="0" w:color="auto"/>
            <w:right w:val="none" w:sz="0" w:space="0" w:color="auto"/>
          </w:divBdr>
        </w:div>
        <w:div w:id="1786532676">
          <w:blockQuote w:val="1"/>
          <w:marLeft w:val="720"/>
          <w:marRight w:val="720"/>
          <w:marTop w:val="100"/>
          <w:marBottom w:val="100"/>
          <w:divBdr>
            <w:top w:val="none" w:sz="0" w:space="0" w:color="auto"/>
            <w:left w:val="none" w:sz="0" w:space="0" w:color="auto"/>
            <w:bottom w:val="none" w:sz="0" w:space="0" w:color="auto"/>
            <w:right w:val="none" w:sz="0" w:space="0" w:color="auto"/>
          </w:divBdr>
        </w:div>
        <w:div w:id="1959294183">
          <w:blockQuote w:val="1"/>
          <w:marLeft w:val="720"/>
          <w:marRight w:val="720"/>
          <w:marTop w:val="100"/>
          <w:marBottom w:val="100"/>
          <w:divBdr>
            <w:top w:val="none" w:sz="0" w:space="0" w:color="auto"/>
            <w:left w:val="none" w:sz="0" w:space="0" w:color="auto"/>
            <w:bottom w:val="none" w:sz="0" w:space="0" w:color="auto"/>
            <w:right w:val="none" w:sz="0" w:space="0" w:color="auto"/>
          </w:divBdr>
        </w:div>
        <w:div w:id="1683969351">
          <w:blockQuote w:val="1"/>
          <w:marLeft w:val="720"/>
          <w:marRight w:val="720"/>
          <w:marTop w:val="100"/>
          <w:marBottom w:val="100"/>
          <w:divBdr>
            <w:top w:val="none" w:sz="0" w:space="0" w:color="auto"/>
            <w:left w:val="none" w:sz="0" w:space="0" w:color="auto"/>
            <w:bottom w:val="none" w:sz="0" w:space="0" w:color="auto"/>
            <w:right w:val="none" w:sz="0" w:space="0" w:color="auto"/>
          </w:divBdr>
        </w:div>
        <w:div w:id="357465343">
          <w:blockQuote w:val="1"/>
          <w:marLeft w:val="720"/>
          <w:marRight w:val="720"/>
          <w:marTop w:val="100"/>
          <w:marBottom w:val="100"/>
          <w:divBdr>
            <w:top w:val="none" w:sz="0" w:space="0" w:color="auto"/>
            <w:left w:val="none" w:sz="0" w:space="0" w:color="auto"/>
            <w:bottom w:val="none" w:sz="0" w:space="0" w:color="auto"/>
            <w:right w:val="none" w:sz="0" w:space="0" w:color="auto"/>
          </w:divBdr>
        </w:div>
        <w:div w:id="1878011026">
          <w:blockQuote w:val="1"/>
          <w:marLeft w:val="720"/>
          <w:marRight w:val="720"/>
          <w:marTop w:val="100"/>
          <w:marBottom w:val="100"/>
          <w:divBdr>
            <w:top w:val="none" w:sz="0" w:space="0" w:color="auto"/>
            <w:left w:val="none" w:sz="0" w:space="0" w:color="auto"/>
            <w:bottom w:val="none" w:sz="0" w:space="0" w:color="auto"/>
            <w:right w:val="none" w:sz="0" w:space="0" w:color="auto"/>
          </w:divBdr>
        </w:div>
        <w:div w:id="2129930123">
          <w:blockQuote w:val="1"/>
          <w:marLeft w:val="720"/>
          <w:marRight w:val="720"/>
          <w:marTop w:val="100"/>
          <w:marBottom w:val="100"/>
          <w:divBdr>
            <w:top w:val="none" w:sz="0" w:space="0" w:color="auto"/>
            <w:left w:val="none" w:sz="0" w:space="0" w:color="auto"/>
            <w:bottom w:val="none" w:sz="0" w:space="0" w:color="auto"/>
            <w:right w:val="none" w:sz="0" w:space="0" w:color="auto"/>
          </w:divBdr>
        </w:div>
        <w:div w:id="198470578">
          <w:blockQuote w:val="1"/>
          <w:marLeft w:val="720"/>
          <w:marRight w:val="720"/>
          <w:marTop w:val="100"/>
          <w:marBottom w:val="100"/>
          <w:divBdr>
            <w:top w:val="none" w:sz="0" w:space="0" w:color="auto"/>
            <w:left w:val="none" w:sz="0" w:space="0" w:color="auto"/>
            <w:bottom w:val="none" w:sz="0" w:space="0" w:color="auto"/>
            <w:right w:val="none" w:sz="0" w:space="0" w:color="auto"/>
          </w:divBdr>
        </w:div>
        <w:div w:id="710686466">
          <w:blockQuote w:val="1"/>
          <w:marLeft w:val="720"/>
          <w:marRight w:val="720"/>
          <w:marTop w:val="100"/>
          <w:marBottom w:val="100"/>
          <w:divBdr>
            <w:top w:val="none" w:sz="0" w:space="0" w:color="auto"/>
            <w:left w:val="none" w:sz="0" w:space="0" w:color="auto"/>
            <w:bottom w:val="none" w:sz="0" w:space="0" w:color="auto"/>
            <w:right w:val="none" w:sz="0" w:space="0" w:color="auto"/>
          </w:divBdr>
        </w:div>
        <w:div w:id="1506289461">
          <w:blockQuote w:val="1"/>
          <w:marLeft w:val="720"/>
          <w:marRight w:val="720"/>
          <w:marTop w:val="100"/>
          <w:marBottom w:val="100"/>
          <w:divBdr>
            <w:top w:val="none" w:sz="0" w:space="0" w:color="auto"/>
            <w:left w:val="none" w:sz="0" w:space="0" w:color="auto"/>
            <w:bottom w:val="none" w:sz="0" w:space="0" w:color="auto"/>
            <w:right w:val="none" w:sz="0" w:space="0" w:color="auto"/>
          </w:divBdr>
        </w:div>
        <w:div w:id="1019967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673490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247080424">
      <w:bodyDiv w:val="1"/>
      <w:marLeft w:val="0"/>
      <w:marRight w:val="0"/>
      <w:marTop w:val="0"/>
      <w:marBottom w:val="0"/>
      <w:divBdr>
        <w:top w:val="none" w:sz="0" w:space="0" w:color="auto"/>
        <w:left w:val="none" w:sz="0" w:space="0" w:color="auto"/>
        <w:bottom w:val="none" w:sz="0" w:space="0" w:color="auto"/>
        <w:right w:val="none" w:sz="0" w:space="0" w:color="auto"/>
      </w:divBdr>
    </w:div>
    <w:div w:id="316301548">
      <w:bodyDiv w:val="1"/>
      <w:marLeft w:val="0"/>
      <w:marRight w:val="0"/>
      <w:marTop w:val="0"/>
      <w:marBottom w:val="0"/>
      <w:divBdr>
        <w:top w:val="none" w:sz="0" w:space="0" w:color="auto"/>
        <w:left w:val="none" w:sz="0" w:space="0" w:color="auto"/>
        <w:bottom w:val="none" w:sz="0" w:space="0" w:color="auto"/>
        <w:right w:val="none" w:sz="0" w:space="0" w:color="auto"/>
      </w:divBdr>
    </w:div>
    <w:div w:id="350959079">
      <w:bodyDiv w:val="1"/>
      <w:marLeft w:val="0"/>
      <w:marRight w:val="0"/>
      <w:marTop w:val="0"/>
      <w:marBottom w:val="0"/>
      <w:divBdr>
        <w:top w:val="none" w:sz="0" w:space="0" w:color="auto"/>
        <w:left w:val="none" w:sz="0" w:space="0" w:color="auto"/>
        <w:bottom w:val="none" w:sz="0" w:space="0" w:color="auto"/>
        <w:right w:val="none" w:sz="0" w:space="0" w:color="auto"/>
      </w:divBdr>
    </w:div>
    <w:div w:id="467431751">
      <w:bodyDiv w:val="1"/>
      <w:marLeft w:val="0"/>
      <w:marRight w:val="0"/>
      <w:marTop w:val="0"/>
      <w:marBottom w:val="0"/>
      <w:divBdr>
        <w:top w:val="none" w:sz="0" w:space="0" w:color="auto"/>
        <w:left w:val="none" w:sz="0" w:space="0" w:color="auto"/>
        <w:bottom w:val="none" w:sz="0" w:space="0" w:color="auto"/>
        <w:right w:val="none" w:sz="0" w:space="0" w:color="auto"/>
      </w:divBdr>
    </w:div>
    <w:div w:id="595984727">
      <w:bodyDiv w:val="1"/>
      <w:marLeft w:val="0"/>
      <w:marRight w:val="0"/>
      <w:marTop w:val="0"/>
      <w:marBottom w:val="0"/>
      <w:divBdr>
        <w:top w:val="none" w:sz="0" w:space="0" w:color="auto"/>
        <w:left w:val="none" w:sz="0" w:space="0" w:color="auto"/>
        <w:bottom w:val="none" w:sz="0" w:space="0" w:color="auto"/>
        <w:right w:val="none" w:sz="0" w:space="0" w:color="auto"/>
      </w:divBdr>
    </w:div>
    <w:div w:id="637149416">
      <w:bodyDiv w:val="1"/>
      <w:marLeft w:val="0"/>
      <w:marRight w:val="0"/>
      <w:marTop w:val="0"/>
      <w:marBottom w:val="0"/>
      <w:divBdr>
        <w:top w:val="none" w:sz="0" w:space="0" w:color="auto"/>
        <w:left w:val="none" w:sz="0" w:space="0" w:color="auto"/>
        <w:bottom w:val="none" w:sz="0" w:space="0" w:color="auto"/>
        <w:right w:val="none" w:sz="0" w:space="0" w:color="auto"/>
      </w:divBdr>
    </w:div>
    <w:div w:id="645161819">
      <w:bodyDiv w:val="1"/>
      <w:marLeft w:val="0"/>
      <w:marRight w:val="0"/>
      <w:marTop w:val="0"/>
      <w:marBottom w:val="0"/>
      <w:divBdr>
        <w:top w:val="none" w:sz="0" w:space="0" w:color="auto"/>
        <w:left w:val="none" w:sz="0" w:space="0" w:color="auto"/>
        <w:bottom w:val="none" w:sz="0" w:space="0" w:color="auto"/>
        <w:right w:val="none" w:sz="0" w:space="0" w:color="auto"/>
      </w:divBdr>
    </w:div>
    <w:div w:id="735202909">
      <w:bodyDiv w:val="1"/>
      <w:marLeft w:val="0"/>
      <w:marRight w:val="0"/>
      <w:marTop w:val="0"/>
      <w:marBottom w:val="0"/>
      <w:divBdr>
        <w:top w:val="none" w:sz="0" w:space="0" w:color="auto"/>
        <w:left w:val="none" w:sz="0" w:space="0" w:color="auto"/>
        <w:bottom w:val="none" w:sz="0" w:space="0" w:color="auto"/>
        <w:right w:val="none" w:sz="0" w:space="0" w:color="auto"/>
      </w:divBdr>
    </w:div>
    <w:div w:id="748768617">
      <w:bodyDiv w:val="1"/>
      <w:marLeft w:val="0"/>
      <w:marRight w:val="0"/>
      <w:marTop w:val="0"/>
      <w:marBottom w:val="0"/>
      <w:divBdr>
        <w:top w:val="none" w:sz="0" w:space="0" w:color="auto"/>
        <w:left w:val="none" w:sz="0" w:space="0" w:color="auto"/>
        <w:bottom w:val="none" w:sz="0" w:space="0" w:color="auto"/>
        <w:right w:val="none" w:sz="0" w:space="0" w:color="auto"/>
      </w:divBdr>
    </w:div>
    <w:div w:id="796725003">
      <w:bodyDiv w:val="1"/>
      <w:marLeft w:val="0"/>
      <w:marRight w:val="0"/>
      <w:marTop w:val="0"/>
      <w:marBottom w:val="0"/>
      <w:divBdr>
        <w:top w:val="none" w:sz="0" w:space="0" w:color="auto"/>
        <w:left w:val="none" w:sz="0" w:space="0" w:color="auto"/>
        <w:bottom w:val="none" w:sz="0" w:space="0" w:color="auto"/>
        <w:right w:val="none" w:sz="0" w:space="0" w:color="auto"/>
      </w:divBdr>
      <w:divsChild>
        <w:div w:id="864103191">
          <w:marLeft w:val="0"/>
          <w:marRight w:val="0"/>
          <w:marTop w:val="0"/>
          <w:marBottom w:val="0"/>
          <w:divBdr>
            <w:top w:val="none" w:sz="0" w:space="0" w:color="auto"/>
            <w:left w:val="none" w:sz="0" w:space="0" w:color="auto"/>
            <w:bottom w:val="none" w:sz="0" w:space="0" w:color="auto"/>
            <w:right w:val="none" w:sz="0" w:space="0" w:color="auto"/>
          </w:divBdr>
        </w:div>
      </w:divsChild>
    </w:div>
    <w:div w:id="869802574">
      <w:bodyDiv w:val="1"/>
      <w:marLeft w:val="0"/>
      <w:marRight w:val="0"/>
      <w:marTop w:val="0"/>
      <w:marBottom w:val="0"/>
      <w:divBdr>
        <w:top w:val="none" w:sz="0" w:space="0" w:color="auto"/>
        <w:left w:val="none" w:sz="0" w:space="0" w:color="auto"/>
        <w:bottom w:val="none" w:sz="0" w:space="0" w:color="auto"/>
        <w:right w:val="none" w:sz="0" w:space="0" w:color="auto"/>
      </w:divBdr>
    </w:div>
    <w:div w:id="879586993">
      <w:bodyDiv w:val="1"/>
      <w:marLeft w:val="0"/>
      <w:marRight w:val="0"/>
      <w:marTop w:val="0"/>
      <w:marBottom w:val="0"/>
      <w:divBdr>
        <w:top w:val="none" w:sz="0" w:space="0" w:color="auto"/>
        <w:left w:val="none" w:sz="0" w:space="0" w:color="auto"/>
        <w:bottom w:val="none" w:sz="0" w:space="0" w:color="auto"/>
        <w:right w:val="none" w:sz="0" w:space="0" w:color="auto"/>
      </w:divBdr>
    </w:div>
    <w:div w:id="921451529">
      <w:bodyDiv w:val="1"/>
      <w:marLeft w:val="0"/>
      <w:marRight w:val="0"/>
      <w:marTop w:val="0"/>
      <w:marBottom w:val="0"/>
      <w:divBdr>
        <w:top w:val="none" w:sz="0" w:space="0" w:color="auto"/>
        <w:left w:val="none" w:sz="0" w:space="0" w:color="auto"/>
        <w:bottom w:val="none" w:sz="0" w:space="0" w:color="auto"/>
        <w:right w:val="none" w:sz="0" w:space="0" w:color="auto"/>
      </w:divBdr>
    </w:div>
    <w:div w:id="933900765">
      <w:bodyDiv w:val="1"/>
      <w:marLeft w:val="0"/>
      <w:marRight w:val="0"/>
      <w:marTop w:val="0"/>
      <w:marBottom w:val="0"/>
      <w:divBdr>
        <w:top w:val="none" w:sz="0" w:space="0" w:color="auto"/>
        <w:left w:val="none" w:sz="0" w:space="0" w:color="auto"/>
        <w:bottom w:val="none" w:sz="0" w:space="0" w:color="auto"/>
        <w:right w:val="none" w:sz="0" w:space="0" w:color="auto"/>
      </w:divBdr>
    </w:div>
    <w:div w:id="940839356">
      <w:bodyDiv w:val="1"/>
      <w:marLeft w:val="0"/>
      <w:marRight w:val="0"/>
      <w:marTop w:val="0"/>
      <w:marBottom w:val="0"/>
      <w:divBdr>
        <w:top w:val="none" w:sz="0" w:space="0" w:color="auto"/>
        <w:left w:val="none" w:sz="0" w:space="0" w:color="auto"/>
        <w:bottom w:val="none" w:sz="0" w:space="0" w:color="auto"/>
        <w:right w:val="none" w:sz="0" w:space="0" w:color="auto"/>
      </w:divBdr>
    </w:div>
    <w:div w:id="1439519203">
      <w:bodyDiv w:val="1"/>
      <w:marLeft w:val="0"/>
      <w:marRight w:val="0"/>
      <w:marTop w:val="0"/>
      <w:marBottom w:val="0"/>
      <w:divBdr>
        <w:top w:val="none" w:sz="0" w:space="0" w:color="auto"/>
        <w:left w:val="none" w:sz="0" w:space="0" w:color="auto"/>
        <w:bottom w:val="none" w:sz="0" w:space="0" w:color="auto"/>
        <w:right w:val="none" w:sz="0" w:space="0" w:color="auto"/>
      </w:divBdr>
    </w:div>
    <w:div w:id="1528133666">
      <w:bodyDiv w:val="1"/>
      <w:marLeft w:val="0"/>
      <w:marRight w:val="0"/>
      <w:marTop w:val="0"/>
      <w:marBottom w:val="0"/>
      <w:divBdr>
        <w:top w:val="none" w:sz="0" w:space="0" w:color="auto"/>
        <w:left w:val="none" w:sz="0" w:space="0" w:color="auto"/>
        <w:bottom w:val="none" w:sz="0" w:space="0" w:color="auto"/>
        <w:right w:val="none" w:sz="0" w:space="0" w:color="auto"/>
      </w:divBdr>
    </w:div>
    <w:div w:id="1555315668">
      <w:bodyDiv w:val="1"/>
      <w:marLeft w:val="0"/>
      <w:marRight w:val="0"/>
      <w:marTop w:val="0"/>
      <w:marBottom w:val="0"/>
      <w:divBdr>
        <w:top w:val="none" w:sz="0" w:space="0" w:color="auto"/>
        <w:left w:val="none" w:sz="0" w:space="0" w:color="auto"/>
        <w:bottom w:val="none" w:sz="0" w:space="0" w:color="auto"/>
        <w:right w:val="none" w:sz="0" w:space="0" w:color="auto"/>
      </w:divBdr>
    </w:div>
    <w:div w:id="1679044729">
      <w:bodyDiv w:val="1"/>
      <w:marLeft w:val="0"/>
      <w:marRight w:val="0"/>
      <w:marTop w:val="0"/>
      <w:marBottom w:val="0"/>
      <w:divBdr>
        <w:top w:val="none" w:sz="0" w:space="0" w:color="auto"/>
        <w:left w:val="none" w:sz="0" w:space="0" w:color="auto"/>
        <w:bottom w:val="none" w:sz="0" w:space="0" w:color="auto"/>
        <w:right w:val="none" w:sz="0" w:space="0" w:color="auto"/>
      </w:divBdr>
    </w:div>
    <w:div w:id="1697265549">
      <w:bodyDiv w:val="1"/>
      <w:marLeft w:val="0"/>
      <w:marRight w:val="0"/>
      <w:marTop w:val="0"/>
      <w:marBottom w:val="0"/>
      <w:divBdr>
        <w:top w:val="none" w:sz="0" w:space="0" w:color="auto"/>
        <w:left w:val="none" w:sz="0" w:space="0" w:color="auto"/>
        <w:bottom w:val="none" w:sz="0" w:space="0" w:color="auto"/>
        <w:right w:val="none" w:sz="0" w:space="0" w:color="auto"/>
      </w:divBdr>
      <w:divsChild>
        <w:div w:id="1606302540">
          <w:marLeft w:val="0"/>
          <w:marRight w:val="0"/>
          <w:marTop w:val="0"/>
          <w:marBottom w:val="0"/>
          <w:divBdr>
            <w:top w:val="none" w:sz="0" w:space="0" w:color="auto"/>
            <w:left w:val="none" w:sz="0" w:space="0" w:color="auto"/>
            <w:bottom w:val="none" w:sz="0" w:space="0" w:color="auto"/>
            <w:right w:val="none" w:sz="0" w:space="0" w:color="auto"/>
          </w:divBdr>
        </w:div>
      </w:divsChild>
    </w:div>
    <w:div w:id="1760906223">
      <w:bodyDiv w:val="1"/>
      <w:marLeft w:val="0"/>
      <w:marRight w:val="0"/>
      <w:marTop w:val="0"/>
      <w:marBottom w:val="0"/>
      <w:divBdr>
        <w:top w:val="none" w:sz="0" w:space="0" w:color="auto"/>
        <w:left w:val="none" w:sz="0" w:space="0" w:color="auto"/>
        <w:bottom w:val="none" w:sz="0" w:space="0" w:color="auto"/>
        <w:right w:val="none" w:sz="0" w:space="0" w:color="auto"/>
      </w:divBdr>
    </w:div>
    <w:div w:id="1789816151">
      <w:bodyDiv w:val="1"/>
      <w:marLeft w:val="0"/>
      <w:marRight w:val="0"/>
      <w:marTop w:val="0"/>
      <w:marBottom w:val="0"/>
      <w:divBdr>
        <w:top w:val="none" w:sz="0" w:space="0" w:color="auto"/>
        <w:left w:val="none" w:sz="0" w:space="0" w:color="auto"/>
        <w:bottom w:val="none" w:sz="0" w:space="0" w:color="auto"/>
        <w:right w:val="none" w:sz="0" w:space="0" w:color="auto"/>
      </w:divBdr>
    </w:div>
    <w:div w:id="1819607079">
      <w:bodyDiv w:val="1"/>
      <w:marLeft w:val="0"/>
      <w:marRight w:val="0"/>
      <w:marTop w:val="0"/>
      <w:marBottom w:val="0"/>
      <w:divBdr>
        <w:top w:val="none" w:sz="0" w:space="0" w:color="auto"/>
        <w:left w:val="none" w:sz="0" w:space="0" w:color="auto"/>
        <w:bottom w:val="none" w:sz="0" w:space="0" w:color="auto"/>
        <w:right w:val="none" w:sz="0" w:space="0" w:color="auto"/>
      </w:divBdr>
    </w:div>
    <w:div w:id="1836919270">
      <w:bodyDiv w:val="1"/>
      <w:marLeft w:val="0"/>
      <w:marRight w:val="0"/>
      <w:marTop w:val="0"/>
      <w:marBottom w:val="0"/>
      <w:divBdr>
        <w:top w:val="none" w:sz="0" w:space="0" w:color="auto"/>
        <w:left w:val="none" w:sz="0" w:space="0" w:color="auto"/>
        <w:bottom w:val="none" w:sz="0" w:space="0" w:color="auto"/>
        <w:right w:val="none" w:sz="0" w:space="0" w:color="auto"/>
      </w:divBdr>
    </w:div>
    <w:div w:id="1906453169">
      <w:bodyDiv w:val="1"/>
      <w:marLeft w:val="0"/>
      <w:marRight w:val="0"/>
      <w:marTop w:val="0"/>
      <w:marBottom w:val="0"/>
      <w:divBdr>
        <w:top w:val="none" w:sz="0" w:space="0" w:color="auto"/>
        <w:left w:val="none" w:sz="0" w:space="0" w:color="auto"/>
        <w:bottom w:val="none" w:sz="0" w:space="0" w:color="auto"/>
        <w:right w:val="none" w:sz="0" w:space="0" w:color="auto"/>
      </w:divBdr>
    </w:div>
    <w:div w:id="1913277071">
      <w:bodyDiv w:val="1"/>
      <w:marLeft w:val="0"/>
      <w:marRight w:val="0"/>
      <w:marTop w:val="0"/>
      <w:marBottom w:val="0"/>
      <w:divBdr>
        <w:top w:val="none" w:sz="0" w:space="0" w:color="auto"/>
        <w:left w:val="none" w:sz="0" w:space="0" w:color="auto"/>
        <w:bottom w:val="none" w:sz="0" w:space="0" w:color="auto"/>
        <w:right w:val="none" w:sz="0" w:space="0" w:color="auto"/>
      </w:divBdr>
    </w:div>
    <w:div w:id="1953508800">
      <w:bodyDiv w:val="1"/>
      <w:marLeft w:val="0"/>
      <w:marRight w:val="0"/>
      <w:marTop w:val="0"/>
      <w:marBottom w:val="0"/>
      <w:divBdr>
        <w:top w:val="none" w:sz="0" w:space="0" w:color="auto"/>
        <w:left w:val="none" w:sz="0" w:space="0" w:color="auto"/>
        <w:bottom w:val="none" w:sz="0" w:space="0" w:color="auto"/>
        <w:right w:val="none" w:sz="0" w:space="0" w:color="auto"/>
      </w:divBdr>
    </w:div>
    <w:div w:id="1971588033">
      <w:bodyDiv w:val="1"/>
      <w:marLeft w:val="0"/>
      <w:marRight w:val="0"/>
      <w:marTop w:val="0"/>
      <w:marBottom w:val="0"/>
      <w:divBdr>
        <w:top w:val="none" w:sz="0" w:space="0" w:color="auto"/>
        <w:left w:val="none" w:sz="0" w:space="0" w:color="auto"/>
        <w:bottom w:val="none" w:sz="0" w:space="0" w:color="auto"/>
        <w:right w:val="none" w:sz="0" w:space="0" w:color="auto"/>
      </w:divBdr>
    </w:div>
    <w:div w:id="1981350288">
      <w:bodyDiv w:val="1"/>
      <w:marLeft w:val="0"/>
      <w:marRight w:val="0"/>
      <w:marTop w:val="0"/>
      <w:marBottom w:val="0"/>
      <w:divBdr>
        <w:top w:val="none" w:sz="0" w:space="0" w:color="auto"/>
        <w:left w:val="none" w:sz="0" w:space="0" w:color="auto"/>
        <w:bottom w:val="none" w:sz="0" w:space="0" w:color="auto"/>
        <w:right w:val="none" w:sz="0" w:space="0" w:color="auto"/>
      </w:divBdr>
    </w:div>
    <w:div w:id="1988892942">
      <w:bodyDiv w:val="1"/>
      <w:marLeft w:val="0"/>
      <w:marRight w:val="0"/>
      <w:marTop w:val="0"/>
      <w:marBottom w:val="0"/>
      <w:divBdr>
        <w:top w:val="none" w:sz="0" w:space="0" w:color="auto"/>
        <w:left w:val="none" w:sz="0" w:space="0" w:color="auto"/>
        <w:bottom w:val="none" w:sz="0" w:space="0" w:color="auto"/>
        <w:right w:val="none" w:sz="0" w:space="0" w:color="auto"/>
      </w:divBdr>
    </w:div>
    <w:div w:id="1997875017">
      <w:bodyDiv w:val="1"/>
      <w:marLeft w:val="0"/>
      <w:marRight w:val="0"/>
      <w:marTop w:val="0"/>
      <w:marBottom w:val="0"/>
      <w:divBdr>
        <w:top w:val="none" w:sz="0" w:space="0" w:color="auto"/>
        <w:left w:val="none" w:sz="0" w:space="0" w:color="auto"/>
        <w:bottom w:val="none" w:sz="0" w:space="0" w:color="auto"/>
        <w:right w:val="none" w:sz="0" w:space="0" w:color="auto"/>
      </w:divBdr>
    </w:div>
    <w:div w:id="2037534653">
      <w:bodyDiv w:val="1"/>
      <w:marLeft w:val="0"/>
      <w:marRight w:val="0"/>
      <w:marTop w:val="0"/>
      <w:marBottom w:val="0"/>
      <w:divBdr>
        <w:top w:val="none" w:sz="0" w:space="0" w:color="auto"/>
        <w:left w:val="none" w:sz="0" w:space="0" w:color="auto"/>
        <w:bottom w:val="none" w:sz="0" w:space="0" w:color="auto"/>
        <w:right w:val="none" w:sz="0" w:space="0" w:color="auto"/>
      </w:divBdr>
    </w:div>
    <w:div w:id="2089497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75</TotalTime>
  <Pages>24</Pages>
  <Words>11168</Words>
  <Characters>63662</Characters>
  <Application>Microsoft Office Word</Application>
  <DocSecurity>0</DocSecurity>
  <Lines>530</Lines>
  <Paragraphs>149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74681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Mahadih</dc:creator>
  <cp:keywords/>
  <dc:description/>
  <cp:lastModifiedBy>SDI 1084</cp:lastModifiedBy>
  <cp:revision>19</cp:revision>
  <dcterms:created xsi:type="dcterms:W3CDTF">2025-10-15T17:58:00Z</dcterms:created>
  <dcterms:modified xsi:type="dcterms:W3CDTF">2025-11-10T07:40:00Z</dcterms:modified>
</cp:coreProperties>
</file>