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76A131" w14:textId="5522C095" w:rsidR="00ED0EF3" w:rsidRPr="00ED0EF3" w:rsidRDefault="00ED0EF3" w:rsidP="00ED0EF3">
      <w:pPr>
        <w:spacing w:line="276" w:lineRule="auto"/>
        <w:jc w:val="both"/>
        <w:rPr>
          <w:rFonts w:ascii="Times New Roman" w:hAnsi="Times New Roman" w:cs="Times New Roman"/>
          <w:b/>
          <w:bCs/>
          <w:u w:val="single"/>
        </w:rPr>
      </w:pPr>
      <w:bookmarkStart w:id="0" w:name="_Hlk199663491"/>
      <w:bookmarkStart w:id="1" w:name="_Hlk193470326"/>
      <w:r w:rsidRPr="00ED0EF3">
        <w:rPr>
          <w:rFonts w:ascii="Times New Roman" w:hAnsi="Times New Roman" w:cs="Times New Roman"/>
          <w:b/>
          <w:bCs/>
          <w:u w:val="single"/>
        </w:rPr>
        <w:t xml:space="preserve">Review Article </w:t>
      </w:r>
    </w:p>
    <w:p w14:paraId="0212A07C" w14:textId="77777777" w:rsidR="00ED0EF3" w:rsidRPr="00ED0EF3" w:rsidRDefault="00ED0EF3" w:rsidP="00ED0EF3">
      <w:pPr>
        <w:spacing w:line="276" w:lineRule="auto"/>
        <w:jc w:val="both"/>
        <w:rPr>
          <w:rFonts w:ascii="Times New Roman" w:hAnsi="Times New Roman" w:cs="Times New Roman"/>
          <w:b/>
          <w:bCs/>
        </w:rPr>
      </w:pPr>
      <w:r w:rsidRPr="00ED0EF3">
        <w:rPr>
          <w:rFonts w:ascii="Times New Roman" w:hAnsi="Times New Roman" w:cs="Times New Roman"/>
          <w:b/>
          <w:bCs/>
        </w:rPr>
        <w:t>Unmasking Renal Cell Carcinoma: A Comprehensive Review of Histological Signatures and Subtypes</w:t>
      </w:r>
    </w:p>
    <w:bookmarkEnd w:id="0"/>
    <w:p w14:paraId="359108B2" w14:textId="573A07DB" w:rsidR="00ED0EF3" w:rsidRDefault="00ED0EF3" w:rsidP="00ED0EF3">
      <w:pPr>
        <w:spacing w:line="276" w:lineRule="auto"/>
        <w:jc w:val="both"/>
        <w:rPr>
          <w:rFonts w:ascii="Times New Roman" w:hAnsi="Times New Roman" w:cs="Times New Roman"/>
          <w:b/>
          <w:bCs/>
        </w:rPr>
      </w:pPr>
    </w:p>
    <w:p w14:paraId="684C4E86" w14:textId="77777777" w:rsidR="002E6542" w:rsidRPr="00ED0EF3" w:rsidRDefault="002E6542" w:rsidP="00ED0EF3">
      <w:pPr>
        <w:spacing w:line="276" w:lineRule="auto"/>
        <w:jc w:val="both"/>
        <w:rPr>
          <w:rFonts w:ascii="Times New Roman" w:hAnsi="Times New Roman" w:cs="Times New Roman"/>
          <w:b/>
          <w:bCs/>
        </w:rPr>
      </w:pPr>
      <w:bookmarkStart w:id="2" w:name="_GoBack"/>
      <w:bookmarkEnd w:id="2"/>
    </w:p>
    <w:p w14:paraId="2A96585D" w14:textId="707F3BD5" w:rsidR="00EF2323" w:rsidRDefault="00EF2323" w:rsidP="00D05C74">
      <w:pPr>
        <w:spacing w:line="276" w:lineRule="auto"/>
        <w:jc w:val="both"/>
        <w:rPr>
          <w:rFonts w:ascii="Times New Roman" w:hAnsi="Times New Roman" w:cs="Times New Roman"/>
          <w:b/>
          <w:bCs/>
        </w:rPr>
      </w:pPr>
      <w:r>
        <w:rPr>
          <w:rFonts w:ascii="Times New Roman" w:hAnsi="Times New Roman" w:cs="Times New Roman"/>
          <w:b/>
          <w:bCs/>
        </w:rPr>
        <w:t xml:space="preserve">Abstract </w:t>
      </w:r>
    </w:p>
    <w:p w14:paraId="343C4510" w14:textId="73DE69CE" w:rsidR="00FF5CB7" w:rsidRDefault="002920F3" w:rsidP="00D05C74">
      <w:pPr>
        <w:spacing w:line="276" w:lineRule="auto"/>
        <w:jc w:val="both"/>
        <w:rPr>
          <w:rFonts w:ascii="Times New Roman" w:hAnsi="Times New Roman" w:cs="Times New Roman"/>
        </w:rPr>
      </w:pPr>
      <w:r w:rsidRPr="00A439F8">
        <w:rPr>
          <w:rFonts w:ascii="Times New Roman" w:hAnsi="Times New Roman" w:cs="Times New Roman"/>
        </w:rPr>
        <w:t>Renal cell carcinoma (RCC) is the most common type of kidney cancer, accounting for over 90% of adult renal cancers</w:t>
      </w:r>
      <w:r>
        <w:rPr>
          <w:rFonts w:ascii="Times New Roman" w:hAnsi="Times New Roman" w:cs="Times New Roman"/>
        </w:rPr>
        <w:t xml:space="preserve">. This review aimed </w:t>
      </w:r>
      <w:r w:rsidR="00F01D65">
        <w:rPr>
          <w:rFonts w:ascii="Times New Roman" w:hAnsi="Times New Roman" w:cs="Times New Roman"/>
        </w:rPr>
        <w:t>to explore</w:t>
      </w:r>
      <w:r>
        <w:rPr>
          <w:rFonts w:ascii="Times New Roman" w:hAnsi="Times New Roman" w:cs="Times New Roman"/>
        </w:rPr>
        <w:t xml:space="preserve"> renal cell carcinomas, classifications and histological identifications. </w:t>
      </w:r>
      <w:r w:rsidR="00F01D65" w:rsidRPr="00F01D65">
        <w:rPr>
          <w:rFonts w:ascii="Times New Roman" w:hAnsi="Times New Roman" w:cs="Times New Roman"/>
        </w:rPr>
        <w:t xml:space="preserve">Renal cell carcinoma (RCC) is a diverse group of kidney tumors and accounts for most adult kidney cancers. Its development is shaped by a combination of factors, including age, sex, lifestyle, and genetic changes. RCC is subtypes </w:t>
      </w:r>
      <w:r w:rsidR="00F01D65">
        <w:rPr>
          <w:rFonts w:ascii="Times New Roman" w:hAnsi="Times New Roman" w:cs="Times New Roman"/>
        </w:rPr>
        <w:t xml:space="preserve">as </w:t>
      </w:r>
      <w:r w:rsidR="00F01D65" w:rsidRPr="00F01D65">
        <w:rPr>
          <w:rFonts w:ascii="Times New Roman" w:hAnsi="Times New Roman" w:cs="Times New Roman"/>
        </w:rPr>
        <w:t xml:space="preserve">clear cell, papillary, chromophobe, and the rare collecting duct carcinoma </w:t>
      </w:r>
      <w:r w:rsidR="00F01D65">
        <w:rPr>
          <w:rFonts w:ascii="Times New Roman" w:hAnsi="Times New Roman" w:cs="Times New Roman"/>
        </w:rPr>
        <w:t xml:space="preserve">and </w:t>
      </w:r>
      <w:r w:rsidR="00F01D65" w:rsidRPr="00F01D65">
        <w:rPr>
          <w:rFonts w:ascii="Times New Roman" w:hAnsi="Times New Roman" w:cs="Times New Roman"/>
        </w:rPr>
        <w:t>each with its own unique features.</w:t>
      </w:r>
      <w:r w:rsidR="00F01D65">
        <w:rPr>
          <w:rFonts w:ascii="Times New Roman" w:hAnsi="Times New Roman" w:cs="Times New Roman"/>
        </w:rPr>
        <w:t xml:space="preserve"> A</w:t>
      </w:r>
      <w:r w:rsidR="00F01D65" w:rsidRPr="00F01D65">
        <w:rPr>
          <w:rFonts w:ascii="Times New Roman" w:hAnsi="Times New Roman" w:cs="Times New Roman"/>
        </w:rPr>
        <w:t>ccurate diagnosis depends on careful examination of tissue samples, both under the microscope and through immunohistochemical testing. Common stains like H&amp;E, PAS, Masson’s trichrome, and Feulgen help highlight key structures and cellular details. Immunohistochemical markers such as CK18, vimentin, PAX2, PAX8, and RCC antigen are critical tools for distinguishing RCC from other tumors. However, because some markers can appear in multiple tumor types, interpretation requires experience and caution</w:t>
      </w:r>
      <w:r w:rsidR="00CA1DCF">
        <w:rPr>
          <w:rFonts w:ascii="Times New Roman" w:hAnsi="Times New Roman" w:cs="Times New Roman"/>
        </w:rPr>
        <w:t>,</w:t>
      </w:r>
      <w:r w:rsidR="00F01D65" w:rsidRPr="00F01D65">
        <w:rPr>
          <w:rFonts w:ascii="Times New Roman" w:hAnsi="Times New Roman" w:cs="Times New Roman"/>
        </w:rPr>
        <w:t xml:space="preserve"> particularly when working with small or difficult biopsy samples.</w:t>
      </w:r>
    </w:p>
    <w:p w14:paraId="64C8A466" w14:textId="6D1CF5F8" w:rsidR="00F01D65" w:rsidRDefault="00FF5CB7" w:rsidP="00D05C74">
      <w:pPr>
        <w:spacing w:line="276" w:lineRule="auto"/>
        <w:jc w:val="both"/>
        <w:rPr>
          <w:rFonts w:ascii="Times New Roman" w:hAnsi="Times New Roman" w:cs="Times New Roman"/>
        </w:rPr>
      </w:pPr>
      <w:r>
        <w:rPr>
          <w:rFonts w:ascii="Times New Roman" w:hAnsi="Times New Roman" w:cs="Times New Roman"/>
        </w:rPr>
        <w:t xml:space="preserve">Keywords: renal cell carcinoma, kidney, histology, immunohistochemistry, </w:t>
      </w:r>
      <w:r w:rsidR="00F01D65" w:rsidRPr="00F01D65">
        <w:rPr>
          <w:rFonts w:ascii="Times New Roman" w:hAnsi="Times New Roman" w:cs="Times New Roman"/>
        </w:rPr>
        <w:t xml:space="preserve"> </w:t>
      </w:r>
    </w:p>
    <w:p w14:paraId="0057DB3D" w14:textId="645B9339" w:rsidR="002A7C7B" w:rsidRPr="00C11AF4" w:rsidRDefault="002A7C7B" w:rsidP="00D05C74">
      <w:pPr>
        <w:pStyle w:val="ListParagraph"/>
        <w:numPr>
          <w:ilvl w:val="0"/>
          <w:numId w:val="12"/>
        </w:numPr>
        <w:spacing w:line="276" w:lineRule="auto"/>
        <w:jc w:val="both"/>
        <w:rPr>
          <w:rFonts w:ascii="Times New Roman" w:hAnsi="Times New Roman" w:cs="Times New Roman"/>
          <w:b/>
          <w:bCs/>
        </w:rPr>
      </w:pPr>
      <w:r w:rsidRPr="00C11AF4">
        <w:rPr>
          <w:rFonts w:ascii="Times New Roman" w:hAnsi="Times New Roman" w:cs="Times New Roman"/>
          <w:b/>
          <w:bCs/>
        </w:rPr>
        <w:t xml:space="preserve">Introduction </w:t>
      </w:r>
    </w:p>
    <w:p w14:paraId="68819A83" w14:textId="4743F53B" w:rsidR="00630CF7" w:rsidRPr="00630CF7" w:rsidRDefault="00630CF7" w:rsidP="00D05C74">
      <w:pPr>
        <w:spacing w:line="276" w:lineRule="auto"/>
        <w:jc w:val="both"/>
        <w:rPr>
          <w:rFonts w:ascii="Times New Roman" w:hAnsi="Times New Roman" w:cs="Times New Roman"/>
        </w:rPr>
      </w:pPr>
      <w:r w:rsidRPr="00630CF7">
        <w:rPr>
          <w:rFonts w:ascii="Times New Roman" w:hAnsi="Times New Roman" w:cs="Times New Roman"/>
        </w:rPr>
        <w:t>The kidneys play a vital role in maintaining the body's internal balance by regulating fluids, electrolytes, and hormone levels, filtering the blood, and removing metabolic waste (Ahmed et al., 2025). Structurally, they are situated on either side of the spine, behind the abdominal cavity, and are connected to the bladder via the ureters to facilitate urine transport (Colquhoun, 2023). A protective layer of fat and connective tissue surrounds each kidney, while major blood vessels and nerves</w:t>
      </w:r>
      <w:r w:rsidR="008213BB">
        <w:rPr>
          <w:rFonts w:ascii="Times New Roman" w:hAnsi="Times New Roman" w:cs="Times New Roman"/>
        </w:rPr>
        <w:t xml:space="preserve">, </w:t>
      </w:r>
      <w:r w:rsidRPr="00630CF7">
        <w:rPr>
          <w:rFonts w:ascii="Times New Roman" w:hAnsi="Times New Roman" w:cs="Times New Roman"/>
        </w:rPr>
        <w:t>namely the renal artery, vein, and associated nerves</w:t>
      </w:r>
      <w:r w:rsidR="008213BB">
        <w:rPr>
          <w:rFonts w:ascii="Times New Roman" w:hAnsi="Times New Roman" w:cs="Times New Roman"/>
        </w:rPr>
        <w:t xml:space="preserve">, </w:t>
      </w:r>
      <w:r w:rsidRPr="00630CF7">
        <w:rPr>
          <w:rFonts w:ascii="Times New Roman" w:hAnsi="Times New Roman" w:cs="Times New Roman"/>
        </w:rPr>
        <w:t>serve them. Blood enters the kidneys through the renal arteries and is directed toward approximately 1.3 million nephrons in each kidney. These nephrons, through specialized structures called glomeruli, filter the blood (Colquhoun, 2023). As the filtered fluid moves through Bowman’s capsule and the renal tubules, essential substances are reabsorbed into the bloodstream, while waste products are eliminated as urine, which is eventually transported to the bladder.</w:t>
      </w:r>
    </w:p>
    <w:p w14:paraId="4F1178BE" w14:textId="77777777" w:rsidR="00630CF7" w:rsidRPr="00630CF7" w:rsidRDefault="00630CF7" w:rsidP="00D05C74">
      <w:pPr>
        <w:spacing w:line="276" w:lineRule="auto"/>
        <w:jc w:val="both"/>
        <w:rPr>
          <w:rFonts w:ascii="Times New Roman" w:hAnsi="Times New Roman" w:cs="Times New Roman"/>
        </w:rPr>
      </w:pPr>
      <w:r w:rsidRPr="00630CF7">
        <w:rPr>
          <w:rFonts w:ascii="Times New Roman" w:hAnsi="Times New Roman" w:cs="Times New Roman"/>
        </w:rPr>
        <w:t xml:space="preserve">Despite their crucial functions, kidneys are vulnerable to a range of diseases that can impair their performance (Kamri, 2024). These include conditions like polycystic kidney disease, both acute and chronic kidney injuries, and cancers. Some of these disorders may be inherited, while others develop due to lifestyle factors or underlying medical conditions. This discussion focuses specifically on kidney cancers and the histological methods used to identify them. Kidney cancer </w:t>
      </w:r>
      <w:r w:rsidRPr="00630CF7">
        <w:rPr>
          <w:rFonts w:ascii="Times New Roman" w:hAnsi="Times New Roman" w:cs="Times New Roman"/>
        </w:rPr>
        <w:lastRenderedPageBreak/>
        <w:t>arises from the abnormal and uncontrolled proliferation of kidney cells, forming malignant tumors. It most frequently affects individuals between the ages of 65 and 74, with men being about twice as likely as women to develop the disease (Meraz-Munoz et al., 2021).</w:t>
      </w:r>
    </w:p>
    <w:p w14:paraId="6C51F31A" w14:textId="17F64978" w:rsidR="00630CF7" w:rsidRPr="00630CF7" w:rsidRDefault="00630CF7" w:rsidP="00D05C74">
      <w:pPr>
        <w:spacing w:line="276" w:lineRule="auto"/>
        <w:jc w:val="both"/>
        <w:rPr>
          <w:rFonts w:ascii="Times New Roman" w:hAnsi="Times New Roman" w:cs="Times New Roman"/>
        </w:rPr>
      </w:pPr>
      <w:r w:rsidRPr="00630CF7">
        <w:rPr>
          <w:rFonts w:ascii="Times New Roman" w:hAnsi="Times New Roman" w:cs="Times New Roman"/>
        </w:rPr>
        <w:t>There are multiple forms of kidney cancer, with renal cell carcinoma (RCC) being the most prevalent among adults, accounting for roughly 85% of all cases. RCC generally manifests as a solitary tumor within one kidney, and its most frequent subtype is clear cell renal cell carcinoma (</w:t>
      </w:r>
      <w:proofErr w:type="spellStart"/>
      <w:r w:rsidRPr="00630CF7">
        <w:rPr>
          <w:rFonts w:ascii="Times New Roman" w:hAnsi="Times New Roman" w:cs="Times New Roman"/>
        </w:rPr>
        <w:t>ccRCC</w:t>
      </w:r>
      <w:proofErr w:type="spellEnd"/>
      <w:r w:rsidRPr="00630CF7">
        <w:rPr>
          <w:rFonts w:ascii="Times New Roman" w:hAnsi="Times New Roman" w:cs="Times New Roman"/>
        </w:rPr>
        <w:t>) (</w:t>
      </w:r>
      <w:proofErr w:type="spellStart"/>
      <w:r w:rsidRPr="00630CF7">
        <w:rPr>
          <w:rFonts w:ascii="Times New Roman" w:hAnsi="Times New Roman" w:cs="Times New Roman"/>
        </w:rPr>
        <w:t>Bukavina</w:t>
      </w:r>
      <w:proofErr w:type="spellEnd"/>
      <w:r w:rsidRPr="00630CF7">
        <w:rPr>
          <w:rFonts w:ascii="Times New Roman" w:hAnsi="Times New Roman" w:cs="Times New Roman"/>
        </w:rPr>
        <w:t xml:space="preserve"> et al., 2022). Transitional cell carcinoma represents 6% to 7% of kidney cancer cases and usually begins in the renal pelvis</w:t>
      </w:r>
      <w:r w:rsidR="008213BB">
        <w:rPr>
          <w:rFonts w:ascii="Times New Roman" w:hAnsi="Times New Roman" w:cs="Times New Roman"/>
        </w:rPr>
        <w:t xml:space="preserve"> at </w:t>
      </w:r>
      <w:r w:rsidRPr="00630CF7">
        <w:rPr>
          <w:rFonts w:ascii="Times New Roman" w:hAnsi="Times New Roman" w:cs="Times New Roman"/>
        </w:rPr>
        <w:t>the junction between the ureter and the kidney (Mohd et al., 2022). Another rare variant, renal sarcoma, comprises only about 1% of kidney cancers and originates in the kidney's connective tissues, with the potential to spread to nearby organs and bones (Mohd et al., 2022). In pediatric cases, the most common kidney malignancy is Wilms tumor, accounting for about 5% of all kidney cancers.</w:t>
      </w:r>
    </w:p>
    <w:p w14:paraId="1EE823BC" w14:textId="0790B39B" w:rsidR="00630CF7" w:rsidRPr="00630CF7" w:rsidRDefault="00630CF7" w:rsidP="00D05C74">
      <w:pPr>
        <w:spacing w:line="276" w:lineRule="auto"/>
        <w:jc w:val="both"/>
        <w:rPr>
          <w:rFonts w:ascii="Times New Roman" w:hAnsi="Times New Roman" w:cs="Times New Roman"/>
        </w:rPr>
      </w:pPr>
      <w:r w:rsidRPr="00630CF7">
        <w:rPr>
          <w:rFonts w:ascii="Times New Roman" w:hAnsi="Times New Roman" w:cs="Times New Roman"/>
        </w:rPr>
        <w:t>Accurate histological identification of these cancer types is essential, as it enhances the ability to distinguish among different cellular and tissue structures. Each form of kidney cancer</w:t>
      </w:r>
      <w:r w:rsidR="008213BB">
        <w:rPr>
          <w:rFonts w:ascii="Times New Roman" w:hAnsi="Times New Roman" w:cs="Times New Roman"/>
        </w:rPr>
        <w:t xml:space="preserve">, </w:t>
      </w:r>
      <w:r w:rsidRPr="00630CF7">
        <w:rPr>
          <w:rFonts w:ascii="Times New Roman" w:hAnsi="Times New Roman" w:cs="Times New Roman"/>
        </w:rPr>
        <w:t xml:space="preserve">including </w:t>
      </w:r>
      <w:proofErr w:type="spellStart"/>
      <w:r w:rsidRPr="00630CF7">
        <w:rPr>
          <w:rFonts w:ascii="Times New Roman" w:hAnsi="Times New Roman" w:cs="Times New Roman"/>
        </w:rPr>
        <w:t>ccRCC</w:t>
      </w:r>
      <w:proofErr w:type="spellEnd"/>
      <w:r w:rsidRPr="00630CF7">
        <w:rPr>
          <w:rFonts w:ascii="Times New Roman" w:hAnsi="Times New Roman" w:cs="Times New Roman"/>
        </w:rPr>
        <w:t>, transitional cell carcinoma, renal sarcoma, and Wilms tumor</w:t>
      </w:r>
      <w:r w:rsidR="008213BB">
        <w:rPr>
          <w:rFonts w:ascii="Times New Roman" w:hAnsi="Times New Roman" w:cs="Times New Roman"/>
        </w:rPr>
        <w:t xml:space="preserve">, </w:t>
      </w:r>
      <w:r w:rsidRPr="00630CF7">
        <w:rPr>
          <w:rFonts w:ascii="Times New Roman" w:hAnsi="Times New Roman" w:cs="Times New Roman"/>
        </w:rPr>
        <w:t>displays unique histological patterns and molecular marker expressions (</w:t>
      </w:r>
      <w:proofErr w:type="spellStart"/>
      <w:r w:rsidRPr="00630CF7">
        <w:rPr>
          <w:rFonts w:ascii="Times New Roman" w:hAnsi="Times New Roman" w:cs="Times New Roman"/>
        </w:rPr>
        <w:t>Argani</w:t>
      </w:r>
      <w:proofErr w:type="spellEnd"/>
      <w:r w:rsidRPr="00630CF7">
        <w:rPr>
          <w:rFonts w:ascii="Times New Roman" w:hAnsi="Times New Roman" w:cs="Times New Roman"/>
        </w:rPr>
        <w:t xml:space="preserve"> et al., 2000). Common staining methods such as Hematoxylin and Eosin (H&amp;E) are instrumental in visualizing cellular morphology, while immunohistochemical markers like CAIX, CK7, Vimentin, and WT1 help pinpoint the specific origins of tumor cells (</w:t>
      </w:r>
      <w:proofErr w:type="spellStart"/>
      <w:r w:rsidRPr="00630CF7">
        <w:rPr>
          <w:rFonts w:ascii="Times New Roman" w:hAnsi="Times New Roman" w:cs="Times New Roman"/>
        </w:rPr>
        <w:t>Shidham</w:t>
      </w:r>
      <w:proofErr w:type="spellEnd"/>
      <w:r w:rsidRPr="00630CF7">
        <w:rPr>
          <w:rFonts w:ascii="Times New Roman" w:hAnsi="Times New Roman" w:cs="Times New Roman"/>
        </w:rPr>
        <w:t xml:space="preserve"> &amp; </w:t>
      </w:r>
      <w:proofErr w:type="spellStart"/>
      <w:r w:rsidRPr="00630CF7">
        <w:rPr>
          <w:rFonts w:ascii="Times New Roman" w:hAnsi="Times New Roman" w:cs="Times New Roman"/>
        </w:rPr>
        <w:t>Layfield</w:t>
      </w:r>
      <w:proofErr w:type="spellEnd"/>
      <w:r w:rsidRPr="00630CF7">
        <w:rPr>
          <w:rFonts w:ascii="Times New Roman" w:hAnsi="Times New Roman" w:cs="Times New Roman"/>
        </w:rPr>
        <w:t>, 2021). Such precise histopathological differentiation is fundamental to delivering accurate diagnoses, guiding prognosis, and formulating effective, personalized treatment strategies, thereby underscoring the indispensable role of histological techniques in the clinical management of kidney cancer.</w:t>
      </w:r>
    </w:p>
    <w:p w14:paraId="5B2BE158" w14:textId="77777777" w:rsidR="008213BB" w:rsidRPr="008213BB" w:rsidRDefault="008213BB" w:rsidP="00D05C74">
      <w:pPr>
        <w:spacing w:line="276" w:lineRule="auto"/>
        <w:jc w:val="both"/>
        <w:rPr>
          <w:rFonts w:ascii="Times New Roman" w:hAnsi="Times New Roman" w:cs="Times New Roman"/>
          <w:b/>
          <w:bCs/>
        </w:rPr>
      </w:pPr>
      <w:r w:rsidRPr="008213BB">
        <w:rPr>
          <w:rFonts w:ascii="Times New Roman" w:hAnsi="Times New Roman" w:cs="Times New Roman"/>
        </w:rPr>
        <w:t>This review explores the use of histological and immunohistochemical techniques in diagnosing renal cell carcinoma (RCC), focusing on improving diagnostic precision. It evaluates various staining methods and markers, highlighting recent advancements in staining technologies. The review aims to close knowledge gaps and provide guidance for pathologists and oncologists in selecting effective diagnostic tools.</w:t>
      </w:r>
    </w:p>
    <w:p w14:paraId="6C129FA3" w14:textId="7DC434F7" w:rsidR="00EA1BE7" w:rsidRPr="008213BB" w:rsidRDefault="00EA1BE7" w:rsidP="00D05C74">
      <w:pPr>
        <w:pStyle w:val="ListParagraph"/>
        <w:numPr>
          <w:ilvl w:val="0"/>
          <w:numId w:val="13"/>
        </w:numPr>
        <w:spacing w:line="276" w:lineRule="auto"/>
        <w:jc w:val="both"/>
        <w:rPr>
          <w:rFonts w:ascii="Times New Roman" w:hAnsi="Times New Roman" w:cs="Times New Roman"/>
          <w:b/>
          <w:bCs/>
        </w:rPr>
      </w:pPr>
      <w:r w:rsidRPr="008213BB">
        <w:rPr>
          <w:rFonts w:ascii="Times New Roman" w:hAnsi="Times New Roman" w:cs="Times New Roman"/>
          <w:b/>
          <w:bCs/>
        </w:rPr>
        <w:t xml:space="preserve">Microscopic anatomy of the kidney </w:t>
      </w:r>
    </w:p>
    <w:p w14:paraId="72C32826" w14:textId="77777777" w:rsidR="00630CF7" w:rsidRPr="00630CF7" w:rsidRDefault="00630CF7" w:rsidP="00D05C74">
      <w:pPr>
        <w:spacing w:line="276" w:lineRule="auto"/>
        <w:jc w:val="both"/>
        <w:rPr>
          <w:rFonts w:ascii="Times New Roman" w:hAnsi="Times New Roman" w:cs="Times New Roman"/>
        </w:rPr>
      </w:pPr>
      <w:r w:rsidRPr="00630CF7">
        <w:rPr>
          <w:rFonts w:ascii="Times New Roman" w:hAnsi="Times New Roman" w:cs="Times New Roman"/>
        </w:rPr>
        <w:t>The nephron serves as the kidney’s core functional unit, responsible for filtering blood and producing urine through three essential mechanisms: filtration, reabsorption, and secretion (Schwartz &amp; Rashid, 2021). During filtration, waste products and excess substances are removed from the bloodstream. Reabsorption then allows vital nutrients, water, and ions to be reclaimed into the body, while secretion ensures that additional unwanted substances are added to the filtrate, helping maintain internal balance (Schwartz &amp; Rashid, 2021).</w:t>
      </w:r>
    </w:p>
    <w:p w14:paraId="43E81FDB" w14:textId="53514160" w:rsidR="00630CF7" w:rsidRPr="00630CF7" w:rsidRDefault="00630CF7" w:rsidP="00D05C74">
      <w:pPr>
        <w:spacing w:line="276" w:lineRule="auto"/>
        <w:jc w:val="both"/>
        <w:rPr>
          <w:rFonts w:ascii="Times New Roman" w:hAnsi="Times New Roman" w:cs="Times New Roman"/>
        </w:rPr>
      </w:pPr>
      <w:r w:rsidRPr="00630CF7">
        <w:rPr>
          <w:rFonts w:ascii="Times New Roman" w:hAnsi="Times New Roman" w:cs="Times New Roman"/>
        </w:rPr>
        <w:t>Each nephron begins with the renal corpuscle, which includes the glomerulus</w:t>
      </w:r>
      <w:r w:rsidR="008213BB">
        <w:rPr>
          <w:rFonts w:ascii="Times New Roman" w:hAnsi="Times New Roman" w:cs="Times New Roman"/>
        </w:rPr>
        <w:t xml:space="preserve"> </w:t>
      </w:r>
      <w:r w:rsidR="00BE665E">
        <w:rPr>
          <w:rFonts w:ascii="Times New Roman" w:hAnsi="Times New Roman" w:cs="Times New Roman"/>
        </w:rPr>
        <w:tab/>
      </w:r>
      <w:r w:rsidRPr="00630CF7">
        <w:rPr>
          <w:rFonts w:ascii="Times New Roman" w:hAnsi="Times New Roman" w:cs="Times New Roman"/>
        </w:rPr>
        <w:t xml:space="preserve">and Bowman’s capsule. The filtration process is governed by a selective membrane composed of three layers: the fenestrated endothelium, which prevents large molecules and blood cells from passing through; </w:t>
      </w:r>
      <w:r w:rsidRPr="00630CF7">
        <w:rPr>
          <w:rFonts w:ascii="Times New Roman" w:hAnsi="Times New Roman" w:cs="Times New Roman"/>
        </w:rPr>
        <w:lastRenderedPageBreak/>
        <w:t>the basement membrane, which blocks medium-to-large proteins; and podocytes, whose filtration slits regulate substance passage based on molecular size and charge (Mangan et al., 2018). This multi-layered system ensures that only specific substances are filtered while essential proteins and cells remain in the bloodstream.</w:t>
      </w:r>
    </w:p>
    <w:p w14:paraId="3B1AFDAF" w14:textId="77777777" w:rsidR="00630CF7" w:rsidRPr="00630CF7" w:rsidRDefault="00630CF7" w:rsidP="00D05C74">
      <w:pPr>
        <w:spacing w:line="276" w:lineRule="auto"/>
        <w:jc w:val="both"/>
        <w:rPr>
          <w:rFonts w:ascii="Times New Roman" w:hAnsi="Times New Roman" w:cs="Times New Roman"/>
        </w:rPr>
      </w:pPr>
      <w:r w:rsidRPr="00630CF7">
        <w:rPr>
          <w:rFonts w:ascii="Times New Roman" w:hAnsi="Times New Roman" w:cs="Times New Roman"/>
        </w:rPr>
        <w:t xml:space="preserve">Adjacent to the glomerulus lies the juxtaglomerular apparatus (JGA), which plays a critical role in renal autoregulation. It features macula </w:t>
      </w:r>
      <w:proofErr w:type="spellStart"/>
      <w:r w:rsidRPr="00630CF7">
        <w:rPr>
          <w:rFonts w:ascii="Times New Roman" w:hAnsi="Times New Roman" w:cs="Times New Roman"/>
        </w:rPr>
        <w:t>densa</w:t>
      </w:r>
      <w:proofErr w:type="spellEnd"/>
      <w:r w:rsidRPr="00630CF7">
        <w:rPr>
          <w:rFonts w:ascii="Times New Roman" w:hAnsi="Times New Roman" w:cs="Times New Roman"/>
        </w:rPr>
        <w:t xml:space="preserve"> cells that detect sodium concentrations in the distal convoluted tubule (DCT), signaling juxtaglomerular cells to either constrict or dilate the afferent arteriole to adjust blood flow into the glomerulus (Gallardo &amp; </w:t>
      </w:r>
      <w:proofErr w:type="spellStart"/>
      <w:r w:rsidRPr="00630CF7">
        <w:rPr>
          <w:rFonts w:ascii="Times New Roman" w:hAnsi="Times New Roman" w:cs="Times New Roman"/>
        </w:rPr>
        <w:t>Vio</w:t>
      </w:r>
      <w:proofErr w:type="spellEnd"/>
      <w:r w:rsidRPr="00630CF7">
        <w:rPr>
          <w:rFonts w:ascii="Times New Roman" w:hAnsi="Times New Roman" w:cs="Times New Roman"/>
        </w:rPr>
        <w:t xml:space="preserve">, 2022; </w:t>
      </w:r>
      <w:proofErr w:type="spellStart"/>
      <w:r w:rsidRPr="00630CF7">
        <w:rPr>
          <w:rFonts w:ascii="Times New Roman" w:hAnsi="Times New Roman" w:cs="Times New Roman"/>
        </w:rPr>
        <w:t>Goligorsky</w:t>
      </w:r>
      <w:proofErr w:type="spellEnd"/>
      <w:r w:rsidRPr="00630CF7">
        <w:rPr>
          <w:rFonts w:ascii="Times New Roman" w:hAnsi="Times New Roman" w:cs="Times New Roman"/>
        </w:rPr>
        <w:t>, 2023). These juxtaglomerular cells also secrete renin, a hormone that activates the renin-angiotensin-aldosterone system (RAAS), thereby influencing blood pressure regulation.</w:t>
      </w:r>
    </w:p>
    <w:p w14:paraId="5C316AA7" w14:textId="3612467E" w:rsidR="00630CF7" w:rsidRPr="00630CF7" w:rsidRDefault="00630CF7" w:rsidP="00D05C74">
      <w:pPr>
        <w:spacing w:line="276" w:lineRule="auto"/>
        <w:jc w:val="both"/>
        <w:rPr>
          <w:rFonts w:ascii="Times New Roman" w:hAnsi="Times New Roman" w:cs="Times New Roman"/>
        </w:rPr>
      </w:pPr>
      <w:r w:rsidRPr="00630CF7">
        <w:rPr>
          <w:rFonts w:ascii="Times New Roman" w:hAnsi="Times New Roman" w:cs="Times New Roman"/>
        </w:rPr>
        <w:t>The proximal convoluted tubule (PCT) is lined with cuboidal epithelial cells equipped with microvilli, which greatly expand the surface area for absorption. This section of the nephron is primarily responsible for the active reabsorption of sodium, chloride, glucose, and other essential nutrients using ATP, making it a key site for salvaging valuable substances from the filtrate (</w:t>
      </w:r>
      <w:proofErr w:type="spellStart"/>
      <w:r w:rsidRPr="00630CF7">
        <w:rPr>
          <w:rFonts w:ascii="Times New Roman" w:hAnsi="Times New Roman" w:cs="Times New Roman"/>
        </w:rPr>
        <w:t>Alabdallah</w:t>
      </w:r>
      <w:proofErr w:type="spellEnd"/>
      <w:r w:rsidRPr="00630CF7">
        <w:rPr>
          <w:rFonts w:ascii="Times New Roman" w:hAnsi="Times New Roman" w:cs="Times New Roman"/>
        </w:rPr>
        <w:t xml:space="preserve"> et al., 2021).</w:t>
      </w:r>
      <w:r>
        <w:rPr>
          <w:rFonts w:ascii="Times New Roman" w:hAnsi="Times New Roman" w:cs="Times New Roman"/>
        </w:rPr>
        <w:t xml:space="preserve"> </w:t>
      </w:r>
      <w:r w:rsidRPr="00630CF7">
        <w:rPr>
          <w:rFonts w:ascii="Times New Roman" w:hAnsi="Times New Roman" w:cs="Times New Roman"/>
        </w:rPr>
        <w:t>The loop of Henle continues this function, with its descending limb being highly permeable to water, allowing for its reabsorption and leading to a more concentrated filtrate. In contrast, the ascending limb is impermeable to water but actively transports sodium and chloride out of the filtrate, helping maintain the kidney’s internal osmotic gradient (</w:t>
      </w:r>
      <w:proofErr w:type="spellStart"/>
      <w:r w:rsidRPr="00630CF7">
        <w:rPr>
          <w:rFonts w:ascii="Times New Roman" w:hAnsi="Times New Roman" w:cs="Times New Roman"/>
        </w:rPr>
        <w:t>Alabdallah</w:t>
      </w:r>
      <w:proofErr w:type="spellEnd"/>
      <w:r w:rsidRPr="00630CF7">
        <w:rPr>
          <w:rFonts w:ascii="Times New Roman" w:hAnsi="Times New Roman" w:cs="Times New Roman"/>
        </w:rPr>
        <w:t xml:space="preserve"> et al., 2021).</w:t>
      </w:r>
    </w:p>
    <w:p w14:paraId="0F279940" w14:textId="380F9896" w:rsidR="00630CF7" w:rsidRPr="00630CF7" w:rsidRDefault="00630CF7" w:rsidP="00D05C74">
      <w:pPr>
        <w:spacing w:line="276" w:lineRule="auto"/>
        <w:jc w:val="both"/>
        <w:rPr>
          <w:rFonts w:ascii="Times New Roman" w:hAnsi="Times New Roman" w:cs="Times New Roman"/>
        </w:rPr>
      </w:pPr>
      <w:r w:rsidRPr="00630CF7">
        <w:rPr>
          <w:rFonts w:ascii="Times New Roman" w:hAnsi="Times New Roman" w:cs="Times New Roman"/>
        </w:rPr>
        <w:t>Following this, the distal convoluted tubule (DCT), also lined with cuboidal cells but with fewer microvilli, further regulates electrolyte balance</w:t>
      </w:r>
      <w:r w:rsidR="00BE665E">
        <w:rPr>
          <w:rFonts w:ascii="Times New Roman" w:hAnsi="Times New Roman" w:cs="Times New Roman"/>
        </w:rPr>
        <w:t xml:space="preserve">, </w:t>
      </w:r>
      <w:r w:rsidRPr="00630CF7">
        <w:rPr>
          <w:rFonts w:ascii="Times New Roman" w:hAnsi="Times New Roman" w:cs="Times New Roman"/>
        </w:rPr>
        <w:t>particularly sodium and potassium levels. Its activity is modulated by hormones such as aldosterone and antidiuretic hormone (ADH), which adjust water and ion reabsorption according to the body's needs (</w:t>
      </w:r>
      <w:proofErr w:type="spellStart"/>
      <w:r w:rsidRPr="00630CF7">
        <w:rPr>
          <w:rFonts w:ascii="Times New Roman" w:hAnsi="Times New Roman" w:cs="Times New Roman"/>
        </w:rPr>
        <w:t>Alabdallah</w:t>
      </w:r>
      <w:proofErr w:type="spellEnd"/>
      <w:r w:rsidRPr="00630CF7">
        <w:rPr>
          <w:rFonts w:ascii="Times New Roman" w:hAnsi="Times New Roman" w:cs="Times New Roman"/>
        </w:rPr>
        <w:t xml:space="preserve"> et al., 2021; Bernal et al., 2023).</w:t>
      </w:r>
      <w:r>
        <w:rPr>
          <w:rFonts w:ascii="Times New Roman" w:hAnsi="Times New Roman" w:cs="Times New Roman"/>
        </w:rPr>
        <w:t xml:space="preserve"> </w:t>
      </w:r>
      <w:r w:rsidRPr="00630CF7">
        <w:rPr>
          <w:rFonts w:ascii="Times New Roman" w:hAnsi="Times New Roman" w:cs="Times New Roman"/>
        </w:rPr>
        <w:t>The collecting duct receives processed filtrate from several nephrons and is the final site for fine-tuning urine concentration. This segment contains water channels that respond to ADH. When ADH is present, these channels open, permitting water reabsorption into surrounding tissues. Without ADH, the channels remain closed, resulting in the excretion of more dilute urine, thus enabling the body to adapt urine concentration based on hydration status (Gade &amp; Robinson, 2006).</w:t>
      </w:r>
    </w:p>
    <w:p w14:paraId="7D2EE26B" w14:textId="77777777" w:rsidR="00630CF7" w:rsidRPr="00630CF7" w:rsidRDefault="00630CF7" w:rsidP="00D05C74">
      <w:pPr>
        <w:spacing w:line="276" w:lineRule="auto"/>
        <w:jc w:val="both"/>
        <w:rPr>
          <w:rFonts w:ascii="Times New Roman" w:hAnsi="Times New Roman" w:cs="Times New Roman"/>
        </w:rPr>
      </w:pPr>
      <w:r w:rsidRPr="00630CF7">
        <w:rPr>
          <w:rFonts w:ascii="Times New Roman" w:hAnsi="Times New Roman" w:cs="Times New Roman"/>
        </w:rPr>
        <w:t xml:space="preserve">Beyond its role in filtration and fluid balance, the kidney also contributes significantly to systemic regulation. Through the RAAS, it helps control blood volume and vascular resistance, thereby influencing blood pressure (Wadei &amp; Textor, 2012). Additionally, the kidney produces erythropoietin (EPO), which stimulates red blood cell production when oxygen levels drop. It also supports calcium homeostasis by converting </w:t>
      </w:r>
      <w:proofErr w:type="spellStart"/>
      <w:r w:rsidRPr="00630CF7">
        <w:rPr>
          <w:rFonts w:ascii="Times New Roman" w:hAnsi="Times New Roman" w:cs="Times New Roman"/>
        </w:rPr>
        <w:t>calcidiol</w:t>
      </w:r>
      <w:proofErr w:type="spellEnd"/>
      <w:r w:rsidRPr="00630CF7">
        <w:rPr>
          <w:rFonts w:ascii="Times New Roman" w:hAnsi="Times New Roman" w:cs="Times New Roman"/>
        </w:rPr>
        <w:t xml:space="preserve"> to calcitriol, the active form of vitamin D, enhancing calcium absorption in the intestines (Wadei &amp; Textor, 2012).</w:t>
      </w:r>
    </w:p>
    <w:p w14:paraId="3F3C281E" w14:textId="48AB8538" w:rsidR="00EA1BE7" w:rsidRPr="00C11AF4" w:rsidRDefault="00EA1BE7" w:rsidP="00D05C74">
      <w:pPr>
        <w:pStyle w:val="ListParagraph"/>
        <w:numPr>
          <w:ilvl w:val="0"/>
          <w:numId w:val="13"/>
        </w:numPr>
        <w:spacing w:line="276" w:lineRule="auto"/>
        <w:jc w:val="both"/>
        <w:rPr>
          <w:rFonts w:ascii="Times New Roman" w:hAnsi="Times New Roman" w:cs="Times New Roman"/>
          <w:b/>
          <w:bCs/>
        </w:rPr>
      </w:pPr>
      <w:r w:rsidRPr="00C11AF4">
        <w:rPr>
          <w:rFonts w:ascii="Times New Roman" w:hAnsi="Times New Roman" w:cs="Times New Roman"/>
          <w:b/>
          <w:bCs/>
        </w:rPr>
        <w:t xml:space="preserve">Macromolecules in the kidney and their histological stains  </w:t>
      </w:r>
    </w:p>
    <w:p w14:paraId="01DBCDDC" w14:textId="77777777" w:rsidR="00EA1BE7" w:rsidRPr="00EA1BE7" w:rsidRDefault="00EA1BE7" w:rsidP="00D05C74">
      <w:pPr>
        <w:spacing w:line="276" w:lineRule="auto"/>
        <w:jc w:val="both"/>
        <w:rPr>
          <w:rFonts w:ascii="Times New Roman" w:hAnsi="Times New Roman" w:cs="Times New Roman"/>
        </w:rPr>
      </w:pPr>
      <w:r w:rsidRPr="00EA1BE7">
        <w:rPr>
          <w:rFonts w:ascii="Times New Roman" w:hAnsi="Times New Roman" w:cs="Times New Roman"/>
        </w:rPr>
        <w:t>The kidney contains a variety of macromolecules, including proteins, lipids, carbohydrates, and nucleic acids, which are essential for its structural integrity and functional processes</w:t>
      </w:r>
      <w:r w:rsidR="007D1700">
        <w:rPr>
          <w:rFonts w:ascii="Times New Roman" w:hAnsi="Times New Roman" w:cs="Times New Roman"/>
        </w:rPr>
        <w:t xml:space="preserve"> (</w:t>
      </w:r>
      <w:r w:rsidR="007D1700" w:rsidRPr="000A2604">
        <w:rPr>
          <w:rFonts w:ascii="Times New Roman" w:hAnsi="Times New Roman" w:cs="Times New Roman"/>
        </w:rPr>
        <w:t>Dhara</w:t>
      </w:r>
      <w:r w:rsidR="007D1700">
        <w:rPr>
          <w:rFonts w:ascii="Times New Roman" w:hAnsi="Times New Roman" w:cs="Times New Roman"/>
        </w:rPr>
        <w:t xml:space="preserve"> and</w:t>
      </w:r>
      <w:r w:rsidR="007D1700" w:rsidRPr="000A2604">
        <w:rPr>
          <w:rFonts w:ascii="Times New Roman" w:hAnsi="Times New Roman" w:cs="Times New Roman"/>
        </w:rPr>
        <w:t xml:space="preserve"> </w:t>
      </w:r>
      <w:r w:rsidR="007D1700" w:rsidRPr="000A2604">
        <w:rPr>
          <w:rFonts w:ascii="Times New Roman" w:hAnsi="Times New Roman" w:cs="Times New Roman"/>
        </w:rPr>
        <w:lastRenderedPageBreak/>
        <w:t>Nayak</w:t>
      </w:r>
      <w:r w:rsidR="007D1700">
        <w:rPr>
          <w:rFonts w:ascii="Times New Roman" w:hAnsi="Times New Roman" w:cs="Times New Roman"/>
        </w:rPr>
        <w:t>, 2022)</w:t>
      </w:r>
      <w:r w:rsidRPr="00EA1BE7">
        <w:rPr>
          <w:rFonts w:ascii="Times New Roman" w:hAnsi="Times New Roman" w:cs="Times New Roman"/>
        </w:rPr>
        <w:t>. Identifying these macromolecules using histological stains is crucial for diagnosing and understanding various kidney diseases. Different stains work based on distinct chemical and physical interactions with the target macromolecule, allowing for selective visualization under the microscope</w:t>
      </w:r>
      <w:r w:rsidR="007D1700">
        <w:rPr>
          <w:rFonts w:ascii="Times New Roman" w:hAnsi="Times New Roman" w:cs="Times New Roman"/>
        </w:rPr>
        <w:t xml:space="preserve"> (</w:t>
      </w:r>
      <w:r w:rsidR="007D1700" w:rsidRPr="000A2604">
        <w:rPr>
          <w:rFonts w:ascii="Times New Roman" w:hAnsi="Times New Roman" w:cs="Times New Roman"/>
        </w:rPr>
        <w:t>Frank</w:t>
      </w:r>
      <w:r w:rsidR="007D1700">
        <w:rPr>
          <w:rFonts w:ascii="Times New Roman" w:hAnsi="Times New Roman" w:cs="Times New Roman"/>
        </w:rPr>
        <w:t>, 2006)</w:t>
      </w:r>
      <w:r w:rsidRPr="00EA1BE7">
        <w:rPr>
          <w:rFonts w:ascii="Times New Roman" w:hAnsi="Times New Roman" w:cs="Times New Roman"/>
        </w:rPr>
        <w:t>. This is particularly important in clinical pathology, where staining helps identify pathological changes such as glomerular damage, proteinuria, lipid accumulation, and basement membrane thickening</w:t>
      </w:r>
      <w:r w:rsidR="007D1700">
        <w:rPr>
          <w:rFonts w:ascii="Times New Roman" w:hAnsi="Times New Roman" w:cs="Times New Roman"/>
        </w:rPr>
        <w:t xml:space="preserve"> (</w:t>
      </w:r>
      <w:r w:rsidR="007D1700" w:rsidRPr="000A2604">
        <w:rPr>
          <w:rFonts w:ascii="Times New Roman" w:hAnsi="Times New Roman" w:cs="Times New Roman"/>
        </w:rPr>
        <w:t>Frank</w:t>
      </w:r>
      <w:r w:rsidR="007D1700">
        <w:rPr>
          <w:rFonts w:ascii="Times New Roman" w:hAnsi="Times New Roman" w:cs="Times New Roman"/>
        </w:rPr>
        <w:t>, 2006)</w:t>
      </w:r>
      <w:r w:rsidRPr="00EA1BE7">
        <w:rPr>
          <w:rFonts w:ascii="Times New Roman" w:hAnsi="Times New Roman" w:cs="Times New Roman"/>
        </w:rPr>
        <w:t>.</w:t>
      </w:r>
    </w:p>
    <w:p w14:paraId="687524EC" w14:textId="1000A745" w:rsidR="00EA1BE7" w:rsidRPr="00151DEF" w:rsidRDefault="00C11AF4" w:rsidP="00D05C74">
      <w:pPr>
        <w:spacing w:line="276" w:lineRule="auto"/>
        <w:jc w:val="both"/>
        <w:rPr>
          <w:rFonts w:ascii="Times New Roman" w:hAnsi="Times New Roman" w:cs="Times New Roman"/>
          <w:b/>
          <w:bCs/>
        </w:rPr>
      </w:pPr>
      <w:r>
        <w:rPr>
          <w:rFonts w:ascii="Times New Roman" w:hAnsi="Times New Roman" w:cs="Times New Roman"/>
          <w:b/>
          <w:bCs/>
        </w:rPr>
        <w:t>3.</w:t>
      </w:r>
      <w:r w:rsidR="00EA1BE7" w:rsidRPr="00151DEF">
        <w:rPr>
          <w:rFonts w:ascii="Times New Roman" w:hAnsi="Times New Roman" w:cs="Times New Roman"/>
          <w:b/>
          <w:bCs/>
        </w:rPr>
        <w:t>1. Proteins</w:t>
      </w:r>
    </w:p>
    <w:p w14:paraId="71164DD2" w14:textId="77777777" w:rsidR="00EA1BE7" w:rsidRPr="002920F3" w:rsidRDefault="00EA1BE7" w:rsidP="00D05C74">
      <w:pPr>
        <w:spacing w:line="276" w:lineRule="auto"/>
        <w:jc w:val="both"/>
        <w:rPr>
          <w:rFonts w:ascii="Times New Roman" w:hAnsi="Times New Roman" w:cs="Times New Roman"/>
        </w:rPr>
      </w:pPr>
      <w:r w:rsidRPr="00EA1BE7">
        <w:rPr>
          <w:rFonts w:ascii="Times New Roman" w:hAnsi="Times New Roman" w:cs="Times New Roman"/>
        </w:rPr>
        <w:t>Proteins are abundant in the kidney and are vital for structural support, enzymatic activity, and transport mechanisms</w:t>
      </w:r>
      <w:r w:rsidR="00573B25">
        <w:rPr>
          <w:rFonts w:ascii="Times New Roman" w:hAnsi="Times New Roman" w:cs="Times New Roman"/>
        </w:rPr>
        <w:t xml:space="preserve"> (</w:t>
      </w:r>
      <w:r w:rsidR="00573B25" w:rsidRPr="00F52EE3">
        <w:rPr>
          <w:rFonts w:ascii="Times New Roman" w:hAnsi="Times New Roman" w:cs="Times New Roman"/>
        </w:rPr>
        <w:t>Scholz</w:t>
      </w:r>
      <w:r w:rsidR="00573B25">
        <w:rPr>
          <w:rFonts w:ascii="Times New Roman" w:hAnsi="Times New Roman" w:cs="Times New Roman"/>
        </w:rPr>
        <w:t xml:space="preserve"> et al., 2021)</w:t>
      </w:r>
      <w:r w:rsidRPr="00EA1BE7">
        <w:rPr>
          <w:rFonts w:ascii="Times New Roman" w:hAnsi="Times New Roman" w:cs="Times New Roman"/>
        </w:rPr>
        <w:t>. Key proteins in the kidney include collagen in the basement membrane and extracellular matrix, actin and myosin in podocytes and smooth muscle cells, albumin in blood and filtrate, and various enzymes involved in active transport and filtration</w:t>
      </w:r>
      <w:r w:rsidR="00573B25">
        <w:rPr>
          <w:rFonts w:ascii="Times New Roman" w:hAnsi="Times New Roman" w:cs="Times New Roman"/>
        </w:rPr>
        <w:t xml:space="preserve"> </w:t>
      </w:r>
      <w:r w:rsidR="00573B25" w:rsidRPr="002920F3">
        <w:rPr>
          <w:rFonts w:ascii="Times New Roman" w:hAnsi="Times New Roman" w:cs="Times New Roman"/>
        </w:rPr>
        <w:t>(</w:t>
      </w:r>
      <w:proofErr w:type="spellStart"/>
      <w:r w:rsidR="00573B25" w:rsidRPr="002920F3">
        <w:rPr>
          <w:rFonts w:ascii="Times New Roman" w:hAnsi="Times New Roman" w:cs="Times New Roman"/>
        </w:rPr>
        <w:t>Rayego-Mateos</w:t>
      </w:r>
      <w:proofErr w:type="spellEnd"/>
      <w:r w:rsidR="00573B25" w:rsidRPr="002920F3">
        <w:rPr>
          <w:rFonts w:ascii="Times New Roman" w:hAnsi="Times New Roman" w:cs="Times New Roman"/>
        </w:rPr>
        <w:t xml:space="preserve"> et al., 2021)</w:t>
      </w:r>
      <w:r w:rsidRPr="002920F3">
        <w:rPr>
          <w:rFonts w:ascii="Times New Roman" w:hAnsi="Times New Roman" w:cs="Times New Roman"/>
        </w:rPr>
        <w:t>.</w:t>
      </w:r>
    </w:p>
    <w:p w14:paraId="7FB46B32" w14:textId="058E5051" w:rsidR="00EA1BE7" w:rsidRPr="002920F3" w:rsidRDefault="00C11AF4" w:rsidP="00D05C74">
      <w:pPr>
        <w:spacing w:line="276" w:lineRule="auto"/>
        <w:jc w:val="both"/>
        <w:rPr>
          <w:rFonts w:ascii="Times New Roman" w:hAnsi="Times New Roman" w:cs="Times New Roman"/>
        </w:rPr>
      </w:pPr>
      <w:r>
        <w:rPr>
          <w:rFonts w:ascii="Times New Roman" w:hAnsi="Times New Roman" w:cs="Times New Roman"/>
          <w:b/>
          <w:bCs/>
        </w:rPr>
        <w:t>3.1.1</w:t>
      </w:r>
      <w:r>
        <w:rPr>
          <w:rFonts w:ascii="Times New Roman" w:hAnsi="Times New Roman" w:cs="Times New Roman"/>
          <w:b/>
          <w:bCs/>
        </w:rPr>
        <w:tab/>
      </w:r>
      <w:r w:rsidR="00EA1BE7" w:rsidRPr="002920F3">
        <w:rPr>
          <w:rFonts w:ascii="Times New Roman" w:hAnsi="Times New Roman" w:cs="Times New Roman"/>
          <w:b/>
          <w:bCs/>
        </w:rPr>
        <w:t>Hematoxylin and Eosin (H&amp;E):</w:t>
      </w:r>
      <w:r w:rsidR="00EA1BE7" w:rsidRPr="002920F3">
        <w:rPr>
          <w:rFonts w:ascii="Times New Roman" w:hAnsi="Times New Roman" w:cs="Times New Roman"/>
        </w:rPr>
        <w:t xml:space="preserve"> </w:t>
      </w:r>
    </w:p>
    <w:p w14:paraId="1976DBCB" w14:textId="4890CB83" w:rsidR="00EA1BE7" w:rsidRDefault="00EA1BE7" w:rsidP="00D05C74">
      <w:pPr>
        <w:spacing w:line="276" w:lineRule="auto"/>
        <w:jc w:val="both"/>
        <w:rPr>
          <w:rFonts w:ascii="Times New Roman" w:hAnsi="Times New Roman" w:cs="Times New Roman"/>
        </w:rPr>
      </w:pPr>
      <w:r w:rsidRPr="002920F3">
        <w:rPr>
          <w:rFonts w:ascii="Times New Roman" w:eastAsia="Times New Roman" w:hAnsi="Times New Roman" w:cs="Times New Roman"/>
          <w:kern w:val="0"/>
          <w14:ligatures w14:val="none"/>
        </w:rPr>
        <w:t>The most popular histological stains are hematoxylin and eosin (H&amp;E), which are easy to use, automate, and clearly show different tissue structures</w:t>
      </w:r>
      <w:r w:rsidR="003F1001">
        <w:rPr>
          <w:rFonts w:ascii="Times New Roman" w:eastAsia="Times New Roman" w:hAnsi="Times New Roman" w:cs="Times New Roman"/>
          <w:kern w:val="0"/>
          <w14:ligatures w14:val="none"/>
        </w:rPr>
        <w:t xml:space="preserve"> (</w:t>
      </w:r>
      <w:r w:rsidR="003F1001" w:rsidRPr="009A41B2">
        <w:rPr>
          <w:rFonts w:ascii="Times New Roman" w:hAnsi="Times New Roman" w:cs="Times New Roman"/>
        </w:rPr>
        <w:t>Tosta</w:t>
      </w:r>
      <w:r w:rsidR="003F1001">
        <w:rPr>
          <w:rFonts w:ascii="Times New Roman" w:hAnsi="Times New Roman" w:cs="Times New Roman"/>
        </w:rPr>
        <w:t xml:space="preserve"> et al., 2019</w:t>
      </w:r>
      <w:r w:rsidR="003F1001">
        <w:rPr>
          <w:rFonts w:ascii="Times New Roman" w:eastAsia="Times New Roman" w:hAnsi="Times New Roman" w:cs="Times New Roman"/>
          <w:kern w:val="0"/>
          <w14:ligatures w14:val="none"/>
        </w:rPr>
        <w:t>)</w:t>
      </w:r>
      <w:r w:rsidRPr="00151DEF">
        <w:rPr>
          <w:rFonts w:ascii="Times New Roman" w:eastAsia="Times New Roman" w:hAnsi="Times New Roman" w:cs="Times New Roman"/>
          <w:kern w:val="0"/>
          <w14:ligatures w14:val="none"/>
        </w:rPr>
        <w:t>.</w:t>
      </w:r>
      <w:r>
        <w:rPr>
          <w:rFonts w:ascii="Times New Roman" w:eastAsia="Times New Roman" w:hAnsi="Times New Roman" w:cs="Times New Roman"/>
          <w:kern w:val="0"/>
          <w14:ligatures w14:val="none"/>
        </w:rPr>
        <w:t xml:space="preserve"> </w:t>
      </w:r>
      <w:r w:rsidRPr="0055079B">
        <w:rPr>
          <w:rFonts w:ascii="Times New Roman" w:hAnsi="Times New Roman" w:cs="Times New Roman"/>
        </w:rPr>
        <w:t>It is the most widely used stain in medical diagnosis and is often the gold standard. For example, when a pathologist looks at a biopsy of a suspected cancer, the histological section is likely to be stained with H&amp;E.</w:t>
      </w:r>
      <w:r w:rsidRPr="00151DEF">
        <w:rPr>
          <w:rFonts w:ascii="Times New Roman" w:eastAsia="Times New Roman" w:hAnsi="Times New Roman" w:cs="Times New Roman"/>
          <w:kern w:val="0"/>
          <w14:ligatures w14:val="none"/>
        </w:rPr>
        <w:t xml:space="preserve"> Eosin stains cell cytoplasm and most connective tissue fibers in a variety of pink, orange, and red hues, while hematoxylin stains cell nuclei blue-black, displaying clear intranuclear detail</w:t>
      </w:r>
      <w:r w:rsidR="003F1001">
        <w:rPr>
          <w:rFonts w:ascii="Times New Roman" w:eastAsia="Times New Roman" w:hAnsi="Times New Roman" w:cs="Times New Roman"/>
          <w:kern w:val="0"/>
          <w14:ligatures w14:val="none"/>
        </w:rPr>
        <w:t xml:space="preserve"> (</w:t>
      </w:r>
      <w:r w:rsidR="003F1001" w:rsidRPr="009A41B2">
        <w:rPr>
          <w:rFonts w:ascii="Times New Roman" w:hAnsi="Times New Roman" w:cs="Times New Roman"/>
        </w:rPr>
        <w:t>Raskin</w:t>
      </w:r>
      <w:r w:rsidR="003F1001">
        <w:rPr>
          <w:rFonts w:ascii="Times New Roman" w:hAnsi="Times New Roman" w:cs="Times New Roman"/>
        </w:rPr>
        <w:t xml:space="preserve"> et al., 2021</w:t>
      </w:r>
      <w:r w:rsidR="003F1001">
        <w:rPr>
          <w:rFonts w:ascii="Times New Roman" w:eastAsia="Times New Roman" w:hAnsi="Times New Roman" w:cs="Times New Roman"/>
          <w:kern w:val="0"/>
          <w14:ligatures w14:val="none"/>
        </w:rPr>
        <w:t>)</w:t>
      </w:r>
      <w:r w:rsidRPr="00151DEF">
        <w:rPr>
          <w:rFonts w:ascii="Times New Roman" w:eastAsia="Times New Roman" w:hAnsi="Times New Roman" w:cs="Times New Roman"/>
          <w:kern w:val="0"/>
          <w14:ligatures w14:val="none"/>
        </w:rPr>
        <w:t>.</w:t>
      </w:r>
      <w:r>
        <w:rPr>
          <w:rFonts w:ascii="Times New Roman" w:hAnsi="Times New Roman" w:cs="Times New Roman"/>
        </w:rPr>
        <w:t xml:space="preserve"> </w:t>
      </w:r>
      <w:proofErr w:type="gramStart"/>
      <w:r>
        <w:rPr>
          <w:rFonts w:ascii="Times New Roman" w:hAnsi="Times New Roman" w:cs="Times New Roman"/>
        </w:rPr>
        <w:t xml:space="preserve">The </w:t>
      </w:r>
      <w:r w:rsidRPr="00151DEF">
        <w:rPr>
          <w:rFonts w:ascii="Times New Roman" w:hAnsi="Times New Roman" w:cs="Times New Roman"/>
        </w:rPr>
        <w:t xml:space="preserve"> H</w:t>
      </w:r>
      <w:proofErr w:type="gramEnd"/>
      <w:r w:rsidRPr="00151DEF">
        <w:rPr>
          <w:rFonts w:ascii="Times New Roman" w:hAnsi="Times New Roman" w:cs="Times New Roman"/>
        </w:rPr>
        <w:t>&amp;E provides a general overview of kidney architecture and cellular structure</w:t>
      </w:r>
      <w:r w:rsidR="004F5B87">
        <w:rPr>
          <w:rFonts w:ascii="Times New Roman" w:hAnsi="Times New Roman" w:cs="Times New Roman"/>
        </w:rPr>
        <w:t xml:space="preserve"> (see figure 1)</w:t>
      </w:r>
      <w:r w:rsidRPr="00151DEF">
        <w:rPr>
          <w:rFonts w:ascii="Times New Roman" w:hAnsi="Times New Roman" w:cs="Times New Roman"/>
        </w:rPr>
        <w:t>.</w:t>
      </w:r>
      <w:r w:rsidR="004F5B87">
        <w:rPr>
          <w:rFonts w:ascii="Times New Roman" w:hAnsi="Times New Roman" w:cs="Times New Roman"/>
        </w:rPr>
        <w:t xml:space="preserve"> </w:t>
      </w:r>
      <w:r>
        <w:rPr>
          <w:rFonts w:ascii="Times New Roman" w:hAnsi="Times New Roman" w:cs="Times New Roman"/>
        </w:rPr>
        <w:t xml:space="preserve"> </w:t>
      </w:r>
    </w:p>
    <w:p w14:paraId="7FDAB7A9" w14:textId="4851A299" w:rsidR="00EA1BE7" w:rsidRDefault="00C11AF4" w:rsidP="00D05C74">
      <w:pPr>
        <w:spacing w:line="276" w:lineRule="auto"/>
        <w:jc w:val="both"/>
        <w:rPr>
          <w:rFonts w:ascii="Times New Roman" w:hAnsi="Times New Roman" w:cs="Times New Roman"/>
          <w:b/>
          <w:bCs/>
        </w:rPr>
      </w:pPr>
      <w:r>
        <w:rPr>
          <w:rFonts w:ascii="Times New Roman" w:hAnsi="Times New Roman" w:cs="Times New Roman"/>
          <w:b/>
          <w:bCs/>
        </w:rPr>
        <w:t>3.1.2</w:t>
      </w:r>
      <w:r>
        <w:rPr>
          <w:rFonts w:ascii="Times New Roman" w:hAnsi="Times New Roman" w:cs="Times New Roman"/>
          <w:b/>
          <w:bCs/>
        </w:rPr>
        <w:tab/>
      </w:r>
      <w:r w:rsidR="00EA1BE7" w:rsidRPr="00151DEF">
        <w:rPr>
          <w:rFonts w:ascii="Times New Roman" w:hAnsi="Times New Roman" w:cs="Times New Roman"/>
          <w:b/>
          <w:bCs/>
        </w:rPr>
        <w:t>Masson's Trichrome</w:t>
      </w:r>
      <w:r w:rsidR="00EA1BE7">
        <w:rPr>
          <w:rFonts w:ascii="Times New Roman" w:hAnsi="Times New Roman" w:cs="Times New Roman"/>
          <w:b/>
          <w:bCs/>
        </w:rPr>
        <w:t xml:space="preserve"> </w:t>
      </w:r>
    </w:p>
    <w:p w14:paraId="4602FB8B" w14:textId="52403539" w:rsidR="00800EEC" w:rsidRDefault="00EA1BE7" w:rsidP="00D05C74">
      <w:pPr>
        <w:spacing w:line="276" w:lineRule="auto"/>
        <w:jc w:val="both"/>
        <w:rPr>
          <w:rFonts w:ascii="Times New Roman" w:hAnsi="Times New Roman" w:cs="Times New Roman"/>
        </w:rPr>
      </w:pPr>
      <w:r w:rsidRPr="00EA1BE7">
        <w:rPr>
          <w:rFonts w:ascii="Times New Roman" w:hAnsi="Times New Roman" w:cs="Times New Roman"/>
        </w:rPr>
        <w:t>This stain differentiates muscle, collagen, and cytoplasm. Acid Fuchsin stains muscle fibers and cytoplasm red, while aniline blue stains collagen blue</w:t>
      </w:r>
      <w:r w:rsidR="003F1001">
        <w:rPr>
          <w:rFonts w:ascii="Times New Roman" w:hAnsi="Times New Roman" w:cs="Times New Roman"/>
        </w:rPr>
        <w:t xml:space="preserve"> (</w:t>
      </w:r>
      <w:r w:rsidR="003F1001" w:rsidRPr="009A41B2">
        <w:rPr>
          <w:rFonts w:ascii="Times New Roman" w:hAnsi="Times New Roman" w:cs="Times New Roman"/>
        </w:rPr>
        <w:t>Dey</w:t>
      </w:r>
      <w:r w:rsidR="003F1001">
        <w:rPr>
          <w:rFonts w:ascii="Times New Roman" w:hAnsi="Times New Roman" w:cs="Times New Roman"/>
        </w:rPr>
        <w:t>, 2023)</w:t>
      </w:r>
      <w:r w:rsidRPr="00EA1BE7">
        <w:rPr>
          <w:rFonts w:ascii="Times New Roman" w:hAnsi="Times New Roman" w:cs="Times New Roman"/>
        </w:rPr>
        <w:t>. It helps assess glomerular basement membrane thickening and fibrosis in diseases such as glomerulonephritis</w:t>
      </w:r>
      <w:r w:rsidR="004F5B87">
        <w:rPr>
          <w:rFonts w:ascii="Times New Roman" w:hAnsi="Times New Roman" w:cs="Times New Roman"/>
        </w:rPr>
        <w:t xml:space="preserve"> (see figure 2)</w:t>
      </w:r>
      <w:r w:rsidRPr="00EA1BE7">
        <w:rPr>
          <w:rFonts w:ascii="Times New Roman" w:hAnsi="Times New Roman" w:cs="Times New Roman"/>
        </w:rPr>
        <w:t>.</w:t>
      </w:r>
    </w:p>
    <w:p w14:paraId="71B8E269" w14:textId="3054F335" w:rsidR="00EA1BE7" w:rsidRDefault="00C11AF4" w:rsidP="00D05C74">
      <w:pPr>
        <w:spacing w:line="276" w:lineRule="auto"/>
        <w:jc w:val="both"/>
        <w:rPr>
          <w:rFonts w:ascii="Times New Roman" w:hAnsi="Times New Roman" w:cs="Times New Roman"/>
        </w:rPr>
      </w:pPr>
      <w:r>
        <w:rPr>
          <w:rFonts w:ascii="Times New Roman" w:hAnsi="Times New Roman" w:cs="Times New Roman"/>
          <w:b/>
          <w:bCs/>
        </w:rPr>
        <w:t>3.1.4</w:t>
      </w:r>
      <w:r>
        <w:rPr>
          <w:rFonts w:ascii="Times New Roman" w:hAnsi="Times New Roman" w:cs="Times New Roman"/>
          <w:b/>
          <w:bCs/>
        </w:rPr>
        <w:tab/>
      </w:r>
      <w:r w:rsidR="00EA1BE7" w:rsidRPr="00151DEF">
        <w:rPr>
          <w:rFonts w:ascii="Times New Roman" w:hAnsi="Times New Roman" w:cs="Times New Roman"/>
          <w:b/>
          <w:bCs/>
        </w:rPr>
        <w:t>Silver Stain:</w:t>
      </w:r>
      <w:r w:rsidR="00EA1BE7" w:rsidRPr="00151DEF">
        <w:rPr>
          <w:rFonts w:ascii="Times New Roman" w:hAnsi="Times New Roman" w:cs="Times New Roman"/>
        </w:rPr>
        <w:t xml:space="preserve"> </w:t>
      </w:r>
    </w:p>
    <w:p w14:paraId="5CD2C0FE" w14:textId="77777777" w:rsidR="00EA1BE7" w:rsidRPr="0087468A" w:rsidRDefault="00EA1BE7" w:rsidP="00D05C74">
      <w:pPr>
        <w:spacing w:line="276" w:lineRule="auto"/>
        <w:jc w:val="both"/>
        <w:rPr>
          <w:rFonts w:ascii="Times New Roman" w:hAnsi="Times New Roman" w:cs="Times New Roman"/>
        </w:rPr>
      </w:pPr>
      <w:r w:rsidRPr="0087468A">
        <w:rPr>
          <w:rFonts w:ascii="Times New Roman" w:hAnsi="Times New Roman" w:cs="Times New Roman"/>
        </w:rPr>
        <w:t>This stain highlights basement membrane proteins, particularly collagen type IV, by impregnating tissue with silver, which reduces to form a black deposit. It is useful in detecting glomerular damage and basement membrane irregularities in membranous nephropathy</w:t>
      </w:r>
      <w:r w:rsidR="0087468A">
        <w:rPr>
          <w:rFonts w:ascii="Times New Roman" w:hAnsi="Times New Roman" w:cs="Times New Roman"/>
        </w:rPr>
        <w:t xml:space="preserve"> (</w:t>
      </w:r>
      <w:proofErr w:type="spellStart"/>
      <w:r w:rsidR="0087468A" w:rsidRPr="009A41B2">
        <w:rPr>
          <w:rFonts w:ascii="Times New Roman" w:hAnsi="Times New Roman" w:cs="Times New Roman"/>
        </w:rPr>
        <w:t>Edakabasi</w:t>
      </w:r>
      <w:proofErr w:type="spellEnd"/>
      <w:r w:rsidR="0087468A">
        <w:rPr>
          <w:rFonts w:ascii="Times New Roman" w:hAnsi="Times New Roman" w:cs="Times New Roman"/>
        </w:rPr>
        <w:t xml:space="preserve"> et al., 2024)</w:t>
      </w:r>
      <w:r w:rsidRPr="0087468A">
        <w:rPr>
          <w:rFonts w:ascii="Times New Roman" w:hAnsi="Times New Roman" w:cs="Times New Roman"/>
        </w:rPr>
        <w:t>.</w:t>
      </w:r>
    </w:p>
    <w:p w14:paraId="1C42AB04" w14:textId="77777777" w:rsidR="0087468A" w:rsidRDefault="0087468A" w:rsidP="00D05C74">
      <w:pPr>
        <w:spacing w:line="276" w:lineRule="auto"/>
        <w:rPr>
          <w:rFonts w:ascii="Times New Roman" w:hAnsi="Times New Roman" w:cs="Times New Roman"/>
          <w:b/>
          <w:bCs/>
        </w:rPr>
      </w:pPr>
      <w:r>
        <w:rPr>
          <w:rFonts w:ascii="Times New Roman" w:hAnsi="Times New Roman" w:cs="Times New Roman"/>
          <w:b/>
          <w:bCs/>
        </w:rPr>
        <w:br w:type="page"/>
      </w:r>
    </w:p>
    <w:p w14:paraId="44A76AA8" w14:textId="67D728C2" w:rsidR="00EA1BE7" w:rsidRPr="00151DEF" w:rsidRDefault="00C11AF4" w:rsidP="00D05C74">
      <w:pPr>
        <w:spacing w:line="276" w:lineRule="auto"/>
        <w:jc w:val="both"/>
        <w:rPr>
          <w:rFonts w:ascii="Times New Roman" w:hAnsi="Times New Roman" w:cs="Times New Roman"/>
          <w:b/>
          <w:bCs/>
        </w:rPr>
      </w:pPr>
      <w:r>
        <w:rPr>
          <w:rFonts w:ascii="Times New Roman" w:hAnsi="Times New Roman" w:cs="Times New Roman"/>
          <w:b/>
          <w:bCs/>
        </w:rPr>
        <w:lastRenderedPageBreak/>
        <w:t>3.2</w:t>
      </w:r>
      <w:r w:rsidR="00EA1BE7" w:rsidRPr="00151DEF">
        <w:rPr>
          <w:rFonts w:ascii="Times New Roman" w:hAnsi="Times New Roman" w:cs="Times New Roman"/>
          <w:b/>
          <w:bCs/>
        </w:rPr>
        <w:t>. Lipids</w:t>
      </w:r>
      <w:r w:rsidR="00EA1BE7">
        <w:rPr>
          <w:rFonts w:ascii="Times New Roman" w:hAnsi="Times New Roman" w:cs="Times New Roman"/>
          <w:b/>
          <w:bCs/>
        </w:rPr>
        <w:t xml:space="preserve"> molecules </w:t>
      </w:r>
    </w:p>
    <w:p w14:paraId="65B37D54" w14:textId="77777777" w:rsidR="00EA1BE7" w:rsidRPr="00151DEF" w:rsidRDefault="00EA1BE7" w:rsidP="00D05C74">
      <w:pPr>
        <w:spacing w:line="276" w:lineRule="auto"/>
        <w:jc w:val="both"/>
        <w:rPr>
          <w:rFonts w:ascii="Times New Roman" w:hAnsi="Times New Roman" w:cs="Times New Roman"/>
        </w:rPr>
      </w:pPr>
      <w:r w:rsidRPr="00151DEF">
        <w:rPr>
          <w:rFonts w:ascii="Times New Roman" w:hAnsi="Times New Roman" w:cs="Times New Roman"/>
        </w:rPr>
        <w:t>Lipids play a key role in cell membrane integrity and energy storage within the kidney. They are found in podocyte membranes, endothelial cells, and tubular epithelial cells. Lipid accumulation in the kidney can result from metabolic disorders or glomerular dysfunction</w:t>
      </w:r>
      <w:r w:rsidR="0087468A">
        <w:rPr>
          <w:rFonts w:ascii="Times New Roman" w:hAnsi="Times New Roman" w:cs="Times New Roman"/>
        </w:rPr>
        <w:t xml:space="preserve"> (</w:t>
      </w:r>
      <w:r w:rsidR="0087468A" w:rsidRPr="009A41B2">
        <w:rPr>
          <w:rFonts w:ascii="Times New Roman" w:hAnsi="Times New Roman" w:cs="Times New Roman"/>
        </w:rPr>
        <w:t>Ren</w:t>
      </w:r>
      <w:r w:rsidR="0087468A">
        <w:rPr>
          <w:rFonts w:ascii="Times New Roman" w:hAnsi="Times New Roman" w:cs="Times New Roman"/>
        </w:rPr>
        <w:t xml:space="preserve"> et al., 2023)</w:t>
      </w:r>
      <w:r w:rsidRPr="00151DEF">
        <w:rPr>
          <w:rFonts w:ascii="Times New Roman" w:hAnsi="Times New Roman" w:cs="Times New Roman"/>
        </w:rPr>
        <w:t>.</w:t>
      </w:r>
    </w:p>
    <w:p w14:paraId="31DBF89A" w14:textId="13F58DC2" w:rsidR="00EA1BE7" w:rsidRPr="0021118F" w:rsidRDefault="00C11AF4" w:rsidP="00D05C74">
      <w:pPr>
        <w:spacing w:line="276" w:lineRule="auto"/>
        <w:jc w:val="both"/>
        <w:rPr>
          <w:rFonts w:ascii="Times New Roman" w:hAnsi="Times New Roman" w:cs="Times New Roman"/>
          <w:b/>
          <w:bCs/>
        </w:rPr>
      </w:pPr>
      <w:r>
        <w:rPr>
          <w:rFonts w:ascii="Times New Roman" w:hAnsi="Times New Roman" w:cs="Times New Roman"/>
          <w:b/>
          <w:bCs/>
        </w:rPr>
        <w:t>3.2.1</w:t>
      </w:r>
      <w:r>
        <w:rPr>
          <w:rFonts w:ascii="Times New Roman" w:hAnsi="Times New Roman" w:cs="Times New Roman"/>
          <w:b/>
          <w:bCs/>
        </w:rPr>
        <w:tab/>
      </w:r>
      <w:r w:rsidR="00EA1BE7" w:rsidRPr="0021118F">
        <w:rPr>
          <w:rFonts w:ascii="Times New Roman" w:hAnsi="Times New Roman" w:cs="Times New Roman"/>
          <w:b/>
          <w:bCs/>
        </w:rPr>
        <w:t>Oil Red O</w:t>
      </w:r>
    </w:p>
    <w:p w14:paraId="5EDCF3CD" w14:textId="77777777" w:rsidR="00EA1BE7" w:rsidRPr="0021118F" w:rsidRDefault="00EA1BE7" w:rsidP="00D05C74">
      <w:pPr>
        <w:spacing w:line="276" w:lineRule="auto"/>
        <w:jc w:val="both"/>
        <w:rPr>
          <w:rFonts w:ascii="Times New Roman" w:hAnsi="Times New Roman" w:cs="Times New Roman"/>
        </w:rPr>
      </w:pPr>
      <w:r w:rsidRPr="0021118F">
        <w:rPr>
          <w:rFonts w:ascii="Times New Roman" w:hAnsi="Times New Roman" w:cs="Times New Roman"/>
        </w:rPr>
        <w:t>Oil Red O is a lipophilic (fat-loving) diazo dye that dissolves in lipids and selectively stains neutral lipids, such as triglycerides and lipid droplets, red</w:t>
      </w:r>
      <w:r w:rsidR="0087468A">
        <w:rPr>
          <w:rFonts w:ascii="Times New Roman" w:hAnsi="Times New Roman" w:cs="Times New Roman"/>
        </w:rPr>
        <w:t xml:space="preserve"> (</w:t>
      </w:r>
      <w:r w:rsidR="0087468A" w:rsidRPr="009A41B2">
        <w:rPr>
          <w:rFonts w:ascii="Times New Roman" w:hAnsi="Times New Roman" w:cs="Times New Roman"/>
        </w:rPr>
        <w:t>Du</w:t>
      </w:r>
      <w:r w:rsidR="0087468A">
        <w:rPr>
          <w:rFonts w:ascii="Times New Roman" w:hAnsi="Times New Roman" w:cs="Times New Roman"/>
        </w:rPr>
        <w:t xml:space="preserve"> et al., 2023)</w:t>
      </w:r>
      <w:r w:rsidRPr="0021118F">
        <w:rPr>
          <w:rFonts w:ascii="Times New Roman" w:hAnsi="Times New Roman" w:cs="Times New Roman"/>
        </w:rPr>
        <w:t>. This makes it ideal for identifying fat accumulation in tissues.</w:t>
      </w:r>
      <w:r>
        <w:rPr>
          <w:rFonts w:ascii="Times New Roman" w:hAnsi="Times New Roman" w:cs="Times New Roman"/>
        </w:rPr>
        <w:t xml:space="preserve"> </w:t>
      </w:r>
      <w:r w:rsidRPr="0021118F">
        <w:rPr>
          <w:rFonts w:ascii="Times New Roman" w:hAnsi="Times New Roman" w:cs="Times New Roman"/>
        </w:rPr>
        <w:t>The staining process involves dissolving Oil Red O in an organic solvent like isopropanol</w:t>
      </w:r>
      <w:r w:rsidR="0087468A">
        <w:rPr>
          <w:rFonts w:ascii="Times New Roman" w:hAnsi="Times New Roman" w:cs="Times New Roman"/>
        </w:rPr>
        <w:t xml:space="preserve"> (</w:t>
      </w:r>
      <w:r w:rsidR="0087468A" w:rsidRPr="009A41B2">
        <w:rPr>
          <w:rFonts w:ascii="Times New Roman" w:hAnsi="Times New Roman" w:cs="Times New Roman"/>
        </w:rPr>
        <w:t>Du</w:t>
      </w:r>
      <w:r w:rsidR="0087468A">
        <w:rPr>
          <w:rFonts w:ascii="Times New Roman" w:hAnsi="Times New Roman" w:cs="Times New Roman"/>
        </w:rPr>
        <w:t xml:space="preserve"> et al., 2023)</w:t>
      </w:r>
      <w:r w:rsidRPr="0021118F">
        <w:rPr>
          <w:rFonts w:ascii="Times New Roman" w:hAnsi="Times New Roman" w:cs="Times New Roman"/>
        </w:rPr>
        <w:t>. The dye then diffuses into the lipid components of the tissue</w:t>
      </w:r>
      <w:r w:rsidR="0087468A">
        <w:rPr>
          <w:rFonts w:ascii="Times New Roman" w:hAnsi="Times New Roman" w:cs="Times New Roman"/>
        </w:rPr>
        <w:t xml:space="preserve"> (</w:t>
      </w:r>
      <w:r w:rsidR="0087468A" w:rsidRPr="009A41B2">
        <w:rPr>
          <w:rFonts w:ascii="Times New Roman" w:hAnsi="Times New Roman" w:cs="Times New Roman"/>
        </w:rPr>
        <w:t>Horobin</w:t>
      </w:r>
      <w:r w:rsidR="0087468A">
        <w:rPr>
          <w:rFonts w:ascii="Times New Roman" w:hAnsi="Times New Roman" w:cs="Times New Roman"/>
        </w:rPr>
        <w:t xml:space="preserve"> et </w:t>
      </w:r>
      <w:proofErr w:type="gramStart"/>
      <w:r w:rsidR="0087468A">
        <w:rPr>
          <w:rFonts w:ascii="Times New Roman" w:hAnsi="Times New Roman" w:cs="Times New Roman"/>
        </w:rPr>
        <w:t>al,,</w:t>
      </w:r>
      <w:proofErr w:type="gramEnd"/>
      <w:r w:rsidR="0087468A">
        <w:rPr>
          <w:rFonts w:ascii="Times New Roman" w:hAnsi="Times New Roman" w:cs="Times New Roman"/>
        </w:rPr>
        <w:t xml:space="preserve"> 2010)</w:t>
      </w:r>
      <w:r w:rsidRPr="0021118F">
        <w:rPr>
          <w:rFonts w:ascii="Times New Roman" w:hAnsi="Times New Roman" w:cs="Times New Roman"/>
        </w:rPr>
        <w:t>. Lipids retain the dye, which makes them visible as red-stained structures under a light microscope.</w:t>
      </w:r>
      <w:r>
        <w:rPr>
          <w:rFonts w:ascii="Times New Roman" w:hAnsi="Times New Roman" w:cs="Times New Roman"/>
        </w:rPr>
        <w:t xml:space="preserve"> </w:t>
      </w:r>
      <w:r w:rsidRPr="0021118F">
        <w:rPr>
          <w:rFonts w:ascii="Times New Roman" w:hAnsi="Times New Roman" w:cs="Times New Roman"/>
        </w:rPr>
        <w:t>Oil Red O is commonly used to detect fat accumulation in tissues and is especially useful for diagnosing metabolic diseases like fatty liver disease and atherosclerosis</w:t>
      </w:r>
      <w:r w:rsidR="0087468A">
        <w:rPr>
          <w:rFonts w:ascii="Times New Roman" w:hAnsi="Times New Roman" w:cs="Times New Roman"/>
        </w:rPr>
        <w:t xml:space="preserve"> (</w:t>
      </w:r>
      <w:r w:rsidR="0087468A" w:rsidRPr="009A41B2">
        <w:rPr>
          <w:rFonts w:ascii="Times New Roman" w:hAnsi="Times New Roman" w:cs="Times New Roman"/>
        </w:rPr>
        <w:t>Levene</w:t>
      </w:r>
      <w:r w:rsidR="0087468A">
        <w:rPr>
          <w:rFonts w:ascii="Times New Roman" w:hAnsi="Times New Roman" w:cs="Times New Roman"/>
        </w:rPr>
        <w:t xml:space="preserve"> et al., 2010)</w:t>
      </w:r>
      <w:r w:rsidRPr="0021118F">
        <w:rPr>
          <w:rFonts w:ascii="Times New Roman" w:hAnsi="Times New Roman" w:cs="Times New Roman"/>
        </w:rPr>
        <w:t>. However, it cannot be used with paraffin-embedded tissues since lipids are removed during processing. Therefore, frozen tissue sections are required to retain lipid content.</w:t>
      </w:r>
    </w:p>
    <w:p w14:paraId="5D81E0BA" w14:textId="32C07859" w:rsidR="00EA1BE7" w:rsidRPr="0021118F" w:rsidRDefault="00C11AF4" w:rsidP="00D05C74">
      <w:pPr>
        <w:spacing w:line="276" w:lineRule="auto"/>
        <w:jc w:val="both"/>
        <w:rPr>
          <w:rFonts w:ascii="Times New Roman" w:hAnsi="Times New Roman" w:cs="Times New Roman"/>
          <w:b/>
          <w:bCs/>
        </w:rPr>
      </w:pPr>
      <w:r>
        <w:rPr>
          <w:rFonts w:ascii="Times New Roman" w:hAnsi="Times New Roman" w:cs="Times New Roman"/>
          <w:b/>
          <w:bCs/>
        </w:rPr>
        <w:t>3.2.3</w:t>
      </w:r>
      <w:r>
        <w:rPr>
          <w:rFonts w:ascii="Times New Roman" w:hAnsi="Times New Roman" w:cs="Times New Roman"/>
          <w:b/>
          <w:bCs/>
        </w:rPr>
        <w:tab/>
      </w:r>
      <w:r w:rsidR="00EA1BE7" w:rsidRPr="0021118F">
        <w:rPr>
          <w:rFonts w:ascii="Times New Roman" w:hAnsi="Times New Roman" w:cs="Times New Roman"/>
          <w:b/>
          <w:bCs/>
        </w:rPr>
        <w:t>Sudan Black B</w:t>
      </w:r>
    </w:p>
    <w:p w14:paraId="5A9736EE" w14:textId="77777777" w:rsidR="00EA1BE7" w:rsidRPr="0021118F" w:rsidRDefault="00EA1BE7" w:rsidP="00D05C74">
      <w:pPr>
        <w:spacing w:line="276" w:lineRule="auto"/>
        <w:jc w:val="both"/>
        <w:rPr>
          <w:rFonts w:ascii="Times New Roman" w:hAnsi="Times New Roman" w:cs="Times New Roman"/>
        </w:rPr>
      </w:pPr>
      <w:r w:rsidRPr="0021118F">
        <w:rPr>
          <w:rFonts w:ascii="Times New Roman" w:hAnsi="Times New Roman" w:cs="Times New Roman"/>
        </w:rPr>
        <w:t>Sudan Black B is another lipophilic dye that binds to both neutral lipids and phospholipids, staining them black</w:t>
      </w:r>
      <w:r w:rsidR="0087468A">
        <w:rPr>
          <w:rFonts w:ascii="Times New Roman" w:hAnsi="Times New Roman" w:cs="Times New Roman"/>
        </w:rPr>
        <w:t xml:space="preserve"> (</w:t>
      </w:r>
      <w:r w:rsidR="0087468A" w:rsidRPr="009A41B2">
        <w:rPr>
          <w:rFonts w:ascii="Times New Roman" w:hAnsi="Times New Roman" w:cs="Times New Roman"/>
        </w:rPr>
        <w:t>Beynon</w:t>
      </w:r>
      <w:r w:rsidR="0087468A">
        <w:rPr>
          <w:rFonts w:ascii="Times New Roman" w:hAnsi="Times New Roman" w:cs="Times New Roman"/>
        </w:rPr>
        <w:t>, 1976)</w:t>
      </w:r>
      <w:r w:rsidRPr="0021118F">
        <w:rPr>
          <w:rFonts w:ascii="Times New Roman" w:hAnsi="Times New Roman" w:cs="Times New Roman"/>
        </w:rPr>
        <w:t>. It is particularly useful for identifying lipid-rich areas in frozen tissue sections.</w:t>
      </w:r>
      <w:r>
        <w:rPr>
          <w:rFonts w:ascii="Times New Roman" w:hAnsi="Times New Roman" w:cs="Times New Roman"/>
        </w:rPr>
        <w:t xml:space="preserve"> </w:t>
      </w:r>
      <w:r w:rsidRPr="0021118F">
        <w:rPr>
          <w:rFonts w:ascii="Times New Roman" w:hAnsi="Times New Roman" w:cs="Times New Roman"/>
        </w:rPr>
        <w:t>The dye is prepared in an organic solvent, such as ethanol, which allows it to penetrate tissue sections</w:t>
      </w:r>
      <w:r w:rsidR="0087468A">
        <w:rPr>
          <w:rFonts w:ascii="Times New Roman" w:hAnsi="Times New Roman" w:cs="Times New Roman"/>
        </w:rPr>
        <w:t xml:space="preserve"> (</w:t>
      </w:r>
      <w:r w:rsidR="0087468A" w:rsidRPr="009A41B2">
        <w:rPr>
          <w:rFonts w:ascii="Times New Roman" w:hAnsi="Times New Roman" w:cs="Times New Roman"/>
        </w:rPr>
        <w:t>Jones</w:t>
      </w:r>
      <w:r w:rsidR="0087468A">
        <w:rPr>
          <w:rFonts w:ascii="Times New Roman" w:hAnsi="Times New Roman" w:cs="Times New Roman"/>
        </w:rPr>
        <w:t xml:space="preserve"> et al., 2008)</w:t>
      </w:r>
      <w:r w:rsidRPr="0021118F">
        <w:rPr>
          <w:rFonts w:ascii="Times New Roman" w:hAnsi="Times New Roman" w:cs="Times New Roman"/>
        </w:rPr>
        <w:t>. Sudan Black B has a strong affinity for lipid components in the tissue</w:t>
      </w:r>
      <w:r w:rsidR="0087468A">
        <w:rPr>
          <w:rFonts w:ascii="Times New Roman" w:hAnsi="Times New Roman" w:cs="Times New Roman"/>
        </w:rPr>
        <w:t xml:space="preserve"> (</w:t>
      </w:r>
      <w:r w:rsidR="0087468A" w:rsidRPr="009A41B2">
        <w:rPr>
          <w:rFonts w:ascii="Times New Roman" w:hAnsi="Times New Roman" w:cs="Times New Roman"/>
        </w:rPr>
        <w:t>Frederiks</w:t>
      </w:r>
      <w:r w:rsidR="0087468A">
        <w:rPr>
          <w:rFonts w:ascii="Times New Roman" w:hAnsi="Times New Roman" w:cs="Times New Roman"/>
        </w:rPr>
        <w:t>, 1977)</w:t>
      </w:r>
      <w:r w:rsidRPr="0021118F">
        <w:rPr>
          <w:rFonts w:ascii="Times New Roman" w:hAnsi="Times New Roman" w:cs="Times New Roman"/>
        </w:rPr>
        <w:t>. Once bound, the stained lipids appear black under a microscope, providing a clear contrast.</w:t>
      </w:r>
      <w:r>
        <w:rPr>
          <w:rFonts w:ascii="Times New Roman" w:hAnsi="Times New Roman" w:cs="Times New Roman"/>
        </w:rPr>
        <w:t xml:space="preserve"> </w:t>
      </w:r>
      <w:r w:rsidRPr="0021118F">
        <w:rPr>
          <w:rFonts w:ascii="Times New Roman" w:hAnsi="Times New Roman" w:cs="Times New Roman"/>
        </w:rPr>
        <w:t>Sudan Black B is widely used for staining lipofuscin, a pigment linked to aging and oxidative stress. It also helps in studying fat metabolism and lipid storage disorders. Like Oil Red O, Sudan Black B is unsuitable for paraffin sections because the lipids are lost during processing</w:t>
      </w:r>
      <w:r w:rsidR="0087468A">
        <w:rPr>
          <w:rFonts w:ascii="Times New Roman" w:hAnsi="Times New Roman" w:cs="Times New Roman"/>
        </w:rPr>
        <w:t xml:space="preserve"> (</w:t>
      </w:r>
      <w:r w:rsidR="0087468A" w:rsidRPr="009A41B2">
        <w:rPr>
          <w:rFonts w:ascii="Times New Roman" w:hAnsi="Times New Roman" w:cs="Times New Roman"/>
        </w:rPr>
        <w:t>Frederiks</w:t>
      </w:r>
      <w:r w:rsidR="0087468A">
        <w:rPr>
          <w:rFonts w:ascii="Times New Roman" w:hAnsi="Times New Roman" w:cs="Times New Roman"/>
        </w:rPr>
        <w:t>, 1977)</w:t>
      </w:r>
      <w:r w:rsidRPr="0021118F">
        <w:rPr>
          <w:rFonts w:ascii="Times New Roman" w:hAnsi="Times New Roman" w:cs="Times New Roman"/>
        </w:rPr>
        <w:t>.</w:t>
      </w:r>
    </w:p>
    <w:p w14:paraId="76232FDC" w14:textId="16B144D4" w:rsidR="00EA1BE7" w:rsidRPr="0021118F" w:rsidRDefault="00C11AF4" w:rsidP="00D05C74">
      <w:pPr>
        <w:spacing w:line="276" w:lineRule="auto"/>
        <w:jc w:val="both"/>
        <w:rPr>
          <w:rFonts w:ascii="Times New Roman" w:hAnsi="Times New Roman" w:cs="Times New Roman"/>
          <w:b/>
          <w:bCs/>
        </w:rPr>
      </w:pPr>
      <w:r>
        <w:rPr>
          <w:rFonts w:ascii="Times New Roman" w:hAnsi="Times New Roman" w:cs="Times New Roman"/>
          <w:b/>
          <w:bCs/>
        </w:rPr>
        <w:t>3.2.4</w:t>
      </w:r>
      <w:r>
        <w:rPr>
          <w:rFonts w:ascii="Times New Roman" w:hAnsi="Times New Roman" w:cs="Times New Roman"/>
          <w:b/>
          <w:bCs/>
        </w:rPr>
        <w:tab/>
      </w:r>
      <w:r w:rsidR="00EA1BE7" w:rsidRPr="0021118F">
        <w:rPr>
          <w:rFonts w:ascii="Times New Roman" w:hAnsi="Times New Roman" w:cs="Times New Roman"/>
          <w:b/>
          <w:bCs/>
        </w:rPr>
        <w:t>Nile Red</w:t>
      </w:r>
    </w:p>
    <w:p w14:paraId="3EEFFE3D" w14:textId="77777777" w:rsidR="00EA1BE7" w:rsidRPr="00151DEF" w:rsidRDefault="00EA1BE7" w:rsidP="00D05C74">
      <w:pPr>
        <w:spacing w:line="276" w:lineRule="auto"/>
        <w:jc w:val="both"/>
        <w:rPr>
          <w:rFonts w:ascii="Times New Roman" w:hAnsi="Times New Roman" w:cs="Times New Roman"/>
        </w:rPr>
      </w:pPr>
      <w:r w:rsidRPr="0021118F">
        <w:rPr>
          <w:rFonts w:ascii="Times New Roman" w:hAnsi="Times New Roman" w:cs="Times New Roman"/>
        </w:rPr>
        <w:t>Nile Red is a fluorescent dye that binds to both neutral lipids (like triglycerides) and polar lipids (like phospholipids)</w:t>
      </w:r>
      <w:r w:rsidR="001374AD">
        <w:rPr>
          <w:rFonts w:ascii="Times New Roman" w:hAnsi="Times New Roman" w:cs="Times New Roman"/>
        </w:rPr>
        <w:t xml:space="preserve"> (</w:t>
      </w:r>
      <w:r w:rsidR="001374AD" w:rsidRPr="00894AA0">
        <w:rPr>
          <w:rFonts w:ascii="Times New Roman" w:hAnsi="Times New Roman" w:cs="Times New Roman"/>
        </w:rPr>
        <w:t>Rumin</w:t>
      </w:r>
      <w:r w:rsidR="001374AD">
        <w:rPr>
          <w:rFonts w:ascii="Times New Roman" w:hAnsi="Times New Roman" w:cs="Times New Roman"/>
        </w:rPr>
        <w:t xml:space="preserve"> et al., 2015)</w:t>
      </w:r>
      <w:r w:rsidRPr="0021118F">
        <w:rPr>
          <w:rFonts w:ascii="Times New Roman" w:hAnsi="Times New Roman" w:cs="Times New Roman"/>
        </w:rPr>
        <w:t>. When exposed to UV light, Nile Red shows red fluorescence for neutral lipids and yellow fluorescence for polar lipids, making it a versatile tool for visualizing lipid content.</w:t>
      </w:r>
      <w:r>
        <w:rPr>
          <w:rFonts w:ascii="Times New Roman" w:hAnsi="Times New Roman" w:cs="Times New Roman"/>
        </w:rPr>
        <w:t xml:space="preserve"> </w:t>
      </w:r>
      <w:r w:rsidRPr="0021118F">
        <w:rPr>
          <w:rFonts w:ascii="Times New Roman" w:hAnsi="Times New Roman" w:cs="Times New Roman"/>
        </w:rPr>
        <w:t>The staining process involves dissolving Nile Red in an organic solvent, which allows it to diffuse into the lipid components of the tissue. Under UV light, the dye emits fluorescence based on the type of lipid present, providing a high-contrast image.</w:t>
      </w:r>
      <w:r>
        <w:rPr>
          <w:rFonts w:ascii="Times New Roman" w:hAnsi="Times New Roman" w:cs="Times New Roman"/>
        </w:rPr>
        <w:t xml:space="preserve"> </w:t>
      </w:r>
      <w:r w:rsidRPr="0021118F">
        <w:rPr>
          <w:rFonts w:ascii="Times New Roman" w:hAnsi="Times New Roman" w:cs="Times New Roman"/>
        </w:rPr>
        <w:t>Nile Red is commonly used in fluorescence microscopy for studying lipid droplets, membranes, and lipid metabolism at a cellular level. Its high sensitivity makes it useful for detailed imaging of lipid-rich structures</w:t>
      </w:r>
      <w:r w:rsidR="001374AD">
        <w:rPr>
          <w:rFonts w:ascii="Times New Roman" w:hAnsi="Times New Roman" w:cs="Times New Roman"/>
        </w:rPr>
        <w:t xml:space="preserve"> (</w:t>
      </w:r>
      <w:r w:rsidR="001374AD" w:rsidRPr="00894AA0">
        <w:rPr>
          <w:rFonts w:ascii="Times New Roman" w:hAnsi="Times New Roman" w:cs="Times New Roman"/>
        </w:rPr>
        <w:t>Kiernan</w:t>
      </w:r>
      <w:r w:rsidR="001374AD">
        <w:rPr>
          <w:rFonts w:ascii="Times New Roman" w:hAnsi="Times New Roman" w:cs="Times New Roman"/>
        </w:rPr>
        <w:t>, 2007)</w:t>
      </w:r>
      <w:r w:rsidRPr="0021118F">
        <w:rPr>
          <w:rFonts w:ascii="Times New Roman" w:hAnsi="Times New Roman" w:cs="Times New Roman"/>
        </w:rPr>
        <w:t>. However, it requires a fluorescence microscope and careful handling to prevent photobleaching, which can reduce fluorescence intensity over time.</w:t>
      </w:r>
    </w:p>
    <w:p w14:paraId="17F9329E" w14:textId="72A7A956" w:rsidR="00EA1BE7" w:rsidRPr="00151DEF" w:rsidRDefault="00EA1BE7" w:rsidP="00D05C74">
      <w:pPr>
        <w:spacing w:line="276" w:lineRule="auto"/>
        <w:jc w:val="both"/>
        <w:rPr>
          <w:rFonts w:ascii="Times New Roman" w:hAnsi="Times New Roman" w:cs="Times New Roman"/>
          <w:b/>
          <w:bCs/>
        </w:rPr>
      </w:pPr>
      <w:r w:rsidRPr="00151DEF">
        <w:rPr>
          <w:rFonts w:ascii="Times New Roman" w:hAnsi="Times New Roman" w:cs="Times New Roman"/>
          <w:b/>
          <w:bCs/>
        </w:rPr>
        <w:lastRenderedPageBreak/>
        <w:t>3.</w:t>
      </w:r>
      <w:r w:rsidR="00C11AF4">
        <w:rPr>
          <w:rFonts w:ascii="Times New Roman" w:hAnsi="Times New Roman" w:cs="Times New Roman"/>
          <w:b/>
          <w:bCs/>
        </w:rPr>
        <w:t>3</w:t>
      </w:r>
      <w:r w:rsidRPr="00151DEF">
        <w:rPr>
          <w:rFonts w:ascii="Times New Roman" w:hAnsi="Times New Roman" w:cs="Times New Roman"/>
          <w:b/>
          <w:bCs/>
        </w:rPr>
        <w:t xml:space="preserve"> Carbohydrates</w:t>
      </w:r>
    </w:p>
    <w:p w14:paraId="4E17A3AD" w14:textId="77777777" w:rsidR="00EA1BE7" w:rsidRDefault="00EA1BE7" w:rsidP="00D05C74">
      <w:pPr>
        <w:spacing w:line="276" w:lineRule="auto"/>
        <w:jc w:val="both"/>
        <w:rPr>
          <w:rFonts w:ascii="Times New Roman" w:hAnsi="Times New Roman" w:cs="Times New Roman"/>
        </w:rPr>
      </w:pPr>
      <w:r w:rsidRPr="00151DEF">
        <w:rPr>
          <w:rFonts w:ascii="Times New Roman" w:hAnsi="Times New Roman" w:cs="Times New Roman"/>
        </w:rPr>
        <w:t>Carbohydrates in the kidney are mainly present as glycoproteins and glycogen. Glycoproteins are structural components of the glomerular basement membrane and brush border, while glycogen is stored in renal tubular epithelial cells</w:t>
      </w:r>
      <w:r w:rsidR="001374AD">
        <w:rPr>
          <w:rFonts w:ascii="Times New Roman" w:hAnsi="Times New Roman" w:cs="Times New Roman"/>
        </w:rPr>
        <w:t xml:space="preserve"> (</w:t>
      </w:r>
      <w:r w:rsidR="001374AD" w:rsidRPr="00894AA0">
        <w:rPr>
          <w:rFonts w:ascii="Times New Roman" w:hAnsi="Times New Roman" w:cs="Times New Roman"/>
        </w:rPr>
        <w:t>Massoud</w:t>
      </w:r>
      <w:r w:rsidR="001374AD">
        <w:rPr>
          <w:rFonts w:ascii="Times New Roman" w:hAnsi="Times New Roman" w:cs="Times New Roman"/>
        </w:rPr>
        <w:t xml:space="preserve"> et al., 2024)</w:t>
      </w:r>
      <w:r w:rsidRPr="00151DEF">
        <w:rPr>
          <w:rFonts w:ascii="Times New Roman" w:hAnsi="Times New Roman" w:cs="Times New Roman"/>
        </w:rPr>
        <w:t>.</w:t>
      </w:r>
      <w:r>
        <w:rPr>
          <w:rFonts w:ascii="Times New Roman" w:hAnsi="Times New Roman" w:cs="Times New Roman"/>
        </w:rPr>
        <w:t xml:space="preserve"> However, </w:t>
      </w:r>
      <w:r w:rsidRPr="0021118F">
        <w:rPr>
          <w:rFonts w:ascii="Times New Roman" w:hAnsi="Times New Roman" w:cs="Times New Roman"/>
        </w:rPr>
        <w:t>The Periodic Acid-Schiff (PAS) stain identifies carbohydrates by oxidizing hydroxyl groups to aldehydes, which then react with Schiff reagent to produce a magenta color. It highlights glycogen, basement membranes, and brush border glycoproteins. Alcian Blue binds to acidic mucopolysaccharides, staining them blue at an acidic pH, making it useful for identifying mucins and other acidic tissue components. Best Carmine stains glycogen red by forming a complex with glycogen molecules, providing a specific and contrasting visualization of glycogen in tissue samples</w:t>
      </w:r>
      <w:r w:rsidR="001374AD">
        <w:rPr>
          <w:rFonts w:ascii="Times New Roman" w:hAnsi="Times New Roman" w:cs="Times New Roman"/>
        </w:rPr>
        <w:t xml:space="preserve"> (</w:t>
      </w:r>
      <w:proofErr w:type="spellStart"/>
      <w:r w:rsidR="001374AD" w:rsidRPr="00894AA0">
        <w:rPr>
          <w:rFonts w:ascii="Times New Roman" w:hAnsi="Times New Roman" w:cs="Times New Roman"/>
        </w:rPr>
        <w:t>Javaeed</w:t>
      </w:r>
      <w:proofErr w:type="spellEnd"/>
      <w:r w:rsidR="001374AD">
        <w:rPr>
          <w:rFonts w:ascii="Times New Roman" w:hAnsi="Times New Roman" w:cs="Times New Roman"/>
        </w:rPr>
        <w:t xml:space="preserve"> et al., 2021)</w:t>
      </w:r>
      <w:r w:rsidRPr="0021118F">
        <w:rPr>
          <w:rFonts w:ascii="Times New Roman" w:hAnsi="Times New Roman" w:cs="Times New Roman"/>
        </w:rPr>
        <w:t>.</w:t>
      </w:r>
    </w:p>
    <w:p w14:paraId="13C7F649" w14:textId="7EAFA3C2" w:rsidR="007F1648" w:rsidRDefault="007F1648" w:rsidP="00D05C74">
      <w:pPr>
        <w:spacing w:line="276" w:lineRule="auto"/>
        <w:jc w:val="both"/>
        <w:rPr>
          <w:rFonts w:ascii="Times New Roman" w:hAnsi="Times New Roman" w:cs="Times New Roman"/>
        </w:rPr>
      </w:pPr>
      <w:r>
        <w:rPr>
          <w:rFonts w:ascii="Times New Roman" w:hAnsi="Times New Roman" w:cs="Times New Roman"/>
          <w:b/>
          <w:bCs/>
        </w:rPr>
        <w:t>3.3.1</w:t>
      </w:r>
      <w:r>
        <w:rPr>
          <w:rFonts w:ascii="Times New Roman" w:hAnsi="Times New Roman" w:cs="Times New Roman"/>
          <w:b/>
          <w:bCs/>
        </w:rPr>
        <w:tab/>
      </w:r>
      <w:r w:rsidRPr="00151DEF">
        <w:rPr>
          <w:rFonts w:ascii="Times New Roman" w:hAnsi="Times New Roman" w:cs="Times New Roman"/>
          <w:b/>
          <w:bCs/>
        </w:rPr>
        <w:t>Periodic Acid-Schiff (PAS):</w:t>
      </w:r>
      <w:r w:rsidRPr="00151DEF">
        <w:rPr>
          <w:rFonts w:ascii="Times New Roman" w:hAnsi="Times New Roman" w:cs="Times New Roman"/>
        </w:rPr>
        <w:t xml:space="preserve"> </w:t>
      </w:r>
    </w:p>
    <w:p w14:paraId="794004EA" w14:textId="77777777" w:rsidR="007F1648" w:rsidRPr="004136E1" w:rsidRDefault="007F1648" w:rsidP="00D05C74">
      <w:pPr>
        <w:spacing w:line="276" w:lineRule="auto"/>
        <w:jc w:val="both"/>
        <w:rPr>
          <w:rFonts w:ascii="Times New Roman" w:hAnsi="Times New Roman" w:cs="Times New Roman"/>
        </w:rPr>
      </w:pPr>
      <w:r w:rsidRPr="004136E1">
        <w:rPr>
          <w:rFonts w:ascii="Times New Roman" w:hAnsi="Times New Roman" w:cs="Times New Roman"/>
        </w:rPr>
        <w:t xml:space="preserve">Periodic acid–Schiff (PAS) staining is used to identify polysaccharides (e.g., glycogen) and </w:t>
      </w:r>
      <w:proofErr w:type="spellStart"/>
      <w:r w:rsidRPr="004136E1">
        <w:rPr>
          <w:rFonts w:ascii="Times New Roman" w:hAnsi="Times New Roman" w:cs="Times New Roman"/>
        </w:rPr>
        <w:t>mucosubstances</w:t>
      </w:r>
      <w:proofErr w:type="spellEnd"/>
      <w:r w:rsidRPr="004136E1">
        <w:rPr>
          <w:rFonts w:ascii="Times New Roman" w:hAnsi="Times New Roman" w:cs="Times New Roman"/>
        </w:rPr>
        <w:t xml:space="preserve"> (e.g., glycoproteins, glycolipids, and mucins) in tissues</w:t>
      </w:r>
      <w:r>
        <w:rPr>
          <w:rFonts w:ascii="Times New Roman" w:hAnsi="Times New Roman" w:cs="Times New Roman"/>
        </w:rPr>
        <w:t xml:space="preserve"> (</w:t>
      </w:r>
      <w:proofErr w:type="spellStart"/>
      <w:r w:rsidRPr="009A41B2">
        <w:rPr>
          <w:rFonts w:ascii="Times New Roman" w:hAnsi="Times New Roman" w:cs="Times New Roman"/>
        </w:rPr>
        <w:t>Szczubiał</w:t>
      </w:r>
      <w:proofErr w:type="spellEnd"/>
      <w:r>
        <w:rPr>
          <w:rFonts w:ascii="Times New Roman" w:hAnsi="Times New Roman" w:cs="Times New Roman"/>
        </w:rPr>
        <w:t xml:space="preserve"> et al., 2022)</w:t>
      </w:r>
      <w:r w:rsidRPr="004136E1">
        <w:rPr>
          <w:rFonts w:ascii="Times New Roman" w:hAnsi="Times New Roman" w:cs="Times New Roman"/>
        </w:rPr>
        <w:t>. The process involves the oxidation of vicinal diols (adjacent hydroxyl groups) in sugars by periodic acid, breaking the bond between two carbons in the monosaccharide ring</w:t>
      </w:r>
      <w:r>
        <w:rPr>
          <w:rFonts w:ascii="Times New Roman" w:hAnsi="Times New Roman" w:cs="Times New Roman"/>
        </w:rPr>
        <w:t xml:space="preserve"> (</w:t>
      </w:r>
      <w:r w:rsidRPr="009A41B2">
        <w:rPr>
          <w:rFonts w:ascii="Times New Roman" w:hAnsi="Times New Roman" w:cs="Times New Roman"/>
        </w:rPr>
        <w:t>Simon</w:t>
      </w:r>
      <w:r>
        <w:rPr>
          <w:rFonts w:ascii="Times New Roman" w:hAnsi="Times New Roman" w:cs="Times New Roman"/>
        </w:rPr>
        <w:t xml:space="preserve"> et al., 2023)</w:t>
      </w:r>
      <w:r w:rsidRPr="004136E1">
        <w:rPr>
          <w:rFonts w:ascii="Times New Roman" w:hAnsi="Times New Roman" w:cs="Times New Roman"/>
        </w:rPr>
        <w:t>. This creates two aldehyde groups at the ends of the broken ring.</w:t>
      </w:r>
    </w:p>
    <w:p w14:paraId="39F46606" w14:textId="6B2F1084" w:rsidR="00800EEC" w:rsidRDefault="007F1648" w:rsidP="00D05C74">
      <w:pPr>
        <w:spacing w:line="276" w:lineRule="auto"/>
        <w:jc w:val="both"/>
        <w:rPr>
          <w:rFonts w:ascii="Times New Roman" w:hAnsi="Times New Roman" w:cs="Times New Roman"/>
        </w:rPr>
      </w:pPr>
      <w:r w:rsidRPr="004136E1">
        <w:rPr>
          <w:rFonts w:ascii="Times New Roman" w:hAnsi="Times New Roman" w:cs="Times New Roman"/>
        </w:rPr>
        <w:t>The aldehydes then react with the Schiff reagent, producing a purple-magenta color. Careful control of the oxidation step is necessary to avoid over-oxidation of the aldehydes</w:t>
      </w:r>
      <w:r>
        <w:rPr>
          <w:rFonts w:ascii="Times New Roman" w:hAnsi="Times New Roman" w:cs="Times New Roman"/>
        </w:rPr>
        <w:t xml:space="preserve"> (</w:t>
      </w:r>
      <w:r w:rsidRPr="009A41B2">
        <w:rPr>
          <w:rFonts w:ascii="Times New Roman" w:hAnsi="Times New Roman" w:cs="Times New Roman"/>
        </w:rPr>
        <w:t>Giardino</w:t>
      </w:r>
      <w:r>
        <w:rPr>
          <w:rFonts w:ascii="Times New Roman" w:hAnsi="Times New Roman" w:cs="Times New Roman"/>
        </w:rPr>
        <w:t xml:space="preserve"> et al., 2023)</w:t>
      </w:r>
      <w:r w:rsidRPr="004136E1">
        <w:rPr>
          <w:rFonts w:ascii="Times New Roman" w:hAnsi="Times New Roman" w:cs="Times New Roman"/>
        </w:rPr>
        <w:t>. A counterstain is often used to enhance contrast and provide additional tissue detail</w:t>
      </w:r>
      <w:r>
        <w:rPr>
          <w:rFonts w:ascii="Times New Roman" w:hAnsi="Times New Roman" w:cs="Times New Roman"/>
        </w:rPr>
        <w:t xml:space="preserve"> (</w:t>
      </w:r>
      <w:proofErr w:type="spellStart"/>
      <w:r w:rsidRPr="009A41B2">
        <w:rPr>
          <w:rFonts w:ascii="Times New Roman" w:hAnsi="Times New Roman" w:cs="Times New Roman"/>
        </w:rPr>
        <w:t>Mukhamadiyarov</w:t>
      </w:r>
      <w:proofErr w:type="spellEnd"/>
      <w:r>
        <w:rPr>
          <w:rFonts w:ascii="Times New Roman" w:hAnsi="Times New Roman" w:cs="Times New Roman"/>
        </w:rPr>
        <w:t xml:space="preserve"> et al., 2021)</w:t>
      </w:r>
      <w:r w:rsidRPr="004136E1">
        <w:rPr>
          <w:rFonts w:ascii="Times New Roman" w:hAnsi="Times New Roman" w:cs="Times New Roman"/>
        </w:rPr>
        <w:t>. PAS staining is particularly useful in histology for visualizing basement membranes, glycogen deposits, and mucin-rich structures</w:t>
      </w:r>
      <w:r w:rsidR="004F5B87">
        <w:rPr>
          <w:rFonts w:ascii="Times New Roman" w:hAnsi="Times New Roman" w:cs="Times New Roman"/>
        </w:rPr>
        <w:t xml:space="preserve"> (see figure 3)</w:t>
      </w:r>
      <w:r w:rsidRPr="004136E1">
        <w:rPr>
          <w:rFonts w:ascii="Times New Roman" w:hAnsi="Times New Roman" w:cs="Times New Roman"/>
        </w:rPr>
        <w:t>.</w:t>
      </w:r>
    </w:p>
    <w:p w14:paraId="7BEEFA3D" w14:textId="0EA062A1" w:rsidR="00EA1BE7" w:rsidRPr="00151DEF" w:rsidRDefault="00C11AF4" w:rsidP="00D05C74">
      <w:pPr>
        <w:spacing w:line="276" w:lineRule="auto"/>
        <w:jc w:val="both"/>
        <w:rPr>
          <w:rFonts w:ascii="Times New Roman" w:hAnsi="Times New Roman" w:cs="Times New Roman"/>
          <w:b/>
          <w:bCs/>
        </w:rPr>
      </w:pPr>
      <w:r>
        <w:rPr>
          <w:rFonts w:ascii="Times New Roman" w:hAnsi="Times New Roman" w:cs="Times New Roman"/>
          <w:b/>
          <w:bCs/>
        </w:rPr>
        <w:t>3.</w:t>
      </w:r>
      <w:r w:rsidR="00EA1BE7" w:rsidRPr="00151DEF">
        <w:rPr>
          <w:rFonts w:ascii="Times New Roman" w:hAnsi="Times New Roman" w:cs="Times New Roman"/>
          <w:b/>
          <w:bCs/>
        </w:rPr>
        <w:t>4. Nucleic Acids</w:t>
      </w:r>
    </w:p>
    <w:p w14:paraId="1A02E090" w14:textId="77777777" w:rsidR="00EA1BE7" w:rsidRPr="0021118F" w:rsidRDefault="00EA1BE7" w:rsidP="00D05C74">
      <w:pPr>
        <w:spacing w:line="276" w:lineRule="auto"/>
        <w:jc w:val="both"/>
        <w:rPr>
          <w:rFonts w:ascii="Times New Roman" w:hAnsi="Times New Roman" w:cs="Times New Roman"/>
        </w:rPr>
      </w:pPr>
      <w:r w:rsidRPr="00151DEF">
        <w:rPr>
          <w:rFonts w:ascii="Times New Roman" w:hAnsi="Times New Roman" w:cs="Times New Roman"/>
        </w:rPr>
        <w:t>Nucleic acids are present in the nuclei and cytoplasm of all renal cells. DNA and RNA play essential roles in cellular function, including protein synthesis and cell division.</w:t>
      </w:r>
      <w:r>
        <w:rPr>
          <w:rFonts w:ascii="Times New Roman" w:hAnsi="Times New Roman" w:cs="Times New Roman"/>
        </w:rPr>
        <w:t xml:space="preserve"> </w:t>
      </w:r>
      <w:r w:rsidRPr="0021118F">
        <w:rPr>
          <w:rFonts w:ascii="Times New Roman" w:hAnsi="Times New Roman" w:cs="Times New Roman"/>
        </w:rPr>
        <w:t>In the identification of renal diseases</w:t>
      </w:r>
      <w:r w:rsidR="001374AD">
        <w:rPr>
          <w:rFonts w:ascii="Times New Roman" w:hAnsi="Times New Roman" w:cs="Times New Roman"/>
        </w:rPr>
        <w:t xml:space="preserve"> (</w:t>
      </w:r>
      <w:r w:rsidR="001374AD" w:rsidRPr="00894AA0">
        <w:rPr>
          <w:rFonts w:ascii="Times New Roman" w:hAnsi="Times New Roman" w:cs="Times New Roman"/>
        </w:rPr>
        <w:t>Askari</w:t>
      </w:r>
      <w:r w:rsidR="001374AD">
        <w:rPr>
          <w:rFonts w:ascii="Times New Roman" w:hAnsi="Times New Roman" w:cs="Times New Roman"/>
        </w:rPr>
        <w:t xml:space="preserve"> et al., 2022).</w:t>
      </w:r>
      <w:r w:rsidRPr="0021118F">
        <w:rPr>
          <w:rFonts w:ascii="Times New Roman" w:hAnsi="Times New Roman" w:cs="Times New Roman"/>
        </w:rPr>
        <w:t xml:space="preserve"> Hematoxylin (in H&amp;E staining) is a basic dye that binds to negatively charged nucleic acids (DNA and RNA), staining cell nuclei blue, which helps in assessing nuclear detail and cellular architecture. Methyl Green-Pyronin differentiates between DNA and RNA, with methyl green binding to DNA and staining it green, while pyronin binds to RNA, staining it red, making it useful for identifying changes in nucleic acid content in renal cells</w:t>
      </w:r>
      <w:r w:rsidR="001374AD">
        <w:rPr>
          <w:rFonts w:ascii="Times New Roman" w:hAnsi="Times New Roman" w:cs="Times New Roman"/>
        </w:rPr>
        <w:t xml:space="preserve"> (</w:t>
      </w:r>
      <w:r w:rsidR="001374AD" w:rsidRPr="00894AA0">
        <w:rPr>
          <w:rFonts w:ascii="Times New Roman" w:hAnsi="Times New Roman" w:cs="Times New Roman"/>
        </w:rPr>
        <w:t>Zhou</w:t>
      </w:r>
      <w:r w:rsidR="001374AD">
        <w:rPr>
          <w:rFonts w:ascii="Times New Roman" w:hAnsi="Times New Roman" w:cs="Times New Roman"/>
        </w:rPr>
        <w:t xml:space="preserve"> et al., 2024)</w:t>
      </w:r>
      <w:r w:rsidRPr="0021118F">
        <w:rPr>
          <w:rFonts w:ascii="Times New Roman" w:hAnsi="Times New Roman" w:cs="Times New Roman"/>
        </w:rPr>
        <w:t>. Feulgen stain specifically reacts with aldehyde groups produced by acid hydrolysis of DNA, resulting in a reddish-purple color, allowing for precise identification and quantification of DNA, which is valuable in detecting nuclear abnormalities in renal tissue</w:t>
      </w:r>
      <w:r w:rsidR="001374AD">
        <w:rPr>
          <w:rFonts w:ascii="Times New Roman" w:hAnsi="Times New Roman" w:cs="Times New Roman"/>
        </w:rPr>
        <w:t xml:space="preserve"> (</w:t>
      </w:r>
      <w:r w:rsidR="001374AD" w:rsidRPr="00894AA0">
        <w:rPr>
          <w:rFonts w:ascii="Times New Roman" w:hAnsi="Times New Roman" w:cs="Times New Roman"/>
        </w:rPr>
        <w:t>Zhou</w:t>
      </w:r>
      <w:r w:rsidR="001374AD">
        <w:rPr>
          <w:rFonts w:ascii="Times New Roman" w:hAnsi="Times New Roman" w:cs="Times New Roman"/>
        </w:rPr>
        <w:t xml:space="preserve"> et al., 2024)</w:t>
      </w:r>
      <w:r w:rsidRPr="0021118F">
        <w:rPr>
          <w:rFonts w:ascii="Times New Roman" w:hAnsi="Times New Roman" w:cs="Times New Roman"/>
          <w:b/>
          <w:bCs/>
        </w:rPr>
        <w:t>.</w:t>
      </w:r>
    </w:p>
    <w:p w14:paraId="7B6DA516" w14:textId="444A8246" w:rsidR="000D3048" w:rsidRPr="00C11AF4" w:rsidRDefault="000D3048" w:rsidP="00D05C74">
      <w:pPr>
        <w:pStyle w:val="ListParagraph"/>
        <w:numPr>
          <w:ilvl w:val="0"/>
          <w:numId w:val="13"/>
        </w:numPr>
        <w:spacing w:line="276" w:lineRule="auto"/>
        <w:jc w:val="both"/>
        <w:rPr>
          <w:rFonts w:ascii="Times New Roman" w:hAnsi="Times New Roman" w:cs="Times New Roman"/>
          <w:b/>
          <w:bCs/>
        </w:rPr>
      </w:pPr>
      <w:r w:rsidRPr="00C11AF4">
        <w:rPr>
          <w:rFonts w:ascii="Times New Roman" w:hAnsi="Times New Roman" w:cs="Times New Roman"/>
          <w:b/>
          <w:bCs/>
        </w:rPr>
        <w:t xml:space="preserve">Renal </w:t>
      </w:r>
      <w:r w:rsidR="00D10865" w:rsidRPr="00C11AF4">
        <w:rPr>
          <w:rFonts w:ascii="Times New Roman" w:hAnsi="Times New Roman" w:cs="Times New Roman"/>
          <w:b/>
          <w:bCs/>
        </w:rPr>
        <w:t xml:space="preserve">Cell </w:t>
      </w:r>
      <w:r w:rsidRPr="00C11AF4">
        <w:rPr>
          <w:rFonts w:ascii="Times New Roman" w:hAnsi="Times New Roman" w:cs="Times New Roman"/>
          <w:b/>
          <w:bCs/>
        </w:rPr>
        <w:t xml:space="preserve">Carcinoma </w:t>
      </w:r>
    </w:p>
    <w:p w14:paraId="386346B6" w14:textId="77777777" w:rsidR="00A439F8" w:rsidRPr="00A439F8" w:rsidRDefault="00A439F8" w:rsidP="00D05C74">
      <w:pPr>
        <w:spacing w:line="276" w:lineRule="auto"/>
        <w:jc w:val="both"/>
        <w:rPr>
          <w:rFonts w:ascii="Times New Roman" w:hAnsi="Times New Roman" w:cs="Times New Roman"/>
        </w:rPr>
      </w:pPr>
      <w:r w:rsidRPr="00A439F8">
        <w:rPr>
          <w:rFonts w:ascii="Times New Roman" w:hAnsi="Times New Roman" w:cs="Times New Roman"/>
        </w:rPr>
        <w:t>Renal cell carcinoma (RCC) is the most common type of kidney cancer, accounting for over 90% of adult renal cancers</w:t>
      </w:r>
      <w:r w:rsidR="001374AD">
        <w:rPr>
          <w:rFonts w:ascii="Times New Roman" w:hAnsi="Times New Roman" w:cs="Times New Roman"/>
        </w:rPr>
        <w:t xml:space="preserve"> (</w:t>
      </w:r>
      <w:proofErr w:type="spellStart"/>
      <w:r w:rsidR="001374AD" w:rsidRPr="00894AA0">
        <w:rPr>
          <w:rFonts w:ascii="Times New Roman" w:hAnsi="Times New Roman" w:cs="Times New Roman"/>
        </w:rPr>
        <w:t>Bahadoram</w:t>
      </w:r>
      <w:proofErr w:type="spellEnd"/>
      <w:r w:rsidR="001374AD">
        <w:rPr>
          <w:rFonts w:ascii="Times New Roman" w:hAnsi="Times New Roman" w:cs="Times New Roman"/>
        </w:rPr>
        <w:t xml:space="preserve"> et al., 2022)</w:t>
      </w:r>
      <w:r w:rsidRPr="00A439F8">
        <w:rPr>
          <w:rFonts w:ascii="Times New Roman" w:hAnsi="Times New Roman" w:cs="Times New Roman"/>
        </w:rPr>
        <w:t xml:space="preserve">. Other types include transitional cell carcinomas </w:t>
      </w:r>
      <w:r w:rsidRPr="00A439F8">
        <w:rPr>
          <w:rFonts w:ascii="Times New Roman" w:hAnsi="Times New Roman" w:cs="Times New Roman"/>
        </w:rPr>
        <w:lastRenderedPageBreak/>
        <w:t>of the renal pelvis and renal sarcomas, which are rare. RCC makes up over 3% of all adult malignancies and has several histological subtypes. It typically occurs between the ages of 50 and 70 years, with a male-to-female ratio of approximately 2:1.</w:t>
      </w:r>
      <w:r>
        <w:rPr>
          <w:rFonts w:ascii="Times New Roman" w:hAnsi="Times New Roman" w:cs="Times New Roman"/>
        </w:rPr>
        <w:t xml:space="preserve"> </w:t>
      </w:r>
      <w:r w:rsidR="001374AD">
        <w:rPr>
          <w:rFonts w:ascii="Times New Roman" w:hAnsi="Times New Roman" w:cs="Times New Roman"/>
        </w:rPr>
        <w:t xml:space="preserve">According to </w:t>
      </w:r>
      <w:r w:rsidR="001374AD" w:rsidRPr="00894AA0">
        <w:rPr>
          <w:rFonts w:ascii="Times New Roman" w:hAnsi="Times New Roman" w:cs="Times New Roman"/>
        </w:rPr>
        <w:t>Kumar</w:t>
      </w:r>
      <w:r w:rsidR="001374AD">
        <w:rPr>
          <w:rFonts w:ascii="Times New Roman" w:hAnsi="Times New Roman" w:cs="Times New Roman"/>
        </w:rPr>
        <w:t xml:space="preserve"> et al., (2023), though </w:t>
      </w:r>
      <w:r>
        <w:rPr>
          <w:rFonts w:ascii="Times New Roman" w:hAnsi="Times New Roman" w:cs="Times New Roman"/>
        </w:rPr>
        <w:t xml:space="preserve">its etiology has been </w:t>
      </w:r>
      <w:r w:rsidR="001374AD">
        <w:rPr>
          <w:rFonts w:ascii="Times New Roman" w:hAnsi="Times New Roman" w:cs="Times New Roman"/>
        </w:rPr>
        <w:t>emphasized</w:t>
      </w:r>
      <w:r>
        <w:rPr>
          <w:rFonts w:ascii="Times New Roman" w:hAnsi="Times New Roman" w:cs="Times New Roman"/>
        </w:rPr>
        <w:t xml:space="preserve"> and reported that </w:t>
      </w:r>
      <w:r w:rsidRPr="00A439F8">
        <w:rPr>
          <w:rFonts w:ascii="Times New Roman" w:hAnsi="Times New Roman" w:cs="Times New Roman"/>
        </w:rPr>
        <w:t>Smoking is the strongest risk factor for RCC, including cigarette, pipe, and cigar smoking. Obesity, especially in women, also increases the risk. High blood pressure, chronic renal failure, and exposure to chemicals like trichloroethylene further elevate the risk. In contrast, moderate alcohol consumption, a diet rich in fruits and vegetables, and long-term fatty fish consumption reduce the risk. Genetic mutations in the VHL gene are implicated in both sporadic and familial clear cell RCC (CCRCC), while MET gene mutations are linked to papillary RCC (PRCC)</w:t>
      </w:r>
      <w:r w:rsidR="001374AD">
        <w:rPr>
          <w:rFonts w:ascii="Times New Roman" w:hAnsi="Times New Roman" w:cs="Times New Roman"/>
        </w:rPr>
        <w:t xml:space="preserve"> (</w:t>
      </w:r>
      <w:r w:rsidR="001374AD" w:rsidRPr="00894AA0">
        <w:rPr>
          <w:rFonts w:ascii="Times New Roman" w:hAnsi="Times New Roman" w:cs="Times New Roman"/>
        </w:rPr>
        <w:t>Cinque</w:t>
      </w:r>
      <w:r w:rsidR="001374AD">
        <w:rPr>
          <w:rFonts w:ascii="Times New Roman" w:hAnsi="Times New Roman" w:cs="Times New Roman"/>
        </w:rPr>
        <w:t xml:space="preserve"> et al., 2022)</w:t>
      </w:r>
      <w:r w:rsidRPr="00A439F8">
        <w:rPr>
          <w:rFonts w:ascii="Times New Roman" w:hAnsi="Times New Roman" w:cs="Times New Roman"/>
        </w:rPr>
        <w:t xml:space="preserve">. About 4% of RCC cases result from rare hereditary conditions, including Von Hippel-Lindau Syndrome, Hereditary </w:t>
      </w:r>
      <w:proofErr w:type="spellStart"/>
      <w:r w:rsidRPr="00A439F8">
        <w:rPr>
          <w:rFonts w:ascii="Times New Roman" w:hAnsi="Times New Roman" w:cs="Times New Roman"/>
        </w:rPr>
        <w:t>Leiomyomatosis</w:t>
      </w:r>
      <w:proofErr w:type="spellEnd"/>
      <w:r w:rsidRPr="00A439F8">
        <w:rPr>
          <w:rFonts w:ascii="Times New Roman" w:hAnsi="Times New Roman" w:cs="Times New Roman"/>
        </w:rPr>
        <w:t xml:space="preserve"> and Aggressive Papillary Carcinoma Syndrome, Hereditary Papillary Carcinoma, Birt-Hogg-Dubé syndrome, and Tuberous Sclerosis Syndrome</w:t>
      </w:r>
      <w:r w:rsidR="001374AD">
        <w:rPr>
          <w:rFonts w:ascii="Times New Roman" w:hAnsi="Times New Roman" w:cs="Times New Roman"/>
        </w:rPr>
        <w:t xml:space="preserve"> (</w:t>
      </w:r>
      <w:r w:rsidR="001C1722" w:rsidRPr="00894AA0">
        <w:rPr>
          <w:rFonts w:ascii="Times New Roman" w:hAnsi="Times New Roman" w:cs="Times New Roman"/>
        </w:rPr>
        <w:t>Cinque</w:t>
      </w:r>
      <w:r w:rsidR="001C1722">
        <w:rPr>
          <w:rFonts w:ascii="Times New Roman" w:hAnsi="Times New Roman" w:cs="Times New Roman"/>
        </w:rPr>
        <w:t xml:space="preserve"> et al., 2022</w:t>
      </w:r>
      <w:r w:rsidR="001374AD">
        <w:rPr>
          <w:rFonts w:ascii="Times New Roman" w:hAnsi="Times New Roman" w:cs="Times New Roman"/>
        </w:rPr>
        <w:t>)</w:t>
      </w:r>
      <w:r w:rsidRPr="00A439F8">
        <w:rPr>
          <w:rFonts w:ascii="Times New Roman" w:hAnsi="Times New Roman" w:cs="Times New Roman"/>
        </w:rPr>
        <w:t>.</w:t>
      </w:r>
    </w:p>
    <w:p w14:paraId="539C888F" w14:textId="77777777" w:rsidR="00A439F8" w:rsidRPr="00A439F8" w:rsidRDefault="00A439F8" w:rsidP="00D05C74">
      <w:pPr>
        <w:spacing w:line="276" w:lineRule="auto"/>
        <w:jc w:val="both"/>
        <w:rPr>
          <w:rFonts w:ascii="Times New Roman" w:hAnsi="Times New Roman" w:cs="Times New Roman"/>
        </w:rPr>
      </w:pPr>
      <w:r>
        <w:rPr>
          <w:rFonts w:ascii="Times New Roman" w:hAnsi="Times New Roman" w:cs="Times New Roman"/>
        </w:rPr>
        <w:t xml:space="preserve">However, </w:t>
      </w:r>
      <w:r w:rsidRPr="00A439F8">
        <w:rPr>
          <w:rFonts w:ascii="Times New Roman" w:hAnsi="Times New Roman" w:cs="Times New Roman"/>
        </w:rPr>
        <w:t xml:space="preserve">the incidence of RCC has steadily increased since 1975 due to improved detection through imaging techniques, with over half of </w:t>
      </w:r>
      <w:r>
        <w:rPr>
          <w:rFonts w:ascii="Times New Roman" w:hAnsi="Times New Roman" w:cs="Times New Roman"/>
        </w:rPr>
        <w:t xml:space="preserve">the </w:t>
      </w:r>
      <w:r w:rsidRPr="00A439F8">
        <w:rPr>
          <w:rFonts w:ascii="Times New Roman" w:hAnsi="Times New Roman" w:cs="Times New Roman"/>
        </w:rPr>
        <w:t>cases found incidentally</w:t>
      </w:r>
      <w:r w:rsidR="001C1722">
        <w:rPr>
          <w:rFonts w:ascii="Times New Roman" w:hAnsi="Times New Roman" w:cs="Times New Roman"/>
        </w:rPr>
        <w:t xml:space="preserve"> (</w:t>
      </w:r>
      <w:proofErr w:type="spellStart"/>
      <w:r w:rsidR="001C1722" w:rsidRPr="000F7BA7">
        <w:rPr>
          <w:rFonts w:ascii="Times New Roman" w:hAnsi="Times New Roman" w:cs="Times New Roman"/>
        </w:rPr>
        <w:t>Bukavina</w:t>
      </w:r>
      <w:proofErr w:type="spellEnd"/>
      <w:r w:rsidR="001C1722">
        <w:rPr>
          <w:rFonts w:ascii="Times New Roman" w:hAnsi="Times New Roman" w:cs="Times New Roman"/>
        </w:rPr>
        <w:t xml:space="preserve"> et al., 2022)</w:t>
      </w:r>
      <w:r w:rsidRPr="00A439F8">
        <w:rPr>
          <w:rFonts w:ascii="Times New Roman" w:hAnsi="Times New Roman" w:cs="Times New Roman"/>
        </w:rPr>
        <w:t>. In 2020, approximately 73,750 new cases of renal cancer were projected, accounting for 5% of all cancers in males and 3% in females, with 14,830 deaths expected. RCC primarily affects individuals between 60 and 70 years, with a 2:1 male-to-female ratio. The overall 5-year survival rate for early-stage cases is 93%, while the survival rate for kidney and renal pelvis cancers is 75%</w:t>
      </w:r>
      <w:r w:rsidR="001C1722">
        <w:rPr>
          <w:rFonts w:ascii="Times New Roman" w:hAnsi="Times New Roman" w:cs="Times New Roman"/>
        </w:rPr>
        <w:t xml:space="preserve"> (</w:t>
      </w:r>
      <w:proofErr w:type="spellStart"/>
      <w:r w:rsidR="001C1722" w:rsidRPr="000F7BA7">
        <w:rPr>
          <w:rFonts w:ascii="Times New Roman" w:hAnsi="Times New Roman" w:cs="Times New Roman"/>
        </w:rPr>
        <w:t>Bukavina</w:t>
      </w:r>
      <w:proofErr w:type="spellEnd"/>
      <w:r w:rsidR="001C1722">
        <w:rPr>
          <w:rFonts w:ascii="Times New Roman" w:hAnsi="Times New Roman" w:cs="Times New Roman"/>
        </w:rPr>
        <w:t xml:space="preserve"> et al., 2022)</w:t>
      </w:r>
      <w:r w:rsidRPr="00A439F8">
        <w:rPr>
          <w:rFonts w:ascii="Times New Roman" w:hAnsi="Times New Roman" w:cs="Times New Roman"/>
        </w:rPr>
        <w:t>.</w:t>
      </w:r>
    </w:p>
    <w:p w14:paraId="372FCAFD" w14:textId="77777777" w:rsidR="00A439F8" w:rsidRDefault="00A439F8" w:rsidP="00D05C74">
      <w:pPr>
        <w:spacing w:line="276" w:lineRule="auto"/>
        <w:jc w:val="both"/>
        <w:rPr>
          <w:rFonts w:ascii="Times New Roman" w:hAnsi="Times New Roman" w:cs="Times New Roman"/>
        </w:rPr>
      </w:pPr>
      <w:r w:rsidRPr="00A439F8">
        <w:rPr>
          <w:rFonts w:ascii="Times New Roman" w:hAnsi="Times New Roman" w:cs="Times New Roman"/>
        </w:rPr>
        <w:t>The RCCs are thought to arise from epithelial cells of the nephron. CCRCC is linked to the proximal tubular epithelium, PRCC to the distal tubular epithelium, and chromophobe RCC (</w:t>
      </w:r>
      <w:proofErr w:type="spellStart"/>
      <w:r w:rsidRPr="00A439F8">
        <w:rPr>
          <w:rFonts w:ascii="Times New Roman" w:hAnsi="Times New Roman" w:cs="Times New Roman"/>
        </w:rPr>
        <w:t>ChRCC</w:t>
      </w:r>
      <w:proofErr w:type="spellEnd"/>
      <w:r w:rsidRPr="00A439F8">
        <w:rPr>
          <w:rFonts w:ascii="Times New Roman" w:hAnsi="Times New Roman" w:cs="Times New Roman"/>
        </w:rPr>
        <w:t>) to the intercalated cells of the collecting duct</w:t>
      </w:r>
      <w:r w:rsidR="001C1722">
        <w:rPr>
          <w:rFonts w:ascii="Times New Roman" w:hAnsi="Times New Roman" w:cs="Times New Roman"/>
        </w:rPr>
        <w:t xml:space="preserve"> (</w:t>
      </w:r>
      <w:r w:rsidR="001C1722" w:rsidRPr="000F7BA7">
        <w:rPr>
          <w:rFonts w:ascii="Times New Roman" w:hAnsi="Times New Roman" w:cs="Times New Roman"/>
        </w:rPr>
        <w:t>Lasorsa</w:t>
      </w:r>
      <w:r w:rsidR="001C1722">
        <w:rPr>
          <w:rFonts w:ascii="Times New Roman" w:hAnsi="Times New Roman" w:cs="Times New Roman"/>
        </w:rPr>
        <w:t xml:space="preserve"> et al., 2023)</w:t>
      </w:r>
      <w:r w:rsidRPr="00A439F8">
        <w:rPr>
          <w:rFonts w:ascii="Times New Roman" w:hAnsi="Times New Roman" w:cs="Times New Roman"/>
        </w:rPr>
        <w:t xml:space="preserve">. Most CCRCC cases show loss of the short arm of chromosome 3 (3p), where the VHL gene is located. PRCC is associated with trisomy of chromosomes 3, 7, 12, 16, 17, and 20, MET mutations, and loss of the Y chromosome. Type 2 PRCC shows more aggressive genetic alterations, including activation of the NRF2-ARE pathway and SETD2 mutations. </w:t>
      </w:r>
      <w:proofErr w:type="spellStart"/>
      <w:r w:rsidRPr="00A439F8">
        <w:rPr>
          <w:rFonts w:ascii="Times New Roman" w:hAnsi="Times New Roman" w:cs="Times New Roman"/>
        </w:rPr>
        <w:t>ChRCC</w:t>
      </w:r>
      <w:proofErr w:type="spellEnd"/>
      <w:r w:rsidRPr="00A439F8">
        <w:rPr>
          <w:rFonts w:ascii="Times New Roman" w:hAnsi="Times New Roman" w:cs="Times New Roman"/>
        </w:rPr>
        <w:t xml:space="preserve"> exhibits loss of multiple chromosomes, such as 1, 2, 6, 10, 13, 17, and 21</w:t>
      </w:r>
      <w:r w:rsidR="001C1722">
        <w:rPr>
          <w:rFonts w:ascii="Times New Roman" w:hAnsi="Times New Roman" w:cs="Times New Roman"/>
        </w:rPr>
        <w:t xml:space="preserve"> (</w:t>
      </w:r>
      <w:r w:rsidR="001C1722" w:rsidRPr="000F7BA7">
        <w:rPr>
          <w:rFonts w:ascii="Times New Roman" w:hAnsi="Times New Roman" w:cs="Times New Roman"/>
        </w:rPr>
        <w:t>Lasorsa</w:t>
      </w:r>
      <w:r w:rsidR="001C1722">
        <w:rPr>
          <w:rFonts w:ascii="Times New Roman" w:hAnsi="Times New Roman" w:cs="Times New Roman"/>
        </w:rPr>
        <w:t xml:space="preserve"> et al., 2023)</w:t>
      </w:r>
      <w:r w:rsidRPr="00A439F8">
        <w:rPr>
          <w:rFonts w:ascii="Times New Roman" w:hAnsi="Times New Roman" w:cs="Times New Roman"/>
        </w:rPr>
        <w:t>.</w:t>
      </w:r>
    </w:p>
    <w:p w14:paraId="3F8B1B1C" w14:textId="11D734AB" w:rsidR="00A439F8" w:rsidRPr="00552F2B" w:rsidRDefault="00C11AF4" w:rsidP="00D05C74">
      <w:pPr>
        <w:spacing w:line="276" w:lineRule="auto"/>
        <w:jc w:val="both"/>
        <w:rPr>
          <w:rFonts w:ascii="Times New Roman" w:hAnsi="Times New Roman" w:cs="Times New Roman"/>
          <w:b/>
          <w:bCs/>
        </w:rPr>
      </w:pPr>
      <w:r>
        <w:rPr>
          <w:rFonts w:ascii="Times New Roman" w:hAnsi="Times New Roman" w:cs="Times New Roman"/>
          <w:b/>
          <w:bCs/>
        </w:rPr>
        <w:t>4.</w:t>
      </w:r>
      <w:r w:rsidR="00401E01">
        <w:rPr>
          <w:rFonts w:ascii="Times New Roman" w:hAnsi="Times New Roman" w:cs="Times New Roman"/>
          <w:b/>
          <w:bCs/>
        </w:rPr>
        <w:t>1</w:t>
      </w:r>
      <w:r w:rsidR="00401E01">
        <w:rPr>
          <w:rFonts w:ascii="Times New Roman" w:hAnsi="Times New Roman" w:cs="Times New Roman"/>
          <w:b/>
          <w:bCs/>
        </w:rPr>
        <w:tab/>
      </w:r>
      <w:r w:rsidR="00A439F8" w:rsidRPr="00552F2B">
        <w:rPr>
          <w:rFonts w:ascii="Times New Roman" w:hAnsi="Times New Roman" w:cs="Times New Roman"/>
          <w:b/>
          <w:bCs/>
        </w:rPr>
        <w:t xml:space="preserve">Classification of renal cell carcinomas </w:t>
      </w:r>
    </w:p>
    <w:p w14:paraId="569BDAC9" w14:textId="77777777" w:rsidR="00552F2B" w:rsidRDefault="00552F2B" w:rsidP="00D05C74">
      <w:pPr>
        <w:spacing w:line="276" w:lineRule="auto"/>
        <w:jc w:val="both"/>
        <w:rPr>
          <w:rFonts w:ascii="Times New Roman" w:hAnsi="Times New Roman" w:cs="Times New Roman"/>
        </w:rPr>
      </w:pPr>
      <w:r w:rsidRPr="00552F2B">
        <w:rPr>
          <w:rFonts w:ascii="Times New Roman" w:hAnsi="Times New Roman" w:cs="Times New Roman"/>
        </w:rPr>
        <w:t xml:space="preserve">In 2016, the World Health Organization (WHO) classified renal cell carcinoma (RCC) into over 14 different types. Some of the main types are clear cell RCC, papillary RCC, chromophobe RCC, and collecting duct carcinoma. Other types include multilocular cystic renal neoplasm with low malignant potential, hereditary </w:t>
      </w:r>
      <w:proofErr w:type="spellStart"/>
      <w:r w:rsidRPr="00552F2B">
        <w:rPr>
          <w:rFonts w:ascii="Times New Roman" w:hAnsi="Times New Roman" w:cs="Times New Roman"/>
        </w:rPr>
        <w:t>leiomyomatosis</w:t>
      </w:r>
      <w:proofErr w:type="spellEnd"/>
      <w:r w:rsidRPr="00552F2B">
        <w:rPr>
          <w:rFonts w:ascii="Times New Roman" w:hAnsi="Times New Roman" w:cs="Times New Roman"/>
        </w:rPr>
        <w:t xml:space="preserve"> RCC, renal medullary carcinoma, MiT family translocation carcinomas, and succinate dehydrogenase (SDH) deficient RCC. Also included are mucinous tubular and spindle cell carcinoma, </w:t>
      </w:r>
      <w:proofErr w:type="spellStart"/>
      <w:r w:rsidRPr="00552F2B">
        <w:rPr>
          <w:rFonts w:ascii="Times New Roman" w:hAnsi="Times New Roman" w:cs="Times New Roman"/>
        </w:rPr>
        <w:t>tubulocystic</w:t>
      </w:r>
      <w:proofErr w:type="spellEnd"/>
      <w:r w:rsidRPr="00552F2B">
        <w:rPr>
          <w:rFonts w:ascii="Times New Roman" w:hAnsi="Times New Roman" w:cs="Times New Roman"/>
        </w:rPr>
        <w:t xml:space="preserve"> RCC, acquired cystic disease-associated RCC, clear cell papillary RCC, and unclassified RCC.</w:t>
      </w:r>
      <w:r>
        <w:rPr>
          <w:rFonts w:ascii="Times New Roman" w:hAnsi="Times New Roman" w:cs="Times New Roman"/>
        </w:rPr>
        <w:t xml:space="preserve"> However, this review</w:t>
      </w:r>
      <w:r w:rsidR="00D017C5">
        <w:rPr>
          <w:rFonts w:ascii="Times New Roman" w:hAnsi="Times New Roman" w:cs="Times New Roman"/>
        </w:rPr>
        <w:t xml:space="preserve"> emphasizes the major subclasses, including</w:t>
      </w:r>
      <w:r w:rsidRPr="00552F2B">
        <w:rPr>
          <w:rFonts w:ascii="Times New Roman" w:hAnsi="Times New Roman" w:cs="Times New Roman"/>
        </w:rPr>
        <w:t xml:space="preserve"> clear cell RCC (CCRCC), papillary RCC (PRCC), chromophobe RCC, collecting duct, and unclassified RCC</w:t>
      </w:r>
      <w:r w:rsidR="001C1722">
        <w:rPr>
          <w:rFonts w:ascii="Times New Roman" w:hAnsi="Times New Roman" w:cs="Times New Roman"/>
        </w:rPr>
        <w:t xml:space="preserve"> (</w:t>
      </w:r>
      <w:proofErr w:type="spellStart"/>
      <w:r w:rsidR="001C1722" w:rsidRPr="00894AA0">
        <w:rPr>
          <w:rFonts w:ascii="Times New Roman" w:hAnsi="Times New Roman" w:cs="Times New Roman"/>
        </w:rPr>
        <w:t>Bahadoram</w:t>
      </w:r>
      <w:proofErr w:type="spellEnd"/>
      <w:r w:rsidR="001C1722">
        <w:rPr>
          <w:rFonts w:ascii="Times New Roman" w:hAnsi="Times New Roman" w:cs="Times New Roman"/>
        </w:rPr>
        <w:t xml:space="preserve"> et al., 2022)</w:t>
      </w:r>
      <w:r>
        <w:rPr>
          <w:rFonts w:ascii="Times New Roman" w:hAnsi="Times New Roman" w:cs="Times New Roman"/>
        </w:rPr>
        <w:t xml:space="preserve">. </w:t>
      </w:r>
    </w:p>
    <w:p w14:paraId="2A95D1B2" w14:textId="77777777" w:rsidR="000E56D6" w:rsidRDefault="00552F2B" w:rsidP="00D05C74">
      <w:pPr>
        <w:pStyle w:val="ListParagraph"/>
        <w:numPr>
          <w:ilvl w:val="0"/>
          <w:numId w:val="14"/>
        </w:numPr>
        <w:spacing w:line="276" w:lineRule="auto"/>
        <w:jc w:val="both"/>
        <w:rPr>
          <w:rFonts w:ascii="Times New Roman" w:hAnsi="Times New Roman" w:cs="Times New Roman"/>
        </w:rPr>
      </w:pPr>
      <w:r w:rsidRPr="000E56D6">
        <w:rPr>
          <w:rFonts w:ascii="Times New Roman" w:hAnsi="Times New Roman" w:cs="Times New Roman"/>
          <w:b/>
          <w:bCs/>
        </w:rPr>
        <w:lastRenderedPageBreak/>
        <w:t>Clear Cell Carcinoma (CCRCC):</w:t>
      </w:r>
      <w:r w:rsidRPr="000E56D6">
        <w:rPr>
          <w:rFonts w:ascii="Times New Roman" w:hAnsi="Times New Roman" w:cs="Times New Roman"/>
        </w:rPr>
        <w:t xml:space="preserve"> This is the most common type of renal cell carcinoma (RCC), accounting for about 70–80% of cases</w:t>
      </w:r>
      <w:r w:rsidR="001C1722" w:rsidRPr="000E56D6">
        <w:rPr>
          <w:rFonts w:ascii="Times New Roman" w:hAnsi="Times New Roman" w:cs="Times New Roman"/>
        </w:rPr>
        <w:t xml:space="preserve"> (</w:t>
      </w:r>
      <w:proofErr w:type="spellStart"/>
      <w:r w:rsidR="001C1722" w:rsidRPr="000E56D6">
        <w:rPr>
          <w:rFonts w:ascii="Times New Roman" w:hAnsi="Times New Roman" w:cs="Times New Roman"/>
        </w:rPr>
        <w:t>Bukavina</w:t>
      </w:r>
      <w:proofErr w:type="spellEnd"/>
      <w:r w:rsidR="001C1722" w:rsidRPr="000E56D6">
        <w:rPr>
          <w:rFonts w:ascii="Times New Roman" w:hAnsi="Times New Roman" w:cs="Times New Roman"/>
        </w:rPr>
        <w:t xml:space="preserve"> et al., 2022)</w:t>
      </w:r>
      <w:r w:rsidRPr="000E56D6">
        <w:rPr>
          <w:rFonts w:ascii="Times New Roman" w:hAnsi="Times New Roman" w:cs="Times New Roman"/>
        </w:rPr>
        <w:t>. Sporadic cases usually appear as a single tumor on one side of the kidney, while familial cases tend to present with multiple tumors on both sides. On examination, the tumor’s cut surface is typically yellow due to high lipid content in the cells, with noticeable areas of necrosis and bleeding</w:t>
      </w:r>
      <w:r w:rsidR="001C1722" w:rsidRPr="000E56D6">
        <w:rPr>
          <w:rFonts w:ascii="Times New Roman" w:hAnsi="Times New Roman" w:cs="Times New Roman"/>
        </w:rPr>
        <w:t xml:space="preserve"> (Nezami and MacLennan, 2024)</w:t>
      </w:r>
      <w:r w:rsidRPr="000E56D6">
        <w:rPr>
          <w:rFonts w:ascii="Times New Roman" w:hAnsi="Times New Roman" w:cs="Times New Roman"/>
        </w:rPr>
        <w:t>. The tumor contains delicate blood vessels and both solid and cystic areas. Under a microscope, the tumor cells are arranged in solid, trabecular (cord-like), or tubular patterns, occasionally forming cysts. The cells are usually round or polygonal with clear cytoplasm (due to glycogen and lipids) or pink granular cytoplasm (indicating high mitochondrial content).</w:t>
      </w:r>
    </w:p>
    <w:p w14:paraId="7B9ACD8B" w14:textId="77777777" w:rsidR="000E56D6" w:rsidRDefault="00552F2B" w:rsidP="00D05C74">
      <w:pPr>
        <w:pStyle w:val="ListParagraph"/>
        <w:numPr>
          <w:ilvl w:val="0"/>
          <w:numId w:val="14"/>
        </w:numPr>
        <w:spacing w:line="276" w:lineRule="auto"/>
        <w:jc w:val="both"/>
        <w:rPr>
          <w:rFonts w:ascii="Times New Roman" w:hAnsi="Times New Roman" w:cs="Times New Roman"/>
        </w:rPr>
      </w:pPr>
      <w:r w:rsidRPr="000E56D6">
        <w:rPr>
          <w:rFonts w:ascii="Times New Roman" w:hAnsi="Times New Roman" w:cs="Times New Roman"/>
          <w:b/>
          <w:bCs/>
        </w:rPr>
        <w:t>Papillary Carcinoma (PRCC):</w:t>
      </w:r>
      <w:r w:rsidRPr="000E56D6">
        <w:rPr>
          <w:rFonts w:ascii="Times New Roman" w:hAnsi="Times New Roman" w:cs="Times New Roman"/>
        </w:rPr>
        <w:t xml:space="preserve"> This type accounts for about 10–15% of renal cancers. Smaller tumors are often discovered incidentally during autopsy</w:t>
      </w:r>
      <w:r w:rsidR="001C1722" w:rsidRPr="000E56D6">
        <w:rPr>
          <w:rFonts w:ascii="Times New Roman" w:hAnsi="Times New Roman" w:cs="Times New Roman"/>
        </w:rPr>
        <w:t xml:space="preserve"> (</w:t>
      </w:r>
      <w:proofErr w:type="spellStart"/>
      <w:r w:rsidR="001C1722" w:rsidRPr="000E56D6">
        <w:rPr>
          <w:rFonts w:ascii="Times New Roman" w:hAnsi="Times New Roman" w:cs="Times New Roman"/>
        </w:rPr>
        <w:t>Bukavina</w:t>
      </w:r>
      <w:proofErr w:type="spellEnd"/>
      <w:r w:rsidR="001C1722" w:rsidRPr="000E56D6">
        <w:rPr>
          <w:rFonts w:ascii="Times New Roman" w:hAnsi="Times New Roman" w:cs="Times New Roman"/>
        </w:rPr>
        <w:t xml:space="preserve"> et al., 2022)</w:t>
      </w:r>
      <w:r w:rsidRPr="000E56D6">
        <w:rPr>
          <w:rFonts w:ascii="Times New Roman" w:hAnsi="Times New Roman" w:cs="Times New Roman"/>
        </w:rPr>
        <w:t>. Unlike CCRCC, even non-hereditary PRCC tumors can appear in multiple areas and affect both kidneys. The tumor is well-defined with a grayish-white color, frequently showing central necrosis and bleeding. Histologically, PRCC has two subtypes: Type 1 features small, uniform cells with basophilic cytoplasm and oval nuclei, forming papillary and tubular structures</w:t>
      </w:r>
      <w:r w:rsidR="001C1722" w:rsidRPr="000E56D6">
        <w:rPr>
          <w:rFonts w:ascii="Times New Roman" w:hAnsi="Times New Roman" w:cs="Times New Roman"/>
        </w:rPr>
        <w:t xml:space="preserve"> (Yang et al., 2022)</w:t>
      </w:r>
      <w:r w:rsidRPr="000E56D6">
        <w:rPr>
          <w:rFonts w:ascii="Times New Roman" w:hAnsi="Times New Roman" w:cs="Times New Roman"/>
        </w:rPr>
        <w:t>. Type 2 shows larger cells with eosinophilic cytoplasm and prominent nucleoli, suggesting a more aggressive nature.</w:t>
      </w:r>
    </w:p>
    <w:p w14:paraId="35CEB8F4" w14:textId="77777777" w:rsidR="000E56D6" w:rsidRDefault="00552F2B" w:rsidP="00D05C74">
      <w:pPr>
        <w:pStyle w:val="ListParagraph"/>
        <w:numPr>
          <w:ilvl w:val="0"/>
          <w:numId w:val="14"/>
        </w:numPr>
        <w:spacing w:line="276" w:lineRule="auto"/>
        <w:jc w:val="both"/>
        <w:rPr>
          <w:rFonts w:ascii="Times New Roman" w:hAnsi="Times New Roman" w:cs="Times New Roman"/>
        </w:rPr>
      </w:pPr>
      <w:r w:rsidRPr="000E56D6">
        <w:rPr>
          <w:rFonts w:ascii="Times New Roman" w:hAnsi="Times New Roman" w:cs="Times New Roman"/>
          <w:b/>
          <w:bCs/>
        </w:rPr>
        <w:t>Chromophobe Carcinoma (</w:t>
      </w:r>
      <w:proofErr w:type="spellStart"/>
      <w:r w:rsidRPr="000E56D6">
        <w:rPr>
          <w:rFonts w:ascii="Times New Roman" w:hAnsi="Times New Roman" w:cs="Times New Roman"/>
          <w:b/>
          <w:bCs/>
        </w:rPr>
        <w:t>ChRCC</w:t>
      </w:r>
      <w:proofErr w:type="spellEnd"/>
      <w:r w:rsidRPr="000E56D6">
        <w:rPr>
          <w:rFonts w:ascii="Times New Roman" w:hAnsi="Times New Roman" w:cs="Times New Roman"/>
          <w:b/>
          <w:bCs/>
        </w:rPr>
        <w:t>):</w:t>
      </w:r>
      <w:r w:rsidRPr="000E56D6">
        <w:rPr>
          <w:rFonts w:ascii="Times New Roman" w:hAnsi="Times New Roman" w:cs="Times New Roman"/>
        </w:rPr>
        <w:t xml:space="preserve"> This type represents about 5% of RCC cases and originates from the intercalated cells of the collecting ducts</w:t>
      </w:r>
      <w:r w:rsidR="001C1722" w:rsidRPr="000E56D6">
        <w:rPr>
          <w:rFonts w:ascii="Times New Roman" w:hAnsi="Times New Roman" w:cs="Times New Roman"/>
        </w:rPr>
        <w:t xml:space="preserve"> (</w:t>
      </w:r>
      <w:proofErr w:type="spellStart"/>
      <w:r w:rsidR="001C1722" w:rsidRPr="000E56D6">
        <w:rPr>
          <w:rFonts w:ascii="Times New Roman" w:hAnsi="Times New Roman" w:cs="Times New Roman"/>
        </w:rPr>
        <w:t>Alaghehbandan</w:t>
      </w:r>
      <w:proofErr w:type="spellEnd"/>
      <w:r w:rsidR="001C1722" w:rsidRPr="000E56D6">
        <w:rPr>
          <w:rFonts w:ascii="Times New Roman" w:hAnsi="Times New Roman" w:cs="Times New Roman"/>
        </w:rPr>
        <w:t xml:space="preserve"> et al., 2022)</w:t>
      </w:r>
      <w:r w:rsidRPr="000E56D6">
        <w:rPr>
          <w:rFonts w:ascii="Times New Roman" w:hAnsi="Times New Roman" w:cs="Times New Roman"/>
        </w:rPr>
        <w:t xml:space="preserve">. It usually appears as a </w:t>
      </w:r>
      <w:proofErr w:type="gramStart"/>
      <w:r w:rsidRPr="000E56D6">
        <w:rPr>
          <w:rFonts w:ascii="Times New Roman" w:hAnsi="Times New Roman" w:cs="Times New Roman"/>
        </w:rPr>
        <w:t>single or multiple nodules</w:t>
      </w:r>
      <w:proofErr w:type="gramEnd"/>
      <w:r w:rsidRPr="000E56D6">
        <w:rPr>
          <w:rFonts w:ascii="Times New Roman" w:hAnsi="Times New Roman" w:cs="Times New Roman"/>
        </w:rPr>
        <w:t xml:space="preserve"> with a lobulated surface. The cut surface is orange, turning grayish-white when preserved in formalin. The tumor mostly has a solid structure, sometimes showing a cribriform pattern with occasional calcifications. Microscopically, the tumor consists of large polygonal cells with a translucent, reticulated cytoplasm and distinct perinuclear halos. The thick-walled vasculature is a notable feature. Chromophobe carcinoma can be challenging to differentiate from oncocytoma</w:t>
      </w:r>
      <w:r w:rsidR="001C1722" w:rsidRPr="000E56D6">
        <w:rPr>
          <w:rFonts w:ascii="Times New Roman" w:hAnsi="Times New Roman" w:cs="Times New Roman"/>
        </w:rPr>
        <w:t xml:space="preserve"> (</w:t>
      </w:r>
      <w:proofErr w:type="spellStart"/>
      <w:r w:rsidR="001C1722" w:rsidRPr="000E56D6">
        <w:rPr>
          <w:rFonts w:ascii="Times New Roman" w:hAnsi="Times New Roman" w:cs="Times New Roman"/>
        </w:rPr>
        <w:t>Alaghehbandan</w:t>
      </w:r>
      <w:proofErr w:type="spellEnd"/>
      <w:r w:rsidR="001C1722" w:rsidRPr="000E56D6">
        <w:rPr>
          <w:rFonts w:ascii="Times New Roman" w:hAnsi="Times New Roman" w:cs="Times New Roman"/>
        </w:rPr>
        <w:t xml:space="preserve"> et al., 2022)</w:t>
      </w:r>
      <w:r w:rsidRPr="000E56D6">
        <w:rPr>
          <w:rFonts w:ascii="Times New Roman" w:hAnsi="Times New Roman" w:cs="Times New Roman"/>
        </w:rPr>
        <w:t>.</w:t>
      </w:r>
    </w:p>
    <w:p w14:paraId="20ADCB0B" w14:textId="52C39F9A" w:rsidR="00552F2B" w:rsidRPr="000E56D6" w:rsidRDefault="00552F2B" w:rsidP="00D05C74">
      <w:pPr>
        <w:pStyle w:val="ListParagraph"/>
        <w:numPr>
          <w:ilvl w:val="0"/>
          <w:numId w:val="14"/>
        </w:numPr>
        <w:spacing w:line="276" w:lineRule="auto"/>
        <w:jc w:val="both"/>
        <w:rPr>
          <w:rFonts w:ascii="Times New Roman" w:hAnsi="Times New Roman" w:cs="Times New Roman"/>
        </w:rPr>
      </w:pPr>
      <w:r w:rsidRPr="000E56D6">
        <w:rPr>
          <w:rFonts w:ascii="Times New Roman" w:hAnsi="Times New Roman" w:cs="Times New Roman"/>
          <w:b/>
          <w:bCs/>
        </w:rPr>
        <w:t>Collecting Duct Carcinoma (Bellini Duct Carcinoma):</w:t>
      </w:r>
      <w:r w:rsidRPr="000E56D6">
        <w:rPr>
          <w:rFonts w:ascii="Times New Roman" w:hAnsi="Times New Roman" w:cs="Times New Roman"/>
        </w:rPr>
        <w:t xml:space="preserve"> This rare type makes up about 1% or less of RCC cases. It arises from the cells in the medullary part of the collecting ducts</w:t>
      </w:r>
      <w:r w:rsidR="004E44C4" w:rsidRPr="000E56D6">
        <w:rPr>
          <w:rFonts w:ascii="Times New Roman" w:hAnsi="Times New Roman" w:cs="Times New Roman"/>
        </w:rPr>
        <w:t xml:space="preserve"> (Cabanillas et al., 2022)</w:t>
      </w:r>
      <w:r w:rsidRPr="000E56D6">
        <w:rPr>
          <w:rFonts w:ascii="Times New Roman" w:hAnsi="Times New Roman" w:cs="Times New Roman"/>
        </w:rPr>
        <w:t>. No specific molecular or genetic markers have been identified. Microscopically, the tumor forms irregular channels lined by highly atypical epithelial cells with a hobnail pattern, arranged in glandular structures surrounded by a dense fibrotic stroma. It is important to distinguish Bellini duct carcinoma from medullary carcinoma, which is linked to sickle cell trait</w:t>
      </w:r>
      <w:r w:rsidR="004E44C4" w:rsidRPr="000E56D6">
        <w:rPr>
          <w:rFonts w:ascii="Times New Roman" w:hAnsi="Times New Roman" w:cs="Times New Roman"/>
        </w:rPr>
        <w:t xml:space="preserve"> (Cabanillas et al., 2022)</w:t>
      </w:r>
      <w:r w:rsidRPr="000E56D6">
        <w:rPr>
          <w:rFonts w:ascii="Times New Roman" w:hAnsi="Times New Roman" w:cs="Times New Roman"/>
        </w:rPr>
        <w:t>.</w:t>
      </w:r>
    </w:p>
    <w:p w14:paraId="46532210" w14:textId="77777777" w:rsidR="004E44C4" w:rsidRDefault="004E44C4" w:rsidP="00D05C74">
      <w:pPr>
        <w:spacing w:line="276" w:lineRule="auto"/>
        <w:rPr>
          <w:rFonts w:ascii="Times New Roman" w:hAnsi="Times New Roman" w:cs="Times New Roman"/>
          <w:b/>
          <w:bCs/>
        </w:rPr>
      </w:pPr>
      <w:r>
        <w:rPr>
          <w:rFonts w:ascii="Times New Roman" w:hAnsi="Times New Roman" w:cs="Times New Roman"/>
          <w:b/>
          <w:bCs/>
        </w:rPr>
        <w:br w:type="page"/>
      </w:r>
    </w:p>
    <w:p w14:paraId="7E4E9B12" w14:textId="14EF240B" w:rsidR="004136E1" w:rsidRPr="00401E01" w:rsidRDefault="00EA1BE7" w:rsidP="00D05C74">
      <w:pPr>
        <w:pStyle w:val="ListParagraph"/>
        <w:numPr>
          <w:ilvl w:val="0"/>
          <w:numId w:val="13"/>
        </w:numPr>
        <w:spacing w:line="276" w:lineRule="auto"/>
        <w:jc w:val="both"/>
        <w:rPr>
          <w:rFonts w:ascii="Times New Roman" w:hAnsi="Times New Roman" w:cs="Times New Roman"/>
          <w:b/>
          <w:bCs/>
        </w:rPr>
      </w:pPr>
      <w:r w:rsidRPr="00401E01">
        <w:rPr>
          <w:rFonts w:ascii="Times New Roman" w:hAnsi="Times New Roman" w:cs="Times New Roman"/>
          <w:b/>
          <w:bCs/>
        </w:rPr>
        <w:lastRenderedPageBreak/>
        <w:t xml:space="preserve">Histological identification of renal carcinomas </w:t>
      </w:r>
    </w:p>
    <w:p w14:paraId="28A00AE2" w14:textId="17361A12" w:rsidR="003602F6" w:rsidRPr="003602F6" w:rsidRDefault="00401E01" w:rsidP="00D05C74">
      <w:pPr>
        <w:spacing w:line="276" w:lineRule="auto"/>
        <w:jc w:val="both"/>
        <w:rPr>
          <w:rFonts w:ascii="Times New Roman" w:hAnsi="Times New Roman" w:cs="Times New Roman"/>
        </w:rPr>
      </w:pPr>
      <w:r>
        <w:rPr>
          <w:rFonts w:ascii="Times New Roman" w:hAnsi="Times New Roman" w:cs="Times New Roman"/>
          <w:b/>
          <w:bCs/>
        </w:rPr>
        <w:t>5.1</w:t>
      </w:r>
      <w:r>
        <w:rPr>
          <w:rFonts w:ascii="Times New Roman" w:hAnsi="Times New Roman" w:cs="Times New Roman"/>
          <w:b/>
          <w:bCs/>
        </w:rPr>
        <w:tab/>
      </w:r>
      <w:r w:rsidR="003602F6" w:rsidRPr="003602F6">
        <w:rPr>
          <w:rFonts w:ascii="Times New Roman" w:hAnsi="Times New Roman" w:cs="Times New Roman"/>
          <w:b/>
          <w:bCs/>
        </w:rPr>
        <w:t>Periodic Acid-Schiff (PAS):</w:t>
      </w:r>
      <w:r w:rsidR="003602F6" w:rsidRPr="003602F6">
        <w:rPr>
          <w:rFonts w:ascii="Times New Roman" w:hAnsi="Times New Roman" w:cs="Times New Roman"/>
        </w:rPr>
        <w:t xml:space="preserve"> </w:t>
      </w:r>
    </w:p>
    <w:p w14:paraId="1ECE57FF" w14:textId="77777777" w:rsidR="003602F6" w:rsidRPr="003602F6" w:rsidRDefault="003602F6" w:rsidP="00D05C74">
      <w:pPr>
        <w:spacing w:line="276" w:lineRule="auto"/>
        <w:jc w:val="both"/>
        <w:rPr>
          <w:rFonts w:ascii="Times New Roman" w:hAnsi="Times New Roman" w:cs="Times New Roman"/>
        </w:rPr>
      </w:pPr>
      <w:r w:rsidRPr="003602F6">
        <w:rPr>
          <w:rFonts w:ascii="Times New Roman" w:hAnsi="Times New Roman" w:cs="Times New Roman"/>
        </w:rPr>
        <w:t>Periodic acid–Schiff (PAS) staining is a valuable tool for diagnosing and evaluating renal carcinomas because it highlights important structural and chemical features of kidney tissue. It helps identify glycogen, glycoproteins, and basement membrane integrity, which are key markers for different types of kidney cancer. In clear cell renal cell carcinoma (</w:t>
      </w:r>
      <w:proofErr w:type="spellStart"/>
      <w:r w:rsidRPr="003602F6">
        <w:rPr>
          <w:rFonts w:ascii="Times New Roman" w:hAnsi="Times New Roman" w:cs="Times New Roman"/>
        </w:rPr>
        <w:t>ccRCC</w:t>
      </w:r>
      <w:proofErr w:type="spellEnd"/>
      <w:r w:rsidRPr="003602F6">
        <w:rPr>
          <w:rFonts w:ascii="Times New Roman" w:hAnsi="Times New Roman" w:cs="Times New Roman"/>
        </w:rPr>
        <w:t>), PAS staining makes glycogen and lipid droplets inside the cancer cells stand out by staining them magenta. This helps distinguish clear cell carcinoma from other kidney tumors. PAS staining can also show if the basement membrane is damaged, which may indicate that the tumor is becoming more aggressive and invasive.</w:t>
      </w:r>
    </w:p>
    <w:p w14:paraId="6D128795" w14:textId="77777777" w:rsidR="003602F6" w:rsidRDefault="003602F6" w:rsidP="00D05C74">
      <w:pPr>
        <w:spacing w:line="276" w:lineRule="auto"/>
        <w:jc w:val="both"/>
        <w:rPr>
          <w:rFonts w:ascii="Times New Roman" w:hAnsi="Times New Roman" w:cs="Times New Roman"/>
        </w:rPr>
      </w:pPr>
      <w:r w:rsidRPr="003602F6">
        <w:rPr>
          <w:rFonts w:ascii="Times New Roman" w:hAnsi="Times New Roman" w:cs="Times New Roman"/>
        </w:rPr>
        <w:t>In papillary renal cell carcinoma (</w:t>
      </w:r>
      <w:proofErr w:type="spellStart"/>
      <w:r w:rsidRPr="003602F6">
        <w:rPr>
          <w:rFonts w:ascii="Times New Roman" w:hAnsi="Times New Roman" w:cs="Times New Roman"/>
        </w:rPr>
        <w:t>pRCC</w:t>
      </w:r>
      <w:proofErr w:type="spellEnd"/>
      <w:r w:rsidRPr="003602F6">
        <w:rPr>
          <w:rFonts w:ascii="Times New Roman" w:hAnsi="Times New Roman" w:cs="Times New Roman"/>
        </w:rPr>
        <w:t>), PAS staining highlights the glycoprotein-rich basement membranes that surround the papillary structures</w:t>
      </w:r>
      <w:r w:rsidR="004E44C4">
        <w:rPr>
          <w:rFonts w:ascii="Times New Roman" w:hAnsi="Times New Roman" w:cs="Times New Roman"/>
        </w:rPr>
        <w:t xml:space="preserve"> (</w:t>
      </w:r>
      <w:proofErr w:type="spellStart"/>
      <w:r w:rsidR="004E44C4" w:rsidRPr="00BB5F2A">
        <w:rPr>
          <w:rFonts w:ascii="Times New Roman" w:hAnsi="Times New Roman" w:cs="Times New Roman"/>
        </w:rPr>
        <w:t>Elayat</w:t>
      </w:r>
      <w:proofErr w:type="spellEnd"/>
      <w:r w:rsidR="004E44C4">
        <w:rPr>
          <w:rFonts w:ascii="Times New Roman" w:hAnsi="Times New Roman" w:cs="Times New Roman"/>
        </w:rPr>
        <w:t xml:space="preserve"> et al., 2023)</w:t>
      </w:r>
      <w:r w:rsidRPr="003602F6">
        <w:rPr>
          <w:rFonts w:ascii="Times New Roman" w:hAnsi="Times New Roman" w:cs="Times New Roman"/>
        </w:rPr>
        <w:t xml:space="preserve">. This helps confirm the papillary structure and sets it apart from other kidney cancer types. For renal oncocytomas, PAS staining typically produces a weak or negative reaction because these tumors have lower levels of glycogen and </w:t>
      </w:r>
      <w:proofErr w:type="spellStart"/>
      <w:r w:rsidRPr="003602F6">
        <w:rPr>
          <w:rFonts w:ascii="Times New Roman" w:hAnsi="Times New Roman" w:cs="Times New Roman"/>
        </w:rPr>
        <w:t>mucosubstances</w:t>
      </w:r>
      <w:proofErr w:type="spellEnd"/>
      <w:r w:rsidRPr="003602F6">
        <w:rPr>
          <w:rFonts w:ascii="Times New Roman" w:hAnsi="Times New Roman" w:cs="Times New Roman"/>
        </w:rPr>
        <w:t>. This difference helps pathologists distinguish benign oncocytomas from malignant renal cell carcinomas</w:t>
      </w:r>
      <w:r w:rsidR="004E44C4">
        <w:rPr>
          <w:rFonts w:ascii="Times New Roman" w:hAnsi="Times New Roman" w:cs="Times New Roman"/>
        </w:rPr>
        <w:t xml:space="preserve"> (</w:t>
      </w:r>
      <w:r w:rsidR="004E44C4" w:rsidRPr="00BB5F2A">
        <w:rPr>
          <w:rFonts w:ascii="Times New Roman" w:hAnsi="Times New Roman" w:cs="Times New Roman"/>
        </w:rPr>
        <w:t>Trevisani</w:t>
      </w:r>
      <w:r w:rsidR="004E44C4">
        <w:rPr>
          <w:rFonts w:ascii="Times New Roman" w:hAnsi="Times New Roman" w:cs="Times New Roman"/>
        </w:rPr>
        <w:t xml:space="preserve"> et al., 2022)</w:t>
      </w:r>
      <w:r w:rsidRPr="003602F6">
        <w:rPr>
          <w:rFonts w:ascii="Times New Roman" w:hAnsi="Times New Roman" w:cs="Times New Roman"/>
        </w:rPr>
        <w:t>. PAS staining gives pathologists a clearer view of glycogen, glycoproteins, and basement membranes in kidney cancer, making it easier to classify tumors, determine their severity, and assess how invasive they are.</w:t>
      </w:r>
    </w:p>
    <w:p w14:paraId="7AE856F0" w14:textId="43B5ED9D" w:rsidR="009D29B8" w:rsidRPr="004E44C4" w:rsidRDefault="00401E01" w:rsidP="00D05C74">
      <w:pPr>
        <w:spacing w:line="276" w:lineRule="auto"/>
        <w:jc w:val="both"/>
        <w:rPr>
          <w:rFonts w:ascii="Times New Roman" w:hAnsi="Times New Roman" w:cs="Times New Roman"/>
          <w:b/>
          <w:bCs/>
        </w:rPr>
      </w:pPr>
      <w:r>
        <w:rPr>
          <w:rFonts w:ascii="Times New Roman" w:hAnsi="Times New Roman" w:cs="Times New Roman"/>
          <w:b/>
          <w:bCs/>
        </w:rPr>
        <w:t>5.2</w:t>
      </w:r>
      <w:r>
        <w:rPr>
          <w:rFonts w:ascii="Times New Roman" w:hAnsi="Times New Roman" w:cs="Times New Roman"/>
          <w:b/>
          <w:bCs/>
        </w:rPr>
        <w:tab/>
      </w:r>
      <w:r w:rsidR="009D29B8" w:rsidRPr="004E44C4">
        <w:rPr>
          <w:rFonts w:ascii="Times New Roman" w:hAnsi="Times New Roman" w:cs="Times New Roman"/>
          <w:b/>
          <w:bCs/>
        </w:rPr>
        <w:t>Masson trichrome Stains</w:t>
      </w:r>
    </w:p>
    <w:p w14:paraId="3E5C201C" w14:textId="77777777" w:rsidR="009D29B8" w:rsidRPr="004E44C4" w:rsidRDefault="009D29B8" w:rsidP="00D05C74">
      <w:pPr>
        <w:spacing w:line="276" w:lineRule="auto"/>
        <w:jc w:val="both"/>
        <w:rPr>
          <w:rFonts w:ascii="Times New Roman" w:hAnsi="Times New Roman" w:cs="Times New Roman"/>
        </w:rPr>
      </w:pPr>
      <w:r w:rsidRPr="004E44C4">
        <w:rPr>
          <w:rFonts w:ascii="Times New Roman" w:hAnsi="Times New Roman" w:cs="Times New Roman"/>
        </w:rPr>
        <w:t>Masson's Trichrome stain is a helpful tool in diagnosing renal carcinomas by revealing changes in the tissue structure caused by tumor growth and spread</w:t>
      </w:r>
      <w:r w:rsidR="004E44C4">
        <w:rPr>
          <w:rFonts w:ascii="Times New Roman" w:hAnsi="Times New Roman" w:cs="Times New Roman"/>
        </w:rPr>
        <w:t xml:space="preserve"> (</w:t>
      </w:r>
      <w:r w:rsidR="004E44C4" w:rsidRPr="00BB5F2A">
        <w:rPr>
          <w:rFonts w:ascii="Times New Roman" w:hAnsi="Times New Roman" w:cs="Times New Roman"/>
        </w:rPr>
        <w:t>Pavić</w:t>
      </w:r>
      <w:r w:rsidR="004E44C4">
        <w:rPr>
          <w:rFonts w:ascii="Times New Roman" w:hAnsi="Times New Roman" w:cs="Times New Roman"/>
        </w:rPr>
        <w:t xml:space="preserve"> et al., 2007)</w:t>
      </w:r>
      <w:r w:rsidRPr="004E44C4">
        <w:rPr>
          <w:rFonts w:ascii="Times New Roman" w:hAnsi="Times New Roman" w:cs="Times New Roman"/>
        </w:rPr>
        <w:t>. In renal carcinomas, the amount of fibrosis (scarring) and basement membrane thickening can provide important clues about the severity and behavior of the disease. Acid Fuchsin stains muscle fibers and the cell body red, making it easier to see the structure of tumor cells</w:t>
      </w:r>
      <w:r w:rsidR="004E44C4">
        <w:rPr>
          <w:rFonts w:ascii="Times New Roman" w:hAnsi="Times New Roman" w:cs="Times New Roman"/>
        </w:rPr>
        <w:t xml:space="preserve"> (</w:t>
      </w:r>
      <w:proofErr w:type="spellStart"/>
      <w:r w:rsidR="004E44C4" w:rsidRPr="00BB5F2A">
        <w:rPr>
          <w:rFonts w:ascii="Times New Roman" w:hAnsi="Times New Roman" w:cs="Times New Roman"/>
        </w:rPr>
        <w:t>Veuthey</w:t>
      </w:r>
      <w:proofErr w:type="spellEnd"/>
      <w:r w:rsidR="004E44C4">
        <w:rPr>
          <w:rFonts w:ascii="Times New Roman" w:hAnsi="Times New Roman" w:cs="Times New Roman"/>
        </w:rPr>
        <w:t xml:space="preserve"> et al., 2014)</w:t>
      </w:r>
      <w:r w:rsidRPr="004E44C4">
        <w:rPr>
          <w:rFonts w:ascii="Times New Roman" w:hAnsi="Times New Roman" w:cs="Times New Roman"/>
        </w:rPr>
        <w:t xml:space="preserve">. This </w:t>
      </w:r>
      <w:r w:rsidR="004E44C4">
        <w:rPr>
          <w:rFonts w:ascii="Times New Roman" w:hAnsi="Times New Roman" w:cs="Times New Roman"/>
        </w:rPr>
        <w:t>distinguishes</w:t>
      </w:r>
      <w:r w:rsidRPr="004E44C4">
        <w:rPr>
          <w:rFonts w:ascii="Times New Roman" w:hAnsi="Times New Roman" w:cs="Times New Roman"/>
        </w:rPr>
        <w:t xml:space="preserve"> cancerous tissue from normal kidney tissue and </w:t>
      </w:r>
      <w:r w:rsidR="004E44C4">
        <w:rPr>
          <w:rFonts w:ascii="Times New Roman" w:hAnsi="Times New Roman" w:cs="Times New Roman"/>
        </w:rPr>
        <w:t>identifies</w:t>
      </w:r>
      <w:r w:rsidRPr="004E44C4">
        <w:rPr>
          <w:rFonts w:ascii="Times New Roman" w:hAnsi="Times New Roman" w:cs="Times New Roman"/>
        </w:rPr>
        <w:t xml:space="preserve"> any unusual cell patterns and Aniline Blue stains collagen blue, making it easy to spot areas of increased collagen buildup, which is often seen in more aggressive forms of renal cell carcinoma (RCC)</w:t>
      </w:r>
      <w:r w:rsidR="004E44C4">
        <w:rPr>
          <w:rFonts w:ascii="Times New Roman" w:hAnsi="Times New Roman" w:cs="Times New Roman"/>
        </w:rPr>
        <w:t xml:space="preserve"> (</w:t>
      </w:r>
      <w:proofErr w:type="spellStart"/>
      <w:r w:rsidR="004E44C4" w:rsidRPr="00BB5F2A">
        <w:rPr>
          <w:rFonts w:ascii="Times New Roman" w:hAnsi="Times New Roman" w:cs="Times New Roman"/>
        </w:rPr>
        <w:t>Veuthey</w:t>
      </w:r>
      <w:proofErr w:type="spellEnd"/>
      <w:r w:rsidR="004E44C4">
        <w:rPr>
          <w:rFonts w:ascii="Times New Roman" w:hAnsi="Times New Roman" w:cs="Times New Roman"/>
        </w:rPr>
        <w:t xml:space="preserve"> et al., 2014)</w:t>
      </w:r>
      <w:r w:rsidRPr="004E44C4">
        <w:rPr>
          <w:rFonts w:ascii="Times New Roman" w:hAnsi="Times New Roman" w:cs="Times New Roman"/>
        </w:rPr>
        <w:t>. The amount of collagen can give insight into how fast the tumor is growing and how invasive it might be.</w:t>
      </w:r>
    </w:p>
    <w:p w14:paraId="6F48B3CD" w14:textId="77777777" w:rsidR="009D29B8" w:rsidRDefault="004E44C4" w:rsidP="00D05C74">
      <w:pPr>
        <w:spacing w:line="276" w:lineRule="auto"/>
        <w:jc w:val="both"/>
        <w:rPr>
          <w:rFonts w:ascii="Times New Roman" w:hAnsi="Times New Roman" w:cs="Times New Roman"/>
        </w:rPr>
      </w:pPr>
      <w:r w:rsidRPr="004E44C4">
        <w:rPr>
          <w:rFonts w:ascii="Times New Roman" w:hAnsi="Times New Roman" w:cs="Times New Roman"/>
        </w:rPr>
        <w:t xml:space="preserve">Clear </w:t>
      </w:r>
      <w:r w:rsidR="009D29B8" w:rsidRPr="004E44C4">
        <w:rPr>
          <w:rFonts w:ascii="Times New Roman" w:hAnsi="Times New Roman" w:cs="Times New Roman"/>
        </w:rPr>
        <w:t>cell RCC, Masson's Trichrome highlights delicate blood vessel structures, which helps differentiate it from other types of kidney tumors</w:t>
      </w:r>
      <w:r w:rsidR="00341758">
        <w:rPr>
          <w:rFonts w:ascii="Times New Roman" w:hAnsi="Times New Roman" w:cs="Times New Roman"/>
        </w:rPr>
        <w:t xml:space="preserve"> (</w:t>
      </w:r>
      <w:r w:rsidR="00341758" w:rsidRPr="00F324C1">
        <w:rPr>
          <w:rFonts w:ascii="Times New Roman" w:hAnsi="Times New Roman" w:cs="Times New Roman"/>
        </w:rPr>
        <w:t>Cathro</w:t>
      </w:r>
      <w:r w:rsidR="00341758">
        <w:rPr>
          <w:rFonts w:ascii="Times New Roman" w:hAnsi="Times New Roman" w:cs="Times New Roman"/>
        </w:rPr>
        <w:t xml:space="preserve"> et al., 2018)</w:t>
      </w:r>
      <w:r w:rsidR="009D29B8" w:rsidRPr="004E44C4">
        <w:rPr>
          <w:rFonts w:ascii="Times New Roman" w:hAnsi="Times New Roman" w:cs="Times New Roman"/>
        </w:rPr>
        <w:t>. This distinction is important because clear cell RCC has unique growth patterns that can affect treatment options and outcomes</w:t>
      </w:r>
      <w:r>
        <w:rPr>
          <w:rFonts w:ascii="Times New Roman" w:hAnsi="Times New Roman" w:cs="Times New Roman"/>
        </w:rPr>
        <w:t xml:space="preserve"> while </w:t>
      </w:r>
      <w:r w:rsidRPr="004E44C4">
        <w:rPr>
          <w:rFonts w:ascii="Times New Roman" w:hAnsi="Times New Roman" w:cs="Times New Roman"/>
        </w:rPr>
        <w:t xml:space="preserve">in </w:t>
      </w:r>
      <w:r w:rsidR="009D29B8" w:rsidRPr="004E44C4">
        <w:rPr>
          <w:rFonts w:ascii="Times New Roman" w:hAnsi="Times New Roman" w:cs="Times New Roman"/>
        </w:rPr>
        <w:t xml:space="preserve">papillary RCC, the stain reveals areas of fibrosis and thickened basement membranes. This helps confirm the diagnosis and assess how much of the kidney tissue is affected while in more aggressive types like collecting duct carcinoma and </w:t>
      </w:r>
      <w:proofErr w:type="spellStart"/>
      <w:r w:rsidR="009D29B8" w:rsidRPr="004E44C4">
        <w:rPr>
          <w:rFonts w:ascii="Times New Roman" w:hAnsi="Times New Roman" w:cs="Times New Roman"/>
        </w:rPr>
        <w:t>sarcomatoid</w:t>
      </w:r>
      <w:proofErr w:type="spellEnd"/>
      <w:r w:rsidR="009D29B8" w:rsidRPr="004E44C4">
        <w:rPr>
          <w:rFonts w:ascii="Times New Roman" w:hAnsi="Times New Roman" w:cs="Times New Roman"/>
        </w:rPr>
        <w:t xml:space="preserve"> RCC, Masson's Trichrome shows significant scarring and increased collagen production</w:t>
      </w:r>
      <w:r w:rsidR="00341758">
        <w:rPr>
          <w:rFonts w:ascii="Times New Roman" w:hAnsi="Times New Roman" w:cs="Times New Roman"/>
        </w:rPr>
        <w:t xml:space="preserve"> (</w:t>
      </w:r>
      <w:r w:rsidR="00341758" w:rsidRPr="00F324C1">
        <w:rPr>
          <w:rFonts w:ascii="Times New Roman" w:hAnsi="Times New Roman" w:cs="Times New Roman"/>
        </w:rPr>
        <w:t>Cathro</w:t>
      </w:r>
      <w:r w:rsidR="00341758">
        <w:rPr>
          <w:rFonts w:ascii="Times New Roman" w:hAnsi="Times New Roman" w:cs="Times New Roman"/>
        </w:rPr>
        <w:t xml:space="preserve"> et al., 2018)</w:t>
      </w:r>
      <w:r w:rsidR="009D29B8" w:rsidRPr="004E44C4">
        <w:rPr>
          <w:rFonts w:ascii="Times New Roman" w:hAnsi="Times New Roman" w:cs="Times New Roman"/>
        </w:rPr>
        <w:t xml:space="preserve">. This provides </w:t>
      </w:r>
      <w:r w:rsidR="009D29B8" w:rsidRPr="004E44C4">
        <w:rPr>
          <w:rFonts w:ascii="Times New Roman" w:hAnsi="Times New Roman" w:cs="Times New Roman"/>
        </w:rPr>
        <w:lastRenderedPageBreak/>
        <w:t>valuable information about how invasive the tumor is and how it might behave clinically. By clearly showing the differences between muscle, collagen, and other cellular components.</w:t>
      </w:r>
    </w:p>
    <w:p w14:paraId="5326B350" w14:textId="1FA53AF8" w:rsidR="00A75F6A" w:rsidRPr="00A75F6A" w:rsidRDefault="00401E01" w:rsidP="00D05C74">
      <w:pPr>
        <w:spacing w:line="276" w:lineRule="auto"/>
        <w:jc w:val="both"/>
        <w:rPr>
          <w:rFonts w:ascii="Times New Roman" w:hAnsi="Times New Roman" w:cs="Times New Roman"/>
          <w:b/>
          <w:bCs/>
        </w:rPr>
      </w:pPr>
      <w:r>
        <w:rPr>
          <w:rFonts w:ascii="Times New Roman" w:hAnsi="Times New Roman" w:cs="Times New Roman"/>
          <w:b/>
          <w:bCs/>
        </w:rPr>
        <w:t>5.3</w:t>
      </w:r>
      <w:r>
        <w:rPr>
          <w:rFonts w:ascii="Times New Roman" w:hAnsi="Times New Roman" w:cs="Times New Roman"/>
          <w:b/>
          <w:bCs/>
        </w:rPr>
        <w:tab/>
      </w:r>
      <w:r w:rsidR="00A75F6A" w:rsidRPr="00A75F6A">
        <w:rPr>
          <w:rFonts w:ascii="Times New Roman" w:hAnsi="Times New Roman" w:cs="Times New Roman"/>
          <w:b/>
          <w:bCs/>
        </w:rPr>
        <w:t>Feulgen stain</w:t>
      </w:r>
    </w:p>
    <w:p w14:paraId="0EB9D703" w14:textId="77777777" w:rsidR="00A75F6A" w:rsidRPr="00A75F6A" w:rsidRDefault="00A75F6A" w:rsidP="00D05C74">
      <w:pPr>
        <w:spacing w:line="276" w:lineRule="auto"/>
        <w:jc w:val="both"/>
        <w:rPr>
          <w:rFonts w:ascii="Times New Roman" w:hAnsi="Times New Roman" w:cs="Times New Roman"/>
        </w:rPr>
      </w:pPr>
      <w:r w:rsidRPr="00A75F6A">
        <w:rPr>
          <w:rFonts w:ascii="Times New Roman" w:hAnsi="Times New Roman" w:cs="Times New Roman"/>
        </w:rPr>
        <w:t>The Feulgen stain is a helpful and insightful tool in diagnosing renal cell carcinomas (RCC), as it allows us to see and measure the DNA inside tumor cells</w:t>
      </w:r>
      <w:r w:rsidR="00341758">
        <w:rPr>
          <w:rFonts w:ascii="Times New Roman" w:hAnsi="Times New Roman" w:cs="Times New Roman"/>
        </w:rPr>
        <w:t xml:space="preserve"> (</w:t>
      </w:r>
      <w:r w:rsidR="00341758" w:rsidRPr="00F324C1">
        <w:rPr>
          <w:rFonts w:ascii="Times New Roman" w:hAnsi="Times New Roman" w:cs="Times New Roman"/>
        </w:rPr>
        <w:t>Sharma</w:t>
      </w:r>
      <w:r w:rsidR="00341758">
        <w:rPr>
          <w:rFonts w:ascii="Times New Roman" w:hAnsi="Times New Roman" w:cs="Times New Roman"/>
        </w:rPr>
        <w:t>, 2021)</w:t>
      </w:r>
      <w:r w:rsidRPr="00A75F6A">
        <w:rPr>
          <w:rFonts w:ascii="Times New Roman" w:hAnsi="Times New Roman" w:cs="Times New Roman"/>
        </w:rPr>
        <w:t>. When examining tissue under the microscope, it’s not always easy to tell RCC apart from other types of kidney tumors or even non-cancerous conditions. This is where the Feulgen stain comes in by highlighting and quantifying DNA, it helps pathologists distinguish between different cell types and better understand the genetic makeup of the tumor.</w:t>
      </w:r>
      <w:r w:rsidR="00341758">
        <w:rPr>
          <w:rFonts w:ascii="Times New Roman" w:hAnsi="Times New Roman" w:cs="Times New Roman"/>
        </w:rPr>
        <w:t xml:space="preserve"> </w:t>
      </w:r>
      <w:r w:rsidRPr="00A75F6A">
        <w:rPr>
          <w:rFonts w:ascii="Times New Roman" w:hAnsi="Times New Roman" w:cs="Times New Roman"/>
        </w:rPr>
        <w:t>Many renal cell carcinomas show abnormal amounts of DNA, a condition known as aneuploidy</w:t>
      </w:r>
      <w:r w:rsidR="00341758">
        <w:rPr>
          <w:rFonts w:ascii="Times New Roman" w:hAnsi="Times New Roman" w:cs="Times New Roman"/>
        </w:rPr>
        <w:t xml:space="preserve"> and </w:t>
      </w:r>
      <w:r w:rsidR="00341758" w:rsidRPr="00A75F6A">
        <w:rPr>
          <w:rFonts w:ascii="Times New Roman" w:hAnsi="Times New Roman" w:cs="Times New Roman"/>
        </w:rPr>
        <w:t xml:space="preserve">the </w:t>
      </w:r>
      <w:r w:rsidRPr="00A75F6A">
        <w:rPr>
          <w:rFonts w:ascii="Times New Roman" w:hAnsi="Times New Roman" w:cs="Times New Roman"/>
        </w:rPr>
        <w:t>Feulgen stain can reveal these irregularities</w:t>
      </w:r>
      <w:r w:rsidR="00341758">
        <w:rPr>
          <w:rFonts w:ascii="Times New Roman" w:hAnsi="Times New Roman" w:cs="Times New Roman"/>
        </w:rPr>
        <w:t xml:space="preserve"> (</w:t>
      </w:r>
      <w:r w:rsidR="00341758" w:rsidRPr="00F324C1">
        <w:rPr>
          <w:rFonts w:ascii="Times New Roman" w:hAnsi="Times New Roman" w:cs="Times New Roman"/>
        </w:rPr>
        <w:t>Wang</w:t>
      </w:r>
      <w:r w:rsidR="00341758">
        <w:rPr>
          <w:rFonts w:ascii="Times New Roman" w:hAnsi="Times New Roman" w:cs="Times New Roman"/>
        </w:rPr>
        <w:t xml:space="preserve"> and</w:t>
      </w:r>
      <w:r w:rsidR="00341758" w:rsidRPr="00F324C1">
        <w:rPr>
          <w:rFonts w:ascii="Times New Roman" w:hAnsi="Times New Roman" w:cs="Times New Roman"/>
        </w:rPr>
        <w:t xml:space="preserve"> Zheng</w:t>
      </w:r>
      <w:r w:rsidR="00341758">
        <w:rPr>
          <w:rFonts w:ascii="Times New Roman" w:hAnsi="Times New Roman" w:cs="Times New Roman"/>
        </w:rPr>
        <w:t>, 2024)</w:t>
      </w:r>
      <w:r w:rsidRPr="00A75F6A">
        <w:rPr>
          <w:rFonts w:ascii="Times New Roman" w:hAnsi="Times New Roman" w:cs="Times New Roman"/>
        </w:rPr>
        <w:t>. Tumors that have more DNA than normal often tend to be more aggressive and are linked to a worse prognosis. The stain’s ability to show whether cells have the normal two copies of DNA (diploid) or doubled amounts (tetraploid) can be an important clue in identifying how far the disease has progressed and how aggressive it might be</w:t>
      </w:r>
      <w:r w:rsidR="00341758">
        <w:rPr>
          <w:rFonts w:ascii="Times New Roman" w:hAnsi="Times New Roman" w:cs="Times New Roman"/>
        </w:rPr>
        <w:t xml:space="preserve"> (</w:t>
      </w:r>
      <w:r w:rsidR="00341758" w:rsidRPr="00F324C1">
        <w:rPr>
          <w:rFonts w:ascii="Times New Roman" w:hAnsi="Times New Roman" w:cs="Times New Roman"/>
        </w:rPr>
        <w:t>Wang</w:t>
      </w:r>
      <w:r w:rsidR="00341758">
        <w:rPr>
          <w:rFonts w:ascii="Times New Roman" w:hAnsi="Times New Roman" w:cs="Times New Roman"/>
        </w:rPr>
        <w:t xml:space="preserve"> and</w:t>
      </w:r>
      <w:r w:rsidR="00341758" w:rsidRPr="00F324C1">
        <w:rPr>
          <w:rFonts w:ascii="Times New Roman" w:hAnsi="Times New Roman" w:cs="Times New Roman"/>
        </w:rPr>
        <w:t xml:space="preserve"> Zheng</w:t>
      </w:r>
      <w:r w:rsidR="00341758">
        <w:rPr>
          <w:rFonts w:ascii="Times New Roman" w:hAnsi="Times New Roman" w:cs="Times New Roman"/>
        </w:rPr>
        <w:t>, 2024)</w:t>
      </w:r>
      <w:r w:rsidRPr="00A75F6A">
        <w:rPr>
          <w:rFonts w:ascii="Times New Roman" w:hAnsi="Times New Roman" w:cs="Times New Roman"/>
        </w:rPr>
        <w:t>.</w:t>
      </w:r>
    </w:p>
    <w:p w14:paraId="0A7A447E" w14:textId="77777777" w:rsidR="003602F6" w:rsidRPr="00A75F6A" w:rsidRDefault="00A75F6A" w:rsidP="00D05C74">
      <w:pPr>
        <w:spacing w:line="276" w:lineRule="auto"/>
        <w:jc w:val="both"/>
        <w:rPr>
          <w:rFonts w:ascii="Times New Roman" w:hAnsi="Times New Roman" w:cs="Times New Roman"/>
        </w:rPr>
      </w:pPr>
      <w:r w:rsidRPr="00A75F6A">
        <w:rPr>
          <w:rFonts w:ascii="Times New Roman" w:hAnsi="Times New Roman" w:cs="Times New Roman"/>
        </w:rPr>
        <w:t>RCC tumors can also be quite diverse in their cell populations, with some cells having normal DNA amounts and others showing abnormalities</w:t>
      </w:r>
      <w:r w:rsidR="00341758">
        <w:rPr>
          <w:rFonts w:ascii="Times New Roman" w:hAnsi="Times New Roman" w:cs="Times New Roman"/>
        </w:rPr>
        <w:t xml:space="preserve"> (</w:t>
      </w:r>
      <w:proofErr w:type="spellStart"/>
      <w:r w:rsidR="00341758" w:rsidRPr="00F324C1">
        <w:rPr>
          <w:rFonts w:ascii="Times New Roman" w:hAnsi="Times New Roman" w:cs="Times New Roman"/>
        </w:rPr>
        <w:t>Jonasch</w:t>
      </w:r>
      <w:proofErr w:type="spellEnd"/>
      <w:r w:rsidR="00341758">
        <w:rPr>
          <w:rFonts w:ascii="Times New Roman" w:hAnsi="Times New Roman" w:cs="Times New Roman"/>
        </w:rPr>
        <w:t xml:space="preserve"> et al., 2021)</w:t>
      </w:r>
      <w:r w:rsidRPr="00A75F6A">
        <w:rPr>
          <w:rFonts w:ascii="Times New Roman" w:hAnsi="Times New Roman" w:cs="Times New Roman"/>
        </w:rPr>
        <w:t>. The Feulgen stain helps uncover this complexity, offering additional insight into how mixed or uniform the tumor is, which can help in classifying the cancer and predicting how it might behave.</w:t>
      </w:r>
      <w:r>
        <w:rPr>
          <w:rFonts w:ascii="Times New Roman" w:hAnsi="Times New Roman" w:cs="Times New Roman"/>
        </w:rPr>
        <w:t xml:space="preserve"> </w:t>
      </w:r>
      <w:r w:rsidRPr="00A75F6A">
        <w:rPr>
          <w:rFonts w:ascii="Times New Roman" w:hAnsi="Times New Roman" w:cs="Times New Roman"/>
        </w:rPr>
        <w:t>Another key use of the Feulgen stain is in grading the tumor. By assessing how much DNA is present in the nuclei, it becomes easier to differentiate between lower-grade, less aggressive tumors and higher-grade ones that tend to grow and spread more rapidly. Generally, tumors with higher DNA content signal a more serious and aggressive form of cancer.</w:t>
      </w:r>
      <w:r>
        <w:rPr>
          <w:rFonts w:ascii="Times New Roman" w:hAnsi="Times New Roman" w:cs="Times New Roman"/>
        </w:rPr>
        <w:t xml:space="preserve"> </w:t>
      </w:r>
      <w:r w:rsidRPr="00A75F6A">
        <w:rPr>
          <w:rFonts w:ascii="Times New Roman" w:hAnsi="Times New Roman" w:cs="Times New Roman"/>
        </w:rPr>
        <w:t xml:space="preserve">Chromosomal abnormalities such as missing or extra pieces of DNA </w:t>
      </w:r>
      <w:r w:rsidR="00341758">
        <w:rPr>
          <w:rFonts w:ascii="Times New Roman" w:hAnsi="Times New Roman" w:cs="Times New Roman"/>
        </w:rPr>
        <w:t xml:space="preserve">  </w:t>
      </w:r>
      <w:r w:rsidRPr="00A75F6A">
        <w:rPr>
          <w:rFonts w:ascii="Times New Roman" w:hAnsi="Times New Roman" w:cs="Times New Roman"/>
        </w:rPr>
        <w:t>are common in RCC and often show up as changes in DNA quantity and structure. The Feulgen stain allows these changes to be seen and measured, giving us a glimpse into the genetic instability within the tumo</w:t>
      </w:r>
      <w:r w:rsidR="00341758">
        <w:rPr>
          <w:rFonts w:ascii="Times New Roman" w:hAnsi="Times New Roman" w:cs="Times New Roman"/>
        </w:rPr>
        <w:t>r (</w:t>
      </w:r>
      <w:proofErr w:type="spellStart"/>
      <w:r w:rsidR="00341758" w:rsidRPr="00F324C1">
        <w:rPr>
          <w:rFonts w:ascii="Times New Roman" w:hAnsi="Times New Roman" w:cs="Times New Roman"/>
        </w:rPr>
        <w:t>Jonasch</w:t>
      </w:r>
      <w:proofErr w:type="spellEnd"/>
      <w:r w:rsidR="00341758">
        <w:rPr>
          <w:rFonts w:ascii="Times New Roman" w:hAnsi="Times New Roman" w:cs="Times New Roman"/>
        </w:rPr>
        <w:t xml:space="preserve"> et al., </w:t>
      </w:r>
      <w:r w:rsidR="00AD33E5">
        <w:rPr>
          <w:rFonts w:ascii="Times New Roman" w:hAnsi="Times New Roman" w:cs="Times New Roman"/>
        </w:rPr>
        <w:t>2021</w:t>
      </w:r>
      <w:r w:rsidR="00341758">
        <w:rPr>
          <w:rFonts w:ascii="Times New Roman" w:hAnsi="Times New Roman" w:cs="Times New Roman"/>
        </w:rPr>
        <w:t>)</w:t>
      </w:r>
      <w:r w:rsidRPr="00A75F6A">
        <w:rPr>
          <w:rFonts w:ascii="Times New Roman" w:hAnsi="Times New Roman" w:cs="Times New Roman"/>
        </w:rPr>
        <w:t>.</w:t>
      </w:r>
    </w:p>
    <w:p w14:paraId="0FA2444F" w14:textId="536CE8A0" w:rsidR="00EA1BE7" w:rsidRPr="00C70D17" w:rsidRDefault="00401E01" w:rsidP="00D05C74">
      <w:pPr>
        <w:spacing w:line="276" w:lineRule="auto"/>
        <w:jc w:val="both"/>
        <w:rPr>
          <w:rFonts w:ascii="Times New Roman" w:hAnsi="Times New Roman" w:cs="Times New Roman"/>
          <w:b/>
          <w:bCs/>
        </w:rPr>
      </w:pPr>
      <w:r>
        <w:rPr>
          <w:rFonts w:ascii="Times New Roman" w:hAnsi="Times New Roman" w:cs="Times New Roman"/>
          <w:b/>
          <w:bCs/>
        </w:rPr>
        <w:t>5.4</w:t>
      </w:r>
      <w:r>
        <w:rPr>
          <w:rFonts w:ascii="Times New Roman" w:hAnsi="Times New Roman" w:cs="Times New Roman"/>
          <w:b/>
          <w:bCs/>
        </w:rPr>
        <w:tab/>
      </w:r>
      <w:r w:rsidR="006A022C" w:rsidRPr="00C70D17">
        <w:rPr>
          <w:rFonts w:ascii="Times New Roman" w:hAnsi="Times New Roman" w:cs="Times New Roman"/>
          <w:b/>
          <w:bCs/>
        </w:rPr>
        <w:t xml:space="preserve">Immunohistochemical Stains </w:t>
      </w:r>
    </w:p>
    <w:p w14:paraId="3EA7A63E" w14:textId="77777777" w:rsidR="001A7BFF" w:rsidRDefault="001A7BFF" w:rsidP="00D05C74">
      <w:pPr>
        <w:spacing w:line="276" w:lineRule="auto"/>
        <w:jc w:val="both"/>
        <w:rPr>
          <w:rFonts w:ascii="Times New Roman" w:hAnsi="Times New Roman" w:cs="Times New Roman"/>
          <w:b/>
          <w:bCs/>
        </w:rPr>
      </w:pPr>
      <w:r>
        <w:rPr>
          <w:rFonts w:ascii="Times New Roman" w:hAnsi="Times New Roman" w:cs="Times New Roman"/>
          <w:b/>
          <w:bCs/>
        </w:rPr>
        <w:t>5.4.1</w:t>
      </w:r>
      <w:r>
        <w:rPr>
          <w:rFonts w:ascii="Times New Roman" w:hAnsi="Times New Roman" w:cs="Times New Roman"/>
          <w:b/>
          <w:bCs/>
        </w:rPr>
        <w:tab/>
      </w:r>
      <w:r w:rsidR="006C3CC3" w:rsidRPr="00C70D17">
        <w:rPr>
          <w:rFonts w:ascii="Times New Roman" w:hAnsi="Times New Roman" w:cs="Times New Roman"/>
          <w:b/>
          <w:bCs/>
        </w:rPr>
        <w:t>Cytokeratins</w:t>
      </w:r>
      <w:r w:rsidR="000E56D6">
        <w:rPr>
          <w:rFonts w:ascii="Times New Roman" w:hAnsi="Times New Roman" w:cs="Times New Roman"/>
          <w:b/>
          <w:bCs/>
        </w:rPr>
        <w:t xml:space="preserve"> </w:t>
      </w:r>
    </w:p>
    <w:p w14:paraId="64ED0357" w14:textId="316D3EB8" w:rsidR="006C3CC3" w:rsidRPr="000E56D6" w:rsidRDefault="006C3CC3" w:rsidP="00D05C74">
      <w:pPr>
        <w:spacing w:line="276" w:lineRule="auto"/>
        <w:jc w:val="both"/>
        <w:rPr>
          <w:rFonts w:ascii="Times New Roman" w:hAnsi="Times New Roman" w:cs="Times New Roman"/>
          <w:b/>
          <w:bCs/>
        </w:rPr>
      </w:pPr>
      <w:r w:rsidRPr="006C3CC3">
        <w:rPr>
          <w:rFonts w:ascii="Times New Roman" w:hAnsi="Times New Roman" w:cs="Times New Roman"/>
        </w:rPr>
        <w:t>All primary categories of renal tumors typically show expression of cytokeratin 18 (CK18), while cytokeratin 20 (CK20) remains consistently absent across these tumor types</w:t>
      </w:r>
      <w:r w:rsidR="00AD33E5">
        <w:rPr>
          <w:rFonts w:ascii="Times New Roman" w:hAnsi="Times New Roman" w:cs="Times New Roman"/>
        </w:rPr>
        <w:t xml:space="preserve"> (</w:t>
      </w:r>
      <w:r w:rsidR="00AD33E5" w:rsidRPr="00087B3F">
        <w:rPr>
          <w:rFonts w:ascii="Times New Roman" w:hAnsi="Times New Roman" w:cs="Times New Roman"/>
        </w:rPr>
        <w:t>Rogala</w:t>
      </w:r>
      <w:r w:rsidR="00AD33E5">
        <w:rPr>
          <w:rFonts w:ascii="Times New Roman" w:hAnsi="Times New Roman" w:cs="Times New Roman"/>
        </w:rPr>
        <w:t>, 2023)</w:t>
      </w:r>
      <w:r w:rsidRPr="006C3CC3">
        <w:rPr>
          <w:rFonts w:ascii="Times New Roman" w:hAnsi="Times New Roman" w:cs="Times New Roman"/>
        </w:rPr>
        <w:t xml:space="preserve">. Other key diagnostic findings include: (1) CK5/6 is present in around 75% of urothelial carcinomas and in about 15% of collecting duct renal cell carcinomas (RCC), but not in other renal tumors; (2) CK7 expression is commonly found in papillary RCC, collecting duct RCC, and urothelial carcinoma (ranging from 87% to 100%), though it also appears in various other tumor types; (3) High–molecular-weight </w:t>
      </w:r>
      <w:proofErr w:type="spellStart"/>
      <w:r w:rsidRPr="006C3CC3">
        <w:rPr>
          <w:rFonts w:ascii="Times New Roman" w:hAnsi="Times New Roman" w:cs="Times New Roman"/>
        </w:rPr>
        <w:t>cytokeratins</w:t>
      </w:r>
      <w:proofErr w:type="spellEnd"/>
      <w:r w:rsidRPr="006C3CC3">
        <w:rPr>
          <w:rFonts w:ascii="Times New Roman" w:hAnsi="Times New Roman" w:cs="Times New Roman"/>
        </w:rPr>
        <w:t xml:space="preserve">, identified by the 34βE12 antibody, are observed in most collecting duct RCCs (67%) and all urothelial carcinomas, but are rarely found in other renal tumors. Notably, the expression patterns of </w:t>
      </w:r>
      <w:proofErr w:type="spellStart"/>
      <w:r w:rsidRPr="006C3CC3">
        <w:rPr>
          <w:rFonts w:ascii="Times New Roman" w:hAnsi="Times New Roman" w:cs="Times New Roman"/>
        </w:rPr>
        <w:t>cytokeratins</w:t>
      </w:r>
      <w:proofErr w:type="spellEnd"/>
      <w:r w:rsidRPr="006C3CC3">
        <w:rPr>
          <w:rFonts w:ascii="Times New Roman" w:hAnsi="Times New Roman" w:cs="Times New Roman"/>
        </w:rPr>
        <w:t xml:space="preserve"> detected by the frequently used AE1/AE3 </w:t>
      </w:r>
      <w:r w:rsidRPr="006C3CC3">
        <w:rPr>
          <w:rFonts w:ascii="Times New Roman" w:hAnsi="Times New Roman" w:cs="Times New Roman"/>
        </w:rPr>
        <w:lastRenderedPageBreak/>
        <w:t xml:space="preserve">antibody in renal tumors have not been comprehensively documented. </w:t>
      </w:r>
      <w:r w:rsidR="00AD33E5" w:rsidRPr="006C3CC3">
        <w:rPr>
          <w:rFonts w:ascii="Times New Roman" w:hAnsi="Times New Roman" w:cs="Times New Roman"/>
        </w:rPr>
        <w:t xml:space="preserve">The </w:t>
      </w:r>
      <w:r w:rsidRPr="006C3CC3">
        <w:rPr>
          <w:rFonts w:ascii="Times New Roman" w:hAnsi="Times New Roman" w:cs="Times New Roman"/>
        </w:rPr>
        <w:t xml:space="preserve">inconsistency in the expression of other </w:t>
      </w:r>
      <w:proofErr w:type="spellStart"/>
      <w:r w:rsidRPr="006C3CC3">
        <w:rPr>
          <w:rFonts w:ascii="Times New Roman" w:hAnsi="Times New Roman" w:cs="Times New Roman"/>
        </w:rPr>
        <w:t>cytokeratins</w:t>
      </w:r>
      <w:proofErr w:type="spellEnd"/>
      <w:r w:rsidRPr="006C3CC3">
        <w:rPr>
          <w:rFonts w:ascii="Times New Roman" w:hAnsi="Times New Roman" w:cs="Times New Roman"/>
        </w:rPr>
        <w:t xml:space="preserve"> limits their usefulness in diagnosis. These findings highlight certain challenges in relying on </w:t>
      </w:r>
      <w:proofErr w:type="spellStart"/>
      <w:r w:rsidRPr="006C3CC3">
        <w:rPr>
          <w:rFonts w:ascii="Times New Roman" w:hAnsi="Times New Roman" w:cs="Times New Roman"/>
        </w:rPr>
        <w:t>cytokeratins</w:t>
      </w:r>
      <w:proofErr w:type="spellEnd"/>
      <w:r w:rsidRPr="006C3CC3">
        <w:rPr>
          <w:rFonts w:ascii="Times New Roman" w:hAnsi="Times New Roman" w:cs="Times New Roman"/>
        </w:rPr>
        <w:t xml:space="preserve"> for diagnosing renal tumors</w:t>
      </w:r>
      <w:r w:rsidR="00AD33E5">
        <w:rPr>
          <w:rFonts w:ascii="Times New Roman" w:hAnsi="Times New Roman" w:cs="Times New Roman"/>
        </w:rPr>
        <w:t xml:space="preserve"> (</w:t>
      </w:r>
      <w:r w:rsidR="00AD33E5" w:rsidRPr="00087B3F">
        <w:rPr>
          <w:rFonts w:ascii="Times New Roman" w:hAnsi="Times New Roman" w:cs="Times New Roman"/>
        </w:rPr>
        <w:t>Rogala</w:t>
      </w:r>
      <w:r w:rsidR="00AD33E5">
        <w:rPr>
          <w:rFonts w:ascii="Times New Roman" w:hAnsi="Times New Roman" w:cs="Times New Roman"/>
        </w:rPr>
        <w:t>, 2023)</w:t>
      </w:r>
      <w:r w:rsidRPr="006C3CC3">
        <w:rPr>
          <w:rFonts w:ascii="Times New Roman" w:hAnsi="Times New Roman" w:cs="Times New Roman"/>
        </w:rPr>
        <w:t xml:space="preserve">. Often, the priority is to establish whether the tumor is a carcinoma before narrowing down to RCC, especially when dealing with limited tissue samples, such as those obtained from fine-needle aspiration (FNA). Broad-spectrum cytokeratin antibodies, like AE1/AE3, are commonly employed for this purpose, but they lack the specificity offered by CK18, which is a low–molecular-weight cytokeratin expressed in nearly all RCCs. This lack of specificity may explain why RCCs, both primary and metastatic, often yield negative results with AE1/AE3; for example, only 25% of Xp11 translocation RCCs showed positivity for AE1/AE3. In such cases, CK18-specific antibodies should be part of the diagnostic panel. Although the CAM 5.2 antibody is frequently used alongside broad-spectrum cytokeratin antibodies, it targets CK8, which is expressed in a large portion (40%–100%) but not all RCCs, and it does not specifically detect CK18. This need for precise confirmation is especially important when diagnosing </w:t>
      </w:r>
      <w:proofErr w:type="spellStart"/>
      <w:r w:rsidRPr="006C3CC3">
        <w:rPr>
          <w:rFonts w:ascii="Times New Roman" w:hAnsi="Times New Roman" w:cs="Times New Roman"/>
        </w:rPr>
        <w:t>sarcomatoid</w:t>
      </w:r>
      <w:proofErr w:type="spellEnd"/>
      <w:r w:rsidRPr="006C3CC3">
        <w:rPr>
          <w:rFonts w:ascii="Times New Roman" w:hAnsi="Times New Roman" w:cs="Times New Roman"/>
        </w:rPr>
        <w:t xml:space="preserve"> RCC, yet its cytokeratin expression pattern has yet to be thoroughly analyzed</w:t>
      </w:r>
    </w:p>
    <w:p w14:paraId="4CE9F60D" w14:textId="6BBF456E" w:rsidR="001A7BFF" w:rsidRPr="001A7BFF" w:rsidRDefault="006C3CC3" w:rsidP="00D05C74">
      <w:pPr>
        <w:pStyle w:val="ListParagraph"/>
        <w:numPr>
          <w:ilvl w:val="2"/>
          <w:numId w:val="13"/>
        </w:numPr>
        <w:spacing w:line="276" w:lineRule="auto"/>
        <w:ind w:left="720"/>
        <w:jc w:val="both"/>
        <w:rPr>
          <w:rFonts w:ascii="Times New Roman" w:hAnsi="Times New Roman" w:cs="Times New Roman"/>
          <w:b/>
          <w:bCs/>
        </w:rPr>
      </w:pPr>
      <w:r w:rsidRPr="001A7BFF">
        <w:rPr>
          <w:rFonts w:ascii="Times New Roman" w:hAnsi="Times New Roman" w:cs="Times New Roman"/>
          <w:b/>
          <w:bCs/>
        </w:rPr>
        <w:t>Vimentin</w:t>
      </w:r>
      <w:r w:rsidR="000E56D6" w:rsidRPr="001A7BFF">
        <w:rPr>
          <w:rFonts w:ascii="Times New Roman" w:hAnsi="Times New Roman" w:cs="Times New Roman"/>
          <w:b/>
          <w:bCs/>
        </w:rPr>
        <w:t xml:space="preserve"> </w:t>
      </w:r>
    </w:p>
    <w:p w14:paraId="41D35598" w14:textId="2AF32548" w:rsidR="006C3CC3" w:rsidRPr="001A7BFF" w:rsidRDefault="006C3CC3" w:rsidP="00D05C74">
      <w:pPr>
        <w:spacing w:line="276" w:lineRule="auto"/>
        <w:jc w:val="both"/>
        <w:rPr>
          <w:rFonts w:ascii="Times New Roman" w:hAnsi="Times New Roman" w:cs="Times New Roman"/>
          <w:b/>
          <w:bCs/>
        </w:rPr>
      </w:pPr>
      <w:r w:rsidRPr="001A7BFF">
        <w:rPr>
          <w:rFonts w:ascii="Times New Roman" w:hAnsi="Times New Roman" w:cs="Times New Roman"/>
        </w:rPr>
        <w:t>Vimentin, a well-known marker of mesenchymal origin, is commonly found in various subtypes of renal cell carcinoma (RCC), typically showing widespread expression</w:t>
      </w:r>
      <w:r w:rsidR="00AD33E5" w:rsidRPr="001A7BFF">
        <w:rPr>
          <w:rFonts w:ascii="Times New Roman" w:hAnsi="Times New Roman" w:cs="Times New Roman"/>
        </w:rPr>
        <w:t xml:space="preserve"> (Feng et al., 2022)</w:t>
      </w:r>
      <w:r w:rsidRPr="001A7BFF">
        <w:rPr>
          <w:rFonts w:ascii="Times New Roman" w:hAnsi="Times New Roman" w:cs="Times New Roman"/>
        </w:rPr>
        <w:t>. While few other carcinomas</w:t>
      </w:r>
      <w:r w:rsidR="00AD33E5" w:rsidRPr="001A7BFF">
        <w:rPr>
          <w:rFonts w:ascii="Times New Roman" w:hAnsi="Times New Roman" w:cs="Times New Roman"/>
        </w:rPr>
        <w:t xml:space="preserve"> </w:t>
      </w:r>
      <w:r w:rsidRPr="001A7BFF">
        <w:rPr>
          <w:rFonts w:ascii="Times New Roman" w:hAnsi="Times New Roman" w:cs="Times New Roman"/>
        </w:rPr>
        <w:t>such as those arising from the endometrium, thyroid, and adrenal cortex</w:t>
      </w:r>
      <w:r w:rsidR="000E56D6" w:rsidRPr="001A7BFF">
        <w:rPr>
          <w:rFonts w:ascii="Times New Roman" w:hAnsi="Times New Roman" w:cs="Times New Roman"/>
        </w:rPr>
        <w:t xml:space="preserve">, </w:t>
      </w:r>
      <w:r w:rsidRPr="001A7BFF">
        <w:rPr>
          <w:rFonts w:ascii="Times New Roman" w:hAnsi="Times New Roman" w:cs="Times New Roman"/>
        </w:rPr>
        <w:t>also exhibit vimentin expression, its presence can assist in narrowing the differential diagnosis when evaluating potential metastatic RCC</w:t>
      </w:r>
      <w:r w:rsidR="00D866FE" w:rsidRPr="001A7BFF">
        <w:rPr>
          <w:rFonts w:ascii="Times New Roman" w:hAnsi="Times New Roman" w:cs="Times New Roman"/>
        </w:rPr>
        <w:t xml:space="preserve"> (Nezami and MacLennan, 2024)</w:t>
      </w:r>
      <w:r w:rsidRPr="001A7BFF">
        <w:rPr>
          <w:rFonts w:ascii="Times New Roman" w:hAnsi="Times New Roman" w:cs="Times New Roman"/>
        </w:rPr>
        <w:t xml:space="preserve">. Within primary kidney tumors, differences in vimentin staining patterns can help distinguish between subtypes: clear cell and papillary RCCs frequently show strong positivity (in about 87% to 100% of cases), whereas chromophobe RCC and oncocytomas rarely do. Nonetheless, research by </w:t>
      </w:r>
      <w:proofErr w:type="spellStart"/>
      <w:r w:rsidRPr="001A7BFF">
        <w:rPr>
          <w:rFonts w:ascii="Times New Roman" w:hAnsi="Times New Roman" w:cs="Times New Roman"/>
        </w:rPr>
        <w:t>Hes</w:t>
      </w:r>
      <w:proofErr w:type="spellEnd"/>
      <w:r w:rsidRPr="001A7BFF">
        <w:rPr>
          <w:rFonts w:ascii="Times New Roman" w:hAnsi="Times New Roman" w:cs="Times New Roman"/>
        </w:rPr>
        <w:t xml:space="preserve"> </w:t>
      </w:r>
      <w:r w:rsidR="00D866FE" w:rsidRPr="001A7BFF">
        <w:rPr>
          <w:rFonts w:ascii="Times New Roman" w:hAnsi="Times New Roman" w:cs="Times New Roman"/>
        </w:rPr>
        <w:t>et al., (2007)</w:t>
      </w:r>
      <w:r w:rsidRPr="001A7BFF">
        <w:rPr>
          <w:rFonts w:ascii="Times New Roman" w:hAnsi="Times New Roman" w:cs="Times New Roman"/>
        </w:rPr>
        <w:t>, examining 234 oncocytoma cases, revealed that 73% demonstrated focal vimentin staining, often with a distinctive pattern compared to other renal tumors. This indicates that although vimentin is a valuable tool in identifying renal tumors, its presence does not entirely rule out oncocytoma, particularly in limited biopsy samples</w:t>
      </w:r>
      <w:r w:rsidR="00D866FE" w:rsidRPr="001A7BFF">
        <w:rPr>
          <w:rFonts w:ascii="Times New Roman" w:hAnsi="Times New Roman" w:cs="Times New Roman"/>
        </w:rPr>
        <w:t xml:space="preserve"> (</w:t>
      </w:r>
      <w:proofErr w:type="spellStart"/>
      <w:r w:rsidR="00D866FE" w:rsidRPr="001A7BFF">
        <w:rPr>
          <w:rFonts w:ascii="Times New Roman" w:hAnsi="Times New Roman" w:cs="Times New Roman"/>
        </w:rPr>
        <w:t>Hes</w:t>
      </w:r>
      <w:proofErr w:type="spellEnd"/>
      <w:r w:rsidR="00D866FE" w:rsidRPr="001A7BFF">
        <w:rPr>
          <w:rFonts w:ascii="Times New Roman" w:hAnsi="Times New Roman" w:cs="Times New Roman"/>
        </w:rPr>
        <w:t xml:space="preserve"> et al., 2007</w:t>
      </w:r>
      <w:proofErr w:type="gramStart"/>
      <w:r w:rsidR="00D866FE" w:rsidRPr="001A7BFF">
        <w:rPr>
          <w:rFonts w:ascii="Times New Roman" w:hAnsi="Times New Roman" w:cs="Times New Roman"/>
        </w:rPr>
        <w:t xml:space="preserve">) </w:t>
      </w:r>
      <w:r w:rsidRPr="001A7BFF">
        <w:rPr>
          <w:rFonts w:ascii="Times New Roman" w:hAnsi="Times New Roman" w:cs="Times New Roman"/>
        </w:rPr>
        <w:t>.</w:t>
      </w:r>
      <w:proofErr w:type="gramEnd"/>
    </w:p>
    <w:p w14:paraId="4E5141FD" w14:textId="79CEEAC7" w:rsidR="001A7BFF" w:rsidRPr="001A7BFF" w:rsidRDefault="00A5127E" w:rsidP="00D05C74">
      <w:pPr>
        <w:pStyle w:val="ListParagraph"/>
        <w:numPr>
          <w:ilvl w:val="2"/>
          <w:numId w:val="13"/>
        </w:numPr>
        <w:spacing w:line="276" w:lineRule="auto"/>
        <w:ind w:left="720"/>
        <w:jc w:val="both"/>
        <w:rPr>
          <w:rFonts w:ascii="Times New Roman" w:hAnsi="Times New Roman" w:cs="Times New Roman"/>
          <w:b/>
          <w:bCs/>
        </w:rPr>
      </w:pPr>
      <w:r w:rsidRPr="001A7BFF">
        <w:rPr>
          <w:rFonts w:ascii="Times New Roman" w:hAnsi="Times New Roman" w:cs="Times New Roman"/>
          <w:b/>
          <w:bCs/>
        </w:rPr>
        <w:t>PAX2 and PAX8</w:t>
      </w:r>
    </w:p>
    <w:p w14:paraId="6119852C" w14:textId="022E892D" w:rsidR="00A5127E" w:rsidRPr="001A7BFF" w:rsidRDefault="00A5127E" w:rsidP="00D05C74">
      <w:pPr>
        <w:spacing w:line="276" w:lineRule="auto"/>
        <w:jc w:val="both"/>
        <w:rPr>
          <w:rFonts w:ascii="Times New Roman" w:hAnsi="Times New Roman" w:cs="Times New Roman"/>
          <w:b/>
          <w:bCs/>
        </w:rPr>
      </w:pPr>
      <w:r w:rsidRPr="001A7BFF">
        <w:rPr>
          <w:rFonts w:ascii="Times New Roman" w:hAnsi="Times New Roman" w:cs="Times New Roman"/>
        </w:rPr>
        <w:t>PAX2 is a nuclear transcription factor critical for the embryonic development of organs such as the kidneys, Müllerian structures, brain, and eyes</w:t>
      </w:r>
      <w:r w:rsidR="00D866FE" w:rsidRPr="001A7BFF">
        <w:rPr>
          <w:rFonts w:ascii="Times New Roman" w:hAnsi="Times New Roman" w:cs="Times New Roman"/>
        </w:rPr>
        <w:t xml:space="preserve"> (Winyard et al., 1996)</w:t>
      </w:r>
      <w:r w:rsidRPr="001A7BFF">
        <w:rPr>
          <w:rFonts w:ascii="Times New Roman" w:hAnsi="Times New Roman" w:cs="Times New Roman"/>
        </w:rPr>
        <w:t>. Under normal conditions, it is found in kidney tissues, Müllerian epithelium, and certain lymphoid cells. In healthy kidneys, PAX2 expression is limited to podocytes and distal tubule cells, but it can become re-expressed in other nephron areas when injury occurs. Recently, PAX2 has proven to be a helpful marker in identifying renal tumors. It offers multiple diagnostic benefits</w:t>
      </w:r>
      <w:r w:rsidR="00D866FE" w:rsidRPr="001A7BFF">
        <w:rPr>
          <w:rFonts w:ascii="Times New Roman" w:hAnsi="Times New Roman" w:cs="Times New Roman"/>
        </w:rPr>
        <w:t xml:space="preserve"> which includes</w:t>
      </w:r>
      <w:r w:rsidRPr="001A7BFF">
        <w:rPr>
          <w:rFonts w:ascii="Times New Roman" w:hAnsi="Times New Roman" w:cs="Times New Roman"/>
        </w:rPr>
        <w:t xml:space="preserve">: (1) its nuclear staining pattern complements the cytoplasmic staining seen with traditional renal tumor markers like CD10 and RCC antigen; (2) it is present in a large percentage of renal tumors across different histologic types; and (3) when positive, it typically highlights a substantial portion of tumor cells </w:t>
      </w:r>
      <w:r w:rsidRPr="001A7BFF">
        <w:rPr>
          <w:rFonts w:ascii="Times New Roman" w:hAnsi="Times New Roman" w:cs="Times New Roman"/>
        </w:rPr>
        <w:lastRenderedPageBreak/>
        <w:t>in both primary and metastatic sites. Importantly, only nuclear positivity should be considered a reliable indicator of PAX2 presence</w:t>
      </w:r>
      <w:r w:rsidR="00D866FE" w:rsidRPr="001A7BFF">
        <w:rPr>
          <w:rFonts w:ascii="Times New Roman" w:hAnsi="Times New Roman" w:cs="Times New Roman"/>
        </w:rPr>
        <w:t xml:space="preserve"> (Winyard et al., 1996)</w:t>
      </w:r>
      <w:r w:rsidRPr="001A7BFF">
        <w:rPr>
          <w:rFonts w:ascii="Times New Roman" w:hAnsi="Times New Roman" w:cs="Times New Roman"/>
        </w:rPr>
        <w:t>.</w:t>
      </w:r>
    </w:p>
    <w:p w14:paraId="2B16C4A0" w14:textId="77777777" w:rsidR="00A5127E" w:rsidRPr="00A5127E" w:rsidRDefault="00A5127E" w:rsidP="00D05C74">
      <w:pPr>
        <w:spacing w:line="276" w:lineRule="auto"/>
        <w:jc w:val="both"/>
        <w:rPr>
          <w:rFonts w:ascii="Times New Roman" w:hAnsi="Times New Roman" w:cs="Times New Roman"/>
        </w:rPr>
      </w:pPr>
      <w:r w:rsidRPr="00A5127E">
        <w:rPr>
          <w:rFonts w:ascii="Times New Roman" w:hAnsi="Times New Roman" w:cs="Times New Roman"/>
        </w:rPr>
        <w:t>Most forms of RCC show PAX2 expression, though high-grade tumors particularly aggressive clear cell RCC</w:t>
      </w:r>
      <w:r w:rsidR="00D866FE">
        <w:rPr>
          <w:rFonts w:ascii="Times New Roman" w:hAnsi="Times New Roman" w:cs="Times New Roman"/>
        </w:rPr>
        <w:t xml:space="preserve"> </w:t>
      </w:r>
      <w:r w:rsidRPr="00A5127E">
        <w:rPr>
          <w:rFonts w:ascii="Times New Roman" w:hAnsi="Times New Roman" w:cs="Times New Roman"/>
        </w:rPr>
        <w:t>tend to exhibit significantly reduced levels compared to their lower-grade counterparts. The prevalence of PAX2 staining varies in oncocytoma, chromophobe RCC, and collecting duct carcinoma depending on the study</w:t>
      </w:r>
      <w:r w:rsidR="00D866FE">
        <w:rPr>
          <w:rFonts w:ascii="Times New Roman" w:hAnsi="Times New Roman" w:cs="Times New Roman"/>
        </w:rPr>
        <w:t xml:space="preserve"> (</w:t>
      </w:r>
      <w:r w:rsidR="00D866FE" w:rsidRPr="002B4AC9">
        <w:rPr>
          <w:rFonts w:ascii="Times New Roman" w:hAnsi="Times New Roman" w:cs="Times New Roman"/>
        </w:rPr>
        <w:t>Ozcan</w:t>
      </w:r>
      <w:r w:rsidR="00D866FE">
        <w:rPr>
          <w:rFonts w:ascii="Times New Roman" w:hAnsi="Times New Roman" w:cs="Times New Roman"/>
        </w:rPr>
        <w:t xml:space="preserve"> et al., 2009)</w:t>
      </w:r>
      <w:r w:rsidRPr="00A5127E">
        <w:rPr>
          <w:rFonts w:ascii="Times New Roman" w:hAnsi="Times New Roman" w:cs="Times New Roman"/>
        </w:rPr>
        <w:t xml:space="preserve">. For instance, Gupta et al. reported that none of the Xp11 translocation RCCs expressed PAX2, whereas Ross et al. found all tumors of this subtype were positive. In contrast, </w:t>
      </w:r>
      <w:proofErr w:type="spellStart"/>
      <w:r w:rsidRPr="00A5127E">
        <w:rPr>
          <w:rFonts w:ascii="Times New Roman" w:hAnsi="Times New Roman" w:cs="Times New Roman"/>
        </w:rPr>
        <w:t>sarcomatoid</w:t>
      </w:r>
      <w:proofErr w:type="spellEnd"/>
      <w:r w:rsidRPr="00A5127E">
        <w:rPr>
          <w:rFonts w:ascii="Times New Roman" w:hAnsi="Times New Roman" w:cs="Times New Roman"/>
        </w:rPr>
        <w:t xml:space="preserve"> RCC consistently lacks PAX2 expression. Other tumor types, such as lymphomas, nephrogenic adenomas, parathyroid neoplasms, and tumors derived from Müllerian tissue, may also express PAX2.</w:t>
      </w:r>
    </w:p>
    <w:p w14:paraId="2381E739" w14:textId="77777777" w:rsidR="00A5127E" w:rsidRPr="00A5127E" w:rsidRDefault="00A5127E" w:rsidP="00D05C74">
      <w:pPr>
        <w:spacing w:line="276" w:lineRule="auto"/>
        <w:jc w:val="both"/>
        <w:rPr>
          <w:rFonts w:ascii="Times New Roman" w:hAnsi="Times New Roman" w:cs="Times New Roman"/>
        </w:rPr>
      </w:pPr>
      <w:r w:rsidRPr="00A5127E">
        <w:rPr>
          <w:rFonts w:ascii="Times New Roman" w:hAnsi="Times New Roman" w:cs="Times New Roman"/>
        </w:rPr>
        <w:t>PAX8, another transcription factor from the same family as PAX2, also plays a key role in the embryologic development of the kidneys, Müllerian system, brain, eyes, and thyroid</w:t>
      </w:r>
      <w:r w:rsidR="00D866FE">
        <w:rPr>
          <w:rFonts w:ascii="Times New Roman" w:hAnsi="Times New Roman" w:cs="Times New Roman"/>
        </w:rPr>
        <w:t xml:space="preserve"> (</w:t>
      </w:r>
      <w:r w:rsidR="00D866FE" w:rsidRPr="002B4AC9">
        <w:rPr>
          <w:rFonts w:ascii="Times New Roman" w:hAnsi="Times New Roman" w:cs="Times New Roman"/>
        </w:rPr>
        <w:t>Kakun</w:t>
      </w:r>
      <w:r w:rsidR="00D866FE">
        <w:rPr>
          <w:rFonts w:ascii="Times New Roman" w:hAnsi="Times New Roman" w:cs="Times New Roman"/>
        </w:rPr>
        <w:t xml:space="preserve"> et al., 2022)</w:t>
      </w:r>
      <w:r w:rsidRPr="00A5127E">
        <w:rPr>
          <w:rFonts w:ascii="Times New Roman" w:hAnsi="Times New Roman" w:cs="Times New Roman"/>
        </w:rPr>
        <w:t>. Its expression pattern is similar to that of PAX2 but is more pronounced in thyroid follicular cells. Like PAX2, PAX8 has recently been recognized as a valuable marker for diagnosing renal tumors, offering the same advantages, especially nuclear localization for specificity</w:t>
      </w:r>
      <w:r w:rsidR="00D866FE">
        <w:rPr>
          <w:rFonts w:ascii="Times New Roman" w:hAnsi="Times New Roman" w:cs="Times New Roman"/>
        </w:rPr>
        <w:t xml:space="preserve"> (</w:t>
      </w:r>
      <w:r w:rsidR="00D866FE" w:rsidRPr="002B4AC9">
        <w:rPr>
          <w:rFonts w:ascii="Times New Roman" w:hAnsi="Times New Roman" w:cs="Times New Roman"/>
        </w:rPr>
        <w:t>Ozcan</w:t>
      </w:r>
      <w:r w:rsidR="00D866FE">
        <w:rPr>
          <w:rFonts w:ascii="Times New Roman" w:hAnsi="Times New Roman" w:cs="Times New Roman"/>
        </w:rPr>
        <w:t xml:space="preserve"> et al., 2009)</w:t>
      </w:r>
      <w:r w:rsidRPr="00A5127E">
        <w:rPr>
          <w:rFonts w:ascii="Times New Roman" w:hAnsi="Times New Roman" w:cs="Times New Roman"/>
        </w:rPr>
        <w:t>.</w:t>
      </w:r>
    </w:p>
    <w:p w14:paraId="0CB80B4A" w14:textId="63965E6A" w:rsidR="00800EEC" w:rsidRDefault="00A5127E" w:rsidP="00D05C74">
      <w:pPr>
        <w:spacing w:line="276" w:lineRule="auto"/>
        <w:jc w:val="both"/>
        <w:rPr>
          <w:rFonts w:ascii="Times New Roman" w:hAnsi="Times New Roman" w:cs="Times New Roman"/>
        </w:rPr>
      </w:pPr>
      <w:r w:rsidRPr="00A5127E">
        <w:rPr>
          <w:rFonts w:ascii="Times New Roman" w:hAnsi="Times New Roman" w:cs="Times New Roman"/>
        </w:rPr>
        <w:t>Comparative</w:t>
      </w:r>
      <w:r w:rsidR="00D866FE">
        <w:rPr>
          <w:rFonts w:ascii="Times New Roman" w:hAnsi="Times New Roman" w:cs="Times New Roman"/>
        </w:rPr>
        <w:t xml:space="preserve">ly, </w:t>
      </w:r>
      <w:r w:rsidRPr="00A5127E">
        <w:rPr>
          <w:rFonts w:ascii="Times New Roman" w:hAnsi="Times New Roman" w:cs="Times New Roman"/>
        </w:rPr>
        <w:t>consider</w:t>
      </w:r>
      <w:r w:rsidR="00D866FE">
        <w:rPr>
          <w:rFonts w:ascii="Times New Roman" w:hAnsi="Times New Roman" w:cs="Times New Roman"/>
        </w:rPr>
        <w:t>ing</w:t>
      </w:r>
      <w:r w:rsidRPr="00A5127E">
        <w:rPr>
          <w:rFonts w:ascii="Times New Roman" w:hAnsi="Times New Roman" w:cs="Times New Roman"/>
        </w:rPr>
        <w:t xml:space="preserve"> </w:t>
      </w:r>
      <w:r w:rsidR="00D866FE">
        <w:rPr>
          <w:rFonts w:ascii="Times New Roman" w:hAnsi="Times New Roman" w:cs="Times New Roman"/>
        </w:rPr>
        <w:t xml:space="preserve">the </w:t>
      </w:r>
      <w:r w:rsidRPr="00A5127E">
        <w:rPr>
          <w:rFonts w:ascii="Times New Roman" w:hAnsi="Times New Roman" w:cs="Times New Roman"/>
        </w:rPr>
        <w:t xml:space="preserve">overlap between PAX2 and PAX8 expression patterns in renal tumors. Nearly all RCCs exhibit PAX8 positivity, and even tumors that are often negative or inconsistently positive for PAX2 such as chromophobe RCC, oncocytoma, and </w:t>
      </w:r>
      <w:proofErr w:type="spellStart"/>
      <w:r w:rsidRPr="00A5127E">
        <w:rPr>
          <w:rFonts w:ascii="Times New Roman" w:hAnsi="Times New Roman" w:cs="Times New Roman"/>
        </w:rPr>
        <w:t>sarcomatoid</w:t>
      </w:r>
      <w:proofErr w:type="spellEnd"/>
      <w:r w:rsidRPr="00A5127E">
        <w:rPr>
          <w:rFonts w:ascii="Times New Roman" w:hAnsi="Times New Roman" w:cs="Times New Roman"/>
        </w:rPr>
        <w:t xml:space="preserve"> RCC frequently show clear PAX8 staining. Xp11 translocation RCCs test positive for PAX8. Beyond renal tumors, PAX8 is commonly expressed in lymphoma, nephrogenic adenoma, parathyroid tumors, thyroid cancers, and Müllerian-derived neoplasms, with high positivity rates across these categories</w:t>
      </w:r>
      <w:r w:rsidR="004F5B87">
        <w:rPr>
          <w:rFonts w:ascii="Times New Roman" w:hAnsi="Times New Roman" w:cs="Times New Roman"/>
        </w:rPr>
        <w:t xml:space="preserve"> (see figure 4)</w:t>
      </w:r>
      <w:r w:rsidRPr="00A5127E">
        <w:rPr>
          <w:rFonts w:ascii="Times New Roman" w:hAnsi="Times New Roman" w:cs="Times New Roman"/>
        </w:rPr>
        <w:t>.</w:t>
      </w:r>
    </w:p>
    <w:p w14:paraId="40818C19" w14:textId="6A1A4438" w:rsidR="00A5127E" w:rsidRPr="003E3A11" w:rsidRDefault="001A7BFF" w:rsidP="00D05C74">
      <w:pPr>
        <w:spacing w:line="276" w:lineRule="auto"/>
        <w:jc w:val="both"/>
        <w:rPr>
          <w:rFonts w:ascii="Times New Roman" w:hAnsi="Times New Roman" w:cs="Times New Roman"/>
          <w:b/>
          <w:bCs/>
        </w:rPr>
      </w:pPr>
      <w:r>
        <w:rPr>
          <w:rFonts w:ascii="Times New Roman" w:hAnsi="Times New Roman" w:cs="Times New Roman"/>
          <w:b/>
          <w:bCs/>
        </w:rPr>
        <w:t>5.4.4</w:t>
      </w:r>
      <w:r>
        <w:rPr>
          <w:rFonts w:ascii="Times New Roman" w:hAnsi="Times New Roman" w:cs="Times New Roman"/>
          <w:b/>
          <w:bCs/>
        </w:rPr>
        <w:tab/>
      </w:r>
      <w:r w:rsidR="003E3A11" w:rsidRPr="003E3A11">
        <w:rPr>
          <w:rFonts w:ascii="Times New Roman" w:hAnsi="Times New Roman" w:cs="Times New Roman"/>
          <w:b/>
          <w:bCs/>
        </w:rPr>
        <w:t>RCC Marker</w:t>
      </w:r>
    </w:p>
    <w:p w14:paraId="44E8828F" w14:textId="77777777" w:rsidR="003E3A11" w:rsidRPr="003E3A11" w:rsidRDefault="003E3A11" w:rsidP="00D05C74">
      <w:pPr>
        <w:spacing w:line="276" w:lineRule="auto"/>
        <w:jc w:val="both"/>
        <w:rPr>
          <w:rFonts w:ascii="Times New Roman" w:hAnsi="Times New Roman" w:cs="Times New Roman"/>
        </w:rPr>
      </w:pPr>
      <w:r w:rsidRPr="003E3A11">
        <w:rPr>
          <w:rFonts w:ascii="Times New Roman" w:hAnsi="Times New Roman" w:cs="Times New Roman"/>
        </w:rPr>
        <w:t xml:space="preserve">The RCC marker is a commercially available monoclonal </w:t>
      </w:r>
      <w:proofErr w:type="gramStart"/>
      <w:r w:rsidRPr="003E3A11">
        <w:rPr>
          <w:rFonts w:ascii="Times New Roman" w:hAnsi="Times New Roman" w:cs="Times New Roman"/>
        </w:rPr>
        <w:t>antibody  that</w:t>
      </w:r>
      <w:proofErr w:type="gramEnd"/>
      <w:r w:rsidRPr="003E3A11">
        <w:rPr>
          <w:rFonts w:ascii="Times New Roman" w:hAnsi="Times New Roman" w:cs="Times New Roman"/>
        </w:rPr>
        <w:t xml:space="preserve"> targets a glycoprotein found in the brush border of normal renal proximal tubule cells</w:t>
      </w:r>
      <w:r w:rsidR="00D866FE">
        <w:rPr>
          <w:rFonts w:ascii="Times New Roman" w:hAnsi="Times New Roman" w:cs="Times New Roman"/>
        </w:rPr>
        <w:t xml:space="preserve"> (</w:t>
      </w:r>
      <w:r w:rsidR="00D866FE" w:rsidRPr="002B4AC9">
        <w:rPr>
          <w:rFonts w:ascii="Times New Roman" w:hAnsi="Times New Roman" w:cs="Times New Roman"/>
        </w:rPr>
        <w:t>McGregor</w:t>
      </w:r>
      <w:r w:rsidR="00D866FE">
        <w:rPr>
          <w:rFonts w:ascii="Times New Roman" w:hAnsi="Times New Roman" w:cs="Times New Roman"/>
        </w:rPr>
        <w:t xml:space="preserve"> et al., 2001)</w:t>
      </w:r>
      <w:r w:rsidRPr="003E3A11">
        <w:rPr>
          <w:rFonts w:ascii="Times New Roman" w:hAnsi="Times New Roman" w:cs="Times New Roman"/>
        </w:rPr>
        <w:t xml:space="preserve">. This marker is typically positive in the majority of papillary and clear cell renal cell carcinomas but consistently negative in collecting duct RCC and oncocytoma This staining pattern aligns with the believed origin of these </w:t>
      </w:r>
      <w:proofErr w:type="gramStart"/>
      <w:r w:rsidRPr="003E3A11">
        <w:rPr>
          <w:rFonts w:ascii="Times New Roman" w:hAnsi="Times New Roman" w:cs="Times New Roman"/>
        </w:rPr>
        <w:t>tumors</w:t>
      </w:r>
      <w:proofErr w:type="gramEnd"/>
      <w:r w:rsidRPr="003E3A11">
        <w:rPr>
          <w:rFonts w:ascii="Times New Roman" w:hAnsi="Times New Roman" w:cs="Times New Roman"/>
        </w:rPr>
        <w:t xml:space="preserve"> proximal tubules for papillary and clear cell RCC, and collecting ducts for oncocytoma and collecting duct carcinoma</w:t>
      </w:r>
      <w:r w:rsidR="000A1240">
        <w:rPr>
          <w:rFonts w:ascii="Times New Roman" w:hAnsi="Times New Roman" w:cs="Times New Roman"/>
        </w:rPr>
        <w:t xml:space="preserve"> (</w:t>
      </w:r>
      <w:proofErr w:type="spellStart"/>
      <w:r w:rsidR="000A1240" w:rsidRPr="00B67770">
        <w:rPr>
          <w:rFonts w:ascii="Times New Roman" w:hAnsi="Times New Roman" w:cs="Times New Roman"/>
        </w:rPr>
        <w:t>Karatrasoglou</w:t>
      </w:r>
      <w:proofErr w:type="spellEnd"/>
      <w:r w:rsidR="000A1240">
        <w:rPr>
          <w:rFonts w:ascii="Times New Roman" w:hAnsi="Times New Roman" w:cs="Times New Roman"/>
        </w:rPr>
        <w:t xml:space="preserve"> et al., 2018)</w:t>
      </w:r>
      <w:r w:rsidRPr="003E3A11">
        <w:rPr>
          <w:rFonts w:ascii="Times New Roman" w:hAnsi="Times New Roman" w:cs="Times New Roman"/>
        </w:rPr>
        <w:t>.</w:t>
      </w:r>
    </w:p>
    <w:p w14:paraId="07FCEB64" w14:textId="0F047624" w:rsidR="00800EEC" w:rsidRDefault="003E3A11" w:rsidP="00D05C74">
      <w:pPr>
        <w:spacing w:line="276" w:lineRule="auto"/>
        <w:jc w:val="both"/>
        <w:rPr>
          <w:rFonts w:ascii="Times New Roman" w:hAnsi="Times New Roman" w:cs="Times New Roman"/>
        </w:rPr>
      </w:pPr>
      <w:r w:rsidRPr="003E3A11">
        <w:rPr>
          <w:rFonts w:ascii="Times New Roman" w:hAnsi="Times New Roman" w:cs="Times New Roman"/>
        </w:rPr>
        <w:t>In other types of renal tumors, RCC marker staining can vary greatly, which may reflect either differing diagnostic interpretations or the presence of mixed differentiation from various parts of the renal tubular system</w:t>
      </w:r>
      <w:r w:rsidR="000A1240">
        <w:rPr>
          <w:rFonts w:ascii="Times New Roman" w:hAnsi="Times New Roman" w:cs="Times New Roman"/>
        </w:rPr>
        <w:t xml:space="preserve"> </w:t>
      </w:r>
      <w:r w:rsidR="000A1240" w:rsidRPr="003E3A11">
        <w:rPr>
          <w:rFonts w:ascii="Times New Roman" w:hAnsi="Times New Roman" w:cs="Times New Roman"/>
        </w:rPr>
        <w:t xml:space="preserve">while </w:t>
      </w:r>
      <w:r w:rsidRPr="003E3A11">
        <w:rPr>
          <w:rFonts w:ascii="Times New Roman" w:hAnsi="Times New Roman" w:cs="Times New Roman"/>
        </w:rPr>
        <w:t>earlier research identified RCC marker positivity in a small number of non-renal cancers, such as breast cancer, testicular embryonal carcinoma, and parathyroid tumors, more recent findings have shown its expression in a broader range of malignancies</w:t>
      </w:r>
      <w:r w:rsidR="000A1240">
        <w:rPr>
          <w:rFonts w:ascii="Times New Roman" w:hAnsi="Times New Roman" w:cs="Times New Roman"/>
        </w:rPr>
        <w:t xml:space="preserve"> (</w:t>
      </w:r>
      <w:r w:rsidR="000A1240" w:rsidRPr="000A1240">
        <w:rPr>
          <w:rFonts w:ascii="Times New Roman" w:hAnsi="Times New Roman" w:cs="Times New Roman"/>
        </w:rPr>
        <w:t>Truong</w:t>
      </w:r>
      <w:r w:rsidR="000A1240">
        <w:rPr>
          <w:rFonts w:ascii="Times New Roman" w:hAnsi="Times New Roman" w:cs="Times New Roman"/>
        </w:rPr>
        <w:t xml:space="preserve"> and </w:t>
      </w:r>
      <w:r w:rsidR="000A1240" w:rsidRPr="000A1240">
        <w:rPr>
          <w:rFonts w:ascii="Times New Roman" w:hAnsi="Times New Roman" w:cs="Times New Roman"/>
        </w:rPr>
        <w:t xml:space="preserve"> Shen</w:t>
      </w:r>
      <w:r w:rsidR="000A1240">
        <w:rPr>
          <w:rFonts w:ascii="Times New Roman" w:hAnsi="Times New Roman" w:cs="Times New Roman"/>
        </w:rPr>
        <w:t>, 2011)</w:t>
      </w:r>
      <w:r w:rsidRPr="003E3A11">
        <w:rPr>
          <w:rFonts w:ascii="Times New Roman" w:hAnsi="Times New Roman" w:cs="Times New Roman"/>
        </w:rPr>
        <w:t xml:space="preserve">. These include tumors originating from the adrenal cortex, colon, breast, prostate, ovary, lung, melanoma, parathyroid, and even malignant mesothelioma, with reported expression </w:t>
      </w:r>
      <w:r w:rsidRPr="003E3A11">
        <w:rPr>
          <w:rFonts w:ascii="Times New Roman" w:hAnsi="Times New Roman" w:cs="Times New Roman"/>
        </w:rPr>
        <w:lastRenderedPageBreak/>
        <w:t>rates between 17% and 100%. This unexpected finding raises concerns and highlights the need for further validation</w:t>
      </w:r>
      <w:r w:rsidR="004F5B87">
        <w:rPr>
          <w:rFonts w:ascii="Times New Roman" w:hAnsi="Times New Roman" w:cs="Times New Roman"/>
        </w:rPr>
        <w:t xml:space="preserve"> (see figure 5)</w:t>
      </w:r>
      <w:r w:rsidRPr="003E3A11">
        <w:rPr>
          <w:rFonts w:ascii="Times New Roman" w:hAnsi="Times New Roman" w:cs="Times New Roman"/>
        </w:rPr>
        <w:t>.</w:t>
      </w:r>
    </w:p>
    <w:p w14:paraId="2A9226C7" w14:textId="644A0DB6" w:rsidR="00123722" w:rsidRPr="00123722" w:rsidRDefault="00123722" w:rsidP="00D05C74">
      <w:pPr>
        <w:spacing w:line="276" w:lineRule="auto"/>
        <w:jc w:val="both"/>
        <w:rPr>
          <w:rFonts w:ascii="Times New Roman" w:hAnsi="Times New Roman" w:cs="Times New Roman"/>
          <w:b/>
          <w:bCs/>
        </w:rPr>
      </w:pPr>
      <w:r w:rsidRPr="00123722">
        <w:rPr>
          <w:rFonts w:ascii="Times New Roman" w:hAnsi="Times New Roman" w:cs="Times New Roman"/>
          <w:b/>
          <w:bCs/>
        </w:rPr>
        <w:t>Gaps in Renal Carcinoma Identification</w:t>
      </w:r>
    </w:p>
    <w:p w14:paraId="43E65F02" w14:textId="77777777" w:rsidR="00123722" w:rsidRPr="00FB578D" w:rsidRDefault="00123722" w:rsidP="00D05C74">
      <w:pPr>
        <w:spacing w:line="276" w:lineRule="auto"/>
        <w:jc w:val="both"/>
        <w:rPr>
          <w:rFonts w:ascii="Times New Roman" w:hAnsi="Times New Roman" w:cs="Times New Roman"/>
        </w:rPr>
      </w:pPr>
      <w:r w:rsidRPr="00FB578D">
        <w:rPr>
          <w:rFonts w:ascii="Times New Roman" w:hAnsi="Times New Roman" w:cs="Times New Roman"/>
        </w:rPr>
        <w:t xml:space="preserve">While histochemical and immunohistochemical stains have become indispensable tools in diagnosing renal carcinomas, </w:t>
      </w:r>
      <w:r>
        <w:rPr>
          <w:rFonts w:ascii="Times New Roman" w:hAnsi="Times New Roman" w:cs="Times New Roman"/>
        </w:rPr>
        <w:t>neither can be relied upon</w:t>
      </w:r>
      <w:r w:rsidRPr="00FB578D">
        <w:rPr>
          <w:rFonts w:ascii="Times New Roman" w:hAnsi="Times New Roman" w:cs="Times New Roman"/>
        </w:rPr>
        <w:t xml:space="preserve"> as a perfect standalone solution. Take PAS staining, for example</w:t>
      </w:r>
      <w:r>
        <w:rPr>
          <w:rFonts w:ascii="Times New Roman" w:hAnsi="Times New Roman" w:cs="Times New Roman"/>
        </w:rPr>
        <w:t xml:space="preserve">, </w:t>
      </w:r>
      <w:r w:rsidRPr="00FB578D">
        <w:rPr>
          <w:rFonts w:ascii="Times New Roman" w:hAnsi="Times New Roman" w:cs="Times New Roman"/>
        </w:rPr>
        <w:t>it’s excellent for highlighting glycogen and basement membranes, making it a useful aid in spotting clear cell RCC. But that same pattern can also appear in other conditions that store glycogen or affect basement membranes, which means it’s not unique to one diagnosis. Likewise, Masson’s trichrome beautifully highlights fibrosis and collagen, yet those features may simply reflect the body’s general healing or injury response, not something specific to a tumor. Even Feulgen staining, which focuses on DNA content to detect abnormal ploidy, can be misleading, as such changes are not confined to one tumor type and may even be altered by technical issues. Even the widely trusted immunomarkers</w:t>
      </w:r>
      <w:r>
        <w:rPr>
          <w:rFonts w:ascii="Times New Roman" w:hAnsi="Times New Roman" w:cs="Times New Roman"/>
        </w:rPr>
        <w:t xml:space="preserve"> (</w:t>
      </w:r>
      <w:proofErr w:type="spellStart"/>
      <w:r w:rsidRPr="00FB578D">
        <w:rPr>
          <w:rFonts w:ascii="Times New Roman" w:hAnsi="Times New Roman" w:cs="Times New Roman"/>
        </w:rPr>
        <w:t>cytokeratins</w:t>
      </w:r>
      <w:proofErr w:type="spellEnd"/>
      <w:r w:rsidRPr="00FB578D">
        <w:rPr>
          <w:rFonts w:ascii="Times New Roman" w:hAnsi="Times New Roman" w:cs="Times New Roman"/>
        </w:rPr>
        <w:t>, vimentin, PAX2, PAX8, and the RCC marker</w:t>
      </w:r>
      <w:r>
        <w:rPr>
          <w:rFonts w:ascii="Times New Roman" w:hAnsi="Times New Roman" w:cs="Times New Roman"/>
        </w:rPr>
        <w:t xml:space="preserve">) </w:t>
      </w:r>
      <w:r w:rsidRPr="00FB578D">
        <w:rPr>
          <w:rFonts w:ascii="Times New Roman" w:hAnsi="Times New Roman" w:cs="Times New Roman"/>
        </w:rPr>
        <w:t>are far from flawless. They can appear in non-renal cancers, show inconsistent results within the same tumor, or fail to appear in certain aggressive forms, leaving room for error in interpretation.</w:t>
      </w:r>
    </w:p>
    <w:p w14:paraId="77D7AAD6" w14:textId="77777777" w:rsidR="00123722" w:rsidRPr="00FB578D" w:rsidRDefault="00123722" w:rsidP="00D05C74">
      <w:pPr>
        <w:spacing w:line="276" w:lineRule="auto"/>
        <w:jc w:val="both"/>
        <w:rPr>
          <w:rFonts w:ascii="Times New Roman" w:hAnsi="Times New Roman" w:cs="Times New Roman"/>
        </w:rPr>
      </w:pPr>
      <w:r w:rsidRPr="00FB578D">
        <w:rPr>
          <w:rFonts w:ascii="Times New Roman" w:hAnsi="Times New Roman" w:cs="Times New Roman"/>
        </w:rPr>
        <w:t xml:space="preserve">One of the most complex challenges in renal </w:t>
      </w:r>
      <w:r>
        <w:rPr>
          <w:rFonts w:ascii="Times New Roman" w:hAnsi="Times New Roman" w:cs="Times New Roman"/>
        </w:rPr>
        <w:t>histo</w:t>
      </w:r>
      <w:r w:rsidRPr="00FB578D">
        <w:rPr>
          <w:rFonts w:ascii="Times New Roman" w:hAnsi="Times New Roman" w:cs="Times New Roman"/>
        </w:rPr>
        <w:t>pathology is the fact that a single tumor can display a blend of different growth patterns</w:t>
      </w:r>
      <w:r>
        <w:rPr>
          <w:rFonts w:ascii="Times New Roman" w:hAnsi="Times New Roman" w:cs="Times New Roman"/>
        </w:rPr>
        <w:t xml:space="preserve"> (</w:t>
      </w:r>
      <w:r w:rsidRPr="00FB578D">
        <w:rPr>
          <w:rFonts w:ascii="Times New Roman" w:hAnsi="Times New Roman" w:cs="Times New Roman"/>
        </w:rPr>
        <w:t xml:space="preserve">clear cell, papillary, </w:t>
      </w:r>
      <w:proofErr w:type="spellStart"/>
      <w:r w:rsidRPr="00FB578D">
        <w:rPr>
          <w:rFonts w:ascii="Times New Roman" w:hAnsi="Times New Roman" w:cs="Times New Roman"/>
        </w:rPr>
        <w:t>sarcomatoid</w:t>
      </w:r>
      <w:proofErr w:type="spellEnd"/>
      <w:r w:rsidRPr="00FB578D">
        <w:rPr>
          <w:rFonts w:ascii="Times New Roman" w:hAnsi="Times New Roman" w:cs="Times New Roman"/>
        </w:rPr>
        <w:t xml:space="preserve">, or </w:t>
      </w:r>
      <w:proofErr w:type="spellStart"/>
      <w:r w:rsidRPr="00FB578D">
        <w:rPr>
          <w:rFonts w:ascii="Times New Roman" w:hAnsi="Times New Roman" w:cs="Times New Roman"/>
        </w:rPr>
        <w:t>oncocytic</w:t>
      </w:r>
      <w:proofErr w:type="spellEnd"/>
      <w:r>
        <w:rPr>
          <w:rFonts w:ascii="Times New Roman" w:hAnsi="Times New Roman" w:cs="Times New Roman"/>
        </w:rPr>
        <w:t xml:space="preserve">) </w:t>
      </w:r>
      <w:r w:rsidRPr="00FB578D">
        <w:rPr>
          <w:rFonts w:ascii="Times New Roman" w:hAnsi="Times New Roman" w:cs="Times New Roman"/>
        </w:rPr>
        <w:t>all within the same mass. If only a small biopsy sample is taken, it may not capture the full spectrum of changes, leading to an incomplete or even misleading immunohistochemical profile. Adding to the difficulty, issues such as poor tissue preservation, mechanical damage during handling, or delays in processing can alter how antigens appear under staining, affecting the quality and reliability of results.</w:t>
      </w:r>
    </w:p>
    <w:p w14:paraId="27C1CF27" w14:textId="77777777" w:rsidR="00123722" w:rsidRPr="00FB578D" w:rsidRDefault="00123722" w:rsidP="00D05C74">
      <w:pPr>
        <w:spacing w:line="276" w:lineRule="auto"/>
        <w:jc w:val="both"/>
        <w:rPr>
          <w:rFonts w:ascii="Times New Roman" w:hAnsi="Times New Roman" w:cs="Times New Roman"/>
        </w:rPr>
      </w:pPr>
      <w:r w:rsidRPr="00FB578D">
        <w:rPr>
          <w:rFonts w:ascii="Times New Roman" w:hAnsi="Times New Roman" w:cs="Times New Roman"/>
        </w:rPr>
        <w:t>To make matters more complicated, there’s no global standard for how these stains and markers should be used or interpreted. Laboratories may use different marker panels or apply varying reporting criteria, which means the same tumor could receive different diagnoses depending on where it’s examined. This lack of consistency becomes even more problematic with rare subtypes like MiT family translocation RCC, FH-deficient RCC, and collecting duct carcinoma, which often don’t fit neatly into the usual diagnostic categories. Without a careful, multifaceted approach, these tumors can easily escape accurate classification.</w:t>
      </w:r>
    </w:p>
    <w:p w14:paraId="52FFD487" w14:textId="2B4133DE" w:rsidR="00EF2323" w:rsidRPr="00401E01" w:rsidRDefault="00EF2323" w:rsidP="00D05C74">
      <w:pPr>
        <w:pStyle w:val="ListParagraph"/>
        <w:numPr>
          <w:ilvl w:val="0"/>
          <w:numId w:val="13"/>
        </w:numPr>
        <w:spacing w:line="276" w:lineRule="auto"/>
        <w:jc w:val="both"/>
        <w:rPr>
          <w:rFonts w:ascii="Times New Roman" w:hAnsi="Times New Roman" w:cs="Times New Roman"/>
          <w:b/>
          <w:bCs/>
        </w:rPr>
      </w:pPr>
      <w:r w:rsidRPr="00401E01">
        <w:rPr>
          <w:rFonts w:ascii="Times New Roman" w:hAnsi="Times New Roman" w:cs="Times New Roman"/>
          <w:b/>
          <w:bCs/>
        </w:rPr>
        <w:t xml:space="preserve">Conclusion </w:t>
      </w:r>
    </w:p>
    <w:p w14:paraId="0665B198" w14:textId="05CE86FE" w:rsidR="00123722" w:rsidRDefault="00123722" w:rsidP="00D05C74">
      <w:pPr>
        <w:spacing w:line="276" w:lineRule="auto"/>
        <w:jc w:val="both"/>
        <w:rPr>
          <w:rFonts w:ascii="Times New Roman" w:hAnsi="Times New Roman" w:cs="Times New Roman"/>
        </w:rPr>
      </w:pPr>
      <w:r w:rsidRPr="00123722">
        <w:rPr>
          <w:rFonts w:ascii="Times New Roman" w:hAnsi="Times New Roman" w:cs="Times New Roman"/>
        </w:rPr>
        <w:t>Renal Cell Carcinoma (RCC) is a diverse group of kidney tumors, influenced by age, sex, lifestyle, and genetic mutations. Early detection improves patient outcomes, and precise histological and immunohistochemical evaluation is essential for accurate classification and diagnosis. However, careful interpretation is necessary for overlapping marker expression in limited or challenging samples.</w:t>
      </w:r>
    </w:p>
    <w:p w14:paraId="4DAFF88B" w14:textId="77777777" w:rsidR="002E1DC4" w:rsidRPr="00123722" w:rsidRDefault="002E1DC4" w:rsidP="002E1DC4">
      <w:pPr>
        <w:pStyle w:val="ListParagraph"/>
        <w:numPr>
          <w:ilvl w:val="0"/>
          <w:numId w:val="13"/>
        </w:numPr>
        <w:spacing w:line="276" w:lineRule="auto"/>
        <w:jc w:val="both"/>
        <w:rPr>
          <w:rFonts w:ascii="Times New Roman" w:hAnsi="Times New Roman" w:cs="Times New Roman"/>
          <w:b/>
          <w:bCs/>
        </w:rPr>
      </w:pPr>
      <w:r w:rsidRPr="00123722">
        <w:rPr>
          <w:rFonts w:ascii="Times New Roman" w:hAnsi="Times New Roman" w:cs="Times New Roman"/>
          <w:b/>
          <w:bCs/>
        </w:rPr>
        <w:t>Future Prospects for Improved Diagnosis</w:t>
      </w:r>
    </w:p>
    <w:p w14:paraId="72DED47E" w14:textId="77777777" w:rsidR="002E1DC4" w:rsidRPr="0043021B" w:rsidRDefault="002E1DC4" w:rsidP="002E1DC4">
      <w:pPr>
        <w:spacing w:line="276" w:lineRule="auto"/>
        <w:jc w:val="both"/>
        <w:rPr>
          <w:rFonts w:ascii="Times New Roman" w:hAnsi="Times New Roman" w:cs="Times New Roman"/>
        </w:rPr>
      </w:pPr>
      <w:r w:rsidRPr="0043021B">
        <w:rPr>
          <w:rFonts w:ascii="Times New Roman" w:hAnsi="Times New Roman" w:cs="Times New Roman"/>
        </w:rPr>
        <w:lastRenderedPageBreak/>
        <w:t>A practical way to improve diagnostic accuracy in renal tumors is to adopt a structured, step-by-step approach to immunohistochemistry. This process can begin with broad renal lineage markers such as PAX8, CAIX, and CD10 to establish the tumor’s origin, followed by more selective markers like CK7, AMACR, KIT, and S100A1 to refine the subtype diagnosis. When this targeted approach still leaves some uncertainty, molecular tools such as FISH or next-generation sequencing (NGS) can provide additional clarity by identifying important genetic alterations</w:t>
      </w:r>
      <w:r>
        <w:rPr>
          <w:rFonts w:ascii="Times New Roman" w:hAnsi="Times New Roman" w:cs="Times New Roman"/>
        </w:rPr>
        <w:t xml:space="preserve">. </w:t>
      </w:r>
      <w:r w:rsidRPr="0043021B">
        <w:rPr>
          <w:rFonts w:ascii="Times New Roman" w:hAnsi="Times New Roman" w:cs="Times New Roman"/>
        </w:rPr>
        <w:t xml:space="preserve">While immunohistochemistry forms a strong foundation, it cannot always deliver the full picture on its own. This is where advanced molecular profiling steps in, offering a level of precision that single stains simply cannot match. DNA methylation analysis and RNA-based expression profiling are particularly valuable for tumors that defy clear classification or fall somewhere between </w:t>
      </w:r>
      <w:proofErr w:type="spellStart"/>
      <w:r w:rsidRPr="0043021B">
        <w:rPr>
          <w:rFonts w:ascii="Times New Roman" w:hAnsi="Times New Roman" w:cs="Times New Roman"/>
        </w:rPr>
        <w:t>oncocytic</w:t>
      </w:r>
      <w:proofErr w:type="spellEnd"/>
      <w:r w:rsidRPr="0043021B">
        <w:rPr>
          <w:rFonts w:ascii="Times New Roman" w:hAnsi="Times New Roman" w:cs="Times New Roman"/>
        </w:rPr>
        <w:t xml:space="preserve"> and chromophobe categories. Because these techniques can be performed even on archived tissue, they give pathologists a powerful means of tackling complex or ambiguous cases that remain unresolved after standard testing.</w:t>
      </w:r>
    </w:p>
    <w:p w14:paraId="698AEA78" w14:textId="77777777" w:rsidR="002E1DC4" w:rsidRPr="0043021B" w:rsidRDefault="002E1DC4" w:rsidP="002E1DC4">
      <w:pPr>
        <w:spacing w:line="276" w:lineRule="auto"/>
        <w:jc w:val="both"/>
        <w:rPr>
          <w:rFonts w:ascii="Times New Roman" w:hAnsi="Times New Roman" w:cs="Times New Roman"/>
        </w:rPr>
      </w:pPr>
      <w:r w:rsidRPr="0043021B">
        <w:rPr>
          <w:rFonts w:ascii="Times New Roman" w:hAnsi="Times New Roman" w:cs="Times New Roman"/>
        </w:rPr>
        <w:t>Yet even with these methods, one of the most persistent challenges in renal pathology is tumor heterogeneity. A single tumor can harbor multiple architectural and molecular patterns, which means a limited sample may not reveal the whole story. To address this, newer technologies such as multiplex immunohistochemistry and spatial transcriptomics allow multiple markers to be visualized within the same tissue section, revealing intricate patterns of co-expression and tumor organization. Coupled with digital pathology enhanced by artificial intelligence, these approaches can quantify staining, map subtle variations across the tumor, and even predict likely genetic changes from routine H&amp;E slides.</w:t>
      </w:r>
      <w:r>
        <w:rPr>
          <w:rFonts w:ascii="Times New Roman" w:hAnsi="Times New Roman" w:cs="Times New Roman"/>
        </w:rPr>
        <w:t xml:space="preserve"> </w:t>
      </w:r>
      <w:r w:rsidRPr="0043021B">
        <w:rPr>
          <w:rFonts w:ascii="Times New Roman" w:hAnsi="Times New Roman" w:cs="Times New Roman"/>
        </w:rPr>
        <w:t>The benefits of these detailed tissue analyses are multiplied when paired with imaging. Integrating pathology findings with radiologic features—a practice known as radiomics—creates a more complete diagnostic framework. By correlating imaging patterns with histologic and molecular results, clinicians can target biopsies more effectively, pinpoint aggressive tumor regions, and improve the accuracy of their diagnoses.</w:t>
      </w:r>
    </w:p>
    <w:p w14:paraId="1151F1D0" w14:textId="77777777" w:rsidR="002E1DC4" w:rsidRPr="00123722" w:rsidRDefault="002E1DC4" w:rsidP="002E1DC4">
      <w:pPr>
        <w:spacing w:line="276" w:lineRule="auto"/>
        <w:jc w:val="both"/>
        <w:rPr>
          <w:rFonts w:ascii="Times New Roman" w:hAnsi="Times New Roman" w:cs="Times New Roman"/>
        </w:rPr>
      </w:pPr>
      <w:r w:rsidRPr="0043021B">
        <w:rPr>
          <w:rFonts w:ascii="Times New Roman" w:hAnsi="Times New Roman" w:cs="Times New Roman"/>
        </w:rPr>
        <w:t>In parallel, liquid biopsy technology offers a non-invasive way to extend these insights beyond the tissue sample. By analyzing circulating tumor DNA, clinicians can detect mutations, determine tumor origin in cancers of unknown primary, monitor minimal residual disease, and track histologic or molecular changes over time—providing a dynamic picture of the disease’s behavior.</w:t>
      </w:r>
      <w:r>
        <w:rPr>
          <w:rFonts w:ascii="Times New Roman" w:hAnsi="Times New Roman" w:cs="Times New Roman"/>
        </w:rPr>
        <w:t xml:space="preserve"> </w:t>
      </w:r>
      <w:r w:rsidRPr="0043021B">
        <w:rPr>
          <w:rFonts w:ascii="Times New Roman" w:hAnsi="Times New Roman" w:cs="Times New Roman"/>
        </w:rPr>
        <w:t>Ultimately, the strongest diagnostic strategy will be one that unites all these elements into a single, coherent process. A multidisciplinary, structured report that combines morphology, immunohistochemistry, molecular profiling, imaging, and liquid biopsy data can present the diagnosis with clear confidence, account for tumor heterogeneity, and provide clinicians with actionable information to guide the most effective treatment decisions.</w:t>
      </w:r>
    </w:p>
    <w:p w14:paraId="14DA0AD1" w14:textId="77777777" w:rsidR="002E1DC4" w:rsidRDefault="002E1DC4" w:rsidP="00D05C74">
      <w:pPr>
        <w:spacing w:line="276" w:lineRule="auto"/>
        <w:jc w:val="both"/>
        <w:rPr>
          <w:rFonts w:ascii="Times New Roman" w:hAnsi="Times New Roman" w:cs="Times New Roman"/>
        </w:rPr>
      </w:pPr>
    </w:p>
    <w:p w14:paraId="4A6F2BD4" w14:textId="42BA76A0" w:rsidR="00F3129E" w:rsidRPr="00F3129E" w:rsidRDefault="00F3129E" w:rsidP="00D05C74">
      <w:pPr>
        <w:spacing w:line="276" w:lineRule="auto"/>
        <w:jc w:val="both"/>
        <w:rPr>
          <w:rFonts w:ascii="Times New Roman" w:hAnsi="Times New Roman" w:cs="Times New Roman"/>
          <w:b/>
          <w:bCs/>
        </w:rPr>
      </w:pPr>
      <w:r w:rsidRPr="00F3129E">
        <w:rPr>
          <w:rFonts w:ascii="Times New Roman" w:hAnsi="Times New Roman" w:cs="Times New Roman"/>
          <w:b/>
          <w:bCs/>
        </w:rPr>
        <w:t xml:space="preserve">Conflict of Interest </w:t>
      </w:r>
    </w:p>
    <w:p w14:paraId="0D0443F1" w14:textId="77777777" w:rsidR="00863F6A" w:rsidRDefault="00F3129E" w:rsidP="00863F6A">
      <w:pPr>
        <w:spacing w:line="276" w:lineRule="auto"/>
        <w:jc w:val="both"/>
        <w:rPr>
          <w:rFonts w:ascii="Times New Roman" w:hAnsi="Times New Roman" w:cs="Times New Roman"/>
        </w:rPr>
      </w:pPr>
      <w:r>
        <w:rPr>
          <w:rFonts w:ascii="Times New Roman" w:hAnsi="Times New Roman" w:cs="Times New Roman"/>
        </w:rPr>
        <w:t xml:space="preserve">No conflict of interest observed among the authors </w:t>
      </w:r>
    </w:p>
    <w:p w14:paraId="714E6CD6" w14:textId="77777777" w:rsidR="002E1DC4" w:rsidRDefault="002E1DC4" w:rsidP="00863F6A">
      <w:pPr>
        <w:spacing w:line="276" w:lineRule="auto"/>
        <w:jc w:val="both"/>
        <w:rPr>
          <w:rFonts w:ascii="Times New Roman" w:hAnsi="Times New Roman" w:cs="Times New Roman"/>
        </w:rPr>
      </w:pPr>
    </w:p>
    <w:p w14:paraId="3D5886A8" w14:textId="77777777" w:rsidR="002E1DC4" w:rsidRPr="002E1DC4" w:rsidRDefault="002E1DC4" w:rsidP="002E1DC4">
      <w:pPr>
        <w:spacing w:line="276" w:lineRule="auto"/>
        <w:jc w:val="both"/>
        <w:rPr>
          <w:rFonts w:ascii="Times New Roman" w:hAnsi="Times New Roman" w:cs="Times New Roman"/>
        </w:rPr>
      </w:pPr>
      <w:r w:rsidRPr="002E1DC4">
        <w:rPr>
          <w:rFonts w:ascii="Times New Roman" w:hAnsi="Times New Roman" w:cs="Times New Roman"/>
        </w:rPr>
        <w:t>COMPETING INTERESTS DISCLAIMER:</w:t>
      </w:r>
    </w:p>
    <w:p w14:paraId="30F3B3DA" w14:textId="0832A3DE" w:rsidR="002E1DC4" w:rsidRDefault="002E1DC4" w:rsidP="002E1DC4">
      <w:pPr>
        <w:spacing w:line="276" w:lineRule="auto"/>
        <w:jc w:val="both"/>
        <w:rPr>
          <w:rFonts w:ascii="Times New Roman" w:hAnsi="Times New Roman" w:cs="Times New Roman"/>
        </w:rPr>
      </w:pPr>
      <w:r w:rsidRPr="002E1DC4">
        <w:rPr>
          <w:rFonts w:ascii="Times New Roman" w:hAnsi="Times New Roman" w:cs="Times New Roman"/>
        </w:rPr>
        <w:t>Authors have declared that they have no known competing financial interests OR non-financial interests OR personal relationships that could have appeared to influence the work reported in this paper.</w:t>
      </w:r>
    </w:p>
    <w:p w14:paraId="736B247B" w14:textId="68AE97D9" w:rsidR="000A1240" w:rsidRPr="00E366FA" w:rsidRDefault="00A67642" w:rsidP="00863F6A">
      <w:pPr>
        <w:spacing w:line="276" w:lineRule="auto"/>
        <w:jc w:val="both"/>
        <w:rPr>
          <w:rFonts w:ascii="Times New Roman" w:hAnsi="Times New Roman" w:cs="Times New Roman"/>
          <w:b/>
          <w:bCs/>
        </w:rPr>
      </w:pPr>
      <w:r w:rsidRPr="00E366FA">
        <w:rPr>
          <w:rFonts w:ascii="Times New Roman" w:hAnsi="Times New Roman" w:cs="Times New Roman"/>
          <w:b/>
          <w:bCs/>
        </w:rPr>
        <w:t>REFERENCE</w:t>
      </w:r>
      <w:bookmarkEnd w:id="1"/>
    </w:p>
    <w:p w14:paraId="70638AFA" w14:textId="5EF38F76" w:rsidR="000A1240" w:rsidRPr="00ED72F0" w:rsidRDefault="000A1240" w:rsidP="00ED72F0">
      <w:pPr>
        <w:spacing w:line="276" w:lineRule="auto"/>
        <w:ind w:left="360"/>
        <w:jc w:val="both"/>
        <w:rPr>
          <w:rFonts w:ascii="Times New Roman" w:hAnsi="Times New Roman" w:cs="Times New Roman"/>
        </w:rPr>
      </w:pPr>
      <w:r w:rsidRPr="00ED72F0">
        <w:rPr>
          <w:rFonts w:ascii="Times New Roman" w:hAnsi="Times New Roman" w:cs="Times New Roman"/>
        </w:rPr>
        <w:t>Ahmed, K., Dubey, M. K., Dubey, S., &amp; Pandey, D. K. (2025). Chronic kidney disease: causes, treatment, management, and future scope. In </w:t>
      </w:r>
      <w:r w:rsidRPr="00ED72F0">
        <w:rPr>
          <w:rFonts w:ascii="Times New Roman" w:hAnsi="Times New Roman" w:cs="Times New Roman"/>
          <w:i/>
          <w:iCs/>
        </w:rPr>
        <w:t>Computational Intelligence for Genomics Data</w:t>
      </w:r>
      <w:r w:rsidRPr="00ED72F0">
        <w:rPr>
          <w:rFonts w:ascii="Times New Roman" w:hAnsi="Times New Roman" w:cs="Times New Roman"/>
        </w:rPr>
        <w:t> (pp. 99-111). Academic Press.</w:t>
      </w:r>
      <w:r w:rsidR="00C47914" w:rsidRPr="00ED72F0">
        <w:rPr>
          <w:rFonts w:ascii="Arial" w:eastAsia="Times New Roman" w:hAnsi="Arial" w:cs="Arial"/>
          <w:sz w:val="18"/>
          <w:szCs w:val="18"/>
        </w:rPr>
        <w:t xml:space="preserve"> https://doi.org/10.1016/B978-0-443-30080-6.00010-9</w:t>
      </w:r>
    </w:p>
    <w:p w14:paraId="35D7823F" w14:textId="3EE14997" w:rsidR="000A1240" w:rsidRPr="00ED72F0" w:rsidRDefault="000A1240" w:rsidP="00ED72F0">
      <w:pPr>
        <w:spacing w:line="276" w:lineRule="auto"/>
        <w:ind w:left="360"/>
        <w:jc w:val="both"/>
        <w:rPr>
          <w:rFonts w:ascii="Times New Roman" w:hAnsi="Times New Roman" w:cs="Times New Roman"/>
        </w:rPr>
      </w:pPr>
      <w:proofErr w:type="spellStart"/>
      <w:r w:rsidRPr="00ED72F0">
        <w:rPr>
          <w:rFonts w:ascii="Times New Roman" w:hAnsi="Times New Roman" w:cs="Times New Roman"/>
        </w:rPr>
        <w:t>Alabdallah</w:t>
      </w:r>
      <w:proofErr w:type="spellEnd"/>
      <w:r w:rsidRPr="00ED72F0">
        <w:rPr>
          <w:rFonts w:ascii="Times New Roman" w:hAnsi="Times New Roman" w:cs="Times New Roman"/>
        </w:rPr>
        <w:t xml:space="preserve">, A., </w:t>
      </w:r>
      <w:proofErr w:type="spellStart"/>
      <w:r w:rsidRPr="00ED72F0">
        <w:rPr>
          <w:rFonts w:ascii="Times New Roman" w:hAnsi="Times New Roman" w:cs="Times New Roman"/>
        </w:rPr>
        <w:t>Norezzine</w:t>
      </w:r>
      <w:proofErr w:type="spellEnd"/>
      <w:r w:rsidRPr="00ED72F0">
        <w:rPr>
          <w:rFonts w:ascii="Times New Roman" w:hAnsi="Times New Roman" w:cs="Times New Roman"/>
        </w:rPr>
        <w:t xml:space="preserve">, A., Gurina, R., &amp; </w:t>
      </w:r>
      <w:proofErr w:type="spellStart"/>
      <w:r w:rsidRPr="00ED72F0">
        <w:rPr>
          <w:rFonts w:ascii="Times New Roman" w:hAnsi="Times New Roman" w:cs="Times New Roman"/>
        </w:rPr>
        <w:t>Il’yasovna</w:t>
      </w:r>
      <w:proofErr w:type="spellEnd"/>
      <w:r w:rsidRPr="00ED72F0">
        <w:rPr>
          <w:rFonts w:ascii="Times New Roman" w:hAnsi="Times New Roman" w:cs="Times New Roman"/>
        </w:rPr>
        <w:t xml:space="preserve"> </w:t>
      </w:r>
      <w:proofErr w:type="spellStart"/>
      <w:r w:rsidRPr="00ED72F0">
        <w:rPr>
          <w:rFonts w:ascii="Times New Roman" w:hAnsi="Times New Roman" w:cs="Times New Roman"/>
        </w:rPr>
        <w:t>Khairova</w:t>
      </w:r>
      <w:proofErr w:type="spellEnd"/>
      <w:r w:rsidRPr="00ED72F0">
        <w:rPr>
          <w:rFonts w:ascii="Times New Roman" w:hAnsi="Times New Roman" w:cs="Times New Roman"/>
        </w:rPr>
        <w:t>, N. (2021). Influence of different genders of Japanese quail on the functional state of kidneys. Archives of Razi Institute, 76(3), 667.</w:t>
      </w:r>
      <w:r w:rsidR="00C47914" w:rsidRPr="00ED72F0">
        <w:rPr>
          <w:rFonts w:ascii="Arial" w:eastAsia="Times New Roman" w:hAnsi="Arial" w:cs="Arial"/>
          <w:sz w:val="18"/>
          <w:szCs w:val="18"/>
        </w:rPr>
        <w:t xml:space="preserve"> https://doi.org/10.22092/ari.2021.355522.1694</w:t>
      </w:r>
    </w:p>
    <w:p w14:paraId="27AC743E" w14:textId="629159BD" w:rsidR="000A1240" w:rsidRPr="00ED72F0" w:rsidRDefault="000A1240" w:rsidP="00ED72F0">
      <w:pPr>
        <w:spacing w:line="276" w:lineRule="auto"/>
        <w:ind w:left="360"/>
        <w:jc w:val="both"/>
        <w:rPr>
          <w:rFonts w:ascii="Times New Roman" w:hAnsi="Times New Roman" w:cs="Times New Roman"/>
        </w:rPr>
      </w:pPr>
      <w:proofErr w:type="spellStart"/>
      <w:r w:rsidRPr="00ED72F0">
        <w:rPr>
          <w:rFonts w:ascii="Times New Roman" w:hAnsi="Times New Roman" w:cs="Times New Roman"/>
        </w:rPr>
        <w:t>Alaghehbandan</w:t>
      </w:r>
      <w:proofErr w:type="spellEnd"/>
      <w:r w:rsidRPr="00ED72F0">
        <w:rPr>
          <w:rFonts w:ascii="Times New Roman" w:hAnsi="Times New Roman" w:cs="Times New Roman"/>
        </w:rPr>
        <w:t xml:space="preserve">, R., </w:t>
      </w:r>
      <w:proofErr w:type="spellStart"/>
      <w:r w:rsidRPr="00ED72F0">
        <w:rPr>
          <w:rFonts w:ascii="Times New Roman" w:hAnsi="Times New Roman" w:cs="Times New Roman"/>
        </w:rPr>
        <w:t>Przybycin</w:t>
      </w:r>
      <w:proofErr w:type="spellEnd"/>
      <w:r w:rsidRPr="00ED72F0">
        <w:rPr>
          <w:rFonts w:ascii="Times New Roman" w:hAnsi="Times New Roman" w:cs="Times New Roman"/>
        </w:rPr>
        <w:t xml:space="preserve">, C. G., </w:t>
      </w:r>
      <w:proofErr w:type="spellStart"/>
      <w:r w:rsidRPr="00ED72F0">
        <w:rPr>
          <w:rFonts w:ascii="Times New Roman" w:hAnsi="Times New Roman" w:cs="Times New Roman"/>
        </w:rPr>
        <w:t>Verkarre</w:t>
      </w:r>
      <w:proofErr w:type="spellEnd"/>
      <w:r w:rsidRPr="00ED72F0">
        <w:rPr>
          <w:rFonts w:ascii="Times New Roman" w:hAnsi="Times New Roman" w:cs="Times New Roman"/>
        </w:rPr>
        <w:t>, V., &amp; Mehra, R. (2022). Chromophobe renal cell carcinoma: Novel molecular insights and clinicopathologic updates. </w:t>
      </w:r>
      <w:r w:rsidRPr="00ED72F0">
        <w:rPr>
          <w:rFonts w:ascii="Times New Roman" w:hAnsi="Times New Roman" w:cs="Times New Roman"/>
          <w:i/>
          <w:iCs/>
        </w:rPr>
        <w:t>Asian Journal of Urology</w:t>
      </w:r>
      <w:r w:rsidRPr="00ED72F0">
        <w:rPr>
          <w:rFonts w:ascii="Times New Roman" w:hAnsi="Times New Roman" w:cs="Times New Roman"/>
        </w:rPr>
        <w:t>, </w:t>
      </w:r>
      <w:r w:rsidRPr="00ED72F0">
        <w:rPr>
          <w:rFonts w:ascii="Times New Roman" w:hAnsi="Times New Roman" w:cs="Times New Roman"/>
          <w:i/>
          <w:iCs/>
        </w:rPr>
        <w:t>9</w:t>
      </w:r>
      <w:r w:rsidRPr="00ED72F0">
        <w:rPr>
          <w:rFonts w:ascii="Times New Roman" w:hAnsi="Times New Roman" w:cs="Times New Roman"/>
        </w:rPr>
        <w:t>(1), 1-11.</w:t>
      </w:r>
      <w:r w:rsidR="00C47914" w:rsidRPr="00ED72F0">
        <w:rPr>
          <w:rFonts w:ascii="Arial" w:eastAsia="Times New Roman" w:hAnsi="Arial" w:cs="Arial"/>
          <w:sz w:val="18"/>
          <w:szCs w:val="18"/>
        </w:rPr>
        <w:t xml:space="preserve"> https://doi.org/10.1016/j.ajur.2021.11.010</w:t>
      </w:r>
    </w:p>
    <w:p w14:paraId="1DF441B2" w14:textId="4A1096DC" w:rsidR="000A1240" w:rsidRPr="00ED72F0" w:rsidRDefault="000A1240" w:rsidP="00ED72F0">
      <w:pPr>
        <w:spacing w:line="276" w:lineRule="auto"/>
        <w:ind w:left="360"/>
        <w:jc w:val="both"/>
        <w:rPr>
          <w:rFonts w:ascii="Times New Roman" w:hAnsi="Times New Roman" w:cs="Times New Roman"/>
        </w:rPr>
      </w:pPr>
      <w:proofErr w:type="spellStart"/>
      <w:r w:rsidRPr="00ED72F0">
        <w:rPr>
          <w:rFonts w:ascii="Times New Roman" w:hAnsi="Times New Roman" w:cs="Times New Roman"/>
        </w:rPr>
        <w:t>Argani</w:t>
      </w:r>
      <w:proofErr w:type="spellEnd"/>
      <w:r w:rsidRPr="00ED72F0">
        <w:rPr>
          <w:rFonts w:ascii="Times New Roman" w:hAnsi="Times New Roman" w:cs="Times New Roman"/>
        </w:rPr>
        <w:t>, P., Perlman, E. J., Breslow, N. E., Browning, N. G., Green, D. M., D'Angio, G. J., &amp; Beckwith, J. B. (2000). Clear cell sarcoma of the kidney: a review of 351 cases from the National Wilms Tumor Study Group Pathology Center. </w:t>
      </w:r>
      <w:r w:rsidRPr="00ED72F0">
        <w:rPr>
          <w:rFonts w:ascii="Times New Roman" w:hAnsi="Times New Roman" w:cs="Times New Roman"/>
          <w:i/>
          <w:iCs/>
        </w:rPr>
        <w:t>The American journal of surgical pathology</w:t>
      </w:r>
      <w:r w:rsidRPr="00ED72F0">
        <w:rPr>
          <w:rFonts w:ascii="Times New Roman" w:hAnsi="Times New Roman" w:cs="Times New Roman"/>
        </w:rPr>
        <w:t>, </w:t>
      </w:r>
      <w:r w:rsidRPr="00ED72F0">
        <w:rPr>
          <w:rFonts w:ascii="Times New Roman" w:hAnsi="Times New Roman" w:cs="Times New Roman"/>
          <w:i/>
          <w:iCs/>
        </w:rPr>
        <w:t>24</w:t>
      </w:r>
      <w:r w:rsidRPr="00ED72F0">
        <w:rPr>
          <w:rFonts w:ascii="Times New Roman" w:hAnsi="Times New Roman" w:cs="Times New Roman"/>
        </w:rPr>
        <w:t>(1), 4.</w:t>
      </w:r>
      <w:r w:rsidR="00C47914" w:rsidRPr="00ED72F0">
        <w:rPr>
          <w:rFonts w:ascii="Arial" w:eastAsia="Times New Roman" w:hAnsi="Arial" w:cs="Arial"/>
          <w:sz w:val="18"/>
          <w:szCs w:val="18"/>
        </w:rPr>
        <w:t xml:space="preserve"> https://doi.org/10.1097/00000478-200001000-00002</w:t>
      </w:r>
    </w:p>
    <w:p w14:paraId="3E8914F8" w14:textId="524588CB" w:rsidR="000A1240" w:rsidRPr="00ED72F0" w:rsidRDefault="000A1240" w:rsidP="00ED72F0">
      <w:pPr>
        <w:spacing w:line="276" w:lineRule="auto"/>
        <w:ind w:left="360"/>
        <w:jc w:val="both"/>
        <w:rPr>
          <w:rFonts w:ascii="Times New Roman" w:hAnsi="Times New Roman" w:cs="Times New Roman"/>
        </w:rPr>
      </w:pPr>
      <w:r w:rsidRPr="00ED72F0">
        <w:rPr>
          <w:rFonts w:ascii="Times New Roman" w:hAnsi="Times New Roman" w:cs="Times New Roman"/>
        </w:rPr>
        <w:t xml:space="preserve">Askari, H., Raeis-Abdollahi, E., Abazari, M. F., Akrami, H., Vakili, S., </w:t>
      </w:r>
      <w:proofErr w:type="spellStart"/>
      <w:r w:rsidRPr="00ED72F0">
        <w:rPr>
          <w:rFonts w:ascii="Times New Roman" w:hAnsi="Times New Roman" w:cs="Times New Roman"/>
        </w:rPr>
        <w:t>Savardashtaki</w:t>
      </w:r>
      <w:proofErr w:type="spellEnd"/>
      <w:r w:rsidRPr="00ED72F0">
        <w:rPr>
          <w:rFonts w:ascii="Times New Roman" w:hAnsi="Times New Roman" w:cs="Times New Roman"/>
        </w:rPr>
        <w:t>, A., ... &amp; Safarpour, A. R. (2022). Recent findings on the role of microRNAs in genetic kidney diseases. </w:t>
      </w:r>
      <w:r w:rsidRPr="00ED72F0">
        <w:rPr>
          <w:rFonts w:ascii="Times New Roman" w:hAnsi="Times New Roman" w:cs="Times New Roman"/>
          <w:i/>
          <w:iCs/>
        </w:rPr>
        <w:t>Molecular biology reports</w:t>
      </w:r>
      <w:r w:rsidRPr="00ED72F0">
        <w:rPr>
          <w:rFonts w:ascii="Times New Roman" w:hAnsi="Times New Roman" w:cs="Times New Roman"/>
        </w:rPr>
        <w:t>, </w:t>
      </w:r>
      <w:r w:rsidRPr="00ED72F0">
        <w:rPr>
          <w:rFonts w:ascii="Times New Roman" w:hAnsi="Times New Roman" w:cs="Times New Roman"/>
          <w:i/>
          <w:iCs/>
        </w:rPr>
        <w:t>49</w:t>
      </w:r>
      <w:r w:rsidRPr="00ED72F0">
        <w:rPr>
          <w:rFonts w:ascii="Times New Roman" w:hAnsi="Times New Roman" w:cs="Times New Roman"/>
        </w:rPr>
        <w:t>(7), 7039-7056.</w:t>
      </w:r>
      <w:r w:rsidR="00C47914" w:rsidRPr="00ED72F0">
        <w:rPr>
          <w:rFonts w:ascii="Arial" w:eastAsia="Times New Roman" w:hAnsi="Arial" w:cs="Arial"/>
          <w:sz w:val="18"/>
          <w:szCs w:val="18"/>
        </w:rPr>
        <w:t xml:space="preserve"> https://doi.org/10.1007/s11033-022-07620-w</w:t>
      </w:r>
    </w:p>
    <w:p w14:paraId="2BF636A0" w14:textId="0EB19518" w:rsidR="000A1240" w:rsidRPr="00ED72F0" w:rsidRDefault="000A1240" w:rsidP="00ED72F0">
      <w:pPr>
        <w:spacing w:line="276" w:lineRule="auto"/>
        <w:ind w:left="360"/>
        <w:jc w:val="both"/>
        <w:rPr>
          <w:rFonts w:ascii="Times New Roman" w:hAnsi="Times New Roman" w:cs="Times New Roman"/>
        </w:rPr>
      </w:pPr>
      <w:proofErr w:type="spellStart"/>
      <w:r w:rsidRPr="00ED72F0">
        <w:rPr>
          <w:rFonts w:ascii="Times New Roman" w:hAnsi="Times New Roman" w:cs="Times New Roman"/>
        </w:rPr>
        <w:t>Bahadoram</w:t>
      </w:r>
      <w:proofErr w:type="spellEnd"/>
      <w:r w:rsidRPr="00ED72F0">
        <w:rPr>
          <w:rFonts w:ascii="Times New Roman" w:hAnsi="Times New Roman" w:cs="Times New Roman"/>
        </w:rPr>
        <w:t xml:space="preserve">, S., Davoodi, M., Hassanzadeh, S., </w:t>
      </w:r>
      <w:proofErr w:type="spellStart"/>
      <w:r w:rsidRPr="00ED72F0">
        <w:rPr>
          <w:rFonts w:ascii="Times New Roman" w:hAnsi="Times New Roman" w:cs="Times New Roman"/>
        </w:rPr>
        <w:t>Bahadoram</w:t>
      </w:r>
      <w:proofErr w:type="spellEnd"/>
      <w:r w:rsidRPr="00ED72F0">
        <w:rPr>
          <w:rFonts w:ascii="Times New Roman" w:hAnsi="Times New Roman" w:cs="Times New Roman"/>
        </w:rPr>
        <w:t xml:space="preserve">, M., Barahman, M., &amp; </w:t>
      </w:r>
      <w:proofErr w:type="spellStart"/>
      <w:r w:rsidRPr="00ED72F0">
        <w:rPr>
          <w:rFonts w:ascii="Times New Roman" w:hAnsi="Times New Roman" w:cs="Times New Roman"/>
        </w:rPr>
        <w:t>Mafakher</w:t>
      </w:r>
      <w:proofErr w:type="spellEnd"/>
      <w:r w:rsidRPr="00ED72F0">
        <w:rPr>
          <w:rFonts w:ascii="Times New Roman" w:hAnsi="Times New Roman" w:cs="Times New Roman"/>
        </w:rPr>
        <w:t>, L. (2022). Renal cell carcinoma: an overview of the epidemiology, diagnosis, and treatment. </w:t>
      </w:r>
      <w:r w:rsidRPr="00ED72F0">
        <w:rPr>
          <w:rFonts w:ascii="Times New Roman" w:hAnsi="Times New Roman" w:cs="Times New Roman"/>
          <w:i/>
          <w:iCs/>
        </w:rPr>
        <w:t>G Ital Nefrol</w:t>
      </w:r>
      <w:r w:rsidRPr="00ED72F0">
        <w:rPr>
          <w:rFonts w:ascii="Times New Roman" w:hAnsi="Times New Roman" w:cs="Times New Roman"/>
        </w:rPr>
        <w:t>, </w:t>
      </w:r>
      <w:r w:rsidRPr="00ED72F0">
        <w:rPr>
          <w:rFonts w:ascii="Times New Roman" w:hAnsi="Times New Roman" w:cs="Times New Roman"/>
          <w:i/>
          <w:iCs/>
        </w:rPr>
        <w:t>39</w:t>
      </w:r>
      <w:r w:rsidRPr="00ED72F0">
        <w:rPr>
          <w:rFonts w:ascii="Times New Roman" w:hAnsi="Times New Roman" w:cs="Times New Roman"/>
        </w:rPr>
        <w:t>(3), 2022.</w:t>
      </w:r>
      <w:r w:rsidR="00C47914" w:rsidRPr="00ED72F0">
        <w:rPr>
          <w:rFonts w:ascii="Arial" w:eastAsia="Times New Roman" w:hAnsi="Arial" w:cs="Arial"/>
          <w:sz w:val="18"/>
          <w:szCs w:val="18"/>
        </w:rPr>
        <w:t xml:space="preserve"> https://www.giornaleitalianodinefrologia.it/2022/05/renal-cell-carcinoma-an-overview-of-the-epidemiology-diagnosis-and-treatment/</w:t>
      </w:r>
    </w:p>
    <w:p w14:paraId="1F9A6B5F" w14:textId="7FF4C89A" w:rsidR="000A1240" w:rsidRPr="00ED72F0" w:rsidRDefault="000A1240" w:rsidP="00ED72F0">
      <w:pPr>
        <w:spacing w:line="276" w:lineRule="auto"/>
        <w:ind w:left="360"/>
        <w:jc w:val="both"/>
        <w:rPr>
          <w:rFonts w:ascii="Times New Roman" w:hAnsi="Times New Roman" w:cs="Times New Roman"/>
        </w:rPr>
      </w:pPr>
      <w:r w:rsidRPr="00ED72F0">
        <w:rPr>
          <w:rFonts w:ascii="Times New Roman" w:hAnsi="Times New Roman" w:cs="Times New Roman"/>
        </w:rPr>
        <w:t xml:space="preserve">Bernal, A., Zafra, M. A., Simón, M. J., &amp; </w:t>
      </w:r>
      <w:proofErr w:type="spellStart"/>
      <w:r w:rsidRPr="00ED72F0">
        <w:rPr>
          <w:rFonts w:ascii="Times New Roman" w:hAnsi="Times New Roman" w:cs="Times New Roman"/>
        </w:rPr>
        <w:t>Mahía</w:t>
      </w:r>
      <w:proofErr w:type="spellEnd"/>
      <w:r w:rsidRPr="00ED72F0">
        <w:rPr>
          <w:rFonts w:ascii="Times New Roman" w:hAnsi="Times New Roman" w:cs="Times New Roman"/>
        </w:rPr>
        <w:t>, J. (2023). Sodium homeostasis, a balance necessary for life. </w:t>
      </w:r>
      <w:r w:rsidRPr="00ED72F0">
        <w:rPr>
          <w:rFonts w:ascii="Times New Roman" w:hAnsi="Times New Roman" w:cs="Times New Roman"/>
          <w:i/>
          <w:iCs/>
        </w:rPr>
        <w:t>Nutrients</w:t>
      </w:r>
      <w:r w:rsidRPr="00ED72F0">
        <w:rPr>
          <w:rFonts w:ascii="Times New Roman" w:hAnsi="Times New Roman" w:cs="Times New Roman"/>
        </w:rPr>
        <w:t>, </w:t>
      </w:r>
      <w:r w:rsidRPr="00ED72F0">
        <w:rPr>
          <w:rFonts w:ascii="Times New Roman" w:hAnsi="Times New Roman" w:cs="Times New Roman"/>
          <w:i/>
          <w:iCs/>
        </w:rPr>
        <w:t>15</w:t>
      </w:r>
      <w:r w:rsidRPr="00ED72F0">
        <w:rPr>
          <w:rFonts w:ascii="Times New Roman" w:hAnsi="Times New Roman" w:cs="Times New Roman"/>
        </w:rPr>
        <w:t>(2), 395.</w:t>
      </w:r>
      <w:r w:rsidR="00C47914" w:rsidRPr="00ED72F0">
        <w:rPr>
          <w:rFonts w:ascii="Arial" w:eastAsia="Times New Roman" w:hAnsi="Arial" w:cs="Arial"/>
          <w:sz w:val="18"/>
          <w:szCs w:val="18"/>
        </w:rPr>
        <w:t xml:space="preserve"> https://doi.org/10.3390/nu15020395</w:t>
      </w:r>
    </w:p>
    <w:p w14:paraId="0215EDC9" w14:textId="05BD0AF1" w:rsidR="000A1240" w:rsidRPr="00ED72F0" w:rsidRDefault="000A1240" w:rsidP="00ED72F0">
      <w:pPr>
        <w:spacing w:line="276" w:lineRule="auto"/>
        <w:ind w:left="360"/>
        <w:jc w:val="both"/>
        <w:rPr>
          <w:rFonts w:ascii="Times New Roman" w:hAnsi="Times New Roman" w:cs="Times New Roman"/>
        </w:rPr>
      </w:pPr>
      <w:r w:rsidRPr="00ED72F0">
        <w:rPr>
          <w:rFonts w:ascii="Times New Roman" w:hAnsi="Times New Roman" w:cs="Times New Roman"/>
        </w:rPr>
        <w:t>Beynon, A. D. (1976). A reappraisal of Sudan black staining of enamel matrix in the mouse molar. </w:t>
      </w:r>
      <w:r w:rsidRPr="00ED72F0">
        <w:rPr>
          <w:rFonts w:ascii="Times New Roman" w:hAnsi="Times New Roman" w:cs="Times New Roman"/>
          <w:i/>
          <w:iCs/>
        </w:rPr>
        <w:t>Archives of oral biology</w:t>
      </w:r>
      <w:r w:rsidRPr="00ED72F0">
        <w:rPr>
          <w:rFonts w:ascii="Times New Roman" w:hAnsi="Times New Roman" w:cs="Times New Roman"/>
        </w:rPr>
        <w:t>, </w:t>
      </w:r>
      <w:r w:rsidRPr="00ED72F0">
        <w:rPr>
          <w:rFonts w:ascii="Times New Roman" w:hAnsi="Times New Roman" w:cs="Times New Roman"/>
          <w:i/>
          <w:iCs/>
        </w:rPr>
        <w:t>21</w:t>
      </w:r>
      <w:r w:rsidRPr="00ED72F0">
        <w:rPr>
          <w:rFonts w:ascii="Times New Roman" w:hAnsi="Times New Roman" w:cs="Times New Roman"/>
        </w:rPr>
        <w:t>(2), 83-90.</w:t>
      </w:r>
      <w:r w:rsidR="00C47914" w:rsidRPr="00ED72F0">
        <w:rPr>
          <w:rFonts w:ascii="Arial" w:eastAsia="Times New Roman" w:hAnsi="Arial" w:cs="Arial"/>
          <w:sz w:val="18"/>
          <w:szCs w:val="18"/>
        </w:rPr>
        <w:t xml:space="preserve"> https://doi.org/10.1016/0003-9969(76)90076-5</w:t>
      </w:r>
    </w:p>
    <w:p w14:paraId="1E4FFC6E" w14:textId="6E95E16B" w:rsidR="000A1240" w:rsidRPr="00ED72F0" w:rsidRDefault="000A1240" w:rsidP="00ED72F0">
      <w:pPr>
        <w:spacing w:line="276" w:lineRule="auto"/>
        <w:ind w:left="360"/>
        <w:jc w:val="both"/>
        <w:rPr>
          <w:rFonts w:ascii="Times New Roman" w:hAnsi="Times New Roman" w:cs="Times New Roman"/>
        </w:rPr>
      </w:pPr>
      <w:proofErr w:type="spellStart"/>
      <w:r w:rsidRPr="00ED72F0">
        <w:rPr>
          <w:rFonts w:ascii="Times New Roman" w:hAnsi="Times New Roman" w:cs="Times New Roman"/>
        </w:rPr>
        <w:t>Bukavina</w:t>
      </w:r>
      <w:proofErr w:type="spellEnd"/>
      <w:r w:rsidRPr="00ED72F0">
        <w:rPr>
          <w:rFonts w:ascii="Times New Roman" w:hAnsi="Times New Roman" w:cs="Times New Roman"/>
        </w:rPr>
        <w:t xml:space="preserve">, L., Bensalah, K., Bray, F., Carlo, M., Challacombe, B., Karam, J. A., ... &amp; </w:t>
      </w:r>
      <w:proofErr w:type="spellStart"/>
      <w:r w:rsidRPr="00ED72F0">
        <w:rPr>
          <w:rFonts w:ascii="Times New Roman" w:hAnsi="Times New Roman" w:cs="Times New Roman"/>
        </w:rPr>
        <w:t>Psutka</w:t>
      </w:r>
      <w:proofErr w:type="spellEnd"/>
      <w:r w:rsidRPr="00ED72F0">
        <w:rPr>
          <w:rFonts w:ascii="Times New Roman" w:hAnsi="Times New Roman" w:cs="Times New Roman"/>
        </w:rPr>
        <w:t>, S. P. (2022). Epidemiology of renal cell carcinoma: 2022 update. </w:t>
      </w:r>
      <w:r w:rsidRPr="00ED72F0">
        <w:rPr>
          <w:rFonts w:ascii="Times New Roman" w:hAnsi="Times New Roman" w:cs="Times New Roman"/>
          <w:i/>
          <w:iCs/>
        </w:rPr>
        <w:t>European urology</w:t>
      </w:r>
      <w:r w:rsidRPr="00ED72F0">
        <w:rPr>
          <w:rFonts w:ascii="Times New Roman" w:hAnsi="Times New Roman" w:cs="Times New Roman"/>
        </w:rPr>
        <w:t>, </w:t>
      </w:r>
      <w:r w:rsidRPr="00ED72F0">
        <w:rPr>
          <w:rFonts w:ascii="Times New Roman" w:hAnsi="Times New Roman" w:cs="Times New Roman"/>
          <w:i/>
          <w:iCs/>
        </w:rPr>
        <w:t>82</w:t>
      </w:r>
      <w:r w:rsidRPr="00ED72F0">
        <w:rPr>
          <w:rFonts w:ascii="Times New Roman" w:hAnsi="Times New Roman" w:cs="Times New Roman"/>
        </w:rPr>
        <w:t>(5), 529-542.</w:t>
      </w:r>
      <w:r w:rsidR="00C47914" w:rsidRPr="00ED72F0">
        <w:rPr>
          <w:rFonts w:ascii="Arial" w:eastAsia="Times New Roman" w:hAnsi="Arial" w:cs="Arial"/>
          <w:sz w:val="18"/>
          <w:szCs w:val="18"/>
        </w:rPr>
        <w:t xml:space="preserve"> https://doi.org/10.1016/j.eururo.2022.08.019</w:t>
      </w:r>
    </w:p>
    <w:p w14:paraId="7D93DB94" w14:textId="02F6D051" w:rsidR="000A1240" w:rsidRPr="00ED72F0" w:rsidRDefault="000A1240" w:rsidP="00ED72F0">
      <w:pPr>
        <w:spacing w:line="276" w:lineRule="auto"/>
        <w:ind w:left="360"/>
        <w:jc w:val="both"/>
        <w:rPr>
          <w:rFonts w:ascii="Times New Roman" w:hAnsi="Times New Roman" w:cs="Times New Roman"/>
        </w:rPr>
      </w:pPr>
      <w:r w:rsidRPr="00ED72F0">
        <w:rPr>
          <w:rFonts w:ascii="Times New Roman" w:hAnsi="Times New Roman" w:cs="Times New Roman"/>
        </w:rPr>
        <w:lastRenderedPageBreak/>
        <w:t>Cabanillas, G., Montoya-Cerrillo, D., Kryvenko, O. N., Pal, S. K., &amp; Arias-Stella III, J. A. (2022). Collecting duct carcinoma of the kidney: diagnosis and implications for management. In </w:t>
      </w:r>
      <w:r w:rsidRPr="00ED72F0">
        <w:rPr>
          <w:rFonts w:ascii="Times New Roman" w:hAnsi="Times New Roman" w:cs="Times New Roman"/>
          <w:i/>
          <w:iCs/>
        </w:rPr>
        <w:t>Urologic Oncology: Seminars and Original Investigations</w:t>
      </w:r>
      <w:r w:rsidRPr="00ED72F0">
        <w:rPr>
          <w:rFonts w:ascii="Times New Roman" w:hAnsi="Times New Roman" w:cs="Times New Roman"/>
        </w:rPr>
        <w:t> (Vol. 40, No. 12, pp. 525-536). Elsevier.</w:t>
      </w:r>
      <w:r w:rsidR="00C47914" w:rsidRPr="00ED72F0">
        <w:rPr>
          <w:rFonts w:ascii="Arial" w:eastAsia="Times New Roman" w:hAnsi="Arial" w:cs="Arial"/>
          <w:sz w:val="18"/>
          <w:szCs w:val="18"/>
        </w:rPr>
        <w:t xml:space="preserve"> https://doi.org/10.1016/j.urolonc.2021.04.041</w:t>
      </w:r>
    </w:p>
    <w:p w14:paraId="2C5BC8E2" w14:textId="5BB99094" w:rsidR="000A1240" w:rsidRPr="00ED72F0" w:rsidRDefault="000A1240" w:rsidP="00ED72F0">
      <w:pPr>
        <w:spacing w:line="276" w:lineRule="auto"/>
        <w:ind w:left="360"/>
        <w:jc w:val="both"/>
        <w:rPr>
          <w:rFonts w:ascii="Times New Roman" w:hAnsi="Times New Roman" w:cs="Times New Roman"/>
        </w:rPr>
      </w:pPr>
      <w:r w:rsidRPr="00ED72F0">
        <w:rPr>
          <w:rFonts w:ascii="Times New Roman" w:hAnsi="Times New Roman" w:cs="Times New Roman"/>
        </w:rPr>
        <w:t>Cathro, H. P., Shen, S. S., &amp; Truong, L. D. (2018). Diagnostic histochemistry in medical diseases of the kidney. In </w:t>
      </w:r>
      <w:r w:rsidRPr="00ED72F0">
        <w:rPr>
          <w:rFonts w:ascii="Times New Roman" w:hAnsi="Times New Roman" w:cs="Times New Roman"/>
          <w:i/>
          <w:iCs/>
        </w:rPr>
        <w:t>Seminars in Diagnostic Pathology</w:t>
      </w:r>
      <w:r w:rsidRPr="00ED72F0">
        <w:rPr>
          <w:rFonts w:ascii="Times New Roman" w:hAnsi="Times New Roman" w:cs="Times New Roman"/>
        </w:rPr>
        <w:t> (Vol. 35, No. 6, pp. 360-369). WB Saunders.</w:t>
      </w:r>
      <w:r w:rsidR="00C47914" w:rsidRPr="00ED72F0">
        <w:rPr>
          <w:rFonts w:ascii="Arial" w:eastAsia="Times New Roman" w:hAnsi="Arial" w:cs="Arial"/>
          <w:sz w:val="18"/>
          <w:szCs w:val="18"/>
        </w:rPr>
        <w:t xml:space="preserve"> https://doi.org/10.1053/j.semdp.2018.10.001</w:t>
      </w:r>
    </w:p>
    <w:p w14:paraId="5836535A" w14:textId="66E74ED0" w:rsidR="000A1240" w:rsidRPr="00ED72F0" w:rsidRDefault="000A1240" w:rsidP="00ED72F0">
      <w:pPr>
        <w:spacing w:line="276" w:lineRule="auto"/>
        <w:ind w:left="360"/>
        <w:jc w:val="both"/>
        <w:rPr>
          <w:rFonts w:ascii="Times New Roman" w:hAnsi="Times New Roman" w:cs="Times New Roman"/>
        </w:rPr>
      </w:pPr>
      <w:r w:rsidRPr="00ED72F0">
        <w:rPr>
          <w:rFonts w:ascii="Times New Roman" w:hAnsi="Times New Roman" w:cs="Times New Roman"/>
        </w:rPr>
        <w:t xml:space="preserve">Cinque, A., </w:t>
      </w:r>
      <w:proofErr w:type="spellStart"/>
      <w:r w:rsidRPr="00ED72F0">
        <w:rPr>
          <w:rFonts w:ascii="Times New Roman" w:hAnsi="Times New Roman" w:cs="Times New Roman"/>
        </w:rPr>
        <w:t>Minnei</w:t>
      </w:r>
      <w:proofErr w:type="spellEnd"/>
      <w:r w:rsidRPr="00ED72F0">
        <w:rPr>
          <w:rFonts w:ascii="Times New Roman" w:hAnsi="Times New Roman" w:cs="Times New Roman"/>
        </w:rPr>
        <w:t xml:space="preserve">, R., Floris, M., &amp; Trevisani, F. (2022). The clinical and molecular features in the VHL renal cancers; close or distant relatives with sporadic clear cell renal cell </w:t>
      </w:r>
      <w:proofErr w:type="gramStart"/>
      <w:r w:rsidRPr="00ED72F0">
        <w:rPr>
          <w:rFonts w:ascii="Times New Roman" w:hAnsi="Times New Roman" w:cs="Times New Roman"/>
        </w:rPr>
        <w:t>carcinoma?.</w:t>
      </w:r>
      <w:proofErr w:type="gramEnd"/>
      <w:r w:rsidRPr="00ED72F0">
        <w:rPr>
          <w:rFonts w:ascii="Times New Roman" w:hAnsi="Times New Roman" w:cs="Times New Roman"/>
        </w:rPr>
        <w:t> </w:t>
      </w:r>
      <w:r w:rsidRPr="00ED72F0">
        <w:rPr>
          <w:rFonts w:ascii="Times New Roman" w:hAnsi="Times New Roman" w:cs="Times New Roman"/>
          <w:i/>
          <w:iCs/>
        </w:rPr>
        <w:t>Cancers</w:t>
      </w:r>
      <w:r w:rsidRPr="00ED72F0">
        <w:rPr>
          <w:rFonts w:ascii="Times New Roman" w:hAnsi="Times New Roman" w:cs="Times New Roman"/>
        </w:rPr>
        <w:t>, </w:t>
      </w:r>
      <w:r w:rsidRPr="00ED72F0">
        <w:rPr>
          <w:rFonts w:ascii="Times New Roman" w:hAnsi="Times New Roman" w:cs="Times New Roman"/>
          <w:i/>
          <w:iCs/>
        </w:rPr>
        <w:t>14</w:t>
      </w:r>
      <w:r w:rsidRPr="00ED72F0">
        <w:rPr>
          <w:rFonts w:ascii="Times New Roman" w:hAnsi="Times New Roman" w:cs="Times New Roman"/>
        </w:rPr>
        <w:t>(21), 5352.</w:t>
      </w:r>
      <w:r w:rsidR="00C47914" w:rsidRPr="00ED72F0">
        <w:rPr>
          <w:rFonts w:ascii="Arial" w:eastAsia="Times New Roman" w:hAnsi="Arial" w:cs="Arial"/>
          <w:sz w:val="18"/>
          <w:szCs w:val="18"/>
        </w:rPr>
        <w:t xml:space="preserve"> https://doi.org/10.3390/cancers14215352</w:t>
      </w:r>
    </w:p>
    <w:p w14:paraId="372887F3" w14:textId="1D2DD619" w:rsidR="000A1240" w:rsidRPr="00ED72F0" w:rsidRDefault="000A1240" w:rsidP="00ED72F0">
      <w:pPr>
        <w:spacing w:line="276" w:lineRule="auto"/>
        <w:ind w:left="360"/>
        <w:jc w:val="both"/>
        <w:rPr>
          <w:rFonts w:ascii="Times New Roman" w:hAnsi="Times New Roman" w:cs="Times New Roman"/>
        </w:rPr>
      </w:pPr>
      <w:r w:rsidRPr="00ED72F0">
        <w:rPr>
          <w:rFonts w:ascii="Times New Roman" w:hAnsi="Times New Roman" w:cs="Times New Roman"/>
        </w:rPr>
        <w:t xml:space="preserve">Cohen, E. P., Hankey, K. G., Farese, A. M., Parker, G. A., Jones, J. W., Kane, M. A., ... &amp; MacVittie, T. J. (2019). Radiation nephropathy in a nonhuman primate model of partial-body irradiation with minimal bone marrow sparing—part 1: acute and chronic kidney injury and the influence of </w:t>
      </w:r>
      <w:proofErr w:type="spellStart"/>
      <w:r w:rsidRPr="00ED72F0">
        <w:rPr>
          <w:rFonts w:ascii="Times New Roman" w:hAnsi="Times New Roman" w:cs="Times New Roman"/>
        </w:rPr>
        <w:t>neupogen</w:t>
      </w:r>
      <w:proofErr w:type="spellEnd"/>
      <w:r w:rsidRPr="00ED72F0">
        <w:rPr>
          <w:rFonts w:ascii="Times New Roman" w:hAnsi="Times New Roman" w:cs="Times New Roman"/>
        </w:rPr>
        <w:t>. </w:t>
      </w:r>
      <w:r w:rsidRPr="00ED72F0">
        <w:rPr>
          <w:rFonts w:ascii="Times New Roman" w:hAnsi="Times New Roman" w:cs="Times New Roman"/>
          <w:i/>
          <w:iCs/>
        </w:rPr>
        <w:t>Health physics</w:t>
      </w:r>
      <w:r w:rsidRPr="00ED72F0">
        <w:rPr>
          <w:rFonts w:ascii="Times New Roman" w:hAnsi="Times New Roman" w:cs="Times New Roman"/>
        </w:rPr>
        <w:t>, </w:t>
      </w:r>
      <w:r w:rsidRPr="00ED72F0">
        <w:rPr>
          <w:rFonts w:ascii="Times New Roman" w:hAnsi="Times New Roman" w:cs="Times New Roman"/>
          <w:i/>
          <w:iCs/>
        </w:rPr>
        <w:t>116</w:t>
      </w:r>
      <w:r w:rsidRPr="00ED72F0">
        <w:rPr>
          <w:rFonts w:ascii="Times New Roman" w:hAnsi="Times New Roman" w:cs="Times New Roman"/>
        </w:rPr>
        <w:t>(3), 401-408.</w:t>
      </w:r>
      <w:r w:rsidR="00C47914" w:rsidRPr="00ED72F0">
        <w:rPr>
          <w:rFonts w:ascii="Arial" w:eastAsia="Times New Roman" w:hAnsi="Arial" w:cs="Arial"/>
          <w:sz w:val="18"/>
          <w:szCs w:val="18"/>
        </w:rPr>
        <w:t xml:space="preserve"> https://doi.org/10.1097/HP.0000000000000960</w:t>
      </w:r>
    </w:p>
    <w:p w14:paraId="28F45078" w14:textId="7532ADB4" w:rsidR="000A1240" w:rsidRPr="00ED72F0" w:rsidRDefault="000A1240" w:rsidP="00ED72F0">
      <w:pPr>
        <w:spacing w:line="276" w:lineRule="auto"/>
        <w:ind w:left="360"/>
        <w:jc w:val="both"/>
        <w:rPr>
          <w:rFonts w:ascii="Times New Roman" w:hAnsi="Times New Roman" w:cs="Times New Roman"/>
        </w:rPr>
      </w:pPr>
      <w:r w:rsidRPr="00ED72F0">
        <w:rPr>
          <w:rFonts w:ascii="Times New Roman" w:hAnsi="Times New Roman" w:cs="Times New Roman"/>
        </w:rPr>
        <w:t>Colquhoun, A. J. (2023). The kidney and ureter. </w:t>
      </w:r>
      <w:r w:rsidRPr="00ED72F0">
        <w:rPr>
          <w:rFonts w:ascii="Times New Roman" w:hAnsi="Times New Roman" w:cs="Times New Roman"/>
          <w:i/>
          <w:iCs/>
        </w:rPr>
        <w:t>Ellis and Calne's Lecture Notes in General Surgery</w:t>
      </w:r>
      <w:r w:rsidRPr="00ED72F0">
        <w:rPr>
          <w:rFonts w:ascii="Times New Roman" w:hAnsi="Times New Roman" w:cs="Times New Roman"/>
        </w:rPr>
        <w:t>, 425-443.</w:t>
      </w:r>
      <w:r w:rsidR="00C47914" w:rsidRPr="00ED72F0">
        <w:rPr>
          <w:rFonts w:ascii="Arial" w:eastAsia="Times New Roman" w:hAnsi="Arial" w:cs="Arial"/>
          <w:sz w:val="18"/>
          <w:szCs w:val="18"/>
        </w:rPr>
        <w:t xml:space="preserve"> https://www.wiley.com/en-us/Ellis+and+Calne%27s+Lecture+Notes+in+General+Surgery%2C+14th+Edition-p-9781119862482</w:t>
      </w:r>
    </w:p>
    <w:p w14:paraId="3FBFC13E" w14:textId="4DA08042" w:rsidR="000A1240" w:rsidRPr="00ED72F0" w:rsidRDefault="000A1240" w:rsidP="00ED72F0">
      <w:pPr>
        <w:spacing w:line="276" w:lineRule="auto"/>
        <w:ind w:left="360"/>
        <w:jc w:val="both"/>
        <w:rPr>
          <w:rFonts w:ascii="Times New Roman" w:hAnsi="Times New Roman" w:cs="Times New Roman"/>
        </w:rPr>
      </w:pPr>
      <w:r w:rsidRPr="00ED72F0">
        <w:rPr>
          <w:rFonts w:ascii="Times New Roman" w:hAnsi="Times New Roman" w:cs="Times New Roman"/>
        </w:rPr>
        <w:t>Dey, P. (2023). Connective tissue stain: principle and procedure. In </w:t>
      </w:r>
      <w:r w:rsidRPr="00ED72F0">
        <w:rPr>
          <w:rFonts w:ascii="Times New Roman" w:hAnsi="Times New Roman" w:cs="Times New Roman"/>
          <w:i/>
          <w:iCs/>
        </w:rPr>
        <w:t>Basic and advanced laboratory techniques in histopathology and cytology</w:t>
      </w:r>
      <w:r w:rsidRPr="00ED72F0">
        <w:rPr>
          <w:rFonts w:ascii="Times New Roman" w:hAnsi="Times New Roman" w:cs="Times New Roman"/>
        </w:rPr>
        <w:t> (pp. 101-111). Singapore: Springer Nature Singapore.</w:t>
      </w:r>
      <w:r w:rsidR="00C47914" w:rsidRPr="00ED72F0">
        <w:rPr>
          <w:rFonts w:ascii="Arial" w:eastAsia="Times New Roman" w:hAnsi="Arial" w:cs="Arial"/>
          <w:sz w:val="18"/>
          <w:szCs w:val="18"/>
        </w:rPr>
        <w:t xml:space="preserve"> https://doi.org/10.1007/978-981-19-6616-3_10</w:t>
      </w:r>
    </w:p>
    <w:p w14:paraId="3A654376" w14:textId="72D41E0B" w:rsidR="000A1240" w:rsidRPr="00ED72F0" w:rsidRDefault="000A1240" w:rsidP="00ED72F0">
      <w:pPr>
        <w:spacing w:line="276" w:lineRule="auto"/>
        <w:ind w:left="360"/>
        <w:jc w:val="both"/>
        <w:rPr>
          <w:rFonts w:ascii="Times New Roman" w:hAnsi="Times New Roman" w:cs="Times New Roman"/>
        </w:rPr>
      </w:pPr>
      <w:r w:rsidRPr="00ED72F0">
        <w:rPr>
          <w:rFonts w:ascii="Times New Roman" w:hAnsi="Times New Roman" w:cs="Times New Roman"/>
        </w:rPr>
        <w:t>Dhara, A. K., &amp; Nayak, A. K. (2022). Biological macromolecules: sources, properties, and functions. In </w:t>
      </w:r>
      <w:r w:rsidRPr="00ED72F0">
        <w:rPr>
          <w:rFonts w:ascii="Times New Roman" w:hAnsi="Times New Roman" w:cs="Times New Roman"/>
          <w:i/>
          <w:iCs/>
        </w:rPr>
        <w:t>Biological macromolecules</w:t>
      </w:r>
      <w:r w:rsidRPr="00ED72F0">
        <w:rPr>
          <w:rFonts w:ascii="Times New Roman" w:hAnsi="Times New Roman" w:cs="Times New Roman"/>
        </w:rPr>
        <w:t> (pp. 3-22). Academic Press.</w:t>
      </w:r>
      <w:r w:rsidR="00C47914" w:rsidRPr="00ED72F0">
        <w:rPr>
          <w:rFonts w:ascii="Arial" w:eastAsia="Times New Roman" w:hAnsi="Arial" w:cs="Arial"/>
          <w:sz w:val="18"/>
          <w:szCs w:val="18"/>
        </w:rPr>
        <w:t xml:space="preserve"> https://doi.org/10.1016/B978-0-323-85759-8.00005-1</w:t>
      </w:r>
    </w:p>
    <w:p w14:paraId="59D9DAD6" w14:textId="09A4CF3C" w:rsidR="000A1240" w:rsidRPr="00ED72F0" w:rsidRDefault="000A1240" w:rsidP="00ED72F0">
      <w:pPr>
        <w:spacing w:line="276" w:lineRule="auto"/>
        <w:ind w:left="360"/>
        <w:jc w:val="both"/>
        <w:rPr>
          <w:rFonts w:ascii="Times New Roman" w:hAnsi="Times New Roman" w:cs="Times New Roman"/>
        </w:rPr>
      </w:pPr>
      <w:r w:rsidRPr="00ED72F0">
        <w:rPr>
          <w:rFonts w:ascii="Times New Roman" w:hAnsi="Times New Roman" w:cs="Times New Roman"/>
        </w:rPr>
        <w:t>Du, J., Zhao, L., Kang, Q., He, Y., &amp; Bi, Y. (2023). An optimized method for Oil Red O staining with the salicylic acid ethanol solution. </w:t>
      </w:r>
      <w:r w:rsidRPr="00ED72F0">
        <w:rPr>
          <w:rFonts w:ascii="Times New Roman" w:hAnsi="Times New Roman" w:cs="Times New Roman"/>
          <w:i/>
          <w:iCs/>
        </w:rPr>
        <w:t>Adipocyte</w:t>
      </w:r>
      <w:r w:rsidRPr="00ED72F0">
        <w:rPr>
          <w:rFonts w:ascii="Times New Roman" w:hAnsi="Times New Roman" w:cs="Times New Roman"/>
        </w:rPr>
        <w:t>, </w:t>
      </w:r>
      <w:r w:rsidRPr="00ED72F0">
        <w:rPr>
          <w:rFonts w:ascii="Times New Roman" w:hAnsi="Times New Roman" w:cs="Times New Roman"/>
          <w:i/>
          <w:iCs/>
        </w:rPr>
        <w:t>12</w:t>
      </w:r>
      <w:r w:rsidRPr="00ED72F0">
        <w:rPr>
          <w:rFonts w:ascii="Times New Roman" w:hAnsi="Times New Roman" w:cs="Times New Roman"/>
        </w:rPr>
        <w:t>(1), 2179334.</w:t>
      </w:r>
      <w:r w:rsidR="00C47914" w:rsidRPr="00ED72F0">
        <w:rPr>
          <w:rFonts w:ascii="Arial" w:eastAsia="Times New Roman" w:hAnsi="Arial" w:cs="Arial"/>
          <w:sz w:val="18"/>
          <w:szCs w:val="18"/>
        </w:rPr>
        <w:t xml:space="preserve"> https://doi.org/10.1080/21623945.2023.2179334</w:t>
      </w:r>
    </w:p>
    <w:p w14:paraId="15AD1CD6" w14:textId="049ECCD5" w:rsidR="000A1240" w:rsidRPr="00ED72F0" w:rsidRDefault="000A1240" w:rsidP="00ED72F0">
      <w:pPr>
        <w:spacing w:line="276" w:lineRule="auto"/>
        <w:ind w:left="360"/>
        <w:jc w:val="both"/>
        <w:rPr>
          <w:rFonts w:ascii="Times New Roman" w:hAnsi="Times New Roman" w:cs="Times New Roman"/>
        </w:rPr>
      </w:pPr>
      <w:proofErr w:type="spellStart"/>
      <w:r w:rsidRPr="00ED72F0">
        <w:rPr>
          <w:rFonts w:ascii="Times New Roman" w:hAnsi="Times New Roman" w:cs="Times New Roman"/>
        </w:rPr>
        <w:t>Edakabasi</w:t>
      </w:r>
      <w:proofErr w:type="spellEnd"/>
      <w:r w:rsidRPr="00ED72F0">
        <w:rPr>
          <w:rFonts w:ascii="Times New Roman" w:hAnsi="Times New Roman" w:cs="Times New Roman"/>
        </w:rPr>
        <w:t>, A., Kingsley, A., Theophilus, U., &amp; Olukayode, O. (2024). Histochemical analysis (special stains) in the detection and identification of histologic and histopathologic changes in the liver tissue of neonates. </w:t>
      </w:r>
      <w:proofErr w:type="spellStart"/>
      <w:r w:rsidRPr="00ED72F0">
        <w:rPr>
          <w:rFonts w:ascii="Times New Roman" w:hAnsi="Times New Roman" w:cs="Times New Roman"/>
          <w:i/>
          <w:iCs/>
        </w:rPr>
        <w:t>Onkologia</w:t>
      </w:r>
      <w:proofErr w:type="spellEnd"/>
      <w:r w:rsidRPr="00ED72F0">
        <w:rPr>
          <w:rFonts w:ascii="Times New Roman" w:hAnsi="Times New Roman" w:cs="Times New Roman"/>
          <w:i/>
          <w:iCs/>
        </w:rPr>
        <w:t xml:space="preserve"> </w:t>
      </w:r>
      <w:proofErr w:type="spellStart"/>
      <w:r w:rsidRPr="00ED72F0">
        <w:rPr>
          <w:rFonts w:ascii="Times New Roman" w:hAnsi="Times New Roman" w:cs="Times New Roman"/>
          <w:i/>
          <w:iCs/>
        </w:rPr>
        <w:t>i</w:t>
      </w:r>
      <w:proofErr w:type="spellEnd"/>
      <w:r w:rsidRPr="00ED72F0">
        <w:rPr>
          <w:rFonts w:ascii="Times New Roman" w:hAnsi="Times New Roman" w:cs="Times New Roman"/>
          <w:i/>
          <w:iCs/>
        </w:rPr>
        <w:t xml:space="preserve"> </w:t>
      </w:r>
      <w:proofErr w:type="spellStart"/>
      <w:r w:rsidRPr="00ED72F0">
        <w:rPr>
          <w:rFonts w:ascii="Times New Roman" w:hAnsi="Times New Roman" w:cs="Times New Roman"/>
          <w:i/>
          <w:iCs/>
        </w:rPr>
        <w:t>Radioterapia</w:t>
      </w:r>
      <w:proofErr w:type="spellEnd"/>
      <w:r w:rsidRPr="00ED72F0">
        <w:rPr>
          <w:rFonts w:ascii="Times New Roman" w:hAnsi="Times New Roman" w:cs="Times New Roman"/>
        </w:rPr>
        <w:t>, </w:t>
      </w:r>
      <w:r w:rsidRPr="00ED72F0">
        <w:rPr>
          <w:rFonts w:ascii="Times New Roman" w:hAnsi="Times New Roman" w:cs="Times New Roman"/>
          <w:i/>
          <w:iCs/>
        </w:rPr>
        <w:t>18</w:t>
      </w:r>
      <w:r w:rsidRPr="00ED72F0">
        <w:rPr>
          <w:rFonts w:ascii="Times New Roman" w:hAnsi="Times New Roman" w:cs="Times New Roman"/>
        </w:rPr>
        <w:t>(5).</w:t>
      </w:r>
      <w:r w:rsidR="00C47914" w:rsidRPr="00ED72F0">
        <w:rPr>
          <w:rFonts w:ascii="Arial" w:eastAsia="Times New Roman" w:hAnsi="Arial" w:cs="Arial"/>
          <w:sz w:val="18"/>
          <w:szCs w:val="18"/>
        </w:rPr>
        <w:t xml:space="preserve"> https://www.oncologyradiotherapy.com/volume-18-issue-5-2024</w:t>
      </w:r>
    </w:p>
    <w:p w14:paraId="2D37F018" w14:textId="7A8A1176" w:rsidR="000A1240" w:rsidRPr="00ED72F0" w:rsidRDefault="000A1240" w:rsidP="00ED72F0">
      <w:pPr>
        <w:spacing w:line="276" w:lineRule="auto"/>
        <w:ind w:left="360"/>
        <w:jc w:val="both"/>
        <w:rPr>
          <w:rFonts w:ascii="Times New Roman" w:hAnsi="Times New Roman" w:cs="Times New Roman"/>
        </w:rPr>
      </w:pPr>
      <w:proofErr w:type="spellStart"/>
      <w:r w:rsidRPr="00ED72F0">
        <w:rPr>
          <w:rFonts w:ascii="Times New Roman" w:hAnsi="Times New Roman" w:cs="Times New Roman"/>
        </w:rPr>
        <w:t>Elayat</w:t>
      </w:r>
      <w:proofErr w:type="spellEnd"/>
      <w:r w:rsidRPr="00ED72F0">
        <w:rPr>
          <w:rFonts w:ascii="Times New Roman" w:hAnsi="Times New Roman" w:cs="Times New Roman"/>
        </w:rPr>
        <w:t>, G., Punev, I., &amp; Selim, A. (2023). An overview of angiogenesis in bladder cancer. </w:t>
      </w:r>
      <w:r w:rsidRPr="00ED72F0">
        <w:rPr>
          <w:rFonts w:ascii="Times New Roman" w:hAnsi="Times New Roman" w:cs="Times New Roman"/>
          <w:i/>
          <w:iCs/>
        </w:rPr>
        <w:t>Current Oncology Reports</w:t>
      </w:r>
      <w:r w:rsidRPr="00ED72F0">
        <w:rPr>
          <w:rFonts w:ascii="Times New Roman" w:hAnsi="Times New Roman" w:cs="Times New Roman"/>
        </w:rPr>
        <w:t>, </w:t>
      </w:r>
      <w:r w:rsidRPr="00ED72F0">
        <w:rPr>
          <w:rFonts w:ascii="Times New Roman" w:hAnsi="Times New Roman" w:cs="Times New Roman"/>
          <w:i/>
          <w:iCs/>
        </w:rPr>
        <w:t>25</w:t>
      </w:r>
      <w:r w:rsidRPr="00ED72F0">
        <w:rPr>
          <w:rFonts w:ascii="Times New Roman" w:hAnsi="Times New Roman" w:cs="Times New Roman"/>
        </w:rPr>
        <w:t>(7), 709-728.</w:t>
      </w:r>
      <w:r w:rsidR="00C47914" w:rsidRPr="00ED72F0">
        <w:rPr>
          <w:rFonts w:ascii="Arial" w:eastAsia="Times New Roman" w:hAnsi="Arial" w:cs="Arial"/>
          <w:sz w:val="18"/>
          <w:szCs w:val="18"/>
        </w:rPr>
        <w:t xml:space="preserve"> https://doi.org/10.1007/s11912-023-01421-5</w:t>
      </w:r>
    </w:p>
    <w:p w14:paraId="5602A4F4" w14:textId="44A47B48" w:rsidR="000A1240" w:rsidRPr="00ED72F0" w:rsidRDefault="000A1240" w:rsidP="00ED72F0">
      <w:pPr>
        <w:spacing w:line="276" w:lineRule="auto"/>
        <w:ind w:left="360"/>
        <w:jc w:val="both"/>
        <w:rPr>
          <w:rFonts w:ascii="Times New Roman" w:hAnsi="Times New Roman" w:cs="Times New Roman"/>
        </w:rPr>
      </w:pPr>
      <w:r w:rsidRPr="00ED72F0">
        <w:rPr>
          <w:rFonts w:ascii="Times New Roman" w:hAnsi="Times New Roman" w:cs="Times New Roman"/>
        </w:rPr>
        <w:t xml:space="preserve">Feng, D., Gao, P., Henley, N., </w:t>
      </w:r>
      <w:proofErr w:type="spellStart"/>
      <w:r w:rsidRPr="00ED72F0">
        <w:rPr>
          <w:rFonts w:ascii="Times New Roman" w:hAnsi="Times New Roman" w:cs="Times New Roman"/>
        </w:rPr>
        <w:t>Dubuissez</w:t>
      </w:r>
      <w:proofErr w:type="spellEnd"/>
      <w:r w:rsidRPr="00ED72F0">
        <w:rPr>
          <w:rFonts w:ascii="Times New Roman" w:hAnsi="Times New Roman" w:cs="Times New Roman"/>
        </w:rPr>
        <w:t xml:space="preserve">, M., Chen, N., Laurin, L. P., ... &amp; </w:t>
      </w:r>
      <w:proofErr w:type="spellStart"/>
      <w:r w:rsidRPr="00ED72F0">
        <w:rPr>
          <w:rFonts w:ascii="Times New Roman" w:hAnsi="Times New Roman" w:cs="Times New Roman"/>
        </w:rPr>
        <w:t>Gerarduzzi</w:t>
      </w:r>
      <w:proofErr w:type="spellEnd"/>
      <w:r w:rsidRPr="00ED72F0">
        <w:rPr>
          <w:rFonts w:ascii="Times New Roman" w:hAnsi="Times New Roman" w:cs="Times New Roman"/>
        </w:rPr>
        <w:t>, C. (2022). SMOC2 promotes an epithelial-mesenchymal transition and a pro-metastatic phenotype in epithelial cells of renal cell carcinoma origin. </w:t>
      </w:r>
      <w:r w:rsidRPr="00ED72F0">
        <w:rPr>
          <w:rFonts w:ascii="Times New Roman" w:hAnsi="Times New Roman" w:cs="Times New Roman"/>
          <w:i/>
          <w:iCs/>
        </w:rPr>
        <w:t>Cell Death &amp; Disease</w:t>
      </w:r>
      <w:r w:rsidRPr="00ED72F0">
        <w:rPr>
          <w:rFonts w:ascii="Times New Roman" w:hAnsi="Times New Roman" w:cs="Times New Roman"/>
        </w:rPr>
        <w:t>, </w:t>
      </w:r>
      <w:r w:rsidRPr="00ED72F0">
        <w:rPr>
          <w:rFonts w:ascii="Times New Roman" w:hAnsi="Times New Roman" w:cs="Times New Roman"/>
          <w:i/>
          <w:iCs/>
        </w:rPr>
        <w:t>13</w:t>
      </w:r>
      <w:r w:rsidRPr="00ED72F0">
        <w:rPr>
          <w:rFonts w:ascii="Times New Roman" w:hAnsi="Times New Roman" w:cs="Times New Roman"/>
        </w:rPr>
        <w:t>(7), 639.</w:t>
      </w:r>
      <w:r w:rsidR="00C47914" w:rsidRPr="00ED72F0">
        <w:rPr>
          <w:rFonts w:ascii="Arial" w:eastAsia="Times New Roman" w:hAnsi="Arial" w:cs="Arial"/>
          <w:sz w:val="18"/>
          <w:szCs w:val="18"/>
        </w:rPr>
        <w:t xml:space="preserve"> https://doi.org/10.1038/s41419-022-05059-2</w:t>
      </w:r>
    </w:p>
    <w:p w14:paraId="3E7F157C" w14:textId="1FD5BCF7" w:rsidR="000A1240" w:rsidRPr="00ED72F0" w:rsidRDefault="000A1240" w:rsidP="00ED72F0">
      <w:pPr>
        <w:spacing w:line="276" w:lineRule="auto"/>
        <w:ind w:left="360"/>
        <w:jc w:val="both"/>
        <w:rPr>
          <w:rFonts w:ascii="Times New Roman" w:hAnsi="Times New Roman" w:cs="Times New Roman"/>
        </w:rPr>
      </w:pPr>
      <w:r w:rsidRPr="00ED72F0">
        <w:rPr>
          <w:rFonts w:ascii="Times New Roman" w:hAnsi="Times New Roman" w:cs="Times New Roman"/>
        </w:rPr>
        <w:lastRenderedPageBreak/>
        <w:t>Frank, J. (2006). </w:t>
      </w:r>
      <w:r w:rsidRPr="00ED72F0">
        <w:rPr>
          <w:rFonts w:ascii="Times New Roman" w:hAnsi="Times New Roman" w:cs="Times New Roman"/>
          <w:i/>
          <w:iCs/>
        </w:rPr>
        <w:t>Three-dimensional electron microscopy of macromolecular assemblies: visualization of biological molecules in their native state</w:t>
      </w:r>
      <w:r w:rsidRPr="00ED72F0">
        <w:rPr>
          <w:rFonts w:ascii="Times New Roman" w:hAnsi="Times New Roman" w:cs="Times New Roman"/>
        </w:rPr>
        <w:t>. Oxford university press.</w:t>
      </w:r>
      <w:r w:rsidR="00C47914" w:rsidRPr="00ED72F0">
        <w:rPr>
          <w:rFonts w:ascii="Arial" w:eastAsia="Times New Roman" w:hAnsi="Arial" w:cs="Arial"/>
          <w:sz w:val="18"/>
          <w:szCs w:val="18"/>
        </w:rPr>
        <w:t xml:space="preserve"> https://doi.org/10.1093/acprof:oso/9780195182187.001.0001</w:t>
      </w:r>
    </w:p>
    <w:p w14:paraId="2C67FEA7" w14:textId="4B44E8E3" w:rsidR="000A1240" w:rsidRPr="00ED72F0" w:rsidRDefault="000A1240" w:rsidP="00ED72F0">
      <w:pPr>
        <w:spacing w:line="276" w:lineRule="auto"/>
        <w:ind w:left="360"/>
        <w:jc w:val="both"/>
        <w:rPr>
          <w:rFonts w:ascii="Times New Roman" w:hAnsi="Times New Roman" w:cs="Times New Roman"/>
        </w:rPr>
      </w:pPr>
      <w:r w:rsidRPr="00ED72F0">
        <w:rPr>
          <w:rFonts w:ascii="Times New Roman" w:hAnsi="Times New Roman" w:cs="Times New Roman"/>
        </w:rPr>
        <w:t>Frederiks, W. M. (1977). Some aspects of the value of Sudan Black B in lipid histochemistry. </w:t>
      </w:r>
      <w:r w:rsidRPr="00ED72F0">
        <w:rPr>
          <w:rFonts w:ascii="Times New Roman" w:hAnsi="Times New Roman" w:cs="Times New Roman"/>
          <w:i/>
          <w:iCs/>
        </w:rPr>
        <w:t>Histochemistry</w:t>
      </w:r>
      <w:r w:rsidRPr="00ED72F0">
        <w:rPr>
          <w:rFonts w:ascii="Times New Roman" w:hAnsi="Times New Roman" w:cs="Times New Roman"/>
        </w:rPr>
        <w:t>, </w:t>
      </w:r>
      <w:r w:rsidRPr="00ED72F0">
        <w:rPr>
          <w:rFonts w:ascii="Times New Roman" w:hAnsi="Times New Roman" w:cs="Times New Roman"/>
          <w:i/>
          <w:iCs/>
        </w:rPr>
        <w:t>54</w:t>
      </w:r>
      <w:r w:rsidRPr="00ED72F0">
        <w:rPr>
          <w:rFonts w:ascii="Times New Roman" w:hAnsi="Times New Roman" w:cs="Times New Roman"/>
        </w:rPr>
        <w:t>(1), 27-37.</w:t>
      </w:r>
      <w:r w:rsidR="00C47914" w:rsidRPr="00ED72F0">
        <w:rPr>
          <w:rFonts w:ascii="Arial" w:eastAsia="Times New Roman" w:hAnsi="Arial" w:cs="Arial"/>
          <w:sz w:val="18"/>
          <w:szCs w:val="18"/>
        </w:rPr>
        <w:t xml:space="preserve"> https://doi.org/10.1007/BF00493326</w:t>
      </w:r>
    </w:p>
    <w:p w14:paraId="2CA126E2" w14:textId="360FBC82" w:rsidR="000A1240" w:rsidRPr="00ED72F0" w:rsidRDefault="000A1240" w:rsidP="00ED72F0">
      <w:pPr>
        <w:spacing w:line="276" w:lineRule="auto"/>
        <w:ind w:left="360"/>
        <w:jc w:val="both"/>
        <w:rPr>
          <w:rFonts w:ascii="Times New Roman" w:hAnsi="Times New Roman" w:cs="Times New Roman"/>
        </w:rPr>
      </w:pPr>
      <w:r w:rsidRPr="00ED72F0">
        <w:rPr>
          <w:rFonts w:ascii="Times New Roman" w:hAnsi="Times New Roman" w:cs="Times New Roman"/>
        </w:rPr>
        <w:t>Gade, W., &amp; Robinson, B. (2006). A brief survey of aquaporins and their implications for renal physiology. </w:t>
      </w:r>
      <w:r w:rsidRPr="00ED72F0">
        <w:rPr>
          <w:rFonts w:ascii="Times New Roman" w:hAnsi="Times New Roman" w:cs="Times New Roman"/>
          <w:i/>
          <w:iCs/>
        </w:rPr>
        <w:t>Clinical Laboratory Science</w:t>
      </w:r>
      <w:r w:rsidRPr="00ED72F0">
        <w:rPr>
          <w:rFonts w:ascii="Times New Roman" w:hAnsi="Times New Roman" w:cs="Times New Roman"/>
        </w:rPr>
        <w:t>, </w:t>
      </w:r>
      <w:r w:rsidRPr="00ED72F0">
        <w:rPr>
          <w:rFonts w:ascii="Times New Roman" w:hAnsi="Times New Roman" w:cs="Times New Roman"/>
          <w:i/>
          <w:iCs/>
        </w:rPr>
        <w:t>19</w:t>
      </w:r>
      <w:r w:rsidRPr="00ED72F0">
        <w:rPr>
          <w:rFonts w:ascii="Times New Roman" w:hAnsi="Times New Roman" w:cs="Times New Roman"/>
        </w:rPr>
        <w:t>(2), 70.</w:t>
      </w:r>
      <w:r w:rsidR="00C47914" w:rsidRPr="00ED72F0">
        <w:rPr>
          <w:rFonts w:ascii="Arial" w:eastAsia="Times New Roman" w:hAnsi="Arial" w:cs="Arial"/>
          <w:sz w:val="18"/>
          <w:szCs w:val="18"/>
        </w:rPr>
        <w:t xml:space="preserve"> https://pubmed.ncbi.nlm.nih.gov/16749243/</w:t>
      </w:r>
    </w:p>
    <w:p w14:paraId="3D5D7A41" w14:textId="3A8C9AA3" w:rsidR="000A1240" w:rsidRPr="00ED72F0" w:rsidRDefault="000A1240" w:rsidP="00ED72F0">
      <w:pPr>
        <w:spacing w:line="276" w:lineRule="auto"/>
        <w:ind w:left="360"/>
        <w:jc w:val="both"/>
        <w:rPr>
          <w:rFonts w:ascii="Times New Roman" w:hAnsi="Times New Roman" w:cs="Times New Roman"/>
        </w:rPr>
      </w:pPr>
      <w:r w:rsidRPr="00ED72F0">
        <w:rPr>
          <w:rFonts w:ascii="Times New Roman" w:hAnsi="Times New Roman" w:cs="Times New Roman"/>
        </w:rPr>
        <w:t>Gallardo, P. A., &amp; Vio, C. P. (2022). Functional anatomy of the kidney. In </w:t>
      </w:r>
      <w:r w:rsidRPr="00ED72F0">
        <w:rPr>
          <w:rFonts w:ascii="Times New Roman" w:hAnsi="Times New Roman" w:cs="Times New Roman"/>
          <w:i/>
          <w:iCs/>
        </w:rPr>
        <w:t xml:space="preserve">Renal Physiology and </w:t>
      </w:r>
      <w:proofErr w:type="spellStart"/>
      <w:r w:rsidRPr="00ED72F0">
        <w:rPr>
          <w:rFonts w:ascii="Times New Roman" w:hAnsi="Times New Roman" w:cs="Times New Roman"/>
          <w:i/>
          <w:iCs/>
        </w:rPr>
        <w:t>Hydrosaline</w:t>
      </w:r>
      <w:proofErr w:type="spellEnd"/>
      <w:r w:rsidRPr="00ED72F0">
        <w:rPr>
          <w:rFonts w:ascii="Times New Roman" w:hAnsi="Times New Roman" w:cs="Times New Roman"/>
          <w:i/>
          <w:iCs/>
        </w:rPr>
        <w:t xml:space="preserve"> Metabolism</w:t>
      </w:r>
      <w:r w:rsidRPr="00ED72F0">
        <w:rPr>
          <w:rFonts w:ascii="Times New Roman" w:hAnsi="Times New Roman" w:cs="Times New Roman"/>
        </w:rPr>
        <w:t> (pp. 7-28). Cham: Springer International Publishing.</w:t>
      </w:r>
      <w:r w:rsidR="00C47914" w:rsidRPr="00ED72F0">
        <w:rPr>
          <w:rFonts w:ascii="Arial" w:eastAsia="Times New Roman" w:hAnsi="Arial" w:cs="Arial"/>
          <w:sz w:val="18"/>
          <w:szCs w:val="18"/>
        </w:rPr>
        <w:t xml:space="preserve"> https://doi.org/10.1007/978-3-031-10256-1_2</w:t>
      </w:r>
    </w:p>
    <w:p w14:paraId="4627D466" w14:textId="7E554358" w:rsidR="000A1240" w:rsidRPr="00ED72F0" w:rsidRDefault="000A1240" w:rsidP="00ED72F0">
      <w:pPr>
        <w:spacing w:line="276" w:lineRule="auto"/>
        <w:ind w:left="360"/>
        <w:jc w:val="both"/>
        <w:rPr>
          <w:rFonts w:ascii="Times New Roman" w:hAnsi="Times New Roman" w:cs="Times New Roman"/>
        </w:rPr>
      </w:pPr>
      <w:r w:rsidRPr="00ED72F0">
        <w:rPr>
          <w:rFonts w:ascii="Times New Roman" w:hAnsi="Times New Roman" w:cs="Times New Roman"/>
        </w:rPr>
        <w:t xml:space="preserve">Giardino, L., Generali, L., Del Fabbro, M., Tartaglia, G. M., Bidossi, A., &amp; </w:t>
      </w:r>
      <w:proofErr w:type="spellStart"/>
      <w:r w:rsidRPr="00ED72F0">
        <w:rPr>
          <w:rFonts w:ascii="Times New Roman" w:hAnsi="Times New Roman" w:cs="Times New Roman"/>
        </w:rPr>
        <w:t>Savadori</w:t>
      </w:r>
      <w:proofErr w:type="spellEnd"/>
      <w:r w:rsidRPr="00ED72F0">
        <w:rPr>
          <w:rFonts w:ascii="Times New Roman" w:hAnsi="Times New Roman" w:cs="Times New Roman"/>
        </w:rPr>
        <w:t>, P. (2023). Detection of bacteria in dental samples using the Periodic acid-Schiff (PAS) histological stain. </w:t>
      </w:r>
      <w:r w:rsidRPr="00ED72F0">
        <w:rPr>
          <w:rFonts w:ascii="Times New Roman" w:hAnsi="Times New Roman" w:cs="Times New Roman"/>
          <w:i/>
          <w:iCs/>
        </w:rPr>
        <w:t>Micron</w:t>
      </w:r>
      <w:r w:rsidRPr="00ED72F0">
        <w:rPr>
          <w:rFonts w:ascii="Times New Roman" w:hAnsi="Times New Roman" w:cs="Times New Roman"/>
        </w:rPr>
        <w:t>, </w:t>
      </w:r>
      <w:r w:rsidRPr="00ED72F0">
        <w:rPr>
          <w:rFonts w:ascii="Times New Roman" w:hAnsi="Times New Roman" w:cs="Times New Roman"/>
          <w:i/>
          <w:iCs/>
        </w:rPr>
        <w:t>172</w:t>
      </w:r>
      <w:r w:rsidRPr="00ED72F0">
        <w:rPr>
          <w:rFonts w:ascii="Times New Roman" w:hAnsi="Times New Roman" w:cs="Times New Roman"/>
        </w:rPr>
        <w:t>, 103498.</w:t>
      </w:r>
      <w:r w:rsidR="00C47914" w:rsidRPr="00ED72F0">
        <w:rPr>
          <w:rFonts w:ascii="Arial" w:eastAsia="Times New Roman" w:hAnsi="Arial" w:cs="Arial"/>
          <w:sz w:val="18"/>
          <w:szCs w:val="18"/>
        </w:rPr>
        <w:t xml:space="preserve"> https://doi.org/10.1016/j.micron.2023.103498</w:t>
      </w:r>
    </w:p>
    <w:p w14:paraId="010C1D28" w14:textId="77777777" w:rsidR="000A1240" w:rsidRPr="00ED72F0" w:rsidRDefault="000A1240" w:rsidP="00ED72F0">
      <w:pPr>
        <w:spacing w:line="276" w:lineRule="auto"/>
        <w:ind w:left="360"/>
        <w:jc w:val="both"/>
        <w:rPr>
          <w:rFonts w:ascii="Times New Roman" w:hAnsi="Times New Roman" w:cs="Times New Roman"/>
        </w:rPr>
      </w:pPr>
      <w:r w:rsidRPr="00ED72F0">
        <w:rPr>
          <w:rFonts w:ascii="Times New Roman" w:hAnsi="Times New Roman" w:cs="Times New Roman"/>
        </w:rPr>
        <w:t>Goligorsky, M. S. (2023). Glomerular microcirculation: Implications for diabetes, preeclampsia, and kidney injury. </w:t>
      </w:r>
      <w:r w:rsidRPr="00ED72F0">
        <w:rPr>
          <w:rFonts w:ascii="Times New Roman" w:hAnsi="Times New Roman" w:cs="Times New Roman"/>
          <w:i/>
          <w:iCs/>
        </w:rPr>
        <w:t xml:space="preserve">Acta </w:t>
      </w:r>
      <w:proofErr w:type="spellStart"/>
      <w:r w:rsidRPr="00ED72F0">
        <w:rPr>
          <w:rFonts w:ascii="Times New Roman" w:hAnsi="Times New Roman" w:cs="Times New Roman"/>
          <w:i/>
          <w:iCs/>
        </w:rPr>
        <w:t>Physiologica</w:t>
      </w:r>
      <w:proofErr w:type="spellEnd"/>
      <w:r w:rsidRPr="00ED72F0">
        <w:rPr>
          <w:rFonts w:ascii="Times New Roman" w:hAnsi="Times New Roman" w:cs="Times New Roman"/>
        </w:rPr>
        <w:t>, </w:t>
      </w:r>
      <w:r w:rsidRPr="00ED72F0">
        <w:rPr>
          <w:rFonts w:ascii="Times New Roman" w:hAnsi="Times New Roman" w:cs="Times New Roman"/>
          <w:i/>
          <w:iCs/>
        </w:rPr>
        <w:t>239</w:t>
      </w:r>
      <w:r w:rsidRPr="00ED72F0">
        <w:rPr>
          <w:rFonts w:ascii="Times New Roman" w:hAnsi="Times New Roman" w:cs="Times New Roman"/>
        </w:rPr>
        <w:t>(3), e14048.</w:t>
      </w:r>
    </w:p>
    <w:p w14:paraId="48C741AD" w14:textId="31F5C2C5" w:rsidR="000A1240" w:rsidRPr="00ED72F0" w:rsidRDefault="000A1240" w:rsidP="00ED72F0">
      <w:pPr>
        <w:spacing w:line="276" w:lineRule="auto"/>
        <w:ind w:left="360"/>
        <w:jc w:val="both"/>
        <w:rPr>
          <w:rFonts w:ascii="Times New Roman" w:hAnsi="Times New Roman" w:cs="Times New Roman"/>
        </w:rPr>
      </w:pPr>
      <w:proofErr w:type="spellStart"/>
      <w:r w:rsidRPr="00ED72F0">
        <w:rPr>
          <w:rFonts w:ascii="Times New Roman" w:hAnsi="Times New Roman" w:cs="Times New Roman"/>
        </w:rPr>
        <w:t>Hes</w:t>
      </w:r>
      <w:proofErr w:type="spellEnd"/>
      <w:r w:rsidRPr="00ED72F0">
        <w:rPr>
          <w:rFonts w:ascii="Times New Roman" w:hAnsi="Times New Roman" w:cs="Times New Roman"/>
        </w:rPr>
        <w:t>, O., Michal, M., Kuroda, N., Martignoni, G., Brunelli, M., Lu, Y., ... &amp; Yang, X. J. (2007). Vimentin reactivity in renal oncocytoma: immunohistochemical study of 234 cases. </w:t>
      </w:r>
      <w:r w:rsidRPr="00ED72F0">
        <w:rPr>
          <w:rFonts w:ascii="Times New Roman" w:hAnsi="Times New Roman" w:cs="Times New Roman"/>
          <w:i/>
          <w:iCs/>
        </w:rPr>
        <w:t>Archives of pathology &amp; laboratory medicine</w:t>
      </w:r>
      <w:r w:rsidRPr="00ED72F0">
        <w:rPr>
          <w:rFonts w:ascii="Times New Roman" w:hAnsi="Times New Roman" w:cs="Times New Roman"/>
        </w:rPr>
        <w:t>, </w:t>
      </w:r>
      <w:r w:rsidRPr="00ED72F0">
        <w:rPr>
          <w:rFonts w:ascii="Times New Roman" w:hAnsi="Times New Roman" w:cs="Times New Roman"/>
          <w:i/>
          <w:iCs/>
        </w:rPr>
        <w:t>131</w:t>
      </w:r>
      <w:r w:rsidRPr="00ED72F0">
        <w:rPr>
          <w:rFonts w:ascii="Times New Roman" w:hAnsi="Times New Roman" w:cs="Times New Roman"/>
        </w:rPr>
        <w:t>(12), 1782-1788.</w:t>
      </w:r>
      <w:r w:rsidR="00C47914" w:rsidRPr="00ED72F0">
        <w:rPr>
          <w:rFonts w:ascii="Arial" w:eastAsia="Times New Roman" w:hAnsi="Arial" w:cs="Arial"/>
          <w:sz w:val="18"/>
          <w:szCs w:val="18"/>
        </w:rPr>
        <w:t xml:space="preserve"> https://doi.org/10.5858/2007-131-1782-VRIROI</w:t>
      </w:r>
    </w:p>
    <w:p w14:paraId="1F2F61E4" w14:textId="77777777" w:rsidR="000A1240" w:rsidRPr="00ED72F0" w:rsidRDefault="000A1240" w:rsidP="00ED72F0">
      <w:pPr>
        <w:spacing w:line="276" w:lineRule="auto"/>
        <w:ind w:left="360"/>
        <w:jc w:val="both"/>
        <w:rPr>
          <w:rFonts w:ascii="Times New Roman" w:hAnsi="Times New Roman" w:cs="Times New Roman"/>
        </w:rPr>
      </w:pPr>
      <w:r w:rsidRPr="00ED72F0">
        <w:rPr>
          <w:rFonts w:ascii="Times New Roman" w:hAnsi="Times New Roman" w:cs="Times New Roman"/>
        </w:rPr>
        <w:t>Horobin, R. W. (2010). How do dyes impart color to different components of the tissues. </w:t>
      </w:r>
      <w:r w:rsidRPr="00ED72F0">
        <w:rPr>
          <w:rFonts w:ascii="Times New Roman" w:hAnsi="Times New Roman" w:cs="Times New Roman"/>
          <w:i/>
          <w:iCs/>
        </w:rPr>
        <w:t xml:space="preserve">Educational guide special stains and H &amp; E, 2nd </w:t>
      </w:r>
      <w:proofErr w:type="spellStart"/>
      <w:r w:rsidRPr="00ED72F0">
        <w:rPr>
          <w:rFonts w:ascii="Times New Roman" w:hAnsi="Times New Roman" w:cs="Times New Roman"/>
          <w:i/>
          <w:iCs/>
        </w:rPr>
        <w:t>edn</w:t>
      </w:r>
      <w:proofErr w:type="spellEnd"/>
      <w:r w:rsidRPr="00ED72F0">
        <w:rPr>
          <w:rFonts w:ascii="Times New Roman" w:hAnsi="Times New Roman" w:cs="Times New Roman"/>
          <w:i/>
          <w:iCs/>
        </w:rPr>
        <w:t>. Carpinteria, California</w:t>
      </w:r>
      <w:r w:rsidRPr="00ED72F0">
        <w:rPr>
          <w:rFonts w:ascii="Times New Roman" w:hAnsi="Times New Roman" w:cs="Times New Roman"/>
        </w:rPr>
        <w:t>, 159-166.</w:t>
      </w:r>
    </w:p>
    <w:p w14:paraId="77CB372D" w14:textId="50F87040" w:rsidR="000A1240" w:rsidRPr="00ED72F0" w:rsidRDefault="000A1240" w:rsidP="00ED72F0">
      <w:pPr>
        <w:spacing w:line="276" w:lineRule="auto"/>
        <w:ind w:left="360"/>
        <w:jc w:val="both"/>
        <w:rPr>
          <w:rFonts w:ascii="Times New Roman" w:hAnsi="Times New Roman" w:cs="Times New Roman"/>
        </w:rPr>
      </w:pPr>
      <w:proofErr w:type="spellStart"/>
      <w:r w:rsidRPr="00ED72F0">
        <w:rPr>
          <w:rFonts w:ascii="Times New Roman" w:hAnsi="Times New Roman" w:cs="Times New Roman"/>
        </w:rPr>
        <w:t>Javaeed</w:t>
      </w:r>
      <w:proofErr w:type="spellEnd"/>
      <w:r w:rsidRPr="00ED72F0">
        <w:rPr>
          <w:rFonts w:ascii="Times New Roman" w:hAnsi="Times New Roman" w:cs="Times New Roman"/>
        </w:rPr>
        <w:t>, A., Qamar, S., Ali, S., Mustafa, M. A. T., Nusrat, A., &amp; Ghauri, S. K. (2021). Histological stains in the past, present, and future. </w:t>
      </w:r>
      <w:r w:rsidRPr="00ED72F0">
        <w:rPr>
          <w:rFonts w:ascii="Times New Roman" w:hAnsi="Times New Roman" w:cs="Times New Roman"/>
          <w:i/>
          <w:iCs/>
        </w:rPr>
        <w:t>Cureus</w:t>
      </w:r>
      <w:r w:rsidRPr="00ED72F0">
        <w:rPr>
          <w:rFonts w:ascii="Times New Roman" w:hAnsi="Times New Roman" w:cs="Times New Roman"/>
        </w:rPr>
        <w:t>, </w:t>
      </w:r>
      <w:r w:rsidRPr="00ED72F0">
        <w:rPr>
          <w:rFonts w:ascii="Times New Roman" w:hAnsi="Times New Roman" w:cs="Times New Roman"/>
          <w:i/>
          <w:iCs/>
        </w:rPr>
        <w:t>13</w:t>
      </w:r>
      <w:r w:rsidRPr="00ED72F0">
        <w:rPr>
          <w:rFonts w:ascii="Times New Roman" w:hAnsi="Times New Roman" w:cs="Times New Roman"/>
        </w:rPr>
        <w:t>(10).</w:t>
      </w:r>
      <w:r w:rsidR="00C47914" w:rsidRPr="00ED72F0">
        <w:rPr>
          <w:rFonts w:ascii="Arial" w:eastAsia="Times New Roman" w:hAnsi="Arial" w:cs="Arial"/>
          <w:sz w:val="18"/>
          <w:szCs w:val="18"/>
        </w:rPr>
        <w:t xml:space="preserve"> https://doi.org/10.7759/cureus.18486</w:t>
      </w:r>
    </w:p>
    <w:p w14:paraId="4A10A0E6" w14:textId="1729F674" w:rsidR="000A1240" w:rsidRPr="00ED72F0" w:rsidRDefault="000A1240" w:rsidP="00ED72F0">
      <w:pPr>
        <w:spacing w:line="276" w:lineRule="auto"/>
        <w:ind w:left="360"/>
        <w:jc w:val="both"/>
        <w:rPr>
          <w:rFonts w:ascii="Times New Roman" w:hAnsi="Times New Roman" w:cs="Times New Roman"/>
        </w:rPr>
      </w:pPr>
      <w:r w:rsidRPr="00ED72F0">
        <w:rPr>
          <w:rFonts w:ascii="Times New Roman" w:hAnsi="Times New Roman" w:cs="Times New Roman"/>
        </w:rPr>
        <w:t>Jonasch, E., Walker, C. L., &amp; Rathmell, W. K. (2021). Clear cell renal cell carcinoma ontogeny and mechanisms of lethality. </w:t>
      </w:r>
      <w:r w:rsidRPr="00ED72F0">
        <w:rPr>
          <w:rFonts w:ascii="Times New Roman" w:hAnsi="Times New Roman" w:cs="Times New Roman"/>
          <w:i/>
          <w:iCs/>
        </w:rPr>
        <w:t>Nature Reviews Nephrology</w:t>
      </w:r>
      <w:r w:rsidRPr="00ED72F0">
        <w:rPr>
          <w:rFonts w:ascii="Times New Roman" w:hAnsi="Times New Roman" w:cs="Times New Roman"/>
        </w:rPr>
        <w:t>, </w:t>
      </w:r>
      <w:r w:rsidRPr="00ED72F0">
        <w:rPr>
          <w:rFonts w:ascii="Times New Roman" w:hAnsi="Times New Roman" w:cs="Times New Roman"/>
          <w:i/>
          <w:iCs/>
        </w:rPr>
        <w:t>17</w:t>
      </w:r>
      <w:r w:rsidRPr="00ED72F0">
        <w:rPr>
          <w:rFonts w:ascii="Times New Roman" w:hAnsi="Times New Roman" w:cs="Times New Roman"/>
        </w:rPr>
        <w:t>(4), 245-261.</w:t>
      </w:r>
      <w:r w:rsidR="00C47914" w:rsidRPr="00ED72F0">
        <w:rPr>
          <w:rFonts w:ascii="Arial" w:eastAsia="Times New Roman" w:hAnsi="Arial" w:cs="Arial"/>
          <w:sz w:val="18"/>
          <w:szCs w:val="18"/>
        </w:rPr>
        <w:t xml:space="preserve"> https://doi.org/10.1038/s41581-020-00359-2</w:t>
      </w:r>
    </w:p>
    <w:p w14:paraId="7AF97297" w14:textId="545BC3FA" w:rsidR="000A1240" w:rsidRPr="00ED72F0" w:rsidRDefault="000A1240" w:rsidP="00ED72F0">
      <w:pPr>
        <w:spacing w:line="276" w:lineRule="auto"/>
        <w:ind w:left="360"/>
        <w:jc w:val="both"/>
        <w:rPr>
          <w:rFonts w:ascii="Times New Roman" w:hAnsi="Times New Roman" w:cs="Times New Roman"/>
        </w:rPr>
      </w:pPr>
      <w:r w:rsidRPr="00ED72F0">
        <w:rPr>
          <w:rFonts w:ascii="Times New Roman" w:hAnsi="Times New Roman" w:cs="Times New Roman"/>
        </w:rPr>
        <w:t>Jones, M. L., Bancroft, J. D., &amp; Gamble, M. (2008). Connective tissues and stains. </w:t>
      </w:r>
      <w:r w:rsidRPr="00ED72F0">
        <w:rPr>
          <w:rFonts w:ascii="Times New Roman" w:hAnsi="Times New Roman" w:cs="Times New Roman"/>
          <w:i/>
          <w:iCs/>
        </w:rPr>
        <w:t>Theory and practice of histological techniques</w:t>
      </w:r>
      <w:r w:rsidRPr="00ED72F0">
        <w:rPr>
          <w:rFonts w:ascii="Times New Roman" w:hAnsi="Times New Roman" w:cs="Times New Roman"/>
        </w:rPr>
        <w:t>, </w:t>
      </w:r>
      <w:r w:rsidRPr="00ED72F0">
        <w:rPr>
          <w:rFonts w:ascii="Times New Roman" w:hAnsi="Times New Roman" w:cs="Times New Roman"/>
          <w:i/>
          <w:iCs/>
        </w:rPr>
        <w:t>6</w:t>
      </w:r>
      <w:r w:rsidRPr="00ED72F0">
        <w:rPr>
          <w:rFonts w:ascii="Times New Roman" w:hAnsi="Times New Roman" w:cs="Times New Roman"/>
        </w:rPr>
        <w:t>, 135-160.</w:t>
      </w:r>
      <w:r w:rsidR="00C47914" w:rsidRPr="00ED72F0">
        <w:rPr>
          <w:rFonts w:ascii="Arial" w:eastAsia="Times New Roman" w:hAnsi="Arial" w:cs="Arial"/>
          <w:sz w:val="18"/>
          <w:szCs w:val="18"/>
        </w:rPr>
        <w:t xml:space="preserve"> https://www.matthewsbooks.com/9780443102790</w:t>
      </w:r>
    </w:p>
    <w:p w14:paraId="4EADFF4B" w14:textId="2A1F9AB2" w:rsidR="000A1240" w:rsidRPr="00ED72F0" w:rsidRDefault="000A1240" w:rsidP="00ED72F0">
      <w:pPr>
        <w:spacing w:line="276" w:lineRule="auto"/>
        <w:ind w:left="360"/>
        <w:jc w:val="both"/>
        <w:rPr>
          <w:rFonts w:ascii="Times New Roman" w:hAnsi="Times New Roman" w:cs="Times New Roman"/>
        </w:rPr>
      </w:pPr>
      <w:r w:rsidRPr="00ED72F0">
        <w:rPr>
          <w:rFonts w:ascii="Times New Roman" w:hAnsi="Times New Roman" w:cs="Times New Roman"/>
        </w:rPr>
        <w:t>Kakun, R. R., Melamed, Z., &amp; Perets, R. (2022). PAX8 in the Junction between Development and Tumorigenesis. </w:t>
      </w:r>
      <w:r w:rsidRPr="00ED72F0">
        <w:rPr>
          <w:rFonts w:ascii="Times New Roman" w:hAnsi="Times New Roman" w:cs="Times New Roman"/>
          <w:i/>
          <w:iCs/>
        </w:rPr>
        <w:t>International Journal of Molecular Sciences</w:t>
      </w:r>
      <w:r w:rsidRPr="00ED72F0">
        <w:rPr>
          <w:rFonts w:ascii="Times New Roman" w:hAnsi="Times New Roman" w:cs="Times New Roman"/>
        </w:rPr>
        <w:t>, </w:t>
      </w:r>
      <w:r w:rsidRPr="00ED72F0">
        <w:rPr>
          <w:rFonts w:ascii="Times New Roman" w:hAnsi="Times New Roman" w:cs="Times New Roman"/>
          <w:i/>
          <w:iCs/>
        </w:rPr>
        <w:t>23</w:t>
      </w:r>
      <w:r w:rsidRPr="00ED72F0">
        <w:rPr>
          <w:rFonts w:ascii="Times New Roman" w:hAnsi="Times New Roman" w:cs="Times New Roman"/>
        </w:rPr>
        <w:t>(13), 7410.</w:t>
      </w:r>
      <w:r w:rsidR="00C47914" w:rsidRPr="00ED72F0">
        <w:rPr>
          <w:rFonts w:ascii="Arial" w:eastAsia="Times New Roman" w:hAnsi="Arial" w:cs="Arial"/>
          <w:sz w:val="18"/>
          <w:szCs w:val="18"/>
        </w:rPr>
        <w:t xml:space="preserve"> https://doi.org/10.3390/ijms23137410</w:t>
      </w:r>
    </w:p>
    <w:p w14:paraId="0427C494" w14:textId="7FCFE922" w:rsidR="000A1240" w:rsidRPr="00ED72F0" w:rsidRDefault="000A1240" w:rsidP="00ED72F0">
      <w:pPr>
        <w:spacing w:line="276" w:lineRule="auto"/>
        <w:ind w:left="360"/>
        <w:jc w:val="both"/>
        <w:rPr>
          <w:rFonts w:ascii="Times New Roman" w:hAnsi="Times New Roman" w:cs="Times New Roman"/>
        </w:rPr>
      </w:pPr>
      <w:r w:rsidRPr="00ED72F0">
        <w:rPr>
          <w:rFonts w:ascii="Times New Roman" w:hAnsi="Times New Roman" w:cs="Times New Roman"/>
        </w:rPr>
        <w:t>Kamri, A. M. (2024). Comparison of the Safety Effects of Antiplatelets on the Kidneys in Patients with Vascular Disease. </w:t>
      </w:r>
      <w:r w:rsidRPr="00ED72F0">
        <w:rPr>
          <w:rFonts w:ascii="Times New Roman" w:hAnsi="Times New Roman" w:cs="Times New Roman"/>
          <w:i/>
          <w:iCs/>
        </w:rPr>
        <w:t>Futurity Medicine</w:t>
      </w:r>
      <w:r w:rsidRPr="00ED72F0">
        <w:rPr>
          <w:rFonts w:ascii="Times New Roman" w:hAnsi="Times New Roman" w:cs="Times New Roman"/>
        </w:rPr>
        <w:t>, </w:t>
      </w:r>
      <w:r w:rsidRPr="00ED72F0">
        <w:rPr>
          <w:rFonts w:ascii="Times New Roman" w:hAnsi="Times New Roman" w:cs="Times New Roman"/>
          <w:i/>
          <w:iCs/>
        </w:rPr>
        <w:t>3</w:t>
      </w:r>
      <w:r w:rsidRPr="00ED72F0">
        <w:rPr>
          <w:rFonts w:ascii="Times New Roman" w:hAnsi="Times New Roman" w:cs="Times New Roman"/>
        </w:rPr>
        <w:t>(2), 14-20.</w:t>
      </w:r>
      <w:r w:rsidR="00C47914" w:rsidRPr="00ED72F0">
        <w:rPr>
          <w:rFonts w:ascii="Arial" w:eastAsia="Times New Roman" w:hAnsi="Arial" w:cs="Arial"/>
          <w:sz w:val="18"/>
          <w:szCs w:val="18"/>
        </w:rPr>
        <w:t xml:space="preserve"> https://doi.org/10.57125/FEM.2024.06.30.02</w:t>
      </w:r>
    </w:p>
    <w:p w14:paraId="04AD1D90" w14:textId="34B851A6" w:rsidR="000A1240" w:rsidRPr="00ED72F0" w:rsidRDefault="000A1240" w:rsidP="00ED72F0">
      <w:pPr>
        <w:spacing w:line="276" w:lineRule="auto"/>
        <w:ind w:left="360"/>
        <w:jc w:val="both"/>
        <w:rPr>
          <w:rFonts w:ascii="Times New Roman" w:hAnsi="Times New Roman" w:cs="Times New Roman"/>
        </w:rPr>
      </w:pPr>
      <w:proofErr w:type="spellStart"/>
      <w:r w:rsidRPr="00ED72F0">
        <w:rPr>
          <w:rFonts w:ascii="Times New Roman" w:hAnsi="Times New Roman" w:cs="Times New Roman"/>
        </w:rPr>
        <w:lastRenderedPageBreak/>
        <w:t>Karatrasoglou</w:t>
      </w:r>
      <w:proofErr w:type="spellEnd"/>
      <w:r w:rsidRPr="00ED72F0">
        <w:rPr>
          <w:rFonts w:ascii="Times New Roman" w:hAnsi="Times New Roman" w:cs="Times New Roman"/>
        </w:rPr>
        <w:t xml:space="preserve">, E. A., Lazaris, A. C., </w:t>
      </w:r>
      <w:proofErr w:type="spellStart"/>
      <w:r w:rsidRPr="00ED72F0">
        <w:rPr>
          <w:rFonts w:ascii="Times New Roman" w:hAnsi="Times New Roman" w:cs="Times New Roman"/>
        </w:rPr>
        <w:t>Spapis</w:t>
      </w:r>
      <w:proofErr w:type="spellEnd"/>
      <w:r w:rsidRPr="00ED72F0">
        <w:rPr>
          <w:rFonts w:ascii="Times New Roman" w:hAnsi="Times New Roman" w:cs="Times New Roman"/>
        </w:rPr>
        <w:t xml:space="preserve">, V., &amp; </w:t>
      </w:r>
      <w:proofErr w:type="spellStart"/>
      <w:r w:rsidRPr="00ED72F0">
        <w:rPr>
          <w:rFonts w:ascii="Times New Roman" w:hAnsi="Times New Roman" w:cs="Times New Roman"/>
        </w:rPr>
        <w:t>Zouki</w:t>
      </w:r>
      <w:proofErr w:type="spellEnd"/>
      <w:r w:rsidRPr="00ED72F0">
        <w:rPr>
          <w:rFonts w:ascii="Times New Roman" w:hAnsi="Times New Roman" w:cs="Times New Roman"/>
        </w:rPr>
        <w:t>, D. N. (2018). Adult Kidney Neoplastic Pathology. </w:t>
      </w:r>
      <w:r w:rsidRPr="00ED72F0">
        <w:rPr>
          <w:rFonts w:ascii="Times New Roman" w:hAnsi="Times New Roman" w:cs="Times New Roman"/>
          <w:i/>
          <w:iCs/>
        </w:rPr>
        <w:t>Clinical Genitourinary Pathology: A case-based learning Approach</w:t>
      </w:r>
      <w:r w:rsidRPr="00ED72F0">
        <w:rPr>
          <w:rFonts w:ascii="Times New Roman" w:hAnsi="Times New Roman" w:cs="Times New Roman"/>
        </w:rPr>
        <w:t>, 1-119.</w:t>
      </w:r>
      <w:r w:rsidR="00C47914" w:rsidRPr="00ED72F0">
        <w:rPr>
          <w:rFonts w:ascii="Arial" w:eastAsia="Times New Roman" w:hAnsi="Arial" w:cs="Arial"/>
          <w:sz w:val="18"/>
          <w:szCs w:val="18"/>
        </w:rPr>
        <w:t xml:space="preserve"> https://doi.org/10.1007/978-3-319-72194-1_1</w:t>
      </w:r>
    </w:p>
    <w:p w14:paraId="0053CED8" w14:textId="2E47F746" w:rsidR="000A1240" w:rsidRPr="00ED72F0" w:rsidRDefault="000A1240" w:rsidP="00ED72F0">
      <w:pPr>
        <w:spacing w:line="276" w:lineRule="auto"/>
        <w:ind w:left="360"/>
        <w:jc w:val="both"/>
        <w:rPr>
          <w:rFonts w:ascii="Times New Roman" w:hAnsi="Times New Roman" w:cs="Times New Roman"/>
        </w:rPr>
      </w:pPr>
      <w:r w:rsidRPr="00ED72F0">
        <w:rPr>
          <w:rFonts w:ascii="Times New Roman" w:hAnsi="Times New Roman" w:cs="Times New Roman"/>
        </w:rPr>
        <w:t>Kiernan, J. A. (2007). Histochemistry of staining methods for normal and degenerating myelin in the central and peripheral nervous systems. </w:t>
      </w:r>
      <w:r w:rsidRPr="00ED72F0">
        <w:rPr>
          <w:rFonts w:ascii="Times New Roman" w:hAnsi="Times New Roman" w:cs="Times New Roman"/>
          <w:i/>
          <w:iCs/>
        </w:rPr>
        <w:t>Journal of Histotechnology</w:t>
      </w:r>
      <w:r w:rsidRPr="00ED72F0">
        <w:rPr>
          <w:rFonts w:ascii="Times New Roman" w:hAnsi="Times New Roman" w:cs="Times New Roman"/>
        </w:rPr>
        <w:t>, </w:t>
      </w:r>
      <w:r w:rsidRPr="00ED72F0">
        <w:rPr>
          <w:rFonts w:ascii="Times New Roman" w:hAnsi="Times New Roman" w:cs="Times New Roman"/>
          <w:i/>
          <w:iCs/>
        </w:rPr>
        <w:t>30</w:t>
      </w:r>
      <w:r w:rsidRPr="00ED72F0">
        <w:rPr>
          <w:rFonts w:ascii="Times New Roman" w:hAnsi="Times New Roman" w:cs="Times New Roman"/>
        </w:rPr>
        <w:t>(2), 87-106.</w:t>
      </w:r>
      <w:r w:rsidR="00C47914" w:rsidRPr="00ED72F0">
        <w:rPr>
          <w:rFonts w:ascii="Arial" w:eastAsia="Times New Roman" w:hAnsi="Arial" w:cs="Arial"/>
          <w:sz w:val="18"/>
          <w:szCs w:val="18"/>
        </w:rPr>
        <w:t xml:space="preserve"> https://doi.org/10.1179/his.2007.30.2.87</w:t>
      </w:r>
    </w:p>
    <w:p w14:paraId="2A32EA6B" w14:textId="754BE7E3" w:rsidR="000A1240" w:rsidRPr="00ED72F0" w:rsidRDefault="000A1240" w:rsidP="00ED72F0">
      <w:pPr>
        <w:spacing w:line="276" w:lineRule="auto"/>
        <w:ind w:left="360"/>
        <w:jc w:val="both"/>
        <w:rPr>
          <w:rFonts w:ascii="Times New Roman" w:hAnsi="Times New Roman" w:cs="Times New Roman"/>
        </w:rPr>
      </w:pPr>
      <w:r w:rsidRPr="00ED72F0">
        <w:rPr>
          <w:rFonts w:ascii="Times New Roman" w:hAnsi="Times New Roman" w:cs="Times New Roman"/>
        </w:rPr>
        <w:t xml:space="preserve">Kumar, R., Matulewicz, R., Mari, A., Moschini, M., </w:t>
      </w:r>
      <w:proofErr w:type="spellStart"/>
      <w:r w:rsidRPr="00ED72F0">
        <w:rPr>
          <w:rFonts w:ascii="Times New Roman" w:hAnsi="Times New Roman" w:cs="Times New Roman"/>
        </w:rPr>
        <w:t>Ghodoussipour</w:t>
      </w:r>
      <w:proofErr w:type="spellEnd"/>
      <w:r w:rsidRPr="00ED72F0">
        <w:rPr>
          <w:rFonts w:ascii="Times New Roman" w:hAnsi="Times New Roman" w:cs="Times New Roman"/>
        </w:rPr>
        <w:t xml:space="preserve">, S., </w:t>
      </w:r>
      <w:proofErr w:type="spellStart"/>
      <w:r w:rsidRPr="00ED72F0">
        <w:rPr>
          <w:rFonts w:ascii="Times New Roman" w:hAnsi="Times New Roman" w:cs="Times New Roman"/>
        </w:rPr>
        <w:t>Pradere</w:t>
      </w:r>
      <w:proofErr w:type="spellEnd"/>
      <w:r w:rsidRPr="00ED72F0">
        <w:rPr>
          <w:rFonts w:ascii="Times New Roman" w:hAnsi="Times New Roman" w:cs="Times New Roman"/>
        </w:rPr>
        <w:t>, B., ... &amp; Cacciamani, G. E. (2023). Impact of smoking on urologic cancers: a snapshot of current evidence. </w:t>
      </w:r>
      <w:r w:rsidRPr="00ED72F0">
        <w:rPr>
          <w:rFonts w:ascii="Times New Roman" w:hAnsi="Times New Roman" w:cs="Times New Roman"/>
          <w:i/>
          <w:iCs/>
        </w:rPr>
        <w:t>World Journal of Urology</w:t>
      </w:r>
      <w:r w:rsidRPr="00ED72F0">
        <w:rPr>
          <w:rFonts w:ascii="Times New Roman" w:hAnsi="Times New Roman" w:cs="Times New Roman"/>
        </w:rPr>
        <w:t>, </w:t>
      </w:r>
      <w:r w:rsidRPr="00ED72F0">
        <w:rPr>
          <w:rFonts w:ascii="Times New Roman" w:hAnsi="Times New Roman" w:cs="Times New Roman"/>
          <w:i/>
          <w:iCs/>
        </w:rPr>
        <w:t>41</w:t>
      </w:r>
      <w:r w:rsidRPr="00ED72F0">
        <w:rPr>
          <w:rFonts w:ascii="Times New Roman" w:hAnsi="Times New Roman" w:cs="Times New Roman"/>
        </w:rPr>
        <w:t>(6), 1473-1479.</w:t>
      </w:r>
      <w:r w:rsidR="00C47914" w:rsidRPr="00ED72F0">
        <w:rPr>
          <w:rFonts w:ascii="Arial" w:eastAsia="Times New Roman" w:hAnsi="Arial" w:cs="Arial"/>
          <w:sz w:val="18"/>
          <w:szCs w:val="18"/>
        </w:rPr>
        <w:t xml:space="preserve"> https://doi.org/10.1007/s00345-023-04406-y</w:t>
      </w:r>
    </w:p>
    <w:p w14:paraId="7E57DC51" w14:textId="6CEA94BD" w:rsidR="000A1240" w:rsidRPr="00ED72F0" w:rsidRDefault="000A1240" w:rsidP="00ED72F0">
      <w:pPr>
        <w:spacing w:line="276" w:lineRule="auto"/>
        <w:ind w:left="360"/>
        <w:jc w:val="both"/>
        <w:rPr>
          <w:rFonts w:ascii="Times New Roman" w:hAnsi="Times New Roman" w:cs="Times New Roman"/>
        </w:rPr>
      </w:pPr>
      <w:r w:rsidRPr="00ED72F0">
        <w:rPr>
          <w:rFonts w:ascii="Times New Roman" w:hAnsi="Times New Roman" w:cs="Times New Roman"/>
        </w:rPr>
        <w:t xml:space="preserve">Lasorsa, F., Rutigliano, M., </w:t>
      </w:r>
      <w:proofErr w:type="spellStart"/>
      <w:r w:rsidRPr="00ED72F0">
        <w:rPr>
          <w:rFonts w:ascii="Times New Roman" w:hAnsi="Times New Roman" w:cs="Times New Roman"/>
        </w:rPr>
        <w:t>Milella</w:t>
      </w:r>
      <w:proofErr w:type="spellEnd"/>
      <w:r w:rsidRPr="00ED72F0">
        <w:rPr>
          <w:rFonts w:ascii="Times New Roman" w:hAnsi="Times New Roman" w:cs="Times New Roman"/>
        </w:rPr>
        <w:t>, M., Ferro, M., Pandolfo, S. D., Crocetto, F., ... &amp; Lucarelli, G. (2023). Cancer stem cells in renal cell carcinoma: origins and biomarkers. </w:t>
      </w:r>
      <w:r w:rsidRPr="00ED72F0">
        <w:rPr>
          <w:rFonts w:ascii="Times New Roman" w:hAnsi="Times New Roman" w:cs="Times New Roman"/>
          <w:i/>
          <w:iCs/>
        </w:rPr>
        <w:t>International Journal of Molecular Sciences</w:t>
      </w:r>
      <w:r w:rsidRPr="00ED72F0">
        <w:rPr>
          <w:rFonts w:ascii="Times New Roman" w:hAnsi="Times New Roman" w:cs="Times New Roman"/>
        </w:rPr>
        <w:t>, </w:t>
      </w:r>
      <w:r w:rsidRPr="00ED72F0">
        <w:rPr>
          <w:rFonts w:ascii="Times New Roman" w:hAnsi="Times New Roman" w:cs="Times New Roman"/>
          <w:i/>
          <w:iCs/>
        </w:rPr>
        <w:t>24</w:t>
      </w:r>
      <w:r w:rsidRPr="00ED72F0">
        <w:rPr>
          <w:rFonts w:ascii="Times New Roman" w:hAnsi="Times New Roman" w:cs="Times New Roman"/>
        </w:rPr>
        <w:t>(17), 13179.</w:t>
      </w:r>
      <w:r w:rsidR="00C47914" w:rsidRPr="00ED72F0">
        <w:rPr>
          <w:rFonts w:ascii="Arial" w:eastAsia="Times New Roman" w:hAnsi="Arial" w:cs="Arial"/>
          <w:sz w:val="18"/>
          <w:szCs w:val="18"/>
        </w:rPr>
        <w:t xml:space="preserve"> https://doi.org/10.3390/ijms241713179</w:t>
      </w:r>
    </w:p>
    <w:p w14:paraId="0BAC08AA" w14:textId="7742CBBF" w:rsidR="000A1240" w:rsidRPr="00ED72F0" w:rsidRDefault="000A1240" w:rsidP="00ED72F0">
      <w:pPr>
        <w:spacing w:line="276" w:lineRule="auto"/>
        <w:ind w:left="360"/>
        <w:jc w:val="both"/>
        <w:rPr>
          <w:rFonts w:ascii="Times New Roman" w:hAnsi="Times New Roman" w:cs="Times New Roman"/>
        </w:rPr>
      </w:pPr>
      <w:r w:rsidRPr="00ED72F0">
        <w:rPr>
          <w:rFonts w:ascii="Times New Roman" w:hAnsi="Times New Roman" w:cs="Times New Roman"/>
        </w:rPr>
        <w:t xml:space="preserve">Levene, A. P., Kudo, H., </w:t>
      </w:r>
      <w:proofErr w:type="spellStart"/>
      <w:r w:rsidRPr="00ED72F0">
        <w:rPr>
          <w:rFonts w:ascii="Times New Roman" w:hAnsi="Times New Roman" w:cs="Times New Roman"/>
        </w:rPr>
        <w:t>Thursz</w:t>
      </w:r>
      <w:proofErr w:type="spellEnd"/>
      <w:r w:rsidRPr="00ED72F0">
        <w:rPr>
          <w:rFonts w:ascii="Times New Roman" w:hAnsi="Times New Roman" w:cs="Times New Roman"/>
        </w:rPr>
        <w:t xml:space="preserve">, M. R., Anstee, Q. M., &amp; Goldin, R. D. (2010). Is oil red‐O staining and digital image analysis the gold standard for quantifying steatosis in the </w:t>
      </w:r>
      <w:proofErr w:type="gramStart"/>
      <w:r w:rsidRPr="00ED72F0">
        <w:rPr>
          <w:rFonts w:ascii="Times New Roman" w:hAnsi="Times New Roman" w:cs="Times New Roman"/>
        </w:rPr>
        <w:t>liver?.</w:t>
      </w:r>
      <w:proofErr w:type="gramEnd"/>
      <w:r w:rsidRPr="00ED72F0">
        <w:rPr>
          <w:rFonts w:ascii="Times New Roman" w:hAnsi="Times New Roman" w:cs="Times New Roman"/>
        </w:rPr>
        <w:t> </w:t>
      </w:r>
      <w:r w:rsidRPr="00ED72F0">
        <w:rPr>
          <w:rFonts w:ascii="Times New Roman" w:hAnsi="Times New Roman" w:cs="Times New Roman"/>
          <w:i/>
          <w:iCs/>
        </w:rPr>
        <w:t>Hepatology</w:t>
      </w:r>
      <w:r w:rsidRPr="00ED72F0">
        <w:rPr>
          <w:rFonts w:ascii="Times New Roman" w:hAnsi="Times New Roman" w:cs="Times New Roman"/>
        </w:rPr>
        <w:t>, </w:t>
      </w:r>
      <w:r w:rsidRPr="00ED72F0">
        <w:rPr>
          <w:rFonts w:ascii="Times New Roman" w:hAnsi="Times New Roman" w:cs="Times New Roman"/>
          <w:i/>
          <w:iCs/>
        </w:rPr>
        <w:t>51</w:t>
      </w:r>
      <w:r w:rsidRPr="00ED72F0">
        <w:rPr>
          <w:rFonts w:ascii="Times New Roman" w:hAnsi="Times New Roman" w:cs="Times New Roman"/>
        </w:rPr>
        <w:t>(5), 1859-1859.</w:t>
      </w:r>
      <w:r w:rsidR="00C47914" w:rsidRPr="00ED72F0">
        <w:rPr>
          <w:rFonts w:ascii="Arial" w:eastAsia="Times New Roman" w:hAnsi="Arial" w:cs="Arial"/>
          <w:sz w:val="18"/>
          <w:szCs w:val="18"/>
        </w:rPr>
        <w:t xml:space="preserve"> https://doi.org/10.1002/hep.23551</w:t>
      </w:r>
    </w:p>
    <w:p w14:paraId="61D51156" w14:textId="1C8845F0" w:rsidR="000A1240" w:rsidRPr="00ED72F0" w:rsidRDefault="000A1240" w:rsidP="00ED72F0">
      <w:pPr>
        <w:spacing w:line="276" w:lineRule="auto"/>
        <w:ind w:left="360"/>
        <w:jc w:val="both"/>
        <w:rPr>
          <w:rFonts w:ascii="Times New Roman" w:hAnsi="Times New Roman" w:cs="Times New Roman"/>
        </w:rPr>
      </w:pPr>
      <w:r w:rsidRPr="00ED72F0">
        <w:rPr>
          <w:rFonts w:ascii="Times New Roman" w:hAnsi="Times New Roman" w:cs="Times New Roman"/>
        </w:rPr>
        <w:t>Mangan, C., Stott, M. C., &amp; Dhanda, R. (2018). Renal physiology: blood flow, glomerular filtration and plasma clearance. </w:t>
      </w:r>
      <w:proofErr w:type="spellStart"/>
      <w:r w:rsidRPr="00ED72F0">
        <w:rPr>
          <w:rFonts w:ascii="Times New Roman" w:hAnsi="Times New Roman" w:cs="Times New Roman"/>
          <w:i/>
          <w:iCs/>
        </w:rPr>
        <w:t>Anaesthesia</w:t>
      </w:r>
      <w:proofErr w:type="spellEnd"/>
      <w:r w:rsidRPr="00ED72F0">
        <w:rPr>
          <w:rFonts w:ascii="Times New Roman" w:hAnsi="Times New Roman" w:cs="Times New Roman"/>
          <w:i/>
          <w:iCs/>
        </w:rPr>
        <w:t xml:space="preserve"> &amp; Intensive Care Medicine</w:t>
      </w:r>
      <w:r w:rsidRPr="00ED72F0">
        <w:rPr>
          <w:rFonts w:ascii="Times New Roman" w:hAnsi="Times New Roman" w:cs="Times New Roman"/>
        </w:rPr>
        <w:t>, </w:t>
      </w:r>
      <w:r w:rsidRPr="00ED72F0">
        <w:rPr>
          <w:rFonts w:ascii="Times New Roman" w:hAnsi="Times New Roman" w:cs="Times New Roman"/>
          <w:i/>
          <w:iCs/>
        </w:rPr>
        <w:t>19</w:t>
      </w:r>
      <w:r w:rsidRPr="00ED72F0">
        <w:rPr>
          <w:rFonts w:ascii="Times New Roman" w:hAnsi="Times New Roman" w:cs="Times New Roman"/>
        </w:rPr>
        <w:t>(5), 254-257.</w:t>
      </w:r>
      <w:r w:rsidR="00C47914" w:rsidRPr="00ED72F0">
        <w:rPr>
          <w:rFonts w:ascii="Arial" w:eastAsia="Times New Roman" w:hAnsi="Arial" w:cs="Arial"/>
          <w:sz w:val="18"/>
          <w:szCs w:val="18"/>
        </w:rPr>
        <w:t xml:space="preserve"> https://doi.org/10.1016/j.mpaic.2018.02.013</w:t>
      </w:r>
    </w:p>
    <w:p w14:paraId="4606F732" w14:textId="79B9D3A4" w:rsidR="000A1240" w:rsidRPr="00ED72F0" w:rsidRDefault="000A1240" w:rsidP="00ED72F0">
      <w:pPr>
        <w:spacing w:line="276" w:lineRule="auto"/>
        <w:ind w:left="360"/>
        <w:jc w:val="both"/>
        <w:rPr>
          <w:rFonts w:ascii="Times New Roman" w:hAnsi="Times New Roman" w:cs="Times New Roman"/>
        </w:rPr>
      </w:pPr>
      <w:r w:rsidRPr="00ED72F0">
        <w:rPr>
          <w:rFonts w:ascii="Times New Roman" w:hAnsi="Times New Roman" w:cs="Times New Roman"/>
        </w:rPr>
        <w:t xml:space="preserve">Massoud, A. M. A., El </w:t>
      </w:r>
      <w:proofErr w:type="spellStart"/>
      <w:r w:rsidRPr="00ED72F0">
        <w:rPr>
          <w:rFonts w:ascii="Times New Roman" w:hAnsi="Times New Roman" w:cs="Times New Roman"/>
        </w:rPr>
        <w:t>Ebiary</w:t>
      </w:r>
      <w:proofErr w:type="spellEnd"/>
      <w:r w:rsidRPr="00ED72F0">
        <w:rPr>
          <w:rFonts w:ascii="Times New Roman" w:hAnsi="Times New Roman" w:cs="Times New Roman"/>
        </w:rPr>
        <w:t xml:space="preserve">, F. H., &amp; Abd Elwahab, N. G. (2024). The Effect of Fermented </w:t>
      </w:r>
      <w:proofErr w:type="spellStart"/>
      <w:r w:rsidRPr="00ED72F0">
        <w:rPr>
          <w:rFonts w:ascii="Times New Roman" w:hAnsi="Times New Roman" w:cs="Times New Roman"/>
        </w:rPr>
        <w:t>Deglycyrrhizinated</w:t>
      </w:r>
      <w:proofErr w:type="spellEnd"/>
      <w:r w:rsidRPr="00ED72F0">
        <w:rPr>
          <w:rFonts w:ascii="Times New Roman" w:hAnsi="Times New Roman" w:cs="Times New Roman"/>
        </w:rPr>
        <w:t xml:space="preserve"> </w:t>
      </w:r>
      <w:proofErr w:type="spellStart"/>
      <w:r w:rsidRPr="00ED72F0">
        <w:rPr>
          <w:rFonts w:ascii="Times New Roman" w:hAnsi="Times New Roman" w:cs="Times New Roman"/>
        </w:rPr>
        <w:t>Liquorice</w:t>
      </w:r>
      <w:proofErr w:type="spellEnd"/>
      <w:r w:rsidRPr="00ED72F0">
        <w:rPr>
          <w:rFonts w:ascii="Times New Roman" w:hAnsi="Times New Roman" w:cs="Times New Roman"/>
        </w:rPr>
        <w:t xml:space="preserve"> Extract on the Structure of the Renal Cortex in Experimentally Induced Diabetes Mellitus in Rats: Histopathological Study. </w:t>
      </w:r>
      <w:r w:rsidRPr="00ED72F0">
        <w:rPr>
          <w:rFonts w:ascii="Times New Roman" w:hAnsi="Times New Roman" w:cs="Times New Roman"/>
          <w:i/>
          <w:iCs/>
        </w:rPr>
        <w:t>Ain Shams Medical Journal</w:t>
      </w:r>
      <w:r w:rsidRPr="00ED72F0">
        <w:rPr>
          <w:rFonts w:ascii="Times New Roman" w:hAnsi="Times New Roman" w:cs="Times New Roman"/>
        </w:rPr>
        <w:t>, </w:t>
      </w:r>
      <w:r w:rsidRPr="00ED72F0">
        <w:rPr>
          <w:rFonts w:ascii="Times New Roman" w:hAnsi="Times New Roman" w:cs="Times New Roman"/>
          <w:i/>
          <w:iCs/>
        </w:rPr>
        <w:t>75</w:t>
      </w:r>
      <w:r w:rsidRPr="00ED72F0">
        <w:rPr>
          <w:rFonts w:ascii="Times New Roman" w:hAnsi="Times New Roman" w:cs="Times New Roman"/>
        </w:rPr>
        <w:t>(2), 443-467.</w:t>
      </w:r>
      <w:r w:rsidR="00C47914" w:rsidRPr="00ED72F0">
        <w:rPr>
          <w:rFonts w:ascii="Arial" w:eastAsia="Times New Roman" w:hAnsi="Arial" w:cs="Arial"/>
          <w:sz w:val="18"/>
          <w:szCs w:val="18"/>
        </w:rPr>
        <w:t xml:space="preserve"> https://doi.org/10.21608/asmj.2024.286010.1265</w:t>
      </w:r>
    </w:p>
    <w:p w14:paraId="144602AC" w14:textId="50216A87" w:rsidR="000A1240" w:rsidRPr="00ED72F0" w:rsidRDefault="000A1240" w:rsidP="00ED72F0">
      <w:pPr>
        <w:spacing w:line="276" w:lineRule="auto"/>
        <w:ind w:left="360"/>
        <w:jc w:val="both"/>
        <w:rPr>
          <w:rFonts w:ascii="Times New Roman" w:hAnsi="Times New Roman" w:cs="Times New Roman"/>
        </w:rPr>
      </w:pPr>
      <w:r w:rsidRPr="00ED72F0">
        <w:rPr>
          <w:rFonts w:ascii="Times New Roman" w:hAnsi="Times New Roman" w:cs="Times New Roman"/>
        </w:rPr>
        <w:t xml:space="preserve">McGregor, D. K., Khurana, K. K., Cao, C., Tsao, C. C., Ayala, G., Krishnan, B., ... &amp; Truong, L. D. (2001). Diagnosing Primary and Metastatic Renal Cell Carcinoma: The Use of the Monoclonal </w:t>
      </w:r>
      <w:proofErr w:type="spellStart"/>
      <w:r w:rsidRPr="00ED72F0">
        <w:rPr>
          <w:rFonts w:ascii="Times New Roman" w:hAnsi="Times New Roman" w:cs="Times New Roman"/>
        </w:rPr>
        <w:t>AntibodyRenal</w:t>
      </w:r>
      <w:proofErr w:type="spellEnd"/>
      <w:r w:rsidRPr="00ED72F0">
        <w:rPr>
          <w:rFonts w:ascii="Times New Roman" w:hAnsi="Times New Roman" w:cs="Times New Roman"/>
        </w:rPr>
        <w:t xml:space="preserve"> Cell Carcinoma Marker'. </w:t>
      </w:r>
      <w:r w:rsidRPr="00ED72F0">
        <w:rPr>
          <w:rFonts w:ascii="Times New Roman" w:hAnsi="Times New Roman" w:cs="Times New Roman"/>
          <w:i/>
          <w:iCs/>
        </w:rPr>
        <w:t>The American journal of surgical pathology</w:t>
      </w:r>
      <w:r w:rsidRPr="00ED72F0">
        <w:rPr>
          <w:rFonts w:ascii="Times New Roman" w:hAnsi="Times New Roman" w:cs="Times New Roman"/>
        </w:rPr>
        <w:t>, </w:t>
      </w:r>
      <w:r w:rsidRPr="00ED72F0">
        <w:rPr>
          <w:rFonts w:ascii="Times New Roman" w:hAnsi="Times New Roman" w:cs="Times New Roman"/>
          <w:i/>
          <w:iCs/>
        </w:rPr>
        <w:t>25</w:t>
      </w:r>
      <w:r w:rsidRPr="00ED72F0">
        <w:rPr>
          <w:rFonts w:ascii="Times New Roman" w:hAnsi="Times New Roman" w:cs="Times New Roman"/>
        </w:rPr>
        <w:t>(12), 1485-1492.</w:t>
      </w:r>
      <w:r w:rsidR="00C47914" w:rsidRPr="00ED72F0">
        <w:rPr>
          <w:rFonts w:ascii="Arial" w:eastAsia="Times New Roman" w:hAnsi="Arial" w:cs="Arial"/>
          <w:sz w:val="18"/>
          <w:szCs w:val="18"/>
        </w:rPr>
        <w:t xml:space="preserve"> https://doi.org/10.1097/00000478-200112000-00003</w:t>
      </w:r>
    </w:p>
    <w:p w14:paraId="5CE13B3A" w14:textId="1226AA99" w:rsidR="000A1240" w:rsidRPr="00ED72F0" w:rsidRDefault="000A1240" w:rsidP="00ED72F0">
      <w:pPr>
        <w:spacing w:line="276" w:lineRule="auto"/>
        <w:ind w:left="360"/>
        <w:jc w:val="both"/>
        <w:rPr>
          <w:rFonts w:ascii="Times New Roman" w:hAnsi="Times New Roman" w:cs="Times New Roman"/>
        </w:rPr>
      </w:pPr>
      <w:r w:rsidRPr="00ED72F0">
        <w:rPr>
          <w:rFonts w:ascii="Times New Roman" w:hAnsi="Times New Roman" w:cs="Times New Roman"/>
        </w:rPr>
        <w:t xml:space="preserve">Meraz-Munoz, A., Langote, A., Jhaveri, K. D., Izzedine, H., &amp; </w:t>
      </w:r>
      <w:proofErr w:type="spellStart"/>
      <w:r w:rsidRPr="00ED72F0">
        <w:rPr>
          <w:rFonts w:ascii="Times New Roman" w:hAnsi="Times New Roman" w:cs="Times New Roman"/>
        </w:rPr>
        <w:t>Gudsoorkar</w:t>
      </w:r>
      <w:proofErr w:type="spellEnd"/>
      <w:r w:rsidRPr="00ED72F0">
        <w:rPr>
          <w:rFonts w:ascii="Times New Roman" w:hAnsi="Times New Roman" w:cs="Times New Roman"/>
        </w:rPr>
        <w:t>, P. (2021). Acute kidney injury in the patient with cancer. </w:t>
      </w:r>
      <w:r w:rsidRPr="00ED72F0">
        <w:rPr>
          <w:rFonts w:ascii="Times New Roman" w:hAnsi="Times New Roman" w:cs="Times New Roman"/>
          <w:i/>
          <w:iCs/>
        </w:rPr>
        <w:t>Diagnostics</w:t>
      </w:r>
      <w:r w:rsidRPr="00ED72F0">
        <w:rPr>
          <w:rFonts w:ascii="Times New Roman" w:hAnsi="Times New Roman" w:cs="Times New Roman"/>
        </w:rPr>
        <w:t>, </w:t>
      </w:r>
      <w:r w:rsidRPr="00ED72F0">
        <w:rPr>
          <w:rFonts w:ascii="Times New Roman" w:hAnsi="Times New Roman" w:cs="Times New Roman"/>
          <w:i/>
          <w:iCs/>
        </w:rPr>
        <w:t>11</w:t>
      </w:r>
      <w:r w:rsidRPr="00ED72F0">
        <w:rPr>
          <w:rFonts w:ascii="Times New Roman" w:hAnsi="Times New Roman" w:cs="Times New Roman"/>
        </w:rPr>
        <w:t>(4), 611.</w:t>
      </w:r>
      <w:r w:rsidR="00C47914" w:rsidRPr="00ED72F0">
        <w:rPr>
          <w:rFonts w:ascii="Arial" w:eastAsia="Times New Roman" w:hAnsi="Arial" w:cs="Arial"/>
          <w:sz w:val="18"/>
          <w:szCs w:val="18"/>
        </w:rPr>
        <w:t xml:space="preserve"> https://doi.org/10.3390/diagnostics11040611</w:t>
      </w:r>
    </w:p>
    <w:p w14:paraId="47AA097F" w14:textId="5151C052" w:rsidR="000A1240" w:rsidRPr="00ED72F0" w:rsidRDefault="000A1240" w:rsidP="00ED72F0">
      <w:pPr>
        <w:spacing w:line="276" w:lineRule="auto"/>
        <w:ind w:left="360"/>
        <w:jc w:val="both"/>
        <w:rPr>
          <w:rFonts w:ascii="Times New Roman" w:hAnsi="Times New Roman" w:cs="Times New Roman"/>
        </w:rPr>
      </w:pPr>
      <w:r w:rsidRPr="00ED72F0">
        <w:rPr>
          <w:rFonts w:ascii="Times New Roman" w:hAnsi="Times New Roman" w:cs="Times New Roman"/>
        </w:rPr>
        <w:t xml:space="preserve">Mohd, A. B., Ghannam, R. A., Mohd, O. B., Elayan, R., Albakri, K., </w:t>
      </w:r>
      <w:proofErr w:type="spellStart"/>
      <w:r w:rsidRPr="00ED72F0">
        <w:rPr>
          <w:rFonts w:ascii="Times New Roman" w:hAnsi="Times New Roman" w:cs="Times New Roman"/>
        </w:rPr>
        <w:t>Huneiti</w:t>
      </w:r>
      <w:proofErr w:type="spellEnd"/>
      <w:r w:rsidRPr="00ED72F0">
        <w:rPr>
          <w:rFonts w:ascii="Times New Roman" w:hAnsi="Times New Roman" w:cs="Times New Roman"/>
        </w:rPr>
        <w:t xml:space="preserve">, N., ... &amp; </w:t>
      </w:r>
      <w:proofErr w:type="spellStart"/>
      <w:r w:rsidRPr="00ED72F0">
        <w:rPr>
          <w:rFonts w:ascii="Times New Roman" w:hAnsi="Times New Roman" w:cs="Times New Roman"/>
        </w:rPr>
        <w:t>Huneiti</w:t>
      </w:r>
      <w:proofErr w:type="spellEnd"/>
      <w:r w:rsidRPr="00ED72F0">
        <w:rPr>
          <w:rFonts w:ascii="Times New Roman" w:hAnsi="Times New Roman" w:cs="Times New Roman"/>
        </w:rPr>
        <w:t>, N. A. (2022). Etiologies, gross appearance, histopathological patterns, prognosis, and best treatments for subtypes of renal carcinoma: an educational review. </w:t>
      </w:r>
      <w:r w:rsidRPr="00ED72F0">
        <w:rPr>
          <w:rFonts w:ascii="Times New Roman" w:hAnsi="Times New Roman" w:cs="Times New Roman"/>
          <w:i/>
          <w:iCs/>
        </w:rPr>
        <w:t>Cureus</w:t>
      </w:r>
      <w:r w:rsidRPr="00ED72F0">
        <w:rPr>
          <w:rFonts w:ascii="Times New Roman" w:hAnsi="Times New Roman" w:cs="Times New Roman"/>
        </w:rPr>
        <w:t>, </w:t>
      </w:r>
      <w:r w:rsidRPr="00ED72F0">
        <w:rPr>
          <w:rFonts w:ascii="Times New Roman" w:hAnsi="Times New Roman" w:cs="Times New Roman"/>
          <w:i/>
          <w:iCs/>
        </w:rPr>
        <w:t>14</w:t>
      </w:r>
      <w:r w:rsidRPr="00ED72F0">
        <w:rPr>
          <w:rFonts w:ascii="Times New Roman" w:hAnsi="Times New Roman" w:cs="Times New Roman"/>
        </w:rPr>
        <w:t>(12).</w:t>
      </w:r>
      <w:r w:rsidR="00C47914" w:rsidRPr="00ED72F0">
        <w:rPr>
          <w:rFonts w:ascii="Arial" w:eastAsia="Times New Roman" w:hAnsi="Arial" w:cs="Arial"/>
          <w:sz w:val="18"/>
          <w:szCs w:val="18"/>
        </w:rPr>
        <w:t xml:space="preserve"> https://doi.org/10.7759/cureus.32338</w:t>
      </w:r>
    </w:p>
    <w:p w14:paraId="613B166A" w14:textId="48DEEF5E" w:rsidR="000A1240" w:rsidRPr="00ED72F0" w:rsidRDefault="000A1240" w:rsidP="00ED72F0">
      <w:pPr>
        <w:spacing w:line="276" w:lineRule="auto"/>
        <w:ind w:left="360"/>
        <w:jc w:val="both"/>
        <w:rPr>
          <w:rFonts w:ascii="Times New Roman" w:hAnsi="Times New Roman" w:cs="Times New Roman"/>
        </w:rPr>
      </w:pPr>
      <w:r w:rsidRPr="00ED72F0">
        <w:rPr>
          <w:rFonts w:ascii="Times New Roman" w:hAnsi="Times New Roman" w:cs="Times New Roman"/>
        </w:rPr>
        <w:t xml:space="preserve">Mukhamadiyarov, R. A., Bogdanov, L. A., </w:t>
      </w:r>
      <w:proofErr w:type="spellStart"/>
      <w:r w:rsidRPr="00ED72F0">
        <w:rPr>
          <w:rFonts w:ascii="Times New Roman" w:hAnsi="Times New Roman" w:cs="Times New Roman"/>
        </w:rPr>
        <w:t>Glushkova</w:t>
      </w:r>
      <w:proofErr w:type="spellEnd"/>
      <w:r w:rsidRPr="00ED72F0">
        <w:rPr>
          <w:rFonts w:ascii="Times New Roman" w:hAnsi="Times New Roman" w:cs="Times New Roman"/>
        </w:rPr>
        <w:t xml:space="preserve">, T. V., Shishkova, D. K., </w:t>
      </w:r>
      <w:proofErr w:type="spellStart"/>
      <w:r w:rsidRPr="00ED72F0">
        <w:rPr>
          <w:rFonts w:ascii="Times New Roman" w:hAnsi="Times New Roman" w:cs="Times New Roman"/>
        </w:rPr>
        <w:t>Kostyunin</w:t>
      </w:r>
      <w:proofErr w:type="spellEnd"/>
      <w:r w:rsidRPr="00ED72F0">
        <w:rPr>
          <w:rFonts w:ascii="Times New Roman" w:hAnsi="Times New Roman" w:cs="Times New Roman"/>
        </w:rPr>
        <w:t xml:space="preserve">, A. E., Koshelev, V. A., ... &amp; </w:t>
      </w:r>
      <w:proofErr w:type="spellStart"/>
      <w:r w:rsidRPr="00ED72F0">
        <w:rPr>
          <w:rFonts w:ascii="Times New Roman" w:hAnsi="Times New Roman" w:cs="Times New Roman"/>
        </w:rPr>
        <w:t>Kutikhin</w:t>
      </w:r>
      <w:proofErr w:type="spellEnd"/>
      <w:r w:rsidRPr="00ED72F0">
        <w:rPr>
          <w:rFonts w:ascii="Times New Roman" w:hAnsi="Times New Roman" w:cs="Times New Roman"/>
        </w:rPr>
        <w:t xml:space="preserve">, A. G. (2021). </w:t>
      </w:r>
      <w:proofErr w:type="spellStart"/>
      <w:r w:rsidRPr="00ED72F0">
        <w:rPr>
          <w:rFonts w:ascii="Times New Roman" w:hAnsi="Times New Roman" w:cs="Times New Roman"/>
        </w:rPr>
        <w:t>EMbedding</w:t>
      </w:r>
      <w:proofErr w:type="spellEnd"/>
      <w:r w:rsidRPr="00ED72F0">
        <w:rPr>
          <w:rFonts w:ascii="Times New Roman" w:hAnsi="Times New Roman" w:cs="Times New Roman"/>
        </w:rPr>
        <w:t xml:space="preserve"> and backscattered scanning electron microscopy: a detailed protocol for the whole-specimen, high-resolution analysis of </w:t>
      </w:r>
      <w:r w:rsidRPr="00ED72F0">
        <w:rPr>
          <w:rFonts w:ascii="Times New Roman" w:hAnsi="Times New Roman" w:cs="Times New Roman"/>
        </w:rPr>
        <w:lastRenderedPageBreak/>
        <w:t>cardiovascular tissues. </w:t>
      </w:r>
      <w:r w:rsidRPr="00ED72F0">
        <w:rPr>
          <w:rFonts w:ascii="Times New Roman" w:hAnsi="Times New Roman" w:cs="Times New Roman"/>
          <w:i/>
          <w:iCs/>
        </w:rPr>
        <w:t>Frontiers in Cardiovascular Medicine</w:t>
      </w:r>
      <w:r w:rsidRPr="00ED72F0">
        <w:rPr>
          <w:rFonts w:ascii="Times New Roman" w:hAnsi="Times New Roman" w:cs="Times New Roman"/>
        </w:rPr>
        <w:t>, </w:t>
      </w:r>
      <w:r w:rsidRPr="00ED72F0">
        <w:rPr>
          <w:rFonts w:ascii="Times New Roman" w:hAnsi="Times New Roman" w:cs="Times New Roman"/>
          <w:i/>
          <w:iCs/>
        </w:rPr>
        <w:t>8</w:t>
      </w:r>
      <w:r w:rsidRPr="00ED72F0">
        <w:rPr>
          <w:rFonts w:ascii="Times New Roman" w:hAnsi="Times New Roman" w:cs="Times New Roman"/>
        </w:rPr>
        <w:t>, 739549.</w:t>
      </w:r>
      <w:r w:rsidR="00C47914" w:rsidRPr="00ED72F0">
        <w:rPr>
          <w:rFonts w:ascii="Arial" w:eastAsia="Times New Roman" w:hAnsi="Arial" w:cs="Arial"/>
          <w:sz w:val="18"/>
          <w:szCs w:val="18"/>
        </w:rPr>
        <w:t xml:space="preserve"> https://doi.org/10.3389/fcvm.2021.739549</w:t>
      </w:r>
    </w:p>
    <w:p w14:paraId="32D7D313" w14:textId="37ECE490" w:rsidR="000A1240" w:rsidRPr="00ED72F0" w:rsidRDefault="000A1240" w:rsidP="00ED72F0">
      <w:pPr>
        <w:spacing w:line="276" w:lineRule="auto"/>
        <w:ind w:left="360"/>
        <w:jc w:val="both"/>
        <w:rPr>
          <w:rFonts w:ascii="Times New Roman" w:hAnsi="Times New Roman" w:cs="Times New Roman"/>
        </w:rPr>
      </w:pPr>
      <w:r w:rsidRPr="00ED72F0">
        <w:rPr>
          <w:rFonts w:ascii="Times New Roman" w:hAnsi="Times New Roman" w:cs="Times New Roman"/>
        </w:rPr>
        <w:t>Nezami, B. G., &amp; MacLennan, G. T. (2024). Clear cell renal cell carcinoma: a comprehensive review of its histopathology, genetics, and differential diagnosis. </w:t>
      </w:r>
      <w:r w:rsidRPr="00ED72F0">
        <w:rPr>
          <w:rFonts w:ascii="Times New Roman" w:hAnsi="Times New Roman" w:cs="Times New Roman"/>
          <w:i/>
          <w:iCs/>
        </w:rPr>
        <w:t>International Journal of Surgical Pathology</w:t>
      </w:r>
      <w:r w:rsidRPr="00ED72F0">
        <w:rPr>
          <w:rFonts w:ascii="Times New Roman" w:hAnsi="Times New Roman" w:cs="Times New Roman"/>
        </w:rPr>
        <w:t>, 10668969241256111.</w:t>
      </w:r>
      <w:r w:rsidR="00C47914" w:rsidRPr="00ED72F0">
        <w:rPr>
          <w:rFonts w:ascii="Arial" w:eastAsia="Times New Roman" w:hAnsi="Arial" w:cs="Arial"/>
          <w:sz w:val="18"/>
          <w:szCs w:val="18"/>
        </w:rPr>
        <w:t xml:space="preserve"> https://doi.org/10.1177/10668969241256111</w:t>
      </w:r>
    </w:p>
    <w:p w14:paraId="1CC94F54" w14:textId="6035FE13" w:rsidR="000A1240" w:rsidRPr="00ED72F0" w:rsidRDefault="000A1240" w:rsidP="00ED72F0">
      <w:pPr>
        <w:spacing w:line="276" w:lineRule="auto"/>
        <w:ind w:left="360"/>
        <w:jc w:val="both"/>
        <w:rPr>
          <w:rFonts w:ascii="Times New Roman" w:hAnsi="Times New Roman" w:cs="Times New Roman"/>
        </w:rPr>
      </w:pPr>
      <w:r w:rsidRPr="00ED72F0">
        <w:rPr>
          <w:rFonts w:ascii="Times New Roman" w:hAnsi="Times New Roman" w:cs="Times New Roman"/>
        </w:rPr>
        <w:t>Ozcan, A., Zhai, J., Hamilton, C., Shen, S. S., Ro, J. Y., Krishnan, B., &amp; Truong, L. D. (2009). PAX-2 in the diagnosis of primary renal tumors: immunohistochemical comparison with renal cell carcinoma marker antigen and kidney-specific cadherin. </w:t>
      </w:r>
      <w:r w:rsidRPr="00ED72F0">
        <w:rPr>
          <w:rFonts w:ascii="Times New Roman" w:hAnsi="Times New Roman" w:cs="Times New Roman"/>
          <w:i/>
          <w:iCs/>
        </w:rPr>
        <w:t>American journal of clinical pathology</w:t>
      </w:r>
      <w:r w:rsidRPr="00ED72F0">
        <w:rPr>
          <w:rFonts w:ascii="Times New Roman" w:hAnsi="Times New Roman" w:cs="Times New Roman"/>
        </w:rPr>
        <w:t>, </w:t>
      </w:r>
      <w:r w:rsidRPr="00ED72F0">
        <w:rPr>
          <w:rFonts w:ascii="Times New Roman" w:hAnsi="Times New Roman" w:cs="Times New Roman"/>
          <w:i/>
          <w:iCs/>
        </w:rPr>
        <w:t>131</w:t>
      </w:r>
      <w:r w:rsidRPr="00ED72F0">
        <w:rPr>
          <w:rFonts w:ascii="Times New Roman" w:hAnsi="Times New Roman" w:cs="Times New Roman"/>
        </w:rPr>
        <w:t>(3), 393-404.</w:t>
      </w:r>
      <w:r w:rsidR="00C47914" w:rsidRPr="00ED72F0">
        <w:rPr>
          <w:rFonts w:ascii="Arial" w:eastAsia="Times New Roman" w:hAnsi="Arial" w:cs="Arial"/>
          <w:sz w:val="18"/>
          <w:szCs w:val="18"/>
        </w:rPr>
        <w:t xml:space="preserve"> https://doi.org/10.1309/AJCPM7DW0XFHDHNY</w:t>
      </w:r>
    </w:p>
    <w:p w14:paraId="71F511AB" w14:textId="641AF92C" w:rsidR="000A1240" w:rsidRPr="00ED72F0" w:rsidRDefault="000A1240" w:rsidP="00ED72F0">
      <w:pPr>
        <w:spacing w:line="276" w:lineRule="auto"/>
        <w:ind w:left="360"/>
        <w:jc w:val="both"/>
        <w:rPr>
          <w:rFonts w:ascii="Times New Roman" w:hAnsi="Times New Roman" w:cs="Times New Roman"/>
        </w:rPr>
      </w:pPr>
      <w:r w:rsidRPr="00ED72F0">
        <w:rPr>
          <w:rFonts w:ascii="Times New Roman" w:hAnsi="Times New Roman" w:cs="Times New Roman"/>
        </w:rPr>
        <w:t xml:space="preserve">Pavić, I., Marušić, Z., Radulović, P., Matić, J., Čupić, H., Vučić, M., ... &amp; Belicza, M. (2007). </w:t>
      </w:r>
      <w:proofErr w:type="spellStart"/>
      <w:r w:rsidRPr="00ED72F0">
        <w:rPr>
          <w:rFonts w:ascii="Times New Roman" w:hAnsi="Times New Roman" w:cs="Times New Roman"/>
        </w:rPr>
        <w:t>Histomorphologic</w:t>
      </w:r>
      <w:proofErr w:type="spellEnd"/>
      <w:r w:rsidRPr="00ED72F0">
        <w:rPr>
          <w:rFonts w:ascii="Times New Roman" w:hAnsi="Times New Roman" w:cs="Times New Roman"/>
        </w:rPr>
        <w:t xml:space="preserve"> Assessment of Tissue Specimens Processed by Classical and Substitute Fixation Procedure. </w:t>
      </w:r>
      <w:r w:rsidRPr="00ED72F0">
        <w:rPr>
          <w:rFonts w:ascii="Times New Roman" w:hAnsi="Times New Roman" w:cs="Times New Roman"/>
          <w:i/>
          <w:iCs/>
        </w:rPr>
        <w:t xml:space="preserve">Acta </w:t>
      </w:r>
      <w:proofErr w:type="spellStart"/>
      <w:r w:rsidRPr="00ED72F0">
        <w:rPr>
          <w:rFonts w:ascii="Times New Roman" w:hAnsi="Times New Roman" w:cs="Times New Roman"/>
          <w:i/>
          <w:iCs/>
        </w:rPr>
        <w:t>clinica</w:t>
      </w:r>
      <w:proofErr w:type="spellEnd"/>
      <w:r w:rsidRPr="00ED72F0">
        <w:rPr>
          <w:rFonts w:ascii="Times New Roman" w:hAnsi="Times New Roman" w:cs="Times New Roman"/>
          <w:i/>
          <w:iCs/>
        </w:rPr>
        <w:t xml:space="preserve"> </w:t>
      </w:r>
      <w:proofErr w:type="spellStart"/>
      <w:r w:rsidRPr="00ED72F0">
        <w:rPr>
          <w:rFonts w:ascii="Times New Roman" w:hAnsi="Times New Roman" w:cs="Times New Roman"/>
          <w:i/>
          <w:iCs/>
        </w:rPr>
        <w:t>Croatica</w:t>
      </w:r>
      <w:proofErr w:type="spellEnd"/>
      <w:r w:rsidRPr="00ED72F0">
        <w:rPr>
          <w:rFonts w:ascii="Times New Roman" w:hAnsi="Times New Roman" w:cs="Times New Roman"/>
        </w:rPr>
        <w:t>, </w:t>
      </w:r>
      <w:r w:rsidRPr="00ED72F0">
        <w:rPr>
          <w:rFonts w:ascii="Times New Roman" w:hAnsi="Times New Roman" w:cs="Times New Roman"/>
          <w:i/>
          <w:iCs/>
        </w:rPr>
        <w:t>46</w:t>
      </w:r>
      <w:r w:rsidRPr="00ED72F0">
        <w:rPr>
          <w:rFonts w:ascii="Times New Roman" w:hAnsi="Times New Roman" w:cs="Times New Roman"/>
        </w:rPr>
        <w:t>(2), 219-220.</w:t>
      </w:r>
      <w:r w:rsidR="00C47914" w:rsidRPr="00ED72F0">
        <w:rPr>
          <w:rFonts w:ascii="Arial" w:eastAsia="Times New Roman" w:hAnsi="Arial" w:cs="Arial"/>
          <w:sz w:val="18"/>
          <w:szCs w:val="18"/>
        </w:rPr>
        <w:t xml:space="preserve"> https://hrcak.srce.hr/15150</w:t>
      </w:r>
    </w:p>
    <w:p w14:paraId="61B3CA40" w14:textId="7AA0065E" w:rsidR="000A1240" w:rsidRPr="00ED72F0" w:rsidRDefault="000A1240" w:rsidP="00ED72F0">
      <w:pPr>
        <w:spacing w:line="276" w:lineRule="auto"/>
        <w:ind w:left="360"/>
        <w:jc w:val="both"/>
        <w:rPr>
          <w:rFonts w:ascii="Times New Roman" w:hAnsi="Times New Roman" w:cs="Times New Roman"/>
        </w:rPr>
      </w:pPr>
      <w:r w:rsidRPr="00ED72F0">
        <w:rPr>
          <w:rFonts w:ascii="Times New Roman" w:hAnsi="Times New Roman" w:cs="Times New Roman"/>
        </w:rPr>
        <w:t xml:space="preserve">Raskin, R. E., Meyer, D., &amp; </w:t>
      </w:r>
      <w:proofErr w:type="spellStart"/>
      <w:r w:rsidRPr="00ED72F0">
        <w:rPr>
          <w:rFonts w:ascii="Times New Roman" w:hAnsi="Times New Roman" w:cs="Times New Roman"/>
        </w:rPr>
        <w:t>Boes</w:t>
      </w:r>
      <w:proofErr w:type="spellEnd"/>
      <w:r w:rsidRPr="00ED72F0">
        <w:rPr>
          <w:rFonts w:ascii="Times New Roman" w:hAnsi="Times New Roman" w:cs="Times New Roman"/>
        </w:rPr>
        <w:t>, K. M. (2021). </w:t>
      </w:r>
      <w:r w:rsidRPr="00ED72F0">
        <w:rPr>
          <w:rFonts w:ascii="Times New Roman" w:hAnsi="Times New Roman" w:cs="Times New Roman"/>
          <w:i/>
          <w:iCs/>
        </w:rPr>
        <w:t>Canine and Feline Cytopathology-E-Book: A Color Atlas and Interpretation Guide</w:t>
      </w:r>
      <w:r w:rsidRPr="00ED72F0">
        <w:rPr>
          <w:rFonts w:ascii="Times New Roman" w:hAnsi="Times New Roman" w:cs="Times New Roman"/>
        </w:rPr>
        <w:t>. Elsevier Health Sciences.</w:t>
      </w:r>
      <w:r w:rsidR="00C47914" w:rsidRPr="00ED72F0">
        <w:rPr>
          <w:rFonts w:ascii="Arial" w:eastAsia="Times New Roman" w:hAnsi="Arial" w:cs="Arial"/>
          <w:sz w:val="18"/>
          <w:szCs w:val="18"/>
        </w:rPr>
        <w:t xml:space="preserve"> https://www.elsevier.com/books/canine-and-feline-cytopathology/raskin/978-0-323-71132-1</w:t>
      </w:r>
    </w:p>
    <w:p w14:paraId="4962E047" w14:textId="46AAA7FF" w:rsidR="000A1240" w:rsidRPr="00ED72F0" w:rsidRDefault="000A1240" w:rsidP="00ED72F0">
      <w:pPr>
        <w:spacing w:line="276" w:lineRule="auto"/>
        <w:ind w:left="360"/>
        <w:jc w:val="both"/>
        <w:rPr>
          <w:rFonts w:ascii="Times New Roman" w:hAnsi="Times New Roman" w:cs="Times New Roman"/>
        </w:rPr>
      </w:pPr>
      <w:r w:rsidRPr="00ED72F0">
        <w:rPr>
          <w:rFonts w:ascii="Times New Roman" w:hAnsi="Times New Roman" w:cs="Times New Roman"/>
        </w:rPr>
        <w:t xml:space="preserve">Rayego-Mateos, S., Campillo, S., Rodrigues-Diez, R. R., Tejera-Muñoz, A., Marquez-Exposito, L., </w:t>
      </w:r>
      <w:proofErr w:type="spellStart"/>
      <w:r w:rsidRPr="00ED72F0">
        <w:rPr>
          <w:rFonts w:ascii="Times New Roman" w:hAnsi="Times New Roman" w:cs="Times New Roman"/>
        </w:rPr>
        <w:t>Goldschmeding</w:t>
      </w:r>
      <w:proofErr w:type="spellEnd"/>
      <w:r w:rsidRPr="00ED72F0">
        <w:rPr>
          <w:rFonts w:ascii="Times New Roman" w:hAnsi="Times New Roman" w:cs="Times New Roman"/>
        </w:rPr>
        <w:t>, R., ... &amp; Ruiz-Ortega, M. (2021). Interplay between extracellular matrix components and cellular and molecular mechanisms in kidney fibrosis. </w:t>
      </w:r>
      <w:r w:rsidRPr="00ED72F0">
        <w:rPr>
          <w:rFonts w:ascii="Times New Roman" w:hAnsi="Times New Roman" w:cs="Times New Roman"/>
          <w:i/>
          <w:iCs/>
        </w:rPr>
        <w:t>Clinical Science</w:t>
      </w:r>
      <w:r w:rsidRPr="00ED72F0">
        <w:rPr>
          <w:rFonts w:ascii="Times New Roman" w:hAnsi="Times New Roman" w:cs="Times New Roman"/>
        </w:rPr>
        <w:t>, </w:t>
      </w:r>
      <w:r w:rsidRPr="00ED72F0">
        <w:rPr>
          <w:rFonts w:ascii="Times New Roman" w:hAnsi="Times New Roman" w:cs="Times New Roman"/>
          <w:i/>
          <w:iCs/>
        </w:rPr>
        <w:t>135</w:t>
      </w:r>
      <w:r w:rsidRPr="00ED72F0">
        <w:rPr>
          <w:rFonts w:ascii="Times New Roman" w:hAnsi="Times New Roman" w:cs="Times New Roman"/>
        </w:rPr>
        <w:t>(16), 1999-2029.</w:t>
      </w:r>
      <w:r w:rsidR="00C47914" w:rsidRPr="00ED72F0">
        <w:rPr>
          <w:rFonts w:ascii="Arial" w:eastAsia="Times New Roman" w:hAnsi="Arial" w:cs="Arial"/>
          <w:sz w:val="18"/>
          <w:szCs w:val="18"/>
        </w:rPr>
        <w:t xml:space="preserve"> https://doi.org/10.1042/CS20201016</w:t>
      </w:r>
    </w:p>
    <w:p w14:paraId="7142D443" w14:textId="3C8B7AF1" w:rsidR="000A1240" w:rsidRPr="00ED72F0" w:rsidRDefault="000A1240" w:rsidP="00ED72F0">
      <w:pPr>
        <w:spacing w:line="276" w:lineRule="auto"/>
        <w:ind w:left="360"/>
        <w:jc w:val="both"/>
        <w:rPr>
          <w:rFonts w:ascii="Times New Roman" w:hAnsi="Times New Roman" w:cs="Times New Roman"/>
        </w:rPr>
      </w:pPr>
      <w:r w:rsidRPr="00ED72F0">
        <w:rPr>
          <w:rFonts w:ascii="Times New Roman" w:hAnsi="Times New Roman" w:cs="Times New Roman"/>
        </w:rPr>
        <w:t xml:space="preserve">Ren, L., Cui, H., Wang, Y., Ju, F., Cai, Y., Gang, X., &amp; Wang, G. (2023). The role of </w:t>
      </w:r>
      <w:proofErr w:type="spellStart"/>
      <w:r w:rsidRPr="00ED72F0">
        <w:rPr>
          <w:rFonts w:ascii="Times New Roman" w:hAnsi="Times New Roman" w:cs="Times New Roman"/>
        </w:rPr>
        <w:t>lipotoxicity</w:t>
      </w:r>
      <w:proofErr w:type="spellEnd"/>
      <w:r w:rsidRPr="00ED72F0">
        <w:rPr>
          <w:rFonts w:ascii="Times New Roman" w:hAnsi="Times New Roman" w:cs="Times New Roman"/>
        </w:rPr>
        <w:t xml:space="preserve"> in kidney disease: from molecular mechanisms to therapeutic prospects. </w:t>
      </w:r>
      <w:r w:rsidRPr="00ED72F0">
        <w:rPr>
          <w:rFonts w:ascii="Times New Roman" w:hAnsi="Times New Roman" w:cs="Times New Roman"/>
          <w:i/>
          <w:iCs/>
        </w:rPr>
        <w:t>Biomedicine &amp; Pharmacotherapy</w:t>
      </w:r>
      <w:r w:rsidRPr="00ED72F0">
        <w:rPr>
          <w:rFonts w:ascii="Times New Roman" w:hAnsi="Times New Roman" w:cs="Times New Roman"/>
        </w:rPr>
        <w:t>, </w:t>
      </w:r>
      <w:r w:rsidRPr="00ED72F0">
        <w:rPr>
          <w:rFonts w:ascii="Times New Roman" w:hAnsi="Times New Roman" w:cs="Times New Roman"/>
          <w:i/>
          <w:iCs/>
        </w:rPr>
        <w:t>161</w:t>
      </w:r>
      <w:r w:rsidRPr="00ED72F0">
        <w:rPr>
          <w:rFonts w:ascii="Times New Roman" w:hAnsi="Times New Roman" w:cs="Times New Roman"/>
        </w:rPr>
        <w:t>, 114465.</w:t>
      </w:r>
      <w:r w:rsidR="00C47914" w:rsidRPr="00ED72F0">
        <w:rPr>
          <w:rFonts w:ascii="Arial" w:eastAsia="Times New Roman" w:hAnsi="Arial" w:cs="Arial"/>
          <w:sz w:val="18"/>
          <w:szCs w:val="18"/>
        </w:rPr>
        <w:t xml:space="preserve"> https://doi.org/10.1016/j.biopha.2023.114465</w:t>
      </w:r>
    </w:p>
    <w:p w14:paraId="2BD611B1" w14:textId="77777777" w:rsidR="000A1240" w:rsidRPr="00ED72F0" w:rsidRDefault="000A1240" w:rsidP="00ED72F0">
      <w:pPr>
        <w:spacing w:line="276" w:lineRule="auto"/>
        <w:ind w:left="360"/>
        <w:jc w:val="both"/>
        <w:rPr>
          <w:rFonts w:ascii="Times New Roman" w:hAnsi="Times New Roman" w:cs="Times New Roman"/>
        </w:rPr>
      </w:pPr>
      <w:r w:rsidRPr="00ED72F0">
        <w:rPr>
          <w:rFonts w:ascii="Times New Roman" w:hAnsi="Times New Roman" w:cs="Times New Roman"/>
        </w:rPr>
        <w:t>Rogala, J. D. (2023). Clinicopathological, Morphological, Immunohistochemical, and Molecular Biological Features of Tumors of Genitourinary Tract.</w:t>
      </w:r>
    </w:p>
    <w:p w14:paraId="4E7176D0" w14:textId="510D47BD" w:rsidR="000A1240" w:rsidRPr="00ED72F0" w:rsidRDefault="000A1240" w:rsidP="00ED72F0">
      <w:pPr>
        <w:spacing w:line="276" w:lineRule="auto"/>
        <w:ind w:left="360"/>
        <w:jc w:val="both"/>
        <w:rPr>
          <w:rFonts w:ascii="Times New Roman" w:hAnsi="Times New Roman" w:cs="Times New Roman"/>
        </w:rPr>
      </w:pPr>
      <w:r w:rsidRPr="00ED72F0">
        <w:rPr>
          <w:rFonts w:ascii="Times New Roman" w:hAnsi="Times New Roman" w:cs="Times New Roman"/>
        </w:rPr>
        <w:t xml:space="preserve">Rumin, J., </w:t>
      </w:r>
      <w:proofErr w:type="spellStart"/>
      <w:r w:rsidRPr="00ED72F0">
        <w:rPr>
          <w:rFonts w:ascii="Times New Roman" w:hAnsi="Times New Roman" w:cs="Times New Roman"/>
        </w:rPr>
        <w:t>Bonnefond</w:t>
      </w:r>
      <w:proofErr w:type="spellEnd"/>
      <w:r w:rsidRPr="00ED72F0">
        <w:rPr>
          <w:rFonts w:ascii="Times New Roman" w:hAnsi="Times New Roman" w:cs="Times New Roman"/>
        </w:rPr>
        <w:t xml:space="preserve">, H., Saint-Jean, B., Rouxel, C., Sciandra, A., Bernard, O., ... &amp; </w:t>
      </w:r>
      <w:proofErr w:type="spellStart"/>
      <w:r w:rsidRPr="00ED72F0">
        <w:rPr>
          <w:rFonts w:ascii="Times New Roman" w:hAnsi="Times New Roman" w:cs="Times New Roman"/>
        </w:rPr>
        <w:t>Bougaran</w:t>
      </w:r>
      <w:proofErr w:type="spellEnd"/>
      <w:r w:rsidRPr="00ED72F0">
        <w:rPr>
          <w:rFonts w:ascii="Times New Roman" w:hAnsi="Times New Roman" w:cs="Times New Roman"/>
        </w:rPr>
        <w:t>, G. (2015). The use of fluorescent Nile red and BODIPY for lipid measurement in microalgae. </w:t>
      </w:r>
      <w:r w:rsidRPr="00ED72F0">
        <w:rPr>
          <w:rFonts w:ascii="Times New Roman" w:hAnsi="Times New Roman" w:cs="Times New Roman"/>
          <w:i/>
          <w:iCs/>
        </w:rPr>
        <w:t>Biotechnology for biofuels</w:t>
      </w:r>
      <w:r w:rsidRPr="00ED72F0">
        <w:rPr>
          <w:rFonts w:ascii="Times New Roman" w:hAnsi="Times New Roman" w:cs="Times New Roman"/>
        </w:rPr>
        <w:t>, </w:t>
      </w:r>
      <w:r w:rsidRPr="00ED72F0">
        <w:rPr>
          <w:rFonts w:ascii="Times New Roman" w:hAnsi="Times New Roman" w:cs="Times New Roman"/>
          <w:i/>
          <w:iCs/>
        </w:rPr>
        <w:t>8</w:t>
      </w:r>
      <w:r w:rsidRPr="00ED72F0">
        <w:rPr>
          <w:rFonts w:ascii="Times New Roman" w:hAnsi="Times New Roman" w:cs="Times New Roman"/>
        </w:rPr>
        <w:t>, 1-16.</w:t>
      </w:r>
      <w:r w:rsidR="00C47914" w:rsidRPr="00ED72F0">
        <w:rPr>
          <w:rFonts w:ascii="Arial" w:eastAsia="Times New Roman" w:hAnsi="Arial" w:cs="Arial"/>
          <w:sz w:val="18"/>
          <w:szCs w:val="18"/>
        </w:rPr>
        <w:t xml:space="preserve"> https://doi.org/10.1186/s13068-015-0220-4</w:t>
      </w:r>
    </w:p>
    <w:p w14:paraId="71E7D649" w14:textId="62F83C7E" w:rsidR="000A1240" w:rsidRPr="00ED72F0" w:rsidRDefault="000A1240" w:rsidP="00ED72F0">
      <w:pPr>
        <w:spacing w:line="276" w:lineRule="auto"/>
        <w:ind w:left="360"/>
        <w:jc w:val="both"/>
        <w:rPr>
          <w:rFonts w:ascii="Times New Roman" w:hAnsi="Times New Roman" w:cs="Times New Roman"/>
        </w:rPr>
      </w:pPr>
      <w:r w:rsidRPr="00ED72F0">
        <w:rPr>
          <w:rFonts w:ascii="Times New Roman" w:hAnsi="Times New Roman" w:cs="Times New Roman"/>
        </w:rPr>
        <w:t>Scholz, H., Boivin, F. J., Schmidt-Ott, K. M., Bachmann, S., Eckardt, K. U., Scholl, U. I., &amp; Persson, P. B. (2021). Kidney physiology and susceptibility to acute kidney injury: implications for renoprotection. </w:t>
      </w:r>
      <w:r w:rsidRPr="00ED72F0">
        <w:rPr>
          <w:rFonts w:ascii="Times New Roman" w:hAnsi="Times New Roman" w:cs="Times New Roman"/>
          <w:i/>
          <w:iCs/>
        </w:rPr>
        <w:t>Nature Reviews Nephrology</w:t>
      </w:r>
      <w:r w:rsidRPr="00ED72F0">
        <w:rPr>
          <w:rFonts w:ascii="Times New Roman" w:hAnsi="Times New Roman" w:cs="Times New Roman"/>
        </w:rPr>
        <w:t>, </w:t>
      </w:r>
      <w:r w:rsidRPr="00ED72F0">
        <w:rPr>
          <w:rFonts w:ascii="Times New Roman" w:hAnsi="Times New Roman" w:cs="Times New Roman"/>
          <w:i/>
          <w:iCs/>
        </w:rPr>
        <w:t>17</w:t>
      </w:r>
      <w:r w:rsidRPr="00ED72F0">
        <w:rPr>
          <w:rFonts w:ascii="Times New Roman" w:hAnsi="Times New Roman" w:cs="Times New Roman"/>
        </w:rPr>
        <w:t>(5), 335-349.</w:t>
      </w:r>
      <w:r w:rsidR="00C47914" w:rsidRPr="00ED72F0">
        <w:rPr>
          <w:rFonts w:ascii="Arial" w:eastAsia="Times New Roman" w:hAnsi="Arial" w:cs="Arial"/>
          <w:sz w:val="18"/>
          <w:szCs w:val="18"/>
        </w:rPr>
        <w:t xml:space="preserve"> https://doi.org/10.1038/s41581-021-00394-7</w:t>
      </w:r>
    </w:p>
    <w:p w14:paraId="6614AEB8" w14:textId="6936FC15" w:rsidR="000A1240" w:rsidRPr="00ED72F0" w:rsidRDefault="000A1240" w:rsidP="00ED72F0">
      <w:pPr>
        <w:spacing w:line="276" w:lineRule="auto"/>
        <w:ind w:left="360"/>
        <w:jc w:val="both"/>
        <w:rPr>
          <w:rFonts w:ascii="Times New Roman" w:hAnsi="Times New Roman" w:cs="Times New Roman"/>
        </w:rPr>
      </w:pPr>
      <w:r w:rsidRPr="00ED72F0">
        <w:rPr>
          <w:rFonts w:ascii="Times New Roman" w:hAnsi="Times New Roman" w:cs="Times New Roman"/>
        </w:rPr>
        <w:t>Schwartz, G. J., &amp; Rashid, M. (2021). Overview, structure, and function of the nephron. Pediatric Critical Care: Text and Study Guide, 863-909.</w:t>
      </w:r>
      <w:r w:rsidR="00C47914" w:rsidRPr="00ED72F0">
        <w:rPr>
          <w:rFonts w:ascii="Arial" w:eastAsia="Times New Roman" w:hAnsi="Arial" w:cs="Arial"/>
          <w:sz w:val="18"/>
          <w:szCs w:val="18"/>
        </w:rPr>
        <w:t xml:space="preserve"> https://doi.org/10.1007/978-3-030-53363-2_29</w:t>
      </w:r>
    </w:p>
    <w:p w14:paraId="427FC0F4" w14:textId="2DE01F87" w:rsidR="000A1240" w:rsidRPr="00ED72F0" w:rsidRDefault="000A1240" w:rsidP="00ED72F0">
      <w:pPr>
        <w:spacing w:line="276" w:lineRule="auto"/>
        <w:ind w:left="360"/>
        <w:jc w:val="both"/>
        <w:rPr>
          <w:rFonts w:ascii="Times New Roman" w:hAnsi="Times New Roman" w:cs="Times New Roman"/>
        </w:rPr>
      </w:pPr>
      <w:r w:rsidRPr="00ED72F0">
        <w:rPr>
          <w:rFonts w:ascii="Times New Roman" w:hAnsi="Times New Roman" w:cs="Times New Roman"/>
        </w:rPr>
        <w:t>Sharma, R. (2021). New approaches of imaging MALDI, protein markers part II: prostate cancer drug targeting chemosensitivity biosensors. </w:t>
      </w:r>
      <w:r w:rsidRPr="00ED72F0">
        <w:rPr>
          <w:rFonts w:ascii="Times New Roman" w:hAnsi="Times New Roman" w:cs="Times New Roman"/>
          <w:i/>
          <w:iCs/>
        </w:rPr>
        <w:t>Cancer Therapy Oncol Int J</w:t>
      </w:r>
      <w:r w:rsidRPr="00ED72F0">
        <w:rPr>
          <w:rFonts w:ascii="Times New Roman" w:hAnsi="Times New Roman" w:cs="Times New Roman"/>
        </w:rPr>
        <w:t>, </w:t>
      </w:r>
      <w:r w:rsidRPr="00ED72F0">
        <w:rPr>
          <w:rFonts w:ascii="Times New Roman" w:hAnsi="Times New Roman" w:cs="Times New Roman"/>
          <w:i/>
          <w:iCs/>
        </w:rPr>
        <w:t>20</w:t>
      </w:r>
      <w:r w:rsidRPr="00ED72F0">
        <w:rPr>
          <w:rFonts w:ascii="Times New Roman" w:hAnsi="Times New Roman" w:cs="Times New Roman"/>
        </w:rPr>
        <w:t>(1), 556027.</w:t>
      </w:r>
      <w:r w:rsidR="00C47914" w:rsidRPr="00ED72F0">
        <w:rPr>
          <w:rFonts w:ascii="Arial" w:eastAsia="Times New Roman" w:hAnsi="Arial" w:cs="Arial"/>
          <w:sz w:val="18"/>
          <w:szCs w:val="18"/>
        </w:rPr>
        <w:t xml:space="preserve"> https://doi.org/10.19080/CTOIJ.2021.20.556027</w:t>
      </w:r>
    </w:p>
    <w:p w14:paraId="3A1A3100" w14:textId="3E1CBDAF" w:rsidR="000A1240" w:rsidRPr="00ED72F0" w:rsidRDefault="000A1240" w:rsidP="00ED72F0">
      <w:pPr>
        <w:spacing w:line="276" w:lineRule="auto"/>
        <w:ind w:left="360"/>
        <w:jc w:val="both"/>
        <w:rPr>
          <w:rFonts w:ascii="Times New Roman" w:hAnsi="Times New Roman" w:cs="Times New Roman"/>
        </w:rPr>
      </w:pPr>
      <w:proofErr w:type="spellStart"/>
      <w:r w:rsidRPr="00ED72F0">
        <w:rPr>
          <w:rFonts w:ascii="Times New Roman" w:hAnsi="Times New Roman" w:cs="Times New Roman"/>
        </w:rPr>
        <w:lastRenderedPageBreak/>
        <w:t>Shidham</w:t>
      </w:r>
      <w:proofErr w:type="spellEnd"/>
      <w:r w:rsidRPr="00ED72F0">
        <w:rPr>
          <w:rFonts w:ascii="Times New Roman" w:hAnsi="Times New Roman" w:cs="Times New Roman"/>
        </w:rPr>
        <w:t xml:space="preserve">, V. B., &amp; Layfield, L. J. (2021). Cell-blocks and immunohistochemistry. </w:t>
      </w:r>
      <w:proofErr w:type="spellStart"/>
      <w:r w:rsidRPr="00ED72F0">
        <w:rPr>
          <w:rFonts w:ascii="Times New Roman" w:hAnsi="Times New Roman" w:cs="Times New Roman"/>
        </w:rPr>
        <w:t>Cytojournal</w:t>
      </w:r>
      <w:proofErr w:type="spellEnd"/>
      <w:r w:rsidRPr="00ED72F0">
        <w:rPr>
          <w:rFonts w:ascii="Times New Roman" w:hAnsi="Times New Roman" w:cs="Times New Roman"/>
        </w:rPr>
        <w:t>, 18, 2.</w:t>
      </w:r>
      <w:r w:rsidR="00C47914" w:rsidRPr="00ED72F0">
        <w:rPr>
          <w:rFonts w:ascii="Arial" w:eastAsia="Times New Roman" w:hAnsi="Arial" w:cs="Arial"/>
          <w:sz w:val="18"/>
          <w:szCs w:val="18"/>
        </w:rPr>
        <w:t xml:space="preserve"> https://doi.org/10.25259/Cytojournal_83_2020</w:t>
      </w:r>
    </w:p>
    <w:p w14:paraId="19D6971B" w14:textId="7C0B7E1E" w:rsidR="000A1240" w:rsidRPr="00ED72F0" w:rsidRDefault="000A1240" w:rsidP="00ED72F0">
      <w:pPr>
        <w:spacing w:line="276" w:lineRule="auto"/>
        <w:ind w:left="360"/>
        <w:jc w:val="both"/>
        <w:rPr>
          <w:rFonts w:ascii="Times New Roman" w:hAnsi="Times New Roman" w:cs="Times New Roman"/>
        </w:rPr>
      </w:pPr>
      <w:r w:rsidRPr="00ED72F0">
        <w:rPr>
          <w:rFonts w:ascii="Times New Roman" w:hAnsi="Times New Roman" w:cs="Times New Roman"/>
        </w:rPr>
        <w:t xml:space="preserve">Simon, J., </w:t>
      </w:r>
      <w:proofErr w:type="spellStart"/>
      <w:r w:rsidRPr="00ED72F0">
        <w:rPr>
          <w:rFonts w:ascii="Times New Roman" w:hAnsi="Times New Roman" w:cs="Times New Roman"/>
        </w:rPr>
        <w:t>Fliri</w:t>
      </w:r>
      <w:proofErr w:type="spellEnd"/>
      <w:r w:rsidRPr="00ED72F0">
        <w:rPr>
          <w:rFonts w:ascii="Times New Roman" w:hAnsi="Times New Roman" w:cs="Times New Roman"/>
        </w:rPr>
        <w:t xml:space="preserve">, L., Drexler, F., Bacher, M., Sapkota, J., </w:t>
      </w:r>
      <w:proofErr w:type="spellStart"/>
      <w:r w:rsidRPr="00ED72F0">
        <w:rPr>
          <w:rFonts w:ascii="Times New Roman" w:hAnsi="Times New Roman" w:cs="Times New Roman"/>
        </w:rPr>
        <w:t>Ristolainen</w:t>
      </w:r>
      <w:proofErr w:type="spellEnd"/>
      <w:r w:rsidRPr="00ED72F0">
        <w:rPr>
          <w:rFonts w:ascii="Times New Roman" w:hAnsi="Times New Roman" w:cs="Times New Roman"/>
        </w:rPr>
        <w:t>, M., ... &amp; Rosenau, T. (2023). Debugging periodate oxidation of cellulose: Why following the common protocol of quenching excess periodate with glycol is a bad idea. </w:t>
      </w:r>
      <w:r w:rsidRPr="00ED72F0">
        <w:rPr>
          <w:rFonts w:ascii="Times New Roman" w:hAnsi="Times New Roman" w:cs="Times New Roman"/>
          <w:i/>
          <w:iCs/>
        </w:rPr>
        <w:t>Carbohydrate Polymers</w:t>
      </w:r>
      <w:r w:rsidRPr="00ED72F0">
        <w:rPr>
          <w:rFonts w:ascii="Times New Roman" w:hAnsi="Times New Roman" w:cs="Times New Roman"/>
        </w:rPr>
        <w:t>, </w:t>
      </w:r>
      <w:r w:rsidRPr="00ED72F0">
        <w:rPr>
          <w:rFonts w:ascii="Times New Roman" w:hAnsi="Times New Roman" w:cs="Times New Roman"/>
          <w:i/>
          <w:iCs/>
        </w:rPr>
        <w:t>310</w:t>
      </w:r>
      <w:r w:rsidRPr="00ED72F0">
        <w:rPr>
          <w:rFonts w:ascii="Times New Roman" w:hAnsi="Times New Roman" w:cs="Times New Roman"/>
        </w:rPr>
        <w:t>, 120691.</w:t>
      </w:r>
      <w:r w:rsidR="00C47914" w:rsidRPr="00ED72F0">
        <w:rPr>
          <w:rFonts w:ascii="Arial" w:eastAsia="Times New Roman" w:hAnsi="Arial" w:cs="Arial"/>
          <w:sz w:val="18"/>
          <w:szCs w:val="18"/>
        </w:rPr>
        <w:t xml:space="preserve"> https://doi.org/10.1016/j.carbpol.2023.120691</w:t>
      </w:r>
    </w:p>
    <w:p w14:paraId="586FB2EF" w14:textId="09B26F3B" w:rsidR="000A1240" w:rsidRPr="00ED72F0" w:rsidRDefault="000A1240" w:rsidP="00ED72F0">
      <w:pPr>
        <w:spacing w:line="276" w:lineRule="auto"/>
        <w:ind w:left="360"/>
        <w:jc w:val="both"/>
        <w:rPr>
          <w:rFonts w:ascii="Times New Roman" w:hAnsi="Times New Roman" w:cs="Times New Roman"/>
        </w:rPr>
      </w:pPr>
      <w:proofErr w:type="spellStart"/>
      <w:r w:rsidRPr="00ED72F0">
        <w:rPr>
          <w:rFonts w:ascii="Times New Roman" w:hAnsi="Times New Roman" w:cs="Times New Roman"/>
        </w:rPr>
        <w:t>Srimaroeng</w:t>
      </w:r>
      <w:proofErr w:type="spellEnd"/>
      <w:r w:rsidRPr="00ED72F0">
        <w:rPr>
          <w:rFonts w:ascii="Times New Roman" w:hAnsi="Times New Roman" w:cs="Times New Roman"/>
        </w:rPr>
        <w:t xml:space="preserve">, C., </w:t>
      </w:r>
      <w:proofErr w:type="spellStart"/>
      <w:r w:rsidRPr="00ED72F0">
        <w:rPr>
          <w:rFonts w:ascii="Times New Roman" w:hAnsi="Times New Roman" w:cs="Times New Roman"/>
        </w:rPr>
        <w:t>Ontawong</w:t>
      </w:r>
      <w:proofErr w:type="spellEnd"/>
      <w:r w:rsidRPr="00ED72F0">
        <w:rPr>
          <w:rFonts w:ascii="Times New Roman" w:hAnsi="Times New Roman" w:cs="Times New Roman"/>
        </w:rPr>
        <w:t xml:space="preserve">, A., </w:t>
      </w:r>
      <w:proofErr w:type="spellStart"/>
      <w:r w:rsidRPr="00ED72F0">
        <w:rPr>
          <w:rFonts w:ascii="Times New Roman" w:hAnsi="Times New Roman" w:cs="Times New Roman"/>
        </w:rPr>
        <w:t>Saowakon</w:t>
      </w:r>
      <w:proofErr w:type="spellEnd"/>
      <w:r w:rsidRPr="00ED72F0">
        <w:rPr>
          <w:rFonts w:ascii="Times New Roman" w:hAnsi="Times New Roman" w:cs="Times New Roman"/>
        </w:rPr>
        <w:t xml:space="preserve">, N., </w:t>
      </w:r>
      <w:proofErr w:type="spellStart"/>
      <w:r w:rsidRPr="00ED72F0">
        <w:rPr>
          <w:rFonts w:ascii="Times New Roman" w:hAnsi="Times New Roman" w:cs="Times New Roman"/>
        </w:rPr>
        <w:t>Vivithanaporn</w:t>
      </w:r>
      <w:proofErr w:type="spellEnd"/>
      <w:r w:rsidRPr="00ED72F0">
        <w:rPr>
          <w:rFonts w:ascii="Times New Roman" w:hAnsi="Times New Roman" w:cs="Times New Roman"/>
        </w:rPr>
        <w:t xml:space="preserve">, P., </w:t>
      </w:r>
      <w:proofErr w:type="spellStart"/>
      <w:r w:rsidRPr="00ED72F0">
        <w:rPr>
          <w:rFonts w:ascii="Times New Roman" w:hAnsi="Times New Roman" w:cs="Times New Roman"/>
        </w:rPr>
        <w:t>Pongchaidecha</w:t>
      </w:r>
      <w:proofErr w:type="spellEnd"/>
      <w:r w:rsidRPr="00ED72F0">
        <w:rPr>
          <w:rFonts w:ascii="Times New Roman" w:hAnsi="Times New Roman" w:cs="Times New Roman"/>
        </w:rPr>
        <w:t xml:space="preserve">, A., </w:t>
      </w:r>
      <w:proofErr w:type="spellStart"/>
      <w:r w:rsidRPr="00ED72F0">
        <w:rPr>
          <w:rFonts w:ascii="Times New Roman" w:hAnsi="Times New Roman" w:cs="Times New Roman"/>
        </w:rPr>
        <w:t>Amornlerdpison</w:t>
      </w:r>
      <w:proofErr w:type="spellEnd"/>
      <w:r w:rsidRPr="00ED72F0">
        <w:rPr>
          <w:rFonts w:ascii="Times New Roman" w:hAnsi="Times New Roman" w:cs="Times New Roman"/>
        </w:rPr>
        <w:t xml:space="preserve">, D., ... &amp; </w:t>
      </w:r>
      <w:proofErr w:type="spellStart"/>
      <w:r w:rsidRPr="00ED72F0">
        <w:rPr>
          <w:rFonts w:ascii="Times New Roman" w:hAnsi="Times New Roman" w:cs="Times New Roman"/>
        </w:rPr>
        <w:t>Chatsudthipong</w:t>
      </w:r>
      <w:proofErr w:type="spellEnd"/>
      <w:r w:rsidRPr="00ED72F0">
        <w:rPr>
          <w:rFonts w:ascii="Times New Roman" w:hAnsi="Times New Roman" w:cs="Times New Roman"/>
        </w:rPr>
        <w:t xml:space="preserve">, V. (2015). Antidiabetic and </w:t>
      </w:r>
      <w:proofErr w:type="spellStart"/>
      <w:r w:rsidRPr="00ED72F0">
        <w:rPr>
          <w:rFonts w:ascii="Times New Roman" w:hAnsi="Times New Roman" w:cs="Times New Roman"/>
        </w:rPr>
        <w:t>renoprotective</w:t>
      </w:r>
      <w:proofErr w:type="spellEnd"/>
      <w:r w:rsidRPr="00ED72F0">
        <w:rPr>
          <w:rFonts w:ascii="Times New Roman" w:hAnsi="Times New Roman" w:cs="Times New Roman"/>
        </w:rPr>
        <w:t xml:space="preserve"> effects of Cladophora </w:t>
      </w:r>
      <w:proofErr w:type="spellStart"/>
      <w:r w:rsidRPr="00ED72F0">
        <w:rPr>
          <w:rFonts w:ascii="Times New Roman" w:hAnsi="Times New Roman" w:cs="Times New Roman"/>
        </w:rPr>
        <w:t>glomerata</w:t>
      </w:r>
      <w:proofErr w:type="spellEnd"/>
      <w:r w:rsidRPr="00ED72F0">
        <w:rPr>
          <w:rFonts w:ascii="Times New Roman" w:hAnsi="Times New Roman" w:cs="Times New Roman"/>
        </w:rPr>
        <w:t xml:space="preserve"> </w:t>
      </w:r>
      <w:proofErr w:type="spellStart"/>
      <w:r w:rsidRPr="00ED72F0">
        <w:rPr>
          <w:rFonts w:ascii="Times New Roman" w:hAnsi="Times New Roman" w:cs="Times New Roman"/>
        </w:rPr>
        <w:t>Kützing</w:t>
      </w:r>
      <w:proofErr w:type="spellEnd"/>
      <w:r w:rsidRPr="00ED72F0">
        <w:rPr>
          <w:rFonts w:ascii="Times New Roman" w:hAnsi="Times New Roman" w:cs="Times New Roman"/>
        </w:rPr>
        <w:t xml:space="preserve"> extract in experimental type 2 diabetic rats: a potential nutraceutical product for diabetic nephropathy. </w:t>
      </w:r>
      <w:r w:rsidRPr="00ED72F0">
        <w:rPr>
          <w:rFonts w:ascii="Times New Roman" w:hAnsi="Times New Roman" w:cs="Times New Roman"/>
          <w:i/>
          <w:iCs/>
        </w:rPr>
        <w:t>Journal of diabetes research</w:t>
      </w:r>
      <w:r w:rsidRPr="00ED72F0">
        <w:rPr>
          <w:rFonts w:ascii="Times New Roman" w:hAnsi="Times New Roman" w:cs="Times New Roman"/>
        </w:rPr>
        <w:t>, </w:t>
      </w:r>
      <w:r w:rsidRPr="00ED72F0">
        <w:rPr>
          <w:rFonts w:ascii="Times New Roman" w:hAnsi="Times New Roman" w:cs="Times New Roman"/>
          <w:i/>
          <w:iCs/>
        </w:rPr>
        <w:t>2015</w:t>
      </w:r>
      <w:r w:rsidRPr="00ED72F0">
        <w:rPr>
          <w:rFonts w:ascii="Times New Roman" w:hAnsi="Times New Roman" w:cs="Times New Roman"/>
        </w:rPr>
        <w:t>(1), 320167.</w:t>
      </w:r>
      <w:r w:rsidR="00C47914" w:rsidRPr="00ED72F0">
        <w:rPr>
          <w:rFonts w:ascii="Arial" w:eastAsia="Times New Roman" w:hAnsi="Arial" w:cs="Arial"/>
          <w:sz w:val="18"/>
          <w:szCs w:val="18"/>
        </w:rPr>
        <w:t xml:space="preserve"> https://doi.org/10.1155/2015/320167</w:t>
      </w:r>
    </w:p>
    <w:p w14:paraId="503069A4" w14:textId="40C1A436" w:rsidR="000A1240" w:rsidRPr="00ED72F0" w:rsidRDefault="000A1240" w:rsidP="00ED72F0">
      <w:pPr>
        <w:spacing w:line="276" w:lineRule="auto"/>
        <w:ind w:left="360"/>
        <w:jc w:val="both"/>
        <w:rPr>
          <w:rFonts w:ascii="Times New Roman" w:hAnsi="Times New Roman" w:cs="Times New Roman"/>
        </w:rPr>
      </w:pPr>
      <w:proofErr w:type="spellStart"/>
      <w:r w:rsidRPr="00ED72F0">
        <w:rPr>
          <w:rFonts w:ascii="Times New Roman" w:hAnsi="Times New Roman" w:cs="Times New Roman"/>
        </w:rPr>
        <w:t>Szczubiał</w:t>
      </w:r>
      <w:proofErr w:type="spellEnd"/>
      <w:r w:rsidRPr="00ED72F0">
        <w:rPr>
          <w:rFonts w:ascii="Times New Roman" w:hAnsi="Times New Roman" w:cs="Times New Roman"/>
        </w:rPr>
        <w:t xml:space="preserve">, M., Kankofer, M., Wawrzykowski, J., Dąbrowski, R., </w:t>
      </w:r>
      <w:proofErr w:type="spellStart"/>
      <w:r w:rsidRPr="00ED72F0">
        <w:rPr>
          <w:rFonts w:ascii="Times New Roman" w:hAnsi="Times New Roman" w:cs="Times New Roman"/>
        </w:rPr>
        <w:t>Bochniarz</w:t>
      </w:r>
      <w:proofErr w:type="spellEnd"/>
      <w:r w:rsidRPr="00ED72F0">
        <w:rPr>
          <w:rFonts w:ascii="Times New Roman" w:hAnsi="Times New Roman" w:cs="Times New Roman"/>
        </w:rPr>
        <w:t>, M., &amp; Brodzki, P. (2022). Activity of the glycosidases β-galactosidase, α-l-</w:t>
      </w:r>
      <w:proofErr w:type="spellStart"/>
      <w:r w:rsidRPr="00ED72F0">
        <w:rPr>
          <w:rFonts w:ascii="Times New Roman" w:hAnsi="Times New Roman" w:cs="Times New Roman"/>
        </w:rPr>
        <w:t>fucosidase</w:t>
      </w:r>
      <w:proofErr w:type="spellEnd"/>
      <w:r w:rsidRPr="00ED72F0">
        <w:rPr>
          <w:rFonts w:ascii="Times New Roman" w:hAnsi="Times New Roman" w:cs="Times New Roman"/>
        </w:rPr>
        <w:t>, β-N-acetyl-hexosaminidase, and sialidase in uterine tissues from female dogs in diestrus with and without pyometra. </w:t>
      </w:r>
      <w:r w:rsidRPr="00ED72F0">
        <w:rPr>
          <w:rFonts w:ascii="Times New Roman" w:hAnsi="Times New Roman" w:cs="Times New Roman"/>
          <w:i/>
          <w:iCs/>
        </w:rPr>
        <w:t>Theriogenology</w:t>
      </w:r>
      <w:r w:rsidRPr="00ED72F0">
        <w:rPr>
          <w:rFonts w:ascii="Times New Roman" w:hAnsi="Times New Roman" w:cs="Times New Roman"/>
        </w:rPr>
        <w:t>, </w:t>
      </w:r>
      <w:r w:rsidRPr="00ED72F0">
        <w:rPr>
          <w:rFonts w:ascii="Times New Roman" w:hAnsi="Times New Roman" w:cs="Times New Roman"/>
          <w:i/>
          <w:iCs/>
        </w:rPr>
        <w:t>177</w:t>
      </w:r>
      <w:r w:rsidRPr="00ED72F0">
        <w:rPr>
          <w:rFonts w:ascii="Times New Roman" w:hAnsi="Times New Roman" w:cs="Times New Roman"/>
        </w:rPr>
        <w:t>, 133-139.</w:t>
      </w:r>
      <w:r w:rsidR="00C47914" w:rsidRPr="00ED72F0">
        <w:rPr>
          <w:rFonts w:ascii="Arial" w:eastAsia="Times New Roman" w:hAnsi="Arial" w:cs="Arial"/>
          <w:sz w:val="18"/>
          <w:szCs w:val="18"/>
        </w:rPr>
        <w:t xml:space="preserve"> https://doi.org/10.1016/j.theriogenology.2021.10.020</w:t>
      </w:r>
    </w:p>
    <w:p w14:paraId="6C51AB37" w14:textId="00D6277F" w:rsidR="000A1240" w:rsidRPr="00ED72F0" w:rsidRDefault="000A1240" w:rsidP="00ED72F0">
      <w:pPr>
        <w:spacing w:line="276" w:lineRule="auto"/>
        <w:ind w:left="360"/>
        <w:jc w:val="both"/>
        <w:rPr>
          <w:rFonts w:ascii="Times New Roman" w:hAnsi="Times New Roman" w:cs="Times New Roman"/>
        </w:rPr>
      </w:pPr>
      <w:r w:rsidRPr="00ED72F0">
        <w:rPr>
          <w:rFonts w:ascii="Times New Roman" w:hAnsi="Times New Roman" w:cs="Times New Roman"/>
        </w:rPr>
        <w:t>Tosta, T. A. A., de Faria, P. R., Neves, L. A., &amp; do Nascimento, M. Z. (2019). Computational normalization of H&amp;E-stained histological images: Progress, challenges and future potential. </w:t>
      </w:r>
      <w:r w:rsidRPr="00ED72F0">
        <w:rPr>
          <w:rFonts w:ascii="Times New Roman" w:hAnsi="Times New Roman" w:cs="Times New Roman"/>
          <w:i/>
          <w:iCs/>
        </w:rPr>
        <w:t>Artificial intelligence in medicine</w:t>
      </w:r>
      <w:r w:rsidRPr="00ED72F0">
        <w:rPr>
          <w:rFonts w:ascii="Times New Roman" w:hAnsi="Times New Roman" w:cs="Times New Roman"/>
        </w:rPr>
        <w:t>, </w:t>
      </w:r>
      <w:r w:rsidRPr="00ED72F0">
        <w:rPr>
          <w:rFonts w:ascii="Times New Roman" w:hAnsi="Times New Roman" w:cs="Times New Roman"/>
          <w:i/>
          <w:iCs/>
        </w:rPr>
        <w:t>95</w:t>
      </w:r>
      <w:r w:rsidRPr="00ED72F0">
        <w:rPr>
          <w:rFonts w:ascii="Times New Roman" w:hAnsi="Times New Roman" w:cs="Times New Roman"/>
        </w:rPr>
        <w:t>, 118-132.</w:t>
      </w:r>
      <w:r w:rsidR="00C47914" w:rsidRPr="00ED72F0">
        <w:rPr>
          <w:rFonts w:ascii="Arial" w:eastAsia="Times New Roman" w:hAnsi="Arial" w:cs="Arial"/>
          <w:sz w:val="18"/>
          <w:szCs w:val="18"/>
        </w:rPr>
        <w:t xml:space="preserve"> https://doi.org/10.1016/j.artmed.2018.10.004</w:t>
      </w:r>
    </w:p>
    <w:p w14:paraId="7E04F70D" w14:textId="5D932C74" w:rsidR="007277DF" w:rsidRPr="00ED72F0" w:rsidRDefault="007277DF" w:rsidP="00ED72F0">
      <w:pPr>
        <w:spacing w:line="276" w:lineRule="auto"/>
        <w:ind w:left="360"/>
        <w:jc w:val="both"/>
        <w:rPr>
          <w:rFonts w:ascii="Times New Roman" w:hAnsi="Times New Roman" w:cs="Times New Roman"/>
        </w:rPr>
      </w:pPr>
      <w:r w:rsidRPr="00ED72F0">
        <w:rPr>
          <w:rFonts w:ascii="Times New Roman" w:hAnsi="Times New Roman" w:cs="Times New Roman"/>
        </w:rPr>
        <w:t xml:space="preserve">Trevisani, F., Floris, M., </w:t>
      </w:r>
      <w:proofErr w:type="spellStart"/>
      <w:r w:rsidRPr="00ED72F0">
        <w:rPr>
          <w:rFonts w:ascii="Times New Roman" w:hAnsi="Times New Roman" w:cs="Times New Roman"/>
        </w:rPr>
        <w:t>Minnei</w:t>
      </w:r>
      <w:proofErr w:type="spellEnd"/>
      <w:r w:rsidRPr="00ED72F0">
        <w:rPr>
          <w:rFonts w:ascii="Times New Roman" w:hAnsi="Times New Roman" w:cs="Times New Roman"/>
        </w:rPr>
        <w:t xml:space="preserve">, R., &amp; Cinque, A. (2022). Renal oncocytoma: The diagnostic challenge to unmask the double of renal cancer. International Journal of Molecular Sciences, 23(5), 2603. </w:t>
      </w:r>
      <w:hyperlink r:id="rId8" w:history="1">
        <w:r w:rsidRPr="00ED72F0">
          <w:rPr>
            <w:rStyle w:val="Hyperlink"/>
            <w:rFonts w:ascii="Times New Roman" w:hAnsi="Times New Roman" w:cs="Times New Roman"/>
          </w:rPr>
          <w:t>https://doi.org/10.3390/ijms23052603</w:t>
        </w:r>
      </w:hyperlink>
    </w:p>
    <w:p w14:paraId="7F8EFCF9" w14:textId="410A0AF5" w:rsidR="007277DF" w:rsidRPr="00ED72F0" w:rsidRDefault="007277DF" w:rsidP="00ED72F0">
      <w:pPr>
        <w:spacing w:line="276" w:lineRule="auto"/>
        <w:ind w:left="360"/>
        <w:jc w:val="both"/>
        <w:rPr>
          <w:rFonts w:ascii="Times New Roman" w:hAnsi="Times New Roman" w:cs="Times New Roman"/>
        </w:rPr>
      </w:pPr>
      <w:r w:rsidRPr="00ED72F0">
        <w:rPr>
          <w:rFonts w:ascii="Times New Roman" w:hAnsi="Times New Roman" w:cs="Times New Roman"/>
        </w:rPr>
        <w:t xml:space="preserve">Truong, L. D., &amp; Shen, S. S. (2011). Immunohistochemical diagnosis of renal neoplasms. Archives of Pathology &amp; Laboratory Medicine, 135(1), 92-109. </w:t>
      </w:r>
      <w:hyperlink r:id="rId9" w:history="1">
        <w:r w:rsidRPr="00ED72F0">
          <w:rPr>
            <w:rStyle w:val="Hyperlink"/>
            <w:rFonts w:ascii="Times New Roman" w:hAnsi="Times New Roman" w:cs="Times New Roman"/>
          </w:rPr>
          <w:t>https://doi.org/10.5858/2010-0478-RAR.1</w:t>
        </w:r>
      </w:hyperlink>
    </w:p>
    <w:p w14:paraId="27D2E562" w14:textId="61813B5E" w:rsidR="007277DF" w:rsidRPr="00ED72F0" w:rsidRDefault="007277DF" w:rsidP="00ED72F0">
      <w:pPr>
        <w:spacing w:line="276" w:lineRule="auto"/>
        <w:ind w:left="360"/>
        <w:jc w:val="both"/>
        <w:rPr>
          <w:rFonts w:ascii="Times New Roman" w:hAnsi="Times New Roman" w:cs="Times New Roman"/>
        </w:rPr>
      </w:pPr>
      <w:r w:rsidRPr="00ED72F0">
        <w:rPr>
          <w:rFonts w:ascii="Times New Roman" w:hAnsi="Times New Roman" w:cs="Times New Roman"/>
        </w:rPr>
        <w:t xml:space="preserve">Truong, L. D., &amp; Shen, S. S. (2011). Immunohistochemical diagnosis of renal neoplasms. Archives of Pathology &amp; Laboratory Medicine, 135(1), 92-109. </w:t>
      </w:r>
      <w:hyperlink r:id="rId10" w:history="1">
        <w:r w:rsidRPr="00ED72F0">
          <w:rPr>
            <w:rStyle w:val="Hyperlink"/>
            <w:rFonts w:ascii="Times New Roman" w:hAnsi="Times New Roman" w:cs="Times New Roman"/>
          </w:rPr>
          <w:t>https://doi.org/10.5858/2010-0478-RAR.1</w:t>
        </w:r>
      </w:hyperlink>
    </w:p>
    <w:p w14:paraId="122325CD" w14:textId="608D2D60" w:rsidR="007277DF" w:rsidRPr="00ED72F0" w:rsidRDefault="007277DF" w:rsidP="00ED72F0">
      <w:pPr>
        <w:spacing w:line="276" w:lineRule="auto"/>
        <w:ind w:left="360"/>
        <w:jc w:val="both"/>
        <w:rPr>
          <w:rFonts w:ascii="Times New Roman" w:hAnsi="Times New Roman" w:cs="Times New Roman"/>
        </w:rPr>
      </w:pPr>
      <w:proofErr w:type="spellStart"/>
      <w:r w:rsidRPr="00ED72F0">
        <w:rPr>
          <w:rFonts w:ascii="Times New Roman" w:hAnsi="Times New Roman" w:cs="Times New Roman"/>
        </w:rPr>
        <w:t>Veuthey</w:t>
      </w:r>
      <w:proofErr w:type="spellEnd"/>
      <w:r w:rsidRPr="00ED72F0">
        <w:rPr>
          <w:rFonts w:ascii="Times New Roman" w:hAnsi="Times New Roman" w:cs="Times New Roman"/>
        </w:rPr>
        <w:t xml:space="preserve">, T. V., Herrera, M. G., &amp; Dodero, V. I. (2014). Dyes and stains: from molecular structure to histological application. Frontiers in Bioscience (Landmark Edition), 19(1), 91–112. </w:t>
      </w:r>
      <w:hyperlink r:id="rId11" w:history="1">
        <w:r w:rsidRPr="00ED72F0">
          <w:rPr>
            <w:rStyle w:val="Hyperlink"/>
            <w:rFonts w:ascii="Times New Roman" w:hAnsi="Times New Roman" w:cs="Times New Roman"/>
          </w:rPr>
          <w:t>https://doi.org/10.2741/4197</w:t>
        </w:r>
      </w:hyperlink>
    </w:p>
    <w:p w14:paraId="2FEAE92E" w14:textId="5A17F943" w:rsidR="007277DF" w:rsidRPr="00ED72F0" w:rsidRDefault="007277DF" w:rsidP="00ED72F0">
      <w:pPr>
        <w:spacing w:line="276" w:lineRule="auto"/>
        <w:ind w:left="360"/>
        <w:jc w:val="both"/>
        <w:rPr>
          <w:rFonts w:ascii="Times New Roman" w:hAnsi="Times New Roman" w:cs="Times New Roman"/>
        </w:rPr>
      </w:pPr>
      <w:r w:rsidRPr="00ED72F0">
        <w:rPr>
          <w:rFonts w:ascii="Times New Roman" w:hAnsi="Times New Roman" w:cs="Times New Roman"/>
        </w:rPr>
        <w:t xml:space="preserve">Wadei, H. M., &amp; Textor, S. C. (2012). The role of the kidney in regulating arterial blood pressure. Nature Reviews Nephrology, 8(10), 602-609. </w:t>
      </w:r>
      <w:hyperlink r:id="rId12" w:history="1">
        <w:r w:rsidRPr="00ED72F0">
          <w:rPr>
            <w:rStyle w:val="Hyperlink"/>
            <w:rFonts w:ascii="Times New Roman" w:hAnsi="Times New Roman" w:cs="Times New Roman"/>
          </w:rPr>
          <w:t>https://doi.org/10.1038/nrneph.2012.191</w:t>
        </w:r>
      </w:hyperlink>
    </w:p>
    <w:p w14:paraId="2B4BC089" w14:textId="27156186" w:rsidR="007277DF" w:rsidRPr="00ED72F0" w:rsidRDefault="007277DF" w:rsidP="00ED72F0">
      <w:pPr>
        <w:spacing w:line="276" w:lineRule="auto"/>
        <w:ind w:left="360"/>
        <w:jc w:val="both"/>
        <w:rPr>
          <w:rFonts w:ascii="Times New Roman" w:hAnsi="Times New Roman" w:cs="Times New Roman"/>
        </w:rPr>
      </w:pPr>
      <w:r w:rsidRPr="00ED72F0">
        <w:rPr>
          <w:rFonts w:ascii="Times New Roman" w:hAnsi="Times New Roman" w:cs="Times New Roman"/>
        </w:rPr>
        <w:lastRenderedPageBreak/>
        <w:t xml:space="preserve">Wang, S., &amp; Zheng, Z. (2024). Advances in Oral Exfoliative Cytology: From Cancer Diagnosis to Systemic Disease Detection. Diagnostic Cytopathology, 52(11), 697-706. </w:t>
      </w:r>
      <w:hyperlink r:id="rId13" w:history="1">
        <w:r w:rsidRPr="00ED72F0">
          <w:rPr>
            <w:rStyle w:val="Hyperlink"/>
            <w:rFonts w:ascii="Times New Roman" w:hAnsi="Times New Roman" w:cs="Times New Roman"/>
          </w:rPr>
          <w:t>https://doi.org/10.1002/dc.25400</w:t>
        </w:r>
      </w:hyperlink>
    </w:p>
    <w:p w14:paraId="4E273761" w14:textId="283839E1" w:rsidR="007277DF" w:rsidRPr="00ED72F0" w:rsidRDefault="007277DF" w:rsidP="00ED72F0">
      <w:pPr>
        <w:spacing w:line="276" w:lineRule="auto"/>
        <w:ind w:left="360"/>
        <w:jc w:val="both"/>
        <w:rPr>
          <w:rFonts w:ascii="Times New Roman" w:hAnsi="Times New Roman" w:cs="Times New Roman"/>
        </w:rPr>
      </w:pPr>
      <w:proofErr w:type="spellStart"/>
      <w:r w:rsidRPr="00ED72F0">
        <w:rPr>
          <w:rFonts w:ascii="Times New Roman" w:hAnsi="Times New Roman" w:cs="Times New Roman"/>
        </w:rPr>
        <w:t>Winyard</w:t>
      </w:r>
      <w:proofErr w:type="spellEnd"/>
      <w:r w:rsidRPr="00ED72F0">
        <w:rPr>
          <w:rFonts w:ascii="Times New Roman" w:hAnsi="Times New Roman" w:cs="Times New Roman"/>
        </w:rPr>
        <w:t xml:space="preserve">, P. J., Risdon, R. A., Sams, V. R., Dressler, G. R., &amp; Woolf, A. S. (1996). The PAX2 Transcription Factor Is Expressed in Cystic and Hyperproliferative Dysplastic Epithelia in Human Kidney Malformations. The Journal of Clinical Investigation, 98(2), 451-459. </w:t>
      </w:r>
      <w:hyperlink r:id="rId14" w:history="1">
        <w:r w:rsidRPr="00ED72F0">
          <w:rPr>
            <w:rStyle w:val="Hyperlink"/>
            <w:rFonts w:ascii="Times New Roman" w:hAnsi="Times New Roman" w:cs="Times New Roman"/>
          </w:rPr>
          <w:t>https://doi.org/10.1172/JCI118811</w:t>
        </w:r>
      </w:hyperlink>
    </w:p>
    <w:p w14:paraId="2AB54242" w14:textId="1F93E44D" w:rsidR="007277DF" w:rsidRPr="00ED72F0" w:rsidRDefault="007277DF" w:rsidP="00ED72F0">
      <w:pPr>
        <w:spacing w:line="276" w:lineRule="auto"/>
        <w:ind w:left="360"/>
        <w:jc w:val="both"/>
        <w:rPr>
          <w:rFonts w:ascii="Times New Roman" w:hAnsi="Times New Roman" w:cs="Times New Roman"/>
        </w:rPr>
      </w:pPr>
      <w:r w:rsidRPr="00ED72F0">
        <w:rPr>
          <w:rFonts w:ascii="Times New Roman" w:hAnsi="Times New Roman" w:cs="Times New Roman"/>
        </w:rPr>
        <w:t xml:space="preserve">Yang, T., Kang, E., Zhang, L., Zhuang, J., Li, Y., Jiang, Y., Wang, H., Yu, W., &amp; Zhang, W. (2022). Papillary renal neoplasm with reverse polarity may be a novel renal cell tumor entity with low malignant potential. Diagnostic Pathology, 17(1), 66. </w:t>
      </w:r>
      <w:hyperlink r:id="rId15" w:history="1">
        <w:r w:rsidRPr="00ED72F0">
          <w:rPr>
            <w:rStyle w:val="Hyperlink"/>
            <w:rFonts w:ascii="Times New Roman" w:hAnsi="Times New Roman" w:cs="Times New Roman"/>
          </w:rPr>
          <w:t>https://doi.org/10.1186/s13000-022-01235-2</w:t>
        </w:r>
      </w:hyperlink>
    </w:p>
    <w:p w14:paraId="1D95099D" w14:textId="228E3FE2" w:rsidR="000A1240" w:rsidRPr="00ED72F0" w:rsidRDefault="007277DF" w:rsidP="00ED72F0">
      <w:pPr>
        <w:spacing w:line="276" w:lineRule="auto"/>
        <w:ind w:left="360"/>
        <w:jc w:val="both"/>
        <w:rPr>
          <w:rFonts w:ascii="Times New Roman" w:hAnsi="Times New Roman" w:cs="Times New Roman"/>
        </w:rPr>
      </w:pPr>
      <w:r w:rsidRPr="00ED72F0">
        <w:rPr>
          <w:rFonts w:ascii="Times New Roman" w:hAnsi="Times New Roman" w:cs="Times New Roman"/>
        </w:rPr>
        <w:t>Zhou, Y., Qi, T., Yang, Y., Li, Z., Hou, Z., Zhao, X., Ge, Q., &amp; Lu, Z. (2024). Effect of Different Staining Methods on Brain Cryosections. ACS Chemical Neuroscience, 15(11), 2243-2252. https://doi.org/10.1021/acschemneuro.4c00069</w:t>
      </w:r>
    </w:p>
    <w:p w14:paraId="799E934A" w14:textId="77777777" w:rsidR="000A1240" w:rsidRPr="000A6C1E" w:rsidRDefault="000A1240" w:rsidP="00D05C74">
      <w:pPr>
        <w:spacing w:line="276" w:lineRule="auto"/>
        <w:jc w:val="both"/>
        <w:rPr>
          <w:rFonts w:ascii="Times New Roman" w:hAnsi="Times New Roman" w:cs="Times New Roman"/>
        </w:rPr>
      </w:pPr>
    </w:p>
    <w:p w14:paraId="11323D99" w14:textId="77777777" w:rsidR="00D05C74" w:rsidRDefault="00D05C74" w:rsidP="00D05C74">
      <w:pPr>
        <w:spacing w:line="276" w:lineRule="auto"/>
        <w:rPr>
          <w:rFonts w:ascii="Times New Roman" w:hAnsi="Times New Roman" w:cs="Times New Roman"/>
          <w:b/>
          <w:bCs/>
        </w:rPr>
      </w:pPr>
      <w:r>
        <w:rPr>
          <w:rFonts w:ascii="Times New Roman" w:hAnsi="Times New Roman" w:cs="Times New Roman"/>
          <w:b/>
          <w:bCs/>
        </w:rPr>
        <w:br w:type="page"/>
      </w:r>
    </w:p>
    <w:p w14:paraId="6E4E692D" w14:textId="77777777" w:rsidR="00ED0EF3" w:rsidRDefault="00ED0EF3" w:rsidP="00D05C74">
      <w:pPr>
        <w:spacing w:line="276" w:lineRule="auto"/>
        <w:jc w:val="both"/>
        <w:rPr>
          <w:rFonts w:ascii="Times New Roman" w:hAnsi="Times New Roman" w:cs="Times New Roman"/>
        </w:rPr>
      </w:pPr>
    </w:p>
    <w:p w14:paraId="51320C97" w14:textId="77777777" w:rsidR="00ED0EF3" w:rsidRDefault="00ED0EF3" w:rsidP="00D05C74">
      <w:pPr>
        <w:spacing w:line="276" w:lineRule="auto"/>
        <w:jc w:val="both"/>
        <w:rPr>
          <w:rFonts w:ascii="Times New Roman" w:hAnsi="Times New Roman" w:cs="Times New Roman"/>
        </w:rPr>
      </w:pPr>
    </w:p>
    <w:p w14:paraId="04FA81B1" w14:textId="77777777" w:rsidR="00ED0EF3" w:rsidRDefault="00ED0EF3" w:rsidP="00ED0EF3">
      <w:pPr>
        <w:spacing w:line="480" w:lineRule="auto"/>
        <w:jc w:val="both"/>
        <w:rPr>
          <w:rFonts w:ascii="Times New Roman" w:hAnsi="Times New Roman" w:cs="Times New Roman"/>
        </w:rPr>
      </w:pPr>
    </w:p>
    <w:p w14:paraId="194E0851" w14:textId="77777777" w:rsidR="00ED0EF3" w:rsidRDefault="00ED0EF3" w:rsidP="00ED0EF3">
      <w:pPr>
        <w:spacing w:line="480" w:lineRule="auto"/>
        <w:jc w:val="both"/>
        <w:rPr>
          <w:rFonts w:ascii="Times New Roman" w:hAnsi="Times New Roman" w:cs="Times New Roman"/>
        </w:rPr>
      </w:pPr>
      <w:r>
        <w:rPr>
          <w:noProof/>
        </w:rPr>
        <w:drawing>
          <wp:inline distT="0" distB="0" distL="0" distR="0" wp14:anchorId="4A160BF4" wp14:editId="4AD579BD">
            <wp:extent cx="5057775" cy="3200400"/>
            <wp:effectExtent l="0" t="0" r="9525" b="0"/>
            <wp:docPr id="2002695972" name="Picture 1" descr="H-and-E-Staining-Overview-A-Guide-to-Best-Practices-img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and-E-Staining-Overview-A-Guide-to-Best-Practices-img0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57775" cy="3200400"/>
                    </a:xfrm>
                    <a:prstGeom prst="rect">
                      <a:avLst/>
                    </a:prstGeom>
                    <a:noFill/>
                    <a:ln>
                      <a:noFill/>
                    </a:ln>
                  </pic:spPr>
                </pic:pic>
              </a:graphicData>
            </a:graphic>
          </wp:inline>
        </w:drawing>
      </w:r>
    </w:p>
    <w:p w14:paraId="61A1DAEC" w14:textId="77777777" w:rsidR="00ED0EF3" w:rsidRDefault="00ED0EF3" w:rsidP="00ED0EF3">
      <w:pPr>
        <w:spacing w:line="480" w:lineRule="auto"/>
        <w:jc w:val="both"/>
        <w:rPr>
          <w:rFonts w:ascii="Times New Roman" w:hAnsi="Times New Roman" w:cs="Times New Roman"/>
        </w:rPr>
      </w:pPr>
      <w:r w:rsidRPr="00153C93">
        <w:rPr>
          <w:rFonts w:ascii="Times New Roman" w:hAnsi="Times New Roman" w:cs="Times New Roman"/>
          <w:b/>
          <w:bCs/>
          <w:i/>
          <w:iCs/>
        </w:rPr>
        <w:t xml:space="preserve">Figure 1. </w:t>
      </w:r>
      <w:proofErr w:type="gramStart"/>
      <w:r w:rsidRPr="00153C93">
        <w:rPr>
          <w:rFonts w:ascii="Times New Roman" w:hAnsi="Times New Roman" w:cs="Times New Roman"/>
          <w:b/>
          <w:bCs/>
          <w:i/>
          <w:iCs/>
        </w:rPr>
        <w:t>Glomerulus;</w:t>
      </w:r>
      <w:r>
        <w:rPr>
          <w:rFonts w:ascii="Times New Roman" w:hAnsi="Times New Roman" w:cs="Times New Roman"/>
          <w:i/>
          <w:iCs/>
        </w:rPr>
        <w:t xml:space="preserve"> </w:t>
      </w:r>
      <w:r w:rsidRPr="003F1001">
        <w:rPr>
          <w:rFonts w:ascii="Times New Roman" w:hAnsi="Times New Roman" w:cs="Times New Roman"/>
          <w:i/>
          <w:iCs/>
        </w:rPr>
        <w:t xml:space="preserve"> (</w:t>
      </w:r>
      <w:proofErr w:type="gramEnd"/>
      <w:r w:rsidRPr="003F1001">
        <w:rPr>
          <w:rFonts w:ascii="Times New Roman" w:hAnsi="Times New Roman" w:cs="Times New Roman"/>
          <w:i/>
          <w:iCs/>
        </w:rPr>
        <w:t>red arrow) and tubules (blue arrow) displayed using H&amp;E. The nuclei are stained purple, while the cytoplasmic components are pink</w:t>
      </w:r>
      <w:r w:rsidRPr="00043C10">
        <w:rPr>
          <w:rFonts w:ascii="Times New Roman" w:hAnsi="Times New Roman" w:cs="Times New Roman"/>
        </w:rPr>
        <w:t>.</w:t>
      </w:r>
    </w:p>
    <w:p w14:paraId="1958853A" w14:textId="77777777" w:rsidR="00ED0EF3" w:rsidRPr="00EA1BE7" w:rsidRDefault="00ED0EF3" w:rsidP="00ED0EF3">
      <w:pPr>
        <w:spacing w:line="480" w:lineRule="auto"/>
        <w:jc w:val="both"/>
        <w:rPr>
          <w:rFonts w:ascii="Times New Roman" w:hAnsi="Times New Roman" w:cs="Times New Roman"/>
        </w:rPr>
      </w:pPr>
    </w:p>
    <w:p w14:paraId="73FBAE5A" w14:textId="77777777" w:rsidR="00ED0EF3" w:rsidRDefault="00ED0EF3" w:rsidP="00ED0EF3">
      <w:pPr>
        <w:spacing w:line="480" w:lineRule="auto"/>
        <w:jc w:val="both"/>
        <w:rPr>
          <w:rFonts w:ascii="Times New Roman" w:hAnsi="Times New Roman" w:cs="Times New Roman"/>
        </w:rPr>
      </w:pPr>
      <w:r>
        <w:rPr>
          <w:rFonts w:ascii="Times New Roman" w:hAnsi="Times New Roman" w:cs="Times New Roman"/>
          <w:noProof/>
        </w:rPr>
        <w:lastRenderedPageBreak/>
        <w:drawing>
          <wp:inline distT="0" distB="0" distL="0" distR="0" wp14:anchorId="7AAC294A" wp14:editId="39B8EFB9">
            <wp:extent cx="4514768" cy="3085977"/>
            <wp:effectExtent l="0" t="0" r="635" b="635"/>
            <wp:docPr id="12285809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32694" cy="3098230"/>
                    </a:xfrm>
                    <a:prstGeom prst="rect">
                      <a:avLst/>
                    </a:prstGeom>
                    <a:noFill/>
                  </pic:spPr>
                </pic:pic>
              </a:graphicData>
            </a:graphic>
          </wp:inline>
        </w:drawing>
      </w:r>
    </w:p>
    <w:p w14:paraId="195C99F3" w14:textId="77777777" w:rsidR="00ED0EF3" w:rsidRPr="00151DEF" w:rsidRDefault="00ED0EF3" w:rsidP="00ED0EF3">
      <w:pPr>
        <w:spacing w:line="480" w:lineRule="auto"/>
        <w:jc w:val="both"/>
        <w:rPr>
          <w:rFonts w:ascii="Times New Roman" w:hAnsi="Times New Roman" w:cs="Times New Roman"/>
          <w:i/>
          <w:iCs/>
        </w:rPr>
      </w:pPr>
      <w:r w:rsidRPr="00153C93">
        <w:rPr>
          <w:rFonts w:ascii="Times New Roman" w:hAnsi="Times New Roman" w:cs="Times New Roman"/>
          <w:b/>
          <w:bCs/>
          <w:i/>
          <w:iCs/>
        </w:rPr>
        <w:t>Figure 2: Normal renal histology. Masson-trichrome</w:t>
      </w:r>
      <w:r>
        <w:rPr>
          <w:rFonts w:ascii="Times New Roman" w:hAnsi="Times New Roman" w:cs="Times New Roman"/>
          <w:i/>
          <w:iCs/>
        </w:rPr>
        <w:t>;</w:t>
      </w:r>
      <w:r w:rsidRPr="00BF5B09">
        <w:rPr>
          <w:rFonts w:ascii="Times New Roman" w:hAnsi="Times New Roman" w:cs="Times New Roman"/>
          <w:i/>
          <w:iCs/>
        </w:rPr>
        <w:t xml:space="preserve"> </w:t>
      </w:r>
      <w:r>
        <w:rPr>
          <w:rFonts w:ascii="Times New Roman" w:hAnsi="Times New Roman" w:cs="Times New Roman"/>
          <w:i/>
          <w:iCs/>
        </w:rPr>
        <w:t>(</w:t>
      </w:r>
      <w:r w:rsidRPr="00BF5B09">
        <w:rPr>
          <w:rFonts w:ascii="Times New Roman" w:hAnsi="Times New Roman" w:cs="Times New Roman"/>
          <w:i/>
          <w:iCs/>
        </w:rPr>
        <w:t>stained kidney section, 500x magnification. The glomeruli (g) have normal cellularity and patent capillary loops. The renal tubular epithelium (</w:t>
      </w:r>
      <w:proofErr w:type="spellStart"/>
      <w:r w:rsidRPr="00BF5B09">
        <w:rPr>
          <w:rFonts w:ascii="Times New Roman" w:hAnsi="Times New Roman" w:cs="Times New Roman"/>
          <w:i/>
          <w:iCs/>
        </w:rPr>
        <w:t>rte</w:t>
      </w:r>
      <w:proofErr w:type="spellEnd"/>
      <w:r w:rsidRPr="00BF5B09">
        <w:rPr>
          <w:rFonts w:ascii="Times New Roman" w:hAnsi="Times New Roman" w:cs="Times New Roman"/>
          <w:i/>
          <w:iCs/>
        </w:rPr>
        <w:t>) is intact, with normal cell nuclei and brush borders. The tubules are back-</w:t>
      </w:r>
      <w:proofErr w:type="spellStart"/>
      <w:r w:rsidRPr="00BF5B09">
        <w:rPr>
          <w:rFonts w:ascii="Times New Roman" w:hAnsi="Times New Roman" w:cs="Times New Roman"/>
          <w:i/>
          <w:iCs/>
        </w:rPr>
        <w:t>toback</w:t>
      </w:r>
      <w:proofErr w:type="spellEnd"/>
      <w:r w:rsidRPr="00BF5B09">
        <w:rPr>
          <w:rFonts w:ascii="Times New Roman" w:hAnsi="Times New Roman" w:cs="Times New Roman"/>
          <w:i/>
          <w:iCs/>
        </w:rPr>
        <w:t>, with no intervening fibrosis</w:t>
      </w:r>
      <w:r>
        <w:rPr>
          <w:rFonts w:ascii="Times New Roman" w:hAnsi="Times New Roman" w:cs="Times New Roman"/>
          <w:i/>
          <w:iCs/>
        </w:rPr>
        <w:t xml:space="preserve"> </w:t>
      </w:r>
      <w:r>
        <w:rPr>
          <w:rFonts w:ascii="Times New Roman" w:hAnsi="Times New Roman" w:cs="Times New Roman"/>
        </w:rPr>
        <w:t>(</w:t>
      </w:r>
      <w:r w:rsidRPr="00B432C3">
        <w:rPr>
          <w:rFonts w:ascii="Times New Roman" w:hAnsi="Times New Roman" w:cs="Times New Roman"/>
        </w:rPr>
        <w:t>Cohen</w:t>
      </w:r>
      <w:r>
        <w:rPr>
          <w:rFonts w:ascii="Times New Roman" w:hAnsi="Times New Roman" w:cs="Times New Roman"/>
        </w:rPr>
        <w:t xml:space="preserve"> et al., 2019)</w:t>
      </w:r>
      <w:r w:rsidRPr="00BF5B09">
        <w:rPr>
          <w:rFonts w:ascii="Times New Roman" w:hAnsi="Times New Roman" w:cs="Times New Roman"/>
          <w:i/>
          <w:iCs/>
        </w:rPr>
        <w:t>.</w:t>
      </w:r>
    </w:p>
    <w:p w14:paraId="108ABE72" w14:textId="77777777" w:rsidR="00ED0EF3" w:rsidRPr="004136E1" w:rsidRDefault="00ED0EF3" w:rsidP="00ED0EF3">
      <w:pPr>
        <w:spacing w:line="480" w:lineRule="auto"/>
        <w:jc w:val="both"/>
        <w:rPr>
          <w:rFonts w:ascii="Times New Roman" w:hAnsi="Times New Roman" w:cs="Times New Roman"/>
        </w:rPr>
      </w:pPr>
    </w:p>
    <w:p w14:paraId="35B8D39C" w14:textId="77777777" w:rsidR="00ED0EF3" w:rsidRDefault="00ED0EF3" w:rsidP="00ED0EF3">
      <w:pPr>
        <w:spacing w:line="480" w:lineRule="auto"/>
        <w:jc w:val="both"/>
        <w:rPr>
          <w:rFonts w:ascii="Times New Roman" w:hAnsi="Times New Roman" w:cs="Times New Roman"/>
        </w:rPr>
      </w:pPr>
      <w:r w:rsidRPr="00151DEF">
        <w:rPr>
          <w:rFonts w:ascii="Times New Roman" w:hAnsi="Times New Roman" w:cs="Times New Roman"/>
        </w:rPr>
        <w:lastRenderedPageBreak/>
        <w:t>.</w:t>
      </w:r>
      <w:r>
        <w:rPr>
          <w:noProof/>
        </w:rPr>
        <w:drawing>
          <wp:inline distT="0" distB="0" distL="0" distR="0" wp14:anchorId="06D15F28" wp14:editId="293C37EE">
            <wp:extent cx="4648200" cy="3457575"/>
            <wp:effectExtent l="0" t="0" r="0" b="9525"/>
            <wp:docPr id="5087771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777151" name=""/>
                    <pic:cNvPicPr/>
                  </pic:nvPicPr>
                  <pic:blipFill>
                    <a:blip r:embed="rId18"/>
                    <a:stretch>
                      <a:fillRect/>
                    </a:stretch>
                  </pic:blipFill>
                  <pic:spPr>
                    <a:xfrm>
                      <a:off x="0" y="0"/>
                      <a:ext cx="4648200" cy="3457575"/>
                    </a:xfrm>
                    <a:prstGeom prst="rect">
                      <a:avLst/>
                    </a:prstGeom>
                  </pic:spPr>
                </pic:pic>
              </a:graphicData>
            </a:graphic>
          </wp:inline>
        </w:drawing>
      </w:r>
    </w:p>
    <w:p w14:paraId="0E9AEA5B" w14:textId="77777777" w:rsidR="00ED0EF3" w:rsidRPr="007F1648" w:rsidRDefault="00ED0EF3" w:rsidP="00ED0EF3">
      <w:pPr>
        <w:spacing w:line="480" w:lineRule="auto"/>
        <w:jc w:val="both"/>
        <w:rPr>
          <w:i/>
          <w:iCs/>
        </w:rPr>
      </w:pPr>
      <w:r w:rsidRPr="00153C93">
        <w:rPr>
          <w:b/>
          <w:bCs/>
          <w:i/>
          <w:iCs/>
        </w:rPr>
        <w:t>Figure 3. Normal Micrographs of Periodic Acid-Schiff (PAS);</w:t>
      </w:r>
      <w:r w:rsidRPr="0087468A">
        <w:rPr>
          <w:i/>
          <w:iCs/>
        </w:rPr>
        <w:t xml:space="preserve"> </w:t>
      </w:r>
      <w:r>
        <w:rPr>
          <w:i/>
          <w:iCs/>
        </w:rPr>
        <w:t>(</w:t>
      </w:r>
      <w:r w:rsidRPr="0087468A">
        <w:rPr>
          <w:i/>
          <w:iCs/>
        </w:rPr>
        <w:t>staining of rat kidneys. Light microscopies of sagittal half of kidney sections stained with PAS and counterstained with hematoxylin are shown (</w:t>
      </w:r>
      <w:proofErr w:type="spellStart"/>
      <w:r w:rsidRPr="0087468A">
        <w:rPr>
          <w:rFonts w:ascii="Times New Roman" w:hAnsi="Times New Roman" w:cs="Times New Roman"/>
          <w:i/>
          <w:iCs/>
        </w:rPr>
        <w:t>Srimaroeng</w:t>
      </w:r>
      <w:proofErr w:type="spellEnd"/>
      <w:r w:rsidRPr="0087468A">
        <w:rPr>
          <w:rFonts w:ascii="Times New Roman" w:hAnsi="Times New Roman" w:cs="Times New Roman"/>
          <w:i/>
          <w:iCs/>
        </w:rPr>
        <w:t xml:space="preserve"> et al., 2015</w:t>
      </w:r>
      <w:r w:rsidRPr="0087468A">
        <w:rPr>
          <w:i/>
          <w:iCs/>
        </w:rPr>
        <w:t>)</w:t>
      </w:r>
    </w:p>
    <w:p w14:paraId="681D6100" w14:textId="77777777" w:rsidR="00ED0EF3" w:rsidRDefault="00ED0EF3" w:rsidP="00ED0EF3">
      <w:pPr>
        <w:spacing w:line="480" w:lineRule="auto"/>
        <w:jc w:val="both"/>
        <w:rPr>
          <w:rFonts w:ascii="Times New Roman" w:hAnsi="Times New Roman" w:cs="Times New Roman"/>
        </w:rPr>
      </w:pPr>
    </w:p>
    <w:p w14:paraId="4A1F22D4" w14:textId="77777777" w:rsidR="00ED0EF3" w:rsidRDefault="00ED0EF3" w:rsidP="00ED0EF3">
      <w:pPr>
        <w:spacing w:line="480" w:lineRule="auto"/>
        <w:jc w:val="both"/>
        <w:rPr>
          <w:rFonts w:ascii="Times New Roman" w:hAnsi="Times New Roman" w:cs="Times New Roman"/>
        </w:rPr>
      </w:pPr>
      <w:r w:rsidRPr="00A5127E">
        <w:rPr>
          <w:rFonts w:ascii="Times New Roman" w:hAnsi="Times New Roman" w:cs="Times New Roman"/>
          <w:noProof/>
        </w:rPr>
        <w:lastRenderedPageBreak/>
        <w:drawing>
          <wp:inline distT="0" distB="0" distL="0" distR="0" wp14:anchorId="063A7A5C" wp14:editId="0C74C72F">
            <wp:extent cx="4114800" cy="3084513"/>
            <wp:effectExtent l="0" t="0" r="0" b="1905"/>
            <wp:docPr id="2056" name="New picture">
              <a:extLst xmlns:a="http://schemas.openxmlformats.org/drawingml/2006/main">
                <a:ext uri="{FF2B5EF4-FFF2-40B4-BE49-F238E27FC236}">
                  <a16:creationId xmlns:a16="http://schemas.microsoft.com/office/drawing/2014/main" id="{4EAF1343-05A9-167F-0EA2-FA8E68CF71D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New picture">
                      <a:extLst>
                        <a:ext uri="{FF2B5EF4-FFF2-40B4-BE49-F238E27FC236}">
                          <a16:creationId xmlns:a16="http://schemas.microsoft.com/office/drawing/2014/main" id="{4EAF1343-05A9-167F-0EA2-FA8E68CF71D0}"/>
                        </a:ext>
                      </a:extLs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114800" cy="3084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algn="ctr">
                          <a:solidFill>
                            <a:srgbClr val="000000"/>
                          </a:solidFill>
                          <a:prstDash val="solid"/>
                          <a:round/>
                          <a:headEnd type="none" w="med" len="med"/>
                          <a:tailEnd type="none" w="med" len="med"/>
                        </a14:hiddenLine>
                      </a:ext>
                    </a:extLst>
                  </pic:spPr>
                </pic:pic>
              </a:graphicData>
            </a:graphic>
          </wp:inline>
        </w:drawing>
      </w:r>
    </w:p>
    <w:p w14:paraId="2787F316" w14:textId="77777777" w:rsidR="00ED0EF3" w:rsidRPr="00A5127E" w:rsidRDefault="00ED0EF3" w:rsidP="00ED0EF3">
      <w:pPr>
        <w:spacing w:line="480" w:lineRule="auto"/>
        <w:jc w:val="both"/>
        <w:rPr>
          <w:rFonts w:ascii="Times New Roman" w:hAnsi="Times New Roman" w:cs="Times New Roman"/>
          <w:i/>
          <w:iCs/>
        </w:rPr>
      </w:pPr>
      <w:r w:rsidRPr="00153C93">
        <w:rPr>
          <w:rFonts w:ascii="Times New Roman" w:hAnsi="Times New Roman" w:cs="Times New Roman"/>
          <w:b/>
          <w:bCs/>
          <w:i/>
          <w:iCs/>
        </w:rPr>
        <w:t>Figure 4 collecting duct renal cell carcinoma (RCC);</w:t>
      </w:r>
      <w:r>
        <w:rPr>
          <w:rFonts w:ascii="Times New Roman" w:hAnsi="Times New Roman" w:cs="Times New Roman"/>
          <w:i/>
          <w:iCs/>
        </w:rPr>
        <w:t xml:space="preserve"> (</w:t>
      </w:r>
      <w:proofErr w:type="gramStart"/>
      <w:r w:rsidRPr="003E3A11">
        <w:rPr>
          <w:rFonts w:ascii="Times New Roman" w:hAnsi="Times New Roman" w:cs="Times New Roman"/>
          <w:i/>
          <w:iCs/>
        </w:rPr>
        <w:t>micrograph  A</w:t>
      </w:r>
      <w:proofErr w:type="gramEnd"/>
      <w:r w:rsidRPr="003E3A11">
        <w:rPr>
          <w:rFonts w:ascii="Times New Roman" w:hAnsi="Times New Roman" w:cs="Times New Roman"/>
          <w:i/>
          <w:iCs/>
        </w:rPr>
        <w:t>, B, and C demonstrate collecting duct renal cell carcinoma (RCC) with strong nuclear positivity for both PAX2 (A and B) and PAX8 (C). The tumor has invaded the liver, where hepatocytes show no staining for either marker (indicated by arrows). Panels D and E show chromophobe RCC with widespread PAX8 positivity, mirroring the staining pattern observed for PAX2 on an adjacent tissue section (not shown). The images are shown at original magnifications of ×200 for panels A through C and ×100 for panels D and E (Truong and Shen, 2011).</w:t>
      </w:r>
    </w:p>
    <w:p w14:paraId="25856531" w14:textId="77777777" w:rsidR="00ED0EF3" w:rsidRDefault="00ED0EF3" w:rsidP="00ED0EF3">
      <w:pPr>
        <w:spacing w:line="480" w:lineRule="auto"/>
        <w:jc w:val="both"/>
        <w:rPr>
          <w:rFonts w:ascii="Times New Roman" w:hAnsi="Times New Roman" w:cs="Times New Roman"/>
        </w:rPr>
      </w:pPr>
    </w:p>
    <w:p w14:paraId="0987C63F" w14:textId="77777777" w:rsidR="00ED0EF3" w:rsidRDefault="00ED0EF3" w:rsidP="00ED0EF3">
      <w:pPr>
        <w:spacing w:line="480" w:lineRule="auto"/>
        <w:jc w:val="both"/>
        <w:rPr>
          <w:rFonts w:ascii="Times New Roman" w:hAnsi="Times New Roman" w:cs="Times New Roman"/>
        </w:rPr>
      </w:pPr>
      <w:r>
        <w:rPr>
          <w:noProof/>
        </w:rPr>
        <w:lastRenderedPageBreak/>
        <w:drawing>
          <wp:inline distT="0" distB="0" distL="0" distR="0" wp14:anchorId="770A0C8B" wp14:editId="579032B8">
            <wp:extent cx="4895850" cy="3429000"/>
            <wp:effectExtent l="0" t="0" r="0" b="0"/>
            <wp:docPr id="8962439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243907" name=""/>
                    <pic:cNvPicPr/>
                  </pic:nvPicPr>
                  <pic:blipFill>
                    <a:blip r:embed="rId20"/>
                    <a:stretch>
                      <a:fillRect/>
                    </a:stretch>
                  </pic:blipFill>
                  <pic:spPr>
                    <a:xfrm>
                      <a:off x="0" y="0"/>
                      <a:ext cx="4895850" cy="3429000"/>
                    </a:xfrm>
                    <a:prstGeom prst="rect">
                      <a:avLst/>
                    </a:prstGeom>
                  </pic:spPr>
                </pic:pic>
              </a:graphicData>
            </a:graphic>
          </wp:inline>
        </w:drawing>
      </w:r>
    </w:p>
    <w:p w14:paraId="38CD1044" w14:textId="77777777" w:rsidR="00ED0EF3" w:rsidRDefault="00ED0EF3" w:rsidP="00ED0EF3">
      <w:pPr>
        <w:spacing w:line="480" w:lineRule="auto"/>
        <w:jc w:val="both"/>
        <w:rPr>
          <w:rFonts w:ascii="Times New Roman" w:hAnsi="Times New Roman" w:cs="Times New Roman"/>
        </w:rPr>
      </w:pPr>
      <w:r w:rsidRPr="00153C93">
        <w:rPr>
          <w:rFonts w:ascii="Times New Roman" w:hAnsi="Times New Roman" w:cs="Times New Roman"/>
          <w:b/>
          <w:bCs/>
        </w:rPr>
        <w:t xml:space="preserve">Figure 5. </w:t>
      </w:r>
      <w:r w:rsidRPr="00153C93">
        <w:rPr>
          <w:rFonts w:ascii="Times New Roman" w:hAnsi="Times New Roman" w:cs="Times New Roman"/>
          <w:b/>
          <w:bCs/>
          <w:i/>
          <w:iCs/>
        </w:rPr>
        <w:t>Renal cell carcinoma (RCC) marker</w:t>
      </w:r>
      <w:r w:rsidRPr="00C70D17">
        <w:rPr>
          <w:rFonts w:ascii="Times New Roman" w:hAnsi="Times New Roman" w:cs="Times New Roman"/>
          <w:i/>
          <w:iCs/>
        </w:rPr>
        <w:t xml:space="preserve">: A, Normal kidney </w:t>
      </w:r>
      <w:proofErr w:type="gramStart"/>
      <w:r w:rsidRPr="00C70D17">
        <w:rPr>
          <w:rFonts w:ascii="Times New Roman" w:hAnsi="Times New Roman" w:cs="Times New Roman"/>
          <w:i/>
          <w:iCs/>
        </w:rPr>
        <w:t>The</w:t>
      </w:r>
      <w:proofErr w:type="gramEnd"/>
      <w:r w:rsidRPr="00C70D17">
        <w:rPr>
          <w:rFonts w:ascii="Times New Roman" w:hAnsi="Times New Roman" w:cs="Times New Roman"/>
          <w:i/>
          <w:iCs/>
        </w:rPr>
        <w:t xml:space="preserve"> staining is limited to the brush border of the proximal tubules. B, Oncocytoma No staining. C, Clear cell RCC—Diffuse staining predominantly in the luminal side of the cell membrane, replicating the staining pattern of normal renal tubules. D, Papillary RCC Diffuse staining predominantly in the free surface of the cell membrane. E and F, Xp11 translocation RCC Displaying focal membranous staining (original magnifications ×200 [A, B, and D through F] and ×100 [C])</w:t>
      </w:r>
      <w:r>
        <w:rPr>
          <w:rFonts w:ascii="Times New Roman" w:hAnsi="Times New Roman" w:cs="Times New Roman"/>
          <w:i/>
          <w:iCs/>
        </w:rPr>
        <w:t xml:space="preserve"> (</w:t>
      </w:r>
      <w:r w:rsidRPr="000A1240">
        <w:rPr>
          <w:rFonts w:ascii="Times New Roman" w:hAnsi="Times New Roman" w:cs="Times New Roman"/>
        </w:rPr>
        <w:t>Truong</w:t>
      </w:r>
      <w:r>
        <w:rPr>
          <w:rFonts w:ascii="Times New Roman" w:hAnsi="Times New Roman" w:cs="Times New Roman"/>
        </w:rPr>
        <w:t xml:space="preserve"> </w:t>
      </w:r>
      <w:proofErr w:type="gramStart"/>
      <w:r>
        <w:rPr>
          <w:rFonts w:ascii="Times New Roman" w:hAnsi="Times New Roman" w:cs="Times New Roman"/>
        </w:rPr>
        <w:t xml:space="preserve">and </w:t>
      </w:r>
      <w:r w:rsidRPr="000A1240">
        <w:rPr>
          <w:rFonts w:ascii="Times New Roman" w:hAnsi="Times New Roman" w:cs="Times New Roman"/>
        </w:rPr>
        <w:t xml:space="preserve"> Shen</w:t>
      </w:r>
      <w:proofErr w:type="gramEnd"/>
      <w:r>
        <w:rPr>
          <w:rFonts w:ascii="Times New Roman" w:hAnsi="Times New Roman" w:cs="Times New Roman"/>
        </w:rPr>
        <w:t>, 2011</w:t>
      </w:r>
      <w:r>
        <w:rPr>
          <w:rFonts w:ascii="Times New Roman" w:hAnsi="Times New Roman" w:cs="Times New Roman"/>
          <w:i/>
          <w:iCs/>
        </w:rPr>
        <w:t>)</w:t>
      </w:r>
      <w:r w:rsidRPr="00C70D17">
        <w:rPr>
          <w:rFonts w:ascii="Times New Roman" w:hAnsi="Times New Roman" w:cs="Times New Roman"/>
          <w:i/>
          <w:iCs/>
        </w:rPr>
        <w:t>.</w:t>
      </w:r>
      <w:r>
        <w:rPr>
          <w:rFonts w:ascii="Times New Roman" w:hAnsi="Times New Roman" w:cs="Times New Roman"/>
          <w:i/>
          <w:iCs/>
        </w:rPr>
        <w:t xml:space="preserve"> </w:t>
      </w:r>
    </w:p>
    <w:p w14:paraId="2DF5CF14" w14:textId="77777777" w:rsidR="00ED0EF3" w:rsidRPr="00FB578D" w:rsidRDefault="00ED0EF3" w:rsidP="00ED0EF3">
      <w:pPr>
        <w:spacing w:line="480" w:lineRule="auto"/>
        <w:jc w:val="both"/>
        <w:rPr>
          <w:rFonts w:ascii="Times New Roman" w:hAnsi="Times New Roman" w:cs="Times New Roman"/>
        </w:rPr>
      </w:pPr>
    </w:p>
    <w:p w14:paraId="12C77008" w14:textId="77777777" w:rsidR="00ED0EF3" w:rsidRPr="00655061" w:rsidRDefault="00ED0EF3" w:rsidP="00D05C74">
      <w:pPr>
        <w:spacing w:line="276" w:lineRule="auto"/>
        <w:jc w:val="both"/>
        <w:rPr>
          <w:rFonts w:ascii="Times New Roman" w:hAnsi="Times New Roman" w:cs="Times New Roman"/>
        </w:rPr>
      </w:pPr>
    </w:p>
    <w:sectPr w:rsidR="00ED0EF3" w:rsidRPr="00655061" w:rsidSect="002E6542">
      <w:headerReference w:type="even" r:id="rId21"/>
      <w:headerReference w:type="default" r:id="rId22"/>
      <w:footerReference w:type="even" r:id="rId23"/>
      <w:footerReference w:type="default" r:id="rId24"/>
      <w:headerReference w:type="first" r:id="rId25"/>
      <w:footerReference w:type="first" r:id="rId2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E7E9178" w14:textId="77777777" w:rsidR="00C8470C" w:rsidRDefault="00C8470C" w:rsidP="00C11AF4">
      <w:pPr>
        <w:spacing w:after="0" w:line="240" w:lineRule="auto"/>
      </w:pPr>
      <w:r>
        <w:separator/>
      </w:r>
    </w:p>
  </w:endnote>
  <w:endnote w:type="continuationSeparator" w:id="0">
    <w:p w14:paraId="38536568" w14:textId="77777777" w:rsidR="00C8470C" w:rsidRDefault="00C8470C" w:rsidP="00C11A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DEA92F" w14:textId="77777777" w:rsidR="002E6542" w:rsidRDefault="002E654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29407681"/>
      <w:docPartObj>
        <w:docPartGallery w:val="Page Numbers (Bottom of Page)"/>
        <w:docPartUnique/>
      </w:docPartObj>
    </w:sdtPr>
    <w:sdtEndPr>
      <w:rPr>
        <w:noProof/>
      </w:rPr>
    </w:sdtEndPr>
    <w:sdtContent>
      <w:p w14:paraId="46D0D2EE" w14:textId="5405BB6A" w:rsidR="00C11AF4" w:rsidRDefault="00C11AF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D195599" w14:textId="77777777" w:rsidR="00C11AF4" w:rsidRDefault="00C11AF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817C6A" w14:textId="77777777" w:rsidR="002E6542" w:rsidRDefault="002E654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4882357" w14:textId="77777777" w:rsidR="00C8470C" w:rsidRDefault="00C8470C" w:rsidP="00C11AF4">
      <w:pPr>
        <w:spacing w:after="0" w:line="240" w:lineRule="auto"/>
      </w:pPr>
      <w:r>
        <w:separator/>
      </w:r>
    </w:p>
  </w:footnote>
  <w:footnote w:type="continuationSeparator" w:id="0">
    <w:p w14:paraId="59EBEDD5" w14:textId="77777777" w:rsidR="00C8470C" w:rsidRDefault="00C8470C" w:rsidP="00C11AF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3A5215" w14:textId="46D82327" w:rsidR="002E6542" w:rsidRDefault="002E6542">
    <w:pPr>
      <w:pStyle w:val="Header"/>
    </w:pPr>
    <w:r>
      <w:rPr>
        <w:noProof/>
      </w:rPr>
      <w:pict w14:anchorId="4B38386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9069235" o:sp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C89C8A" w14:textId="385BA700" w:rsidR="002E6542" w:rsidRDefault="002E6542">
    <w:pPr>
      <w:pStyle w:val="Header"/>
    </w:pPr>
    <w:r>
      <w:rPr>
        <w:noProof/>
      </w:rPr>
      <w:pict w14:anchorId="4BAC9EF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9069236" o:sp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77298C" w14:textId="45A89D5F" w:rsidR="002E6542" w:rsidRDefault="002E6542">
    <w:pPr>
      <w:pStyle w:val="Header"/>
    </w:pPr>
    <w:r>
      <w:rPr>
        <w:noProof/>
      </w:rPr>
      <w:pict w14:anchorId="32D8E3D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9069234"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BE693F"/>
    <w:multiLevelType w:val="multilevel"/>
    <w:tmpl w:val="DF44B9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6BF50B7"/>
    <w:multiLevelType w:val="multilevel"/>
    <w:tmpl w:val="77A0B1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5BC448C"/>
    <w:multiLevelType w:val="hybridMultilevel"/>
    <w:tmpl w:val="4560FCD2"/>
    <w:lvl w:ilvl="0" w:tplc="BA0AB6D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6EB34FB"/>
    <w:multiLevelType w:val="multilevel"/>
    <w:tmpl w:val="8EACF3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6A62B89"/>
    <w:multiLevelType w:val="multilevel"/>
    <w:tmpl w:val="BE5ECF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09A0569"/>
    <w:multiLevelType w:val="multilevel"/>
    <w:tmpl w:val="62CC96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0E84FDA"/>
    <w:multiLevelType w:val="multilevel"/>
    <w:tmpl w:val="5254C6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15B763D"/>
    <w:multiLevelType w:val="multilevel"/>
    <w:tmpl w:val="CAA261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8CA3ED8"/>
    <w:multiLevelType w:val="multilevel"/>
    <w:tmpl w:val="24FEB0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E3045B8"/>
    <w:multiLevelType w:val="multilevel"/>
    <w:tmpl w:val="F3549F54"/>
    <w:lvl w:ilvl="0">
      <w:start w:val="2"/>
      <w:numFmt w:val="decimal"/>
      <w:lvlText w:val="%1."/>
      <w:lvlJc w:val="left"/>
      <w:pPr>
        <w:ind w:left="720" w:hanging="360"/>
      </w:pPr>
      <w:rPr>
        <w:rFonts w:hint="default"/>
      </w:rPr>
    </w:lvl>
    <w:lvl w:ilvl="1">
      <w:start w:val="4"/>
      <w:numFmt w:val="decimal"/>
      <w:isLgl/>
      <w:lvlText w:val="%1.%2"/>
      <w:lvlJc w:val="left"/>
      <w:pPr>
        <w:ind w:left="1080" w:hanging="72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4E3873B9"/>
    <w:multiLevelType w:val="multilevel"/>
    <w:tmpl w:val="914482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0CB5243"/>
    <w:multiLevelType w:val="hybridMultilevel"/>
    <w:tmpl w:val="5A68ACE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5294433A"/>
    <w:multiLevelType w:val="multilevel"/>
    <w:tmpl w:val="B706FC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0962725"/>
    <w:multiLevelType w:val="multilevel"/>
    <w:tmpl w:val="C7AEF2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D7563FE"/>
    <w:multiLevelType w:val="multilevel"/>
    <w:tmpl w:val="C1F691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9D531B9"/>
    <w:multiLevelType w:val="hybridMultilevel"/>
    <w:tmpl w:val="8926ED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E264A59"/>
    <w:multiLevelType w:val="multilevel"/>
    <w:tmpl w:val="F3549F54"/>
    <w:lvl w:ilvl="0">
      <w:start w:val="2"/>
      <w:numFmt w:val="decimal"/>
      <w:lvlText w:val="%1."/>
      <w:lvlJc w:val="left"/>
      <w:pPr>
        <w:ind w:left="720" w:hanging="360"/>
      </w:pPr>
      <w:rPr>
        <w:rFonts w:hint="default"/>
      </w:rPr>
    </w:lvl>
    <w:lvl w:ilvl="1">
      <w:start w:val="4"/>
      <w:numFmt w:val="decimal"/>
      <w:isLgl/>
      <w:lvlText w:val="%1.%2"/>
      <w:lvlJc w:val="left"/>
      <w:pPr>
        <w:ind w:left="1080" w:hanging="72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8"/>
  </w:num>
  <w:num w:numId="2">
    <w:abstractNumId w:val="14"/>
  </w:num>
  <w:num w:numId="3">
    <w:abstractNumId w:val="1"/>
  </w:num>
  <w:num w:numId="4">
    <w:abstractNumId w:val="4"/>
  </w:num>
  <w:num w:numId="5">
    <w:abstractNumId w:val="7"/>
  </w:num>
  <w:num w:numId="6">
    <w:abstractNumId w:val="10"/>
  </w:num>
  <w:num w:numId="7">
    <w:abstractNumId w:val="3"/>
  </w:num>
  <w:num w:numId="8">
    <w:abstractNumId w:val="0"/>
  </w:num>
  <w:num w:numId="9">
    <w:abstractNumId w:val="13"/>
  </w:num>
  <w:num w:numId="10">
    <w:abstractNumId w:val="12"/>
  </w:num>
  <w:num w:numId="11">
    <w:abstractNumId w:val="6"/>
  </w:num>
  <w:num w:numId="12">
    <w:abstractNumId w:val="15"/>
  </w:num>
  <w:num w:numId="13">
    <w:abstractNumId w:val="9"/>
  </w:num>
  <w:num w:numId="14">
    <w:abstractNumId w:val="2"/>
  </w:num>
  <w:num w:numId="15">
    <w:abstractNumId w:val="5"/>
  </w:num>
  <w:num w:numId="16">
    <w:abstractNumId w:val="16"/>
  </w:num>
  <w:num w:numId="1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8"/>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4C98"/>
    <w:rsid w:val="000160BC"/>
    <w:rsid w:val="00043C10"/>
    <w:rsid w:val="000539BE"/>
    <w:rsid w:val="00083A5F"/>
    <w:rsid w:val="000A1240"/>
    <w:rsid w:val="000D1F90"/>
    <w:rsid w:val="000D3048"/>
    <w:rsid w:val="000E56D6"/>
    <w:rsid w:val="00123722"/>
    <w:rsid w:val="001374AD"/>
    <w:rsid w:val="00147591"/>
    <w:rsid w:val="00151DEF"/>
    <w:rsid w:val="00152CEF"/>
    <w:rsid w:val="001A7BFF"/>
    <w:rsid w:val="001B2E9A"/>
    <w:rsid w:val="001C1722"/>
    <w:rsid w:val="001C6BA5"/>
    <w:rsid w:val="001E19E2"/>
    <w:rsid w:val="001F39C9"/>
    <w:rsid w:val="0021118F"/>
    <w:rsid w:val="00212570"/>
    <w:rsid w:val="0023038C"/>
    <w:rsid w:val="002920F3"/>
    <w:rsid w:val="002A7C7B"/>
    <w:rsid w:val="002E1DC4"/>
    <w:rsid w:val="002E6542"/>
    <w:rsid w:val="002F7ADA"/>
    <w:rsid w:val="00341758"/>
    <w:rsid w:val="003602F6"/>
    <w:rsid w:val="003C0AE6"/>
    <w:rsid w:val="003C2945"/>
    <w:rsid w:val="003E3A11"/>
    <w:rsid w:val="003E719F"/>
    <w:rsid w:val="003F1001"/>
    <w:rsid w:val="004018F8"/>
    <w:rsid w:val="00401E01"/>
    <w:rsid w:val="00406A03"/>
    <w:rsid w:val="004136E1"/>
    <w:rsid w:val="004178EA"/>
    <w:rsid w:val="0043447F"/>
    <w:rsid w:val="00481734"/>
    <w:rsid w:val="004905D4"/>
    <w:rsid w:val="004E44C4"/>
    <w:rsid w:val="004F5B87"/>
    <w:rsid w:val="0055079B"/>
    <w:rsid w:val="00552F2B"/>
    <w:rsid w:val="0055764F"/>
    <w:rsid w:val="00573B25"/>
    <w:rsid w:val="005958C3"/>
    <w:rsid w:val="005A0B0E"/>
    <w:rsid w:val="005D44AE"/>
    <w:rsid w:val="005F2927"/>
    <w:rsid w:val="00607AC3"/>
    <w:rsid w:val="00630CF7"/>
    <w:rsid w:val="006350A0"/>
    <w:rsid w:val="00635A4D"/>
    <w:rsid w:val="00642F31"/>
    <w:rsid w:val="00655061"/>
    <w:rsid w:val="00682BB7"/>
    <w:rsid w:val="006A022C"/>
    <w:rsid w:val="006C3CC3"/>
    <w:rsid w:val="006C4414"/>
    <w:rsid w:val="006C6939"/>
    <w:rsid w:val="006D764D"/>
    <w:rsid w:val="006E3D95"/>
    <w:rsid w:val="006F6152"/>
    <w:rsid w:val="007277DF"/>
    <w:rsid w:val="00733D47"/>
    <w:rsid w:val="00770733"/>
    <w:rsid w:val="007819B8"/>
    <w:rsid w:val="007D1700"/>
    <w:rsid w:val="007F1648"/>
    <w:rsid w:val="007F1F84"/>
    <w:rsid w:val="00800EEC"/>
    <w:rsid w:val="008213BB"/>
    <w:rsid w:val="00863F6A"/>
    <w:rsid w:val="0087468A"/>
    <w:rsid w:val="008E3DB0"/>
    <w:rsid w:val="008F0FCA"/>
    <w:rsid w:val="009657B9"/>
    <w:rsid w:val="0098799E"/>
    <w:rsid w:val="009B55EF"/>
    <w:rsid w:val="009D29B8"/>
    <w:rsid w:val="009D40A6"/>
    <w:rsid w:val="009E5522"/>
    <w:rsid w:val="00A0298A"/>
    <w:rsid w:val="00A13E0B"/>
    <w:rsid w:val="00A439F8"/>
    <w:rsid w:val="00A5127E"/>
    <w:rsid w:val="00A67642"/>
    <w:rsid w:val="00A71342"/>
    <w:rsid w:val="00A75463"/>
    <w:rsid w:val="00A75F6A"/>
    <w:rsid w:val="00A76285"/>
    <w:rsid w:val="00AD33E5"/>
    <w:rsid w:val="00AD4AC7"/>
    <w:rsid w:val="00AF340B"/>
    <w:rsid w:val="00B15AEA"/>
    <w:rsid w:val="00B351E6"/>
    <w:rsid w:val="00B74C1E"/>
    <w:rsid w:val="00BE665E"/>
    <w:rsid w:val="00BF2926"/>
    <w:rsid w:val="00BF5B09"/>
    <w:rsid w:val="00C02C3F"/>
    <w:rsid w:val="00C11AF4"/>
    <w:rsid w:val="00C47914"/>
    <w:rsid w:val="00C70D17"/>
    <w:rsid w:val="00C8470C"/>
    <w:rsid w:val="00CA1DCF"/>
    <w:rsid w:val="00CA7A0B"/>
    <w:rsid w:val="00CD4C98"/>
    <w:rsid w:val="00CF0020"/>
    <w:rsid w:val="00D017C5"/>
    <w:rsid w:val="00D05C74"/>
    <w:rsid w:val="00D10865"/>
    <w:rsid w:val="00D866FE"/>
    <w:rsid w:val="00DC0711"/>
    <w:rsid w:val="00DF5BDC"/>
    <w:rsid w:val="00E239BA"/>
    <w:rsid w:val="00E366FA"/>
    <w:rsid w:val="00E44791"/>
    <w:rsid w:val="00E8299B"/>
    <w:rsid w:val="00E87469"/>
    <w:rsid w:val="00EA1BE7"/>
    <w:rsid w:val="00ED0EF3"/>
    <w:rsid w:val="00ED72F0"/>
    <w:rsid w:val="00EF2323"/>
    <w:rsid w:val="00F01D65"/>
    <w:rsid w:val="00F12B68"/>
    <w:rsid w:val="00F3129E"/>
    <w:rsid w:val="00F44C93"/>
    <w:rsid w:val="00FA0DCF"/>
    <w:rsid w:val="00FA31F5"/>
    <w:rsid w:val="00FF5C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69F38FF4"/>
  <w15:chartTrackingRefBased/>
  <w15:docId w15:val="{ACAD194D-6B5C-4F8E-810C-FB88D9321F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D4C98"/>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CD4C98"/>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CD4C98"/>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CD4C98"/>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CD4C98"/>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CD4C9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D4C9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D4C9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D4C9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D4C98"/>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CD4C98"/>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CD4C98"/>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CD4C98"/>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CD4C98"/>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CD4C9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D4C9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D4C9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D4C98"/>
    <w:rPr>
      <w:rFonts w:eastAsiaTheme="majorEastAsia" w:cstheme="majorBidi"/>
      <w:color w:val="272727" w:themeColor="text1" w:themeTint="D8"/>
    </w:rPr>
  </w:style>
  <w:style w:type="paragraph" w:styleId="Title">
    <w:name w:val="Title"/>
    <w:basedOn w:val="Normal"/>
    <w:next w:val="Normal"/>
    <w:link w:val="TitleChar"/>
    <w:uiPriority w:val="10"/>
    <w:qFormat/>
    <w:rsid w:val="00CD4C9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D4C9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D4C9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D4C9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D4C98"/>
    <w:pPr>
      <w:spacing w:before="160"/>
      <w:jc w:val="center"/>
    </w:pPr>
    <w:rPr>
      <w:i/>
      <w:iCs/>
      <w:color w:val="404040" w:themeColor="text1" w:themeTint="BF"/>
    </w:rPr>
  </w:style>
  <w:style w:type="character" w:customStyle="1" w:styleId="QuoteChar">
    <w:name w:val="Quote Char"/>
    <w:basedOn w:val="DefaultParagraphFont"/>
    <w:link w:val="Quote"/>
    <w:uiPriority w:val="29"/>
    <w:rsid w:val="00CD4C98"/>
    <w:rPr>
      <w:i/>
      <w:iCs/>
      <w:color w:val="404040" w:themeColor="text1" w:themeTint="BF"/>
    </w:rPr>
  </w:style>
  <w:style w:type="paragraph" w:styleId="ListParagraph">
    <w:name w:val="List Paragraph"/>
    <w:basedOn w:val="Normal"/>
    <w:uiPriority w:val="34"/>
    <w:qFormat/>
    <w:rsid w:val="00CD4C98"/>
    <w:pPr>
      <w:ind w:left="720"/>
      <w:contextualSpacing/>
    </w:pPr>
  </w:style>
  <w:style w:type="character" w:styleId="IntenseEmphasis">
    <w:name w:val="Intense Emphasis"/>
    <w:basedOn w:val="DefaultParagraphFont"/>
    <w:uiPriority w:val="21"/>
    <w:qFormat/>
    <w:rsid w:val="00CD4C98"/>
    <w:rPr>
      <w:i/>
      <w:iCs/>
      <w:color w:val="2F5496" w:themeColor="accent1" w:themeShade="BF"/>
    </w:rPr>
  </w:style>
  <w:style w:type="paragraph" w:styleId="IntenseQuote">
    <w:name w:val="Intense Quote"/>
    <w:basedOn w:val="Normal"/>
    <w:next w:val="Normal"/>
    <w:link w:val="IntenseQuoteChar"/>
    <w:uiPriority w:val="30"/>
    <w:qFormat/>
    <w:rsid w:val="00CD4C98"/>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CD4C98"/>
    <w:rPr>
      <w:i/>
      <w:iCs/>
      <w:color w:val="2F5496" w:themeColor="accent1" w:themeShade="BF"/>
    </w:rPr>
  </w:style>
  <w:style w:type="character" w:styleId="IntenseReference">
    <w:name w:val="Intense Reference"/>
    <w:basedOn w:val="DefaultParagraphFont"/>
    <w:uiPriority w:val="32"/>
    <w:qFormat/>
    <w:rsid w:val="00CD4C98"/>
    <w:rPr>
      <w:b/>
      <w:bCs/>
      <w:smallCaps/>
      <w:color w:val="2F5496" w:themeColor="accent1" w:themeShade="BF"/>
      <w:spacing w:val="5"/>
    </w:rPr>
  </w:style>
  <w:style w:type="character" w:styleId="Hyperlink">
    <w:name w:val="Hyperlink"/>
    <w:basedOn w:val="DefaultParagraphFont"/>
    <w:uiPriority w:val="99"/>
    <w:unhideWhenUsed/>
    <w:rsid w:val="0055079B"/>
    <w:rPr>
      <w:color w:val="0563C1" w:themeColor="hyperlink"/>
      <w:u w:val="single"/>
    </w:rPr>
  </w:style>
  <w:style w:type="character" w:styleId="UnresolvedMention">
    <w:name w:val="Unresolved Mention"/>
    <w:basedOn w:val="DefaultParagraphFont"/>
    <w:uiPriority w:val="99"/>
    <w:semiHidden/>
    <w:unhideWhenUsed/>
    <w:rsid w:val="0055079B"/>
    <w:rPr>
      <w:color w:val="605E5C"/>
      <w:shd w:val="clear" w:color="auto" w:fill="E1DFDD"/>
    </w:rPr>
  </w:style>
  <w:style w:type="paragraph" w:styleId="NormalWeb">
    <w:name w:val="Normal (Web)"/>
    <w:basedOn w:val="Normal"/>
    <w:uiPriority w:val="99"/>
    <w:semiHidden/>
    <w:unhideWhenUsed/>
    <w:rsid w:val="004136E1"/>
    <w:rPr>
      <w:rFonts w:ascii="Times New Roman" w:hAnsi="Times New Roman" w:cs="Times New Roman"/>
    </w:rPr>
  </w:style>
  <w:style w:type="paragraph" w:styleId="Header">
    <w:name w:val="header"/>
    <w:basedOn w:val="Normal"/>
    <w:link w:val="HeaderChar"/>
    <w:uiPriority w:val="99"/>
    <w:unhideWhenUsed/>
    <w:rsid w:val="00C11AF4"/>
    <w:pPr>
      <w:tabs>
        <w:tab w:val="center" w:pos="4680"/>
        <w:tab w:val="right" w:pos="9360"/>
      </w:tabs>
      <w:spacing w:after="0" w:line="240" w:lineRule="auto"/>
    </w:pPr>
  </w:style>
  <w:style w:type="character" w:customStyle="1" w:styleId="HeaderChar">
    <w:name w:val="Header Char"/>
    <w:basedOn w:val="DefaultParagraphFont"/>
    <w:link w:val="Header"/>
    <w:uiPriority w:val="99"/>
    <w:rsid w:val="00C11AF4"/>
  </w:style>
  <w:style w:type="paragraph" w:styleId="Footer">
    <w:name w:val="footer"/>
    <w:basedOn w:val="Normal"/>
    <w:link w:val="FooterChar"/>
    <w:uiPriority w:val="99"/>
    <w:unhideWhenUsed/>
    <w:rsid w:val="00C11AF4"/>
    <w:pPr>
      <w:tabs>
        <w:tab w:val="center" w:pos="4680"/>
        <w:tab w:val="right" w:pos="9360"/>
      </w:tabs>
      <w:spacing w:after="0" w:line="240" w:lineRule="auto"/>
    </w:pPr>
  </w:style>
  <w:style w:type="character" w:customStyle="1" w:styleId="FooterChar">
    <w:name w:val="Footer Char"/>
    <w:basedOn w:val="DefaultParagraphFont"/>
    <w:link w:val="Footer"/>
    <w:uiPriority w:val="99"/>
    <w:rsid w:val="00C11AF4"/>
  </w:style>
  <w:style w:type="character" w:styleId="LineNumber">
    <w:name w:val="line number"/>
    <w:basedOn w:val="DefaultParagraphFont"/>
    <w:uiPriority w:val="99"/>
    <w:semiHidden/>
    <w:unhideWhenUsed/>
    <w:rsid w:val="00CA1DC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435230">
      <w:bodyDiv w:val="1"/>
      <w:marLeft w:val="0"/>
      <w:marRight w:val="0"/>
      <w:marTop w:val="0"/>
      <w:marBottom w:val="0"/>
      <w:divBdr>
        <w:top w:val="none" w:sz="0" w:space="0" w:color="auto"/>
        <w:left w:val="none" w:sz="0" w:space="0" w:color="auto"/>
        <w:bottom w:val="none" w:sz="0" w:space="0" w:color="auto"/>
        <w:right w:val="none" w:sz="0" w:space="0" w:color="auto"/>
      </w:divBdr>
      <w:divsChild>
        <w:div w:id="760299874">
          <w:marLeft w:val="0"/>
          <w:marRight w:val="0"/>
          <w:marTop w:val="0"/>
          <w:marBottom w:val="0"/>
          <w:divBdr>
            <w:top w:val="none" w:sz="0" w:space="0" w:color="auto"/>
            <w:left w:val="none" w:sz="0" w:space="0" w:color="auto"/>
            <w:bottom w:val="none" w:sz="0" w:space="0" w:color="auto"/>
            <w:right w:val="none" w:sz="0" w:space="0" w:color="auto"/>
          </w:divBdr>
          <w:divsChild>
            <w:div w:id="1268611625">
              <w:marLeft w:val="0"/>
              <w:marRight w:val="0"/>
              <w:marTop w:val="0"/>
              <w:marBottom w:val="0"/>
              <w:divBdr>
                <w:top w:val="none" w:sz="0" w:space="0" w:color="auto"/>
                <w:left w:val="none" w:sz="0" w:space="0" w:color="auto"/>
                <w:bottom w:val="none" w:sz="0" w:space="0" w:color="auto"/>
                <w:right w:val="none" w:sz="0" w:space="0" w:color="auto"/>
              </w:divBdr>
              <w:divsChild>
                <w:div w:id="2044941650">
                  <w:marLeft w:val="0"/>
                  <w:marRight w:val="0"/>
                  <w:marTop w:val="0"/>
                  <w:marBottom w:val="0"/>
                  <w:divBdr>
                    <w:top w:val="none" w:sz="0" w:space="0" w:color="auto"/>
                    <w:left w:val="none" w:sz="0" w:space="0" w:color="auto"/>
                    <w:bottom w:val="none" w:sz="0" w:space="0" w:color="auto"/>
                    <w:right w:val="none" w:sz="0" w:space="0" w:color="auto"/>
                  </w:divBdr>
                  <w:divsChild>
                    <w:div w:id="831071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2804702">
          <w:marLeft w:val="0"/>
          <w:marRight w:val="0"/>
          <w:marTop w:val="0"/>
          <w:marBottom w:val="0"/>
          <w:divBdr>
            <w:top w:val="none" w:sz="0" w:space="0" w:color="auto"/>
            <w:left w:val="none" w:sz="0" w:space="0" w:color="auto"/>
            <w:bottom w:val="none" w:sz="0" w:space="0" w:color="auto"/>
            <w:right w:val="none" w:sz="0" w:space="0" w:color="auto"/>
          </w:divBdr>
          <w:divsChild>
            <w:div w:id="1518807861">
              <w:marLeft w:val="0"/>
              <w:marRight w:val="0"/>
              <w:marTop w:val="0"/>
              <w:marBottom w:val="0"/>
              <w:divBdr>
                <w:top w:val="none" w:sz="0" w:space="0" w:color="auto"/>
                <w:left w:val="none" w:sz="0" w:space="0" w:color="auto"/>
                <w:bottom w:val="none" w:sz="0" w:space="0" w:color="auto"/>
                <w:right w:val="none" w:sz="0" w:space="0" w:color="auto"/>
              </w:divBdr>
              <w:divsChild>
                <w:div w:id="1771387890">
                  <w:marLeft w:val="0"/>
                  <w:marRight w:val="0"/>
                  <w:marTop w:val="0"/>
                  <w:marBottom w:val="0"/>
                  <w:divBdr>
                    <w:top w:val="none" w:sz="0" w:space="0" w:color="auto"/>
                    <w:left w:val="none" w:sz="0" w:space="0" w:color="auto"/>
                    <w:bottom w:val="none" w:sz="0" w:space="0" w:color="auto"/>
                    <w:right w:val="none" w:sz="0" w:space="0" w:color="auto"/>
                  </w:divBdr>
                  <w:divsChild>
                    <w:div w:id="532311040">
                      <w:marLeft w:val="0"/>
                      <w:marRight w:val="0"/>
                      <w:marTop w:val="0"/>
                      <w:marBottom w:val="0"/>
                      <w:divBdr>
                        <w:top w:val="none" w:sz="0" w:space="0" w:color="auto"/>
                        <w:left w:val="none" w:sz="0" w:space="0" w:color="auto"/>
                        <w:bottom w:val="none" w:sz="0" w:space="0" w:color="auto"/>
                        <w:right w:val="none" w:sz="0" w:space="0" w:color="auto"/>
                      </w:divBdr>
                      <w:divsChild>
                        <w:div w:id="1532109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904012">
      <w:bodyDiv w:val="1"/>
      <w:marLeft w:val="0"/>
      <w:marRight w:val="0"/>
      <w:marTop w:val="0"/>
      <w:marBottom w:val="0"/>
      <w:divBdr>
        <w:top w:val="none" w:sz="0" w:space="0" w:color="auto"/>
        <w:left w:val="none" w:sz="0" w:space="0" w:color="auto"/>
        <w:bottom w:val="none" w:sz="0" w:space="0" w:color="auto"/>
        <w:right w:val="none" w:sz="0" w:space="0" w:color="auto"/>
      </w:divBdr>
    </w:div>
    <w:div w:id="111487576">
      <w:bodyDiv w:val="1"/>
      <w:marLeft w:val="0"/>
      <w:marRight w:val="0"/>
      <w:marTop w:val="0"/>
      <w:marBottom w:val="0"/>
      <w:divBdr>
        <w:top w:val="none" w:sz="0" w:space="0" w:color="auto"/>
        <w:left w:val="none" w:sz="0" w:space="0" w:color="auto"/>
        <w:bottom w:val="none" w:sz="0" w:space="0" w:color="auto"/>
        <w:right w:val="none" w:sz="0" w:space="0" w:color="auto"/>
      </w:divBdr>
    </w:div>
    <w:div w:id="159778109">
      <w:bodyDiv w:val="1"/>
      <w:marLeft w:val="0"/>
      <w:marRight w:val="0"/>
      <w:marTop w:val="0"/>
      <w:marBottom w:val="0"/>
      <w:divBdr>
        <w:top w:val="none" w:sz="0" w:space="0" w:color="auto"/>
        <w:left w:val="none" w:sz="0" w:space="0" w:color="auto"/>
        <w:bottom w:val="none" w:sz="0" w:space="0" w:color="auto"/>
        <w:right w:val="none" w:sz="0" w:space="0" w:color="auto"/>
      </w:divBdr>
    </w:div>
    <w:div w:id="175191928">
      <w:bodyDiv w:val="1"/>
      <w:marLeft w:val="0"/>
      <w:marRight w:val="0"/>
      <w:marTop w:val="0"/>
      <w:marBottom w:val="0"/>
      <w:divBdr>
        <w:top w:val="none" w:sz="0" w:space="0" w:color="auto"/>
        <w:left w:val="none" w:sz="0" w:space="0" w:color="auto"/>
        <w:bottom w:val="none" w:sz="0" w:space="0" w:color="auto"/>
        <w:right w:val="none" w:sz="0" w:space="0" w:color="auto"/>
      </w:divBdr>
    </w:div>
    <w:div w:id="184832009">
      <w:bodyDiv w:val="1"/>
      <w:marLeft w:val="0"/>
      <w:marRight w:val="0"/>
      <w:marTop w:val="0"/>
      <w:marBottom w:val="0"/>
      <w:divBdr>
        <w:top w:val="none" w:sz="0" w:space="0" w:color="auto"/>
        <w:left w:val="none" w:sz="0" w:space="0" w:color="auto"/>
        <w:bottom w:val="none" w:sz="0" w:space="0" w:color="auto"/>
        <w:right w:val="none" w:sz="0" w:space="0" w:color="auto"/>
      </w:divBdr>
    </w:div>
    <w:div w:id="185094951">
      <w:bodyDiv w:val="1"/>
      <w:marLeft w:val="0"/>
      <w:marRight w:val="0"/>
      <w:marTop w:val="0"/>
      <w:marBottom w:val="0"/>
      <w:divBdr>
        <w:top w:val="none" w:sz="0" w:space="0" w:color="auto"/>
        <w:left w:val="none" w:sz="0" w:space="0" w:color="auto"/>
        <w:bottom w:val="none" w:sz="0" w:space="0" w:color="auto"/>
        <w:right w:val="none" w:sz="0" w:space="0" w:color="auto"/>
      </w:divBdr>
    </w:div>
    <w:div w:id="251666046">
      <w:bodyDiv w:val="1"/>
      <w:marLeft w:val="0"/>
      <w:marRight w:val="0"/>
      <w:marTop w:val="0"/>
      <w:marBottom w:val="0"/>
      <w:divBdr>
        <w:top w:val="none" w:sz="0" w:space="0" w:color="auto"/>
        <w:left w:val="none" w:sz="0" w:space="0" w:color="auto"/>
        <w:bottom w:val="none" w:sz="0" w:space="0" w:color="auto"/>
        <w:right w:val="none" w:sz="0" w:space="0" w:color="auto"/>
      </w:divBdr>
    </w:div>
    <w:div w:id="279344413">
      <w:bodyDiv w:val="1"/>
      <w:marLeft w:val="0"/>
      <w:marRight w:val="0"/>
      <w:marTop w:val="0"/>
      <w:marBottom w:val="0"/>
      <w:divBdr>
        <w:top w:val="none" w:sz="0" w:space="0" w:color="auto"/>
        <w:left w:val="none" w:sz="0" w:space="0" w:color="auto"/>
        <w:bottom w:val="none" w:sz="0" w:space="0" w:color="auto"/>
        <w:right w:val="none" w:sz="0" w:space="0" w:color="auto"/>
      </w:divBdr>
    </w:div>
    <w:div w:id="295256925">
      <w:bodyDiv w:val="1"/>
      <w:marLeft w:val="0"/>
      <w:marRight w:val="0"/>
      <w:marTop w:val="0"/>
      <w:marBottom w:val="0"/>
      <w:divBdr>
        <w:top w:val="none" w:sz="0" w:space="0" w:color="auto"/>
        <w:left w:val="none" w:sz="0" w:space="0" w:color="auto"/>
        <w:bottom w:val="none" w:sz="0" w:space="0" w:color="auto"/>
        <w:right w:val="none" w:sz="0" w:space="0" w:color="auto"/>
      </w:divBdr>
    </w:div>
    <w:div w:id="315960967">
      <w:bodyDiv w:val="1"/>
      <w:marLeft w:val="0"/>
      <w:marRight w:val="0"/>
      <w:marTop w:val="0"/>
      <w:marBottom w:val="0"/>
      <w:divBdr>
        <w:top w:val="none" w:sz="0" w:space="0" w:color="auto"/>
        <w:left w:val="none" w:sz="0" w:space="0" w:color="auto"/>
        <w:bottom w:val="none" w:sz="0" w:space="0" w:color="auto"/>
        <w:right w:val="none" w:sz="0" w:space="0" w:color="auto"/>
      </w:divBdr>
    </w:div>
    <w:div w:id="329986300">
      <w:bodyDiv w:val="1"/>
      <w:marLeft w:val="0"/>
      <w:marRight w:val="0"/>
      <w:marTop w:val="0"/>
      <w:marBottom w:val="0"/>
      <w:divBdr>
        <w:top w:val="none" w:sz="0" w:space="0" w:color="auto"/>
        <w:left w:val="none" w:sz="0" w:space="0" w:color="auto"/>
        <w:bottom w:val="none" w:sz="0" w:space="0" w:color="auto"/>
        <w:right w:val="none" w:sz="0" w:space="0" w:color="auto"/>
      </w:divBdr>
    </w:div>
    <w:div w:id="379789411">
      <w:bodyDiv w:val="1"/>
      <w:marLeft w:val="0"/>
      <w:marRight w:val="0"/>
      <w:marTop w:val="0"/>
      <w:marBottom w:val="0"/>
      <w:divBdr>
        <w:top w:val="none" w:sz="0" w:space="0" w:color="auto"/>
        <w:left w:val="none" w:sz="0" w:space="0" w:color="auto"/>
        <w:bottom w:val="none" w:sz="0" w:space="0" w:color="auto"/>
        <w:right w:val="none" w:sz="0" w:space="0" w:color="auto"/>
      </w:divBdr>
    </w:div>
    <w:div w:id="476649341">
      <w:bodyDiv w:val="1"/>
      <w:marLeft w:val="0"/>
      <w:marRight w:val="0"/>
      <w:marTop w:val="0"/>
      <w:marBottom w:val="0"/>
      <w:divBdr>
        <w:top w:val="none" w:sz="0" w:space="0" w:color="auto"/>
        <w:left w:val="none" w:sz="0" w:space="0" w:color="auto"/>
        <w:bottom w:val="none" w:sz="0" w:space="0" w:color="auto"/>
        <w:right w:val="none" w:sz="0" w:space="0" w:color="auto"/>
      </w:divBdr>
    </w:div>
    <w:div w:id="492065777">
      <w:bodyDiv w:val="1"/>
      <w:marLeft w:val="0"/>
      <w:marRight w:val="0"/>
      <w:marTop w:val="0"/>
      <w:marBottom w:val="0"/>
      <w:divBdr>
        <w:top w:val="none" w:sz="0" w:space="0" w:color="auto"/>
        <w:left w:val="none" w:sz="0" w:space="0" w:color="auto"/>
        <w:bottom w:val="none" w:sz="0" w:space="0" w:color="auto"/>
        <w:right w:val="none" w:sz="0" w:space="0" w:color="auto"/>
      </w:divBdr>
    </w:div>
    <w:div w:id="542643482">
      <w:bodyDiv w:val="1"/>
      <w:marLeft w:val="0"/>
      <w:marRight w:val="0"/>
      <w:marTop w:val="0"/>
      <w:marBottom w:val="0"/>
      <w:divBdr>
        <w:top w:val="none" w:sz="0" w:space="0" w:color="auto"/>
        <w:left w:val="none" w:sz="0" w:space="0" w:color="auto"/>
        <w:bottom w:val="none" w:sz="0" w:space="0" w:color="auto"/>
        <w:right w:val="none" w:sz="0" w:space="0" w:color="auto"/>
      </w:divBdr>
    </w:div>
    <w:div w:id="704645851">
      <w:bodyDiv w:val="1"/>
      <w:marLeft w:val="0"/>
      <w:marRight w:val="0"/>
      <w:marTop w:val="0"/>
      <w:marBottom w:val="0"/>
      <w:divBdr>
        <w:top w:val="none" w:sz="0" w:space="0" w:color="auto"/>
        <w:left w:val="none" w:sz="0" w:space="0" w:color="auto"/>
        <w:bottom w:val="none" w:sz="0" w:space="0" w:color="auto"/>
        <w:right w:val="none" w:sz="0" w:space="0" w:color="auto"/>
      </w:divBdr>
    </w:div>
    <w:div w:id="721178688">
      <w:bodyDiv w:val="1"/>
      <w:marLeft w:val="0"/>
      <w:marRight w:val="0"/>
      <w:marTop w:val="0"/>
      <w:marBottom w:val="0"/>
      <w:divBdr>
        <w:top w:val="none" w:sz="0" w:space="0" w:color="auto"/>
        <w:left w:val="none" w:sz="0" w:space="0" w:color="auto"/>
        <w:bottom w:val="none" w:sz="0" w:space="0" w:color="auto"/>
        <w:right w:val="none" w:sz="0" w:space="0" w:color="auto"/>
      </w:divBdr>
    </w:div>
    <w:div w:id="728958570">
      <w:bodyDiv w:val="1"/>
      <w:marLeft w:val="0"/>
      <w:marRight w:val="0"/>
      <w:marTop w:val="0"/>
      <w:marBottom w:val="0"/>
      <w:divBdr>
        <w:top w:val="none" w:sz="0" w:space="0" w:color="auto"/>
        <w:left w:val="none" w:sz="0" w:space="0" w:color="auto"/>
        <w:bottom w:val="none" w:sz="0" w:space="0" w:color="auto"/>
        <w:right w:val="none" w:sz="0" w:space="0" w:color="auto"/>
      </w:divBdr>
    </w:div>
    <w:div w:id="763574839">
      <w:bodyDiv w:val="1"/>
      <w:marLeft w:val="0"/>
      <w:marRight w:val="0"/>
      <w:marTop w:val="0"/>
      <w:marBottom w:val="0"/>
      <w:divBdr>
        <w:top w:val="none" w:sz="0" w:space="0" w:color="auto"/>
        <w:left w:val="none" w:sz="0" w:space="0" w:color="auto"/>
        <w:bottom w:val="none" w:sz="0" w:space="0" w:color="auto"/>
        <w:right w:val="none" w:sz="0" w:space="0" w:color="auto"/>
      </w:divBdr>
    </w:div>
    <w:div w:id="836649260">
      <w:bodyDiv w:val="1"/>
      <w:marLeft w:val="0"/>
      <w:marRight w:val="0"/>
      <w:marTop w:val="0"/>
      <w:marBottom w:val="0"/>
      <w:divBdr>
        <w:top w:val="none" w:sz="0" w:space="0" w:color="auto"/>
        <w:left w:val="none" w:sz="0" w:space="0" w:color="auto"/>
        <w:bottom w:val="none" w:sz="0" w:space="0" w:color="auto"/>
        <w:right w:val="none" w:sz="0" w:space="0" w:color="auto"/>
      </w:divBdr>
    </w:div>
    <w:div w:id="901721794">
      <w:bodyDiv w:val="1"/>
      <w:marLeft w:val="0"/>
      <w:marRight w:val="0"/>
      <w:marTop w:val="0"/>
      <w:marBottom w:val="0"/>
      <w:divBdr>
        <w:top w:val="none" w:sz="0" w:space="0" w:color="auto"/>
        <w:left w:val="none" w:sz="0" w:space="0" w:color="auto"/>
        <w:bottom w:val="none" w:sz="0" w:space="0" w:color="auto"/>
        <w:right w:val="none" w:sz="0" w:space="0" w:color="auto"/>
      </w:divBdr>
    </w:div>
    <w:div w:id="944578166">
      <w:bodyDiv w:val="1"/>
      <w:marLeft w:val="0"/>
      <w:marRight w:val="0"/>
      <w:marTop w:val="0"/>
      <w:marBottom w:val="0"/>
      <w:divBdr>
        <w:top w:val="none" w:sz="0" w:space="0" w:color="auto"/>
        <w:left w:val="none" w:sz="0" w:space="0" w:color="auto"/>
        <w:bottom w:val="none" w:sz="0" w:space="0" w:color="auto"/>
        <w:right w:val="none" w:sz="0" w:space="0" w:color="auto"/>
      </w:divBdr>
    </w:div>
    <w:div w:id="968435580">
      <w:bodyDiv w:val="1"/>
      <w:marLeft w:val="0"/>
      <w:marRight w:val="0"/>
      <w:marTop w:val="0"/>
      <w:marBottom w:val="0"/>
      <w:divBdr>
        <w:top w:val="none" w:sz="0" w:space="0" w:color="auto"/>
        <w:left w:val="none" w:sz="0" w:space="0" w:color="auto"/>
        <w:bottom w:val="none" w:sz="0" w:space="0" w:color="auto"/>
        <w:right w:val="none" w:sz="0" w:space="0" w:color="auto"/>
      </w:divBdr>
    </w:div>
    <w:div w:id="968820015">
      <w:bodyDiv w:val="1"/>
      <w:marLeft w:val="0"/>
      <w:marRight w:val="0"/>
      <w:marTop w:val="0"/>
      <w:marBottom w:val="0"/>
      <w:divBdr>
        <w:top w:val="none" w:sz="0" w:space="0" w:color="auto"/>
        <w:left w:val="none" w:sz="0" w:space="0" w:color="auto"/>
        <w:bottom w:val="none" w:sz="0" w:space="0" w:color="auto"/>
        <w:right w:val="none" w:sz="0" w:space="0" w:color="auto"/>
      </w:divBdr>
    </w:div>
    <w:div w:id="1058669742">
      <w:bodyDiv w:val="1"/>
      <w:marLeft w:val="0"/>
      <w:marRight w:val="0"/>
      <w:marTop w:val="0"/>
      <w:marBottom w:val="0"/>
      <w:divBdr>
        <w:top w:val="none" w:sz="0" w:space="0" w:color="auto"/>
        <w:left w:val="none" w:sz="0" w:space="0" w:color="auto"/>
        <w:bottom w:val="none" w:sz="0" w:space="0" w:color="auto"/>
        <w:right w:val="none" w:sz="0" w:space="0" w:color="auto"/>
      </w:divBdr>
    </w:div>
    <w:div w:id="1185748703">
      <w:bodyDiv w:val="1"/>
      <w:marLeft w:val="0"/>
      <w:marRight w:val="0"/>
      <w:marTop w:val="0"/>
      <w:marBottom w:val="0"/>
      <w:divBdr>
        <w:top w:val="none" w:sz="0" w:space="0" w:color="auto"/>
        <w:left w:val="none" w:sz="0" w:space="0" w:color="auto"/>
        <w:bottom w:val="none" w:sz="0" w:space="0" w:color="auto"/>
        <w:right w:val="none" w:sz="0" w:space="0" w:color="auto"/>
      </w:divBdr>
    </w:div>
    <w:div w:id="1200127939">
      <w:bodyDiv w:val="1"/>
      <w:marLeft w:val="0"/>
      <w:marRight w:val="0"/>
      <w:marTop w:val="0"/>
      <w:marBottom w:val="0"/>
      <w:divBdr>
        <w:top w:val="none" w:sz="0" w:space="0" w:color="auto"/>
        <w:left w:val="none" w:sz="0" w:space="0" w:color="auto"/>
        <w:bottom w:val="none" w:sz="0" w:space="0" w:color="auto"/>
        <w:right w:val="none" w:sz="0" w:space="0" w:color="auto"/>
      </w:divBdr>
    </w:div>
    <w:div w:id="1308819741">
      <w:bodyDiv w:val="1"/>
      <w:marLeft w:val="0"/>
      <w:marRight w:val="0"/>
      <w:marTop w:val="0"/>
      <w:marBottom w:val="0"/>
      <w:divBdr>
        <w:top w:val="none" w:sz="0" w:space="0" w:color="auto"/>
        <w:left w:val="none" w:sz="0" w:space="0" w:color="auto"/>
        <w:bottom w:val="none" w:sz="0" w:space="0" w:color="auto"/>
        <w:right w:val="none" w:sz="0" w:space="0" w:color="auto"/>
      </w:divBdr>
      <w:divsChild>
        <w:div w:id="2136678807">
          <w:marLeft w:val="0"/>
          <w:marRight w:val="0"/>
          <w:marTop w:val="0"/>
          <w:marBottom w:val="0"/>
          <w:divBdr>
            <w:top w:val="none" w:sz="0" w:space="0" w:color="auto"/>
            <w:left w:val="none" w:sz="0" w:space="0" w:color="auto"/>
            <w:bottom w:val="none" w:sz="0" w:space="0" w:color="auto"/>
            <w:right w:val="none" w:sz="0" w:space="0" w:color="auto"/>
          </w:divBdr>
          <w:divsChild>
            <w:div w:id="788857676">
              <w:marLeft w:val="0"/>
              <w:marRight w:val="0"/>
              <w:marTop w:val="0"/>
              <w:marBottom w:val="0"/>
              <w:divBdr>
                <w:top w:val="none" w:sz="0" w:space="0" w:color="auto"/>
                <w:left w:val="none" w:sz="0" w:space="0" w:color="auto"/>
                <w:bottom w:val="none" w:sz="0" w:space="0" w:color="auto"/>
                <w:right w:val="none" w:sz="0" w:space="0" w:color="auto"/>
              </w:divBdr>
              <w:divsChild>
                <w:div w:id="250696661">
                  <w:marLeft w:val="0"/>
                  <w:marRight w:val="0"/>
                  <w:marTop w:val="0"/>
                  <w:marBottom w:val="0"/>
                  <w:divBdr>
                    <w:top w:val="none" w:sz="0" w:space="0" w:color="auto"/>
                    <w:left w:val="none" w:sz="0" w:space="0" w:color="auto"/>
                    <w:bottom w:val="none" w:sz="0" w:space="0" w:color="auto"/>
                    <w:right w:val="none" w:sz="0" w:space="0" w:color="auto"/>
                  </w:divBdr>
                  <w:divsChild>
                    <w:div w:id="1993022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8504183">
          <w:marLeft w:val="0"/>
          <w:marRight w:val="0"/>
          <w:marTop w:val="0"/>
          <w:marBottom w:val="0"/>
          <w:divBdr>
            <w:top w:val="none" w:sz="0" w:space="0" w:color="auto"/>
            <w:left w:val="none" w:sz="0" w:space="0" w:color="auto"/>
            <w:bottom w:val="none" w:sz="0" w:space="0" w:color="auto"/>
            <w:right w:val="none" w:sz="0" w:space="0" w:color="auto"/>
          </w:divBdr>
          <w:divsChild>
            <w:div w:id="712459092">
              <w:marLeft w:val="0"/>
              <w:marRight w:val="0"/>
              <w:marTop w:val="0"/>
              <w:marBottom w:val="0"/>
              <w:divBdr>
                <w:top w:val="none" w:sz="0" w:space="0" w:color="auto"/>
                <w:left w:val="none" w:sz="0" w:space="0" w:color="auto"/>
                <w:bottom w:val="none" w:sz="0" w:space="0" w:color="auto"/>
                <w:right w:val="none" w:sz="0" w:space="0" w:color="auto"/>
              </w:divBdr>
              <w:divsChild>
                <w:div w:id="1251430270">
                  <w:marLeft w:val="0"/>
                  <w:marRight w:val="0"/>
                  <w:marTop w:val="0"/>
                  <w:marBottom w:val="0"/>
                  <w:divBdr>
                    <w:top w:val="none" w:sz="0" w:space="0" w:color="auto"/>
                    <w:left w:val="none" w:sz="0" w:space="0" w:color="auto"/>
                    <w:bottom w:val="none" w:sz="0" w:space="0" w:color="auto"/>
                    <w:right w:val="none" w:sz="0" w:space="0" w:color="auto"/>
                  </w:divBdr>
                  <w:divsChild>
                    <w:div w:id="307320206">
                      <w:marLeft w:val="0"/>
                      <w:marRight w:val="0"/>
                      <w:marTop w:val="0"/>
                      <w:marBottom w:val="0"/>
                      <w:divBdr>
                        <w:top w:val="none" w:sz="0" w:space="0" w:color="auto"/>
                        <w:left w:val="none" w:sz="0" w:space="0" w:color="auto"/>
                        <w:bottom w:val="none" w:sz="0" w:space="0" w:color="auto"/>
                        <w:right w:val="none" w:sz="0" w:space="0" w:color="auto"/>
                      </w:divBdr>
                      <w:divsChild>
                        <w:div w:id="1048069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9438524">
      <w:bodyDiv w:val="1"/>
      <w:marLeft w:val="0"/>
      <w:marRight w:val="0"/>
      <w:marTop w:val="0"/>
      <w:marBottom w:val="0"/>
      <w:divBdr>
        <w:top w:val="none" w:sz="0" w:space="0" w:color="auto"/>
        <w:left w:val="none" w:sz="0" w:space="0" w:color="auto"/>
        <w:bottom w:val="none" w:sz="0" w:space="0" w:color="auto"/>
        <w:right w:val="none" w:sz="0" w:space="0" w:color="auto"/>
      </w:divBdr>
    </w:div>
    <w:div w:id="1328438691">
      <w:bodyDiv w:val="1"/>
      <w:marLeft w:val="0"/>
      <w:marRight w:val="0"/>
      <w:marTop w:val="0"/>
      <w:marBottom w:val="0"/>
      <w:divBdr>
        <w:top w:val="none" w:sz="0" w:space="0" w:color="auto"/>
        <w:left w:val="none" w:sz="0" w:space="0" w:color="auto"/>
        <w:bottom w:val="none" w:sz="0" w:space="0" w:color="auto"/>
        <w:right w:val="none" w:sz="0" w:space="0" w:color="auto"/>
      </w:divBdr>
    </w:div>
    <w:div w:id="1334455676">
      <w:bodyDiv w:val="1"/>
      <w:marLeft w:val="0"/>
      <w:marRight w:val="0"/>
      <w:marTop w:val="0"/>
      <w:marBottom w:val="0"/>
      <w:divBdr>
        <w:top w:val="none" w:sz="0" w:space="0" w:color="auto"/>
        <w:left w:val="none" w:sz="0" w:space="0" w:color="auto"/>
        <w:bottom w:val="none" w:sz="0" w:space="0" w:color="auto"/>
        <w:right w:val="none" w:sz="0" w:space="0" w:color="auto"/>
      </w:divBdr>
    </w:div>
    <w:div w:id="1337270239">
      <w:bodyDiv w:val="1"/>
      <w:marLeft w:val="0"/>
      <w:marRight w:val="0"/>
      <w:marTop w:val="0"/>
      <w:marBottom w:val="0"/>
      <w:divBdr>
        <w:top w:val="none" w:sz="0" w:space="0" w:color="auto"/>
        <w:left w:val="none" w:sz="0" w:space="0" w:color="auto"/>
        <w:bottom w:val="none" w:sz="0" w:space="0" w:color="auto"/>
        <w:right w:val="none" w:sz="0" w:space="0" w:color="auto"/>
      </w:divBdr>
    </w:div>
    <w:div w:id="1364869365">
      <w:bodyDiv w:val="1"/>
      <w:marLeft w:val="0"/>
      <w:marRight w:val="0"/>
      <w:marTop w:val="0"/>
      <w:marBottom w:val="0"/>
      <w:divBdr>
        <w:top w:val="none" w:sz="0" w:space="0" w:color="auto"/>
        <w:left w:val="none" w:sz="0" w:space="0" w:color="auto"/>
        <w:bottom w:val="none" w:sz="0" w:space="0" w:color="auto"/>
        <w:right w:val="none" w:sz="0" w:space="0" w:color="auto"/>
      </w:divBdr>
    </w:div>
    <w:div w:id="1390614343">
      <w:bodyDiv w:val="1"/>
      <w:marLeft w:val="0"/>
      <w:marRight w:val="0"/>
      <w:marTop w:val="0"/>
      <w:marBottom w:val="0"/>
      <w:divBdr>
        <w:top w:val="none" w:sz="0" w:space="0" w:color="auto"/>
        <w:left w:val="none" w:sz="0" w:space="0" w:color="auto"/>
        <w:bottom w:val="none" w:sz="0" w:space="0" w:color="auto"/>
        <w:right w:val="none" w:sz="0" w:space="0" w:color="auto"/>
      </w:divBdr>
    </w:div>
    <w:div w:id="1391657045">
      <w:bodyDiv w:val="1"/>
      <w:marLeft w:val="0"/>
      <w:marRight w:val="0"/>
      <w:marTop w:val="0"/>
      <w:marBottom w:val="0"/>
      <w:divBdr>
        <w:top w:val="none" w:sz="0" w:space="0" w:color="auto"/>
        <w:left w:val="none" w:sz="0" w:space="0" w:color="auto"/>
        <w:bottom w:val="none" w:sz="0" w:space="0" w:color="auto"/>
        <w:right w:val="none" w:sz="0" w:space="0" w:color="auto"/>
      </w:divBdr>
    </w:div>
    <w:div w:id="1420908770">
      <w:bodyDiv w:val="1"/>
      <w:marLeft w:val="0"/>
      <w:marRight w:val="0"/>
      <w:marTop w:val="0"/>
      <w:marBottom w:val="0"/>
      <w:divBdr>
        <w:top w:val="none" w:sz="0" w:space="0" w:color="auto"/>
        <w:left w:val="none" w:sz="0" w:space="0" w:color="auto"/>
        <w:bottom w:val="none" w:sz="0" w:space="0" w:color="auto"/>
        <w:right w:val="none" w:sz="0" w:space="0" w:color="auto"/>
      </w:divBdr>
    </w:div>
    <w:div w:id="1436441957">
      <w:bodyDiv w:val="1"/>
      <w:marLeft w:val="0"/>
      <w:marRight w:val="0"/>
      <w:marTop w:val="0"/>
      <w:marBottom w:val="0"/>
      <w:divBdr>
        <w:top w:val="none" w:sz="0" w:space="0" w:color="auto"/>
        <w:left w:val="none" w:sz="0" w:space="0" w:color="auto"/>
        <w:bottom w:val="none" w:sz="0" w:space="0" w:color="auto"/>
        <w:right w:val="none" w:sz="0" w:space="0" w:color="auto"/>
      </w:divBdr>
    </w:div>
    <w:div w:id="1439525618">
      <w:bodyDiv w:val="1"/>
      <w:marLeft w:val="0"/>
      <w:marRight w:val="0"/>
      <w:marTop w:val="0"/>
      <w:marBottom w:val="0"/>
      <w:divBdr>
        <w:top w:val="none" w:sz="0" w:space="0" w:color="auto"/>
        <w:left w:val="none" w:sz="0" w:space="0" w:color="auto"/>
        <w:bottom w:val="none" w:sz="0" w:space="0" w:color="auto"/>
        <w:right w:val="none" w:sz="0" w:space="0" w:color="auto"/>
      </w:divBdr>
    </w:div>
    <w:div w:id="1502282009">
      <w:bodyDiv w:val="1"/>
      <w:marLeft w:val="0"/>
      <w:marRight w:val="0"/>
      <w:marTop w:val="0"/>
      <w:marBottom w:val="0"/>
      <w:divBdr>
        <w:top w:val="none" w:sz="0" w:space="0" w:color="auto"/>
        <w:left w:val="none" w:sz="0" w:space="0" w:color="auto"/>
        <w:bottom w:val="none" w:sz="0" w:space="0" w:color="auto"/>
        <w:right w:val="none" w:sz="0" w:space="0" w:color="auto"/>
      </w:divBdr>
    </w:div>
    <w:div w:id="1537697465">
      <w:bodyDiv w:val="1"/>
      <w:marLeft w:val="0"/>
      <w:marRight w:val="0"/>
      <w:marTop w:val="0"/>
      <w:marBottom w:val="0"/>
      <w:divBdr>
        <w:top w:val="none" w:sz="0" w:space="0" w:color="auto"/>
        <w:left w:val="none" w:sz="0" w:space="0" w:color="auto"/>
        <w:bottom w:val="none" w:sz="0" w:space="0" w:color="auto"/>
        <w:right w:val="none" w:sz="0" w:space="0" w:color="auto"/>
      </w:divBdr>
    </w:div>
    <w:div w:id="1701736482">
      <w:bodyDiv w:val="1"/>
      <w:marLeft w:val="0"/>
      <w:marRight w:val="0"/>
      <w:marTop w:val="0"/>
      <w:marBottom w:val="0"/>
      <w:divBdr>
        <w:top w:val="none" w:sz="0" w:space="0" w:color="auto"/>
        <w:left w:val="none" w:sz="0" w:space="0" w:color="auto"/>
        <w:bottom w:val="none" w:sz="0" w:space="0" w:color="auto"/>
        <w:right w:val="none" w:sz="0" w:space="0" w:color="auto"/>
      </w:divBdr>
    </w:div>
    <w:div w:id="1714377550">
      <w:bodyDiv w:val="1"/>
      <w:marLeft w:val="0"/>
      <w:marRight w:val="0"/>
      <w:marTop w:val="0"/>
      <w:marBottom w:val="0"/>
      <w:divBdr>
        <w:top w:val="none" w:sz="0" w:space="0" w:color="auto"/>
        <w:left w:val="none" w:sz="0" w:space="0" w:color="auto"/>
        <w:bottom w:val="none" w:sz="0" w:space="0" w:color="auto"/>
        <w:right w:val="none" w:sz="0" w:space="0" w:color="auto"/>
      </w:divBdr>
    </w:div>
    <w:div w:id="1767144567">
      <w:bodyDiv w:val="1"/>
      <w:marLeft w:val="0"/>
      <w:marRight w:val="0"/>
      <w:marTop w:val="0"/>
      <w:marBottom w:val="0"/>
      <w:divBdr>
        <w:top w:val="none" w:sz="0" w:space="0" w:color="auto"/>
        <w:left w:val="none" w:sz="0" w:space="0" w:color="auto"/>
        <w:bottom w:val="none" w:sz="0" w:space="0" w:color="auto"/>
        <w:right w:val="none" w:sz="0" w:space="0" w:color="auto"/>
      </w:divBdr>
    </w:div>
    <w:div w:id="1842117259">
      <w:bodyDiv w:val="1"/>
      <w:marLeft w:val="0"/>
      <w:marRight w:val="0"/>
      <w:marTop w:val="0"/>
      <w:marBottom w:val="0"/>
      <w:divBdr>
        <w:top w:val="none" w:sz="0" w:space="0" w:color="auto"/>
        <w:left w:val="none" w:sz="0" w:space="0" w:color="auto"/>
        <w:bottom w:val="none" w:sz="0" w:space="0" w:color="auto"/>
        <w:right w:val="none" w:sz="0" w:space="0" w:color="auto"/>
      </w:divBdr>
    </w:div>
    <w:div w:id="1863548152">
      <w:bodyDiv w:val="1"/>
      <w:marLeft w:val="0"/>
      <w:marRight w:val="0"/>
      <w:marTop w:val="0"/>
      <w:marBottom w:val="0"/>
      <w:divBdr>
        <w:top w:val="none" w:sz="0" w:space="0" w:color="auto"/>
        <w:left w:val="none" w:sz="0" w:space="0" w:color="auto"/>
        <w:bottom w:val="none" w:sz="0" w:space="0" w:color="auto"/>
        <w:right w:val="none" w:sz="0" w:space="0" w:color="auto"/>
      </w:divBdr>
    </w:div>
    <w:div w:id="1922980958">
      <w:bodyDiv w:val="1"/>
      <w:marLeft w:val="0"/>
      <w:marRight w:val="0"/>
      <w:marTop w:val="0"/>
      <w:marBottom w:val="0"/>
      <w:divBdr>
        <w:top w:val="none" w:sz="0" w:space="0" w:color="auto"/>
        <w:left w:val="none" w:sz="0" w:space="0" w:color="auto"/>
        <w:bottom w:val="none" w:sz="0" w:space="0" w:color="auto"/>
        <w:right w:val="none" w:sz="0" w:space="0" w:color="auto"/>
      </w:divBdr>
    </w:div>
    <w:div w:id="1959988614">
      <w:bodyDiv w:val="1"/>
      <w:marLeft w:val="0"/>
      <w:marRight w:val="0"/>
      <w:marTop w:val="0"/>
      <w:marBottom w:val="0"/>
      <w:divBdr>
        <w:top w:val="none" w:sz="0" w:space="0" w:color="auto"/>
        <w:left w:val="none" w:sz="0" w:space="0" w:color="auto"/>
        <w:bottom w:val="none" w:sz="0" w:space="0" w:color="auto"/>
        <w:right w:val="none" w:sz="0" w:space="0" w:color="auto"/>
      </w:divBdr>
    </w:div>
    <w:div w:id="1989747409">
      <w:bodyDiv w:val="1"/>
      <w:marLeft w:val="0"/>
      <w:marRight w:val="0"/>
      <w:marTop w:val="0"/>
      <w:marBottom w:val="0"/>
      <w:divBdr>
        <w:top w:val="none" w:sz="0" w:space="0" w:color="auto"/>
        <w:left w:val="none" w:sz="0" w:space="0" w:color="auto"/>
        <w:bottom w:val="none" w:sz="0" w:space="0" w:color="auto"/>
        <w:right w:val="none" w:sz="0" w:space="0" w:color="auto"/>
      </w:divBdr>
    </w:div>
    <w:div w:id="1995182124">
      <w:bodyDiv w:val="1"/>
      <w:marLeft w:val="0"/>
      <w:marRight w:val="0"/>
      <w:marTop w:val="0"/>
      <w:marBottom w:val="0"/>
      <w:divBdr>
        <w:top w:val="none" w:sz="0" w:space="0" w:color="auto"/>
        <w:left w:val="none" w:sz="0" w:space="0" w:color="auto"/>
        <w:bottom w:val="none" w:sz="0" w:space="0" w:color="auto"/>
        <w:right w:val="none" w:sz="0" w:space="0" w:color="auto"/>
      </w:divBdr>
    </w:div>
    <w:div w:id="2000621282">
      <w:bodyDiv w:val="1"/>
      <w:marLeft w:val="0"/>
      <w:marRight w:val="0"/>
      <w:marTop w:val="0"/>
      <w:marBottom w:val="0"/>
      <w:divBdr>
        <w:top w:val="none" w:sz="0" w:space="0" w:color="auto"/>
        <w:left w:val="none" w:sz="0" w:space="0" w:color="auto"/>
        <w:bottom w:val="none" w:sz="0" w:space="0" w:color="auto"/>
        <w:right w:val="none" w:sz="0" w:space="0" w:color="auto"/>
      </w:divBdr>
    </w:div>
    <w:div w:id="2010984336">
      <w:bodyDiv w:val="1"/>
      <w:marLeft w:val="0"/>
      <w:marRight w:val="0"/>
      <w:marTop w:val="0"/>
      <w:marBottom w:val="0"/>
      <w:divBdr>
        <w:top w:val="none" w:sz="0" w:space="0" w:color="auto"/>
        <w:left w:val="none" w:sz="0" w:space="0" w:color="auto"/>
        <w:bottom w:val="none" w:sz="0" w:space="0" w:color="auto"/>
        <w:right w:val="none" w:sz="0" w:space="0" w:color="auto"/>
      </w:divBdr>
    </w:div>
    <w:div w:id="2033453979">
      <w:bodyDiv w:val="1"/>
      <w:marLeft w:val="0"/>
      <w:marRight w:val="0"/>
      <w:marTop w:val="0"/>
      <w:marBottom w:val="0"/>
      <w:divBdr>
        <w:top w:val="none" w:sz="0" w:space="0" w:color="auto"/>
        <w:left w:val="none" w:sz="0" w:space="0" w:color="auto"/>
        <w:bottom w:val="none" w:sz="0" w:space="0" w:color="auto"/>
        <w:right w:val="none" w:sz="0" w:space="0" w:color="auto"/>
      </w:divBdr>
    </w:div>
    <w:div w:id="2044750403">
      <w:bodyDiv w:val="1"/>
      <w:marLeft w:val="0"/>
      <w:marRight w:val="0"/>
      <w:marTop w:val="0"/>
      <w:marBottom w:val="0"/>
      <w:divBdr>
        <w:top w:val="none" w:sz="0" w:space="0" w:color="auto"/>
        <w:left w:val="none" w:sz="0" w:space="0" w:color="auto"/>
        <w:bottom w:val="none" w:sz="0" w:space="0" w:color="auto"/>
        <w:right w:val="none" w:sz="0" w:space="0" w:color="auto"/>
      </w:divBdr>
    </w:div>
    <w:div w:id="20690671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i.org/10.3390/ijms23052603" TargetMode="External"/><Relationship Id="rId13" Type="http://schemas.openxmlformats.org/officeDocument/2006/relationships/hyperlink" Target="https://doi.org/10.1002/dc.25400" TargetMode="External"/><Relationship Id="rId18" Type="http://schemas.openxmlformats.org/officeDocument/2006/relationships/image" Target="media/image3.pn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doi.org/10.1038/nrneph.2012.191" TargetMode="External"/><Relationship Id="rId17" Type="http://schemas.openxmlformats.org/officeDocument/2006/relationships/image" Target="media/image2.pn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1.jpeg"/><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i.org/10.2741/4197"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doi.org/10.1186/s13000-022-01235-2" TargetMode="Externa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hyperlink" Target="https://doi.org/10.5858/2010-0478-RAR.1" TargetMode="Externa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yperlink" Target="https://doi.org/10.5858/2010-0478-RAR.1" TargetMode="External"/><Relationship Id="rId14" Type="http://schemas.openxmlformats.org/officeDocument/2006/relationships/hyperlink" Target="https://doi.org/10.1172/JCI118811" TargetMode="External"/><Relationship Id="rId22" Type="http://schemas.openxmlformats.org/officeDocument/2006/relationships/header" Target="header2.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5F5F48-016A-47C4-B4BB-D581BEB9C6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1527</TotalTime>
  <Pages>26</Pages>
  <Words>9396</Words>
  <Characters>53560</Characters>
  <Application>Microsoft Office Word</Application>
  <DocSecurity>0</DocSecurity>
  <Lines>446</Lines>
  <Paragraphs>125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Nicholas Asiwe</dc:creator>
  <cp:keywords/>
  <dc:description/>
  <cp:lastModifiedBy>SDI 1084</cp:lastModifiedBy>
  <cp:revision>62</cp:revision>
  <dcterms:created xsi:type="dcterms:W3CDTF">2025-02-20T17:53:00Z</dcterms:created>
  <dcterms:modified xsi:type="dcterms:W3CDTF">2025-12-22T11:24:00Z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f6229d56-5460-4286-b904-22697f9a8c4c</vt:lpwstr>
  </property>
</Properties>
</file>