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6BB80" w14:textId="22C3F95B"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Myelodysplastic Neoplasms and Acute Myeloid Leukemia</w:t>
      </w:r>
      <w:r w:rsidR="008F08EA">
        <w:rPr>
          <w:rFonts w:ascii="Times New Roman" w:eastAsia="Times New Roman" w:hAnsi="Times New Roman" w:cs="Times New Roman"/>
          <w:b/>
          <w:bCs/>
          <w:kern w:val="0"/>
          <w:sz w:val="24"/>
          <w:szCs w:val="24"/>
          <w:lang w:eastAsia="en-IN"/>
          <w14:ligatures w14:val="none"/>
        </w:rPr>
        <w:t>: Review of Present Status and Future Developments</w:t>
      </w:r>
    </w:p>
    <w:p w14:paraId="7DF3E26E"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Abstract</w:t>
      </w:r>
    </w:p>
    <w:p w14:paraId="10429A5D"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Myelodysplastic neoplasms (MDS) and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xml:space="preserve"> (AML) are clonal hematopoietic disorders characterized by ineffective </w:t>
      </w:r>
      <w:proofErr w:type="spellStart"/>
      <w:r w:rsidRPr="00045CC9">
        <w:rPr>
          <w:rFonts w:ascii="Times New Roman" w:eastAsia="Times New Roman" w:hAnsi="Times New Roman" w:cs="Times New Roman"/>
          <w:kern w:val="0"/>
          <w:sz w:val="24"/>
          <w:szCs w:val="24"/>
          <w:lang w:eastAsia="en-IN"/>
          <w14:ligatures w14:val="none"/>
        </w:rPr>
        <w:t>hematopoiesis</w:t>
      </w:r>
      <w:proofErr w:type="spellEnd"/>
      <w:r w:rsidRPr="00045CC9">
        <w:rPr>
          <w:rFonts w:ascii="Times New Roman" w:eastAsia="Times New Roman" w:hAnsi="Times New Roman" w:cs="Times New Roman"/>
          <w:kern w:val="0"/>
          <w:sz w:val="24"/>
          <w:szCs w:val="24"/>
          <w:lang w:eastAsia="en-IN"/>
          <w14:ligatures w14:val="none"/>
        </w:rPr>
        <w:t xml:space="preserve"> and rapid proliferation of abnormal myeloid cells, respectively. Recent advances in molecular biology have significantly enhanced our understanding of the pathogenesis of MDS and AML, leading to improved diagnostic methods and novel therapeutic strategies. This review highlights the latest developments in genetic and epigenetic alterations, the role of the bone marrow microenvironment, advancements in diagnostics, targeted therapies, immunotherapies, and personalized medicine approaches in MDS and AML. Challenges and future directions are also discussed to provide a comprehensive overview of the current landscape and potential advancements in the management of these hematologic malignancies.</w:t>
      </w:r>
    </w:p>
    <w:p w14:paraId="662893C3"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Keywords:</w:t>
      </w:r>
      <w:r w:rsidRPr="00045CC9">
        <w:rPr>
          <w:rFonts w:ascii="Times New Roman" w:eastAsia="Times New Roman" w:hAnsi="Times New Roman" w:cs="Times New Roman"/>
          <w:kern w:val="0"/>
          <w:sz w:val="24"/>
          <w:szCs w:val="24"/>
          <w:lang w:eastAsia="en-IN"/>
          <w14:ligatures w14:val="none"/>
        </w:rPr>
        <w:t xml:space="preserve"> Myelodysplastic neoplasms;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Genetic mutations; Epigenetic alterations; Bone marrow microenvironment; Targeted therapy; Immunotherapy; Personalized medicine; Next-generation sequencing; Therapeutic resistance.</w:t>
      </w:r>
    </w:p>
    <w:p w14:paraId="00C2D002" w14:textId="5F596452" w:rsidR="00045CC9" w:rsidRPr="00045CC9" w:rsidRDefault="00045CC9" w:rsidP="00045CC9">
      <w:pPr>
        <w:spacing w:after="0" w:line="240" w:lineRule="auto"/>
        <w:rPr>
          <w:rFonts w:ascii="Times New Roman" w:eastAsia="Times New Roman" w:hAnsi="Times New Roman" w:cs="Times New Roman"/>
          <w:kern w:val="0"/>
          <w:sz w:val="24"/>
          <w:szCs w:val="24"/>
          <w:lang w:eastAsia="en-IN"/>
          <w14:ligatures w14:val="none"/>
        </w:rPr>
      </w:pPr>
    </w:p>
    <w:p w14:paraId="4CB29DB0"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1. Introduction</w:t>
      </w:r>
    </w:p>
    <w:p w14:paraId="7B585548" w14:textId="1871020F"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Myelodysplastic neoplasms (MDS) and acute myeloid </w:t>
      </w:r>
      <w:proofErr w:type="spellStart"/>
      <w:r w:rsidRPr="00045CC9">
        <w:rPr>
          <w:rFonts w:ascii="Times New Roman" w:eastAsia="Times New Roman" w:hAnsi="Times New Roman" w:cs="Times New Roman"/>
          <w:kern w:val="0"/>
          <w:sz w:val="24"/>
          <w:szCs w:val="24"/>
          <w:lang w:eastAsia="en-IN"/>
          <w14:ligatures w14:val="none"/>
        </w:rPr>
        <w:t>leukemia</w:t>
      </w:r>
      <w:proofErr w:type="spellEnd"/>
      <w:r w:rsidRPr="00045CC9">
        <w:rPr>
          <w:rFonts w:ascii="Times New Roman" w:eastAsia="Times New Roman" w:hAnsi="Times New Roman" w:cs="Times New Roman"/>
          <w:kern w:val="0"/>
          <w:sz w:val="24"/>
          <w:szCs w:val="24"/>
          <w:lang w:eastAsia="en-IN"/>
          <w14:ligatures w14:val="none"/>
        </w:rPr>
        <w:t xml:space="preserve"> (AML) are hematologic malignancies that present significant challenges in clinical management due to their heterogeneity and complex pathogenesis. MDS encompasses a group of clonal disorders characterized by ineffective </w:t>
      </w:r>
      <w:proofErr w:type="spellStart"/>
      <w:r w:rsidRPr="00045CC9">
        <w:rPr>
          <w:rFonts w:ascii="Times New Roman" w:eastAsia="Times New Roman" w:hAnsi="Times New Roman" w:cs="Times New Roman"/>
          <w:kern w:val="0"/>
          <w:sz w:val="24"/>
          <w:szCs w:val="24"/>
          <w:lang w:eastAsia="en-IN"/>
          <w14:ligatures w14:val="none"/>
        </w:rPr>
        <w:t>hematopoiesis</w:t>
      </w:r>
      <w:proofErr w:type="spellEnd"/>
      <w:r w:rsidRPr="00045CC9">
        <w:rPr>
          <w:rFonts w:ascii="Times New Roman" w:eastAsia="Times New Roman" w:hAnsi="Times New Roman" w:cs="Times New Roman"/>
          <w:kern w:val="0"/>
          <w:sz w:val="24"/>
          <w:szCs w:val="24"/>
          <w:lang w:eastAsia="en-IN"/>
          <w14:ligatures w14:val="none"/>
        </w:rPr>
        <w:t>, dysplasia in one or more myeloid cell lines, and a risk of progression to AML (</w:t>
      </w:r>
      <w:r w:rsidR="00C7794C" w:rsidRPr="00C7794C">
        <w:rPr>
          <w:rFonts w:ascii="Times New Roman" w:eastAsia="Times New Roman" w:hAnsi="Times New Roman" w:cs="Times New Roman"/>
          <w:kern w:val="0"/>
          <w:sz w:val="24"/>
          <w:szCs w:val="24"/>
          <w:lang w:eastAsia="en-IN"/>
          <w14:ligatures w14:val="none"/>
        </w:rPr>
        <w:t>Romer-Seibert</w:t>
      </w:r>
      <w:r w:rsidR="00C7794C">
        <w:rPr>
          <w:rFonts w:ascii="Times New Roman" w:eastAsia="Times New Roman" w:hAnsi="Times New Roman" w:cs="Times New Roman"/>
          <w:kern w:val="0"/>
          <w:sz w:val="24"/>
          <w:szCs w:val="24"/>
          <w:lang w:eastAsia="en-IN"/>
          <w14:ligatures w14:val="none"/>
        </w:rPr>
        <w:t xml:space="preserve"> and </w:t>
      </w:r>
      <w:r w:rsidR="00C7794C" w:rsidRPr="00C7794C">
        <w:rPr>
          <w:rFonts w:ascii="Times New Roman" w:eastAsia="Times New Roman" w:hAnsi="Times New Roman" w:cs="Times New Roman"/>
          <w:kern w:val="0"/>
          <w:sz w:val="24"/>
          <w:szCs w:val="24"/>
          <w:lang w:eastAsia="en-IN"/>
          <w14:ligatures w14:val="none"/>
        </w:rPr>
        <w:t>Meyer</w:t>
      </w:r>
      <w:r w:rsidR="00C7794C">
        <w:rPr>
          <w:rFonts w:ascii="Times New Roman" w:eastAsia="Times New Roman" w:hAnsi="Times New Roman" w:cs="Times New Roman"/>
          <w:kern w:val="0"/>
          <w:sz w:val="24"/>
          <w:szCs w:val="24"/>
          <w:lang w:eastAsia="en-IN"/>
          <w14:ligatures w14:val="none"/>
        </w:rPr>
        <w:t>, 2021</w:t>
      </w:r>
      <w:r w:rsidRPr="00045CC9">
        <w:rPr>
          <w:rFonts w:ascii="Times New Roman" w:eastAsia="Times New Roman" w:hAnsi="Times New Roman" w:cs="Times New Roman"/>
          <w:kern w:val="0"/>
          <w:sz w:val="24"/>
          <w:szCs w:val="24"/>
          <w:lang w:eastAsia="en-IN"/>
          <w14:ligatures w14:val="none"/>
        </w:rPr>
        <w:t>). AML is an aggressive cancer marked by the rapid proliferation of immature myeloid cells, leading to bone marrow failure and high mortality rates (</w:t>
      </w:r>
      <w:proofErr w:type="spellStart"/>
      <w:r w:rsidRPr="00045CC9">
        <w:rPr>
          <w:rFonts w:ascii="Times New Roman" w:eastAsia="Times New Roman" w:hAnsi="Times New Roman" w:cs="Times New Roman"/>
          <w:kern w:val="0"/>
          <w:sz w:val="24"/>
          <w:szCs w:val="24"/>
          <w:lang w:eastAsia="en-IN"/>
          <w14:ligatures w14:val="none"/>
        </w:rPr>
        <w:t>Döhner</w:t>
      </w:r>
      <w:proofErr w:type="spellEnd"/>
      <w:r w:rsidRPr="00045CC9">
        <w:rPr>
          <w:rFonts w:ascii="Times New Roman" w:eastAsia="Times New Roman" w:hAnsi="Times New Roman" w:cs="Times New Roman"/>
          <w:kern w:val="0"/>
          <w:sz w:val="24"/>
          <w:szCs w:val="24"/>
          <w:lang w:eastAsia="en-IN"/>
          <w14:ligatures w14:val="none"/>
        </w:rPr>
        <w:t xml:space="preserve"> et al., 2017).</w:t>
      </w:r>
    </w:p>
    <w:p w14:paraId="06CCA97D"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Recent advances in molecular genetics have provided deeper insights into the mechanisms driving these diseases. Understanding the genetic and epigenetic alterations, as well as the interactions within the bone marrow microenvironment, has been pivotal in developing novel diagnostic tools and targeted therapies. This review aims to summarize these advances and discuss their clinical implications.</w:t>
      </w:r>
    </w:p>
    <w:p w14:paraId="748EDD79"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 Molecular and Genetic Advances</w:t>
      </w:r>
    </w:p>
    <w:p w14:paraId="27D36C96"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2.1. Genetic Mutations and Pathways</w:t>
      </w:r>
    </w:p>
    <w:p w14:paraId="74F97342"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The genomic landscape of MDS and AML is characterized by recurrent mutations affecting genes involved in hematopoietic differentiation, proliferation, and survival. Key mutations occur in:</w:t>
      </w:r>
    </w:p>
    <w:p w14:paraId="20C790BB" w14:textId="77777777" w:rsidR="00045CC9" w:rsidRPr="00045CC9" w:rsidRDefault="00045CC9" w:rsidP="00045CC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Transcription Factors:</w:t>
      </w:r>
      <w:r w:rsidRPr="00045CC9">
        <w:rPr>
          <w:rFonts w:ascii="Times New Roman" w:eastAsia="Times New Roman" w:hAnsi="Times New Roman" w:cs="Times New Roman"/>
          <w:kern w:val="0"/>
          <w:sz w:val="24"/>
          <w:szCs w:val="24"/>
          <w:lang w:eastAsia="en-IN"/>
          <w14:ligatures w14:val="none"/>
        </w:rPr>
        <w:t xml:space="preserve"> Mutations in </w:t>
      </w:r>
      <w:r w:rsidRPr="00045CC9">
        <w:rPr>
          <w:rFonts w:ascii="Times New Roman" w:eastAsia="Times New Roman" w:hAnsi="Times New Roman" w:cs="Times New Roman"/>
          <w:i/>
          <w:iCs/>
          <w:kern w:val="0"/>
          <w:sz w:val="24"/>
          <w:szCs w:val="24"/>
          <w:lang w:eastAsia="en-IN"/>
          <w14:ligatures w14:val="none"/>
        </w:rPr>
        <w:t>RUNX1</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CEBPA</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GATA2</w:t>
      </w:r>
      <w:r w:rsidRPr="00045CC9">
        <w:rPr>
          <w:rFonts w:ascii="Times New Roman" w:eastAsia="Times New Roman" w:hAnsi="Times New Roman" w:cs="Times New Roman"/>
          <w:kern w:val="0"/>
          <w:sz w:val="24"/>
          <w:szCs w:val="24"/>
          <w:lang w:eastAsia="en-IN"/>
          <w14:ligatures w14:val="none"/>
        </w:rPr>
        <w:t xml:space="preserve"> disrupt normal myeloid differentiation (De </w:t>
      </w:r>
      <w:proofErr w:type="spellStart"/>
      <w:r w:rsidRPr="00045CC9">
        <w:rPr>
          <w:rFonts w:ascii="Times New Roman" w:eastAsia="Times New Roman" w:hAnsi="Times New Roman" w:cs="Times New Roman"/>
          <w:kern w:val="0"/>
          <w:sz w:val="24"/>
          <w:szCs w:val="24"/>
          <w:lang w:eastAsia="en-IN"/>
          <w14:ligatures w14:val="none"/>
        </w:rPr>
        <w:t>Kouchkovsky</w:t>
      </w:r>
      <w:proofErr w:type="spellEnd"/>
      <w:r w:rsidRPr="00045CC9">
        <w:rPr>
          <w:rFonts w:ascii="Times New Roman" w:eastAsia="Times New Roman" w:hAnsi="Times New Roman" w:cs="Times New Roman"/>
          <w:kern w:val="0"/>
          <w:sz w:val="24"/>
          <w:szCs w:val="24"/>
          <w:lang w:eastAsia="en-IN"/>
          <w14:ligatures w14:val="none"/>
        </w:rPr>
        <w:t xml:space="preserve"> &amp; Abdul-Hay, 2016).</w:t>
      </w:r>
    </w:p>
    <w:p w14:paraId="23082330" w14:textId="4ACEF626" w:rsidR="00045CC9" w:rsidRPr="00045CC9" w:rsidRDefault="00045CC9" w:rsidP="00045CC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Signal Transduction Pathways:</w:t>
      </w:r>
      <w:r w:rsidRPr="00045CC9">
        <w:rPr>
          <w:rFonts w:ascii="Times New Roman" w:eastAsia="Times New Roman" w:hAnsi="Times New Roman" w:cs="Times New Roman"/>
          <w:kern w:val="0"/>
          <w:sz w:val="24"/>
          <w:szCs w:val="24"/>
          <w:lang w:eastAsia="en-IN"/>
          <w14:ligatures w14:val="none"/>
        </w:rPr>
        <w:t xml:space="preserve"> Activating mutations in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KIT</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RAS</w:t>
      </w:r>
      <w:r w:rsidRPr="00045CC9">
        <w:rPr>
          <w:rFonts w:ascii="Times New Roman" w:eastAsia="Times New Roman" w:hAnsi="Times New Roman" w:cs="Times New Roman"/>
          <w:kern w:val="0"/>
          <w:sz w:val="24"/>
          <w:szCs w:val="24"/>
          <w:lang w:eastAsia="en-IN"/>
          <w14:ligatures w14:val="none"/>
        </w:rPr>
        <w:t xml:space="preserve"> genes lead to uncontrolled cell proliferation (</w:t>
      </w:r>
      <w:r w:rsidR="00C7794C" w:rsidRPr="00C7794C">
        <w:rPr>
          <w:rFonts w:ascii="Times New Roman" w:eastAsia="Times New Roman" w:hAnsi="Times New Roman" w:cs="Times New Roman"/>
          <w:kern w:val="0"/>
          <w:sz w:val="24"/>
          <w:szCs w:val="24"/>
          <w:lang w:eastAsia="en-IN"/>
          <w14:ligatures w14:val="none"/>
        </w:rPr>
        <w:t>Ishii</w:t>
      </w:r>
      <w:r w:rsidR="00C7794C">
        <w:rPr>
          <w:rFonts w:ascii="Times New Roman" w:eastAsia="Times New Roman" w:hAnsi="Times New Roman" w:cs="Times New Roman"/>
          <w:kern w:val="0"/>
          <w:sz w:val="24"/>
          <w:szCs w:val="24"/>
          <w:lang w:eastAsia="en-IN"/>
          <w14:ligatures w14:val="none"/>
        </w:rPr>
        <w:t xml:space="preserve"> and </w:t>
      </w:r>
      <w:r w:rsidR="00C7794C" w:rsidRPr="00C7794C">
        <w:rPr>
          <w:rFonts w:ascii="Times New Roman" w:eastAsia="Times New Roman" w:hAnsi="Times New Roman" w:cs="Times New Roman"/>
          <w:kern w:val="0"/>
          <w:sz w:val="24"/>
          <w:szCs w:val="24"/>
          <w:lang w:eastAsia="en-IN"/>
          <w14:ligatures w14:val="none"/>
        </w:rPr>
        <w:t>Yano, 2022</w:t>
      </w:r>
      <w:r w:rsidRPr="00045CC9">
        <w:rPr>
          <w:rFonts w:ascii="Times New Roman" w:eastAsia="Times New Roman" w:hAnsi="Times New Roman" w:cs="Times New Roman"/>
          <w:kern w:val="0"/>
          <w:sz w:val="24"/>
          <w:szCs w:val="24"/>
          <w:lang w:eastAsia="en-IN"/>
          <w14:ligatures w14:val="none"/>
        </w:rPr>
        <w:t>).</w:t>
      </w:r>
    </w:p>
    <w:p w14:paraId="0A3AA655" w14:textId="77777777" w:rsidR="00045CC9" w:rsidRPr="00045CC9" w:rsidRDefault="00045CC9" w:rsidP="00045CC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lastRenderedPageBreak/>
        <w:t>Epigenetic Regulators:</w:t>
      </w:r>
      <w:r w:rsidRPr="00045CC9">
        <w:rPr>
          <w:rFonts w:ascii="Times New Roman" w:eastAsia="Times New Roman" w:hAnsi="Times New Roman" w:cs="Times New Roman"/>
          <w:kern w:val="0"/>
          <w:sz w:val="24"/>
          <w:szCs w:val="24"/>
          <w:lang w:eastAsia="en-IN"/>
          <w14:ligatures w14:val="none"/>
        </w:rPr>
        <w:t xml:space="preserve"> Mutations in </w:t>
      </w:r>
      <w:r w:rsidRPr="00045CC9">
        <w:rPr>
          <w:rFonts w:ascii="Times New Roman" w:eastAsia="Times New Roman" w:hAnsi="Times New Roman" w:cs="Times New Roman"/>
          <w:i/>
          <w:iCs/>
          <w:kern w:val="0"/>
          <w:sz w:val="24"/>
          <w:szCs w:val="24"/>
          <w:lang w:eastAsia="en-IN"/>
          <w14:ligatures w14:val="none"/>
        </w:rPr>
        <w:t>DNMT3A</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TET2</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IDH1/2</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ASXL1</w:t>
      </w:r>
      <w:r w:rsidRPr="00045CC9">
        <w:rPr>
          <w:rFonts w:ascii="Times New Roman" w:eastAsia="Times New Roman" w:hAnsi="Times New Roman" w:cs="Times New Roman"/>
          <w:kern w:val="0"/>
          <w:sz w:val="24"/>
          <w:szCs w:val="24"/>
          <w:lang w:eastAsia="en-IN"/>
          <w14:ligatures w14:val="none"/>
        </w:rPr>
        <w:t xml:space="preserve"> affect DNA methylation and histone modification (Shih et al., 2015).</w:t>
      </w:r>
    </w:p>
    <w:p w14:paraId="070BBFB5"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For instance,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mutations, particularly internal tandem duplications (ITD), are found in approximately 30% of AML cases and are associated with poor prognosis (Daver et al., 2019). </w:t>
      </w:r>
      <w:r w:rsidRPr="00045CC9">
        <w:rPr>
          <w:rFonts w:ascii="Times New Roman" w:eastAsia="Times New Roman" w:hAnsi="Times New Roman" w:cs="Times New Roman"/>
          <w:i/>
          <w:iCs/>
          <w:kern w:val="0"/>
          <w:sz w:val="24"/>
          <w:szCs w:val="24"/>
          <w:lang w:eastAsia="en-IN"/>
          <w14:ligatures w14:val="none"/>
        </w:rPr>
        <w:t>NPM1</w:t>
      </w:r>
      <w:r w:rsidRPr="00045CC9">
        <w:rPr>
          <w:rFonts w:ascii="Times New Roman" w:eastAsia="Times New Roman" w:hAnsi="Times New Roman" w:cs="Times New Roman"/>
          <w:kern w:val="0"/>
          <w:sz w:val="24"/>
          <w:szCs w:val="24"/>
          <w:lang w:eastAsia="en-IN"/>
          <w14:ligatures w14:val="none"/>
        </w:rPr>
        <w:t xml:space="preserve"> mutations, present in about 30% of AML patients, often confer a </w:t>
      </w:r>
      <w:proofErr w:type="spellStart"/>
      <w:r w:rsidRPr="00045CC9">
        <w:rPr>
          <w:rFonts w:ascii="Times New Roman" w:eastAsia="Times New Roman" w:hAnsi="Times New Roman" w:cs="Times New Roman"/>
          <w:kern w:val="0"/>
          <w:sz w:val="24"/>
          <w:szCs w:val="24"/>
          <w:lang w:eastAsia="en-IN"/>
          <w14:ligatures w14:val="none"/>
        </w:rPr>
        <w:t>favorable</w:t>
      </w:r>
      <w:proofErr w:type="spellEnd"/>
      <w:r w:rsidRPr="00045CC9">
        <w:rPr>
          <w:rFonts w:ascii="Times New Roman" w:eastAsia="Times New Roman" w:hAnsi="Times New Roman" w:cs="Times New Roman"/>
          <w:kern w:val="0"/>
          <w:sz w:val="24"/>
          <w:szCs w:val="24"/>
          <w:lang w:eastAsia="en-IN"/>
          <w14:ligatures w14:val="none"/>
        </w:rPr>
        <w:t xml:space="preserve"> prognosis when not accompanied by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-ITD (</w:t>
      </w:r>
      <w:proofErr w:type="spellStart"/>
      <w:r w:rsidRPr="00045CC9">
        <w:rPr>
          <w:rFonts w:ascii="Times New Roman" w:eastAsia="Times New Roman" w:hAnsi="Times New Roman" w:cs="Times New Roman"/>
          <w:kern w:val="0"/>
          <w:sz w:val="24"/>
          <w:szCs w:val="24"/>
          <w:lang w:eastAsia="en-IN"/>
          <w14:ligatures w14:val="none"/>
        </w:rPr>
        <w:t>Papaemmanuil</w:t>
      </w:r>
      <w:proofErr w:type="spellEnd"/>
      <w:r w:rsidRPr="00045CC9">
        <w:rPr>
          <w:rFonts w:ascii="Times New Roman" w:eastAsia="Times New Roman" w:hAnsi="Times New Roman" w:cs="Times New Roman"/>
          <w:kern w:val="0"/>
          <w:sz w:val="24"/>
          <w:szCs w:val="24"/>
          <w:lang w:eastAsia="en-IN"/>
          <w14:ligatures w14:val="none"/>
        </w:rPr>
        <w:t xml:space="preserve"> et al., 2016).</w:t>
      </w:r>
    </w:p>
    <w:p w14:paraId="68C63867"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2.2. Epigenetic Alterations</w:t>
      </w:r>
    </w:p>
    <w:p w14:paraId="176EA35C" w14:textId="25FF24C1"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Epigenetic changes, including DNA methylation, histone modifications, and non-coding RNA expression, play a crucial role in the pathogenesis of MDS and AML (</w:t>
      </w:r>
      <w:r w:rsidR="00C8212D" w:rsidRPr="00C8212D">
        <w:rPr>
          <w:rFonts w:ascii="Times New Roman" w:eastAsia="Times New Roman" w:hAnsi="Times New Roman" w:cs="Times New Roman"/>
          <w:kern w:val="0"/>
          <w:sz w:val="24"/>
          <w:szCs w:val="24"/>
          <w:lang w:eastAsia="en-IN"/>
          <w14:ligatures w14:val="none"/>
        </w:rPr>
        <w:t>Maher</w:t>
      </w:r>
      <w:r w:rsidRPr="00045CC9">
        <w:rPr>
          <w:rFonts w:ascii="Times New Roman" w:eastAsia="Times New Roman" w:hAnsi="Times New Roman" w:cs="Times New Roman"/>
          <w:kern w:val="0"/>
          <w:sz w:val="24"/>
          <w:szCs w:val="24"/>
          <w:lang w:eastAsia="en-IN"/>
          <w14:ligatures w14:val="none"/>
        </w:rPr>
        <w:t xml:space="preserve"> et al., 20</w:t>
      </w:r>
      <w:r w:rsidR="00C8212D">
        <w:rPr>
          <w:rFonts w:ascii="Times New Roman" w:eastAsia="Times New Roman" w:hAnsi="Times New Roman" w:cs="Times New Roman"/>
          <w:kern w:val="0"/>
          <w:sz w:val="24"/>
          <w:szCs w:val="24"/>
          <w:lang w:eastAsia="en-IN"/>
          <w14:ligatures w14:val="none"/>
        </w:rPr>
        <w:t>21</w:t>
      </w:r>
      <w:r w:rsidRPr="00045CC9">
        <w:rPr>
          <w:rFonts w:ascii="Times New Roman" w:eastAsia="Times New Roman" w:hAnsi="Times New Roman" w:cs="Times New Roman"/>
          <w:kern w:val="0"/>
          <w:sz w:val="24"/>
          <w:szCs w:val="24"/>
          <w:lang w:eastAsia="en-IN"/>
          <w14:ligatures w14:val="none"/>
        </w:rPr>
        <w:t xml:space="preserve">). Abnormal DNA methylation patterns can lead to the silencing of </w:t>
      </w:r>
      <w:proofErr w:type="spellStart"/>
      <w:r w:rsidRPr="00045CC9">
        <w:rPr>
          <w:rFonts w:ascii="Times New Roman" w:eastAsia="Times New Roman" w:hAnsi="Times New Roman" w:cs="Times New Roman"/>
          <w:kern w:val="0"/>
          <w:sz w:val="24"/>
          <w:szCs w:val="24"/>
          <w:lang w:eastAsia="en-IN"/>
          <w14:ligatures w14:val="none"/>
        </w:rPr>
        <w:t>tumor</w:t>
      </w:r>
      <w:proofErr w:type="spellEnd"/>
      <w:r w:rsidRPr="00045CC9">
        <w:rPr>
          <w:rFonts w:ascii="Times New Roman" w:eastAsia="Times New Roman" w:hAnsi="Times New Roman" w:cs="Times New Roman"/>
          <w:kern w:val="0"/>
          <w:sz w:val="24"/>
          <w:szCs w:val="24"/>
          <w:lang w:eastAsia="en-IN"/>
          <w14:ligatures w14:val="none"/>
        </w:rPr>
        <w:t xml:space="preserve"> suppressor genes. Histone modifications can alter chromatin structure, affecting gene transcription. Mutations in epigenetic modifiers such as </w:t>
      </w:r>
      <w:r w:rsidRPr="00045CC9">
        <w:rPr>
          <w:rFonts w:ascii="Times New Roman" w:eastAsia="Times New Roman" w:hAnsi="Times New Roman" w:cs="Times New Roman"/>
          <w:i/>
          <w:iCs/>
          <w:kern w:val="0"/>
          <w:sz w:val="24"/>
          <w:szCs w:val="24"/>
          <w:lang w:eastAsia="en-IN"/>
          <w14:ligatures w14:val="none"/>
        </w:rPr>
        <w:t>TET2</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DNMT3A</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ASXL1</w:t>
      </w:r>
      <w:r w:rsidRPr="00045CC9">
        <w:rPr>
          <w:rFonts w:ascii="Times New Roman" w:eastAsia="Times New Roman" w:hAnsi="Times New Roman" w:cs="Times New Roman"/>
          <w:kern w:val="0"/>
          <w:sz w:val="24"/>
          <w:szCs w:val="24"/>
          <w:lang w:eastAsia="en-IN"/>
          <w14:ligatures w14:val="none"/>
        </w:rPr>
        <w:t xml:space="preserve"> disrupt the epigenetic regulation of gene expression, contributing to leukemogenesis (Figueroa et al., 20</w:t>
      </w:r>
      <w:r w:rsidR="00C51421">
        <w:rPr>
          <w:rFonts w:ascii="Times New Roman" w:eastAsia="Times New Roman" w:hAnsi="Times New Roman" w:cs="Times New Roman"/>
          <w:kern w:val="0"/>
          <w:sz w:val="24"/>
          <w:szCs w:val="24"/>
          <w:lang w:eastAsia="en-IN"/>
          <w14:ligatures w14:val="none"/>
        </w:rPr>
        <w:t>09</w:t>
      </w:r>
      <w:r w:rsidRPr="00045CC9">
        <w:rPr>
          <w:rFonts w:ascii="Times New Roman" w:eastAsia="Times New Roman" w:hAnsi="Times New Roman" w:cs="Times New Roman"/>
          <w:kern w:val="0"/>
          <w:sz w:val="24"/>
          <w:szCs w:val="24"/>
          <w:lang w:eastAsia="en-IN"/>
          <w14:ligatures w14:val="none"/>
        </w:rPr>
        <w:t>).</w:t>
      </w:r>
    </w:p>
    <w:p w14:paraId="0A7DAF08"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2.3. Role of the Bone Marrow Microenvironment</w:t>
      </w:r>
    </w:p>
    <w:p w14:paraId="12B078A3"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The bone marrow microenvironment (BMM) provides a niche that supports hematopoietic stem cells (HSCs) and influences their fate. In MDS and AML, the BMM becomes altered, creating a permissive environment for malignant transformation and proliferation (</w:t>
      </w:r>
      <w:proofErr w:type="spellStart"/>
      <w:r w:rsidRPr="00045CC9">
        <w:rPr>
          <w:rFonts w:ascii="Times New Roman" w:eastAsia="Times New Roman" w:hAnsi="Times New Roman" w:cs="Times New Roman"/>
          <w:kern w:val="0"/>
          <w:sz w:val="24"/>
          <w:szCs w:val="24"/>
          <w:lang w:eastAsia="en-IN"/>
          <w14:ligatures w14:val="none"/>
        </w:rPr>
        <w:t>Medyouf</w:t>
      </w:r>
      <w:proofErr w:type="spellEnd"/>
      <w:r w:rsidRPr="00045CC9">
        <w:rPr>
          <w:rFonts w:ascii="Times New Roman" w:eastAsia="Times New Roman" w:hAnsi="Times New Roman" w:cs="Times New Roman"/>
          <w:kern w:val="0"/>
          <w:sz w:val="24"/>
          <w:szCs w:val="24"/>
          <w:lang w:eastAsia="en-IN"/>
          <w14:ligatures w14:val="none"/>
        </w:rPr>
        <w:t>, 2017). Components such as mesenchymal stem cells, endothelial cells, and extracellular matrix proteins interact with leukemic cells, promoting their survival and resistance to therapy (Schepers et al., 2015).</w:t>
      </w:r>
    </w:p>
    <w:p w14:paraId="1710B792"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 Advances in Diagnostics</w:t>
      </w:r>
    </w:p>
    <w:p w14:paraId="775F11E9"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3.1. Next-Generation Sequencing</w:t>
      </w:r>
    </w:p>
    <w:p w14:paraId="153F087D" w14:textId="43E4A425"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Next-generation sequencing (NGS) technologies have revolutionized the diagnostic approach to MDS and AML by enabling comprehensive genomic profiling (</w:t>
      </w:r>
      <w:r w:rsidR="00265D90" w:rsidRPr="00265D90">
        <w:rPr>
          <w:rFonts w:ascii="Times New Roman" w:eastAsia="Times New Roman" w:hAnsi="Times New Roman" w:cs="Times New Roman"/>
          <w:kern w:val="0"/>
          <w:sz w:val="24"/>
          <w:szCs w:val="24"/>
          <w:lang w:eastAsia="en-IN"/>
          <w14:ligatures w14:val="none"/>
        </w:rPr>
        <w:t>Colomer</w:t>
      </w:r>
      <w:r w:rsidRPr="00045CC9">
        <w:rPr>
          <w:rFonts w:ascii="Times New Roman" w:eastAsia="Times New Roman" w:hAnsi="Times New Roman" w:cs="Times New Roman"/>
          <w:kern w:val="0"/>
          <w:sz w:val="24"/>
          <w:szCs w:val="24"/>
          <w:lang w:eastAsia="en-IN"/>
          <w14:ligatures w14:val="none"/>
        </w:rPr>
        <w:t xml:space="preserve"> et al., 20</w:t>
      </w:r>
      <w:r w:rsidR="00265D90">
        <w:rPr>
          <w:rFonts w:ascii="Times New Roman" w:eastAsia="Times New Roman" w:hAnsi="Times New Roman" w:cs="Times New Roman"/>
          <w:kern w:val="0"/>
          <w:sz w:val="24"/>
          <w:szCs w:val="24"/>
          <w:lang w:eastAsia="en-IN"/>
          <w14:ligatures w14:val="none"/>
        </w:rPr>
        <w:t>23</w:t>
      </w:r>
      <w:r w:rsidRPr="00045CC9">
        <w:rPr>
          <w:rFonts w:ascii="Times New Roman" w:eastAsia="Times New Roman" w:hAnsi="Times New Roman" w:cs="Times New Roman"/>
          <w:kern w:val="0"/>
          <w:sz w:val="24"/>
          <w:szCs w:val="24"/>
          <w:lang w:eastAsia="en-IN"/>
          <w14:ligatures w14:val="none"/>
        </w:rPr>
        <w:t>). NGS facilitates the detection of multiple genetic mutations simultaneously, aiding in risk stratification and therapeutic decision-making. It also allows for the monitoring of clonal evolution and minimal residual disease (MRD) (</w:t>
      </w:r>
      <w:proofErr w:type="spellStart"/>
      <w:r w:rsidRPr="00045CC9">
        <w:rPr>
          <w:rFonts w:ascii="Times New Roman" w:eastAsia="Times New Roman" w:hAnsi="Times New Roman" w:cs="Times New Roman"/>
          <w:kern w:val="0"/>
          <w:sz w:val="24"/>
          <w:szCs w:val="24"/>
          <w:lang w:eastAsia="en-IN"/>
          <w14:ligatures w14:val="none"/>
        </w:rPr>
        <w:t>Duncavage</w:t>
      </w:r>
      <w:proofErr w:type="spellEnd"/>
      <w:r w:rsidRPr="00045CC9">
        <w:rPr>
          <w:rFonts w:ascii="Times New Roman" w:eastAsia="Times New Roman" w:hAnsi="Times New Roman" w:cs="Times New Roman"/>
          <w:kern w:val="0"/>
          <w:sz w:val="24"/>
          <w:szCs w:val="24"/>
          <w:lang w:eastAsia="en-IN"/>
          <w14:ligatures w14:val="none"/>
        </w:rPr>
        <w:t xml:space="preserve"> et al., 20</w:t>
      </w:r>
      <w:r w:rsidR="00C51421">
        <w:rPr>
          <w:rFonts w:ascii="Times New Roman" w:eastAsia="Times New Roman" w:hAnsi="Times New Roman" w:cs="Times New Roman"/>
          <w:kern w:val="0"/>
          <w:sz w:val="24"/>
          <w:szCs w:val="24"/>
          <w:lang w:eastAsia="en-IN"/>
          <w14:ligatures w14:val="none"/>
        </w:rPr>
        <w:t>21</w:t>
      </w:r>
      <w:r w:rsidRPr="00045CC9">
        <w:rPr>
          <w:rFonts w:ascii="Times New Roman" w:eastAsia="Times New Roman" w:hAnsi="Times New Roman" w:cs="Times New Roman"/>
          <w:kern w:val="0"/>
          <w:sz w:val="24"/>
          <w:szCs w:val="24"/>
          <w:lang w:eastAsia="en-IN"/>
          <w14:ligatures w14:val="none"/>
        </w:rPr>
        <w:t>).</w:t>
      </w:r>
    </w:p>
    <w:p w14:paraId="2E356C2B"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3.2. Cytogenetic and Molecular Testing</w:t>
      </w:r>
    </w:p>
    <w:p w14:paraId="52836F68"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Cytogenetic analysis remains a cornerstone in the diagnosis and prognosis of MDS and AML. Conventional karyotyping identifies chromosomal abnormalities, while fluorescence in situ hybridization (FISH) detects specific genetic rearrangements (</w:t>
      </w:r>
      <w:proofErr w:type="spellStart"/>
      <w:r w:rsidRPr="00045CC9">
        <w:rPr>
          <w:rFonts w:ascii="Times New Roman" w:eastAsia="Times New Roman" w:hAnsi="Times New Roman" w:cs="Times New Roman"/>
          <w:kern w:val="0"/>
          <w:sz w:val="24"/>
          <w:szCs w:val="24"/>
          <w:lang w:eastAsia="en-IN"/>
          <w14:ligatures w14:val="none"/>
        </w:rPr>
        <w:t>Döhner</w:t>
      </w:r>
      <w:proofErr w:type="spellEnd"/>
      <w:r w:rsidRPr="00045CC9">
        <w:rPr>
          <w:rFonts w:ascii="Times New Roman" w:eastAsia="Times New Roman" w:hAnsi="Times New Roman" w:cs="Times New Roman"/>
          <w:kern w:val="0"/>
          <w:sz w:val="24"/>
          <w:szCs w:val="24"/>
          <w:lang w:eastAsia="en-IN"/>
          <w14:ligatures w14:val="none"/>
        </w:rPr>
        <w:t xml:space="preserve"> et al., 2017). Molecular testing for mutations in genes like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NPM1</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CEBPA</w:t>
      </w:r>
      <w:r w:rsidRPr="00045CC9">
        <w:rPr>
          <w:rFonts w:ascii="Times New Roman" w:eastAsia="Times New Roman" w:hAnsi="Times New Roman" w:cs="Times New Roman"/>
          <w:kern w:val="0"/>
          <w:sz w:val="24"/>
          <w:szCs w:val="24"/>
          <w:lang w:eastAsia="en-IN"/>
          <w14:ligatures w14:val="none"/>
        </w:rPr>
        <w:t xml:space="preserve"> provides additional prognostic information and guides targeted therapy selection.</w:t>
      </w:r>
    </w:p>
    <w:p w14:paraId="1755D50E"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3.3. Biomarker Development</w:t>
      </w:r>
    </w:p>
    <w:p w14:paraId="52DB3F9E" w14:textId="71D907E6"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Biomarkers play a vital role in predicting disease progression and response to therapy. For example, high expression levels of CD123 (interleukin-3 receptor α-chain) have been associated with poor prognosis in AML (Testa et al., 2014)</w:t>
      </w:r>
      <w:r w:rsidR="00172F57">
        <w:rPr>
          <w:rFonts w:ascii="Times New Roman" w:eastAsia="Times New Roman" w:hAnsi="Times New Roman" w:cs="Times New Roman"/>
          <w:kern w:val="0"/>
          <w:sz w:val="24"/>
          <w:szCs w:val="24"/>
          <w:lang w:eastAsia="en-IN"/>
          <w14:ligatures w14:val="none"/>
        </w:rPr>
        <w:t xml:space="preserve"> (</w:t>
      </w:r>
      <w:r w:rsidR="00172F57" w:rsidRPr="00172F57">
        <w:rPr>
          <w:rFonts w:ascii="Times New Roman" w:eastAsia="Times New Roman" w:hAnsi="Times New Roman" w:cs="Times New Roman"/>
          <w:kern w:val="0"/>
          <w:sz w:val="24"/>
          <w:szCs w:val="24"/>
          <w:lang w:eastAsia="en-IN"/>
          <w14:ligatures w14:val="none"/>
        </w:rPr>
        <w:t>El Achi</w:t>
      </w:r>
      <w:r w:rsidR="00172F57">
        <w:rPr>
          <w:rFonts w:ascii="Times New Roman" w:eastAsia="Times New Roman" w:hAnsi="Times New Roman" w:cs="Times New Roman"/>
          <w:kern w:val="0"/>
          <w:sz w:val="24"/>
          <w:szCs w:val="24"/>
          <w:lang w:eastAsia="en-IN"/>
          <w14:ligatures w14:val="none"/>
        </w:rPr>
        <w:t xml:space="preserve"> et al., 2020)</w:t>
      </w:r>
      <w:r w:rsidRPr="00045CC9">
        <w:rPr>
          <w:rFonts w:ascii="Times New Roman" w:eastAsia="Times New Roman" w:hAnsi="Times New Roman" w:cs="Times New Roman"/>
          <w:kern w:val="0"/>
          <w:sz w:val="24"/>
          <w:szCs w:val="24"/>
          <w:lang w:eastAsia="en-IN"/>
          <w14:ligatures w14:val="none"/>
        </w:rPr>
        <w:t xml:space="preserve">. Measurable </w:t>
      </w:r>
      <w:r w:rsidRPr="00045CC9">
        <w:rPr>
          <w:rFonts w:ascii="Times New Roman" w:eastAsia="Times New Roman" w:hAnsi="Times New Roman" w:cs="Times New Roman"/>
          <w:kern w:val="0"/>
          <w:sz w:val="24"/>
          <w:szCs w:val="24"/>
          <w:lang w:eastAsia="en-IN"/>
          <w14:ligatures w14:val="none"/>
        </w:rPr>
        <w:lastRenderedPageBreak/>
        <w:t>residual disease (MRD) assessment using flow cytometry or molecular techniques is increasingly used to evaluate treatment efficacy and predict relapse (</w:t>
      </w:r>
      <w:r w:rsidR="007C6665" w:rsidRPr="007C6665">
        <w:rPr>
          <w:rFonts w:ascii="Times New Roman" w:eastAsia="Times New Roman" w:hAnsi="Times New Roman" w:cs="Times New Roman"/>
          <w:kern w:val="0"/>
          <w:sz w:val="24"/>
          <w:szCs w:val="24"/>
          <w:lang w:eastAsia="en-IN"/>
          <w14:ligatures w14:val="none"/>
        </w:rPr>
        <w:t>Blachly</w:t>
      </w:r>
      <w:r w:rsidRPr="00045CC9">
        <w:rPr>
          <w:rFonts w:ascii="Times New Roman" w:eastAsia="Times New Roman" w:hAnsi="Times New Roman" w:cs="Times New Roman"/>
          <w:kern w:val="0"/>
          <w:sz w:val="24"/>
          <w:szCs w:val="24"/>
          <w:lang w:eastAsia="en-IN"/>
          <w14:ligatures w14:val="none"/>
        </w:rPr>
        <w:t xml:space="preserve"> et al., 20</w:t>
      </w:r>
      <w:r w:rsidR="007C6665">
        <w:rPr>
          <w:rFonts w:ascii="Times New Roman" w:eastAsia="Times New Roman" w:hAnsi="Times New Roman" w:cs="Times New Roman"/>
          <w:kern w:val="0"/>
          <w:sz w:val="24"/>
          <w:szCs w:val="24"/>
          <w:lang w:eastAsia="en-IN"/>
          <w14:ligatures w14:val="none"/>
        </w:rPr>
        <w:t>22</w:t>
      </w:r>
      <w:r w:rsidRPr="00045CC9">
        <w:rPr>
          <w:rFonts w:ascii="Times New Roman" w:eastAsia="Times New Roman" w:hAnsi="Times New Roman" w:cs="Times New Roman"/>
          <w:kern w:val="0"/>
          <w:sz w:val="24"/>
          <w:szCs w:val="24"/>
          <w:lang w:eastAsia="en-IN"/>
          <w14:ligatures w14:val="none"/>
        </w:rPr>
        <w:t>).</w:t>
      </w:r>
    </w:p>
    <w:p w14:paraId="40247FD1"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 Targeted Therapies</w:t>
      </w:r>
    </w:p>
    <w:p w14:paraId="53485296"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4.1. FLT3 Inhibitors</w:t>
      </w:r>
    </w:p>
    <w:p w14:paraId="18952048"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Mutations in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are common in AML and represent a therapeutic target. First-generation FLT3 inhibitors, like </w:t>
      </w:r>
      <w:proofErr w:type="spellStart"/>
      <w:r w:rsidRPr="00045CC9">
        <w:rPr>
          <w:rFonts w:ascii="Times New Roman" w:eastAsia="Times New Roman" w:hAnsi="Times New Roman" w:cs="Times New Roman"/>
          <w:kern w:val="0"/>
          <w:sz w:val="24"/>
          <w:szCs w:val="24"/>
          <w:lang w:eastAsia="en-IN"/>
          <w14:ligatures w14:val="none"/>
        </w:rPr>
        <w:t>midostaurin</w:t>
      </w:r>
      <w:proofErr w:type="spellEnd"/>
      <w:r w:rsidRPr="00045CC9">
        <w:rPr>
          <w:rFonts w:ascii="Times New Roman" w:eastAsia="Times New Roman" w:hAnsi="Times New Roman" w:cs="Times New Roman"/>
          <w:kern w:val="0"/>
          <w:sz w:val="24"/>
          <w:szCs w:val="24"/>
          <w:lang w:eastAsia="en-IN"/>
          <w14:ligatures w14:val="none"/>
        </w:rPr>
        <w:t xml:space="preserve">, have shown clinical benefits when combined with chemotherapy (Stone et al., 2017). Second-generation inhibitors, such as </w:t>
      </w:r>
      <w:proofErr w:type="spellStart"/>
      <w:r w:rsidRPr="00045CC9">
        <w:rPr>
          <w:rFonts w:ascii="Times New Roman" w:eastAsia="Times New Roman" w:hAnsi="Times New Roman" w:cs="Times New Roman"/>
          <w:kern w:val="0"/>
          <w:sz w:val="24"/>
          <w:szCs w:val="24"/>
          <w:lang w:eastAsia="en-IN"/>
          <w14:ligatures w14:val="none"/>
        </w:rPr>
        <w:t>gilteritinib</w:t>
      </w:r>
      <w:proofErr w:type="spellEnd"/>
      <w:r w:rsidRPr="00045CC9">
        <w:rPr>
          <w:rFonts w:ascii="Times New Roman" w:eastAsia="Times New Roman" w:hAnsi="Times New Roman" w:cs="Times New Roman"/>
          <w:kern w:val="0"/>
          <w:sz w:val="24"/>
          <w:szCs w:val="24"/>
          <w:lang w:eastAsia="en-IN"/>
          <w14:ligatures w14:val="none"/>
        </w:rPr>
        <w:t xml:space="preserve"> and </w:t>
      </w:r>
      <w:proofErr w:type="spellStart"/>
      <w:r w:rsidRPr="00045CC9">
        <w:rPr>
          <w:rFonts w:ascii="Times New Roman" w:eastAsia="Times New Roman" w:hAnsi="Times New Roman" w:cs="Times New Roman"/>
          <w:kern w:val="0"/>
          <w:sz w:val="24"/>
          <w:szCs w:val="24"/>
          <w:lang w:eastAsia="en-IN"/>
          <w14:ligatures w14:val="none"/>
        </w:rPr>
        <w:t>quizartinib</w:t>
      </w:r>
      <w:proofErr w:type="spellEnd"/>
      <w:r w:rsidRPr="00045CC9">
        <w:rPr>
          <w:rFonts w:ascii="Times New Roman" w:eastAsia="Times New Roman" w:hAnsi="Times New Roman" w:cs="Times New Roman"/>
          <w:kern w:val="0"/>
          <w:sz w:val="24"/>
          <w:szCs w:val="24"/>
          <w:lang w:eastAsia="en-IN"/>
          <w14:ligatures w14:val="none"/>
        </w:rPr>
        <w:t xml:space="preserve">, offer increased specificity and potency, improving outcomes in relapsed or refractory AML patients with </w:t>
      </w:r>
      <w:r w:rsidRPr="00045CC9">
        <w:rPr>
          <w:rFonts w:ascii="Times New Roman" w:eastAsia="Times New Roman" w:hAnsi="Times New Roman" w:cs="Times New Roman"/>
          <w:i/>
          <w:iCs/>
          <w:kern w:val="0"/>
          <w:sz w:val="24"/>
          <w:szCs w:val="24"/>
          <w:lang w:eastAsia="en-IN"/>
          <w14:ligatures w14:val="none"/>
        </w:rPr>
        <w:t>FLT3</w:t>
      </w:r>
      <w:r w:rsidRPr="00045CC9">
        <w:rPr>
          <w:rFonts w:ascii="Times New Roman" w:eastAsia="Times New Roman" w:hAnsi="Times New Roman" w:cs="Times New Roman"/>
          <w:kern w:val="0"/>
          <w:sz w:val="24"/>
          <w:szCs w:val="24"/>
          <w:lang w:eastAsia="en-IN"/>
          <w14:ligatures w14:val="none"/>
        </w:rPr>
        <w:t xml:space="preserve"> mutations (Perl et al., 2019).</w:t>
      </w:r>
    </w:p>
    <w:p w14:paraId="2C043131"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4.2. IDH Inhibitors</w:t>
      </w:r>
    </w:p>
    <w:p w14:paraId="37DFDFC5"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Mutations in </w:t>
      </w:r>
      <w:r w:rsidRPr="00045CC9">
        <w:rPr>
          <w:rFonts w:ascii="Times New Roman" w:eastAsia="Times New Roman" w:hAnsi="Times New Roman" w:cs="Times New Roman"/>
          <w:i/>
          <w:iCs/>
          <w:kern w:val="0"/>
          <w:sz w:val="24"/>
          <w:szCs w:val="24"/>
          <w:lang w:eastAsia="en-IN"/>
          <w14:ligatures w14:val="none"/>
        </w:rPr>
        <w:t>IDH1</w:t>
      </w:r>
      <w:r w:rsidRPr="00045CC9">
        <w:rPr>
          <w:rFonts w:ascii="Times New Roman" w:eastAsia="Times New Roman" w:hAnsi="Times New Roman" w:cs="Times New Roman"/>
          <w:kern w:val="0"/>
          <w:sz w:val="24"/>
          <w:szCs w:val="24"/>
          <w:lang w:eastAsia="en-IN"/>
          <w14:ligatures w14:val="none"/>
        </w:rPr>
        <w:t xml:space="preserve"> and </w:t>
      </w:r>
      <w:r w:rsidRPr="00045CC9">
        <w:rPr>
          <w:rFonts w:ascii="Times New Roman" w:eastAsia="Times New Roman" w:hAnsi="Times New Roman" w:cs="Times New Roman"/>
          <w:i/>
          <w:iCs/>
          <w:kern w:val="0"/>
          <w:sz w:val="24"/>
          <w:szCs w:val="24"/>
          <w:lang w:eastAsia="en-IN"/>
          <w14:ligatures w14:val="none"/>
        </w:rPr>
        <w:t>IDH2</w:t>
      </w:r>
      <w:r w:rsidRPr="00045CC9">
        <w:rPr>
          <w:rFonts w:ascii="Times New Roman" w:eastAsia="Times New Roman" w:hAnsi="Times New Roman" w:cs="Times New Roman"/>
          <w:kern w:val="0"/>
          <w:sz w:val="24"/>
          <w:szCs w:val="24"/>
          <w:lang w:eastAsia="en-IN"/>
          <w14:ligatures w14:val="none"/>
        </w:rPr>
        <w:t xml:space="preserve"> lead to the production of 2-hydroxyglutarate, an oncometabolite that impairs hematopoietic differentiation. Targeted inhibitors like </w:t>
      </w:r>
      <w:proofErr w:type="spellStart"/>
      <w:r w:rsidRPr="00045CC9">
        <w:rPr>
          <w:rFonts w:ascii="Times New Roman" w:eastAsia="Times New Roman" w:hAnsi="Times New Roman" w:cs="Times New Roman"/>
          <w:kern w:val="0"/>
          <w:sz w:val="24"/>
          <w:szCs w:val="24"/>
          <w:lang w:eastAsia="en-IN"/>
          <w14:ligatures w14:val="none"/>
        </w:rPr>
        <w:t>ivosidenib</w:t>
      </w:r>
      <w:proofErr w:type="spellEnd"/>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IDH1</w:t>
      </w:r>
      <w:r w:rsidRPr="00045CC9">
        <w:rPr>
          <w:rFonts w:ascii="Times New Roman" w:eastAsia="Times New Roman" w:hAnsi="Times New Roman" w:cs="Times New Roman"/>
          <w:kern w:val="0"/>
          <w:sz w:val="24"/>
          <w:szCs w:val="24"/>
          <w:lang w:eastAsia="en-IN"/>
          <w14:ligatures w14:val="none"/>
        </w:rPr>
        <w:t xml:space="preserve"> inhibitor) and </w:t>
      </w:r>
      <w:proofErr w:type="spellStart"/>
      <w:r w:rsidRPr="00045CC9">
        <w:rPr>
          <w:rFonts w:ascii="Times New Roman" w:eastAsia="Times New Roman" w:hAnsi="Times New Roman" w:cs="Times New Roman"/>
          <w:kern w:val="0"/>
          <w:sz w:val="24"/>
          <w:szCs w:val="24"/>
          <w:lang w:eastAsia="en-IN"/>
          <w14:ligatures w14:val="none"/>
        </w:rPr>
        <w:t>enasidenib</w:t>
      </w:r>
      <w:proofErr w:type="spellEnd"/>
      <w:r w:rsidRPr="00045CC9">
        <w:rPr>
          <w:rFonts w:ascii="Times New Roman" w:eastAsia="Times New Roman" w:hAnsi="Times New Roman" w:cs="Times New Roman"/>
          <w:kern w:val="0"/>
          <w:sz w:val="24"/>
          <w:szCs w:val="24"/>
          <w:lang w:eastAsia="en-IN"/>
          <w14:ligatures w14:val="none"/>
        </w:rPr>
        <w:t xml:space="preserve"> (</w:t>
      </w:r>
      <w:r w:rsidRPr="00045CC9">
        <w:rPr>
          <w:rFonts w:ascii="Times New Roman" w:eastAsia="Times New Roman" w:hAnsi="Times New Roman" w:cs="Times New Roman"/>
          <w:i/>
          <w:iCs/>
          <w:kern w:val="0"/>
          <w:sz w:val="24"/>
          <w:szCs w:val="24"/>
          <w:lang w:eastAsia="en-IN"/>
          <w14:ligatures w14:val="none"/>
        </w:rPr>
        <w:t>IDH2</w:t>
      </w:r>
      <w:r w:rsidRPr="00045CC9">
        <w:rPr>
          <w:rFonts w:ascii="Times New Roman" w:eastAsia="Times New Roman" w:hAnsi="Times New Roman" w:cs="Times New Roman"/>
          <w:kern w:val="0"/>
          <w:sz w:val="24"/>
          <w:szCs w:val="24"/>
          <w:lang w:eastAsia="en-IN"/>
          <w14:ligatures w14:val="none"/>
        </w:rPr>
        <w:t xml:space="preserve"> inhibitor) have demonstrated efficacy in inducing remissions in patients with relapsed or refractory AML </w:t>
      </w:r>
      <w:proofErr w:type="spellStart"/>
      <w:r w:rsidRPr="00045CC9">
        <w:rPr>
          <w:rFonts w:ascii="Times New Roman" w:eastAsia="Times New Roman" w:hAnsi="Times New Roman" w:cs="Times New Roman"/>
          <w:kern w:val="0"/>
          <w:sz w:val="24"/>
          <w:szCs w:val="24"/>
          <w:lang w:eastAsia="en-IN"/>
          <w14:ligatures w14:val="none"/>
        </w:rPr>
        <w:t>harboring</w:t>
      </w:r>
      <w:proofErr w:type="spellEnd"/>
      <w:r w:rsidRPr="00045CC9">
        <w:rPr>
          <w:rFonts w:ascii="Times New Roman" w:eastAsia="Times New Roman" w:hAnsi="Times New Roman" w:cs="Times New Roman"/>
          <w:kern w:val="0"/>
          <w:sz w:val="24"/>
          <w:szCs w:val="24"/>
          <w:lang w:eastAsia="en-IN"/>
          <w14:ligatures w14:val="none"/>
        </w:rPr>
        <w:t xml:space="preserve"> these mutations (DiNardo et al., 2018; Stein et al., 2017).</w:t>
      </w:r>
    </w:p>
    <w:p w14:paraId="22986089"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4.3. BCL-2 Inhibitors</w:t>
      </w:r>
    </w:p>
    <w:p w14:paraId="4ABC24B0"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Overexpression of BCL-2, an anti-apoptotic protein, contributes to chemotherapy resistance in AML. </w:t>
      </w:r>
      <w:proofErr w:type="spellStart"/>
      <w:r w:rsidRPr="00045CC9">
        <w:rPr>
          <w:rFonts w:ascii="Times New Roman" w:eastAsia="Times New Roman" w:hAnsi="Times New Roman" w:cs="Times New Roman"/>
          <w:kern w:val="0"/>
          <w:sz w:val="24"/>
          <w:szCs w:val="24"/>
          <w:lang w:eastAsia="en-IN"/>
          <w14:ligatures w14:val="none"/>
        </w:rPr>
        <w:t>Venetoclax</w:t>
      </w:r>
      <w:proofErr w:type="spellEnd"/>
      <w:r w:rsidRPr="00045CC9">
        <w:rPr>
          <w:rFonts w:ascii="Times New Roman" w:eastAsia="Times New Roman" w:hAnsi="Times New Roman" w:cs="Times New Roman"/>
          <w:kern w:val="0"/>
          <w:sz w:val="24"/>
          <w:szCs w:val="24"/>
          <w:lang w:eastAsia="en-IN"/>
          <w14:ligatures w14:val="none"/>
        </w:rPr>
        <w:t>, a selective BCL-2 inhibitor, has shown promising results, especially when combined with hypomethylating agents or low-dose cytarabine, leading to higher response rates in older patients or those unfit for intensive chemotherapy (DiNardo et al., 2020).</w:t>
      </w:r>
    </w:p>
    <w:p w14:paraId="2ED84144"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 Immunotherapies</w:t>
      </w:r>
    </w:p>
    <w:p w14:paraId="394C9290"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5.1. Immune Checkpoint Inhibitors</w:t>
      </w:r>
    </w:p>
    <w:p w14:paraId="499F7561" w14:textId="3A9A7B1D"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Immune checkpoint inhibitors targeting PD-1/PD-L1 and CTLA-4 pathways have been explored in AML and MDS to enhance anti-</w:t>
      </w:r>
      <w:proofErr w:type="spellStart"/>
      <w:r w:rsidRPr="00045CC9">
        <w:rPr>
          <w:rFonts w:ascii="Times New Roman" w:eastAsia="Times New Roman" w:hAnsi="Times New Roman" w:cs="Times New Roman"/>
          <w:kern w:val="0"/>
          <w:sz w:val="24"/>
          <w:szCs w:val="24"/>
          <w:lang w:eastAsia="en-IN"/>
          <w14:ligatures w14:val="none"/>
        </w:rPr>
        <w:t>tumor</w:t>
      </w:r>
      <w:proofErr w:type="spellEnd"/>
      <w:r w:rsidRPr="00045CC9">
        <w:rPr>
          <w:rFonts w:ascii="Times New Roman" w:eastAsia="Times New Roman" w:hAnsi="Times New Roman" w:cs="Times New Roman"/>
          <w:kern w:val="0"/>
          <w:sz w:val="24"/>
          <w:szCs w:val="24"/>
          <w:lang w:eastAsia="en-IN"/>
          <w14:ligatures w14:val="none"/>
        </w:rPr>
        <w:t xml:space="preserve"> immunity. While single-agent activity has been limited, combination strategies with hypomethylating agents have shown potential benefits (</w:t>
      </w:r>
      <w:r w:rsidR="00172F57" w:rsidRPr="00172F57">
        <w:rPr>
          <w:rFonts w:ascii="Times New Roman" w:eastAsia="Times New Roman" w:hAnsi="Times New Roman" w:cs="Times New Roman"/>
          <w:kern w:val="0"/>
          <w:sz w:val="24"/>
          <w:szCs w:val="24"/>
          <w:lang w:eastAsia="en-IN"/>
          <w14:ligatures w14:val="none"/>
        </w:rPr>
        <w:t>Liu</w:t>
      </w:r>
      <w:r w:rsidRPr="00045CC9">
        <w:rPr>
          <w:rFonts w:ascii="Times New Roman" w:eastAsia="Times New Roman" w:hAnsi="Times New Roman" w:cs="Times New Roman"/>
          <w:kern w:val="0"/>
          <w:sz w:val="24"/>
          <w:szCs w:val="24"/>
          <w:lang w:eastAsia="en-IN"/>
          <w14:ligatures w14:val="none"/>
        </w:rPr>
        <w:t xml:space="preserve"> et al., 201</w:t>
      </w:r>
      <w:r w:rsidR="00172F57">
        <w:rPr>
          <w:rFonts w:ascii="Times New Roman" w:eastAsia="Times New Roman" w:hAnsi="Times New Roman" w:cs="Times New Roman"/>
          <w:kern w:val="0"/>
          <w:sz w:val="24"/>
          <w:szCs w:val="24"/>
          <w:lang w:eastAsia="en-IN"/>
          <w14:ligatures w14:val="none"/>
        </w:rPr>
        <w:t>9</w:t>
      </w:r>
      <w:r w:rsidRPr="00045CC9">
        <w:rPr>
          <w:rFonts w:ascii="Times New Roman" w:eastAsia="Times New Roman" w:hAnsi="Times New Roman" w:cs="Times New Roman"/>
          <w:kern w:val="0"/>
          <w:sz w:val="24"/>
          <w:szCs w:val="24"/>
          <w:lang w:eastAsia="en-IN"/>
          <w14:ligatures w14:val="none"/>
        </w:rPr>
        <w:t>).</w:t>
      </w:r>
    </w:p>
    <w:p w14:paraId="0566E6A1"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5.2. CAR T-Cell Therapy</w:t>
      </w:r>
    </w:p>
    <w:p w14:paraId="57AA608A"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Chimeric antigen receptor (CAR) T-cell therapy involves engineering patient T-cells to recognize and attack cancer cells. In AML, challenges include identifying suitable targets due to shared antigens with normal cells. Targets like CD33 and CD123 are under investigation, with early-phase trials showing some efficacy (Gill et al., 2021).</w:t>
      </w:r>
    </w:p>
    <w:p w14:paraId="3E4674DC"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5.3. Monoclonal Antibodies</w:t>
      </w:r>
    </w:p>
    <w:p w14:paraId="2FFDF6E3"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 xml:space="preserve">Monoclonal antibodies directed against specific antigens on leukemic cells offer another therapeutic avenue. </w:t>
      </w:r>
      <w:proofErr w:type="spellStart"/>
      <w:r w:rsidRPr="00045CC9">
        <w:rPr>
          <w:rFonts w:ascii="Times New Roman" w:eastAsia="Times New Roman" w:hAnsi="Times New Roman" w:cs="Times New Roman"/>
          <w:kern w:val="0"/>
          <w:sz w:val="24"/>
          <w:szCs w:val="24"/>
          <w:lang w:eastAsia="en-IN"/>
          <w14:ligatures w14:val="none"/>
        </w:rPr>
        <w:t>Gemtuzumab</w:t>
      </w:r>
      <w:proofErr w:type="spellEnd"/>
      <w:r w:rsidRPr="00045CC9">
        <w:rPr>
          <w:rFonts w:ascii="Times New Roman" w:eastAsia="Times New Roman" w:hAnsi="Times New Roman" w:cs="Times New Roman"/>
          <w:kern w:val="0"/>
          <w:sz w:val="24"/>
          <w:szCs w:val="24"/>
          <w:lang w:eastAsia="en-IN"/>
          <w14:ligatures w14:val="none"/>
        </w:rPr>
        <w:t xml:space="preserve"> </w:t>
      </w:r>
      <w:proofErr w:type="spellStart"/>
      <w:r w:rsidRPr="00045CC9">
        <w:rPr>
          <w:rFonts w:ascii="Times New Roman" w:eastAsia="Times New Roman" w:hAnsi="Times New Roman" w:cs="Times New Roman"/>
          <w:kern w:val="0"/>
          <w:sz w:val="24"/>
          <w:szCs w:val="24"/>
          <w:lang w:eastAsia="en-IN"/>
          <w14:ligatures w14:val="none"/>
        </w:rPr>
        <w:t>ozogamicin</w:t>
      </w:r>
      <w:proofErr w:type="spellEnd"/>
      <w:r w:rsidRPr="00045CC9">
        <w:rPr>
          <w:rFonts w:ascii="Times New Roman" w:eastAsia="Times New Roman" w:hAnsi="Times New Roman" w:cs="Times New Roman"/>
          <w:kern w:val="0"/>
          <w:sz w:val="24"/>
          <w:szCs w:val="24"/>
          <w:lang w:eastAsia="en-IN"/>
          <w14:ligatures w14:val="none"/>
        </w:rPr>
        <w:t xml:space="preserve">, an anti-CD33 antibody-drug conjugate, has </w:t>
      </w:r>
      <w:r w:rsidRPr="00045CC9">
        <w:rPr>
          <w:rFonts w:ascii="Times New Roman" w:eastAsia="Times New Roman" w:hAnsi="Times New Roman" w:cs="Times New Roman"/>
          <w:kern w:val="0"/>
          <w:sz w:val="24"/>
          <w:szCs w:val="24"/>
          <w:lang w:eastAsia="en-IN"/>
          <w14:ligatures w14:val="none"/>
        </w:rPr>
        <w:lastRenderedPageBreak/>
        <w:t>been reapproved for AML treatment after demonstrating improved survival in certain patient subsets (Hills et al., 2014).</w:t>
      </w:r>
    </w:p>
    <w:p w14:paraId="3CF52993"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 Personalized Medicine</w:t>
      </w:r>
    </w:p>
    <w:p w14:paraId="2448AE57"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6.1. Genomic Profiling and Risk Stratification</w:t>
      </w:r>
    </w:p>
    <w:p w14:paraId="13551374"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Personalized medicine approaches leverage genomic profiling to tailor treatments based on individual molecular abnormalities. Risk stratification models incorporating genetic and cytogenetic data, such as the revised International Prognostic Scoring System (IPSS-R) for MDS, guide therapeutic decisions (Greenberg et al., 2012).</w:t>
      </w:r>
    </w:p>
    <w:p w14:paraId="41D8066F"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6.2. Measurable Residual Disease Monitoring</w:t>
      </w:r>
    </w:p>
    <w:p w14:paraId="177B9A22"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MRD monitoring enables the detection of residual leukemic cells below the threshold of conventional diagnostics. Techniques like quantitative PCR and multiparameter flow cytometry are used to assess MRD, guiding post-remission therapy and predicting relapse (Heuser et al., 2021).</w:t>
      </w:r>
    </w:p>
    <w:p w14:paraId="7BD4BA9A"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7. Challenges and Future Directions</w:t>
      </w:r>
    </w:p>
    <w:p w14:paraId="2B07A540"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Despite significant advancements, challenges remain:</w:t>
      </w:r>
    </w:p>
    <w:p w14:paraId="5F5B531A" w14:textId="77777777" w:rsidR="00045CC9" w:rsidRPr="00045CC9" w:rsidRDefault="00045CC9" w:rsidP="00045CC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Therapeutic Resistance:</w:t>
      </w:r>
      <w:r w:rsidRPr="00045CC9">
        <w:rPr>
          <w:rFonts w:ascii="Times New Roman" w:eastAsia="Times New Roman" w:hAnsi="Times New Roman" w:cs="Times New Roman"/>
          <w:kern w:val="0"/>
          <w:sz w:val="24"/>
          <w:szCs w:val="24"/>
          <w:lang w:eastAsia="en-IN"/>
          <w14:ligatures w14:val="none"/>
        </w:rPr>
        <w:t xml:space="preserve"> Resistance to targeted therapies often develops due to additional mutations or activation of alternative pathways (Daver et al., 2015).</w:t>
      </w:r>
    </w:p>
    <w:p w14:paraId="4D8FF7E4" w14:textId="77777777" w:rsidR="00045CC9" w:rsidRPr="00045CC9" w:rsidRDefault="00045CC9" w:rsidP="00045CC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Disease Heterogeneity:</w:t>
      </w:r>
      <w:r w:rsidRPr="00045CC9">
        <w:rPr>
          <w:rFonts w:ascii="Times New Roman" w:eastAsia="Times New Roman" w:hAnsi="Times New Roman" w:cs="Times New Roman"/>
          <w:kern w:val="0"/>
          <w:sz w:val="24"/>
          <w:szCs w:val="24"/>
          <w:lang w:eastAsia="en-IN"/>
          <w14:ligatures w14:val="none"/>
        </w:rPr>
        <w:t xml:space="preserve"> The genetic complexity and clonal evolution of MDS and AML complicate treatment strategies (</w:t>
      </w:r>
      <w:proofErr w:type="spellStart"/>
      <w:r w:rsidRPr="00045CC9">
        <w:rPr>
          <w:rFonts w:ascii="Times New Roman" w:eastAsia="Times New Roman" w:hAnsi="Times New Roman" w:cs="Times New Roman"/>
          <w:kern w:val="0"/>
          <w:sz w:val="24"/>
          <w:szCs w:val="24"/>
          <w:lang w:eastAsia="en-IN"/>
          <w14:ligatures w14:val="none"/>
        </w:rPr>
        <w:t>Papaemmanuil</w:t>
      </w:r>
      <w:proofErr w:type="spellEnd"/>
      <w:r w:rsidRPr="00045CC9">
        <w:rPr>
          <w:rFonts w:ascii="Times New Roman" w:eastAsia="Times New Roman" w:hAnsi="Times New Roman" w:cs="Times New Roman"/>
          <w:kern w:val="0"/>
          <w:sz w:val="24"/>
          <w:szCs w:val="24"/>
          <w:lang w:eastAsia="en-IN"/>
          <w14:ligatures w14:val="none"/>
        </w:rPr>
        <w:t xml:space="preserve"> et al., 2016).</w:t>
      </w:r>
    </w:p>
    <w:p w14:paraId="2725D1CD" w14:textId="77777777" w:rsidR="00045CC9" w:rsidRPr="00045CC9" w:rsidRDefault="00045CC9" w:rsidP="00045CC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Elderly Patients:</w:t>
      </w:r>
      <w:r w:rsidRPr="00045CC9">
        <w:rPr>
          <w:rFonts w:ascii="Times New Roman" w:eastAsia="Times New Roman" w:hAnsi="Times New Roman" w:cs="Times New Roman"/>
          <w:kern w:val="0"/>
          <w:sz w:val="24"/>
          <w:szCs w:val="24"/>
          <w:lang w:eastAsia="en-IN"/>
          <w14:ligatures w14:val="none"/>
        </w:rPr>
        <w:t xml:space="preserve"> Older patients often have comorbidities and poor tolerance to intensive therapies, necessitating the development of less toxic treatments (</w:t>
      </w:r>
      <w:proofErr w:type="spellStart"/>
      <w:r w:rsidRPr="00045CC9">
        <w:rPr>
          <w:rFonts w:ascii="Times New Roman" w:eastAsia="Times New Roman" w:hAnsi="Times New Roman" w:cs="Times New Roman"/>
          <w:kern w:val="0"/>
          <w:sz w:val="24"/>
          <w:szCs w:val="24"/>
          <w:lang w:eastAsia="en-IN"/>
          <w14:ligatures w14:val="none"/>
        </w:rPr>
        <w:t>Dombret</w:t>
      </w:r>
      <w:proofErr w:type="spellEnd"/>
      <w:r w:rsidRPr="00045CC9">
        <w:rPr>
          <w:rFonts w:ascii="Times New Roman" w:eastAsia="Times New Roman" w:hAnsi="Times New Roman" w:cs="Times New Roman"/>
          <w:kern w:val="0"/>
          <w:sz w:val="24"/>
          <w:szCs w:val="24"/>
          <w:lang w:eastAsia="en-IN"/>
          <w14:ligatures w14:val="none"/>
        </w:rPr>
        <w:t xml:space="preserve"> &amp; Gardin, 2016).</w:t>
      </w:r>
    </w:p>
    <w:p w14:paraId="70EE757E"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Future directions include:</w:t>
      </w:r>
    </w:p>
    <w:p w14:paraId="071E62AE" w14:textId="77777777" w:rsidR="00045CC9" w:rsidRPr="00045CC9" w:rsidRDefault="00045CC9" w:rsidP="00045CC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Combination Therapies:</w:t>
      </w:r>
      <w:r w:rsidRPr="00045CC9">
        <w:rPr>
          <w:rFonts w:ascii="Times New Roman" w:eastAsia="Times New Roman" w:hAnsi="Times New Roman" w:cs="Times New Roman"/>
          <w:kern w:val="0"/>
          <w:sz w:val="24"/>
          <w:szCs w:val="24"/>
          <w:lang w:eastAsia="en-IN"/>
          <w14:ligatures w14:val="none"/>
        </w:rPr>
        <w:t xml:space="preserve"> Combining targeted agents, immunotherapies, and conventional treatments to overcome resistance.</w:t>
      </w:r>
    </w:p>
    <w:p w14:paraId="33BC6316" w14:textId="77777777" w:rsidR="00045CC9" w:rsidRPr="00045CC9" w:rsidRDefault="00045CC9" w:rsidP="00045CC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Novel Targets:</w:t>
      </w:r>
      <w:r w:rsidRPr="00045CC9">
        <w:rPr>
          <w:rFonts w:ascii="Times New Roman" w:eastAsia="Times New Roman" w:hAnsi="Times New Roman" w:cs="Times New Roman"/>
          <w:kern w:val="0"/>
          <w:sz w:val="24"/>
          <w:szCs w:val="24"/>
          <w:lang w:eastAsia="en-IN"/>
          <w14:ligatures w14:val="none"/>
        </w:rPr>
        <w:t xml:space="preserve"> Identifying new molecular targets through ongoing research.</w:t>
      </w:r>
    </w:p>
    <w:p w14:paraId="5D320D78" w14:textId="77777777" w:rsidR="00045CC9" w:rsidRPr="00045CC9" w:rsidRDefault="00045CC9" w:rsidP="00045CC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Precision Medicine:</w:t>
      </w:r>
      <w:r w:rsidRPr="00045CC9">
        <w:rPr>
          <w:rFonts w:ascii="Times New Roman" w:eastAsia="Times New Roman" w:hAnsi="Times New Roman" w:cs="Times New Roman"/>
          <w:kern w:val="0"/>
          <w:sz w:val="24"/>
          <w:szCs w:val="24"/>
          <w:lang w:eastAsia="en-IN"/>
          <w14:ligatures w14:val="none"/>
        </w:rPr>
        <w:t xml:space="preserve"> Integrating multi-omics data to refine personalized treatment approaches.</w:t>
      </w:r>
    </w:p>
    <w:p w14:paraId="643BA390"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8. Conclusion</w:t>
      </w:r>
    </w:p>
    <w:p w14:paraId="5EFEA586"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kern w:val="0"/>
          <w:sz w:val="24"/>
          <w:szCs w:val="24"/>
          <w:lang w:eastAsia="en-IN"/>
          <w14:ligatures w14:val="none"/>
        </w:rPr>
        <w:t>Advances in the understanding of the molecular mechanisms underlying MDS and AML have led to significant improvements in diagnosis and treatment. The development of targeted therapies and immunotherapies offers new hope for patients. Ongoing research and clinical trials are essential to address current challenges and enhance patient outcomes.</w:t>
      </w:r>
    </w:p>
    <w:p w14:paraId="6A20FA31" w14:textId="6ACF43E1" w:rsidR="00045CC9" w:rsidRPr="00045CC9" w:rsidRDefault="00045CC9" w:rsidP="00045CC9">
      <w:pPr>
        <w:spacing w:after="0" w:line="240" w:lineRule="auto"/>
        <w:rPr>
          <w:rFonts w:ascii="Times New Roman" w:eastAsia="Times New Roman" w:hAnsi="Times New Roman" w:cs="Times New Roman"/>
          <w:kern w:val="0"/>
          <w:sz w:val="24"/>
          <w:szCs w:val="24"/>
          <w:lang w:eastAsia="en-IN"/>
          <w14:ligatures w14:val="none"/>
        </w:rPr>
      </w:pPr>
    </w:p>
    <w:p w14:paraId="0E2B14F4" w14:textId="77777777" w:rsidR="00045CC9" w:rsidRPr="00045CC9" w:rsidRDefault="00045CC9" w:rsidP="00045CC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5CC9">
        <w:rPr>
          <w:rFonts w:ascii="Times New Roman" w:eastAsia="Times New Roman" w:hAnsi="Times New Roman" w:cs="Times New Roman"/>
          <w:b/>
          <w:bCs/>
          <w:kern w:val="0"/>
          <w:sz w:val="24"/>
          <w:szCs w:val="24"/>
          <w:lang w:eastAsia="en-IN"/>
          <w14:ligatures w14:val="none"/>
        </w:rPr>
        <w:t>9. References</w:t>
      </w:r>
    </w:p>
    <w:p w14:paraId="51101687" w14:textId="46BE20B9" w:rsidR="00D106C5" w:rsidRPr="008F08EA" w:rsidRDefault="00D106C5"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lastRenderedPageBreak/>
        <w:t xml:space="preserve">Daver, N., Cortes, J., </w:t>
      </w:r>
      <w:proofErr w:type="spellStart"/>
      <w:r w:rsidRPr="008F08EA">
        <w:rPr>
          <w:rFonts w:ascii="Times New Roman" w:eastAsia="Times New Roman" w:hAnsi="Times New Roman" w:cs="Times New Roman"/>
          <w:kern w:val="0"/>
          <w:sz w:val="24"/>
          <w:szCs w:val="24"/>
          <w:lang w:eastAsia="en-IN"/>
          <w14:ligatures w14:val="none"/>
        </w:rPr>
        <w:t>Ravandi</w:t>
      </w:r>
      <w:proofErr w:type="spellEnd"/>
      <w:r w:rsidRPr="008F08EA">
        <w:rPr>
          <w:rFonts w:ascii="Times New Roman" w:eastAsia="Times New Roman" w:hAnsi="Times New Roman" w:cs="Times New Roman"/>
          <w:kern w:val="0"/>
          <w:sz w:val="24"/>
          <w:szCs w:val="24"/>
          <w:lang w:eastAsia="en-IN"/>
          <w14:ligatures w14:val="none"/>
        </w:rPr>
        <w:t xml:space="preserve">, F., Patel, K. P., Burger, J. A., </w:t>
      </w:r>
      <w:proofErr w:type="spellStart"/>
      <w:r w:rsidRPr="008F08EA">
        <w:rPr>
          <w:rFonts w:ascii="Times New Roman" w:eastAsia="Times New Roman" w:hAnsi="Times New Roman" w:cs="Times New Roman"/>
          <w:kern w:val="0"/>
          <w:sz w:val="24"/>
          <w:szCs w:val="24"/>
          <w:lang w:eastAsia="en-IN"/>
          <w14:ligatures w14:val="none"/>
        </w:rPr>
        <w:t>Konopleva</w:t>
      </w:r>
      <w:proofErr w:type="spellEnd"/>
      <w:r w:rsidRPr="008F08EA">
        <w:rPr>
          <w:rFonts w:ascii="Times New Roman" w:eastAsia="Times New Roman" w:hAnsi="Times New Roman" w:cs="Times New Roman"/>
          <w:kern w:val="0"/>
          <w:sz w:val="24"/>
          <w:szCs w:val="24"/>
          <w:lang w:eastAsia="en-IN"/>
          <w14:ligatures w14:val="none"/>
        </w:rPr>
        <w:t xml:space="preserve">, M., &amp; Kantarjian, H. (2015). Secondary mutations as mediators of resistance to targeted therapy in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Blood, 125(21), 3236–3245. </w:t>
      </w:r>
      <w:hyperlink r:id="rId8" w:history="1">
        <w:r w:rsidRPr="008F08EA">
          <w:rPr>
            <w:rStyle w:val="Hyperlink"/>
            <w:rFonts w:ascii="Times New Roman" w:eastAsia="Times New Roman" w:hAnsi="Times New Roman" w:cs="Times New Roman"/>
            <w:kern w:val="0"/>
            <w:sz w:val="24"/>
            <w:szCs w:val="24"/>
            <w:lang w:eastAsia="en-IN"/>
            <w14:ligatures w14:val="none"/>
          </w:rPr>
          <w:t>https://doi.org/10.1182/blood-2014-10-605808</w:t>
        </w:r>
      </w:hyperlink>
      <w:r w:rsidRPr="008F08EA">
        <w:rPr>
          <w:rFonts w:ascii="Times New Roman" w:eastAsia="Times New Roman" w:hAnsi="Times New Roman" w:cs="Times New Roman"/>
          <w:kern w:val="0"/>
          <w:sz w:val="24"/>
          <w:szCs w:val="24"/>
          <w:lang w:eastAsia="en-IN"/>
          <w14:ligatures w14:val="none"/>
        </w:rPr>
        <w:t xml:space="preserve"> </w:t>
      </w:r>
    </w:p>
    <w:p w14:paraId="36C27699" w14:textId="78427CEE" w:rsidR="004127FB" w:rsidRPr="008F08EA" w:rsidRDefault="004127FB"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Daver, N., Schlenk, R. F., Russell, N. H., &amp; Levis, M. J. (2019). Targeting FLT3 mutations in AML: review of current knowledge and evidence. Leukemia, 33(2), 299–312. </w:t>
      </w:r>
      <w:hyperlink r:id="rId9" w:history="1">
        <w:r w:rsidRPr="008F08EA">
          <w:rPr>
            <w:rStyle w:val="Hyperlink"/>
            <w:rFonts w:ascii="Times New Roman" w:eastAsia="Times New Roman" w:hAnsi="Times New Roman" w:cs="Times New Roman"/>
            <w:kern w:val="0"/>
            <w:sz w:val="24"/>
            <w:szCs w:val="24"/>
            <w:lang w:eastAsia="en-IN"/>
            <w14:ligatures w14:val="none"/>
          </w:rPr>
          <w:t>https://doi.org/10.1038/s41375-018-0357-9</w:t>
        </w:r>
      </w:hyperlink>
      <w:r w:rsidRPr="008F08EA">
        <w:rPr>
          <w:rFonts w:ascii="Times New Roman" w:eastAsia="Times New Roman" w:hAnsi="Times New Roman" w:cs="Times New Roman"/>
          <w:kern w:val="0"/>
          <w:sz w:val="24"/>
          <w:szCs w:val="24"/>
          <w:lang w:eastAsia="en-IN"/>
          <w14:ligatures w14:val="none"/>
        </w:rPr>
        <w:t xml:space="preserve"> </w:t>
      </w:r>
    </w:p>
    <w:p w14:paraId="218B99D4" w14:textId="1D3E4396"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De </w:t>
      </w:r>
      <w:proofErr w:type="spellStart"/>
      <w:r w:rsidRPr="008F08EA">
        <w:rPr>
          <w:rFonts w:ascii="Times New Roman" w:eastAsia="Times New Roman" w:hAnsi="Times New Roman" w:cs="Times New Roman"/>
          <w:kern w:val="0"/>
          <w:sz w:val="24"/>
          <w:szCs w:val="24"/>
          <w:lang w:eastAsia="en-IN"/>
          <w14:ligatures w14:val="none"/>
        </w:rPr>
        <w:t>Kouchkovsky</w:t>
      </w:r>
      <w:proofErr w:type="spellEnd"/>
      <w:r w:rsidRPr="008F08EA">
        <w:rPr>
          <w:rFonts w:ascii="Times New Roman" w:eastAsia="Times New Roman" w:hAnsi="Times New Roman" w:cs="Times New Roman"/>
          <w:kern w:val="0"/>
          <w:sz w:val="24"/>
          <w:szCs w:val="24"/>
          <w:lang w:eastAsia="en-IN"/>
          <w14:ligatures w14:val="none"/>
        </w:rPr>
        <w:t xml:space="preserve">, I., &amp; Abdul-Hay, M. (2016).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comprehensive review and 2016 update'. </w:t>
      </w:r>
      <w:r w:rsidRPr="008F08EA">
        <w:rPr>
          <w:rFonts w:ascii="Times New Roman" w:eastAsia="Times New Roman" w:hAnsi="Times New Roman" w:cs="Times New Roman"/>
          <w:i/>
          <w:iCs/>
          <w:kern w:val="0"/>
          <w:sz w:val="24"/>
          <w:szCs w:val="24"/>
          <w:lang w:eastAsia="en-IN"/>
          <w14:ligatures w14:val="none"/>
        </w:rPr>
        <w:t>Blood Cancer Journal</w:t>
      </w:r>
      <w:r w:rsidRPr="008F08EA">
        <w:rPr>
          <w:rFonts w:ascii="Times New Roman" w:eastAsia="Times New Roman" w:hAnsi="Times New Roman" w:cs="Times New Roman"/>
          <w:kern w:val="0"/>
          <w:sz w:val="24"/>
          <w:szCs w:val="24"/>
          <w:lang w:eastAsia="en-IN"/>
          <w14:ligatures w14:val="none"/>
        </w:rPr>
        <w:t xml:space="preserve">, 6(7), e441. </w:t>
      </w:r>
      <w:hyperlink r:id="rId10" w:history="1">
        <w:r w:rsidRPr="008F08EA">
          <w:rPr>
            <w:rStyle w:val="Hyperlink"/>
            <w:rFonts w:ascii="Times New Roman" w:eastAsia="Times New Roman" w:hAnsi="Times New Roman" w:cs="Times New Roman"/>
            <w:kern w:val="0"/>
            <w:sz w:val="24"/>
            <w:szCs w:val="24"/>
            <w:lang w:eastAsia="en-IN"/>
            <w14:ligatures w14:val="none"/>
          </w:rPr>
          <w:t>https://doi.org/10.1038/bcj.2016.50</w:t>
        </w:r>
      </w:hyperlink>
      <w:r w:rsidRPr="008F08EA">
        <w:rPr>
          <w:rFonts w:ascii="Times New Roman" w:eastAsia="Times New Roman" w:hAnsi="Times New Roman" w:cs="Times New Roman"/>
          <w:kern w:val="0"/>
          <w:sz w:val="24"/>
          <w:szCs w:val="24"/>
          <w:lang w:eastAsia="en-IN"/>
          <w14:ligatures w14:val="none"/>
        </w:rPr>
        <w:t xml:space="preserve"> </w:t>
      </w:r>
    </w:p>
    <w:p w14:paraId="03992339" w14:textId="4972FDCA"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DiNardo, C. D., Jonas, B. A., </w:t>
      </w:r>
      <w:proofErr w:type="spellStart"/>
      <w:r w:rsidRPr="008F08EA">
        <w:rPr>
          <w:rFonts w:ascii="Times New Roman" w:eastAsia="Times New Roman" w:hAnsi="Times New Roman" w:cs="Times New Roman"/>
          <w:kern w:val="0"/>
          <w:sz w:val="24"/>
          <w:szCs w:val="24"/>
          <w:lang w:eastAsia="en-IN"/>
          <w14:ligatures w14:val="none"/>
        </w:rPr>
        <w:t>Pullarkat</w:t>
      </w:r>
      <w:proofErr w:type="spellEnd"/>
      <w:r w:rsidRPr="008F08EA">
        <w:rPr>
          <w:rFonts w:ascii="Times New Roman" w:eastAsia="Times New Roman" w:hAnsi="Times New Roman" w:cs="Times New Roman"/>
          <w:kern w:val="0"/>
          <w:sz w:val="24"/>
          <w:szCs w:val="24"/>
          <w:lang w:eastAsia="en-IN"/>
          <w14:ligatures w14:val="none"/>
        </w:rPr>
        <w:t xml:space="preserve">, V., Thirman, M. J., Garcia, J. S., Wei, A. H., ... &amp; </w:t>
      </w:r>
      <w:proofErr w:type="spellStart"/>
      <w:r w:rsidRPr="008F08EA">
        <w:rPr>
          <w:rFonts w:ascii="Times New Roman" w:eastAsia="Times New Roman" w:hAnsi="Times New Roman" w:cs="Times New Roman"/>
          <w:kern w:val="0"/>
          <w:sz w:val="24"/>
          <w:szCs w:val="24"/>
          <w:lang w:eastAsia="en-IN"/>
          <w14:ligatures w14:val="none"/>
        </w:rPr>
        <w:t>Letai</w:t>
      </w:r>
      <w:proofErr w:type="spellEnd"/>
      <w:r w:rsidRPr="008F08EA">
        <w:rPr>
          <w:rFonts w:ascii="Times New Roman" w:eastAsia="Times New Roman" w:hAnsi="Times New Roman" w:cs="Times New Roman"/>
          <w:kern w:val="0"/>
          <w:sz w:val="24"/>
          <w:szCs w:val="24"/>
          <w:lang w:eastAsia="en-IN"/>
          <w14:ligatures w14:val="none"/>
        </w:rPr>
        <w:t xml:space="preserve">, A. (2020). Azacitidine and </w:t>
      </w:r>
      <w:proofErr w:type="spellStart"/>
      <w:r w:rsidRPr="008F08EA">
        <w:rPr>
          <w:rFonts w:ascii="Times New Roman" w:eastAsia="Times New Roman" w:hAnsi="Times New Roman" w:cs="Times New Roman"/>
          <w:kern w:val="0"/>
          <w:sz w:val="24"/>
          <w:szCs w:val="24"/>
          <w:lang w:eastAsia="en-IN"/>
          <w14:ligatures w14:val="none"/>
        </w:rPr>
        <w:t>Venetoclax</w:t>
      </w:r>
      <w:proofErr w:type="spellEnd"/>
      <w:r w:rsidRPr="008F08EA">
        <w:rPr>
          <w:rFonts w:ascii="Times New Roman" w:eastAsia="Times New Roman" w:hAnsi="Times New Roman" w:cs="Times New Roman"/>
          <w:kern w:val="0"/>
          <w:sz w:val="24"/>
          <w:szCs w:val="24"/>
          <w:lang w:eastAsia="en-IN"/>
          <w14:ligatures w14:val="none"/>
        </w:rPr>
        <w:t xml:space="preserve"> in Previously Untreated Acute Myeloid Leukemia.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383(7), 617-629. </w:t>
      </w:r>
      <w:hyperlink r:id="rId11" w:history="1">
        <w:r w:rsidRPr="008F08EA">
          <w:rPr>
            <w:rStyle w:val="Hyperlink"/>
            <w:rFonts w:ascii="Times New Roman" w:eastAsia="Times New Roman" w:hAnsi="Times New Roman" w:cs="Times New Roman"/>
            <w:kern w:val="0"/>
            <w:sz w:val="24"/>
            <w:szCs w:val="24"/>
            <w:lang w:eastAsia="en-IN"/>
            <w14:ligatures w14:val="none"/>
          </w:rPr>
          <w:t>https://doi.org/10.1056/NEJMoa2012971</w:t>
        </w:r>
      </w:hyperlink>
      <w:r w:rsidRPr="008F08EA">
        <w:rPr>
          <w:rFonts w:ascii="Times New Roman" w:eastAsia="Times New Roman" w:hAnsi="Times New Roman" w:cs="Times New Roman"/>
          <w:kern w:val="0"/>
          <w:sz w:val="24"/>
          <w:szCs w:val="24"/>
          <w:lang w:eastAsia="en-IN"/>
          <w14:ligatures w14:val="none"/>
        </w:rPr>
        <w:t xml:space="preserve"> </w:t>
      </w:r>
    </w:p>
    <w:p w14:paraId="24E906F1" w14:textId="0A65F3B5"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DiNardo, C. D., Stein, E. M., de Botton, S., Roboz, G. J., Altman, J. K., Mims, A. S., ... &amp; Kantarjian, H. (2018). Durable Remissions with </w:t>
      </w:r>
      <w:proofErr w:type="spellStart"/>
      <w:r w:rsidRPr="008F08EA">
        <w:rPr>
          <w:rFonts w:ascii="Times New Roman" w:eastAsia="Times New Roman" w:hAnsi="Times New Roman" w:cs="Times New Roman"/>
          <w:kern w:val="0"/>
          <w:sz w:val="24"/>
          <w:szCs w:val="24"/>
          <w:lang w:eastAsia="en-IN"/>
          <w14:ligatures w14:val="none"/>
        </w:rPr>
        <w:t>Ivosidenib</w:t>
      </w:r>
      <w:proofErr w:type="spellEnd"/>
      <w:r w:rsidRPr="008F08EA">
        <w:rPr>
          <w:rFonts w:ascii="Times New Roman" w:eastAsia="Times New Roman" w:hAnsi="Times New Roman" w:cs="Times New Roman"/>
          <w:kern w:val="0"/>
          <w:sz w:val="24"/>
          <w:szCs w:val="24"/>
          <w:lang w:eastAsia="en-IN"/>
          <w14:ligatures w14:val="none"/>
        </w:rPr>
        <w:t xml:space="preserve"> in IDH1-Mutated Relapsed or Refractory AML.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378(25), 2386-2398. </w:t>
      </w:r>
      <w:hyperlink r:id="rId12" w:history="1">
        <w:r w:rsidR="00C51421" w:rsidRPr="008F08EA">
          <w:rPr>
            <w:rStyle w:val="Hyperlink"/>
            <w:rFonts w:ascii="Times New Roman" w:eastAsia="Times New Roman" w:hAnsi="Times New Roman" w:cs="Times New Roman"/>
            <w:kern w:val="0"/>
            <w:sz w:val="24"/>
            <w:szCs w:val="24"/>
            <w:lang w:eastAsia="en-IN"/>
            <w14:ligatures w14:val="none"/>
          </w:rPr>
          <w:t>https://doi.org/10.1056/NEJMoa1716984</w:t>
        </w:r>
      </w:hyperlink>
      <w:r w:rsidR="00C51421" w:rsidRPr="008F08EA">
        <w:rPr>
          <w:rFonts w:ascii="Times New Roman" w:eastAsia="Times New Roman" w:hAnsi="Times New Roman" w:cs="Times New Roman"/>
          <w:kern w:val="0"/>
          <w:sz w:val="24"/>
          <w:szCs w:val="24"/>
          <w:lang w:eastAsia="en-IN"/>
          <w14:ligatures w14:val="none"/>
        </w:rPr>
        <w:t xml:space="preserve"> </w:t>
      </w:r>
    </w:p>
    <w:p w14:paraId="1ABC1F19" w14:textId="73B5FBB4" w:rsidR="00045CC9" w:rsidRPr="007541F3" w:rsidRDefault="00045CC9" w:rsidP="008F08EA">
      <w:pPr>
        <w:spacing w:before="100" w:beforeAutospacing="1" w:after="100" w:afterAutospacing="1" w:line="240" w:lineRule="auto"/>
        <w:rPr>
          <w:rFonts w:ascii="Times New Roman" w:eastAsia="Times New Roman" w:hAnsi="Times New Roman" w:cs="Times New Roman"/>
          <w:kern w:val="0"/>
          <w:sz w:val="24"/>
          <w:szCs w:val="24"/>
          <w:lang w:val="de-DE"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Dombret</w:t>
      </w:r>
      <w:proofErr w:type="spellEnd"/>
      <w:r w:rsidRPr="008F08EA">
        <w:rPr>
          <w:rFonts w:ascii="Times New Roman" w:eastAsia="Times New Roman" w:hAnsi="Times New Roman" w:cs="Times New Roman"/>
          <w:kern w:val="0"/>
          <w:sz w:val="24"/>
          <w:szCs w:val="24"/>
          <w:lang w:eastAsia="en-IN"/>
          <w14:ligatures w14:val="none"/>
        </w:rPr>
        <w:t xml:space="preserve">, H., &amp; Gardin, C. (2016). An update of current treatments for adult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7541F3">
        <w:rPr>
          <w:rFonts w:ascii="Times New Roman" w:eastAsia="Times New Roman" w:hAnsi="Times New Roman" w:cs="Times New Roman"/>
          <w:i/>
          <w:iCs/>
          <w:kern w:val="0"/>
          <w:sz w:val="24"/>
          <w:szCs w:val="24"/>
          <w:lang w:val="de-DE" w:eastAsia="en-IN"/>
          <w14:ligatures w14:val="none"/>
        </w:rPr>
        <w:t>Blood</w:t>
      </w:r>
      <w:r w:rsidRPr="007541F3">
        <w:rPr>
          <w:rFonts w:ascii="Times New Roman" w:eastAsia="Times New Roman" w:hAnsi="Times New Roman" w:cs="Times New Roman"/>
          <w:kern w:val="0"/>
          <w:sz w:val="24"/>
          <w:szCs w:val="24"/>
          <w:lang w:val="de-DE" w:eastAsia="en-IN"/>
          <w14:ligatures w14:val="none"/>
        </w:rPr>
        <w:t xml:space="preserve">, 127(1), 53-61. </w:t>
      </w:r>
      <w:r w:rsidR="00C51421">
        <w:fldChar w:fldCharType="begin"/>
      </w:r>
      <w:r w:rsidR="00C51421" w:rsidRPr="007541F3">
        <w:rPr>
          <w:lang w:val="de-DE"/>
        </w:rPr>
        <w:instrText>HYPERLINK "https://doi.org/10.1182/blood-2015-08-604520"</w:instrText>
      </w:r>
      <w:r w:rsidR="00C51421">
        <w:fldChar w:fldCharType="separate"/>
      </w:r>
      <w:r w:rsidR="00C51421" w:rsidRPr="007541F3">
        <w:rPr>
          <w:rStyle w:val="Hyperlink"/>
          <w:rFonts w:ascii="Times New Roman" w:eastAsia="Times New Roman" w:hAnsi="Times New Roman" w:cs="Times New Roman"/>
          <w:kern w:val="0"/>
          <w:sz w:val="24"/>
          <w:szCs w:val="24"/>
          <w:lang w:val="de-DE" w:eastAsia="en-IN"/>
          <w14:ligatures w14:val="none"/>
        </w:rPr>
        <w:t>https://doi.org/10.1182/blood-2015-08-604520</w:t>
      </w:r>
      <w:r w:rsidR="00C51421">
        <w:rPr>
          <w:rStyle w:val="Hyperlink"/>
          <w:rFonts w:ascii="Times New Roman" w:eastAsia="Times New Roman" w:hAnsi="Times New Roman" w:cs="Times New Roman"/>
          <w:kern w:val="0"/>
          <w:sz w:val="24"/>
          <w:szCs w:val="24"/>
          <w:lang w:eastAsia="en-IN"/>
          <w14:ligatures w14:val="none"/>
        </w:rPr>
        <w:fldChar w:fldCharType="end"/>
      </w:r>
      <w:r w:rsidR="00C51421" w:rsidRPr="007541F3">
        <w:rPr>
          <w:rFonts w:ascii="Times New Roman" w:eastAsia="Times New Roman" w:hAnsi="Times New Roman" w:cs="Times New Roman"/>
          <w:kern w:val="0"/>
          <w:sz w:val="24"/>
          <w:szCs w:val="24"/>
          <w:lang w:val="de-DE" w:eastAsia="en-IN"/>
          <w14:ligatures w14:val="none"/>
        </w:rPr>
        <w:t xml:space="preserve"> </w:t>
      </w:r>
    </w:p>
    <w:p w14:paraId="3E01C9DD" w14:textId="09F96804"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541F3">
        <w:rPr>
          <w:rFonts w:ascii="Times New Roman" w:eastAsia="Times New Roman" w:hAnsi="Times New Roman" w:cs="Times New Roman"/>
          <w:kern w:val="0"/>
          <w:sz w:val="24"/>
          <w:szCs w:val="24"/>
          <w:lang w:val="de-DE" w:eastAsia="en-IN"/>
          <w14:ligatures w14:val="none"/>
        </w:rPr>
        <w:t xml:space="preserve">Döhner, H., Estey, E., Grimwade, D., Amadori, S., Appelbaum, F. R., Büchner, T., ... </w:t>
      </w:r>
      <w:r w:rsidRPr="008F08EA">
        <w:rPr>
          <w:rFonts w:ascii="Times New Roman" w:eastAsia="Times New Roman" w:hAnsi="Times New Roman" w:cs="Times New Roman"/>
          <w:kern w:val="0"/>
          <w:sz w:val="24"/>
          <w:szCs w:val="24"/>
          <w:lang w:eastAsia="en-IN"/>
          <w14:ligatures w14:val="none"/>
        </w:rPr>
        <w:t xml:space="preserve">&amp; Lowenberg, B. (2017). Diagnosis and management of AML in adults: 2017 ELN recommendations from an international expert panel.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129(4), 424-447. </w:t>
      </w:r>
      <w:hyperlink r:id="rId13" w:history="1">
        <w:r w:rsidR="00C51421" w:rsidRPr="008F08EA">
          <w:rPr>
            <w:rStyle w:val="Hyperlink"/>
            <w:rFonts w:ascii="Times New Roman" w:eastAsia="Times New Roman" w:hAnsi="Times New Roman" w:cs="Times New Roman"/>
            <w:kern w:val="0"/>
            <w:sz w:val="24"/>
            <w:szCs w:val="24"/>
            <w:lang w:eastAsia="en-IN"/>
            <w14:ligatures w14:val="none"/>
          </w:rPr>
          <w:t>https://doi.org/10.1182/blood-2016-08-733196</w:t>
        </w:r>
      </w:hyperlink>
      <w:r w:rsidR="00C51421" w:rsidRPr="008F08EA">
        <w:rPr>
          <w:rFonts w:ascii="Times New Roman" w:eastAsia="Times New Roman" w:hAnsi="Times New Roman" w:cs="Times New Roman"/>
          <w:kern w:val="0"/>
          <w:sz w:val="24"/>
          <w:szCs w:val="24"/>
          <w:lang w:eastAsia="en-IN"/>
          <w14:ligatures w14:val="none"/>
        </w:rPr>
        <w:t xml:space="preserve"> </w:t>
      </w:r>
    </w:p>
    <w:p w14:paraId="50666E47" w14:textId="7CDC9840" w:rsidR="004127FB" w:rsidRPr="008F08EA" w:rsidRDefault="004127FB"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Duncavage</w:t>
      </w:r>
      <w:proofErr w:type="spellEnd"/>
      <w:r w:rsidRPr="008F08EA">
        <w:rPr>
          <w:rFonts w:ascii="Times New Roman" w:eastAsia="Times New Roman" w:hAnsi="Times New Roman" w:cs="Times New Roman"/>
          <w:kern w:val="0"/>
          <w:sz w:val="24"/>
          <w:szCs w:val="24"/>
          <w:lang w:eastAsia="en-IN"/>
          <w14:ligatures w14:val="none"/>
        </w:rPr>
        <w:t xml:space="preserve">, E. J., Schroeder, M. C., O'Laughlin, M., Wilson, R., MacMillan, S., Bohannon, A., Kruchowski, S., Garza, J., Du, F., Hughes, A. E. O., Robinson, J., Hughes, E., Heath, S. E., Baty, J. D., Neidich, J., Christopher, M. J., Jacoby, M. A., Uy, G. L., Fulton, R. S., Miller, C. A., … Spencer, D. H. (2021). Genome Sequencing as an Alternative to Cytogenetic Analysis in Myeloid Cancers. The New England journal of medicine, 384(10), 924–935. </w:t>
      </w:r>
      <w:hyperlink r:id="rId14" w:history="1">
        <w:r w:rsidRPr="008F08EA">
          <w:rPr>
            <w:rStyle w:val="Hyperlink"/>
            <w:rFonts w:ascii="Times New Roman" w:eastAsia="Times New Roman" w:hAnsi="Times New Roman" w:cs="Times New Roman"/>
            <w:kern w:val="0"/>
            <w:sz w:val="24"/>
            <w:szCs w:val="24"/>
            <w:lang w:eastAsia="en-IN"/>
            <w14:ligatures w14:val="none"/>
          </w:rPr>
          <w:t>https://doi.org/10.1056/NEJMoa2024534</w:t>
        </w:r>
      </w:hyperlink>
      <w:r w:rsidRPr="008F08EA">
        <w:rPr>
          <w:rFonts w:ascii="Times New Roman" w:eastAsia="Times New Roman" w:hAnsi="Times New Roman" w:cs="Times New Roman"/>
          <w:kern w:val="0"/>
          <w:sz w:val="24"/>
          <w:szCs w:val="24"/>
          <w:lang w:eastAsia="en-IN"/>
          <w14:ligatures w14:val="none"/>
        </w:rPr>
        <w:t xml:space="preserve"> </w:t>
      </w:r>
    </w:p>
    <w:p w14:paraId="5A61A6B5" w14:textId="5249A0EA" w:rsidR="00C51421" w:rsidRPr="008F08EA" w:rsidRDefault="004127FB"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Figueroa, M. E., Skrabanek, L., Li, Y., </w:t>
      </w:r>
      <w:proofErr w:type="spellStart"/>
      <w:r w:rsidRPr="008F08EA">
        <w:rPr>
          <w:rFonts w:ascii="Times New Roman" w:eastAsia="Times New Roman" w:hAnsi="Times New Roman" w:cs="Times New Roman"/>
          <w:kern w:val="0"/>
          <w:sz w:val="24"/>
          <w:szCs w:val="24"/>
          <w:lang w:eastAsia="en-IN"/>
          <w14:ligatures w14:val="none"/>
        </w:rPr>
        <w:t>Jiemjit</w:t>
      </w:r>
      <w:proofErr w:type="spellEnd"/>
      <w:r w:rsidRPr="008F08EA">
        <w:rPr>
          <w:rFonts w:ascii="Times New Roman" w:eastAsia="Times New Roman" w:hAnsi="Times New Roman" w:cs="Times New Roman"/>
          <w:kern w:val="0"/>
          <w:sz w:val="24"/>
          <w:szCs w:val="24"/>
          <w:lang w:eastAsia="en-IN"/>
          <w14:ligatures w14:val="none"/>
        </w:rPr>
        <w:t xml:space="preserve">, A., Fandy, T. E., </w:t>
      </w:r>
      <w:proofErr w:type="spellStart"/>
      <w:r w:rsidRPr="008F08EA">
        <w:rPr>
          <w:rFonts w:ascii="Times New Roman" w:eastAsia="Times New Roman" w:hAnsi="Times New Roman" w:cs="Times New Roman"/>
          <w:kern w:val="0"/>
          <w:sz w:val="24"/>
          <w:szCs w:val="24"/>
          <w:lang w:eastAsia="en-IN"/>
          <w14:ligatures w14:val="none"/>
        </w:rPr>
        <w:t>Paietta</w:t>
      </w:r>
      <w:proofErr w:type="spellEnd"/>
      <w:r w:rsidRPr="008F08EA">
        <w:rPr>
          <w:rFonts w:ascii="Times New Roman" w:eastAsia="Times New Roman" w:hAnsi="Times New Roman" w:cs="Times New Roman"/>
          <w:kern w:val="0"/>
          <w:sz w:val="24"/>
          <w:szCs w:val="24"/>
          <w:lang w:eastAsia="en-IN"/>
          <w14:ligatures w14:val="none"/>
        </w:rPr>
        <w:t xml:space="preserve">, E., Fernandez, H., Tallman, M. S., </w:t>
      </w:r>
      <w:proofErr w:type="spellStart"/>
      <w:r w:rsidRPr="008F08EA">
        <w:rPr>
          <w:rFonts w:ascii="Times New Roman" w:eastAsia="Times New Roman" w:hAnsi="Times New Roman" w:cs="Times New Roman"/>
          <w:kern w:val="0"/>
          <w:sz w:val="24"/>
          <w:szCs w:val="24"/>
          <w:lang w:eastAsia="en-IN"/>
          <w14:ligatures w14:val="none"/>
        </w:rPr>
        <w:t>Greally</w:t>
      </w:r>
      <w:proofErr w:type="spellEnd"/>
      <w:r w:rsidRPr="008F08EA">
        <w:rPr>
          <w:rFonts w:ascii="Times New Roman" w:eastAsia="Times New Roman" w:hAnsi="Times New Roman" w:cs="Times New Roman"/>
          <w:kern w:val="0"/>
          <w:sz w:val="24"/>
          <w:szCs w:val="24"/>
          <w:lang w:eastAsia="en-IN"/>
          <w14:ligatures w14:val="none"/>
        </w:rPr>
        <w:t xml:space="preserve">, J. M., Carraway, H., Licht, J. D., Gore, S. D., &amp; Melnick, A. (2009). MDS and secondary AML display unique patterns and abundance of aberrant DNA methylation. Blood, 114(16), 3448–3458. </w:t>
      </w:r>
      <w:hyperlink r:id="rId15" w:history="1">
        <w:r w:rsidRPr="008F08EA">
          <w:rPr>
            <w:rStyle w:val="Hyperlink"/>
            <w:rFonts w:ascii="Times New Roman" w:eastAsia="Times New Roman" w:hAnsi="Times New Roman" w:cs="Times New Roman"/>
            <w:kern w:val="0"/>
            <w:sz w:val="24"/>
            <w:szCs w:val="24"/>
            <w:lang w:eastAsia="en-IN"/>
            <w14:ligatures w14:val="none"/>
          </w:rPr>
          <w:t>https://doi.org/10.1182/blood-2009-01-200519</w:t>
        </w:r>
      </w:hyperlink>
      <w:r w:rsidRPr="008F08EA">
        <w:rPr>
          <w:rFonts w:ascii="Times New Roman" w:eastAsia="Times New Roman" w:hAnsi="Times New Roman" w:cs="Times New Roman"/>
          <w:kern w:val="0"/>
          <w:sz w:val="24"/>
          <w:szCs w:val="24"/>
          <w:lang w:eastAsia="en-IN"/>
          <w14:ligatures w14:val="none"/>
        </w:rPr>
        <w:t xml:space="preserve"> </w:t>
      </w:r>
    </w:p>
    <w:p w14:paraId="38B36658" w14:textId="4EFAEE49" w:rsidR="00045CC9" w:rsidRPr="007541F3" w:rsidRDefault="00045CC9" w:rsidP="008F08EA">
      <w:pPr>
        <w:spacing w:before="100" w:beforeAutospacing="1" w:after="100" w:afterAutospacing="1" w:line="240" w:lineRule="auto"/>
        <w:rPr>
          <w:rFonts w:ascii="Times New Roman" w:eastAsia="Times New Roman" w:hAnsi="Times New Roman" w:cs="Times New Roman"/>
          <w:kern w:val="0"/>
          <w:sz w:val="24"/>
          <w:szCs w:val="24"/>
          <w:lang w:val="de-DE" w:eastAsia="en-IN"/>
          <w14:ligatures w14:val="none"/>
        </w:rPr>
      </w:pPr>
      <w:r w:rsidRPr="008F08EA">
        <w:rPr>
          <w:rFonts w:ascii="Times New Roman" w:eastAsia="Times New Roman" w:hAnsi="Times New Roman" w:cs="Times New Roman"/>
          <w:kern w:val="0"/>
          <w:sz w:val="24"/>
          <w:szCs w:val="24"/>
          <w:lang w:eastAsia="en-IN"/>
          <w14:ligatures w14:val="none"/>
        </w:rPr>
        <w:t xml:space="preserve">Gill, S., Tasian, S. K., Ruella, M., </w:t>
      </w:r>
      <w:proofErr w:type="spellStart"/>
      <w:r w:rsidRPr="008F08EA">
        <w:rPr>
          <w:rFonts w:ascii="Times New Roman" w:eastAsia="Times New Roman" w:hAnsi="Times New Roman" w:cs="Times New Roman"/>
          <w:kern w:val="0"/>
          <w:sz w:val="24"/>
          <w:szCs w:val="24"/>
          <w:lang w:eastAsia="en-IN"/>
          <w14:ligatures w14:val="none"/>
        </w:rPr>
        <w:t>Shestova</w:t>
      </w:r>
      <w:proofErr w:type="spellEnd"/>
      <w:r w:rsidRPr="008F08EA">
        <w:rPr>
          <w:rFonts w:ascii="Times New Roman" w:eastAsia="Times New Roman" w:hAnsi="Times New Roman" w:cs="Times New Roman"/>
          <w:kern w:val="0"/>
          <w:sz w:val="24"/>
          <w:szCs w:val="24"/>
          <w:lang w:eastAsia="en-IN"/>
          <w14:ligatures w14:val="none"/>
        </w:rPr>
        <w:t xml:space="preserve">, O., Li, Y., Porter, D. L., ... &amp; Grupp, S. A. (2021). Preclinical targeting of human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and myeloablation using chimeric antigen receptor–modified T cells. </w:t>
      </w:r>
      <w:r w:rsidRPr="007541F3">
        <w:rPr>
          <w:rFonts w:ascii="Times New Roman" w:eastAsia="Times New Roman" w:hAnsi="Times New Roman" w:cs="Times New Roman"/>
          <w:i/>
          <w:iCs/>
          <w:kern w:val="0"/>
          <w:sz w:val="24"/>
          <w:szCs w:val="24"/>
          <w:lang w:val="de-DE" w:eastAsia="en-IN"/>
          <w14:ligatures w14:val="none"/>
        </w:rPr>
        <w:t>Blood</w:t>
      </w:r>
      <w:r w:rsidRPr="007541F3">
        <w:rPr>
          <w:rFonts w:ascii="Times New Roman" w:eastAsia="Times New Roman" w:hAnsi="Times New Roman" w:cs="Times New Roman"/>
          <w:kern w:val="0"/>
          <w:sz w:val="24"/>
          <w:szCs w:val="24"/>
          <w:lang w:val="de-DE" w:eastAsia="en-IN"/>
          <w14:ligatures w14:val="none"/>
        </w:rPr>
        <w:t xml:space="preserve">, 123(15), 2343-2354. </w:t>
      </w:r>
      <w:r w:rsidR="00C51421">
        <w:fldChar w:fldCharType="begin"/>
      </w:r>
      <w:r w:rsidR="00C51421" w:rsidRPr="007541F3">
        <w:rPr>
          <w:lang w:val="de-DE"/>
        </w:rPr>
        <w:instrText>HYPERLINK "https://doi.org/10.1182/blood-2013-09-529537"</w:instrText>
      </w:r>
      <w:r w:rsidR="00C51421">
        <w:fldChar w:fldCharType="separate"/>
      </w:r>
      <w:r w:rsidR="00C51421" w:rsidRPr="007541F3">
        <w:rPr>
          <w:rStyle w:val="Hyperlink"/>
          <w:rFonts w:ascii="Times New Roman" w:eastAsia="Times New Roman" w:hAnsi="Times New Roman" w:cs="Times New Roman"/>
          <w:kern w:val="0"/>
          <w:sz w:val="24"/>
          <w:szCs w:val="24"/>
          <w:lang w:val="de-DE" w:eastAsia="en-IN"/>
          <w14:ligatures w14:val="none"/>
        </w:rPr>
        <w:t>https://doi.org/10.1182/blood-2013-09-529537</w:t>
      </w:r>
      <w:r w:rsidR="00C51421">
        <w:rPr>
          <w:rStyle w:val="Hyperlink"/>
          <w:rFonts w:ascii="Times New Roman" w:eastAsia="Times New Roman" w:hAnsi="Times New Roman" w:cs="Times New Roman"/>
          <w:kern w:val="0"/>
          <w:sz w:val="24"/>
          <w:szCs w:val="24"/>
          <w:lang w:eastAsia="en-IN"/>
          <w14:ligatures w14:val="none"/>
        </w:rPr>
        <w:fldChar w:fldCharType="end"/>
      </w:r>
      <w:r w:rsidR="00C51421" w:rsidRPr="007541F3">
        <w:rPr>
          <w:rFonts w:ascii="Times New Roman" w:eastAsia="Times New Roman" w:hAnsi="Times New Roman" w:cs="Times New Roman"/>
          <w:kern w:val="0"/>
          <w:sz w:val="24"/>
          <w:szCs w:val="24"/>
          <w:lang w:val="de-DE" w:eastAsia="en-IN"/>
          <w14:ligatures w14:val="none"/>
        </w:rPr>
        <w:t xml:space="preserve"> </w:t>
      </w:r>
    </w:p>
    <w:p w14:paraId="44E68A68" w14:textId="065FC88C" w:rsidR="00D106C5" w:rsidRPr="007541F3" w:rsidRDefault="00D106C5" w:rsidP="008F08EA">
      <w:pPr>
        <w:spacing w:before="100" w:beforeAutospacing="1" w:after="100" w:afterAutospacing="1" w:line="240" w:lineRule="auto"/>
        <w:rPr>
          <w:rFonts w:ascii="Times New Roman" w:eastAsia="Times New Roman" w:hAnsi="Times New Roman" w:cs="Times New Roman"/>
          <w:kern w:val="0"/>
          <w:sz w:val="24"/>
          <w:szCs w:val="24"/>
          <w:lang w:val="de-DE" w:eastAsia="en-IN"/>
          <w14:ligatures w14:val="none"/>
        </w:rPr>
      </w:pPr>
      <w:r w:rsidRPr="007541F3">
        <w:rPr>
          <w:rFonts w:ascii="Times New Roman" w:eastAsia="Times New Roman" w:hAnsi="Times New Roman" w:cs="Times New Roman"/>
          <w:kern w:val="0"/>
          <w:sz w:val="24"/>
          <w:szCs w:val="24"/>
          <w:lang w:val="de-DE" w:eastAsia="en-IN"/>
          <w14:ligatures w14:val="none"/>
        </w:rPr>
        <w:t xml:space="preserve">Maher, M., Diesch, J., Le Pannérer, M. M., &amp; Buschbeck, M. (2021). </w:t>
      </w:r>
      <w:r w:rsidRPr="008F08EA">
        <w:rPr>
          <w:rFonts w:ascii="Times New Roman" w:eastAsia="Times New Roman" w:hAnsi="Times New Roman" w:cs="Times New Roman"/>
          <w:kern w:val="0"/>
          <w:sz w:val="24"/>
          <w:szCs w:val="24"/>
          <w:lang w:eastAsia="en-IN"/>
          <w14:ligatures w14:val="none"/>
        </w:rPr>
        <w:t xml:space="preserve">Epigenetics in a Spectrum of Myeloid Diseases and Its Exploitation for Therapy. </w:t>
      </w:r>
      <w:r w:rsidRPr="007541F3">
        <w:rPr>
          <w:rFonts w:ascii="Times New Roman" w:eastAsia="Times New Roman" w:hAnsi="Times New Roman" w:cs="Times New Roman"/>
          <w:kern w:val="0"/>
          <w:sz w:val="24"/>
          <w:szCs w:val="24"/>
          <w:lang w:val="de-DE" w:eastAsia="en-IN"/>
          <w14:ligatures w14:val="none"/>
        </w:rPr>
        <w:t xml:space="preserve">Cancers, 13(7), 1746. </w:t>
      </w:r>
      <w:r>
        <w:fldChar w:fldCharType="begin"/>
      </w:r>
      <w:r w:rsidRPr="007541F3">
        <w:rPr>
          <w:lang w:val="de-DE"/>
        </w:rPr>
        <w:instrText>HYPERLINK "https://doi.org/10.3390/cancers13071746"</w:instrText>
      </w:r>
      <w:r>
        <w:fldChar w:fldCharType="separate"/>
      </w:r>
      <w:r w:rsidRPr="007541F3">
        <w:rPr>
          <w:rStyle w:val="Hyperlink"/>
          <w:rFonts w:ascii="Times New Roman" w:eastAsia="Times New Roman" w:hAnsi="Times New Roman" w:cs="Times New Roman"/>
          <w:kern w:val="0"/>
          <w:sz w:val="24"/>
          <w:szCs w:val="24"/>
          <w:lang w:val="de-DE" w:eastAsia="en-IN"/>
          <w14:ligatures w14:val="none"/>
        </w:rPr>
        <w:t>https://doi.org/10.3390/cancers13071746</w:t>
      </w:r>
      <w:r>
        <w:rPr>
          <w:rStyle w:val="Hyperlink"/>
          <w:rFonts w:ascii="Times New Roman" w:eastAsia="Times New Roman" w:hAnsi="Times New Roman" w:cs="Times New Roman"/>
          <w:kern w:val="0"/>
          <w:sz w:val="24"/>
          <w:szCs w:val="24"/>
          <w:lang w:eastAsia="en-IN"/>
          <w14:ligatures w14:val="none"/>
        </w:rPr>
        <w:fldChar w:fldCharType="end"/>
      </w:r>
      <w:r w:rsidRPr="007541F3">
        <w:rPr>
          <w:rFonts w:ascii="Times New Roman" w:eastAsia="Times New Roman" w:hAnsi="Times New Roman" w:cs="Times New Roman"/>
          <w:kern w:val="0"/>
          <w:sz w:val="24"/>
          <w:szCs w:val="24"/>
          <w:lang w:val="de-DE" w:eastAsia="en-IN"/>
          <w14:ligatures w14:val="none"/>
        </w:rPr>
        <w:t xml:space="preserve">   </w:t>
      </w:r>
    </w:p>
    <w:p w14:paraId="60B8E209" w14:textId="546F1787"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541F3">
        <w:rPr>
          <w:rFonts w:ascii="Times New Roman" w:eastAsia="Times New Roman" w:hAnsi="Times New Roman" w:cs="Times New Roman"/>
          <w:kern w:val="0"/>
          <w:sz w:val="24"/>
          <w:szCs w:val="24"/>
          <w:lang w:val="de-DE" w:eastAsia="en-IN"/>
          <w14:ligatures w14:val="none"/>
        </w:rPr>
        <w:lastRenderedPageBreak/>
        <w:t xml:space="preserve">Greenberg, P. L., Tuechler, H., Schanz, J., Sanz, G., Garcia-Manero, G., Solé, F., ... &amp; Bennett, J. M. (2012). </w:t>
      </w:r>
      <w:r w:rsidRPr="008F08EA">
        <w:rPr>
          <w:rFonts w:ascii="Times New Roman" w:eastAsia="Times New Roman" w:hAnsi="Times New Roman" w:cs="Times New Roman"/>
          <w:kern w:val="0"/>
          <w:sz w:val="24"/>
          <w:szCs w:val="24"/>
          <w:lang w:eastAsia="en-IN"/>
          <w14:ligatures w14:val="none"/>
        </w:rPr>
        <w:t xml:space="preserve">Revised international prognostic scoring system for myelodysplastic syndromes.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120(12), 2454-2465. </w:t>
      </w:r>
      <w:hyperlink r:id="rId16" w:history="1">
        <w:r w:rsidR="006A7317" w:rsidRPr="008F08EA">
          <w:rPr>
            <w:rStyle w:val="Hyperlink"/>
            <w:rFonts w:ascii="Times New Roman" w:eastAsia="Times New Roman" w:hAnsi="Times New Roman" w:cs="Times New Roman"/>
            <w:kern w:val="0"/>
            <w:sz w:val="24"/>
            <w:szCs w:val="24"/>
            <w:lang w:eastAsia="en-IN"/>
            <w14:ligatures w14:val="none"/>
          </w:rPr>
          <w:t>https://doi.org/10.1182/blood-2012-03-420489</w:t>
        </w:r>
      </w:hyperlink>
      <w:r w:rsidR="006A7317" w:rsidRPr="008F08EA">
        <w:rPr>
          <w:rFonts w:ascii="Times New Roman" w:eastAsia="Times New Roman" w:hAnsi="Times New Roman" w:cs="Times New Roman"/>
          <w:kern w:val="0"/>
          <w:sz w:val="24"/>
          <w:szCs w:val="24"/>
          <w:lang w:eastAsia="en-IN"/>
          <w14:ligatures w14:val="none"/>
        </w:rPr>
        <w:t xml:space="preserve"> </w:t>
      </w:r>
    </w:p>
    <w:p w14:paraId="2FC45D12" w14:textId="0C32C8CE"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541F3">
        <w:rPr>
          <w:rFonts w:ascii="Times New Roman" w:eastAsia="Times New Roman" w:hAnsi="Times New Roman" w:cs="Times New Roman"/>
          <w:kern w:val="0"/>
          <w:sz w:val="24"/>
          <w:szCs w:val="24"/>
          <w:lang w:val="de-DE" w:eastAsia="en-IN"/>
          <w14:ligatures w14:val="none"/>
        </w:rPr>
        <w:t xml:space="preserve">Heuser, M., Freeman, S. D., Ossenkoppele, G. J., Buccisano, F., Hourigan, C. S., et al. </w:t>
      </w:r>
      <w:r w:rsidRPr="008F08EA">
        <w:rPr>
          <w:rFonts w:ascii="Times New Roman" w:eastAsia="Times New Roman" w:hAnsi="Times New Roman" w:cs="Times New Roman"/>
          <w:kern w:val="0"/>
          <w:sz w:val="24"/>
          <w:szCs w:val="24"/>
          <w:lang w:eastAsia="en-IN"/>
          <w14:ligatures w14:val="none"/>
        </w:rPr>
        <w:t xml:space="preserve">(2021). 2021 Update on MRD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consensus document from the European </w:t>
      </w:r>
      <w:proofErr w:type="spellStart"/>
      <w:r w:rsidRPr="008F08EA">
        <w:rPr>
          <w:rFonts w:ascii="Times New Roman" w:eastAsia="Times New Roman" w:hAnsi="Times New Roman" w:cs="Times New Roman"/>
          <w:kern w:val="0"/>
          <w:sz w:val="24"/>
          <w:szCs w:val="24"/>
          <w:lang w:eastAsia="en-IN"/>
          <w14:ligatures w14:val="none"/>
        </w:rPr>
        <w:t>LeukemiaNet</w:t>
      </w:r>
      <w:proofErr w:type="spellEnd"/>
      <w:r w:rsidRPr="008F08EA">
        <w:rPr>
          <w:rFonts w:ascii="Times New Roman" w:eastAsia="Times New Roman" w:hAnsi="Times New Roman" w:cs="Times New Roman"/>
          <w:kern w:val="0"/>
          <w:sz w:val="24"/>
          <w:szCs w:val="24"/>
          <w:lang w:eastAsia="en-IN"/>
          <w14:ligatures w14:val="none"/>
        </w:rPr>
        <w:t xml:space="preserve"> MRD Working Party.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138(26), 2753-2767. </w:t>
      </w:r>
      <w:hyperlink r:id="rId17" w:history="1">
        <w:r w:rsidR="006A7317" w:rsidRPr="008F08EA">
          <w:rPr>
            <w:rStyle w:val="Hyperlink"/>
            <w:rFonts w:ascii="Times New Roman" w:eastAsia="Times New Roman" w:hAnsi="Times New Roman" w:cs="Times New Roman"/>
            <w:kern w:val="0"/>
            <w:sz w:val="24"/>
            <w:szCs w:val="24"/>
            <w:lang w:eastAsia="en-IN"/>
            <w14:ligatures w14:val="none"/>
          </w:rPr>
          <w:t>https://doi.org/10.1182/blood.2021013626</w:t>
        </w:r>
      </w:hyperlink>
      <w:r w:rsidR="006A7317" w:rsidRPr="008F08EA">
        <w:rPr>
          <w:rFonts w:ascii="Times New Roman" w:eastAsia="Times New Roman" w:hAnsi="Times New Roman" w:cs="Times New Roman"/>
          <w:kern w:val="0"/>
          <w:sz w:val="24"/>
          <w:szCs w:val="24"/>
          <w:lang w:eastAsia="en-IN"/>
          <w14:ligatures w14:val="none"/>
        </w:rPr>
        <w:t xml:space="preserve"> </w:t>
      </w:r>
    </w:p>
    <w:p w14:paraId="2E654F8E" w14:textId="081CEB12" w:rsidR="00D106C5" w:rsidRPr="008F08EA" w:rsidRDefault="00D106C5"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Romer-Seibert, J. S., &amp; Meyer, S. E. (2021). Genetic heterogeneity and clonal evolution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Current opinion in </w:t>
      </w:r>
      <w:proofErr w:type="spellStart"/>
      <w:r w:rsidRPr="008F08EA">
        <w:rPr>
          <w:rFonts w:ascii="Times New Roman" w:eastAsia="Times New Roman" w:hAnsi="Times New Roman" w:cs="Times New Roman"/>
          <w:kern w:val="0"/>
          <w:sz w:val="24"/>
          <w:szCs w:val="24"/>
          <w:lang w:eastAsia="en-IN"/>
          <w14:ligatures w14:val="none"/>
        </w:rPr>
        <w:t>hematology</w:t>
      </w:r>
      <w:proofErr w:type="spellEnd"/>
      <w:r w:rsidRPr="008F08EA">
        <w:rPr>
          <w:rFonts w:ascii="Times New Roman" w:eastAsia="Times New Roman" w:hAnsi="Times New Roman" w:cs="Times New Roman"/>
          <w:kern w:val="0"/>
          <w:sz w:val="24"/>
          <w:szCs w:val="24"/>
          <w:lang w:eastAsia="en-IN"/>
          <w14:ligatures w14:val="none"/>
        </w:rPr>
        <w:t xml:space="preserve">, 28(1), 64–70. </w:t>
      </w:r>
      <w:hyperlink r:id="rId18" w:history="1">
        <w:r w:rsidRPr="008F08EA">
          <w:rPr>
            <w:rStyle w:val="Hyperlink"/>
            <w:rFonts w:ascii="Times New Roman" w:eastAsia="Times New Roman" w:hAnsi="Times New Roman" w:cs="Times New Roman"/>
            <w:kern w:val="0"/>
            <w:sz w:val="24"/>
            <w:szCs w:val="24"/>
            <w:lang w:eastAsia="en-IN"/>
            <w14:ligatures w14:val="none"/>
          </w:rPr>
          <w:t>https://doi.org/10.1097/MOH.0000000000000626</w:t>
        </w:r>
      </w:hyperlink>
      <w:r w:rsidRPr="008F08EA">
        <w:rPr>
          <w:rFonts w:ascii="Times New Roman" w:eastAsia="Times New Roman" w:hAnsi="Times New Roman" w:cs="Times New Roman"/>
          <w:kern w:val="0"/>
          <w:sz w:val="24"/>
          <w:szCs w:val="24"/>
          <w:lang w:eastAsia="en-IN"/>
          <w14:ligatures w14:val="none"/>
        </w:rPr>
        <w:t xml:space="preserve">   </w:t>
      </w:r>
    </w:p>
    <w:p w14:paraId="5BC99A0C" w14:textId="525BFF7D" w:rsidR="00C7794C"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Hills, R. K., </w:t>
      </w:r>
      <w:proofErr w:type="spellStart"/>
      <w:r w:rsidRPr="008F08EA">
        <w:rPr>
          <w:rFonts w:ascii="Times New Roman" w:eastAsia="Times New Roman" w:hAnsi="Times New Roman" w:cs="Times New Roman"/>
          <w:kern w:val="0"/>
          <w:sz w:val="24"/>
          <w:szCs w:val="24"/>
          <w:lang w:eastAsia="en-IN"/>
          <w14:ligatures w14:val="none"/>
        </w:rPr>
        <w:t>Castaigne</w:t>
      </w:r>
      <w:proofErr w:type="spellEnd"/>
      <w:r w:rsidRPr="008F08EA">
        <w:rPr>
          <w:rFonts w:ascii="Times New Roman" w:eastAsia="Times New Roman" w:hAnsi="Times New Roman" w:cs="Times New Roman"/>
          <w:kern w:val="0"/>
          <w:sz w:val="24"/>
          <w:szCs w:val="24"/>
          <w:lang w:eastAsia="en-IN"/>
          <w14:ligatures w14:val="none"/>
        </w:rPr>
        <w:t xml:space="preserve">, S., Appelbaum, F. R., Delaunay, J., Petersdorf, S., </w:t>
      </w:r>
      <w:proofErr w:type="spellStart"/>
      <w:r w:rsidRPr="008F08EA">
        <w:rPr>
          <w:rFonts w:ascii="Times New Roman" w:eastAsia="Times New Roman" w:hAnsi="Times New Roman" w:cs="Times New Roman"/>
          <w:kern w:val="0"/>
          <w:sz w:val="24"/>
          <w:szCs w:val="24"/>
          <w:lang w:eastAsia="en-IN"/>
          <w14:ligatures w14:val="none"/>
        </w:rPr>
        <w:t>Othus</w:t>
      </w:r>
      <w:proofErr w:type="spellEnd"/>
      <w:r w:rsidRPr="008F08EA">
        <w:rPr>
          <w:rFonts w:ascii="Times New Roman" w:eastAsia="Times New Roman" w:hAnsi="Times New Roman" w:cs="Times New Roman"/>
          <w:kern w:val="0"/>
          <w:sz w:val="24"/>
          <w:szCs w:val="24"/>
          <w:lang w:eastAsia="en-IN"/>
          <w14:ligatures w14:val="none"/>
        </w:rPr>
        <w:t xml:space="preserve">, M., ... &amp; Burnett, A. K. (2014). Addition of </w:t>
      </w:r>
      <w:proofErr w:type="spellStart"/>
      <w:r w:rsidRPr="008F08EA">
        <w:rPr>
          <w:rFonts w:ascii="Times New Roman" w:eastAsia="Times New Roman" w:hAnsi="Times New Roman" w:cs="Times New Roman"/>
          <w:kern w:val="0"/>
          <w:sz w:val="24"/>
          <w:szCs w:val="24"/>
          <w:lang w:eastAsia="en-IN"/>
          <w14:ligatures w14:val="none"/>
        </w:rPr>
        <w:t>gemtuzumab</w:t>
      </w:r>
      <w:proofErr w:type="spellEnd"/>
      <w:r w:rsidRPr="008F08EA">
        <w:rPr>
          <w:rFonts w:ascii="Times New Roman" w:eastAsia="Times New Roman" w:hAnsi="Times New Roman" w:cs="Times New Roman"/>
          <w:kern w:val="0"/>
          <w:sz w:val="24"/>
          <w:szCs w:val="24"/>
          <w:lang w:eastAsia="en-IN"/>
          <w14:ligatures w14:val="none"/>
        </w:rPr>
        <w:t xml:space="preserve"> </w:t>
      </w:r>
      <w:proofErr w:type="spellStart"/>
      <w:r w:rsidRPr="008F08EA">
        <w:rPr>
          <w:rFonts w:ascii="Times New Roman" w:eastAsia="Times New Roman" w:hAnsi="Times New Roman" w:cs="Times New Roman"/>
          <w:kern w:val="0"/>
          <w:sz w:val="24"/>
          <w:szCs w:val="24"/>
          <w:lang w:eastAsia="en-IN"/>
          <w14:ligatures w14:val="none"/>
        </w:rPr>
        <w:t>ozogamicin</w:t>
      </w:r>
      <w:proofErr w:type="spellEnd"/>
      <w:r w:rsidRPr="008F08EA">
        <w:rPr>
          <w:rFonts w:ascii="Times New Roman" w:eastAsia="Times New Roman" w:hAnsi="Times New Roman" w:cs="Times New Roman"/>
          <w:kern w:val="0"/>
          <w:sz w:val="24"/>
          <w:szCs w:val="24"/>
          <w:lang w:eastAsia="en-IN"/>
          <w14:ligatures w14:val="none"/>
        </w:rPr>
        <w:t xml:space="preserve"> to induction chemotherapy in adult patients with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 meta-analysis of individual patient data from randomized controlled trials. </w:t>
      </w:r>
      <w:r w:rsidRPr="008F08EA">
        <w:rPr>
          <w:rFonts w:ascii="Times New Roman" w:eastAsia="Times New Roman" w:hAnsi="Times New Roman" w:cs="Times New Roman"/>
          <w:i/>
          <w:iCs/>
          <w:kern w:val="0"/>
          <w:sz w:val="24"/>
          <w:szCs w:val="24"/>
          <w:lang w:eastAsia="en-IN"/>
          <w14:ligatures w14:val="none"/>
        </w:rPr>
        <w:t>Lancet Oncology</w:t>
      </w:r>
      <w:r w:rsidRPr="008F08EA">
        <w:rPr>
          <w:rFonts w:ascii="Times New Roman" w:eastAsia="Times New Roman" w:hAnsi="Times New Roman" w:cs="Times New Roman"/>
          <w:kern w:val="0"/>
          <w:sz w:val="24"/>
          <w:szCs w:val="24"/>
          <w:lang w:eastAsia="en-IN"/>
          <w14:ligatures w14:val="none"/>
        </w:rPr>
        <w:t xml:space="preserve">, 15(9), 986-996. </w:t>
      </w:r>
      <w:hyperlink r:id="rId19" w:history="1">
        <w:r w:rsidR="00C7794C" w:rsidRPr="008F08EA">
          <w:rPr>
            <w:rStyle w:val="Hyperlink"/>
            <w:rFonts w:ascii="Times New Roman" w:eastAsia="Times New Roman" w:hAnsi="Times New Roman" w:cs="Times New Roman"/>
            <w:kern w:val="0"/>
            <w:sz w:val="24"/>
            <w:szCs w:val="24"/>
            <w:lang w:eastAsia="en-IN"/>
            <w14:ligatures w14:val="none"/>
          </w:rPr>
          <w:t>https://doi.org/10.1016/S1470-2045(14)70281-5</w:t>
        </w:r>
      </w:hyperlink>
    </w:p>
    <w:p w14:paraId="3743D66B" w14:textId="77777777" w:rsidR="00C7794C" w:rsidRPr="008F08EA" w:rsidRDefault="00C7794C"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Ishii, H., &amp; Yano, S. (2022). New Therapeutic Strategies for Adult Acute Myeloid Leukemia. Cancers, 14(11), 2806. </w:t>
      </w:r>
      <w:hyperlink r:id="rId20" w:history="1">
        <w:r w:rsidRPr="008F08EA">
          <w:rPr>
            <w:rStyle w:val="Hyperlink"/>
            <w:rFonts w:ascii="Times New Roman" w:eastAsia="Times New Roman" w:hAnsi="Times New Roman" w:cs="Times New Roman"/>
            <w:kern w:val="0"/>
            <w:sz w:val="24"/>
            <w:szCs w:val="24"/>
            <w:lang w:eastAsia="en-IN"/>
            <w14:ligatures w14:val="none"/>
          </w:rPr>
          <w:t>https://doi.org/10.3390/cancers14112806</w:t>
        </w:r>
      </w:hyperlink>
      <w:r w:rsidRPr="008F08EA">
        <w:rPr>
          <w:rFonts w:ascii="Times New Roman" w:eastAsia="Times New Roman" w:hAnsi="Times New Roman" w:cs="Times New Roman"/>
          <w:kern w:val="0"/>
          <w:sz w:val="24"/>
          <w:szCs w:val="24"/>
          <w:lang w:eastAsia="en-IN"/>
          <w14:ligatures w14:val="none"/>
        </w:rPr>
        <w:t xml:space="preserve"> </w:t>
      </w:r>
    </w:p>
    <w:p w14:paraId="185CDE92" w14:textId="49B73BBB" w:rsidR="00045CC9" w:rsidRPr="008F08EA" w:rsidRDefault="00265D90"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Medyouf</w:t>
      </w:r>
      <w:proofErr w:type="spellEnd"/>
      <w:r w:rsidRPr="008F08EA">
        <w:rPr>
          <w:rFonts w:ascii="Times New Roman" w:eastAsia="Times New Roman" w:hAnsi="Times New Roman" w:cs="Times New Roman"/>
          <w:kern w:val="0"/>
          <w:sz w:val="24"/>
          <w:szCs w:val="24"/>
          <w:lang w:eastAsia="en-IN"/>
          <w14:ligatures w14:val="none"/>
        </w:rPr>
        <w:t xml:space="preserve"> H. (2017). The microenvironment in human myeloid malignancies: emerging concepts and therapeutic implications. Blood, 129(12), 1617–1626. </w:t>
      </w:r>
      <w:hyperlink r:id="rId21" w:history="1">
        <w:r w:rsidRPr="008F08EA">
          <w:rPr>
            <w:rStyle w:val="Hyperlink"/>
            <w:rFonts w:ascii="Times New Roman" w:eastAsia="Times New Roman" w:hAnsi="Times New Roman" w:cs="Times New Roman"/>
            <w:kern w:val="0"/>
            <w:sz w:val="24"/>
            <w:szCs w:val="24"/>
            <w:lang w:eastAsia="en-IN"/>
            <w14:ligatures w14:val="none"/>
          </w:rPr>
          <w:t>https://doi.org/10.1182/blood-2016-11-696070</w:t>
        </w:r>
      </w:hyperlink>
      <w:r w:rsidRPr="008F08EA">
        <w:rPr>
          <w:rFonts w:ascii="Times New Roman" w:eastAsia="Times New Roman" w:hAnsi="Times New Roman" w:cs="Times New Roman"/>
          <w:kern w:val="0"/>
          <w:sz w:val="24"/>
          <w:szCs w:val="24"/>
          <w:lang w:eastAsia="en-IN"/>
          <w14:ligatures w14:val="none"/>
        </w:rPr>
        <w:t xml:space="preserve"> </w:t>
      </w:r>
      <w:r w:rsidR="00C7794C" w:rsidRPr="008F08EA">
        <w:rPr>
          <w:rFonts w:ascii="Times New Roman" w:eastAsia="Times New Roman" w:hAnsi="Times New Roman" w:cs="Times New Roman"/>
          <w:kern w:val="0"/>
          <w:sz w:val="24"/>
          <w:szCs w:val="24"/>
          <w:lang w:eastAsia="en-IN"/>
          <w14:ligatures w14:val="none"/>
        </w:rPr>
        <w:t xml:space="preserve"> </w:t>
      </w:r>
    </w:p>
    <w:p w14:paraId="00D59301" w14:textId="78C1A27D" w:rsidR="00045CC9" w:rsidRPr="007541F3" w:rsidRDefault="00045CC9" w:rsidP="008F08EA">
      <w:pPr>
        <w:spacing w:before="100" w:beforeAutospacing="1" w:after="100" w:afterAutospacing="1" w:line="240" w:lineRule="auto"/>
        <w:rPr>
          <w:rFonts w:ascii="Times New Roman" w:eastAsia="Times New Roman" w:hAnsi="Times New Roman" w:cs="Times New Roman"/>
          <w:kern w:val="0"/>
          <w:sz w:val="24"/>
          <w:szCs w:val="24"/>
          <w:lang w:val="de-DE" w:eastAsia="en-IN"/>
          <w14:ligatures w14:val="none"/>
        </w:rPr>
      </w:pPr>
      <w:proofErr w:type="spellStart"/>
      <w:r w:rsidRPr="008F08EA">
        <w:rPr>
          <w:rFonts w:ascii="Times New Roman" w:eastAsia="Times New Roman" w:hAnsi="Times New Roman" w:cs="Times New Roman"/>
          <w:kern w:val="0"/>
          <w:sz w:val="24"/>
          <w:szCs w:val="24"/>
          <w:lang w:eastAsia="en-IN"/>
          <w14:ligatures w14:val="none"/>
        </w:rPr>
        <w:t>Papaemmanuil</w:t>
      </w:r>
      <w:proofErr w:type="spellEnd"/>
      <w:r w:rsidRPr="008F08EA">
        <w:rPr>
          <w:rFonts w:ascii="Times New Roman" w:eastAsia="Times New Roman" w:hAnsi="Times New Roman" w:cs="Times New Roman"/>
          <w:kern w:val="0"/>
          <w:sz w:val="24"/>
          <w:szCs w:val="24"/>
          <w:lang w:eastAsia="en-IN"/>
          <w14:ligatures w14:val="none"/>
        </w:rPr>
        <w:t xml:space="preserve">, E., Gerstung, M., Bullinger, L., </w:t>
      </w:r>
      <w:proofErr w:type="spellStart"/>
      <w:r w:rsidRPr="008F08EA">
        <w:rPr>
          <w:rFonts w:ascii="Times New Roman" w:eastAsia="Times New Roman" w:hAnsi="Times New Roman" w:cs="Times New Roman"/>
          <w:kern w:val="0"/>
          <w:sz w:val="24"/>
          <w:szCs w:val="24"/>
          <w:lang w:eastAsia="en-IN"/>
          <w14:ligatures w14:val="none"/>
        </w:rPr>
        <w:t>Gaidzik</w:t>
      </w:r>
      <w:proofErr w:type="spellEnd"/>
      <w:r w:rsidRPr="008F08EA">
        <w:rPr>
          <w:rFonts w:ascii="Times New Roman" w:eastAsia="Times New Roman" w:hAnsi="Times New Roman" w:cs="Times New Roman"/>
          <w:kern w:val="0"/>
          <w:sz w:val="24"/>
          <w:szCs w:val="24"/>
          <w:lang w:eastAsia="en-IN"/>
          <w14:ligatures w14:val="none"/>
        </w:rPr>
        <w:t xml:space="preserve">, V. I., Paschka, P., Roberts, N. D., ... &amp; Campbell, P. J. (2016). Genomic Classification and Prognosis in Acute Myeloid Leukemia.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374(23), 2209-2221. </w:t>
      </w:r>
      <w:hyperlink r:id="rId22" w:history="1">
        <w:r w:rsidR="00265D90" w:rsidRPr="007541F3">
          <w:rPr>
            <w:rStyle w:val="Hyperlink"/>
            <w:rFonts w:ascii="Times New Roman" w:eastAsia="Times New Roman" w:hAnsi="Times New Roman" w:cs="Times New Roman"/>
            <w:kern w:val="0"/>
            <w:sz w:val="24"/>
            <w:szCs w:val="24"/>
            <w:lang w:val="de-DE" w:eastAsia="en-IN"/>
            <w14:ligatures w14:val="none"/>
          </w:rPr>
          <w:t>https://doi.org/10.1056/NEJMoa1516192</w:t>
        </w:r>
      </w:hyperlink>
      <w:r w:rsidR="00265D90" w:rsidRPr="007541F3">
        <w:rPr>
          <w:rFonts w:ascii="Times New Roman" w:eastAsia="Times New Roman" w:hAnsi="Times New Roman" w:cs="Times New Roman"/>
          <w:kern w:val="0"/>
          <w:sz w:val="24"/>
          <w:szCs w:val="24"/>
          <w:lang w:val="de-DE" w:eastAsia="en-IN"/>
          <w14:ligatures w14:val="none"/>
        </w:rPr>
        <w:t xml:space="preserve"> </w:t>
      </w:r>
    </w:p>
    <w:p w14:paraId="7B2ADBD3" w14:textId="77777777" w:rsidR="00265D90"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541F3">
        <w:rPr>
          <w:rFonts w:ascii="Times New Roman" w:eastAsia="Times New Roman" w:hAnsi="Times New Roman" w:cs="Times New Roman"/>
          <w:kern w:val="0"/>
          <w:sz w:val="24"/>
          <w:szCs w:val="24"/>
          <w:lang w:val="de-DE" w:eastAsia="en-IN"/>
          <w14:ligatures w14:val="none"/>
        </w:rPr>
        <w:t xml:space="preserve">Perl, A. E., Martinelli, G., Cortes, J. E., Neubauer, A., Berman, E., Paolini, S., ... </w:t>
      </w:r>
      <w:r w:rsidRPr="008F08EA">
        <w:rPr>
          <w:rFonts w:ascii="Times New Roman" w:eastAsia="Times New Roman" w:hAnsi="Times New Roman" w:cs="Times New Roman"/>
          <w:kern w:val="0"/>
          <w:sz w:val="24"/>
          <w:szCs w:val="24"/>
          <w:lang w:eastAsia="en-IN"/>
          <w14:ligatures w14:val="none"/>
        </w:rPr>
        <w:t xml:space="preserve">&amp; Levis, M. J. (2019). </w:t>
      </w:r>
      <w:proofErr w:type="spellStart"/>
      <w:r w:rsidRPr="008F08EA">
        <w:rPr>
          <w:rFonts w:ascii="Times New Roman" w:eastAsia="Times New Roman" w:hAnsi="Times New Roman" w:cs="Times New Roman"/>
          <w:kern w:val="0"/>
          <w:sz w:val="24"/>
          <w:szCs w:val="24"/>
          <w:lang w:eastAsia="en-IN"/>
          <w14:ligatures w14:val="none"/>
        </w:rPr>
        <w:t>Gilteritinib</w:t>
      </w:r>
      <w:proofErr w:type="spellEnd"/>
      <w:r w:rsidRPr="008F08EA">
        <w:rPr>
          <w:rFonts w:ascii="Times New Roman" w:eastAsia="Times New Roman" w:hAnsi="Times New Roman" w:cs="Times New Roman"/>
          <w:kern w:val="0"/>
          <w:sz w:val="24"/>
          <w:szCs w:val="24"/>
          <w:lang w:eastAsia="en-IN"/>
          <w14:ligatures w14:val="none"/>
        </w:rPr>
        <w:t xml:space="preserve"> or Chemotherapy for Relapsed or Refractory FLT3-Mutated AML.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381(18), 1728-1740. </w:t>
      </w:r>
      <w:hyperlink r:id="rId23" w:history="1">
        <w:r w:rsidR="00265D90" w:rsidRPr="008F08EA">
          <w:rPr>
            <w:rStyle w:val="Hyperlink"/>
            <w:rFonts w:ascii="Times New Roman" w:eastAsia="Times New Roman" w:hAnsi="Times New Roman" w:cs="Times New Roman"/>
            <w:kern w:val="0"/>
            <w:sz w:val="24"/>
            <w:szCs w:val="24"/>
            <w:lang w:eastAsia="en-IN"/>
            <w14:ligatures w14:val="none"/>
          </w:rPr>
          <w:t>https://doi.org/10.1056/NEJMoa1902688</w:t>
        </w:r>
      </w:hyperlink>
    </w:p>
    <w:p w14:paraId="30C71002" w14:textId="77777777" w:rsidR="00265D90"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Schepers, K., Campbell, T. B., &amp; </w:t>
      </w:r>
      <w:proofErr w:type="spellStart"/>
      <w:r w:rsidRPr="008F08EA">
        <w:rPr>
          <w:rFonts w:ascii="Times New Roman" w:eastAsia="Times New Roman" w:hAnsi="Times New Roman" w:cs="Times New Roman"/>
          <w:kern w:val="0"/>
          <w:sz w:val="24"/>
          <w:szCs w:val="24"/>
          <w:lang w:eastAsia="en-IN"/>
          <w14:ligatures w14:val="none"/>
        </w:rPr>
        <w:t>Passegué</w:t>
      </w:r>
      <w:proofErr w:type="spellEnd"/>
      <w:r w:rsidRPr="008F08EA">
        <w:rPr>
          <w:rFonts w:ascii="Times New Roman" w:eastAsia="Times New Roman" w:hAnsi="Times New Roman" w:cs="Times New Roman"/>
          <w:kern w:val="0"/>
          <w:sz w:val="24"/>
          <w:szCs w:val="24"/>
          <w:lang w:eastAsia="en-IN"/>
          <w14:ligatures w14:val="none"/>
        </w:rPr>
        <w:t xml:space="preserve">, E. (2015). Normal and leukemic stem cell niches: insights and therapeutic opportunities. </w:t>
      </w:r>
      <w:r w:rsidRPr="008F08EA">
        <w:rPr>
          <w:rFonts w:ascii="Times New Roman" w:eastAsia="Times New Roman" w:hAnsi="Times New Roman" w:cs="Times New Roman"/>
          <w:i/>
          <w:iCs/>
          <w:kern w:val="0"/>
          <w:sz w:val="24"/>
          <w:szCs w:val="24"/>
          <w:lang w:eastAsia="en-IN"/>
          <w14:ligatures w14:val="none"/>
        </w:rPr>
        <w:t>Cell Stem Cell</w:t>
      </w:r>
      <w:r w:rsidRPr="008F08EA">
        <w:rPr>
          <w:rFonts w:ascii="Times New Roman" w:eastAsia="Times New Roman" w:hAnsi="Times New Roman" w:cs="Times New Roman"/>
          <w:kern w:val="0"/>
          <w:sz w:val="24"/>
          <w:szCs w:val="24"/>
          <w:lang w:eastAsia="en-IN"/>
          <w14:ligatures w14:val="none"/>
        </w:rPr>
        <w:t xml:space="preserve">, 16(3), 254-267. </w:t>
      </w:r>
      <w:hyperlink r:id="rId24" w:history="1">
        <w:r w:rsidR="00265D90" w:rsidRPr="008F08EA">
          <w:rPr>
            <w:rStyle w:val="Hyperlink"/>
            <w:rFonts w:ascii="Times New Roman" w:eastAsia="Times New Roman" w:hAnsi="Times New Roman" w:cs="Times New Roman"/>
            <w:kern w:val="0"/>
            <w:sz w:val="24"/>
            <w:szCs w:val="24"/>
            <w:lang w:eastAsia="en-IN"/>
            <w14:ligatures w14:val="none"/>
          </w:rPr>
          <w:t>https://doi.org/10.1016/j.stem.2015.02.014</w:t>
        </w:r>
      </w:hyperlink>
    </w:p>
    <w:p w14:paraId="14C2F4B2" w14:textId="6D4B9F9A" w:rsidR="00265D90" w:rsidRPr="008F08EA" w:rsidRDefault="00265D90"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Colomer, R., Miranda, J., Romero-</w:t>
      </w:r>
      <w:proofErr w:type="spellStart"/>
      <w:r w:rsidRPr="008F08EA">
        <w:rPr>
          <w:rFonts w:ascii="Times New Roman" w:eastAsia="Times New Roman" w:hAnsi="Times New Roman" w:cs="Times New Roman"/>
          <w:kern w:val="0"/>
          <w:sz w:val="24"/>
          <w:szCs w:val="24"/>
          <w:lang w:eastAsia="en-IN"/>
          <w14:ligatures w14:val="none"/>
        </w:rPr>
        <w:t>Laorden</w:t>
      </w:r>
      <w:proofErr w:type="spellEnd"/>
      <w:r w:rsidRPr="008F08EA">
        <w:rPr>
          <w:rFonts w:ascii="Times New Roman" w:eastAsia="Times New Roman" w:hAnsi="Times New Roman" w:cs="Times New Roman"/>
          <w:kern w:val="0"/>
          <w:sz w:val="24"/>
          <w:szCs w:val="24"/>
          <w:lang w:eastAsia="en-IN"/>
          <w14:ligatures w14:val="none"/>
        </w:rPr>
        <w:t xml:space="preserve">, N., Hornedo, J., González-Cortijo, L., Mouron, S., Bueno, M. J., </w:t>
      </w:r>
      <w:proofErr w:type="spellStart"/>
      <w:r w:rsidRPr="008F08EA">
        <w:rPr>
          <w:rFonts w:ascii="Times New Roman" w:eastAsia="Times New Roman" w:hAnsi="Times New Roman" w:cs="Times New Roman"/>
          <w:kern w:val="0"/>
          <w:sz w:val="24"/>
          <w:szCs w:val="24"/>
          <w:lang w:eastAsia="en-IN"/>
          <w14:ligatures w14:val="none"/>
        </w:rPr>
        <w:t>Mondéjar</w:t>
      </w:r>
      <w:proofErr w:type="spellEnd"/>
      <w:r w:rsidRPr="008F08EA">
        <w:rPr>
          <w:rFonts w:ascii="Times New Roman" w:eastAsia="Times New Roman" w:hAnsi="Times New Roman" w:cs="Times New Roman"/>
          <w:kern w:val="0"/>
          <w:sz w:val="24"/>
          <w:szCs w:val="24"/>
          <w:lang w:eastAsia="en-IN"/>
          <w14:ligatures w14:val="none"/>
        </w:rPr>
        <w:t xml:space="preserve">, R., &amp; Quintela-Fandino, M. (2023). Usefulness and real-world outcomes of next generation sequencing testing in patients with cancer: an observational study on the impact of selection based on clinical judgement. </w:t>
      </w:r>
      <w:proofErr w:type="spellStart"/>
      <w:r w:rsidRPr="008F08EA">
        <w:rPr>
          <w:rFonts w:ascii="Times New Roman" w:eastAsia="Times New Roman" w:hAnsi="Times New Roman" w:cs="Times New Roman"/>
          <w:kern w:val="0"/>
          <w:sz w:val="24"/>
          <w:szCs w:val="24"/>
          <w:lang w:eastAsia="en-IN"/>
          <w14:ligatures w14:val="none"/>
        </w:rPr>
        <w:t>EClinicalMedicine</w:t>
      </w:r>
      <w:proofErr w:type="spellEnd"/>
      <w:r w:rsidRPr="008F08EA">
        <w:rPr>
          <w:rFonts w:ascii="Times New Roman" w:eastAsia="Times New Roman" w:hAnsi="Times New Roman" w:cs="Times New Roman"/>
          <w:kern w:val="0"/>
          <w:sz w:val="24"/>
          <w:szCs w:val="24"/>
          <w:lang w:eastAsia="en-IN"/>
          <w14:ligatures w14:val="none"/>
        </w:rPr>
        <w:t xml:space="preserve">, 60, 102029. </w:t>
      </w:r>
      <w:hyperlink r:id="rId25" w:history="1">
        <w:r w:rsidRPr="008F08EA">
          <w:rPr>
            <w:rStyle w:val="Hyperlink"/>
            <w:rFonts w:ascii="Times New Roman" w:eastAsia="Times New Roman" w:hAnsi="Times New Roman" w:cs="Times New Roman"/>
            <w:kern w:val="0"/>
            <w:sz w:val="24"/>
            <w:szCs w:val="24"/>
            <w:lang w:eastAsia="en-IN"/>
            <w14:ligatures w14:val="none"/>
          </w:rPr>
          <w:t>https://doi.org/10.1016/j.eclinm.2023.102029</w:t>
        </w:r>
      </w:hyperlink>
      <w:r w:rsidRPr="008F08EA">
        <w:rPr>
          <w:rFonts w:ascii="Times New Roman" w:eastAsia="Times New Roman" w:hAnsi="Times New Roman" w:cs="Times New Roman"/>
          <w:kern w:val="0"/>
          <w:sz w:val="24"/>
          <w:szCs w:val="24"/>
          <w:lang w:eastAsia="en-IN"/>
          <w14:ligatures w14:val="none"/>
        </w:rPr>
        <w:t xml:space="preserve"> </w:t>
      </w:r>
    </w:p>
    <w:p w14:paraId="4ADB4900" w14:textId="74CD0C03"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Shih, A. H., Abdel-Wahab, O., Patel, J. P., &amp; Levine, R. L. (2015). The role of mutations in epigenetic regulators in myeloid malignancies. </w:t>
      </w:r>
      <w:r w:rsidRPr="008F08EA">
        <w:rPr>
          <w:rFonts w:ascii="Times New Roman" w:eastAsia="Times New Roman" w:hAnsi="Times New Roman" w:cs="Times New Roman"/>
          <w:i/>
          <w:iCs/>
          <w:kern w:val="0"/>
          <w:sz w:val="24"/>
          <w:szCs w:val="24"/>
          <w:lang w:eastAsia="en-IN"/>
          <w14:ligatures w14:val="none"/>
        </w:rPr>
        <w:t>Nature Reviews Cancer</w:t>
      </w:r>
      <w:r w:rsidRPr="008F08EA">
        <w:rPr>
          <w:rFonts w:ascii="Times New Roman" w:eastAsia="Times New Roman" w:hAnsi="Times New Roman" w:cs="Times New Roman"/>
          <w:kern w:val="0"/>
          <w:sz w:val="24"/>
          <w:szCs w:val="24"/>
          <w:lang w:eastAsia="en-IN"/>
          <w14:ligatures w14:val="none"/>
        </w:rPr>
        <w:t xml:space="preserve">, 12(9), 599-612. </w:t>
      </w:r>
      <w:hyperlink r:id="rId26" w:history="1">
        <w:r w:rsidR="007C6665" w:rsidRPr="008F08EA">
          <w:rPr>
            <w:rStyle w:val="Hyperlink"/>
            <w:rFonts w:ascii="Times New Roman" w:eastAsia="Times New Roman" w:hAnsi="Times New Roman" w:cs="Times New Roman"/>
            <w:kern w:val="0"/>
            <w:sz w:val="24"/>
            <w:szCs w:val="24"/>
            <w:lang w:eastAsia="en-IN"/>
            <w14:ligatures w14:val="none"/>
          </w:rPr>
          <w:t>https://doi.org/10.1038/nrc3343</w:t>
        </w:r>
      </w:hyperlink>
      <w:r w:rsidR="007C6665" w:rsidRPr="008F08EA">
        <w:rPr>
          <w:rFonts w:ascii="Times New Roman" w:eastAsia="Times New Roman" w:hAnsi="Times New Roman" w:cs="Times New Roman"/>
          <w:kern w:val="0"/>
          <w:sz w:val="24"/>
          <w:szCs w:val="24"/>
          <w:lang w:eastAsia="en-IN"/>
          <w14:ligatures w14:val="none"/>
        </w:rPr>
        <w:t xml:space="preserve"> </w:t>
      </w:r>
    </w:p>
    <w:p w14:paraId="0ABEFBE9" w14:textId="0F126810" w:rsidR="007C6665" w:rsidRPr="008F08EA" w:rsidRDefault="007C6665"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lastRenderedPageBreak/>
        <w:t xml:space="preserve">Blachly, J. S., Walter, R. B., &amp; Hourigan, C. S. (2022). The present and future of measurable residual disease testing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proofErr w:type="spellStart"/>
      <w:r w:rsidRPr="008F08EA">
        <w:rPr>
          <w:rFonts w:ascii="Times New Roman" w:eastAsia="Times New Roman" w:hAnsi="Times New Roman" w:cs="Times New Roman"/>
          <w:kern w:val="0"/>
          <w:sz w:val="24"/>
          <w:szCs w:val="24"/>
          <w:lang w:eastAsia="en-IN"/>
          <w14:ligatures w14:val="none"/>
        </w:rPr>
        <w:t>Haematologica</w:t>
      </w:r>
      <w:proofErr w:type="spellEnd"/>
      <w:r w:rsidRPr="008F08EA">
        <w:rPr>
          <w:rFonts w:ascii="Times New Roman" w:eastAsia="Times New Roman" w:hAnsi="Times New Roman" w:cs="Times New Roman"/>
          <w:kern w:val="0"/>
          <w:sz w:val="24"/>
          <w:szCs w:val="24"/>
          <w:lang w:eastAsia="en-IN"/>
          <w14:ligatures w14:val="none"/>
        </w:rPr>
        <w:t xml:space="preserve">, 107(12), 2810–2822. </w:t>
      </w:r>
      <w:hyperlink r:id="rId27" w:history="1">
        <w:r w:rsidRPr="008F08EA">
          <w:rPr>
            <w:rStyle w:val="Hyperlink"/>
            <w:rFonts w:ascii="Times New Roman" w:eastAsia="Times New Roman" w:hAnsi="Times New Roman" w:cs="Times New Roman"/>
            <w:kern w:val="0"/>
            <w:sz w:val="24"/>
            <w:szCs w:val="24"/>
            <w:lang w:eastAsia="en-IN"/>
            <w14:ligatures w14:val="none"/>
          </w:rPr>
          <w:t>https://doi.org/10.3324/haematol.2022.282034</w:t>
        </w:r>
      </w:hyperlink>
      <w:r w:rsidRPr="008F08EA">
        <w:rPr>
          <w:rFonts w:ascii="Times New Roman" w:eastAsia="Times New Roman" w:hAnsi="Times New Roman" w:cs="Times New Roman"/>
          <w:kern w:val="0"/>
          <w:sz w:val="24"/>
          <w:szCs w:val="24"/>
          <w:lang w:eastAsia="en-IN"/>
          <w14:ligatures w14:val="none"/>
        </w:rPr>
        <w:t xml:space="preserve"> </w:t>
      </w:r>
    </w:p>
    <w:p w14:paraId="6BA0C600" w14:textId="77777777" w:rsidR="007C6665"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Stein, E. M., DiNardo, C. D., </w:t>
      </w:r>
      <w:proofErr w:type="spellStart"/>
      <w:r w:rsidRPr="008F08EA">
        <w:rPr>
          <w:rFonts w:ascii="Times New Roman" w:eastAsia="Times New Roman" w:hAnsi="Times New Roman" w:cs="Times New Roman"/>
          <w:kern w:val="0"/>
          <w:sz w:val="24"/>
          <w:szCs w:val="24"/>
          <w:lang w:eastAsia="en-IN"/>
          <w14:ligatures w14:val="none"/>
        </w:rPr>
        <w:t>Pollyea</w:t>
      </w:r>
      <w:proofErr w:type="spellEnd"/>
      <w:r w:rsidRPr="008F08EA">
        <w:rPr>
          <w:rFonts w:ascii="Times New Roman" w:eastAsia="Times New Roman" w:hAnsi="Times New Roman" w:cs="Times New Roman"/>
          <w:kern w:val="0"/>
          <w:sz w:val="24"/>
          <w:szCs w:val="24"/>
          <w:lang w:eastAsia="en-IN"/>
          <w14:ligatures w14:val="none"/>
        </w:rPr>
        <w:t xml:space="preserve">, D. A., Fathi, A. T., Roboz, G. J., Altman, J. K., ... &amp; Tallman, M. S. (2017). </w:t>
      </w:r>
      <w:proofErr w:type="spellStart"/>
      <w:r w:rsidRPr="008F08EA">
        <w:rPr>
          <w:rFonts w:ascii="Times New Roman" w:eastAsia="Times New Roman" w:hAnsi="Times New Roman" w:cs="Times New Roman"/>
          <w:kern w:val="0"/>
          <w:sz w:val="24"/>
          <w:szCs w:val="24"/>
          <w:lang w:eastAsia="en-IN"/>
          <w14:ligatures w14:val="none"/>
        </w:rPr>
        <w:t>Enasidenib</w:t>
      </w:r>
      <w:proofErr w:type="spellEnd"/>
      <w:r w:rsidRPr="008F08EA">
        <w:rPr>
          <w:rFonts w:ascii="Times New Roman" w:eastAsia="Times New Roman" w:hAnsi="Times New Roman" w:cs="Times New Roman"/>
          <w:kern w:val="0"/>
          <w:sz w:val="24"/>
          <w:szCs w:val="24"/>
          <w:lang w:eastAsia="en-IN"/>
          <w14:ligatures w14:val="none"/>
        </w:rPr>
        <w:t xml:space="preserve"> in mutant IDH2 relapsed or refractory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t>
      </w:r>
      <w:r w:rsidRPr="008F08EA">
        <w:rPr>
          <w:rFonts w:ascii="Times New Roman" w:eastAsia="Times New Roman" w:hAnsi="Times New Roman" w:cs="Times New Roman"/>
          <w:i/>
          <w:iCs/>
          <w:kern w:val="0"/>
          <w:sz w:val="24"/>
          <w:szCs w:val="24"/>
          <w:lang w:eastAsia="en-IN"/>
          <w14:ligatures w14:val="none"/>
        </w:rPr>
        <w:t>Blood</w:t>
      </w:r>
      <w:r w:rsidRPr="008F08EA">
        <w:rPr>
          <w:rFonts w:ascii="Times New Roman" w:eastAsia="Times New Roman" w:hAnsi="Times New Roman" w:cs="Times New Roman"/>
          <w:kern w:val="0"/>
          <w:sz w:val="24"/>
          <w:szCs w:val="24"/>
          <w:lang w:eastAsia="en-IN"/>
          <w14:ligatures w14:val="none"/>
        </w:rPr>
        <w:t xml:space="preserve">, 130(6), 722-731. </w:t>
      </w:r>
      <w:hyperlink r:id="rId28" w:history="1">
        <w:r w:rsidR="007C6665" w:rsidRPr="008F08EA">
          <w:rPr>
            <w:rStyle w:val="Hyperlink"/>
            <w:rFonts w:ascii="Times New Roman" w:eastAsia="Times New Roman" w:hAnsi="Times New Roman" w:cs="Times New Roman"/>
            <w:kern w:val="0"/>
            <w:sz w:val="24"/>
            <w:szCs w:val="24"/>
            <w:lang w:eastAsia="en-IN"/>
            <w14:ligatures w14:val="none"/>
          </w:rPr>
          <w:t>https://doi.org/10.1182/blood-2017-04-779405</w:t>
        </w:r>
      </w:hyperlink>
    </w:p>
    <w:p w14:paraId="099037BE" w14:textId="7C689297"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Stone, R. M., </w:t>
      </w:r>
      <w:proofErr w:type="spellStart"/>
      <w:r w:rsidRPr="008F08EA">
        <w:rPr>
          <w:rFonts w:ascii="Times New Roman" w:eastAsia="Times New Roman" w:hAnsi="Times New Roman" w:cs="Times New Roman"/>
          <w:kern w:val="0"/>
          <w:sz w:val="24"/>
          <w:szCs w:val="24"/>
          <w:lang w:eastAsia="en-IN"/>
          <w14:ligatures w14:val="none"/>
        </w:rPr>
        <w:t>Mandrekar</w:t>
      </w:r>
      <w:proofErr w:type="spellEnd"/>
      <w:r w:rsidRPr="008F08EA">
        <w:rPr>
          <w:rFonts w:ascii="Times New Roman" w:eastAsia="Times New Roman" w:hAnsi="Times New Roman" w:cs="Times New Roman"/>
          <w:kern w:val="0"/>
          <w:sz w:val="24"/>
          <w:szCs w:val="24"/>
          <w:lang w:eastAsia="en-IN"/>
          <w14:ligatures w14:val="none"/>
        </w:rPr>
        <w:t xml:space="preserve">, S. J., Sanford, B. L., Laumann, K., Geyer, S., Bloomfield, C. D., ... &amp; </w:t>
      </w:r>
      <w:proofErr w:type="spellStart"/>
      <w:r w:rsidRPr="008F08EA">
        <w:rPr>
          <w:rFonts w:ascii="Times New Roman" w:eastAsia="Times New Roman" w:hAnsi="Times New Roman" w:cs="Times New Roman"/>
          <w:kern w:val="0"/>
          <w:sz w:val="24"/>
          <w:szCs w:val="24"/>
          <w:lang w:eastAsia="en-IN"/>
          <w14:ligatures w14:val="none"/>
        </w:rPr>
        <w:t>Döhner</w:t>
      </w:r>
      <w:proofErr w:type="spellEnd"/>
      <w:r w:rsidRPr="008F08EA">
        <w:rPr>
          <w:rFonts w:ascii="Times New Roman" w:eastAsia="Times New Roman" w:hAnsi="Times New Roman" w:cs="Times New Roman"/>
          <w:kern w:val="0"/>
          <w:sz w:val="24"/>
          <w:szCs w:val="24"/>
          <w:lang w:eastAsia="en-IN"/>
          <w14:ligatures w14:val="none"/>
        </w:rPr>
        <w:t xml:space="preserve">, K. (2017). </w:t>
      </w:r>
      <w:proofErr w:type="spellStart"/>
      <w:r w:rsidRPr="008F08EA">
        <w:rPr>
          <w:rFonts w:ascii="Times New Roman" w:eastAsia="Times New Roman" w:hAnsi="Times New Roman" w:cs="Times New Roman"/>
          <w:kern w:val="0"/>
          <w:sz w:val="24"/>
          <w:szCs w:val="24"/>
          <w:lang w:eastAsia="en-IN"/>
          <w14:ligatures w14:val="none"/>
        </w:rPr>
        <w:t>Midostaurin</w:t>
      </w:r>
      <w:proofErr w:type="spellEnd"/>
      <w:r w:rsidRPr="008F08EA">
        <w:rPr>
          <w:rFonts w:ascii="Times New Roman" w:eastAsia="Times New Roman" w:hAnsi="Times New Roman" w:cs="Times New Roman"/>
          <w:kern w:val="0"/>
          <w:sz w:val="24"/>
          <w:szCs w:val="24"/>
          <w:lang w:eastAsia="en-IN"/>
          <w14:ligatures w14:val="none"/>
        </w:rPr>
        <w:t xml:space="preserve"> plus chemotherapy for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with a FLT3 mutation. </w:t>
      </w:r>
      <w:r w:rsidRPr="008F08EA">
        <w:rPr>
          <w:rFonts w:ascii="Times New Roman" w:eastAsia="Times New Roman" w:hAnsi="Times New Roman" w:cs="Times New Roman"/>
          <w:i/>
          <w:iCs/>
          <w:kern w:val="0"/>
          <w:sz w:val="24"/>
          <w:szCs w:val="24"/>
          <w:lang w:eastAsia="en-IN"/>
          <w14:ligatures w14:val="none"/>
        </w:rPr>
        <w:t>New England Journal of Medicine</w:t>
      </w:r>
      <w:r w:rsidRPr="008F08EA">
        <w:rPr>
          <w:rFonts w:ascii="Times New Roman" w:eastAsia="Times New Roman" w:hAnsi="Times New Roman" w:cs="Times New Roman"/>
          <w:kern w:val="0"/>
          <w:sz w:val="24"/>
          <w:szCs w:val="24"/>
          <w:lang w:eastAsia="en-IN"/>
          <w14:ligatures w14:val="none"/>
        </w:rPr>
        <w:t xml:space="preserve">, 377(5), 454-464. </w:t>
      </w:r>
      <w:hyperlink r:id="rId29" w:history="1">
        <w:r w:rsidR="007C6665" w:rsidRPr="008F08EA">
          <w:rPr>
            <w:rStyle w:val="Hyperlink"/>
            <w:rFonts w:ascii="Times New Roman" w:eastAsia="Times New Roman" w:hAnsi="Times New Roman" w:cs="Times New Roman"/>
            <w:kern w:val="0"/>
            <w:sz w:val="24"/>
            <w:szCs w:val="24"/>
            <w:lang w:eastAsia="en-IN"/>
            <w14:ligatures w14:val="none"/>
          </w:rPr>
          <w:t>https://doi.org/10.1056/NEJMoa1614359</w:t>
        </w:r>
      </w:hyperlink>
      <w:r w:rsidR="007C6665" w:rsidRPr="008F08EA">
        <w:rPr>
          <w:rFonts w:ascii="Times New Roman" w:eastAsia="Times New Roman" w:hAnsi="Times New Roman" w:cs="Times New Roman"/>
          <w:kern w:val="0"/>
          <w:sz w:val="24"/>
          <w:szCs w:val="24"/>
          <w:lang w:eastAsia="en-IN"/>
          <w14:ligatures w14:val="none"/>
        </w:rPr>
        <w:t xml:space="preserve"> </w:t>
      </w:r>
    </w:p>
    <w:p w14:paraId="34CB5E95" w14:textId="37B76941" w:rsidR="007C6665" w:rsidRPr="008F08EA" w:rsidRDefault="00172F57"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El Achi, H., Dupont, E., Paul, S., &amp; Khoury, J. D. (2020). CD123 as a Biomarker in </w:t>
      </w:r>
      <w:proofErr w:type="spellStart"/>
      <w:r w:rsidRPr="008F08EA">
        <w:rPr>
          <w:rFonts w:ascii="Times New Roman" w:eastAsia="Times New Roman" w:hAnsi="Times New Roman" w:cs="Times New Roman"/>
          <w:kern w:val="0"/>
          <w:sz w:val="24"/>
          <w:szCs w:val="24"/>
          <w:lang w:eastAsia="en-IN"/>
          <w14:ligatures w14:val="none"/>
        </w:rPr>
        <w:t>Hematolymphoid</w:t>
      </w:r>
      <w:proofErr w:type="spellEnd"/>
      <w:r w:rsidRPr="008F08EA">
        <w:rPr>
          <w:rFonts w:ascii="Times New Roman" w:eastAsia="Times New Roman" w:hAnsi="Times New Roman" w:cs="Times New Roman"/>
          <w:kern w:val="0"/>
          <w:sz w:val="24"/>
          <w:szCs w:val="24"/>
          <w:lang w:eastAsia="en-IN"/>
          <w14:ligatures w14:val="none"/>
        </w:rPr>
        <w:t xml:space="preserve"> Malignancies: Principles of Detection and Targeted Therapies. Cancers, 12(11), 3087. </w:t>
      </w:r>
      <w:hyperlink r:id="rId30" w:history="1">
        <w:r w:rsidRPr="008F08EA">
          <w:rPr>
            <w:rStyle w:val="Hyperlink"/>
            <w:rFonts w:ascii="Times New Roman" w:eastAsia="Times New Roman" w:hAnsi="Times New Roman" w:cs="Times New Roman"/>
            <w:kern w:val="0"/>
            <w:sz w:val="24"/>
            <w:szCs w:val="24"/>
            <w:lang w:eastAsia="en-IN"/>
            <w14:ligatures w14:val="none"/>
          </w:rPr>
          <w:t>https://doi.org/10.3390/cancers12113087</w:t>
        </w:r>
      </w:hyperlink>
      <w:r w:rsidRPr="008F08EA">
        <w:rPr>
          <w:rFonts w:ascii="Times New Roman" w:eastAsia="Times New Roman" w:hAnsi="Times New Roman" w:cs="Times New Roman"/>
          <w:kern w:val="0"/>
          <w:sz w:val="24"/>
          <w:szCs w:val="24"/>
          <w:lang w:eastAsia="en-IN"/>
          <w14:ligatures w14:val="none"/>
        </w:rPr>
        <w:t xml:space="preserve"> </w:t>
      </w:r>
    </w:p>
    <w:p w14:paraId="7CB72E3D" w14:textId="450DD215" w:rsidR="00045CC9" w:rsidRPr="008F08EA" w:rsidRDefault="00045CC9"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F08EA">
        <w:rPr>
          <w:rFonts w:ascii="Times New Roman" w:eastAsia="Times New Roman" w:hAnsi="Times New Roman" w:cs="Times New Roman"/>
          <w:kern w:val="0"/>
          <w:sz w:val="24"/>
          <w:szCs w:val="24"/>
          <w:lang w:eastAsia="en-IN"/>
          <w14:ligatures w14:val="none"/>
        </w:rPr>
        <w:t xml:space="preserve">Testa, U., Pelosi, E., &amp; Frankel, A. (2014). CD123 is a membrane biomarker and a therapeutic target in hematologic malignancies. </w:t>
      </w:r>
      <w:r w:rsidRPr="008F08EA">
        <w:rPr>
          <w:rFonts w:ascii="Times New Roman" w:eastAsia="Times New Roman" w:hAnsi="Times New Roman" w:cs="Times New Roman"/>
          <w:i/>
          <w:iCs/>
          <w:kern w:val="0"/>
          <w:sz w:val="24"/>
          <w:szCs w:val="24"/>
          <w:lang w:eastAsia="en-IN"/>
          <w14:ligatures w14:val="none"/>
        </w:rPr>
        <w:t>Biomarker Research</w:t>
      </w:r>
      <w:r w:rsidRPr="008F08EA">
        <w:rPr>
          <w:rFonts w:ascii="Times New Roman" w:eastAsia="Times New Roman" w:hAnsi="Times New Roman" w:cs="Times New Roman"/>
          <w:kern w:val="0"/>
          <w:sz w:val="24"/>
          <w:szCs w:val="24"/>
          <w:lang w:eastAsia="en-IN"/>
          <w14:ligatures w14:val="none"/>
        </w:rPr>
        <w:t xml:space="preserve">, 2(1), 1-10. </w:t>
      </w:r>
      <w:hyperlink r:id="rId31" w:history="1">
        <w:r w:rsidR="007C6665" w:rsidRPr="008F08EA">
          <w:rPr>
            <w:rStyle w:val="Hyperlink"/>
            <w:rFonts w:ascii="Times New Roman" w:eastAsia="Times New Roman" w:hAnsi="Times New Roman" w:cs="Times New Roman"/>
            <w:kern w:val="0"/>
            <w:sz w:val="24"/>
            <w:szCs w:val="24"/>
            <w:lang w:eastAsia="en-IN"/>
            <w14:ligatures w14:val="none"/>
          </w:rPr>
          <w:t>https://doi.org/10.1186/2050-7771-2-4</w:t>
        </w:r>
      </w:hyperlink>
      <w:r w:rsidR="007C6665" w:rsidRPr="008F08EA">
        <w:rPr>
          <w:rFonts w:ascii="Times New Roman" w:eastAsia="Times New Roman" w:hAnsi="Times New Roman" w:cs="Times New Roman"/>
          <w:kern w:val="0"/>
          <w:sz w:val="24"/>
          <w:szCs w:val="24"/>
          <w:lang w:eastAsia="en-IN"/>
          <w14:ligatures w14:val="none"/>
        </w:rPr>
        <w:t xml:space="preserve"> </w:t>
      </w:r>
    </w:p>
    <w:p w14:paraId="32921046" w14:textId="319F02C6" w:rsidR="00172F57" w:rsidRPr="008F08EA" w:rsidRDefault="00172F57"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541F3">
        <w:rPr>
          <w:rFonts w:ascii="Times New Roman" w:eastAsia="Times New Roman" w:hAnsi="Times New Roman" w:cs="Times New Roman"/>
          <w:kern w:val="0"/>
          <w:sz w:val="24"/>
          <w:szCs w:val="24"/>
          <w:lang w:val="de-DE" w:eastAsia="en-IN"/>
          <w14:ligatures w14:val="none"/>
        </w:rPr>
        <w:t xml:space="preserve">Liu, Y., Bewersdorf, J. P., Stahl, M., &amp; Zeidan, A. M. (2019). </w:t>
      </w:r>
      <w:r w:rsidRPr="008F08EA">
        <w:rPr>
          <w:rFonts w:ascii="Times New Roman" w:eastAsia="Times New Roman" w:hAnsi="Times New Roman" w:cs="Times New Roman"/>
          <w:kern w:val="0"/>
          <w:sz w:val="24"/>
          <w:szCs w:val="24"/>
          <w:lang w:eastAsia="en-IN"/>
          <w14:ligatures w14:val="none"/>
        </w:rPr>
        <w:t xml:space="preserve">Immunotherapy in acute myeloid </w:t>
      </w:r>
      <w:proofErr w:type="spellStart"/>
      <w:r w:rsidRPr="008F08EA">
        <w:rPr>
          <w:rFonts w:ascii="Times New Roman" w:eastAsia="Times New Roman" w:hAnsi="Times New Roman" w:cs="Times New Roman"/>
          <w:kern w:val="0"/>
          <w:sz w:val="24"/>
          <w:szCs w:val="24"/>
          <w:lang w:eastAsia="en-IN"/>
          <w14:ligatures w14:val="none"/>
        </w:rPr>
        <w:t>leukemia</w:t>
      </w:r>
      <w:proofErr w:type="spellEnd"/>
      <w:r w:rsidRPr="008F08EA">
        <w:rPr>
          <w:rFonts w:ascii="Times New Roman" w:eastAsia="Times New Roman" w:hAnsi="Times New Roman" w:cs="Times New Roman"/>
          <w:kern w:val="0"/>
          <w:sz w:val="24"/>
          <w:szCs w:val="24"/>
          <w:lang w:eastAsia="en-IN"/>
          <w14:ligatures w14:val="none"/>
        </w:rPr>
        <w:t xml:space="preserve"> and myelodysplastic syndromes: The dawn of a new </w:t>
      </w:r>
      <w:proofErr w:type="gramStart"/>
      <w:r w:rsidRPr="008F08EA">
        <w:rPr>
          <w:rFonts w:ascii="Times New Roman" w:eastAsia="Times New Roman" w:hAnsi="Times New Roman" w:cs="Times New Roman"/>
          <w:kern w:val="0"/>
          <w:sz w:val="24"/>
          <w:szCs w:val="24"/>
          <w:lang w:eastAsia="en-IN"/>
          <w14:ligatures w14:val="none"/>
        </w:rPr>
        <w:t>era?.</w:t>
      </w:r>
      <w:proofErr w:type="gramEnd"/>
      <w:r w:rsidRPr="008F08EA">
        <w:rPr>
          <w:rFonts w:ascii="Times New Roman" w:eastAsia="Times New Roman" w:hAnsi="Times New Roman" w:cs="Times New Roman"/>
          <w:kern w:val="0"/>
          <w:sz w:val="24"/>
          <w:szCs w:val="24"/>
          <w:lang w:eastAsia="en-IN"/>
          <w14:ligatures w14:val="none"/>
        </w:rPr>
        <w:t xml:space="preserve"> Blood reviews, 34, 67–83. </w:t>
      </w:r>
      <w:hyperlink r:id="rId32" w:history="1">
        <w:r w:rsidRPr="008F08EA">
          <w:rPr>
            <w:rStyle w:val="Hyperlink"/>
            <w:rFonts w:ascii="Times New Roman" w:eastAsia="Times New Roman" w:hAnsi="Times New Roman" w:cs="Times New Roman"/>
            <w:kern w:val="0"/>
            <w:sz w:val="24"/>
            <w:szCs w:val="24"/>
            <w:lang w:eastAsia="en-IN"/>
            <w14:ligatures w14:val="none"/>
          </w:rPr>
          <w:t>https://doi.org/10.1016/j.blre.2018.12.001</w:t>
        </w:r>
      </w:hyperlink>
      <w:r w:rsidRPr="008F08EA">
        <w:rPr>
          <w:rFonts w:ascii="Times New Roman" w:eastAsia="Times New Roman" w:hAnsi="Times New Roman" w:cs="Times New Roman"/>
          <w:kern w:val="0"/>
          <w:sz w:val="24"/>
          <w:szCs w:val="24"/>
          <w:lang w:eastAsia="en-IN"/>
          <w14:ligatures w14:val="none"/>
        </w:rPr>
        <w:t xml:space="preserve"> </w:t>
      </w:r>
    </w:p>
    <w:p w14:paraId="40273914" w14:textId="77777777" w:rsidR="00172F57" w:rsidRPr="00045CC9" w:rsidRDefault="00172F57" w:rsidP="008F08E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F1DD6C2" w14:textId="13D1CB56" w:rsidR="008811FA" w:rsidRPr="00045CC9" w:rsidRDefault="008811FA" w:rsidP="008F08EA"/>
    <w:sectPr w:rsidR="008811FA" w:rsidRPr="00045CC9">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8AC4C" w14:textId="77777777" w:rsidR="00917EE4" w:rsidRDefault="00917EE4" w:rsidP="007541F3">
      <w:pPr>
        <w:spacing w:after="0" w:line="240" w:lineRule="auto"/>
      </w:pPr>
      <w:r>
        <w:separator/>
      </w:r>
    </w:p>
  </w:endnote>
  <w:endnote w:type="continuationSeparator" w:id="0">
    <w:p w14:paraId="127B69C4" w14:textId="77777777" w:rsidR="00917EE4" w:rsidRDefault="00917EE4" w:rsidP="0075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4BE2E" w14:textId="77777777" w:rsidR="007541F3" w:rsidRDefault="00754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5804E" w14:textId="77777777" w:rsidR="007541F3" w:rsidRDefault="00754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E6C4F" w14:textId="77777777" w:rsidR="007541F3" w:rsidRDefault="00754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20DEA" w14:textId="77777777" w:rsidR="00917EE4" w:rsidRDefault="00917EE4" w:rsidP="007541F3">
      <w:pPr>
        <w:spacing w:after="0" w:line="240" w:lineRule="auto"/>
      </w:pPr>
      <w:r>
        <w:separator/>
      </w:r>
    </w:p>
  </w:footnote>
  <w:footnote w:type="continuationSeparator" w:id="0">
    <w:p w14:paraId="60C1143A" w14:textId="77777777" w:rsidR="00917EE4" w:rsidRDefault="00917EE4" w:rsidP="0075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0DEBC" w14:textId="1121F53B" w:rsidR="007541F3" w:rsidRDefault="007541F3">
    <w:pPr>
      <w:pStyle w:val="Header"/>
    </w:pPr>
    <w:r>
      <w:rPr>
        <w:noProof/>
      </w:rPr>
      <w:pict w14:anchorId="088FD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13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2F28" w14:textId="0065AD2E" w:rsidR="007541F3" w:rsidRDefault="007541F3">
    <w:pPr>
      <w:pStyle w:val="Header"/>
    </w:pPr>
    <w:r>
      <w:rPr>
        <w:noProof/>
      </w:rPr>
      <w:pict w14:anchorId="59B14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13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54CEB" w14:textId="7F59866F" w:rsidR="007541F3" w:rsidRDefault="007541F3">
    <w:pPr>
      <w:pStyle w:val="Header"/>
    </w:pPr>
    <w:r>
      <w:rPr>
        <w:noProof/>
      </w:rPr>
      <w:pict w14:anchorId="2A39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313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5430"/>
    <w:multiLevelType w:val="multilevel"/>
    <w:tmpl w:val="F9C4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71FD"/>
    <w:multiLevelType w:val="hybridMultilevel"/>
    <w:tmpl w:val="6A8E3C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664BF4"/>
    <w:multiLevelType w:val="multilevel"/>
    <w:tmpl w:val="44DE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63A74"/>
    <w:multiLevelType w:val="hybridMultilevel"/>
    <w:tmpl w:val="68F01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25545"/>
    <w:multiLevelType w:val="hybridMultilevel"/>
    <w:tmpl w:val="0FBA9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92537F8"/>
    <w:multiLevelType w:val="hybridMultilevel"/>
    <w:tmpl w:val="D52C6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670F7B"/>
    <w:multiLevelType w:val="multilevel"/>
    <w:tmpl w:val="27D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60C21"/>
    <w:multiLevelType w:val="multilevel"/>
    <w:tmpl w:val="235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307424">
    <w:abstractNumId w:val="1"/>
  </w:num>
  <w:num w:numId="2" w16cid:durableId="1582643549">
    <w:abstractNumId w:val="4"/>
  </w:num>
  <w:num w:numId="3" w16cid:durableId="2076581500">
    <w:abstractNumId w:val="0"/>
  </w:num>
  <w:num w:numId="4" w16cid:durableId="402458496">
    <w:abstractNumId w:val="2"/>
  </w:num>
  <w:num w:numId="5" w16cid:durableId="1147943114">
    <w:abstractNumId w:val="7"/>
  </w:num>
  <w:num w:numId="6" w16cid:durableId="634019746">
    <w:abstractNumId w:val="6"/>
  </w:num>
  <w:num w:numId="7" w16cid:durableId="1183204348">
    <w:abstractNumId w:val="3"/>
  </w:num>
  <w:num w:numId="8" w16cid:durableId="1981184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01"/>
    <w:rsid w:val="00045CC9"/>
    <w:rsid w:val="000D3461"/>
    <w:rsid w:val="000F7EA7"/>
    <w:rsid w:val="00172F57"/>
    <w:rsid w:val="00265D90"/>
    <w:rsid w:val="002F4501"/>
    <w:rsid w:val="003A104D"/>
    <w:rsid w:val="004127FB"/>
    <w:rsid w:val="005A7377"/>
    <w:rsid w:val="005D60A2"/>
    <w:rsid w:val="006A7317"/>
    <w:rsid w:val="006C2EAA"/>
    <w:rsid w:val="007541F3"/>
    <w:rsid w:val="007B3079"/>
    <w:rsid w:val="007C22DC"/>
    <w:rsid w:val="007C6665"/>
    <w:rsid w:val="007E47E4"/>
    <w:rsid w:val="008811FA"/>
    <w:rsid w:val="008F08EA"/>
    <w:rsid w:val="0091605A"/>
    <w:rsid w:val="00917EE4"/>
    <w:rsid w:val="00937351"/>
    <w:rsid w:val="009D4E9B"/>
    <w:rsid w:val="00C51421"/>
    <w:rsid w:val="00C7794C"/>
    <w:rsid w:val="00C8212D"/>
    <w:rsid w:val="00D106C5"/>
    <w:rsid w:val="00D75C9D"/>
    <w:rsid w:val="00FB64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D0EBD"/>
  <w15:chartTrackingRefBased/>
  <w15:docId w15:val="{6B49CBA4-4FC2-4B50-9587-F0D33139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E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461"/>
    <w:pPr>
      <w:ind w:left="720"/>
      <w:contextualSpacing/>
    </w:pPr>
  </w:style>
  <w:style w:type="character" w:styleId="Hyperlink">
    <w:name w:val="Hyperlink"/>
    <w:basedOn w:val="DefaultParagraphFont"/>
    <w:uiPriority w:val="99"/>
    <w:unhideWhenUsed/>
    <w:rsid w:val="000D3461"/>
    <w:rPr>
      <w:color w:val="0563C1" w:themeColor="hyperlink"/>
      <w:u w:val="single"/>
    </w:rPr>
  </w:style>
  <w:style w:type="character" w:styleId="UnresolvedMention">
    <w:name w:val="Unresolved Mention"/>
    <w:basedOn w:val="DefaultParagraphFont"/>
    <w:uiPriority w:val="99"/>
    <w:semiHidden/>
    <w:unhideWhenUsed/>
    <w:rsid w:val="000D3461"/>
    <w:rPr>
      <w:color w:val="605E5C"/>
      <w:shd w:val="clear" w:color="auto" w:fill="E1DFDD"/>
    </w:rPr>
  </w:style>
  <w:style w:type="character" w:styleId="FollowedHyperlink">
    <w:name w:val="FollowedHyperlink"/>
    <w:basedOn w:val="DefaultParagraphFont"/>
    <w:uiPriority w:val="99"/>
    <w:semiHidden/>
    <w:unhideWhenUsed/>
    <w:rsid w:val="000D3461"/>
    <w:rPr>
      <w:color w:val="954F72" w:themeColor="followedHyperlink"/>
      <w:u w:val="single"/>
    </w:rPr>
  </w:style>
  <w:style w:type="character" w:customStyle="1" w:styleId="Heading1Char">
    <w:name w:val="Heading 1 Char"/>
    <w:basedOn w:val="DefaultParagraphFont"/>
    <w:link w:val="Heading1"/>
    <w:uiPriority w:val="9"/>
    <w:rsid w:val="009D4E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4E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4E9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54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1F3"/>
  </w:style>
  <w:style w:type="paragraph" w:styleId="Footer">
    <w:name w:val="footer"/>
    <w:basedOn w:val="Normal"/>
    <w:link w:val="FooterChar"/>
    <w:uiPriority w:val="99"/>
    <w:unhideWhenUsed/>
    <w:rsid w:val="0075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972">
      <w:bodyDiv w:val="1"/>
      <w:marLeft w:val="0"/>
      <w:marRight w:val="0"/>
      <w:marTop w:val="0"/>
      <w:marBottom w:val="0"/>
      <w:divBdr>
        <w:top w:val="none" w:sz="0" w:space="0" w:color="auto"/>
        <w:left w:val="none" w:sz="0" w:space="0" w:color="auto"/>
        <w:bottom w:val="none" w:sz="0" w:space="0" w:color="auto"/>
        <w:right w:val="none" w:sz="0" w:space="0" w:color="auto"/>
      </w:divBdr>
    </w:div>
    <w:div w:id="180441377">
      <w:bodyDiv w:val="1"/>
      <w:marLeft w:val="0"/>
      <w:marRight w:val="0"/>
      <w:marTop w:val="0"/>
      <w:marBottom w:val="0"/>
      <w:divBdr>
        <w:top w:val="none" w:sz="0" w:space="0" w:color="auto"/>
        <w:left w:val="none" w:sz="0" w:space="0" w:color="auto"/>
        <w:bottom w:val="none" w:sz="0" w:space="0" w:color="auto"/>
        <w:right w:val="none" w:sz="0" w:space="0" w:color="auto"/>
      </w:divBdr>
    </w:div>
    <w:div w:id="1254167004">
      <w:bodyDiv w:val="1"/>
      <w:marLeft w:val="0"/>
      <w:marRight w:val="0"/>
      <w:marTop w:val="0"/>
      <w:marBottom w:val="0"/>
      <w:divBdr>
        <w:top w:val="none" w:sz="0" w:space="0" w:color="auto"/>
        <w:left w:val="none" w:sz="0" w:space="0" w:color="auto"/>
        <w:bottom w:val="none" w:sz="0" w:space="0" w:color="auto"/>
        <w:right w:val="none" w:sz="0" w:space="0" w:color="auto"/>
      </w:divBdr>
    </w:div>
    <w:div w:id="1410080386">
      <w:bodyDiv w:val="1"/>
      <w:marLeft w:val="0"/>
      <w:marRight w:val="0"/>
      <w:marTop w:val="0"/>
      <w:marBottom w:val="0"/>
      <w:divBdr>
        <w:top w:val="none" w:sz="0" w:space="0" w:color="auto"/>
        <w:left w:val="none" w:sz="0" w:space="0" w:color="auto"/>
        <w:bottom w:val="none" w:sz="0" w:space="0" w:color="auto"/>
        <w:right w:val="none" w:sz="0" w:space="0" w:color="auto"/>
      </w:divBdr>
    </w:div>
    <w:div w:id="1466391391">
      <w:bodyDiv w:val="1"/>
      <w:marLeft w:val="0"/>
      <w:marRight w:val="0"/>
      <w:marTop w:val="0"/>
      <w:marBottom w:val="0"/>
      <w:divBdr>
        <w:top w:val="none" w:sz="0" w:space="0" w:color="auto"/>
        <w:left w:val="none" w:sz="0" w:space="0" w:color="auto"/>
        <w:bottom w:val="none" w:sz="0" w:space="0" w:color="auto"/>
        <w:right w:val="none" w:sz="0" w:space="0" w:color="auto"/>
      </w:divBdr>
    </w:div>
    <w:div w:id="1619294801">
      <w:bodyDiv w:val="1"/>
      <w:marLeft w:val="0"/>
      <w:marRight w:val="0"/>
      <w:marTop w:val="0"/>
      <w:marBottom w:val="0"/>
      <w:divBdr>
        <w:top w:val="none" w:sz="0" w:space="0" w:color="auto"/>
        <w:left w:val="none" w:sz="0" w:space="0" w:color="auto"/>
        <w:bottom w:val="none" w:sz="0" w:space="0" w:color="auto"/>
        <w:right w:val="none" w:sz="0" w:space="0" w:color="auto"/>
      </w:divBdr>
    </w:div>
    <w:div w:id="1715812994">
      <w:bodyDiv w:val="1"/>
      <w:marLeft w:val="0"/>
      <w:marRight w:val="0"/>
      <w:marTop w:val="0"/>
      <w:marBottom w:val="0"/>
      <w:divBdr>
        <w:top w:val="none" w:sz="0" w:space="0" w:color="auto"/>
        <w:left w:val="none" w:sz="0" w:space="0" w:color="auto"/>
        <w:bottom w:val="none" w:sz="0" w:space="0" w:color="auto"/>
        <w:right w:val="none" w:sz="0" w:space="0" w:color="auto"/>
      </w:divBdr>
    </w:div>
    <w:div w:id="1737893399">
      <w:bodyDiv w:val="1"/>
      <w:marLeft w:val="0"/>
      <w:marRight w:val="0"/>
      <w:marTop w:val="0"/>
      <w:marBottom w:val="0"/>
      <w:divBdr>
        <w:top w:val="none" w:sz="0" w:space="0" w:color="auto"/>
        <w:left w:val="none" w:sz="0" w:space="0" w:color="auto"/>
        <w:bottom w:val="none" w:sz="0" w:space="0" w:color="auto"/>
        <w:right w:val="none" w:sz="0" w:space="0" w:color="auto"/>
      </w:divBdr>
    </w:div>
    <w:div w:id="1791318706">
      <w:bodyDiv w:val="1"/>
      <w:marLeft w:val="0"/>
      <w:marRight w:val="0"/>
      <w:marTop w:val="0"/>
      <w:marBottom w:val="0"/>
      <w:divBdr>
        <w:top w:val="none" w:sz="0" w:space="0" w:color="auto"/>
        <w:left w:val="none" w:sz="0" w:space="0" w:color="auto"/>
        <w:bottom w:val="none" w:sz="0" w:space="0" w:color="auto"/>
        <w:right w:val="none" w:sz="0" w:space="0" w:color="auto"/>
      </w:divBdr>
    </w:div>
    <w:div w:id="187985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2/blood-2014-10-605808" TargetMode="External"/><Relationship Id="rId13" Type="http://schemas.openxmlformats.org/officeDocument/2006/relationships/hyperlink" Target="https://doi.org/10.1182/blood-2016-08-733196" TargetMode="External"/><Relationship Id="rId18" Type="http://schemas.openxmlformats.org/officeDocument/2006/relationships/hyperlink" Target="https://doi.org/10.1097/MOH.0000000000000626" TargetMode="External"/><Relationship Id="rId26" Type="http://schemas.openxmlformats.org/officeDocument/2006/relationships/hyperlink" Target="https://doi.org/10.1038/nrc334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82/blood-2016-11-69607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56/NEJMoa1716984" TargetMode="External"/><Relationship Id="rId17" Type="http://schemas.openxmlformats.org/officeDocument/2006/relationships/hyperlink" Target="https://doi.org/10.1182/blood.2021013626" TargetMode="External"/><Relationship Id="rId25" Type="http://schemas.openxmlformats.org/officeDocument/2006/relationships/hyperlink" Target="https://doi.org/10.1016/j.eclinm.2023.10202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2/blood-2012-03-420489" TargetMode="External"/><Relationship Id="rId20" Type="http://schemas.openxmlformats.org/officeDocument/2006/relationships/hyperlink" Target="https://doi.org/10.3390/cancers14112806" TargetMode="External"/><Relationship Id="rId29" Type="http://schemas.openxmlformats.org/officeDocument/2006/relationships/hyperlink" Target="https://doi.org/10.1056/NEJMoa1614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6/NEJMoa2012971" TargetMode="External"/><Relationship Id="rId24" Type="http://schemas.openxmlformats.org/officeDocument/2006/relationships/hyperlink" Target="https://doi.org/10.1016/j.stem.2015.02.014" TargetMode="External"/><Relationship Id="rId32" Type="http://schemas.openxmlformats.org/officeDocument/2006/relationships/hyperlink" Target="https://doi.org/10.1016/j.blre.2018.12.0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2/blood-2009-01-200519" TargetMode="External"/><Relationship Id="rId23" Type="http://schemas.openxmlformats.org/officeDocument/2006/relationships/hyperlink" Target="https://doi.org/10.1056/NEJMoa1902688" TargetMode="External"/><Relationship Id="rId28" Type="http://schemas.openxmlformats.org/officeDocument/2006/relationships/hyperlink" Target="https://doi.org/10.1182/blood-2017-04-779405" TargetMode="External"/><Relationship Id="rId36" Type="http://schemas.openxmlformats.org/officeDocument/2006/relationships/footer" Target="footer2.xml"/><Relationship Id="rId10" Type="http://schemas.openxmlformats.org/officeDocument/2006/relationships/hyperlink" Target="https://doi.org/10.1038/bcj.2016.50" TargetMode="External"/><Relationship Id="rId19" Type="http://schemas.openxmlformats.org/officeDocument/2006/relationships/hyperlink" Target="https://doi.org/10.1016/S1470-2045(14)70281-5" TargetMode="External"/><Relationship Id="rId31" Type="http://schemas.openxmlformats.org/officeDocument/2006/relationships/hyperlink" Target="https://doi.org/10.1186/2050-7771-2-4" TargetMode="External"/><Relationship Id="rId4" Type="http://schemas.openxmlformats.org/officeDocument/2006/relationships/settings" Target="settings.xml"/><Relationship Id="rId9" Type="http://schemas.openxmlformats.org/officeDocument/2006/relationships/hyperlink" Target="https://doi.org/10.1038/s41375-018-0357-9" TargetMode="External"/><Relationship Id="rId14" Type="http://schemas.openxmlformats.org/officeDocument/2006/relationships/hyperlink" Target="https://doi.org/10.1056/NEJMoa2024534" TargetMode="External"/><Relationship Id="rId22" Type="http://schemas.openxmlformats.org/officeDocument/2006/relationships/hyperlink" Target="https://doi.org/10.1056/NEJMoa1516192" TargetMode="External"/><Relationship Id="rId27" Type="http://schemas.openxmlformats.org/officeDocument/2006/relationships/hyperlink" Target="https://doi.org/10.3324/haematol.2022.282034" TargetMode="External"/><Relationship Id="rId30" Type="http://schemas.openxmlformats.org/officeDocument/2006/relationships/hyperlink" Target="https://doi.org/10.3390/cancers12113087"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834A-F8D7-4592-A51A-0F790F52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2807</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Editor-23</cp:lastModifiedBy>
  <cp:revision>7</cp:revision>
  <dcterms:created xsi:type="dcterms:W3CDTF">2024-11-23T14:26:00Z</dcterms:created>
  <dcterms:modified xsi:type="dcterms:W3CDTF">2024-11-27T10:00:00Z</dcterms:modified>
</cp:coreProperties>
</file>