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97999" w14:textId="77777777" w:rsidR="00013D33" w:rsidRPr="00013D33" w:rsidRDefault="00013D33" w:rsidP="00013D33">
      <w:pPr>
        <w:pStyle w:val="Title"/>
        <w:jc w:val="both"/>
        <w:rPr>
          <w:rFonts w:ascii="Arial" w:hAnsi="Arial" w:cs="Arial"/>
          <w:bCs/>
          <w:i/>
          <w:iCs/>
          <w:u w:val="single"/>
        </w:rPr>
      </w:pPr>
      <w:r w:rsidRPr="00013D33">
        <w:rPr>
          <w:rFonts w:ascii="Arial" w:hAnsi="Arial" w:cs="Arial"/>
          <w:bCs/>
          <w:i/>
          <w:iCs/>
          <w:u w:val="single"/>
        </w:rPr>
        <w:t>Original Research Article</w:t>
      </w:r>
    </w:p>
    <w:p w14:paraId="46E529E7" w14:textId="77777777" w:rsidR="00754C9A" w:rsidRDefault="00754C9A" w:rsidP="00441B6F">
      <w:pPr>
        <w:pStyle w:val="Title"/>
        <w:spacing w:after="0"/>
        <w:jc w:val="both"/>
        <w:rPr>
          <w:rFonts w:ascii="Arial" w:hAnsi="Arial" w:cs="Arial"/>
        </w:rPr>
      </w:pPr>
    </w:p>
    <w:p w14:paraId="6A060ACB" w14:textId="77777777" w:rsidR="00AB1A9C" w:rsidRPr="00AB1A9C" w:rsidRDefault="00AB1A9C" w:rsidP="00AB1A9C">
      <w:pPr>
        <w:jc w:val="right"/>
        <w:rPr>
          <w:rFonts w:ascii="Arial" w:hAnsi="Arial" w:cs="Arial"/>
          <w:b/>
          <w:bCs/>
          <w:sz w:val="36"/>
          <w:szCs w:val="36"/>
        </w:rPr>
      </w:pPr>
      <w:r w:rsidRPr="00AB1A9C">
        <w:rPr>
          <w:rFonts w:ascii="Arial" w:hAnsi="Arial" w:cs="Arial"/>
          <w:b/>
          <w:bCs/>
          <w:sz w:val="36"/>
          <w:szCs w:val="36"/>
        </w:rPr>
        <w:t xml:space="preserve">Assessment of nutrient removal by weeds as affected by different nozzles used in drones for post-emergence herbicide spraying in transplanted rice </w:t>
      </w:r>
      <w:r w:rsidRPr="00AB1A9C">
        <w:rPr>
          <w:rFonts w:ascii="Arial" w:hAnsi="Arial" w:cs="Arial"/>
          <w:sz w:val="36"/>
          <w:szCs w:val="36"/>
        </w:rPr>
        <w:t>(</w:t>
      </w:r>
      <w:r w:rsidRPr="00AB1A9C">
        <w:rPr>
          <w:rFonts w:ascii="Arial" w:hAnsi="Arial" w:cs="Arial"/>
          <w:i/>
          <w:iCs/>
          <w:sz w:val="36"/>
          <w:szCs w:val="36"/>
        </w:rPr>
        <w:t>Oryza sativa</w:t>
      </w:r>
      <w:r w:rsidRPr="00AB1A9C">
        <w:rPr>
          <w:rFonts w:ascii="Arial" w:hAnsi="Arial" w:cs="Arial"/>
          <w:sz w:val="36"/>
          <w:szCs w:val="36"/>
        </w:rPr>
        <w:t xml:space="preserve"> L.)</w:t>
      </w:r>
    </w:p>
    <w:p w14:paraId="253C0C3C" w14:textId="7EFD7867" w:rsidR="00790ADA" w:rsidRDefault="00790ADA" w:rsidP="00441B6F">
      <w:pPr>
        <w:pStyle w:val="Affiliation"/>
        <w:spacing w:after="0" w:line="240" w:lineRule="auto"/>
        <w:jc w:val="both"/>
        <w:rPr>
          <w:rFonts w:ascii="Arial" w:hAnsi="Arial" w:cs="Arial"/>
          <w:sz w:val="22"/>
          <w:szCs w:val="22"/>
        </w:rPr>
      </w:pPr>
    </w:p>
    <w:p w14:paraId="5D01110F" w14:textId="77777777" w:rsidR="005B3CEE" w:rsidRPr="00AB1A9C" w:rsidRDefault="005B3CEE" w:rsidP="00441B6F">
      <w:pPr>
        <w:pStyle w:val="Affiliation"/>
        <w:spacing w:after="0" w:line="240" w:lineRule="auto"/>
        <w:jc w:val="both"/>
        <w:rPr>
          <w:rFonts w:ascii="Arial" w:hAnsi="Arial" w:cs="Arial"/>
          <w:sz w:val="22"/>
          <w:szCs w:val="22"/>
        </w:rPr>
      </w:pPr>
    </w:p>
    <w:p w14:paraId="0BAE2614" w14:textId="77777777" w:rsidR="002C57D2" w:rsidRPr="00FB3A86" w:rsidRDefault="002C57D2" w:rsidP="00441B6F">
      <w:pPr>
        <w:pStyle w:val="Affiliation"/>
        <w:spacing w:after="0" w:line="240" w:lineRule="auto"/>
        <w:jc w:val="both"/>
        <w:rPr>
          <w:rFonts w:ascii="Arial" w:hAnsi="Arial" w:cs="Arial"/>
        </w:rPr>
      </w:pPr>
    </w:p>
    <w:p w14:paraId="32F77D4C" w14:textId="77777777" w:rsidR="00B01FCD" w:rsidRPr="00FB3A86" w:rsidRDefault="00E2273C" w:rsidP="00441B6F">
      <w:pPr>
        <w:pStyle w:val="Copyright"/>
        <w:spacing w:after="0" w:line="240" w:lineRule="auto"/>
        <w:jc w:val="both"/>
        <w:rPr>
          <w:rFonts w:ascii="Arial" w:hAnsi="Arial" w:cs="Arial"/>
        </w:rPr>
        <w:sectPr w:rsidR="00B01FCD" w:rsidRPr="00FB3A86" w:rsidSect="005B3CE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9B05C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4FE116" w14:textId="08FD0256"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A0BC057" w14:textId="77777777" w:rsidTr="001E44FE">
        <w:tc>
          <w:tcPr>
            <w:tcW w:w="9576" w:type="dxa"/>
            <w:shd w:val="clear" w:color="auto" w:fill="F2F2F2"/>
          </w:tcPr>
          <w:p w14:paraId="7F20A4C4" w14:textId="77777777" w:rsidR="00AB1A9C" w:rsidRPr="00ED2338" w:rsidRDefault="00AB1A9C" w:rsidP="00AB1A9C">
            <w:pPr>
              <w:ind w:firstLine="720"/>
              <w:jc w:val="both"/>
              <w:rPr>
                <w:rFonts w:ascii="Arial" w:hAnsi="Arial" w:cs="Arial"/>
                <w:b/>
                <w:sz w:val="24"/>
                <w:szCs w:val="24"/>
              </w:rPr>
            </w:pPr>
            <w:r w:rsidRPr="00ED2338">
              <w:rPr>
                <w:rFonts w:ascii="Arial" w:hAnsi="Arial" w:cs="Arial"/>
              </w:rPr>
              <w:t xml:space="preserve">A field experiment was conducted at Military farm, ARI, Rajendranagar, Hyderabad during the </w:t>
            </w:r>
            <w:r w:rsidRPr="00ED2338">
              <w:rPr>
                <w:rFonts w:ascii="Arial" w:hAnsi="Arial" w:cs="Arial"/>
                <w:i/>
                <w:iCs/>
              </w:rPr>
              <w:t>kharif</w:t>
            </w:r>
            <w:r w:rsidRPr="00ED2338">
              <w:rPr>
                <w:rFonts w:ascii="Arial" w:hAnsi="Arial" w:cs="Arial"/>
              </w:rPr>
              <w:t xml:space="preserve"> season of 2022 to evaluate the efficiency of different nozzles used in drone-based PoE herbicide spray on yield and yield components of transplanted rice. The design used in the study was carried out with the application of post emergence herbicide triafamone + ethoxysulfron using five different nozzles in drone </w:t>
            </w:r>
            <w:r w:rsidRPr="00ED2338">
              <w:rPr>
                <w:rFonts w:ascii="Arial" w:hAnsi="Arial" w:cs="Arial"/>
                <w:i/>
                <w:iCs/>
              </w:rPr>
              <w:t>i.e.,</w:t>
            </w:r>
            <w:r w:rsidRPr="00ED2338">
              <w:rPr>
                <w:rFonts w:ascii="Arial" w:hAnsi="Arial" w:cs="Arial"/>
              </w:rPr>
              <w:t xml:space="preserve"> XR11002VP, AIXR110015VS, DG 110015VS, DG95015EVS and SJ7A015VP and flat fan nozzle was used in knapsack sprayer. T</w:t>
            </w:r>
            <w:r w:rsidRPr="00ED2338">
              <w:rPr>
                <w:rFonts w:ascii="Arial" w:hAnsi="Arial" w:cs="Arial"/>
                <w:lang w:val="en-IN"/>
              </w:rPr>
              <w:t>he lowest nutrient removal by weeds was recorded in hand weeding at 20 and 40 DAT, followed by the knapsack sprayer (flat fan nozzle) and drone treatments with SJ7A015VP, AIXR110015VS, and DG95015EVS nozzles. The highest nutrient removal occurred in unweeded check.</w:t>
            </w:r>
          </w:p>
          <w:p w14:paraId="3E3E6093" w14:textId="424DC672" w:rsidR="00505F06" w:rsidRPr="00BA1B01" w:rsidRDefault="00505F06" w:rsidP="00AB1A9C">
            <w:pPr>
              <w:pStyle w:val="Body"/>
              <w:spacing w:after="0"/>
              <w:rPr>
                <w:rFonts w:ascii="Arial" w:eastAsia="Calibri" w:hAnsi="Arial" w:cs="Arial"/>
                <w:szCs w:val="22"/>
              </w:rPr>
            </w:pPr>
          </w:p>
        </w:tc>
      </w:tr>
    </w:tbl>
    <w:p w14:paraId="2FDEBAC0" w14:textId="77777777" w:rsidR="00636EB2" w:rsidRDefault="00636EB2" w:rsidP="00AB1A9C">
      <w:pPr>
        <w:pStyle w:val="Body"/>
        <w:spacing w:after="0"/>
        <w:rPr>
          <w:rFonts w:ascii="Arial" w:hAnsi="Arial" w:cs="Arial"/>
          <w:i/>
        </w:rPr>
      </w:pPr>
    </w:p>
    <w:p w14:paraId="04DFFE1F" w14:textId="0466A7D2" w:rsidR="0024282C" w:rsidRPr="00AB1A9C" w:rsidRDefault="00A24E7E" w:rsidP="00AB1A9C">
      <w:pPr>
        <w:spacing w:line="360" w:lineRule="auto"/>
        <w:jc w:val="both"/>
        <w:rPr>
          <w:rFonts w:ascii="Arial" w:hAnsi="Arial" w:cs="Arial"/>
          <w:bCs/>
          <w:sz w:val="24"/>
          <w:szCs w:val="24"/>
        </w:rPr>
      </w:pPr>
      <w:r>
        <w:rPr>
          <w:rFonts w:ascii="Arial" w:hAnsi="Arial" w:cs="Arial"/>
          <w:i/>
        </w:rPr>
        <w:t xml:space="preserve">Keywords: </w:t>
      </w:r>
      <w:r w:rsidR="00AB1A9C" w:rsidRPr="00AB1A9C">
        <w:rPr>
          <w:rFonts w:ascii="Arial" w:hAnsi="Arial" w:cs="Arial"/>
          <w:bCs/>
          <w:i/>
          <w:iCs/>
        </w:rPr>
        <w:t>Drones, nozzles, nutrient removal, weeds.</w:t>
      </w:r>
    </w:p>
    <w:p w14:paraId="2024A75B" w14:textId="77777777" w:rsidR="00505F06" w:rsidRPr="00A24E7E" w:rsidRDefault="00505F06" w:rsidP="00441B6F">
      <w:pPr>
        <w:pStyle w:val="Body"/>
        <w:spacing w:after="0"/>
        <w:rPr>
          <w:rFonts w:ascii="Arial" w:hAnsi="Arial" w:cs="Arial"/>
          <w:i/>
        </w:rPr>
      </w:pPr>
    </w:p>
    <w:p w14:paraId="39351B76" w14:textId="1F86570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6B49B2" w14:textId="77777777" w:rsidR="00790ADA" w:rsidRPr="00FB3A86" w:rsidRDefault="00790ADA" w:rsidP="00441B6F">
      <w:pPr>
        <w:pStyle w:val="AbstHead"/>
        <w:spacing w:after="0"/>
        <w:jc w:val="both"/>
        <w:rPr>
          <w:rFonts w:ascii="Arial" w:hAnsi="Arial" w:cs="Arial"/>
        </w:rPr>
      </w:pPr>
    </w:p>
    <w:p w14:paraId="4F245CAF" w14:textId="6A65F89E" w:rsidR="00F87E76" w:rsidRPr="001641DA" w:rsidRDefault="00F87E76" w:rsidP="00AB1A9C">
      <w:pPr>
        <w:ind w:firstLine="720"/>
        <w:jc w:val="both"/>
        <w:rPr>
          <w:rFonts w:ascii="Arial" w:hAnsi="Arial" w:cs="Arial"/>
          <w:bCs/>
        </w:rPr>
      </w:pPr>
      <w:r w:rsidRPr="001641DA">
        <w:rPr>
          <w:rFonts w:ascii="Arial" w:hAnsi="Arial" w:cs="Arial"/>
          <w:bCs/>
        </w:rPr>
        <w:t>Efficient weed management plays a vital role in maximizing rice yield and promoting sustainable farming. Weeds compete with rice plants for vital resources like water, nutrients, and sunlight, leading to considerable reductions in crop productivity and quality.</w:t>
      </w:r>
      <w:r w:rsidR="00113EA2">
        <w:rPr>
          <w:rFonts w:ascii="Arial" w:hAnsi="Arial" w:cs="Arial"/>
          <w:bCs/>
        </w:rPr>
        <w:t>[1]</w:t>
      </w:r>
      <w:r w:rsidRPr="001641DA">
        <w:rPr>
          <w:rFonts w:ascii="Arial" w:hAnsi="Arial" w:cs="Arial"/>
          <w:bCs/>
        </w:rPr>
        <w:t xml:space="preserve">. Conventional weed control practices such as manual weeding and mechanical cultivation are labor-intensive and may contribute to soil degradation. These days the use of herbicides has gained increasing attention as an effective and efficient approach for managing weed populations. </w:t>
      </w:r>
      <w:r w:rsidR="00113EA2">
        <w:rPr>
          <w:rFonts w:ascii="Arial" w:hAnsi="Arial" w:cs="Arial"/>
          <w:bCs/>
        </w:rPr>
        <w:t>[2]</w:t>
      </w:r>
      <w:r w:rsidR="00322158">
        <w:rPr>
          <w:rFonts w:ascii="Arial" w:hAnsi="Arial" w:cs="Arial"/>
          <w:bCs/>
        </w:rPr>
        <w:t>.</w:t>
      </w:r>
    </w:p>
    <w:p w14:paraId="0981CAB6" w14:textId="079970A9" w:rsidR="00AB1A9C" w:rsidRPr="001641DA" w:rsidRDefault="00AB1A9C" w:rsidP="00AB1A9C">
      <w:pPr>
        <w:ind w:firstLine="720"/>
        <w:jc w:val="both"/>
        <w:rPr>
          <w:rFonts w:ascii="Arial" w:hAnsi="Arial" w:cs="Arial"/>
          <w:bCs/>
        </w:rPr>
      </w:pPr>
      <w:r w:rsidRPr="001641DA">
        <w:rPr>
          <w:rFonts w:ascii="Arial" w:hAnsi="Arial" w:cs="Arial"/>
          <w:bCs/>
        </w:rPr>
        <w:t>Weeds are a major biological constraint in rice cultivation, significantly affecting crop growth and yield. [</w:t>
      </w:r>
      <w:r w:rsidR="00322158">
        <w:rPr>
          <w:rFonts w:ascii="Arial" w:hAnsi="Arial" w:cs="Arial"/>
          <w:bCs/>
        </w:rPr>
        <w:t>3</w:t>
      </w:r>
      <w:r w:rsidRPr="001641DA">
        <w:rPr>
          <w:rFonts w:ascii="Arial" w:hAnsi="Arial" w:cs="Arial"/>
          <w:bCs/>
        </w:rPr>
        <w:t>] reported that weeds can cause direct yield losses ranging from 16% to 86%, depending on factors such as weed species, density, cropping season, duration, and timing of infestation. In addition to yield reduction, weeds compete with rice plants for essential nutrients. [</w:t>
      </w:r>
      <w:r w:rsidR="00322158">
        <w:rPr>
          <w:rFonts w:ascii="Arial" w:hAnsi="Arial" w:cs="Arial"/>
          <w:bCs/>
        </w:rPr>
        <w:t>4</w:t>
      </w:r>
      <w:r w:rsidRPr="001641DA">
        <w:rPr>
          <w:rFonts w:ascii="Arial" w:hAnsi="Arial" w:cs="Arial"/>
          <w:bCs/>
        </w:rPr>
        <w:t>] observed that weeds can deprive rice crops of 47% nitrogen, 42% phosphorus, and 50% potassium from their total nutrient uptake, thereby limiting the crop’s yield potential.</w:t>
      </w:r>
    </w:p>
    <w:p w14:paraId="534A5D77" w14:textId="34EA93A4" w:rsidR="00AB1A9C" w:rsidRPr="001641DA" w:rsidRDefault="00AB1A9C" w:rsidP="00AB1A9C">
      <w:pPr>
        <w:ind w:firstLine="720"/>
        <w:jc w:val="both"/>
        <w:rPr>
          <w:rFonts w:ascii="Arial" w:hAnsi="Arial" w:cs="Arial"/>
          <w:bCs/>
        </w:rPr>
      </w:pPr>
      <w:r w:rsidRPr="001641DA">
        <w:rPr>
          <w:rFonts w:ascii="Arial" w:hAnsi="Arial" w:cs="Arial"/>
          <w:bCs/>
        </w:rPr>
        <w:t>Studies assessing nutrient removal by weeds provide critical insights into the magnitude of nutrient competition and the effectiveness of various weed management strategies. [</w:t>
      </w:r>
      <w:r w:rsidR="00322158">
        <w:rPr>
          <w:rFonts w:ascii="Arial" w:hAnsi="Arial" w:cs="Arial"/>
          <w:bCs/>
        </w:rPr>
        <w:t>5</w:t>
      </w:r>
      <w:r w:rsidRPr="001641DA">
        <w:rPr>
          <w:rFonts w:ascii="Arial" w:hAnsi="Arial" w:cs="Arial"/>
          <w:bCs/>
        </w:rPr>
        <w:t>] reported that weed-free plots recorded the lowest nutrient uptake by weeds (3.37 kg N, 0.64 kg P, and 3.76 kg K ha</w:t>
      </w:r>
      <w:r w:rsidRPr="001641DA">
        <w:rPr>
          <w:rFonts w:ascii="Cambria Math" w:hAnsi="Cambria Math" w:cs="Cambria Math"/>
          <w:bCs/>
        </w:rPr>
        <w:t>⁻</w:t>
      </w:r>
      <w:r w:rsidRPr="001641DA">
        <w:rPr>
          <w:rFonts w:ascii="Arial" w:hAnsi="Arial" w:cs="Arial"/>
          <w:bCs/>
        </w:rPr>
        <w:t xml:space="preserve">¹). Among chemical treatments, the combination of pretilachlor (750 g </w:t>
      </w:r>
      <w:proofErr w:type="spellStart"/>
      <w:r w:rsidRPr="001641DA">
        <w:rPr>
          <w:rFonts w:ascii="Arial" w:hAnsi="Arial" w:cs="Arial"/>
          <w:bCs/>
        </w:rPr>
        <w:t>a.i.</w:t>
      </w:r>
      <w:proofErr w:type="spellEnd"/>
      <w:r w:rsidRPr="001641DA">
        <w:rPr>
          <w:rFonts w:ascii="Arial" w:hAnsi="Arial" w:cs="Arial"/>
          <w:bCs/>
        </w:rPr>
        <w:t xml:space="preserve"> ha</w:t>
      </w:r>
      <w:r w:rsidRPr="001641DA">
        <w:rPr>
          <w:rFonts w:ascii="Cambria Math" w:hAnsi="Cambria Math" w:cs="Cambria Math"/>
          <w:bCs/>
        </w:rPr>
        <w:t>⁻</w:t>
      </w:r>
      <w:r w:rsidRPr="001641DA">
        <w:rPr>
          <w:rFonts w:ascii="Arial" w:hAnsi="Arial" w:cs="Arial"/>
          <w:bCs/>
        </w:rPr>
        <w:t xml:space="preserve">¹) at 3 DAT followed by </w:t>
      </w:r>
      <w:proofErr w:type="spellStart"/>
      <w:r w:rsidRPr="001641DA">
        <w:rPr>
          <w:rFonts w:ascii="Arial" w:hAnsi="Arial" w:cs="Arial"/>
          <w:bCs/>
        </w:rPr>
        <w:t>penoxsulam</w:t>
      </w:r>
      <w:proofErr w:type="spellEnd"/>
      <w:r w:rsidRPr="001641DA">
        <w:rPr>
          <w:rFonts w:ascii="Arial" w:hAnsi="Arial" w:cs="Arial"/>
          <w:bCs/>
        </w:rPr>
        <w:t xml:space="preserve"> (22 g </w:t>
      </w:r>
      <w:proofErr w:type="spellStart"/>
      <w:r w:rsidRPr="001641DA">
        <w:rPr>
          <w:rFonts w:ascii="Arial" w:hAnsi="Arial" w:cs="Arial"/>
          <w:bCs/>
        </w:rPr>
        <w:t>a.i.</w:t>
      </w:r>
      <w:proofErr w:type="spellEnd"/>
      <w:r w:rsidRPr="001641DA">
        <w:rPr>
          <w:rFonts w:ascii="Arial" w:hAnsi="Arial" w:cs="Arial"/>
          <w:bCs/>
        </w:rPr>
        <w:t xml:space="preserve"> ha</w:t>
      </w:r>
      <w:r w:rsidRPr="001641DA">
        <w:rPr>
          <w:rFonts w:ascii="Cambria Math" w:hAnsi="Cambria Math" w:cs="Cambria Math"/>
          <w:bCs/>
        </w:rPr>
        <w:t>⁻</w:t>
      </w:r>
      <w:r w:rsidRPr="001641DA">
        <w:rPr>
          <w:rFonts w:ascii="Arial" w:hAnsi="Arial" w:cs="Arial"/>
          <w:bCs/>
        </w:rPr>
        <w:t xml:space="preserve">¹) at 20 DAT </w:t>
      </w:r>
      <w:r w:rsidRPr="001641DA">
        <w:rPr>
          <w:rFonts w:ascii="Arial" w:hAnsi="Arial" w:cs="Arial"/>
          <w:bCs/>
        </w:rPr>
        <w:lastRenderedPageBreak/>
        <w:t>minimized nutrient removal by weeds (4.03 kg N, 0.84 kg P, and 4.62 kg K ha</w:t>
      </w:r>
      <w:r w:rsidRPr="001641DA">
        <w:rPr>
          <w:rFonts w:ascii="Cambria Math" w:hAnsi="Cambria Math" w:cs="Cambria Math"/>
          <w:bCs/>
        </w:rPr>
        <w:t>⁻</w:t>
      </w:r>
      <w:r w:rsidRPr="001641DA">
        <w:rPr>
          <w:rFonts w:ascii="Arial" w:hAnsi="Arial" w:cs="Arial"/>
          <w:bCs/>
        </w:rPr>
        <w:t>¹), highlighting the importance of timely and appropriate weed control interventions.</w:t>
      </w:r>
    </w:p>
    <w:p w14:paraId="66F084A8" w14:textId="5FBF63E1" w:rsidR="00AB1A9C" w:rsidRPr="001641DA" w:rsidRDefault="00AB1A9C" w:rsidP="00AB1A9C">
      <w:pPr>
        <w:ind w:firstLine="720"/>
        <w:jc w:val="both"/>
        <w:rPr>
          <w:rFonts w:ascii="Arial" w:hAnsi="Arial" w:cs="Arial"/>
          <w:bCs/>
        </w:rPr>
      </w:pPr>
      <w:r w:rsidRPr="001641DA">
        <w:rPr>
          <w:rFonts w:ascii="Arial" w:hAnsi="Arial" w:cs="Arial"/>
          <w:bCs/>
        </w:rPr>
        <w:t>Weeds are universal pests in rice that often exceed tolerable levels across all seasons, causing not only nutrient depletion but also increased costs related to land preparation, cultural practices, and weed management operations, along with reductions in both yield quantity and quality. Effective weed control has been shown to increase grain yield by up to 85% [</w:t>
      </w:r>
      <w:r w:rsidR="00322158">
        <w:rPr>
          <w:rFonts w:ascii="Arial" w:hAnsi="Arial" w:cs="Arial"/>
          <w:bCs/>
        </w:rPr>
        <w:t>6</w:t>
      </w:r>
      <w:r w:rsidRPr="001641DA">
        <w:rPr>
          <w:rFonts w:ascii="Arial" w:hAnsi="Arial" w:cs="Arial"/>
          <w:bCs/>
        </w:rPr>
        <w:t>]. Therefore, timely and efficient weed management is crucial in transplanted rice to reduce nutrient losses to weeds, enhance nutrient use efficiency, and achieve higher productivity.</w:t>
      </w:r>
    </w:p>
    <w:p w14:paraId="1AF723A4" w14:textId="77777777" w:rsidR="00AB1A9C" w:rsidRDefault="00AB1A9C" w:rsidP="00441B6F">
      <w:pPr>
        <w:pStyle w:val="Body"/>
        <w:spacing w:after="0"/>
        <w:rPr>
          <w:rFonts w:ascii="Arial" w:hAnsi="Arial" w:cs="Arial"/>
        </w:rPr>
      </w:pPr>
    </w:p>
    <w:p w14:paraId="12E7A449" w14:textId="305EC96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B13208" w14:textId="77777777" w:rsidR="00E11939" w:rsidRPr="001641DA" w:rsidRDefault="00AB1A9C" w:rsidP="00AB1A9C">
      <w:pPr>
        <w:ind w:firstLine="720"/>
        <w:jc w:val="both"/>
        <w:rPr>
          <w:rFonts w:ascii="Arial" w:hAnsi="Arial" w:cs="Arial"/>
        </w:rPr>
      </w:pPr>
      <w:r w:rsidRPr="001641DA">
        <w:rPr>
          <w:rFonts w:ascii="Arial" w:hAnsi="Arial" w:cs="Arial"/>
        </w:rPr>
        <w:t>The field experiment was conducted at Military farm, Agriculture Research Institute (ARI) Main farm, Rajendranagar, Hyderabad situated in Southern Telangana Zone. The farm is located geographically at 17</w:t>
      </w:r>
      <w:r w:rsidRPr="001641DA">
        <w:rPr>
          <w:rFonts w:ascii="Arial" w:hAnsi="Arial" w:cs="Arial"/>
          <w:vertAlign w:val="superscript"/>
        </w:rPr>
        <w:t>0</w:t>
      </w:r>
      <w:r w:rsidRPr="001641DA">
        <w:rPr>
          <w:rFonts w:ascii="Arial" w:hAnsi="Arial" w:cs="Arial"/>
        </w:rPr>
        <w:t>19' 16.4" North latitude and 78</w:t>
      </w:r>
      <w:r w:rsidRPr="001641DA">
        <w:rPr>
          <w:rFonts w:ascii="Arial" w:hAnsi="Arial" w:cs="Arial"/>
          <w:vertAlign w:val="superscript"/>
        </w:rPr>
        <w:t>0</w:t>
      </w:r>
      <w:r w:rsidRPr="001641DA">
        <w:rPr>
          <w:rFonts w:ascii="Arial" w:hAnsi="Arial" w:cs="Arial"/>
        </w:rPr>
        <w:t xml:space="preserve"> 24' 43" East longitude and at an altitude of 542.3 m above mean sea level. </w:t>
      </w:r>
    </w:p>
    <w:p w14:paraId="4839D8CF" w14:textId="0E47162E" w:rsidR="00E11939" w:rsidRPr="001641DA" w:rsidRDefault="00E11939" w:rsidP="00AB1A9C">
      <w:pPr>
        <w:ind w:firstLine="720"/>
        <w:jc w:val="both"/>
        <w:rPr>
          <w:rFonts w:ascii="Arial" w:hAnsi="Arial" w:cs="Arial"/>
        </w:rPr>
      </w:pPr>
      <w:r w:rsidRPr="001641DA">
        <w:rPr>
          <w:rFonts w:ascii="Arial" w:hAnsi="Arial" w:cs="Arial"/>
        </w:rPr>
        <w:t>The climate of Hyderabad is semi-arid tropical type. The average annual rainfall of this region is 821.7 mm. The average annual temperature of the region is 26.6˚C and the monthly mean maximum and minimum temperatures ranged between 21-33˚C. The summer season (March–June) is hot and humid, with a temperature of 30 ˚C. Maximum temperatures often exceed 40 °C in the months of April and May. The coolest temperatures occur in the month of December and January. Temperature occasionally drops to 10 °C. More than 75 % of rainfall is received from S-W monsoon and occurs between June to September.</w:t>
      </w:r>
    </w:p>
    <w:p w14:paraId="30A69616" w14:textId="13EB0470" w:rsidR="00AB1A9C" w:rsidRPr="001641DA" w:rsidRDefault="00AB1A9C" w:rsidP="00AB1A9C">
      <w:pPr>
        <w:ind w:firstLine="720"/>
        <w:jc w:val="both"/>
        <w:rPr>
          <w:rFonts w:ascii="Arial" w:hAnsi="Arial" w:cs="Arial"/>
        </w:rPr>
      </w:pPr>
      <w:r w:rsidRPr="001641DA">
        <w:rPr>
          <w:rFonts w:ascii="Arial" w:hAnsi="Arial" w:cs="Arial"/>
        </w:rPr>
        <w:t xml:space="preserve">This experiment was conducted during the </w:t>
      </w:r>
      <w:r w:rsidRPr="001641DA">
        <w:rPr>
          <w:rFonts w:ascii="Arial" w:hAnsi="Arial" w:cs="Arial"/>
          <w:i/>
          <w:iCs/>
        </w:rPr>
        <w:t xml:space="preserve">kharif </w:t>
      </w:r>
      <w:r w:rsidRPr="001641DA">
        <w:rPr>
          <w:rFonts w:ascii="Arial" w:hAnsi="Arial" w:cs="Arial"/>
        </w:rPr>
        <w:t>2023</w:t>
      </w:r>
      <w:r w:rsidR="00E11939" w:rsidRPr="001641DA">
        <w:rPr>
          <w:rFonts w:ascii="Arial" w:hAnsi="Arial" w:cs="Arial"/>
        </w:rPr>
        <w:t xml:space="preserve"> </w:t>
      </w:r>
      <w:r w:rsidRPr="001641DA">
        <w:rPr>
          <w:rFonts w:ascii="Arial" w:hAnsi="Arial" w:cs="Arial"/>
        </w:rPr>
        <w:t>to evaluate the suitable nozzle for drone-based herbicide spraying of triafamone + ethoxysulfron. The experiment was laid out in randomized block design (RBD) and had 3 replications and 8 treatments</w:t>
      </w:r>
      <w:r w:rsidR="00E11939" w:rsidRPr="001641DA">
        <w:rPr>
          <w:rFonts w:ascii="Arial" w:hAnsi="Arial" w:cs="Arial"/>
        </w:rPr>
        <w:t xml:space="preserve"> and the soil type was clay loam soils</w:t>
      </w:r>
      <w:r w:rsidRPr="001641DA">
        <w:rPr>
          <w:rFonts w:ascii="Arial" w:hAnsi="Arial" w:cs="Arial"/>
        </w:rPr>
        <w:t xml:space="preserve">. Treatments include herbicide spray with drone using different nozzles </w:t>
      </w:r>
      <w:r w:rsidRPr="001641DA">
        <w:rPr>
          <w:rFonts w:ascii="Arial" w:hAnsi="Arial" w:cs="Arial"/>
          <w:i/>
          <w:iCs/>
        </w:rPr>
        <w:t>i.e.,</w:t>
      </w:r>
      <w:r w:rsidRPr="001641DA">
        <w:rPr>
          <w:rFonts w:ascii="Arial" w:hAnsi="Arial" w:cs="Arial"/>
        </w:rPr>
        <w:t xml:space="preserve"> XR11002VP, AIXR110015VS, DG 110015VS, DG95015EVS and SJ7A015VP, manual spray was done using knapsack sprayer using the flat fan nozzle, hand weeding and unweeded check. A pre-emergence herbicide, pretilachlor 6% GR bensulfuron methyl 0.6% 10 kg ha</w:t>
      </w:r>
      <w:r w:rsidRPr="001641DA">
        <w:rPr>
          <w:rFonts w:ascii="Arial" w:hAnsi="Arial" w:cs="Arial"/>
          <w:vertAlign w:val="superscript"/>
        </w:rPr>
        <w:t>-1</w:t>
      </w:r>
      <w:r w:rsidRPr="001641DA">
        <w:rPr>
          <w:rFonts w:ascii="Arial" w:hAnsi="Arial" w:cs="Arial"/>
        </w:rPr>
        <w:t xml:space="preserve"> at 3 DAT was applied uniformly, post emergence herbicide triafamone 20% + ethoxysulfron 10%WG 44+22.5 g </w:t>
      </w:r>
      <w:r w:rsidRPr="001641DA">
        <w:rPr>
          <w:rFonts w:ascii="Arial" w:hAnsi="Arial" w:cs="Arial"/>
          <w:bCs/>
        </w:rPr>
        <w:t>ha</w:t>
      </w:r>
      <w:r w:rsidRPr="001641DA">
        <w:rPr>
          <w:rFonts w:ascii="Arial" w:hAnsi="Arial" w:cs="Arial"/>
          <w:bCs/>
          <w:vertAlign w:val="superscript"/>
        </w:rPr>
        <w:t>-1</w:t>
      </w:r>
      <w:r w:rsidRPr="001641DA">
        <w:rPr>
          <w:rFonts w:ascii="Arial" w:hAnsi="Arial" w:cs="Arial"/>
        </w:rPr>
        <w:t xml:space="preserve"> was applied at 20 DAT. This study also focused on the amount of chemical that is lost through drift and calculation of the drift percentage.</w:t>
      </w:r>
    </w:p>
    <w:p w14:paraId="01D88963" w14:textId="77777777" w:rsidR="00AB1A9C" w:rsidRPr="001641DA" w:rsidRDefault="00AB1A9C" w:rsidP="00AB1A9C">
      <w:pPr>
        <w:ind w:firstLine="720"/>
        <w:jc w:val="both"/>
        <w:rPr>
          <w:rFonts w:ascii="Arial" w:hAnsi="Arial" w:cs="Arial"/>
        </w:rPr>
      </w:pPr>
      <w:r w:rsidRPr="001641DA">
        <w:rPr>
          <w:rFonts w:ascii="Arial" w:hAnsi="Arial" w:cs="Arial"/>
        </w:rPr>
        <w:t>The experimental field, had a gross plot size of 50 m × 8 m and with a clayey loam soil type and the spray fluid used by the drone spraying was 40 L ha</w:t>
      </w:r>
      <w:r w:rsidRPr="001641DA">
        <w:rPr>
          <w:rFonts w:ascii="Arial" w:hAnsi="Arial" w:cs="Arial"/>
          <w:vertAlign w:val="superscript"/>
        </w:rPr>
        <w:t>-1</w:t>
      </w:r>
      <w:r w:rsidRPr="001641DA">
        <w:rPr>
          <w:rFonts w:ascii="Arial" w:hAnsi="Arial" w:cs="Arial"/>
        </w:rPr>
        <w:t xml:space="preserve"> and with the knapsack sprayer it was 500 L ha</w:t>
      </w:r>
      <w:r w:rsidRPr="001641DA">
        <w:rPr>
          <w:rFonts w:ascii="Arial" w:hAnsi="Arial" w:cs="Arial"/>
          <w:vertAlign w:val="superscript"/>
        </w:rPr>
        <w:t>-1</w:t>
      </w:r>
      <w:r w:rsidRPr="001641DA">
        <w:rPr>
          <w:rFonts w:ascii="Arial" w:hAnsi="Arial" w:cs="Arial"/>
        </w:rPr>
        <w:t xml:space="preserve"> and was sprayed from a height of 1.5 m above the crop canopy.</w:t>
      </w:r>
    </w:p>
    <w:p w14:paraId="1F590A49" w14:textId="77777777" w:rsidR="001641DA" w:rsidRDefault="001641DA" w:rsidP="001641DA">
      <w:pPr>
        <w:jc w:val="both"/>
        <w:rPr>
          <w:rFonts w:ascii="Arial" w:hAnsi="Arial" w:cs="Arial"/>
          <w:b/>
        </w:rPr>
      </w:pPr>
    </w:p>
    <w:p w14:paraId="7B3F0339" w14:textId="46A3D434" w:rsidR="00E11939" w:rsidRPr="001641DA" w:rsidRDefault="00E11939" w:rsidP="001641DA">
      <w:pPr>
        <w:pStyle w:val="ListParagraph"/>
        <w:numPr>
          <w:ilvl w:val="0"/>
          <w:numId w:val="35"/>
        </w:numPr>
        <w:jc w:val="both"/>
        <w:rPr>
          <w:rFonts w:ascii="Arial" w:hAnsi="Arial" w:cs="Arial"/>
          <w:b/>
        </w:rPr>
      </w:pPr>
      <w:r w:rsidRPr="001641DA">
        <w:rPr>
          <w:rFonts w:ascii="Arial" w:hAnsi="Arial" w:cs="Arial"/>
          <w:b/>
        </w:rPr>
        <w:t>Weed management</w:t>
      </w:r>
    </w:p>
    <w:p w14:paraId="7030F59A" w14:textId="77777777" w:rsidR="0090247E" w:rsidRPr="001641DA" w:rsidRDefault="00E11939" w:rsidP="00AB1A9C">
      <w:pPr>
        <w:jc w:val="both"/>
        <w:rPr>
          <w:rFonts w:ascii="Arial" w:hAnsi="Arial" w:cs="Arial"/>
          <w:bCs/>
        </w:rPr>
      </w:pPr>
      <w:r w:rsidRPr="001641DA">
        <w:rPr>
          <w:rFonts w:ascii="Arial" w:hAnsi="Arial" w:cs="Arial"/>
          <w:bCs/>
        </w:rPr>
        <w:t>Weed management Application of pre-emergence herbicides (Pretilachlor 6% GR + bensulfuron methyl 0.6% @ 10 kg ha</w:t>
      </w:r>
      <w:r w:rsidRPr="001641DA">
        <w:rPr>
          <w:rFonts w:ascii="Arial" w:hAnsi="Arial" w:cs="Arial"/>
          <w:bCs/>
          <w:vertAlign w:val="superscript"/>
        </w:rPr>
        <w:t>-1</w:t>
      </w:r>
      <w:r w:rsidRPr="001641DA">
        <w:rPr>
          <w:rFonts w:ascii="Arial" w:hAnsi="Arial" w:cs="Arial"/>
          <w:bCs/>
        </w:rPr>
        <w:t xml:space="preserve">) was done at 3 DAT. Application of post emergence herbicide (Triafamone 20%+ ethoxysulfron 10%WG @ 44+22.5 g ha-1) was done using the knapsack sprayer and drone using different nozzles at 2-3 leaf stage of weeds (20 DAT). </w:t>
      </w:r>
      <w:r w:rsidRPr="001641DA">
        <w:rPr>
          <w:rFonts w:ascii="Arial" w:hAnsi="Arial" w:cs="Arial"/>
          <w:b/>
        </w:rPr>
        <w:t>Details of the herbicide used in the study</w:t>
      </w:r>
      <w:r w:rsidRPr="001641DA">
        <w:rPr>
          <w:rFonts w:ascii="Arial" w:hAnsi="Arial" w:cs="Arial"/>
          <w:bCs/>
        </w:rPr>
        <w:t xml:space="preserve"> </w:t>
      </w:r>
    </w:p>
    <w:p w14:paraId="18E104DF" w14:textId="77777777" w:rsidR="001641DA" w:rsidRDefault="001641DA" w:rsidP="00AB1A9C">
      <w:pPr>
        <w:jc w:val="both"/>
        <w:rPr>
          <w:rFonts w:ascii="Arial" w:hAnsi="Arial" w:cs="Arial"/>
          <w:bCs/>
        </w:rPr>
      </w:pPr>
    </w:p>
    <w:p w14:paraId="618198C7" w14:textId="53EF99B9" w:rsidR="00E11939" w:rsidRPr="001641DA" w:rsidRDefault="001641DA" w:rsidP="00AB1A9C">
      <w:pPr>
        <w:jc w:val="both"/>
        <w:rPr>
          <w:rFonts w:ascii="Arial" w:hAnsi="Arial" w:cs="Arial"/>
          <w:b/>
        </w:rPr>
      </w:pPr>
      <w:r>
        <w:rPr>
          <w:rFonts w:ascii="Arial" w:hAnsi="Arial" w:cs="Arial"/>
          <w:b/>
        </w:rPr>
        <w:t xml:space="preserve">A. </w:t>
      </w:r>
      <w:r w:rsidR="00E11939" w:rsidRPr="001641DA">
        <w:rPr>
          <w:rFonts w:ascii="Arial" w:hAnsi="Arial" w:cs="Arial"/>
          <w:b/>
        </w:rPr>
        <w:t xml:space="preserve">Pretilachlor 6% GR + bensulfuron methyl 0.6% (Pre emergence) </w:t>
      </w:r>
    </w:p>
    <w:p w14:paraId="0B703F9B" w14:textId="77777777" w:rsidR="0090247E" w:rsidRPr="001641DA" w:rsidRDefault="0090247E" w:rsidP="0090247E">
      <w:pPr>
        <w:jc w:val="both"/>
        <w:rPr>
          <w:rFonts w:ascii="Arial" w:hAnsi="Arial" w:cs="Arial"/>
          <w:bCs/>
        </w:rPr>
      </w:pPr>
    </w:p>
    <w:p w14:paraId="37F9C586" w14:textId="074F32CB" w:rsidR="0090247E" w:rsidRPr="001641DA" w:rsidRDefault="0090247E" w:rsidP="0090247E">
      <w:pPr>
        <w:pStyle w:val="ListParagraph"/>
        <w:numPr>
          <w:ilvl w:val="0"/>
          <w:numId w:val="33"/>
        </w:numPr>
        <w:jc w:val="both"/>
        <w:rPr>
          <w:rFonts w:ascii="Arial" w:hAnsi="Arial" w:cs="Arial"/>
          <w:bCs/>
          <w:sz w:val="20"/>
          <w:szCs w:val="20"/>
        </w:rPr>
      </w:pPr>
      <w:r w:rsidRPr="001641DA">
        <w:rPr>
          <w:rFonts w:ascii="Arial" w:hAnsi="Arial" w:cs="Arial"/>
          <w:bCs/>
          <w:sz w:val="20"/>
          <w:szCs w:val="20"/>
        </w:rPr>
        <w:t>Pretilachlor - 2-chloro-2',6'-diethyl-N-(2-propoxyethyl) acetanilide Empirical formula – C</w:t>
      </w:r>
      <w:r w:rsidRPr="001641DA">
        <w:rPr>
          <w:rFonts w:ascii="Arial" w:hAnsi="Arial" w:cs="Arial"/>
          <w:bCs/>
          <w:sz w:val="20"/>
          <w:szCs w:val="20"/>
          <w:vertAlign w:val="subscript"/>
        </w:rPr>
        <w:t>17</w:t>
      </w:r>
      <w:r w:rsidRPr="001641DA">
        <w:rPr>
          <w:rFonts w:ascii="Arial" w:hAnsi="Arial" w:cs="Arial"/>
          <w:bCs/>
          <w:sz w:val="20"/>
          <w:szCs w:val="20"/>
        </w:rPr>
        <w:t>H</w:t>
      </w:r>
      <w:r w:rsidRPr="001641DA">
        <w:rPr>
          <w:rFonts w:ascii="Arial" w:hAnsi="Arial" w:cs="Arial"/>
          <w:bCs/>
          <w:sz w:val="20"/>
          <w:szCs w:val="20"/>
          <w:vertAlign w:val="subscript"/>
        </w:rPr>
        <w:t>26</w:t>
      </w:r>
      <w:r w:rsidRPr="001641DA">
        <w:rPr>
          <w:rFonts w:ascii="Arial" w:hAnsi="Arial" w:cs="Arial"/>
          <w:bCs/>
          <w:sz w:val="20"/>
          <w:szCs w:val="20"/>
        </w:rPr>
        <w:t>ClNO</w:t>
      </w:r>
    </w:p>
    <w:p w14:paraId="2ED8F023" w14:textId="0BF0BC73" w:rsidR="0090247E" w:rsidRPr="001641DA" w:rsidRDefault="0090247E" w:rsidP="0090247E">
      <w:pPr>
        <w:pStyle w:val="ListParagraph"/>
        <w:jc w:val="center"/>
        <w:rPr>
          <w:rFonts w:ascii="Arial" w:hAnsi="Arial" w:cs="Arial"/>
          <w:bCs/>
          <w:sz w:val="20"/>
          <w:szCs w:val="20"/>
        </w:rPr>
      </w:pPr>
      <w:r w:rsidRPr="001641DA">
        <w:rPr>
          <w:rFonts w:ascii="Arial" w:hAnsi="Arial" w:cs="Arial"/>
          <w:bCs/>
          <w:noProof/>
          <w:sz w:val="20"/>
          <w:szCs w:val="20"/>
        </w:rPr>
        <w:lastRenderedPageBreak/>
        <w:drawing>
          <wp:inline distT="0" distB="0" distL="0" distR="0" wp14:anchorId="2D7A3629" wp14:editId="447C8714">
            <wp:extent cx="3600953" cy="1905266"/>
            <wp:effectExtent l="0" t="0" r="0" b="0"/>
            <wp:docPr id="11725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01060" name=""/>
                    <pic:cNvPicPr/>
                  </pic:nvPicPr>
                  <pic:blipFill>
                    <a:blip r:embed="rId14"/>
                    <a:stretch>
                      <a:fillRect/>
                    </a:stretch>
                  </pic:blipFill>
                  <pic:spPr>
                    <a:xfrm>
                      <a:off x="0" y="0"/>
                      <a:ext cx="3600953" cy="1905266"/>
                    </a:xfrm>
                    <a:prstGeom prst="rect">
                      <a:avLst/>
                    </a:prstGeom>
                  </pic:spPr>
                </pic:pic>
              </a:graphicData>
            </a:graphic>
          </wp:inline>
        </w:drawing>
      </w:r>
    </w:p>
    <w:p w14:paraId="5DED0B51" w14:textId="10442994" w:rsidR="0090247E" w:rsidRPr="001641DA" w:rsidRDefault="0090247E" w:rsidP="0090247E">
      <w:pPr>
        <w:pStyle w:val="ListParagraph"/>
        <w:jc w:val="center"/>
        <w:rPr>
          <w:rFonts w:ascii="Arial" w:hAnsi="Arial" w:cs="Arial"/>
          <w:bCs/>
          <w:sz w:val="20"/>
          <w:szCs w:val="20"/>
          <w:lang w:val="en-US"/>
        </w:rPr>
      </w:pPr>
      <w:r w:rsidRPr="001641DA">
        <w:rPr>
          <w:rFonts w:ascii="Arial" w:hAnsi="Arial" w:cs="Arial"/>
          <w:bCs/>
          <w:sz w:val="20"/>
          <w:szCs w:val="20"/>
          <w:lang w:val="en-US"/>
        </w:rPr>
        <w:t>Fig.</w:t>
      </w:r>
      <w:proofErr w:type="gramStart"/>
      <w:r w:rsidR="00B66F93">
        <w:rPr>
          <w:rFonts w:ascii="Arial" w:hAnsi="Arial" w:cs="Arial"/>
          <w:bCs/>
          <w:sz w:val="20"/>
          <w:szCs w:val="20"/>
          <w:lang w:val="en-US"/>
        </w:rPr>
        <w:t>1</w:t>
      </w:r>
      <w:r w:rsidRPr="001641DA">
        <w:rPr>
          <w:rFonts w:ascii="Arial" w:hAnsi="Arial" w:cs="Arial"/>
          <w:bCs/>
          <w:sz w:val="20"/>
          <w:szCs w:val="20"/>
          <w:lang w:val="en-US"/>
        </w:rPr>
        <w:t xml:space="preserve">  Pretilachlor</w:t>
      </w:r>
      <w:proofErr w:type="gramEnd"/>
      <w:r w:rsidRPr="001641DA">
        <w:rPr>
          <w:rFonts w:ascii="Arial" w:hAnsi="Arial" w:cs="Arial"/>
          <w:bCs/>
          <w:sz w:val="20"/>
          <w:szCs w:val="20"/>
          <w:lang w:val="en-US"/>
        </w:rPr>
        <w:t xml:space="preserve"> herbicide molecule skeletal formula</w:t>
      </w:r>
    </w:p>
    <w:p w14:paraId="26B8AF2B" w14:textId="77777777" w:rsidR="0090247E" w:rsidRPr="001641DA" w:rsidRDefault="0090247E" w:rsidP="0090247E">
      <w:pPr>
        <w:pStyle w:val="ListParagraph"/>
        <w:ind w:firstLine="720"/>
        <w:jc w:val="both"/>
        <w:rPr>
          <w:rFonts w:ascii="Arial" w:hAnsi="Arial" w:cs="Arial"/>
          <w:bCs/>
          <w:sz w:val="20"/>
          <w:szCs w:val="20"/>
          <w:lang w:val="en-US"/>
        </w:rPr>
      </w:pPr>
    </w:p>
    <w:p w14:paraId="2ABE7A61" w14:textId="06D7FAAF" w:rsidR="0090247E" w:rsidRPr="001641DA" w:rsidRDefault="0090247E" w:rsidP="0090247E">
      <w:pPr>
        <w:pStyle w:val="ListParagraph"/>
        <w:ind w:firstLine="720"/>
        <w:jc w:val="both"/>
        <w:rPr>
          <w:rFonts w:ascii="Arial" w:hAnsi="Arial" w:cs="Arial"/>
          <w:bCs/>
          <w:sz w:val="20"/>
          <w:szCs w:val="20"/>
          <w:lang w:val="en-US"/>
        </w:rPr>
      </w:pPr>
      <w:r w:rsidRPr="001641DA">
        <w:rPr>
          <w:rFonts w:ascii="Arial" w:hAnsi="Arial" w:cs="Arial"/>
          <w:bCs/>
          <w:sz w:val="20"/>
          <w:szCs w:val="20"/>
          <w:lang w:val="en-US"/>
        </w:rPr>
        <w:t>A selective herbicide used to control the most common weeds found in paddy crops. It controls annual grasses and broad-leaved weeds including Echinochloa Beauvois, Cyperus difformis, Monochoria vaginalis and Sedges.</w:t>
      </w:r>
    </w:p>
    <w:p w14:paraId="06B43DFF" w14:textId="77777777" w:rsidR="0090247E" w:rsidRPr="001641DA" w:rsidRDefault="0090247E" w:rsidP="0090247E">
      <w:pPr>
        <w:pStyle w:val="ListParagraph"/>
        <w:jc w:val="center"/>
        <w:rPr>
          <w:rFonts w:ascii="Arial" w:hAnsi="Arial" w:cs="Arial"/>
          <w:bCs/>
          <w:sz w:val="20"/>
          <w:szCs w:val="20"/>
          <w:lang w:val="en-US"/>
        </w:rPr>
      </w:pPr>
    </w:p>
    <w:p w14:paraId="4F750F03" w14:textId="2148EBFF" w:rsidR="0090247E" w:rsidRPr="001641DA" w:rsidRDefault="0090247E" w:rsidP="0090247E">
      <w:pPr>
        <w:pStyle w:val="ListParagraph"/>
        <w:numPr>
          <w:ilvl w:val="0"/>
          <w:numId w:val="33"/>
        </w:numPr>
        <w:rPr>
          <w:rFonts w:ascii="Arial" w:hAnsi="Arial" w:cs="Arial"/>
          <w:bCs/>
          <w:sz w:val="20"/>
          <w:szCs w:val="20"/>
        </w:rPr>
      </w:pPr>
      <w:r w:rsidRPr="001641DA">
        <w:rPr>
          <w:rFonts w:ascii="Arial" w:hAnsi="Arial" w:cs="Arial"/>
          <w:bCs/>
          <w:sz w:val="20"/>
          <w:szCs w:val="20"/>
          <w:lang w:val="en-US"/>
        </w:rPr>
        <w:t xml:space="preserve">Bensulfuron methyl - Methyl α- [(4,6-dimethoxypyrimidin-2 </w:t>
      </w:r>
      <w:proofErr w:type="spellStart"/>
      <w:r w:rsidRPr="001641DA">
        <w:rPr>
          <w:rFonts w:ascii="Arial" w:hAnsi="Arial" w:cs="Arial"/>
          <w:bCs/>
          <w:sz w:val="20"/>
          <w:szCs w:val="20"/>
          <w:lang w:val="en-US"/>
        </w:rPr>
        <w:t>ylcarbamoyl</w:t>
      </w:r>
      <w:proofErr w:type="spellEnd"/>
      <w:r w:rsidRPr="001641DA">
        <w:rPr>
          <w:rFonts w:ascii="Arial" w:hAnsi="Arial" w:cs="Arial"/>
          <w:bCs/>
          <w:sz w:val="20"/>
          <w:szCs w:val="20"/>
          <w:lang w:val="en-US"/>
        </w:rPr>
        <w:t xml:space="preserve">) </w:t>
      </w:r>
      <w:proofErr w:type="spellStart"/>
      <w:r w:rsidRPr="001641DA">
        <w:rPr>
          <w:rFonts w:ascii="Arial" w:hAnsi="Arial" w:cs="Arial"/>
          <w:bCs/>
          <w:sz w:val="20"/>
          <w:szCs w:val="20"/>
          <w:lang w:val="en-US"/>
        </w:rPr>
        <w:t>sulfamoyl</w:t>
      </w:r>
      <w:proofErr w:type="spellEnd"/>
      <w:r w:rsidRPr="001641DA">
        <w:rPr>
          <w:rFonts w:ascii="Arial" w:hAnsi="Arial" w:cs="Arial"/>
          <w:bCs/>
          <w:sz w:val="20"/>
          <w:szCs w:val="20"/>
          <w:lang w:val="en-US"/>
        </w:rPr>
        <w:t>]-o-</w:t>
      </w:r>
      <w:proofErr w:type="spellStart"/>
      <w:r w:rsidRPr="001641DA">
        <w:rPr>
          <w:rFonts w:ascii="Arial" w:hAnsi="Arial" w:cs="Arial"/>
          <w:bCs/>
          <w:sz w:val="20"/>
          <w:szCs w:val="20"/>
          <w:lang w:val="en-US"/>
        </w:rPr>
        <w:t>toluate</w:t>
      </w:r>
      <w:proofErr w:type="spellEnd"/>
      <w:r w:rsidRPr="001641DA">
        <w:rPr>
          <w:rFonts w:ascii="Arial" w:hAnsi="Arial" w:cs="Arial"/>
          <w:bCs/>
          <w:sz w:val="20"/>
          <w:szCs w:val="20"/>
          <w:lang w:val="en-US"/>
        </w:rPr>
        <w:t xml:space="preserve"> Empirical formula – C</w:t>
      </w:r>
      <w:r w:rsidRPr="001641DA">
        <w:rPr>
          <w:rFonts w:ascii="Arial" w:hAnsi="Arial" w:cs="Arial"/>
          <w:bCs/>
          <w:sz w:val="20"/>
          <w:szCs w:val="20"/>
          <w:vertAlign w:val="subscript"/>
          <w:lang w:val="en-US"/>
        </w:rPr>
        <w:t>16</w:t>
      </w:r>
      <w:r w:rsidRPr="001641DA">
        <w:rPr>
          <w:rFonts w:ascii="Arial" w:hAnsi="Arial" w:cs="Arial"/>
          <w:bCs/>
          <w:sz w:val="20"/>
          <w:szCs w:val="20"/>
          <w:lang w:val="en-US"/>
        </w:rPr>
        <w:t>H</w:t>
      </w:r>
      <w:r w:rsidRPr="001641DA">
        <w:rPr>
          <w:rFonts w:ascii="Arial" w:hAnsi="Arial" w:cs="Arial"/>
          <w:bCs/>
          <w:sz w:val="20"/>
          <w:szCs w:val="20"/>
          <w:vertAlign w:val="subscript"/>
          <w:lang w:val="en-US"/>
        </w:rPr>
        <w:t>18</w:t>
      </w:r>
      <w:r w:rsidRPr="001641DA">
        <w:rPr>
          <w:rFonts w:ascii="Arial" w:hAnsi="Arial" w:cs="Arial"/>
          <w:bCs/>
          <w:sz w:val="20"/>
          <w:szCs w:val="20"/>
          <w:lang w:val="en-US"/>
        </w:rPr>
        <w:t>N</w:t>
      </w:r>
      <w:r w:rsidRPr="001641DA">
        <w:rPr>
          <w:rFonts w:ascii="Arial" w:hAnsi="Arial" w:cs="Arial"/>
          <w:bCs/>
          <w:sz w:val="20"/>
          <w:szCs w:val="20"/>
          <w:vertAlign w:val="subscript"/>
          <w:lang w:val="en-US"/>
        </w:rPr>
        <w:t>4</w:t>
      </w:r>
      <w:r w:rsidRPr="001641DA">
        <w:rPr>
          <w:rFonts w:ascii="Arial" w:hAnsi="Arial" w:cs="Arial"/>
          <w:bCs/>
          <w:sz w:val="20"/>
          <w:szCs w:val="20"/>
          <w:lang w:val="en-US"/>
        </w:rPr>
        <w:t>O</w:t>
      </w:r>
      <w:r w:rsidRPr="001641DA">
        <w:rPr>
          <w:rFonts w:ascii="Arial" w:hAnsi="Arial" w:cs="Arial"/>
          <w:bCs/>
          <w:sz w:val="20"/>
          <w:szCs w:val="20"/>
          <w:vertAlign w:val="subscript"/>
          <w:lang w:val="en-US"/>
        </w:rPr>
        <w:t>7</w:t>
      </w:r>
      <w:r w:rsidRPr="001641DA">
        <w:rPr>
          <w:rFonts w:ascii="Arial" w:hAnsi="Arial" w:cs="Arial"/>
          <w:bCs/>
          <w:sz w:val="20"/>
          <w:szCs w:val="20"/>
          <w:lang w:val="en-US"/>
        </w:rPr>
        <w:t>S</w:t>
      </w:r>
    </w:p>
    <w:p w14:paraId="5D09EE4F" w14:textId="77777777" w:rsidR="00B27DA6" w:rsidRPr="001641DA" w:rsidRDefault="00B27DA6" w:rsidP="00B27DA6">
      <w:pPr>
        <w:pStyle w:val="ListParagraph"/>
        <w:rPr>
          <w:rFonts w:ascii="Arial" w:hAnsi="Arial" w:cs="Arial"/>
          <w:bCs/>
          <w:sz w:val="20"/>
          <w:szCs w:val="20"/>
        </w:rPr>
      </w:pPr>
    </w:p>
    <w:p w14:paraId="6C814EBD" w14:textId="31ED2755" w:rsidR="0090247E" w:rsidRPr="001641DA" w:rsidRDefault="0090247E" w:rsidP="0090247E">
      <w:pPr>
        <w:pStyle w:val="ListParagraph"/>
        <w:jc w:val="center"/>
        <w:rPr>
          <w:rFonts w:ascii="Arial" w:hAnsi="Arial" w:cs="Arial"/>
          <w:bCs/>
          <w:sz w:val="20"/>
          <w:szCs w:val="20"/>
        </w:rPr>
      </w:pPr>
      <w:r w:rsidRPr="001641DA">
        <w:rPr>
          <w:rFonts w:ascii="Arial" w:hAnsi="Arial" w:cs="Arial"/>
          <w:bCs/>
          <w:noProof/>
          <w:sz w:val="20"/>
          <w:szCs w:val="20"/>
        </w:rPr>
        <w:drawing>
          <wp:inline distT="0" distB="0" distL="0" distR="0" wp14:anchorId="720AA458" wp14:editId="6FF22E7F">
            <wp:extent cx="4108450" cy="1811801"/>
            <wp:effectExtent l="0" t="0" r="0" b="0"/>
            <wp:docPr id="1726570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70615" name=""/>
                    <pic:cNvPicPr/>
                  </pic:nvPicPr>
                  <pic:blipFill>
                    <a:blip r:embed="rId15"/>
                    <a:stretch>
                      <a:fillRect/>
                    </a:stretch>
                  </pic:blipFill>
                  <pic:spPr>
                    <a:xfrm>
                      <a:off x="0" y="0"/>
                      <a:ext cx="4118861" cy="1816392"/>
                    </a:xfrm>
                    <a:prstGeom prst="rect">
                      <a:avLst/>
                    </a:prstGeom>
                  </pic:spPr>
                </pic:pic>
              </a:graphicData>
            </a:graphic>
          </wp:inline>
        </w:drawing>
      </w:r>
    </w:p>
    <w:p w14:paraId="15800C1A" w14:textId="0652BF1E" w:rsidR="0090247E" w:rsidRPr="001641DA" w:rsidRDefault="0090247E" w:rsidP="0090247E">
      <w:pPr>
        <w:pStyle w:val="ListParagraph"/>
        <w:jc w:val="center"/>
        <w:rPr>
          <w:rFonts w:ascii="Arial" w:hAnsi="Arial" w:cs="Arial"/>
          <w:bCs/>
          <w:sz w:val="20"/>
          <w:szCs w:val="20"/>
          <w:lang w:val="en-US"/>
        </w:rPr>
      </w:pPr>
      <w:r w:rsidRPr="001641DA">
        <w:rPr>
          <w:rFonts w:ascii="Arial" w:hAnsi="Arial" w:cs="Arial"/>
          <w:bCs/>
          <w:sz w:val="20"/>
          <w:szCs w:val="20"/>
          <w:lang w:val="en-US"/>
        </w:rPr>
        <w:t xml:space="preserve">Fig. </w:t>
      </w:r>
      <w:r w:rsidR="00B66F93">
        <w:rPr>
          <w:rFonts w:ascii="Arial" w:hAnsi="Arial" w:cs="Arial"/>
          <w:bCs/>
          <w:sz w:val="20"/>
          <w:szCs w:val="20"/>
          <w:lang w:val="en-US"/>
        </w:rPr>
        <w:t>2</w:t>
      </w:r>
      <w:r w:rsidRPr="001641DA">
        <w:rPr>
          <w:rFonts w:ascii="Arial" w:hAnsi="Arial" w:cs="Arial"/>
          <w:bCs/>
          <w:sz w:val="20"/>
          <w:szCs w:val="20"/>
          <w:lang w:val="en-US"/>
        </w:rPr>
        <w:t xml:space="preserve"> </w:t>
      </w:r>
      <w:proofErr w:type="spellStart"/>
      <w:r w:rsidRPr="001641DA">
        <w:rPr>
          <w:rFonts w:ascii="Arial" w:hAnsi="Arial" w:cs="Arial"/>
          <w:bCs/>
          <w:sz w:val="20"/>
          <w:szCs w:val="20"/>
          <w:lang w:val="en-US"/>
        </w:rPr>
        <w:t>Bensulfuron</w:t>
      </w:r>
      <w:proofErr w:type="spellEnd"/>
      <w:r w:rsidRPr="001641DA">
        <w:rPr>
          <w:rFonts w:ascii="Arial" w:hAnsi="Arial" w:cs="Arial"/>
          <w:bCs/>
          <w:sz w:val="20"/>
          <w:szCs w:val="20"/>
          <w:lang w:val="en-US"/>
        </w:rPr>
        <w:t xml:space="preserve"> methyl herbicide molecule skeletal formula</w:t>
      </w:r>
    </w:p>
    <w:p w14:paraId="4B0A841C" w14:textId="77777777" w:rsidR="0090247E" w:rsidRPr="001641DA" w:rsidRDefault="0090247E" w:rsidP="0090247E">
      <w:pPr>
        <w:rPr>
          <w:rFonts w:ascii="Arial" w:hAnsi="Arial" w:cs="Arial"/>
          <w:bCs/>
        </w:rPr>
      </w:pPr>
    </w:p>
    <w:p w14:paraId="197CB4C3" w14:textId="17598601" w:rsidR="0090247E" w:rsidRPr="001641DA" w:rsidRDefault="0090247E" w:rsidP="0090247E">
      <w:pPr>
        <w:rPr>
          <w:rFonts w:ascii="Arial" w:hAnsi="Arial" w:cs="Arial"/>
          <w:bCs/>
        </w:rPr>
      </w:pPr>
      <w:r w:rsidRPr="001641DA">
        <w:rPr>
          <w:rFonts w:ascii="Arial" w:hAnsi="Arial" w:cs="Arial"/>
          <w:bCs/>
        </w:rPr>
        <w:t xml:space="preserve">Mode of Action - Selective, systemic action being absorbed through foliage and roots. Inhibits plant amino acid synthesis – </w:t>
      </w:r>
      <w:proofErr w:type="spellStart"/>
      <w:r w:rsidRPr="001641DA">
        <w:rPr>
          <w:rFonts w:ascii="Arial" w:hAnsi="Arial" w:cs="Arial"/>
          <w:bCs/>
        </w:rPr>
        <w:t>acetohydroxyacidsynthase</w:t>
      </w:r>
      <w:proofErr w:type="spellEnd"/>
      <w:r w:rsidRPr="001641DA">
        <w:rPr>
          <w:rFonts w:ascii="Arial" w:hAnsi="Arial" w:cs="Arial"/>
          <w:bCs/>
        </w:rPr>
        <w:t xml:space="preserve"> (AHAS). This herbicide used to control annual and perennial weeds and sedges.</w:t>
      </w:r>
    </w:p>
    <w:p w14:paraId="3AC04473" w14:textId="77777777" w:rsidR="0090247E" w:rsidRPr="001641DA" w:rsidRDefault="0090247E" w:rsidP="0090247E">
      <w:pPr>
        <w:rPr>
          <w:rFonts w:ascii="Arial" w:hAnsi="Arial" w:cs="Arial"/>
          <w:bCs/>
        </w:rPr>
      </w:pPr>
    </w:p>
    <w:p w14:paraId="715224D8" w14:textId="2FAE99F1" w:rsidR="0090247E" w:rsidRPr="001641DA" w:rsidRDefault="001641DA" w:rsidP="0090247E">
      <w:pPr>
        <w:rPr>
          <w:rFonts w:ascii="Arial" w:hAnsi="Arial" w:cs="Arial"/>
          <w:b/>
        </w:rPr>
      </w:pPr>
      <w:r>
        <w:rPr>
          <w:rFonts w:ascii="Arial" w:hAnsi="Arial" w:cs="Arial"/>
          <w:b/>
        </w:rPr>
        <w:t xml:space="preserve">B. </w:t>
      </w:r>
      <w:r w:rsidR="0090247E" w:rsidRPr="001641DA">
        <w:rPr>
          <w:rFonts w:ascii="Arial" w:hAnsi="Arial" w:cs="Arial"/>
          <w:b/>
        </w:rPr>
        <w:t>Triafamone 20%+ ethoxysulfron 10%WG 44+22.5 g ha-1 PoE</w:t>
      </w:r>
    </w:p>
    <w:p w14:paraId="0F90B097" w14:textId="72413D31" w:rsidR="0090247E" w:rsidRPr="001641DA" w:rsidRDefault="001641DA" w:rsidP="0090247E">
      <w:pPr>
        <w:rPr>
          <w:rFonts w:ascii="Arial" w:hAnsi="Arial" w:cs="Arial"/>
          <w:bCs/>
        </w:rPr>
      </w:pPr>
      <w:r>
        <w:rPr>
          <w:rFonts w:ascii="Arial" w:hAnsi="Arial" w:cs="Arial"/>
          <w:b/>
        </w:rPr>
        <w:t xml:space="preserve">a. </w:t>
      </w:r>
      <w:r w:rsidR="0090247E" w:rsidRPr="001641DA">
        <w:rPr>
          <w:rFonts w:ascii="Arial" w:hAnsi="Arial" w:cs="Arial"/>
          <w:b/>
        </w:rPr>
        <w:t>Triafamone:</w:t>
      </w:r>
      <w:r w:rsidR="0090247E" w:rsidRPr="001641DA">
        <w:rPr>
          <w:rFonts w:ascii="Arial" w:hAnsi="Arial" w:cs="Arial"/>
          <w:bCs/>
        </w:rPr>
        <w:t xml:space="preserve"> Triafamone (2’-[(4,6-dimethoxy-1,3,5-triazin-2-yl) carbonyl]- 1,1,6’- trifluoro N-</w:t>
      </w:r>
      <w:proofErr w:type="spellStart"/>
      <w:r w:rsidR="0090247E" w:rsidRPr="001641DA">
        <w:rPr>
          <w:rFonts w:ascii="Arial" w:hAnsi="Arial" w:cs="Arial"/>
          <w:bCs/>
        </w:rPr>
        <w:t>methylmethanesulfonanilid</w:t>
      </w:r>
      <w:proofErr w:type="spellEnd"/>
      <w:r w:rsidR="0090247E" w:rsidRPr="001641DA">
        <w:rPr>
          <w:rFonts w:ascii="Arial" w:hAnsi="Arial" w:cs="Arial"/>
          <w:bCs/>
        </w:rPr>
        <w:t xml:space="preserve"> Empirical formula - C14H13F3N4O5S</w:t>
      </w:r>
    </w:p>
    <w:p w14:paraId="62AD63BD" w14:textId="77777777" w:rsidR="00322158" w:rsidRDefault="00322158" w:rsidP="0090247E">
      <w:pPr>
        <w:rPr>
          <w:rFonts w:ascii="Arial" w:hAnsi="Arial" w:cs="Arial"/>
          <w:b/>
        </w:rPr>
      </w:pPr>
    </w:p>
    <w:p w14:paraId="623DA8C8" w14:textId="77777777" w:rsidR="00322158" w:rsidRDefault="00322158" w:rsidP="0090247E">
      <w:pPr>
        <w:rPr>
          <w:rFonts w:ascii="Arial" w:hAnsi="Arial" w:cs="Arial"/>
          <w:b/>
        </w:rPr>
      </w:pPr>
    </w:p>
    <w:p w14:paraId="02966C9C" w14:textId="77777777" w:rsidR="00322158" w:rsidRDefault="00322158" w:rsidP="0090247E">
      <w:pPr>
        <w:rPr>
          <w:rFonts w:ascii="Arial" w:hAnsi="Arial" w:cs="Arial"/>
          <w:b/>
        </w:rPr>
      </w:pPr>
    </w:p>
    <w:p w14:paraId="21AA2394" w14:textId="77777777" w:rsidR="00322158" w:rsidRDefault="00322158" w:rsidP="0090247E">
      <w:pPr>
        <w:rPr>
          <w:rFonts w:ascii="Arial" w:hAnsi="Arial" w:cs="Arial"/>
          <w:b/>
        </w:rPr>
      </w:pPr>
    </w:p>
    <w:p w14:paraId="37E20B66" w14:textId="77777777" w:rsidR="00322158" w:rsidRDefault="00322158" w:rsidP="0090247E">
      <w:pPr>
        <w:rPr>
          <w:rFonts w:ascii="Arial" w:hAnsi="Arial" w:cs="Arial"/>
          <w:b/>
        </w:rPr>
      </w:pPr>
    </w:p>
    <w:p w14:paraId="736DDFF9" w14:textId="77777777" w:rsidR="00322158" w:rsidRDefault="00322158" w:rsidP="0090247E">
      <w:pPr>
        <w:rPr>
          <w:rFonts w:ascii="Arial" w:hAnsi="Arial" w:cs="Arial"/>
          <w:b/>
        </w:rPr>
      </w:pPr>
    </w:p>
    <w:p w14:paraId="2BE6B4D1" w14:textId="77777777" w:rsidR="00322158" w:rsidRDefault="00322158" w:rsidP="0090247E">
      <w:pPr>
        <w:rPr>
          <w:rFonts w:ascii="Arial" w:hAnsi="Arial" w:cs="Arial"/>
          <w:b/>
        </w:rPr>
      </w:pPr>
    </w:p>
    <w:p w14:paraId="482CDE5C" w14:textId="77777777" w:rsidR="00322158" w:rsidRDefault="00322158" w:rsidP="0090247E">
      <w:pPr>
        <w:rPr>
          <w:rFonts w:ascii="Arial" w:hAnsi="Arial" w:cs="Arial"/>
          <w:b/>
        </w:rPr>
      </w:pPr>
    </w:p>
    <w:p w14:paraId="127D91B4" w14:textId="6405A8E2" w:rsidR="0090247E" w:rsidRPr="001641DA" w:rsidRDefault="0090247E" w:rsidP="0090247E">
      <w:pPr>
        <w:rPr>
          <w:rFonts w:ascii="Arial" w:hAnsi="Arial" w:cs="Arial"/>
          <w:b/>
        </w:rPr>
      </w:pPr>
      <w:r w:rsidRPr="001641DA">
        <w:rPr>
          <w:rFonts w:ascii="Arial" w:hAnsi="Arial" w:cs="Arial"/>
          <w:b/>
        </w:rPr>
        <w:lastRenderedPageBreak/>
        <w:t>Structural formula –</w:t>
      </w:r>
    </w:p>
    <w:p w14:paraId="5DA8ACE9" w14:textId="77777777" w:rsidR="00B27DA6" w:rsidRPr="001641DA" w:rsidRDefault="00B27DA6" w:rsidP="0090247E">
      <w:pPr>
        <w:rPr>
          <w:rFonts w:ascii="Arial" w:hAnsi="Arial" w:cs="Arial"/>
          <w:b/>
        </w:rPr>
      </w:pPr>
    </w:p>
    <w:p w14:paraId="6C07C9BF" w14:textId="23D92D39" w:rsidR="00B27DA6" w:rsidRPr="001641DA" w:rsidRDefault="00B27DA6" w:rsidP="00B27DA6">
      <w:pPr>
        <w:jc w:val="center"/>
        <w:rPr>
          <w:rFonts w:ascii="Arial" w:hAnsi="Arial" w:cs="Arial"/>
          <w:b/>
        </w:rPr>
      </w:pPr>
      <w:r w:rsidRPr="001641DA">
        <w:rPr>
          <w:rFonts w:ascii="Arial" w:hAnsi="Arial" w:cs="Arial"/>
          <w:b/>
          <w:noProof/>
        </w:rPr>
        <w:drawing>
          <wp:inline distT="0" distB="0" distL="0" distR="0" wp14:anchorId="78065845" wp14:editId="26754ADA">
            <wp:extent cx="3839111" cy="2572109"/>
            <wp:effectExtent l="0" t="0" r="9525" b="0"/>
            <wp:docPr id="193584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47543" name=""/>
                    <pic:cNvPicPr/>
                  </pic:nvPicPr>
                  <pic:blipFill>
                    <a:blip r:embed="rId16"/>
                    <a:stretch>
                      <a:fillRect/>
                    </a:stretch>
                  </pic:blipFill>
                  <pic:spPr>
                    <a:xfrm>
                      <a:off x="0" y="0"/>
                      <a:ext cx="3839111" cy="2572109"/>
                    </a:xfrm>
                    <a:prstGeom prst="rect">
                      <a:avLst/>
                    </a:prstGeom>
                  </pic:spPr>
                </pic:pic>
              </a:graphicData>
            </a:graphic>
          </wp:inline>
        </w:drawing>
      </w:r>
    </w:p>
    <w:p w14:paraId="1E451A97" w14:textId="78897C34" w:rsidR="0090247E" w:rsidRPr="001641DA" w:rsidRDefault="00B27DA6" w:rsidP="00B27DA6">
      <w:pPr>
        <w:jc w:val="center"/>
        <w:rPr>
          <w:rFonts w:ascii="Arial" w:hAnsi="Arial" w:cs="Arial"/>
          <w:bCs/>
        </w:rPr>
      </w:pPr>
      <w:r w:rsidRPr="001641DA">
        <w:rPr>
          <w:rFonts w:ascii="Arial" w:hAnsi="Arial" w:cs="Arial"/>
          <w:bCs/>
        </w:rPr>
        <w:t>Fig. 3. Triafamone herbicide molecule skeletal formula</w:t>
      </w:r>
    </w:p>
    <w:p w14:paraId="0CF641B9" w14:textId="77777777" w:rsidR="00B27DA6" w:rsidRPr="001641DA" w:rsidRDefault="00B27DA6" w:rsidP="00B27DA6">
      <w:pPr>
        <w:rPr>
          <w:rFonts w:ascii="Arial" w:hAnsi="Arial" w:cs="Arial"/>
          <w:bCs/>
        </w:rPr>
      </w:pPr>
    </w:p>
    <w:p w14:paraId="4AA93563" w14:textId="3F8F372E" w:rsidR="00B27DA6" w:rsidRPr="001641DA" w:rsidRDefault="00B27DA6" w:rsidP="00B27DA6">
      <w:pPr>
        <w:rPr>
          <w:rFonts w:ascii="Arial" w:hAnsi="Arial" w:cs="Arial"/>
          <w:bCs/>
        </w:rPr>
      </w:pPr>
      <w:r w:rsidRPr="001641DA">
        <w:rPr>
          <w:rFonts w:ascii="Arial" w:hAnsi="Arial" w:cs="Arial"/>
          <w:bCs/>
        </w:rPr>
        <w:t xml:space="preserve">Mode of Action - Selective; Inhibition of acetolactate synthase (ALS), absorbed through foliage and roots </w:t>
      </w:r>
      <w:r w:rsidR="00322158">
        <w:rPr>
          <w:rFonts w:ascii="Arial" w:hAnsi="Arial" w:cs="Arial"/>
          <w:bCs/>
        </w:rPr>
        <w:t>[</w:t>
      </w:r>
      <w:proofErr w:type="gramStart"/>
      <w:r w:rsidR="00322158">
        <w:rPr>
          <w:rFonts w:ascii="Arial" w:hAnsi="Arial" w:cs="Arial"/>
          <w:bCs/>
        </w:rPr>
        <w:t>7]</w:t>
      </w:r>
      <w:r w:rsidRPr="001641DA">
        <w:rPr>
          <w:rFonts w:ascii="Arial" w:hAnsi="Arial" w:cs="Arial"/>
          <w:bCs/>
        </w:rPr>
        <w:t>(</w:t>
      </w:r>
      <w:proofErr w:type="gramEnd"/>
      <w:r w:rsidRPr="001641DA">
        <w:rPr>
          <w:rFonts w:ascii="Arial" w:hAnsi="Arial" w:cs="Arial"/>
          <w:bCs/>
        </w:rPr>
        <w:t xml:space="preserve">Lewis et al., 2016). </w:t>
      </w:r>
    </w:p>
    <w:p w14:paraId="20DDC143" w14:textId="1322B4B0" w:rsidR="00B27DA6" w:rsidRPr="001641DA" w:rsidRDefault="00B27DA6" w:rsidP="00B27DA6">
      <w:pPr>
        <w:ind w:firstLine="720"/>
        <w:rPr>
          <w:rFonts w:ascii="Arial" w:hAnsi="Arial" w:cs="Arial"/>
          <w:bCs/>
        </w:rPr>
      </w:pPr>
      <w:r w:rsidRPr="001641DA">
        <w:rPr>
          <w:rFonts w:ascii="Arial" w:hAnsi="Arial" w:cs="Arial"/>
          <w:bCs/>
        </w:rPr>
        <w:t>Triafamone is both foliage and root active herbicide. It offers both pre-emergence and post-emergence control of weeds with soil residual activity. It is an ALS enzyme inhibitor it directly does not inhibit the ALS enzyme activity but the herbicide should undergo some metabolism and convert into active metabolite in the plant system. This herbicide metabolites transfer to the site of action or target site by both xylem and phloem and indicates systemic activity. Weed ceases their growth and characteristics ALS symptoms (e.g. stunting, necrosis and discoloration) appear within a week or two depending on environmental conditions</w:t>
      </w:r>
      <w:r w:rsidR="00322158">
        <w:rPr>
          <w:rFonts w:ascii="Arial" w:hAnsi="Arial" w:cs="Arial"/>
          <w:bCs/>
        </w:rPr>
        <w:t>. [8]</w:t>
      </w:r>
      <w:r w:rsidRPr="001641DA">
        <w:rPr>
          <w:rFonts w:ascii="Arial" w:hAnsi="Arial" w:cs="Arial"/>
          <w:bCs/>
        </w:rPr>
        <w:t xml:space="preserve">. </w:t>
      </w:r>
    </w:p>
    <w:p w14:paraId="4C7ABF14" w14:textId="567B6C6D" w:rsidR="00B27DA6" w:rsidRPr="001641DA" w:rsidRDefault="00B27DA6" w:rsidP="001641DA">
      <w:pPr>
        <w:pStyle w:val="ListParagraph"/>
        <w:numPr>
          <w:ilvl w:val="0"/>
          <w:numId w:val="36"/>
        </w:numPr>
        <w:rPr>
          <w:rFonts w:ascii="Arial" w:hAnsi="Arial" w:cs="Arial"/>
          <w:bCs/>
        </w:rPr>
      </w:pPr>
      <w:r w:rsidRPr="001641DA">
        <w:rPr>
          <w:rFonts w:ascii="Arial" w:hAnsi="Arial" w:cs="Arial"/>
          <w:b/>
        </w:rPr>
        <w:t>Ethoxysulfuron:</w:t>
      </w:r>
      <w:r w:rsidRPr="001641DA">
        <w:rPr>
          <w:rFonts w:ascii="Arial" w:hAnsi="Arial" w:cs="Arial"/>
          <w:bCs/>
        </w:rPr>
        <w:t xml:space="preserve"> Ethoxysulfuron - 1-(4,6-dimethoxypyrimidin-2-yl)-3-(2-ethoxyphenoxysulfonyl) urea </w:t>
      </w:r>
    </w:p>
    <w:p w14:paraId="2DBFB116" w14:textId="77777777" w:rsidR="00B27DA6" w:rsidRPr="001641DA" w:rsidRDefault="00B27DA6" w:rsidP="00B27DA6">
      <w:pPr>
        <w:rPr>
          <w:rFonts w:ascii="Arial" w:hAnsi="Arial" w:cs="Arial"/>
          <w:bCs/>
        </w:rPr>
      </w:pPr>
      <w:r w:rsidRPr="001641DA">
        <w:rPr>
          <w:rFonts w:ascii="Arial" w:hAnsi="Arial" w:cs="Arial"/>
          <w:b/>
        </w:rPr>
        <w:t>Empirical formula -</w:t>
      </w:r>
      <w:r w:rsidRPr="001641DA">
        <w:rPr>
          <w:rFonts w:ascii="Arial" w:hAnsi="Arial" w:cs="Arial"/>
          <w:bCs/>
        </w:rPr>
        <w:t xml:space="preserve"> C</w:t>
      </w:r>
      <w:r w:rsidRPr="001641DA">
        <w:rPr>
          <w:rFonts w:ascii="Arial" w:hAnsi="Arial" w:cs="Arial"/>
          <w:bCs/>
          <w:vertAlign w:val="subscript"/>
        </w:rPr>
        <w:t>15</w:t>
      </w:r>
      <w:r w:rsidRPr="001641DA">
        <w:rPr>
          <w:rFonts w:ascii="Arial" w:hAnsi="Arial" w:cs="Arial"/>
          <w:bCs/>
        </w:rPr>
        <w:t>H</w:t>
      </w:r>
      <w:r w:rsidRPr="001641DA">
        <w:rPr>
          <w:rFonts w:ascii="Arial" w:hAnsi="Arial" w:cs="Arial"/>
          <w:bCs/>
          <w:vertAlign w:val="subscript"/>
        </w:rPr>
        <w:t>18</w:t>
      </w:r>
      <w:r w:rsidRPr="001641DA">
        <w:rPr>
          <w:rFonts w:ascii="Arial" w:hAnsi="Arial" w:cs="Arial"/>
          <w:bCs/>
        </w:rPr>
        <w:t>N</w:t>
      </w:r>
      <w:r w:rsidRPr="001641DA">
        <w:rPr>
          <w:rFonts w:ascii="Arial" w:hAnsi="Arial" w:cs="Arial"/>
          <w:bCs/>
          <w:vertAlign w:val="subscript"/>
        </w:rPr>
        <w:t>4</w:t>
      </w:r>
      <w:r w:rsidRPr="001641DA">
        <w:rPr>
          <w:rFonts w:ascii="Arial" w:hAnsi="Arial" w:cs="Arial"/>
          <w:bCs/>
        </w:rPr>
        <w:t>O</w:t>
      </w:r>
      <w:r w:rsidRPr="001641DA">
        <w:rPr>
          <w:rFonts w:ascii="Arial" w:hAnsi="Arial" w:cs="Arial"/>
          <w:bCs/>
          <w:vertAlign w:val="subscript"/>
        </w:rPr>
        <w:t>7</w:t>
      </w:r>
      <w:r w:rsidRPr="001641DA">
        <w:rPr>
          <w:rFonts w:ascii="Arial" w:hAnsi="Arial" w:cs="Arial"/>
          <w:bCs/>
        </w:rPr>
        <w:t xml:space="preserve">S </w:t>
      </w:r>
    </w:p>
    <w:p w14:paraId="2958E050" w14:textId="1FBCEC3D" w:rsidR="00B27DA6" w:rsidRPr="001641DA" w:rsidRDefault="00B27DA6" w:rsidP="00B27DA6">
      <w:pPr>
        <w:rPr>
          <w:rFonts w:ascii="Arial" w:hAnsi="Arial" w:cs="Arial"/>
          <w:b/>
        </w:rPr>
      </w:pPr>
      <w:r w:rsidRPr="001641DA">
        <w:rPr>
          <w:rFonts w:ascii="Arial" w:hAnsi="Arial" w:cs="Arial"/>
          <w:b/>
        </w:rPr>
        <w:t>Structural formula –</w:t>
      </w:r>
    </w:p>
    <w:p w14:paraId="14E30D31" w14:textId="5A13F378" w:rsidR="00B27DA6" w:rsidRPr="001641DA" w:rsidRDefault="00B27DA6" w:rsidP="00B27DA6">
      <w:pPr>
        <w:jc w:val="center"/>
        <w:rPr>
          <w:rFonts w:ascii="Arial" w:hAnsi="Arial" w:cs="Arial"/>
          <w:b/>
        </w:rPr>
      </w:pPr>
      <w:r w:rsidRPr="001641DA">
        <w:rPr>
          <w:rFonts w:ascii="Arial" w:hAnsi="Arial" w:cs="Arial"/>
          <w:b/>
          <w:noProof/>
        </w:rPr>
        <w:drawing>
          <wp:inline distT="0" distB="0" distL="0" distR="0" wp14:anchorId="4A701ADC" wp14:editId="49C342B6">
            <wp:extent cx="4115374" cy="2086266"/>
            <wp:effectExtent l="0" t="0" r="0" b="9525"/>
            <wp:docPr id="38010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9486" name=""/>
                    <pic:cNvPicPr/>
                  </pic:nvPicPr>
                  <pic:blipFill>
                    <a:blip r:embed="rId17"/>
                    <a:stretch>
                      <a:fillRect/>
                    </a:stretch>
                  </pic:blipFill>
                  <pic:spPr>
                    <a:xfrm>
                      <a:off x="0" y="0"/>
                      <a:ext cx="4115374" cy="2086266"/>
                    </a:xfrm>
                    <a:prstGeom prst="rect">
                      <a:avLst/>
                    </a:prstGeom>
                  </pic:spPr>
                </pic:pic>
              </a:graphicData>
            </a:graphic>
          </wp:inline>
        </w:drawing>
      </w:r>
    </w:p>
    <w:p w14:paraId="4F552608" w14:textId="6070672E" w:rsidR="00B27DA6" w:rsidRPr="001641DA" w:rsidRDefault="00B27DA6" w:rsidP="00B27DA6">
      <w:pPr>
        <w:jc w:val="center"/>
        <w:rPr>
          <w:rFonts w:ascii="Arial" w:hAnsi="Arial" w:cs="Arial"/>
          <w:b/>
        </w:rPr>
      </w:pPr>
      <w:r w:rsidRPr="001641DA">
        <w:rPr>
          <w:rFonts w:ascii="Arial" w:hAnsi="Arial" w:cs="Arial"/>
          <w:b/>
        </w:rPr>
        <w:t xml:space="preserve">Fig. </w:t>
      </w:r>
      <w:r w:rsidR="00B66F93">
        <w:rPr>
          <w:rFonts w:ascii="Arial" w:hAnsi="Arial" w:cs="Arial"/>
          <w:b/>
        </w:rPr>
        <w:t>4</w:t>
      </w:r>
      <w:r w:rsidRPr="001641DA">
        <w:rPr>
          <w:rFonts w:ascii="Arial" w:hAnsi="Arial" w:cs="Arial"/>
          <w:b/>
        </w:rPr>
        <w:t xml:space="preserve"> </w:t>
      </w:r>
      <w:proofErr w:type="spellStart"/>
      <w:r w:rsidRPr="001641DA">
        <w:rPr>
          <w:rFonts w:ascii="Arial" w:hAnsi="Arial" w:cs="Arial"/>
          <w:b/>
        </w:rPr>
        <w:t>Ethoxysulfuron</w:t>
      </w:r>
      <w:proofErr w:type="spellEnd"/>
      <w:r w:rsidRPr="001641DA">
        <w:rPr>
          <w:rFonts w:ascii="Arial" w:hAnsi="Arial" w:cs="Arial"/>
          <w:b/>
        </w:rPr>
        <w:t xml:space="preserve"> herbicide molecule skeletal formula</w:t>
      </w:r>
    </w:p>
    <w:p w14:paraId="16741D38" w14:textId="77777777" w:rsidR="00B27DA6" w:rsidRPr="001641DA" w:rsidRDefault="00B27DA6" w:rsidP="00B27DA6">
      <w:pPr>
        <w:jc w:val="both"/>
        <w:rPr>
          <w:rFonts w:ascii="Arial" w:hAnsi="Arial" w:cs="Arial"/>
          <w:bCs/>
        </w:rPr>
      </w:pPr>
      <w:r w:rsidRPr="001641DA">
        <w:rPr>
          <w:rFonts w:ascii="Arial" w:hAnsi="Arial" w:cs="Arial"/>
          <w:b/>
        </w:rPr>
        <w:lastRenderedPageBreak/>
        <w:t>Mode of Action -</w:t>
      </w:r>
      <w:r w:rsidRPr="001641DA">
        <w:rPr>
          <w:rFonts w:ascii="Arial" w:hAnsi="Arial" w:cs="Arial"/>
          <w:bCs/>
        </w:rPr>
        <w:t xml:space="preserve"> Selective, inhibits plant cell growth. Inhibits plant amino acid synthesis - </w:t>
      </w:r>
      <w:proofErr w:type="spellStart"/>
      <w:r w:rsidRPr="001641DA">
        <w:rPr>
          <w:rFonts w:ascii="Arial" w:hAnsi="Arial" w:cs="Arial"/>
          <w:bCs/>
        </w:rPr>
        <w:t>acetohydroxyacid</w:t>
      </w:r>
      <w:proofErr w:type="spellEnd"/>
      <w:r w:rsidRPr="001641DA">
        <w:rPr>
          <w:rFonts w:ascii="Arial" w:hAnsi="Arial" w:cs="Arial"/>
          <w:bCs/>
        </w:rPr>
        <w:t xml:space="preserve"> synthase AHAS. PPDB) </w:t>
      </w:r>
    </w:p>
    <w:p w14:paraId="1923F5BC" w14:textId="523887BB" w:rsidR="00B27DA6" w:rsidRPr="001641DA" w:rsidRDefault="00B27DA6" w:rsidP="00322158">
      <w:pPr>
        <w:ind w:firstLine="720"/>
        <w:jc w:val="both"/>
        <w:rPr>
          <w:rFonts w:ascii="Arial" w:hAnsi="Arial" w:cs="Arial"/>
          <w:bCs/>
        </w:rPr>
      </w:pPr>
      <w:r w:rsidRPr="001641DA">
        <w:rPr>
          <w:rFonts w:ascii="Arial" w:hAnsi="Arial" w:cs="Arial"/>
          <w:bCs/>
        </w:rPr>
        <w:t>Ethoxysulfuron is an herbicide used for broad-leaved weed and sedge control in a range of crops including cereals and rice. It has a high aqueous solubility and a low volatility. It is not expected to be persistent is soil systems but, under certain conditions may be persistent in water bodies. Ecotoxicity is low for most species, the main exception is algae and aquatic plants. Human toxicity is also low and no chronic risks have been identified</w:t>
      </w:r>
      <w:r w:rsidR="00322158">
        <w:rPr>
          <w:rFonts w:ascii="Arial" w:hAnsi="Arial" w:cs="Arial"/>
          <w:bCs/>
        </w:rPr>
        <w:t>. [7]</w:t>
      </w:r>
    </w:p>
    <w:p w14:paraId="5E95BE5C" w14:textId="5BB37D94" w:rsidR="00B27DA6" w:rsidRPr="001641DA" w:rsidRDefault="001641DA" w:rsidP="001641DA">
      <w:pPr>
        <w:jc w:val="both"/>
        <w:rPr>
          <w:rFonts w:ascii="Arial" w:hAnsi="Arial" w:cs="Arial"/>
          <w:bCs/>
        </w:rPr>
      </w:pPr>
      <w:r>
        <w:rPr>
          <w:rFonts w:ascii="Arial" w:hAnsi="Arial" w:cs="Arial"/>
          <w:b/>
        </w:rPr>
        <w:t>2. A</w:t>
      </w:r>
      <w:r w:rsidR="00B27DA6" w:rsidRPr="001641DA">
        <w:rPr>
          <w:rFonts w:ascii="Arial" w:hAnsi="Arial" w:cs="Arial"/>
          <w:b/>
        </w:rPr>
        <w:t>pplication of herbicide with knapsack sprayer</w:t>
      </w:r>
      <w:r w:rsidR="00B27DA6" w:rsidRPr="001641DA">
        <w:rPr>
          <w:rFonts w:ascii="Arial" w:hAnsi="Arial" w:cs="Arial"/>
          <w:bCs/>
        </w:rPr>
        <w:t xml:space="preserve"> </w:t>
      </w:r>
    </w:p>
    <w:p w14:paraId="0E36CCCE" w14:textId="77777777" w:rsidR="00B27DA6" w:rsidRPr="001641DA" w:rsidRDefault="00B27DA6" w:rsidP="00B27DA6">
      <w:pPr>
        <w:ind w:firstLine="720"/>
        <w:jc w:val="both"/>
        <w:rPr>
          <w:rFonts w:ascii="Arial" w:hAnsi="Arial" w:cs="Arial"/>
          <w:bCs/>
        </w:rPr>
      </w:pPr>
      <w:r w:rsidRPr="001641DA">
        <w:rPr>
          <w:rFonts w:ascii="Arial" w:hAnsi="Arial" w:cs="Arial"/>
          <w:bCs/>
        </w:rPr>
        <w:t xml:space="preserve">Application of post emergence herbicide triafamone 20%+ ethoxysulfron 10%WG 44+22.5 g ha-1 PoE was applied with the knapsack sprayer using flat fan nozzle. The treatment imposition was done during morning hours. </w:t>
      </w:r>
    </w:p>
    <w:p w14:paraId="5769B952" w14:textId="5809969B" w:rsidR="00B27DA6" w:rsidRPr="001641DA" w:rsidRDefault="001641DA" w:rsidP="001641DA">
      <w:pPr>
        <w:jc w:val="both"/>
        <w:rPr>
          <w:rFonts w:ascii="Arial" w:hAnsi="Arial" w:cs="Arial"/>
          <w:bCs/>
        </w:rPr>
      </w:pPr>
      <w:r>
        <w:rPr>
          <w:rFonts w:ascii="Arial" w:hAnsi="Arial" w:cs="Arial"/>
          <w:b/>
        </w:rPr>
        <w:t>3. S</w:t>
      </w:r>
      <w:r w:rsidR="00B27DA6" w:rsidRPr="001641DA">
        <w:rPr>
          <w:rFonts w:ascii="Arial" w:hAnsi="Arial" w:cs="Arial"/>
          <w:b/>
        </w:rPr>
        <w:t>praying herbicide using drone</w:t>
      </w:r>
    </w:p>
    <w:p w14:paraId="6C8FE3A3" w14:textId="77777777" w:rsidR="00B27DA6" w:rsidRPr="001641DA" w:rsidRDefault="00B27DA6" w:rsidP="00B27DA6">
      <w:pPr>
        <w:ind w:firstLine="720"/>
        <w:jc w:val="both"/>
        <w:rPr>
          <w:rFonts w:ascii="Arial" w:hAnsi="Arial" w:cs="Arial"/>
          <w:bCs/>
        </w:rPr>
      </w:pPr>
      <w:r w:rsidRPr="001641DA">
        <w:rPr>
          <w:rFonts w:ascii="Arial" w:hAnsi="Arial" w:cs="Arial"/>
          <w:bCs/>
        </w:rPr>
        <w:t>Application of post emergence herbicide triafamone 20% + ethoxysulfron 10%WG 44 + 22.5g ha-1 as PoE was done using drones by using different nozzles XR11002VP, AIXR110015VS, DG110015VS, DG95015EVS and SJ7A-015VP in the treatments T1, T2, T3, T4 and T5 respectively. The spray fluid volume used was 40 L ha-1. The treatment imposition was done during morning hours.</w:t>
      </w:r>
    </w:p>
    <w:p w14:paraId="208E01CA" w14:textId="1D7DE9ED" w:rsidR="00B27DA6" w:rsidRPr="001641DA" w:rsidRDefault="001641DA" w:rsidP="00B27DA6">
      <w:pPr>
        <w:jc w:val="both"/>
        <w:rPr>
          <w:rFonts w:ascii="Arial" w:hAnsi="Arial" w:cs="Arial"/>
          <w:bCs/>
        </w:rPr>
      </w:pPr>
      <w:r>
        <w:rPr>
          <w:rFonts w:ascii="Arial" w:hAnsi="Arial" w:cs="Arial"/>
          <w:b/>
        </w:rPr>
        <w:t>4. D</w:t>
      </w:r>
      <w:r w:rsidR="00B27DA6" w:rsidRPr="001641DA">
        <w:rPr>
          <w:rFonts w:ascii="Arial" w:hAnsi="Arial" w:cs="Arial"/>
          <w:b/>
        </w:rPr>
        <w:t>rone trial run</w:t>
      </w:r>
      <w:r w:rsidR="00B27DA6" w:rsidRPr="001641DA">
        <w:rPr>
          <w:rFonts w:ascii="Arial" w:hAnsi="Arial" w:cs="Arial"/>
          <w:bCs/>
        </w:rPr>
        <w:t xml:space="preserve"> </w:t>
      </w:r>
    </w:p>
    <w:p w14:paraId="1F69BA2C" w14:textId="34E06BA2" w:rsidR="00B27DA6" w:rsidRPr="001641DA" w:rsidRDefault="00B27DA6" w:rsidP="00B27DA6">
      <w:pPr>
        <w:ind w:firstLine="720"/>
        <w:jc w:val="both"/>
        <w:rPr>
          <w:rFonts w:ascii="Arial" w:hAnsi="Arial" w:cs="Arial"/>
          <w:bCs/>
        </w:rPr>
      </w:pPr>
      <w:r w:rsidRPr="001641DA">
        <w:rPr>
          <w:rFonts w:ascii="Arial" w:hAnsi="Arial" w:cs="Arial"/>
          <w:bCs/>
        </w:rPr>
        <w:t>A trail run was conducted before the spray application of the herbicide in the main field. This was conducted to optimize the spray fluid volume when different nozzles were used for drone spraying. The spray volume used in the experiment was 40 l ha</w:t>
      </w:r>
      <w:r w:rsidRPr="001641DA">
        <w:rPr>
          <w:rFonts w:ascii="Arial" w:hAnsi="Arial" w:cs="Arial"/>
          <w:bCs/>
          <w:vertAlign w:val="superscript"/>
        </w:rPr>
        <w:t>-1</w:t>
      </w:r>
      <w:r w:rsidRPr="001641DA">
        <w:rPr>
          <w:rFonts w:ascii="Arial" w:hAnsi="Arial" w:cs="Arial"/>
          <w:bCs/>
        </w:rPr>
        <w:t xml:space="preserve">. Optimization of the spray fluid volume is very important when we use different nozzles which </w:t>
      </w:r>
      <w:proofErr w:type="spellStart"/>
      <w:r w:rsidRPr="001641DA">
        <w:rPr>
          <w:rFonts w:ascii="Arial" w:hAnsi="Arial" w:cs="Arial"/>
          <w:bCs/>
        </w:rPr>
        <w:t>inturn</w:t>
      </w:r>
      <w:proofErr w:type="spellEnd"/>
      <w:r w:rsidRPr="001641DA">
        <w:rPr>
          <w:rFonts w:ascii="Arial" w:hAnsi="Arial" w:cs="Arial"/>
          <w:bCs/>
        </w:rPr>
        <w:t xml:space="preserve"> will have different discharge rates so, the trail run was conducted. The trail run was conducted in the early hours of the day when the wind speed was stable. To optimize the spray fluid volume during the trail run water was used (no chemical was added) for spray operation and by using different discharge percentage for different nozzles (XR11002VP, AIXR110015VS, DG110015VS, DG95015EVS and SJ7A 015VP) having different spray patterns the spray fluid used for spray operation remained constant (40 l ha</w:t>
      </w:r>
      <w:r w:rsidRPr="001641DA">
        <w:rPr>
          <w:rFonts w:ascii="Arial" w:hAnsi="Arial" w:cs="Arial"/>
          <w:bCs/>
          <w:vertAlign w:val="superscript"/>
        </w:rPr>
        <w:t>-1</w:t>
      </w:r>
      <w:r w:rsidRPr="001641DA">
        <w:rPr>
          <w:rFonts w:ascii="Arial" w:hAnsi="Arial" w:cs="Arial"/>
          <w:bCs/>
        </w:rPr>
        <w:t>).</w:t>
      </w:r>
    </w:p>
    <w:p w14:paraId="7E7D9F87" w14:textId="77777777" w:rsidR="00B27DA6" w:rsidRPr="001641DA" w:rsidRDefault="00B27DA6" w:rsidP="00B27DA6">
      <w:pPr>
        <w:jc w:val="both"/>
        <w:rPr>
          <w:rFonts w:ascii="Arial" w:hAnsi="Arial" w:cs="Arial"/>
          <w:bCs/>
        </w:rPr>
      </w:pPr>
    </w:p>
    <w:p w14:paraId="40DFF956" w14:textId="2AAC0FA6" w:rsidR="00B27DA6" w:rsidRPr="001641DA" w:rsidRDefault="001641DA" w:rsidP="00B27DA6">
      <w:pPr>
        <w:jc w:val="both"/>
        <w:rPr>
          <w:rFonts w:ascii="Arial" w:hAnsi="Arial" w:cs="Arial"/>
          <w:b/>
        </w:rPr>
      </w:pPr>
      <w:r>
        <w:rPr>
          <w:rFonts w:ascii="Arial" w:hAnsi="Arial" w:cs="Arial"/>
          <w:b/>
        </w:rPr>
        <w:t>5. N</w:t>
      </w:r>
      <w:r w:rsidR="00B27DA6" w:rsidRPr="001641DA">
        <w:rPr>
          <w:rFonts w:ascii="Arial" w:hAnsi="Arial" w:cs="Arial"/>
          <w:b/>
        </w:rPr>
        <w:t xml:space="preserve">ozzle characteristics </w:t>
      </w:r>
    </w:p>
    <w:p w14:paraId="5AEB1D69" w14:textId="3B194241" w:rsidR="00B27DA6" w:rsidRPr="001641DA" w:rsidRDefault="001641DA" w:rsidP="00B27DA6">
      <w:pPr>
        <w:jc w:val="both"/>
        <w:rPr>
          <w:rFonts w:ascii="Arial" w:hAnsi="Arial" w:cs="Arial"/>
          <w:bCs/>
        </w:rPr>
      </w:pPr>
      <w:r>
        <w:rPr>
          <w:rFonts w:ascii="Arial" w:hAnsi="Arial" w:cs="Arial"/>
          <w:b/>
        </w:rPr>
        <w:t xml:space="preserve">a. </w:t>
      </w:r>
      <w:r w:rsidR="00B27DA6" w:rsidRPr="001641DA">
        <w:rPr>
          <w:rFonts w:ascii="Arial" w:hAnsi="Arial" w:cs="Arial"/>
          <w:b/>
        </w:rPr>
        <w:t>XR 110 02 VP (Extended range flat spray) -</w:t>
      </w:r>
      <w:r w:rsidR="00B27DA6" w:rsidRPr="001641DA">
        <w:rPr>
          <w:rFonts w:ascii="Arial" w:hAnsi="Arial" w:cs="Arial"/>
          <w:bCs/>
        </w:rPr>
        <w:t xml:space="preserve"> This nozzle has a spray pattern of Tapered edge flat spray. It has an excellent spray distribution over a wide range of pressures i.e., 15–60 PSI (1–4 bar). It is ideal for rigs equipped with sprayer controllers and reduces drift at lower pressures, better coverage at higher pressures. The nozzle used has a 110° spray angle. For spray of systemic herbicides and drift control the nozzle is rated as good. (Rating class is good, very good and excellent). When this nozzle was used in the trial at 47 % pump discharge rate the volume of spray fluid required to spray was 40 l ha</w:t>
      </w:r>
      <w:r w:rsidR="00B27DA6" w:rsidRPr="001641DA">
        <w:rPr>
          <w:rFonts w:ascii="Arial" w:hAnsi="Arial" w:cs="Arial"/>
          <w:bCs/>
          <w:vertAlign w:val="superscript"/>
        </w:rPr>
        <w:t>-1</w:t>
      </w:r>
      <w:r w:rsidR="00B27DA6" w:rsidRPr="001641DA">
        <w:rPr>
          <w:rFonts w:ascii="Arial" w:hAnsi="Arial" w:cs="Arial"/>
          <w:bCs/>
        </w:rPr>
        <w:t xml:space="preserve">. </w:t>
      </w:r>
    </w:p>
    <w:p w14:paraId="4AA602B7" w14:textId="5D93A451" w:rsidR="00B27DA6" w:rsidRPr="001641DA" w:rsidRDefault="001641DA" w:rsidP="00B27DA6">
      <w:pPr>
        <w:jc w:val="both"/>
        <w:rPr>
          <w:rFonts w:ascii="Arial" w:hAnsi="Arial" w:cs="Arial"/>
          <w:bCs/>
        </w:rPr>
      </w:pPr>
      <w:r>
        <w:rPr>
          <w:rFonts w:ascii="Arial" w:hAnsi="Arial" w:cs="Arial"/>
          <w:b/>
        </w:rPr>
        <w:t xml:space="preserve">b. </w:t>
      </w:r>
      <w:r w:rsidR="00B27DA6" w:rsidRPr="001641DA">
        <w:rPr>
          <w:rFonts w:ascii="Arial" w:hAnsi="Arial" w:cs="Arial"/>
          <w:b/>
        </w:rPr>
        <w:t>AIXR 110 015 VS (Air induction XR flat spray) –</w:t>
      </w:r>
      <w:r w:rsidR="00B27DA6" w:rsidRPr="001641DA">
        <w:rPr>
          <w:rFonts w:ascii="Arial" w:hAnsi="Arial" w:cs="Arial"/>
          <w:bCs/>
        </w:rPr>
        <w:t xml:space="preserve"> This nozzle has a spray pattern of Tapered edge flat spray. It has tapered edge flat spray angle pattern with air induction technology offers better drift management. It produces large air-filled droplets through a Venturi air aspirator. The nozzle has a 110o spray angle and this nozzle is rated in a class of very good for both soil applied and systemic herbicides and drift control. When this nozzle was used in the trial at 49 % pump discharge rate the volume of spray fluid required to spray was 40 l ha</w:t>
      </w:r>
      <w:r w:rsidR="00B27DA6" w:rsidRPr="001641DA">
        <w:rPr>
          <w:rFonts w:ascii="Arial" w:hAnsi="Arial" w:cs="Arial"/>
          <w:bCs/>
          <w:vertAlign w:val="superscript"/>
        </w:rPr>
        <w:t>-1</w:t>
      </w:r>
      <w:r w:rsidR="00B27DA6" w:rsidRPr="001641DA">
        <w:rPr>
          <w:rFonts w:ascii="Arial" w:hAnsi="Arial" w:cs="Arial"/>
          <w:bCs/>
        </w:rPr>
        <w:t xml:space="preserve">. </w:t>
      </w:r>
    </w:p>
    <w:p w14:paraId="0866A060" w14:textId="18C79BD7" w:rsidR="001641DA" w:rsidRPr="001641DA" w:rsidRDefault="001641DA" w:rsidP="00B27DA6">
      <w:pPr>
        <w:jc w:val="both"/>
        <w:rPr>
          <w:rFonts w:ascii="Arial" w:hAnsi="Arial" w:cs="Arial"/>
          <w:bCs/>
        </w:rPr>
      </w:pPr>
      <w:r>
        <w:rPr>
          <w:rFonts w:ascii="Arial" w:hAnsi="Arial" w:cs="Arial"/>
          <w:b/>
        </w:rPr>
        <w:t xml:space="preserve">c. </w:t>
      </w:r>
      <w:r w:rsidR="00B27DA6" w:rsidRPr="001641DA">
        <w:rPr>
          <w:rFonts w:ascii="Arial" w:hAnsi="Arial" w:cs="Arial"/>
          <w:b/>
        </w:rPr>
        <w:t>DG 110 015 VS (Drift guard flat spray) –</w:t>
      </w:r>
      <w:r w:rsidR="00B27DA6" w:rsidRPr="001641DA">
        <w:rPr>
          <w:rFonts w:ascii="Arial" w:hAnsi="Arial" w:cs="Arial"/>
          <w:bCs/>
        </w:rPr>
        <w:t xml:space="preserve"> this nozzle has a spray pattern of tapered edge flat spray. Pre-orifice design produces larger droplets and reduces the small drift-prone droplets, minimizing off-target spray contamination. Tapered edge flat spray pattern provides uniform coverage when adjacent nozzle patterns are overlapped in broadcast spraying. The nozzle has a 110</w:t>
      </w:r>
      <w:r w:rsidR="00B27DA6" w:rsidRPr="001641DA">
        <w:rPr>
          <w:rFonts w:ascii="Arial" w:hAnsi="Arial" w:cs="Arial"/>
          <w:bCs/>
          <w:vertAlign w:val="superscript"/>
        </w:rPr>
        <w:t>o</w:t>
      </w:r>
      <w:r w:rsidR="00B27DA6" w:rsidRPr="001641DA">
        <w:rPr>
          <w:rFonts w:ascii="Arial" w:hAnsi="Arial" w:cs="Arial"/>
          <w:bCs/>
        </w:rPr>
        <w:t xml:space="preserve"> spray angle and this nozzle is rated in a class of very good for soil applied and excellent for systemic herbicides and good for drift control. When this nozzle was used in the trial at 57 % pump discharge rate the volume of spray fluid required to spray was 40 l ha</w:t>
      </w:r>
      <w:r w:rsidR="00B27DA6" w:rsidRPr="001641DA">
        <w:rPr>
          <w:rFonts w:ascii="Arial" w:hAnsi="Arial" w:cs="Arial"/>
          <w:bCs/>
          <w:vertAlign w:val="superscript"/>
        </w:rPr>
        <w:t>-1</w:t>
      </w:r>
      <w:r w:rsidR="00B27DA6" w:rsidRPr="001641DA">
        <w:rPr>
          <w:rFonts w:ascii="Arial" w:hAnsi="Arial" w:cs="Arial"/>
          <w:bCs/>
        </w:rPr>
        <w:t xml:space="preserve">. </w:t>
      </w:r>
    </w:p>
    <w:p w14:paraId="271E085B" w14:textId="2B4F7078" w:rsidR="001641DA" w:rsidRPr="001641DA" w:rsidRDefault="001641DA" w:rsidP="00B27DA6">
      <w:pPr>
        <w:jc w:val="both"/>
        <w:rPr>
          <w:rFonts w:ascii="Arial" w:hAnsi="Arial" w:cs="Arial"/>
          <w:bCs/>
        </w:rPr>
      </w:pPr>
      <w:r>
        <w:rPr>
          <w:rFonts w:ascii="Arial" w:hAnsi="Arial" w:cs="Arial"/>
          <w:b/>
        </w:rPr>
        <w:lastRenderedPageBreak/>
        <w:t xml:space="preserve">d. </w:t>
      </w:r>
      <w:r w:rsidR="00B27DA6" w:rsidRPr="001641DA">
        <w:rPr>
          <w:rFonts w:ascii="Arial" w:hAnsi="Arial" w:cs="Arial"/>
          <w:b/>
        </w:rPr>
        <w:t>DG95015EVS (Drift guard even flat spray) –</w:t>
      </w:r>
      <w:r w:rsidR="00B27DA6" w:rsidRPr="001641DA">
        <w:rPr>
          <w:rFonts w:ascii="Arial" w:hAnsi="Arial" w:cs="Arial"/>
          <w:bCs/>
        </w:rPr>
        <w:t xml:space="preserve"> this nozzle has a spray pattern of non-tapered flat spray. Non-tapered flat spray pattern with a 95° angle providing even coverage without overlapping. Pre-orifice design produces large droplets to reduce drift. Ideal for soil applied and systemic herbicide applications. this nozzle is rated in a class of very good for soil applied and excellent for systemic herbicides. This nozzle is rated as excellent for both soil applied and systemic herbicides and very good for drift control. When this nozzle was used in the trial at 60 % pump discharge rate the volume of spray fluid required to spray was 40 l ha</w:t>
      </w:r>
      <w:r w:rsidR="00B27DA6" w:rsidRPr="001641DA">
        <w:rPr>
          <w:rFonts w:ascii="Arial" w:hAnsi="Arial" w:cs="Arial"/>
          <w:bCs/>
          <w:vertAlign w:val="superscript"/>
        </w:rPr>
        <w:t>-1</w:t>
      </w:r>
      <w:r w:rsidR="00B27DA6" w:rsidRPr="001641DA">
        <w:rPr>
          <w:rFonts w:ascii="Arial" w:hAnsi="Arial" w:cs="Arial"/>
          <w:bCs/>
        </w:rPr>
        <w:t xml:space="preserve">. </w:t>
      </w:r>
    </w:p>
    <w:p w14:paraId="5733C596" w14:textId="038C3B39" w:rsidR="00B27DA6" w:rsidRPr="001641DA" w:rsidRDefault="001641DA" w:rsidP="00B27DA6">
      <w:pPr>
        <w:jc w:val="both"/>
        <w:rPr>
          <w:rFonts w:ascii="Arial" w:hAnsi="Arial" w:cs="Arial"/>
          <w:bCs/>
        </w:rPr>
      </w:pPr>
      <w:r>
        <w:rPr>
          <w:rFonts w:ascii="Arial" w:hAnsi="Arial" w:cs="Arial"/>
          <w:b/>
        </w:rPr>
        <w:t xml:space="preserve">e. </w:t>
      </w:r>
      <w:r w:rsidR="00B27DA6" w:rsidRPr="001641DA">
        <w:rPr>
          <w:rFonts w:ascii="Arial" w:hAnsi="Arial" w:cs="Arial"/>
          <w:b/>
        </w:rPr>
        <w:t>SJ7A-015VP (SJ7A Multiple solid stream) –</w:t>
      </w:r>
      <w:r w:rsidR="00B27DA6" w:rsidRPr="001641DA">
        <w:rPr>
          <w:rFonts w:ascii="Arial" w:hAnsi="Arial" w:cs="Arial"/>
          <w:bCs/>
        </w:rPr>
        <w:t xml:space="preserve"> this nozzle has a solid stream pattern of spray. Creates seven identical fluid streams of equal velocity and capacity. Excellent spray distribution quality. And is rated as excellent for controlling drift. (Rating class- good, very good and excellent). When this nozzle was used in the trial at 56 % pump discharge rate the volume of spray fluid required to spray was 40 l ha</w:t>
      </w:r>
      <w:r w:rsidR="00B27DA6" w:rsidRPr="001641DA">
        <w:rPr>
          <w:rFonts w:ascii="Arial" w:hAnsi="Arial" w:cs="Arial"/>
          <w:bCs/>
          <w:vertAlign w:val="superscript"/>
        </w:rPr>
        <w:t>-1</w:t>
      </w:r>
      <w:r w:rsidR="00B27DA6" w:rsidRPr="001641DA">
        <w:rPr>
          <w:rFonts w:ascii="Arial" w:hAnsi="Arial" w:cs="Arial"/>
          <w:bCs/>
        </w:rPr>
        <w:t>.</w:t>
      </w:r>
    </w:p>
    <w:p w14:paraId="6B1B41B3" w14:textId="4827038C" w:rsidR="00AB1A9C" w:rsidRPr="001641DA" w:rsidRDefault="001641DA" w:rsidP="00AB1A9C">
      <w:pPr>
        <w:jc w:val="both"/>
        <w:rPr>
          <w:rFonts w:ascii="Arial" w:hAnsi="Arial" w:cs="Arial"/>
          <w:b/>
        </w:rPr>
      </w:pPr>
      <w:r>
        <w:rPr>
          <w:rFonts w:ascii="Arial" w:hAnsi="Arial" w:cs="Arial"/>
          <w:b/>
        </w:rPr>
        <w:t xml:space="preserve">6. </w:t>
      </w:r>
      <w:r w:rsidR="00AB1A9C" w:rsidRPr="001641DA">
        <w:rPr>
          <w:rFonts w:ascii="Arial" w:hAnsi="Arial" w:cs="Arial"/>
          <w:b/>
        </w:rPr>
        <w:t>Sample</w:t>
      </w:r>
      <w:r w:rsidR="00AB1A9C" w:rsidRPr="001641DA">
        <w:rPr>
          <w:rFonts w:ascii="Arial" w:hAnsi="Arial" w:cs="Arial"/>
          <w:b/>
          <w:spacing w:val="-2"/>
        </w:rPr>
        <w:t xml:space="preserve"> </w:t>
      </w:r>
      <w:r w:rsidR="00AB1A9C" w:rsidRPr="001641DA">
        <w:rPr>
          <w:rFonts w:ascii="Arial" w:hAnsi="Arial" w:cs="Arial"/>
          <w:b/>
        </w:rPr>
        <w:t>collection</w:t>
      </w:r>
      <w:r w:rsidR="00AB1A9C" w:rsidRPr="001641DA">
        <w:rPr>
          <w:rFonts w:ascii="Arial" w:hAnsi="Arial" w:cs="Arial"/>
          <w:b/>
          <w:spacing w:val="-2"/>
        </w:rPr>
        <w:t xml:space="preserve"> </w:t>
      </w:r>
      <w:r w:rsidR="00AB1A9C" w:rsidRPr="001641DA">
        <w:rPr>
          <w:rFonts w:ascii="Arial" w:hAnsi="Arial" w:cs="Arial"/>
          <w:b/>
        </w:rPr>
        <w:t>and</w:t>
      </w:r>
      <w:r w:rsidR="00AB1A9C" w:rsidRPr="001641DA">
        <w:rPr>
          <w:rFonts w:ascii="Arial" w:hAnsi="Arial" w:cs="Arial"/>
          <w:b/>
          <w:spacing w:val="-4"/>
        </w:rPr>
        <w:t xml:space="preserve"> </w:t>
      </w:r>
      <w:r w:rsidR="00AB1A9C" w:rsidRPr="001641DA">
        <w:rPr>
          <w:rFonts w:ascii="Arial" w:hAnsi="Arial" w:cs="Arial"/>
          <w:b/>
        </w:rPr>
        <w:t>processing</w:t>
      </w:r>
    </w:p>
    <w:p w14:paraId="0FB46CB7" w14:textId="77777777" w:rsidR="00AB1A9C" w:rsidRPr="001641DA" w:rsidRDefault="00AB1A9C" w:rsidP="00AB1A9C">
      <w:pPr>
        <w:ind w:firstLine="720"/>
        <w:jc w:val="both"/>
        <w:rPr>
          <w:rFonts w:ascii="Arial" w:hAnsi="Arial" w:cs="Arial"/>
        </w:rPr>
      </w:pPr>
      <w:r w:rsidRPr="001641DA">
        <w:rPr>
          <w:rFonts w:ascii="Arial" w:hAnsi="Arial" w:cs="Arial"/>
        </w:rPr>
        <w:t>Weed samples were collected for estimation of dry matter at 40 and 60 DAT and were used for nutrient analysis. These samples</w:t>
      </w:r>
      <w:r w:rsidRPr="001641DA">
        <w:rPr>
          <w:rFonts w:ascii="Arial" w:hAnsi="Arial" w:cs="Arial"/>
          <w:spacing w:val="1"/>
        </w:rPr>
        <w:t xml:space="preserve"> </w:t>
      </w:r>
      <w:r w:rsidRPr="001641DA">
        <w:rPr>
          <w:rFonts w:ascii="Arial" w:hAnsi="Arial" w:cs="Arial"/>
        </w:rPr>
        <w:t>were dried and ground to fine powder using willey mill and used for analysis of nutrient removal</w:t>
      </w:r>
      <w:r w:rsidRPr="001641DA">
        <w:rPr>
          <w:rFonts w:ascii="Arial" w:hAnsi="Arial" w:cs="Arial"/>
          <w:spacing w:val="2"/>
        </w:rPr>
        <w:t xml:space="preserve"> </w:t>
      </w:r>
      <w:r w:rsidRPr="001641DA">
        <w:rPr>
          <w:rFonts w:ascii="Arial" w:hAnsi="Arial" w:cs="Arial"/>
        </w:rPr>
        <w:t>by</w:t>
      </w:r>
      <w:r w:rsidRPr="001641DA">
        <w:rPr>
          <w:rFonts w:ascii="Arial" w:hAnsi="Arial" w:cs="Arial"/>
          <w:spacing w:val="-5"/>
        </w:rPr>
        <w:t xml:space="preserve"> </w:t>
      </w:r>
      <w:r w:rsidRPr="001641DA">
        <w:rPr>
          <w:rFonts w:ascii="Arial" w:hAnsi="Arial" w:cs="Arial"/>
        </w:rPr>
        <w:t>weeds.</w:t>
      </w:r>
    </w:p>
    <w:p w14:paraId="17BB5644" w14:textId="77777777" w:rsidR="00AB1A9C" w:rsidRPr="001641DA" w:rsidRDefault="00AB1A9C" w:rsidP="00AB1A9C">
      <w:pPr>
        <w:pStyle w:val="ListParagraph"/>
        <w:numPr>
          <w:ilvl w:val="0"/>
          <w:numId w:val="31"/>
        </w:numPr>
        <w:spacing w:after="0" w:line="240" w:lineRule="auto"/>
        <w:jc w:val="both"/>
        <w:rPr>
          <w:rFonts w:ascii="Arial" w:hAnsi="Arial" w:cs="Arial"/>
          <w:b/>
          <w:bCs/>
          <w:sz w:val="20"/>
          <w:szCs w:val="20"/>
        </w:rPr>
      </w:pPr>
      <w:r w:rsidRPr="001641DA">
        <w:rPr>
          <w:rFonts w:ascii="Arial" w:hAnsi="Arial" w:cs="Arial"/>
          <w:b/>
          <w:bCs/>
          <w:sz w:val="20"/>
          <w:szCs w:val="20"/>
        </w:rPr>
        <w:t>Nitrogen</w:t>
      </w:r>
      <w:r w:rsidRPr="001641DA">
        <w:rPr>
          <w:rFonts w:ascii="Arial" w:hAnsi="Arial" w:cs="Arial"/>
          <w:b/>
          <w:bCs/>
          <w:spacing w:val="-1"/>
          <w:sz w:val="20"/>
          <w:szCs w:val="20"/>
        </w:rPr>
        <w:t xml:space="preserve"> </w:t>
      </w:r>
      <w:r w:rsidRPr="001641DA">
        <w:rPr>
          <w:rFonts w:ascii="Arial" w:hAnsi="Arial" w:cs="Arial"/>
          <w:b/>
          <w:bCs/>
          <w:sz w:val="20"/>
          <w:szCs w:val="20"/>
        </w:rPr>
        <w:t>removed</w:t>
      </w:r>
      <w:r w:rsidRPr="001641DA">
        <w:rPr>
          <w:rFonts w:ascii="Arial" w:hAnsi="Arial" w:cs="Arial"/>
          <w:b/>
          <w:bCs/>
          <w:spacing w:val="-1"/>
          <w:sz w:val="20"/>
          <w:szCs w:val="20"/>
        </w:rPr>
        <w:t xml:space="preserve"> </w:t>
      </w:r>
      <w:r w:rsidRPr="001641DA">
        <w:rPr>
          <w:rFonts w:ascii="Arial" w:hAnsi="Arial" w:cs="Arial"/>
          <w:b/>
          <w:bCs/>
          <w:sz w:val="20"/>
          <w:szCs w:val="20"/>
        </w:rPr>
        <w:t>(kg ha</w:t>
      </w:r>
      <w:r w:rsidRPr="001641DA">
        <w:rPr>
          <w:rFonts w:ascii="Arial" w:hAnsi="Arial" w:cs="Arial"/>
          <w:b/>
          <w:bCs/>
          <w:sz w:val="20"/>
          <w:szCs w:val="20"/>
          <w:vertAlign w:val="superscript"/>
        </w:rPr>
        <w:t>-1</w:t>
      </w:r>
      <w:r w:rsidRPr="001641DA">
        <w:rPr>
          <w:rFonts w:ascii="Arial" w:hAnsi="Arial" w:cs="Arial"/>
          <w:b/>
          <w:bCs/>
          <w:sz w:val="20"/>
          <w:szCs w:val="20"/>
        </w:rPr>
        <w:t>)</w:t>
      </w:r>
    </w:p>
    <w:p w14:paraId="08E92182" w14:textId="565828FE" w:rsidR="00AB1A9C" w:rsidRPr="001641DA" w:rsidRDefault="00AB1A9C" w:rsidP="00AB1A9C">
      <w:pPr>
        <w:ind w:firstLine="720"/>
        <w:jc w:val="both"/>
        <w:rPr>
          <w:rFonts w:ascii="Arial" w:hAnsi="Arial" w:cs="Arial"/>
          <w:position w:val="2"/>
        </w:rPr>
      </w:pPr>
      <w:r w:rsidRPr="001641DA">
        <w:rPr>
          <w:rFonts w:ascii="Arial" w:hAnsi="Arial" w:cs="Arial"/>
        </w:rPr>
        <w:t>Nitrogen content (%) in the plant and weed samples were estimated by the micro</w:t>
      </w:r>
      <w:r w:rsidRPr="001641DA">
        <w:rPr>
          <w:rFonts w:ascii="Arial" w:hAnsi="Arial" w:cs="Arial"/>
          <w:spacing w:val="-57"/>
        </w:rPr>
        <w:t xml:space="preserve"> </w:t>
      </w:r>
      <w:proofErr w:type="spellStart"/>
      <w:r w:rsidRPr="001641DA">
        <w:rPr>
          <w:rFonts w:ascii="Arial" w:hAnsi="Arial" w:cs="Arial"/>
        </w:rPr>
        <w:t>kjeldhal</w:t>
      </w:r>
      <w:proofErr w:type="spellEnd"/>
      <w:r w:rsidRPr="001641DA">
        <w:rPr>
          <w:rFonts w:ascii="Arial" w:hAnsi="Arial" w:cs="Arial"/>
        </w:rPr>
        <w:t xml:space="preserve"> method [</w:t>
      </w:r>
      <w:r w:rsidR="00322158">
        <w:rPr>
          <w:rFonts w:ascii="Arial" w:hAnsi="Arial" w:cs="Arial"/>
        </w:rPr>
        <w:t>9</w:t>
      </w:r>
      <w:r w:rsidRPr="001641DA">
        <w:rPr>
          <w:rFonts w:ascii="Arial" w:hAnsi="Arial" w:cs="Arial"/>
        </w:rPr>
        <w:t xml:space="preserve">] using </w:t>
      </w:r>
      <w:proofErr w:type="spellStart"/>
      <w:r w:rsidRPr="001641DA">
        <w:rPr>
          <w:rFonts w:ascii="Arial" w:hAnsi="Arial" w:cs="Arial"/>
        </w:rPr>
        <w:t>Kelplus</w:t>
      </w:r>
      <w:proofErr w:type="spellEnd"/>
      <w:r w:rsidRPr="001641DA">
        <w:rPr>
          <w:rFonts w:ascii="Arial" w:hAnsi="Arial" w:cs="Arial"/>
        </w:rPr>
        <w:t xml:space="preserve"> N </w:t>
      </w:r>
      <w:proofErr w:type="spellStart"/>
      <w:r w:rsidRPr="001641DA">
        <w:rPr>
          <w:rFonts w:ascii="Arial" w:hAnsi="Arial" w:cs="Arial"/>
        </w:rPr>
        <w:t>analyser</w:t>
      </w:r>
      <w:proofErr w:type="spellEnd"/>
      <w:r w:rsidRPr="001641DA">
        <w:rPr>
          <w:rFonts w:ascii="Arial" w:hAnsi="Arial" w:cs="Arial"/>
        </w:rPr>
        <w:t xml:space="preserve"> after digesting the samples</w:t>
      </w:r>
      <w:r w:rsidRPr="001641DA">
        <w:rPr>
          <w:rFonts w:ascii="Arial" w:hAnsi="Arial" w:cs="Arial"/>
          <w:spacing w:val="1"/>
        </w:rPr>
        <w:t xml:space="preserve"> </w:t>
      </w:r>
      <w:r w:rsidRPr="001641DA">
        <w:rPr>
          <w:rFonts w:ascii="Arial" w:hAnsi="Arial" w:cs="Arial"/>
          <w:spacing w:val="-1"/>
          <w:position w:val="2"/>
        </w:rPr>
        <w:t>with</w:t>
      </w:r>
      <w:r w:rsidRPr="001641DA">
        <w:rPr>
          <w:rFonts w:ascii="Arial" w:hAnsi="Arial" w:cs="Arial"/>
          <w:spacing w:val="-12"/>
          <w:position w:val="2"/>
        </w:rPr>
        <w:t xml:space="preserve"> H</w:t>
      </w:r>
      <w:r w:rsidRPr="001641DA">
        <w:rPr>
          <w:rFonts w:ascii="Arial" w:hAnsi="Arial" w:cs="Arial"/>
          <w:spacing w:val="-12"/>
          <w:position w:val="2"/>
          <w:vertAlign w:val="subscript"/>
        </w:rPr>
        <w:t>2</w:t>
      </w:r>
      <w:r w:rsidRPr="001641DA">
        <w:rPr>
          <w:rFonts w:ascii="Arial" w:hAnsi="Arial" w:cs="Arial"/>
          <w:spacing w:val="-12"/>
          <w:position w:val="2"/>
        </w:rPr>
        <w:t>SO</w:t>
      </w:r>
      <w:r w:rsidRPr="001641DA">
        <w:rPr>
          <w:rFonts w:ascii="Arial" w:hAnsi="Arial" w:cs="Arial"/>
          <w:spacing w:val="-12"/>
          <w:position w:val="2"/>
          <w:vertAlign w:val="subscript"/>
        </w:rPr>
        <w:t>4</w:t>
      </w:r>
      <w:r w:rsidRPr="001641DA">
        <w:rPr>
          <w:rFonts w:ascii="Arial" w:hAnsi="Arial" w:cs="Arial"/>
          <w:spacing w:val="-12"/>
          <w:position w:val="2"/>
        </w:rPr>
        <w:t xml:space="preserve"> and H</w:t>
      </w:r>
      <w:r w:rsidRPr="001641DA">
        <w:rPr>
          <w:rFonts w:ascii="Arial" w:hAnsi="Arial" w:cs="Arial"/>
          <w:spacing w:val="-12"/>
          <w:position w:val="2"/>
          <w:vertAlign w:val="subscript"/>
        </w:rPr>
        <w:t>2</w:t>
      </w:r>
      <w:r w:rsidRPr="001641DA">
        <w:rPr>
          <w:rFonts w:ascii="Arial" w:hAnsi="Arial" w:cs="Arial"/>
          <w:spacing w:val="-12"/>
          <w:position w:val="2"/>
        </w:rPr>
        <w:t>O</w:t>
      </w:r>
      <w:r w:rsidRPr="001641DA">
        <w:rPr>
          <w:rFonts w:ascii="Arial" w:hAnsi="Arial" w:cs="Arial"/>
          <w:spacing w:val="-12"/>
          <w:position w:val="2"/>
          <w:vertAlign w:val="subscript"/>
        </w:rPr>
        <w:t>2</w:t>
      </w:r>
      <w:r w:rsidRPr="001641DA">
        <w:rPr>
          <w:rFonts w:ascii="Arial" w:hAnsi="Arial" w:cs="Arial"/>
          <w:spacing w:val="9"/>
        </w:rPr>
        <w:t xml:space="preserve"> [</w:t>
      </w:r>
      <w:r w:rsidR="00322158">
        <w:rPr>
          <w:rFonts w:ascii="Arial" w:hAnsi="Arial" w:cs="Arial"/>
          <w:spacing w:val="9"/>
        </w:rPr>
        <w:t>10</w:t>
      </w:r>
      <w:r w:rsidRPr="001641DA">
        <w:rPr>
          <w:rFonts w:ascii="Arial" w:hAnsi="Arial" w:cs="Arial"/>
          <w:spacing w:val="9"/>
        </w:rPr>
        <w:t>]</w:t>
      </w:r>
      <w:r w:rsidRPr="001641DA">
        <w:rPr>
          <w:rFonts w:ascii="Arial" w:hAnsi="Arial" w:cs="Arial"/>
          <w:position w:val="2"/>
        </w:rPr>
        <w:t>.</w:t>
      </w:r>
      <w:r w:rsidRPr="001641DA">
        <w:rPr>
          <w:rFonts w:ascii="Arial" w:hAnsi="Arial" w:cs="Arial"/>
          <w:spacing w:val="37"/>
          <w:position w:val="2"/>
        </w:rPr>
        <w:t xml:space="preserve"> </w:t>
      </w:r>
      <w:r w:rsidRPr="001641DA">
        <w:rPr>
          <w:rFonts w:ascii="Arial" w:hAnsi="Arial" w:cs="Arial"/>
          <w:position w:val="2"/>
        </w:rPr>
        <w:t>The</w:t>
      </w:r>
      <w:r w:rsidRPr="001641DA">
        <w:rPr>
          <w:rFonts w:ascii="Arial" w:hAnsi="Arial" w:cs="Arial"/>
          <w:spacing w:val="-13"/>
          <w:position w:val="2"/>
        </w:rPr>
        <w:t xml:space="preserve"> </w:t>
      </w:r>
      <w:r w:rsidRPr="001641DA">
        <w:rPr>
          <w:rFonts w:ascii="Arial" w:hAnsi="Arial" w:cs="Arial"/>
          <w:position w:val="2"/>
        </w:rPr>
        <w:t>uptake</w:t>
      </w:r>
      <w:r w:rsidRPr="001641DA">
        <w:rPr>
          <w:rFonts w:ascii="Arial" w:hAnsi="Arial" w:cs="Arial"/>
          <w:spacing w:val="-12"/>
          <w:position w:val="2"/>
        </w:rPr>
        <w:t xml:space="preserve"> </w:t>
      </w:r>
      <w:r w:rsidRPr="001641DA">
        <w:rPr>
          <w:rFonts w:ascii="Arial" w:hAnsi="Arial" w:cs="Arial"/>
          <w:position w:val="2"/>
        </w:rPr>
        <w:t>was</w:t>
      </w:r>
      <w:r w:rsidRPr="001641DA">
        <w:rPr>
          <w:rFonts w:ascii="Arial" w:hAnsi="Arial" w:cs="Arial"/>
          <w:spacing w:val="-12"/>
          <w:position w:val="2"/>
        </w:rPr>
        <w:t xml:space="preserve"> </w:t>
      </w:r>
      <w:r w:rsidRPr="001641DA">
        <w:rPr>
          <w:rFonts w:ascii="Arial" w:hAnsi="Arial" w:cs="Arial"/>
          <w:position w:val="2"/>
        </w:rPr>
        <w:t>calculated</w:t>
      </w:r>
      <w:r w:rsidRPr="001641DA">
        <w:rPr>
          <w:rFonts w:ascii="Arial" w:hAnsi="Arial" w:cs="Arial"/>
          <w:spacing w:val="-12"/>
          <w:position w:val="2"/>
        </w:rPr>
        <w:t xml:space="preserve"> </w:t>
      </w:r>
      <w:r w:rsidRPr="001641DA">
        <w:rPr>
          <w:rFonts w:ascii="Arial" w:hAnsi="Arial" w:cs="Arial"/>
          <w:position w:val="2"/>
        </w:rPr>
        <w:t>by</w:t>
      </w:r>
      <w:r w:rsidRPr="001641DA">
        <w:rPr>
          <w:rFonts w:ascii="Arial" w:hAnsi="Arial" w:cs="Arial"/>
          <w:spacing w:val="-17"/>
          <w:position w:val="2"/>
        </w:rPr>
        <w:t xml:space="preserve"> </w:t>
      </w:r>
      <w:r w:rsidRPr="001641DA">
        <w:rPr>
          <w:rFonts w:ascii="Arial" w:hAnsi="Arial" w:cs="Arial"/>
          <w:position w:val="2"/>
        </w:rPr>
        <w:t>the</w:t>
      </w:r>
      <w:r w:rsidRPr="001641DA">
        <w:rPr>
          <w:rFonts w:ascii="Arial" w:hAnsi="Arial" w:cs="Arial"/>
          <w:spacing w:val="-12"/>
          <w:position w:val="2"/>
        </w:rPr>
        <w:t xml:space="preserve"> </w:t>
      </w:r>
      <w:r w:rsidRPr="001641DA">
        <w:rPr>
          <w:rFonts w:ascii="Arial" w:hAnsi="Arial" w:cs="Arial"/>
          <w:position w:val="2"/>
        </w:rPr>
        <w:t>following</w:t>
      </w:r>
      <w:r w:rsidRPr="001641DA">
        <w:rPr>
          <w:rFonts w:ascii="Arial" w:hAnsi="Arial" w:cs="Arial"/>
          <w:spacing w:val="-12"/>
          <w:position w:val="2"/>
        </w:rPr>
        <w:t xml:space="preserve"> </w:t>
      </w:r>
      <w:r w:rsidRPr="001641DA">
        <w:rPr>
          <w:rFonts w:ascii="Arial" w:hAnsi="Arial" w:cs="Arial"/>
          <w:position w:val="2"/>
        </w:rPr>
        <w:t>formula.</w:t>
      </w:r>
    </w:p>
    <w:p w14:paraId="42396314" w14:textId="77777777" w:rsidR="00F87E76" w:rsidRPr="001641DA" w:rsidRDefault="00F87E76" w:rsidP="00AB1A9C">
      <w:pPr>
        <w:pStyle w:val="BodyText"/>
        <w:ind w:left="2388"/>
        <w:jc w:val="both"/>
        <w:rPr>
          <w:rFonts w:ascii="Arial" w:hAnsi="Arial" w:cs="Arial"/>
        </w:rPr>
      </w:pPr>
    </w:p>
    <w:p w14:paraId="72B7318B" w14:textId="342D2035" w:rsidR="00AB1A9C" w:rsidRPr="001641DA" w:rsidRDefault="00AB1A9C" w:rsidP="00AB1A9C">
      <w:pPr>
        <w:pStyle w:val="BodyText"/>
        <w:ind w:left="2388"/>
        <w:jc w:val="both"/>
        <w:rPr>
          <w:rFonts w:ascii="Arial" w:hAnsi="Arial" w:cs="Arial"/>
        </w:rPr>
      </w:pPr>
      <w:r w:rsidRPr="001641DA">
        <w:rPr>
          <w:rFonts w:ascii="Arial" w:hAnsi="Arial" w:cs="Arial"/>
        </w:rPr>
        <w:t>Nitrogen</w:t>
      </w:r>
      <w:r w:rsidRPr="001641DA">
        <w:rPr>
          <w:rFonts w:ascii="Arial" w:hAnsi="Arial" w:cs="Arial"/>
          <w:spacing w:val="-1"/>
        </w:rPr>
        <w:t xml:space="preserve"> </w:t>
      </w:r>
      <w:r w:rsidRPr="001641DA">
        <w:rPr>
          <w:rFonts w:ascii="Arial" w:hAnsi="Arial" w:cs="Arial"/>
        </w:rPr>
        <w:t>content</w:t>
      </w:r>
      <w:r w:rsidRPr="001641DA">
        <w:rPr>
          <w:rFonts w:ascii="Arial" w:hAnsi="Arial" w:cs="Arial"/>
          <w:spacing w:val="-1"/>
        </w:rPr>
        <w:t xml:space="preserve"> </w:t>
      </w:r>
      <w:r w:rsidRPr="001641DA">
        <w:rPr>
          <w:rFonts w:ascii="Arial" w:hAnsi="Arial" w:cs="Arial"/>
        </w:rPr>
        <w:t>(%)</w:t>
      </w:r>
    </w:p>
    <w:p w14:paraId="78F49FF9" w14:textId="77777777" w:rsidR="00AB1A9C" w:rsidRPr="001641DA" w:rsidRDefault="00AB1A9C" w:rsidP="00AB1A9C">
      <w:pPr>
        <w:pStyle w:val="BodyText"/>
        <w:tabs>
          <w:tab w:val="left" w:leader="hyphen" w:pos="4854"/>
        </w:tabs>
        <w:ind w:left="648"/>
        <w:jc w:val="both"/>
        <w:rPr>
          <w:rFonts w:ascii="Arial" w:hAnsi="Arial" w:cs="Arial"/>
        </w:rPr>
      </w:pPr>
      <w:r w:rsidRPr="001641DA">
        <w:rPr>
          <w:rFonts w:ascii="Arial" w:hAnsi="Arial" w:cs="Arial"/>
        </w:rPr>
        <w:t xml:space="preserve">N removed  </w:t>
      </w:r>
      <w:r w:rsidRPr="001641DA">
        <w:rPr>
          <w:rFonts w:ascii="Arial" w:hAnsi="Arial" w:cs="Arial"/>
          <w:spacing w:val="57"/>
        </w:rPr>
        <w:t xml:space="preserve"> </w:t>
      </w:r>
      <w:r w:rsidRPr="001641DA">
        <w:rPr>
          <w:rFonts w:ascii="Arial" w:hAnsi="Arial" w:cs="Arial"/>
        </w:rPr>
        <w:t>=</w:t>
      </w:r>
      <w:r w:rsidRPr="001641DA">
        <w:rPr>
          <w:rFonts w:ascii="Arial" w:hAnsi="Arial" w:cs="Arial"/>
        </w:rPr>
        <w:tab/>
      </w:r>
      <w:r w:rsidRPr="001641DA">
        <w:rPr>
          <w:rFonts w:ascii="Arial" w:hAnsi="Arial" w:cs="Arial"/>
          <w:b/>
          <w:bCs/>
        </w:rPr>
        <w:t xml:space="preserve">× </w:t>
      </w:r>
      <w:r w:rsidRPr="001641DA">
        <w:rPr>
          <w:rFonts w:ascii="Arial" w:hAnsi="Arial" w:cs="Arial"/>
        </w:rPr>
        <w:t>Dry</w:t>
      </w:r>
      <w:r w:rsidRPr="001641DA">
        <w:rPr>
          <w:rFonts w:ascii="Arial" w:hAnsi="Arial" w:cs="Arial"/>
          <w:spacing w:val="-2"/>
        </w:rPr>
        <w:t xml:space="preserve"> </w:t>
      </w:r>
      <w:r w:rsidRPr="001641DA">
        <w:rPr>
          <w:rFonts w:ascii="Arial" w:hAnsi="Arial" w:cs="Arial"/>
        </w:rPr>
        <w:t>matter</w:t>
      </w:r>
      <w:r w:rsidRPr="001641DA">
        <w:rPr>
          <w:rFonts w:ascii="Arial" w:hAnsi="Arial" w:cs="Arial"/>
          <w:spacing w:val="-1"/>
        </w:rPr>
        <w:t xml:space="preserve"> </w:t>
      </w:r>
      <w:r w:rsidRPr="001641DA">
        <w:rPr>
          <w:rFonts w:ascii="Arial" w:hAnsi="Arial" w:cs="Arial"/>
        </w:rPr>
        <w:t>(kg</w:t>
      </w:r>
      <w:r w:rsidRPr="001641DA">
        <w:rPr>
          <w:rFonts w:ascii="Arial" w:hAnsi="Arial" w:cs="Arial"/>
          <w:spacing w:val="-3"/>
        </w:rPr>
        <w:t xml:space="preserve"> </w:t>
      </w:r>
      <w:r w:rsidRPr="001641DA">
        <w:rPr>
          <w:rFonts w:ascii="Arial" w:hAnsi="Arial" w:cs="Arial"/>
        </w:rPr>
        <w:t>ha</w:t>
      </w:r>
      <w:r w:rsidRPr="001641DA">
        <w:rPr>
          <w:rFonts w:ascii="Arial" w:hAnsi="Arial" w:cs="Arial"/>
          <w:spacing w:val="-19"/>
        </w:rPr>
        <w:t xml:space="preserve"> </w:t>
      </w:r>
      <w:r w:rsidRPr="001641DA">
        <w:rPr>
          <w:rFonts w:ascii="Arial" w:hAnsi="Arial" w:cs="Arial"/>
          <w:vertAlign w:val="superscript"/>
        </w:rPr>
        <w:t>-1</w:t>
      </w:r>
      <w:r w:rsidRPr="001641DA">
        <w:rPr>
          <w:rFonts w:ascii="Arial" w:hAnsi="Arial" w:cs="Arial"/>
        </w:rPr>
        <w:t>)</w:t>
      </w:r>
    </w:p>
    <w:p w14:paraId="5BAA04AC" w14:textId="77777777" w:rsidR="00AB1A9C" w:rsidRPr="001641DA" w:rsidRDefault="00AB1A9C" w:rsidP="00AB1A9C">
      <w:pPr>
        <w:pStyle w:val="BodyText"/>
        <w:ind w:left="3349"/>
        <w:jc w:val="both"/>
        <w:rPr>
          <w:rFonts w:ascii="Arial" w:hAnsi="Arial" w:cs="Arial"/>
        </w:rPr>
      </w:pPr>
      <w:r w:rsidRPr="001641DA">
        <w:rPr>
          <w:rFonts w:ascii="Arial" w:hAnsi="Arial" w:cs="Arial"/>
        </w:rPr>
        <w:t>100</w:t>
      </w:r>
    </w:p>
    <w:p w14:paraId="24822602" w14:textId="77777777" w:rsidR="00AB1A9C" w:rsidRPr="001641DA" w:rsidRDefault="00AB1A9C" w:rsidP="00AB1A9C">
      <w:pPr>
        <w:ind w:firstLine="720"/>
        <w:jc w:val="both"/>
        <w:rPr>
          <w:rFonts w:ascii="Arial" w:hAnsi="Arial" w:cs="Arial"/>
          <w:position w:val="2"/>
        </w:rPr>
      </w:pPr>
    </w:p>
    <w:p w14:paraId="2FF8E74E" w14:textId="77777777" w:rsidR="00AB1A9C" w:rsidRPr="001641DA" w:rsidRDefault="00AB1A9C" w:rsidP="00AB1A9C">
      <w:pPr>
        <w:jc w:val="both"/>
        <w:rPr>
          <w:rFonts w:ascii="Arial" w:hAnsi="Arial" w:cs="Arial"/>
          <w:b/>
          <w:bCs/>
        </w:rPr>
      </w:pPr>
    </w:p>
    <w:p w14:paraId="7ACE673C" w14:textId="77777777" w:rsidR="00AB1A9C" w:rsidRPr="001641DA" w:rsidRDefault="00AB1A9C" w:rsidP="00AB1A9C">
      <w:pPr>
        <w:pStyle w:val="ListParagraph"/>
        <w:numPr>
          <w:ilvl w:val="0"/>
          <w:numId w:val="31"/>
        </w:numPr>
        <w:spacing w:line="240" w:lineRule="auto"/>
        <w:jc w:val="both"/>
        <w:rPr>
          <w:rFonts w:ascii="Arial" w:hAnsi="Arial" w:cs="Arial"/>
          <w:b/>
          <w:bCs/>
          <w:sz w:val="20"/>
          <w:szCs w:val="20"/>
        </w:rPr>
      </w:pPr>
      <w:r w:rsidRPr="001641DA">
        <w:rPr>
          <w:rFonts w:ascii="Arial" w:hAnsi="Arial" w:cs="Arial"/>
          <w:b/>
          <w:bCs/>
          <w:sz w:val="20"/>
          <w:szCs w:val="20"/>
        </w:rPr>
        <w:t>Phosphorus</w:t>
      </w:r>
      <w:r w:rsidRPr="001641DA">
        <w:rPr>
          <w:rFonts w:ascii="Arial" w:hAnsi="Arial" w:cs="Arial"/>
          <w:b/>
          <w:bCs/>
          <w:spacing w:val="-1"/>
          <w:sz w:val="20"/>
          <w:szCs w:val="20"/>
        </w:rPr>
        <w:t xml:space="preserve"> </w:t>
      </w:r>
      <w:r w:rsidRPr="001641DA">
        <w:rPr>
          <w:rFonts w:ascii="Arial" w:hAnsi="Arial" w:cs="Arial"/>
          <w:b/>
          <w:bCs/>
          <w:sz w:val="20"/>
          <w:szCs w:val="20"/>
        </w:rPr>
        <w:t>removed</w:t>
      </w:r>
      <w:r w:rsidRPr="001641DA">
        <w:rPr>
          <w:rFonts w:ascii="Arial" w:hAnsi="Arial" w:cs="Arial"/>
          <w:b/>
          <w:bCs/>
          <w:spacing w:val="-2"/>
          <w:sz w:val="20"/>
          <w:szCs w:val="20"/>
        </w:rPr>
        <w:t xml:space="preserve"> </w:t>
      </w:r>
      <w:r w:rsidRPr="001641DA">
        <w:rPr>
          <w:rFonts w:ascii="Arial" w:hAnsi="Arial" w:cs="Arial"/>
          <w:b/>
          <w:bCs/>
          <w:sz w:val="20"/>
          <w:szCs w:val="20"/>
        </w:rPr>
        <w:t>(kg</w:t>
      </w:r>
      <w:r w:rsidRPr="001641DA">
        <w:rPr>
          <w:rFonts w:ascii="Arial" w:hAnsi="Arial" w:cs="Arial"/>
          <w:b/>
          <w:bCs/>
          <w:spacing w:val="-1"/>
          <w:sz w:val="20"/>
          <w:szCs w:val="20"/>
        </w:rPr>
        <w:t xml:space="preserve"> </w:t>
      </w:r>
      <w:r w:rsidRPr="001641DA">
        <w:rPr>
          <w:rFonts w:ascii="Arial" w:hAnsi="Arial" w:cs="Arial"/>
          <w:b/>
          <w:bCs/>
          <w:sz w:val="20"/>
          <w:szCs w:val="20"/>
        </w:rPr>
        <w:t>ha</w:t>
      </w:r>
      <w:r w:rsidRPr="001641DA">
        <w:rPr>
          <w:rFonts w:ascii="Arial" w:hAnsi="Arial" w:cs="Arial"/>
          <w:b/>
          <w:bCs/>
          <w:sz w:val="20"/>
          <w:szCs w:val="20"/>
          <w:vertAlign w:val="superscript"/>
        </w:rPr>
        <w:t>-1</w:t>
      </w:r>
      <w:r w:rsidRPr="001641DA">
        <w:rPr>
          <w:rFonts w:ascii="Arial" w:hAnsi="Arial" w:cs="Arial"/>
          <w:b/>
          <w:bCs/>
          <w:sz w:val="20"/>
          <w:szCs w:val="20"/>
        </w:rPr>
        <w:t>)</w:t>
      </w:r>
    </w:p>
    <w:p w14:paraId="5B5B6913" w14:textId="6AA5832D" w:rsidR="00AB1A9C" w:rsidRPr="001641DA" w:rsidRDefault="00AB1A9C" w:rsidP="00AB1A9C">
      <w:pPr>
        <w:ind w:firstLine="720"/>
        <w:jc w:val="both"/>
        <w:rPr>
          <w:rFonts w:ascii="Arial" w:hAnsi="Arial" w:cs="Arial"/>
        </w:rPr>
      </w:pPr>
      <w:r w:rsidRPr="001641DA">
        <w:rPr>
          <w:rFonts w:ascii="Arial" w:hAnsi="Arial" w:cs="Arial"/>
          <w:position w:val="2"/>
        </w:rPr>
        <w:t>The di-acid (HNO</w:t>
      </w:r>
      <w:r w:rsidRPr="001641DA">
        <w:rPr>
          <w:rFonts w:ascii="Arial" w:hAnsi="Arial" w:cs="Arial"/>
          <w:position w:val="2"/>
          <w:vertAlign w:val="subscript"/>
        </w:rPr>
        <w:t>3</w:t>
      </w:r>
      <w:r w:rsidRPr="001641DA">
        <w:rPr>
          <w:rFonts w:ascii="Arial" w:hAnsi="Arial" w:cs="Arial"/>
          <w:position w:val="2"/>
        </w:rPr>
        <w:t xml:space="preserve"> and HClO</w:t>
      </w:r>
      <w:r w:rsidRPr="001641DA">
        <w:rPr>
          <w:rFonts w:ascii="Arial" w:hAnsi="Arial" w:cs="Arial"/>
          <w:position w:val="2"/>
          <w:vertAlign w:val="subscript"/>
        </w:rPr>
        <w:t>4</w:t>
      </w:r>
      <w:r w:rsidRPr="001641DA">
        <w:rPr>
          <w:rFonts w:ascii="Arial" w:hAnsi="Arial" w:cs="Arial"/>
          <w:position w:val="2"/>
        </w:rPr>
        <w:t>) in the ratio of (3:1) respectively was used for digesting of plant</w:t>
      </w:r>
      <w:r w:rsidRPr="001641DA">
        <w:rPr>
          <w:rFonts w:ascii="Arial" w:hAnsi="Arial" w:cs="Arial"/>
          <w:spacing w:val="1"/>
          <w:position w:val="2"/>
        </w:rPr>
        <w:t xml:space="preserve"> </w:t>
      </w:r>
      <w:r w:rsidRPr="001641DA">
        <w:rPr>
          <w:rFonts w:ascii="Arial" w:hAnsi="Arial" w:cs="Arial"/>
        </w:rPr>
        <w:t>and</w:t>
      </w:r>
      <w:r w:rsidRPr="001641DA">
        <w:rPr>
          <w:rFonts w:ascii="Arial" w:hAnsi="Arial" w:cs="Arial"/>
          <w:spacing w:val="-4"/>
        </w:rPr>
        <w:t xml:space="preserve"> </w:t>
      </w:r>
      <w:r w:rsidRPr="001641DA">
        <w:rPr>
          <w:rFonts w:ascii="Arial" w:hAnsi="Arial" w:cs="Arial"/>
        </w:rPr>
        <w:t>weed</w:t>
      </w:r>
      <w:r w:rsidRPr="001641DA">
        <w:rPr>
          <w:rFonts w:ascii="Arial" w:hAnsi="Arial" w:cs="Arial"/>
          <w:spacing w:val="-4"/>
        </w:rPr>
        <w:t xml:space="preserve"> </w:t>
      </w:r>
      <w:r w:rsidRPr="001641DA">
        <w:rPr>
          <w:rFonts w:ascii="Arial" w:hAnsi="Arial" w:cs="Arial"/>
        </w:rPr>
        <w:t>samples. These</w:t>
      </w:r>
      <w:r w:rsidRPr="001641DA">
        <w:rPr>
          <w:rFonts w:ascii="Arial" w:hAnsi="Arial" w:cs="Arial"/>
          <w:spacing w:val="-3"/>
        </w:rPr>
        <w:t xml:space="preserve"> </w:t>
      </w:r>
      <w:r w:rsidRPr="001641DA">
        <w:rPr>
          <w:rFonts w:ascii="Arial" w:hAnsi="Arial" w:cs="Arial"/>
        </w:rPr>
        <w:t>were</w:t>
      </w:r>
      <w:r w:rsidRPr="001641DA">
        <w:rPr>
          <w:rFonts w:ascii="Arial" w:hAnsi="Arial" w:cs="Arial"/>
          <w:spacing w:val="-5"/>
        </w:rPr>
        <w:t xml:space="preserve"> </w:t>
      </w:r>
      <w:proofErr w:type="spellStart"/>
      <w:r w:rsidRPr="001641DA">
        <w:rPr>
          <w:rFonts w:ascii="Arial" w:hAnsi="Arial" w:cs="Arial"/>
        </w:rPr>
        <w:t>analysed</w:t>
      </w:r>
      <w:proofErr w:type="spellEnd"/>
      <w:r w:rsidRPr="001641DA">
        <w:rPr>
          <w:rFonts w:ascii="Arial" w:hAnsi="Arial" w:cs="Arial"/>
        </w:rPr>
        <w:t xml:space="preserve"> for</w:t>
      </w:r>
      <w:r w:rsidRPr="001641DA">
        <w:rPr>
          <w:rFonts w:ascii="Arial" w:hAnsi="Arial" w:cs="Arial"/>
          <w:spacing w:val="-5"/>
        </w:rPr>
        <w:t xml:space="preserve"> </w:t>
      </w:r>
      <w:r w:rsidRPr="001641DA">
        <w:rPr>
          <w:rFonts w:ascii="Arial" w:hAnsi="Arial" w:cs="Arial"/>
        </w:rPr>
        <w:t>phosphorus</w:t>
      </w:r>
      <w:r w:rsidRPr="001641DA">
        <w:rPr>
          <w:rFonts w:ascii="Arial" w:hAnsi="Arial" w:cs="Arial"/>
          <w:spacing w:val="-3"/>
        </w:rPr>
        <w:t xml:space="preserve"> </w:t>
      </w:r>
      <w:r w:rsidRPr="001641DA">
        <w:rPr>
          <w:rFonts w:ascii="Arial" w:hAnsi="Arial" w:cs="Arial"/>
        </w:rPr>
        <w:t>content</w:t>
      </w:r>
      <w:r w:rsidRPr="001641DA">
        <w:rPr>
          <w:rFonts w:ascii="Arial" w:hAnsi="Arial" w:cs="Arial"/>
          <w:spacing w:val="-4"/>
        </w:rPr>
        <w:t xml:space="preserve"> </w:t>
      </w:r>
      <w:r w:rsidRPr="001641DA">
        <w:rPr>
          <w:rFonts w:ascii="Arial" w:hAnsi="Arial" w:cs="Arial"/>
        </w:rPr>
        <w:t>by</w:t>
      </w:r>
      <w:r w:rsidRPr="001641DA">
        <w:rPr>
          <w:rFonts w:ascii="Arial" w:hAnsi="Arial" w:cs="Arial"/>
          <w:spacing w:val="-8"/>
        </w:rPr>
        <w:t xml:space="preserve"> </w:t>
      </w:r>
      <w:proofErr w:type="spellStart"/>
      <w:r w:rsidRPr="001641DA">
        <w:rPr>
          <w:rFonts w:ascii="Arial" w:hAnsi="Arial" w:cs="Arial"/>
        </w:rPr>
        <w:t>Vanadomolybdo</w:t>
      </w:r>
      <w:proofErr w:type="spellEnd"/>
      <w:r w:rsidRPr="001641DA">
        <w:rPr>
          <w:rFonts w:ascii="Arial" w:hAnsi="Arial" w:cs="Arial"/>
          <w:spacing w:val="-4"/>
        </w:rPr>
        <w:t xml:space="preserve"> </w:t>
      </w:r>
      <w:proofErr w:type="spellStart"/>
      <w:r w:rsidRPr="001641DA">
        <w:rPr>
          <w:rFonts w:ascii="Arial" w:hAnsi="Arial" w:cs="Arial"/>
        </w:rPr>
        <w:t>phosphoric</w:t>
      </w:r>
      <w:r w:rsidRPr="001641DA">
        <w:rPr>
          <w:rFonts w:ascii="Arial" w:hAnsi="Arial" w:cs="Arial"/>
          <w:spacing w:val="-1"/>
        </w:rPr>
        <w:t>acid</w:t>
      </w:r>
      <w:proofErr w:type="spellEnd"/>
      <w:r w:rsidRPr="001641DA">
        <w:rPr>
          <w:rFonts w:ascii="Arial" w:hAnsi="Arial" w:cs="Arial"/>
          <w:spacing w:val="-1"/>
        </w:rPr>
        <w:t>.</w:t>
      </w:r>
      <w:r w:rsidRPr="001641DA">
        <w:rPr>
          <w:rFonts w:ascii="Arial" w:hAnsi="Arial" w:cs="Arial"/>
          <w:spacing w:val="-10"/>
        </w:rPr>
        <w:t xml:space="preserve"> </w:t>
      </w:r>
      <w:r w:rsidRPr="001641DA">
        <w:rPr>
          <w:rFonts w:ascii="Arial" w:hAnsi="Arial" w:cs="Arial"/>
        </w:rPr>
        <w:t>The</w:t>
      </w:r>
      <w:r w:rsidRPr="001641DA">
        <w:rPr>
          <w:rFonts w:ascii="Arial" w:hAnsi="Arial" w:cs="Arial"/>
          <w:spacing w:val="-11"/>
        </w:rPr>
        <w:t xml:space="preserve"> </w:t>
      </w:r>
      <w:r w:rsidRPr="001641DA">
        <w:rPr>
          <w:rFonts w:ascii="Arial" w:hAnsi="Arial" w:cs="Arial"/>
        </w:rPr>
        <w:t>intensity</w:t>
      </w:r>
      <w:r w:rsidRPr="001641DA">
        <w:rPr>
          <w:rFonts w:ascii="Arial" w:hAnsi="Arial" w:cs="Arial"/>
          <w:spacing w:val="-15"/>
        </w:rPr>
        <w:t xml:space="preserve"> </w:t>
      </w:r>
      <w:r w:rsidRPr="001641DA">
        <w:rPr>
          <w:rFonts w:ascii="Arial" w:hAnsi="Arial" w:cs="Arial"/>
        </w:rPr>
        <w:t>of</w:t>
      </w:r>
      <w:r w:rsidRPr="001641DA">
        <w:rPr>
          <w:rFonts w:ascii="Arial" w:hAnsi="Arial" w:cs="Arial"/>
          <w:spacing w:val="-6"/>
        </w:rPr>
        <w:t xml:space="preserve"> </w:t>
      </w:r>
      <w:r w:rsidRPr="001641DA">
        <w:rPr>
          <w:rFonts w:ascii="Arial" w:hAnsi="Arial" w:cs="Arial"/>
        </w:rPr>
        <w:t>yellow</w:t>
      </w:r>
      <w:r w:rsidRPr="001641DA">
        <w:rPr>
          <w:rFonts w:ascii="Arial" w:hAnsi="Arial" w:cs="Arial"/>
          <w:spacing w:val="-11"/>
        </w:rPr>
        <w:t xml:space="preserve"> </w:t>
      </w:r>
      <w:proofErr w:type="spellStart"/>
      <w:r w:rsidRPr="001641DA">
        <w:rPr>
          <w:rFonts w:ascii="Arial" w:hAnsi="Arial" w:cs="Arial"/>
        </w:rPr>
        <w:t>colour</w:t>
      </w:r>
      <w:proofErr w:type="spellEnd"/>
      <w:r w:rsidRPr="001641DA">
        <w:rPr>
          <w:rFonts w:ascii="Arial" w:hAnsi="Arial" w:cs="Arial"/>
          <w:spacing w:val="-10"/>
        </w:rPr>
        <w:t xml:space="preserve"> </w:t>
      </w:r>
      <w:r w:rsidRPr="001641DA">
        <w:rPr>
          <w:rFonts w:ascii="Arial" w:hAnsi="Arial" w:cs="Arial"/>
        </w:rPr>
        <w:t>developed</w:t>
      </w:r>
      <w:r w:rsidRPr="001641DA">
        <w:rPr>
          <w:rFonts w:ascii="Arial" w:hAnsi="Arial" w:cs="Arial"/>
          <w:spacing w:val="-9"/>
        </w:rPr>
        <w:t xml:space="preserve"> </w:t>
      </w:r>
      <w:r w:rsidRPr="001641DA">
        <w:rPr>
          <w:rFonts w:ascii="Arial" w:hAnsi="Arial" w:cs="Arial"/>
        </w:rPr>
        <w:t>was</w:t>
      </w:r>
      <w:r w:rsidRPr="001641DA">
        <w:rPr>
          <w:rFonts w:ascii="Arial" w:hAnsi="Arial" w:cs="Arial"/>
          <w:spacing w:val="-8"/>
        </w:rPr>
        <w:t xml:space="preserve"> </w:t>
      </w:r>
      <w:r w:rsidRPr="001641DA">
        <w:rPr>
          <w:rFonts w:ascii="Arial" w:hAnsi="Arial" w:cs="Arial"/>
        </w:rPr>
        <w:t>measured</w:t>
      </w:r>
      <w:r w:rsidRPr="001641DA">
        <w:rPr>
          <w:rFonts w:ascii="Arial" w:hAnsi="Arial" w:cs="Arial"/>
          <w:spacing w:val="-10"/>
        </w:rPr>
        <w:t xml:space="preserve"> </w:t>
      </w:r>
      <w:r w:rsidRPr="001641DA">
        <w:rPr>
          <w:rFonts w:ascii="Arial" w:hAnsi="Arial" w:cs="Arial"/>
        </w:rPr>
        <w:t>by</w:t>
      </w:r>
      <w:r w:rsidRPr="001641DA">
        <w:rPr>
          <w:rFonts w:ascii="Arial" w:hAnsi="Arial" w:cs="Arial"/>
          <w:spacing w:val="-15"/>
        </w:rPr>
        <w:t xml:space="preserve"> </w:t>
      </w:r>
      <w:r w:rsidRPr="001641DA">
        <w:rPr>
          <w:rFonts w:ascii="Arial" w:hAnsi="Arial" w:cs="Arial"/>
        </w:rPr>
        <w:t>using</w:t>
      </w:r>
      <w:r w:rsidRPr="001641DA">
        <w:rPr>
          <w:rFonts w:ascii="Arial" w:hAnsi="Arial" w:cs="Arial"/>
          <w:spacing w:val="-12"/>
        </w:rPr>
        <w:t xml:space="preserve"> </w:t>
      </w:r>
      <w:r w:rsidRPr="001641DA">
        <w:rPr>
          <w:rFonts w:ascii="Arial" w:hAnsi="Arial" w:cs="Arial"/>
        </w:rPr>
        <w:t>spectrophotometer</w:t>
      </w:r>
      <w:r w:rsidRPr="001641DA">
        <w:rPr>
          <w:rFonts w:ascii="Arial" w:hAnsi="Arial" w:cs="Arial"/>
          <w:spacing w:val="-57"/>
        </w:rPr>
        <w:t xml:space="preserve"> </w:t>
      </w:r>
      <w:r w:rsidRPr="001641DA">
        <w:rPr>
          <w:rFonts w:ascii="Arial" w:hAnsi="Arial" w:cs="Arial"/>
        </w:rPr>
        <w:t>at</w:t>
      </w:r>
      <w:r w:rsidRPr="001641DA">
        <w:rPr>
          <w:rFonts w:ascii="Arial" w:hAnsi="Arial" w:cs="Arial"/>
          <w:spacing w:val="-1"/>
        </w:rPr>
        <w:t xml:space="preserve"> </w:t>
      </w:r>
      <w:r w:rsidRPr="001641DA">
        <w:rPr>
          <w:rFonts w:ascii="Arial" w:hAnsi="Arial" w:cs="Arial"/>
        </w:rPr>
        <w:t xml:space="preserve">420 nm </w:t>
      </w:r>
      <w:r w:rsidRPr="001641DA">
        <w:rPr>
          <w:rFonts w:ascii="Arial" w:hAnsi="Arial" w:cs="Arial"/>
          <w:spacing w:val="9"/>
        </w:rPr>
        <w:t>[</w:t>
      </w:r>
      <w:r w:rsidR="00322158">
        <w:rPr>
          <w:rFonts w:ascii="Arial" w:hAnsi="Arial" w:cs="Arial"/>
          <w:spacing w:val="9"/>
        </w:rPr>
        <w:t>10</w:t>
      </w:r>
      <w:r w:rsidRPr="001641DA">
        <w:rPr>
          <w:rFonts w:ascii="Arial" w:hAnsi="Arial" w:cs="Arial"/>
          <w:spacing w:val="9"/>
        </w:rPr>
        <w:t>]</w:t>
      </w:r>
      <w:r w:rsidRPr="001641DA">
        <w:rPr>
          <w:rFonts w:ascii="Arial" w:hAnsi="Arial" w:cs="Arial"/>
        </w:rPr>
        <w:t>.</w:t>
      </w:r>
      <w:r w:rsidRPr="001641DA">
        <w:rPr>
          <w:rFonts w:ascii="Arial" w:hAnsi="Arial" w:cs="Arial"/>
          <w:spacing w:val="1"/>
        </w:rPr>
        <w:t xml:space="preserve"> </w:t>
      </w:r>
      <w:r w:rsidRPr="001641DA">
        <w:rPr>
          <w:rFonts w:ascii="Arial" w:hAnsi="Arial" w:cs="Arial"/>
        </w:rPr>
        <w:t>Then the uptake</w:t>
      </w:r>
      <w:r w:rsidRPr="001641DA">
        <w:rPr>
          <w:rFonts w:ascii="Arial" w:hAnsi="Arial" w:cs="Arial"/>
          <w:spacing w:val="-1"/>
        </w:rPr>
        <w:t xml:space="preserve"> </w:t>
      </w:r>
      <w:r w:rsidRPr="001641DA">
        <w:rPr>
          <w:rFonts w:ascii="Arial" w:hAnsi="Arial" w:cs="Arial"/>
        </w:rPr>
        <w:t>was calculated by</w:t>
      </w:r>
      <w:r w:rsidRPr="001641DA">
        <w:rPr>
          <w:rFonts w:ascii="Arial" w:hAnsi="Arial" w:cs="Arial"/>
          <w:spacing w:val="-5"/>
        </w:rPr>
        <w:t xml:space="preserve"> </w:t>
      </w:r>
      <w:r w:rsidRPr="001641DA">
        <w:rPr>
          <w:rFonts w:ascii="Arial" w:hAnsi="Arial" w:cs="Arial"/>
        </w:rPr>
        <w:t>the</w:t>
      </w:r>
      <w:r w:rsidRPr="001641DA">
        <w:rPr>
          <w:rFonts w:ascii="Arial" w:hAnsi="Arial" w:cs="Arial"/>
          <w:spacing w:val="-1"/>
        </w:rPr>
        <w:t xml:space="preserve"> </w:t>
      </w:r>
      <w:r w:rsidRPr="001641DA">
        <w:rPr>
          <w:rFonts w:ascii="Arial" w:hAnsi="Arial" w:cs="Arial"/>
        </w:rPr>
        <w:t>following formula.</w:t>
      </w:r>
    </w:p>
    <w:p w14:paraId="5CDAD68B" w14:textId="77777777" w:rsidR="00AB1A9C" w:rsidRPr="001641DA" w:rsidRDefault="00AB1A9C" w:rsidP="00AB1A9C">
      <w:pPr>
        <w:pStyle w:val="BodyText"/>
        <w:ind w:left="2388"/>
        <w:jc w:val="both"/>
        <w:rPr>
          <w:rFonts w:ascii="Arial" w:hAnsi="Arial" w:cs="Arial"/>
        </w:rPr>
      </w:pPr>
    </w:p>
    <w:p w14:paraId="526567C4" w14:textId="77777777" w:rsidR="00AB1A9C" w:rsidRPr="001641DA" w:rsidRDefault="00AB1A9C" w:rsidP="00AB1A9C">
      <w:pPr>
        <w:pStyle w:val="BodyText"/>
        <w:ind w:left="2388"/>
        <w:jc w:val="both"/>
        <w:rPr>
          <w:rFonts w:ascii="Arial" w:hAnsi="Arial" w:cs="Arial"/>
        </w:rPr>
      </w:pPr>
      <w:r w:rsidRPr="001641DA">
        <w:rPr>
          <w:rFonts w:ascii="Arial" w:hAnsi="Arial" w:cs="Arial"/>
        </w:rPr>
        <w:t>Phosphorus</w:t>
      </w:r>
      <w:r w:rsidRPr="001641DA">
        <w:rPr>
          <w:rFonts w:ascii="Arial" w:hAnsi="Arial" w:cs="Arial"/>
          <w:spacing w:val="-1"/>
        </w:rPr>
        <w:t xml:space="preserve"> </w:t>
      </w:r>
      <w:r w:rsidRPr="001641DA">
        <w:rPr>
          <w:rFonts w:ascii="Arial" w:hAnsi="Arial" w:cs="Arial"/>
        </w:rPr>
        <w:t>content</w:t>
      </w:r>
      <w:r w:rsidRPr="001641DA">
        <w:rPr>
          <w:rFonts w:ascii="Arial" w:hAnsi="Arial" w:cs="Arial"/>
          <w:spacing w:val="-1"/>
        </w:rPr>
        <w:t xml:space="preserve"> </w:t>
      </w:r>
      <w:r w:rsidRPr="001641DA">
        <w:rPr>
          <w:rFonts w:ascii="Arial" w:hAnsi="Arial" w:cs="Arial"/>
        </w:rPr>
        <w:t>(%)</w:t>
      </w:r>
    </w:p>
    <w:p w14:paraId="174A98CE" w14:textId="77777777" w:rsidR="00AB1A9C" w:rsidRPr="001641DA" w:rsidRDefault="00AB1A9C" w:rsidP="00AB1A9C">
      <w:pPr>
        <w:pStyle w:val="BodyText"/>
        <w:tabs>
          <w:tab w:val="left" w:leader="hyphen" w:pos="4854"/>
        </w:tabs>
        <w:ind w:left="648"/>
        <w:jc w:val="both"/>
        <w:rPr>
          <w:rFonts w:ascii="Arial" w:hAnsi="Arial" w:cs="Arial"/>
        </w:rPr>
      </w:pPr>
      <w:r w:rsidRPr="001641DA">
        <w:rPr>
          <w:rFonts w:ascii="Arial" w:hAnsi="Arial" w:cs="Arial"/>
        </w:rPr>
        <w:t xml:space="preserve">P removed  </w:t>
      </w:r>
      <w:r w:rsidRPr="001641DA">
        <w:rPr>
          <w:rFonts w:ascii="Arial" w:hAnsi="Arial" w:cs="Arial"/>
          <w:spacing w:val="57"/>
        </w:rPr>
        <w:t xml:space="preserve"> </w:t>
      </w:r>
      <w:r w:rsidRPr="001641DA">
        <w:rPr>
          <w:rFonts w:ascii="Arial" w:hAnsi="Arial" w:cs="Arial"/>
        </w:rPr>
        <w:t xml:space="preserve">=   </w:t>
      </w:r>
      <w:r w:rsidRPr="001641DA">
        <w:rPr>
          <w:rFonts w:ascii="Arial" w:hAnsi="Arial" w:cs="Arial"/>
        </w:rPr>
        <w:tab/>
      </w:r>
      <w:r w:rsidRPr="001641DA">
        <w:rPr>
          <w:rFonts w:ascii="Arial" w:hAnsi="Arial" w:cs="Arial"/>
          <w:b/>
          <w:bCs/>
        </w:rPr>
        <w:t xml:space="preserve">× </w:t>
      </w:r>
      <w:r w:rsidRPr="001641DA">
        <w:rPr>
          <w:rFonts w:ascii="Arial" w:hAnsi="Arial" w:cs="Arial"/>
        </w:rPr>
        <w:t>Dry</w:t>
      </w:r>
      <w:r w:rsidRPr="001641DA">
        <w:rPr>
          <w:rFonts w:ascii="Arial" w:hAnsi="Arial" w:cs="Arial"/>
          <w:spacing w:val="-2"/>
        </w:rPr>
        <w:t xml:space="preserve"> </w:t>
      </w:r>
      <w:r w:rsidRPr="001641DA">
        <w:rPr>
          <w:rFonts w:ascii="Arial" w:hAnsi="Arial" w:cs="Arial"/>
        </w:rPr>
        <w:t>matter</w:t>
      </w:r>
      <w:r w:rsidRPr="001641DA">
        <w:rPr>
          <w:rFonts w:ascii="Arial" w:hAnsi="Arial" w:cs="Arial"/>
          <w:spacing w:val="-1"/>
        </w:rPr>
        <w:t xml:space="preserve"> </w:t>
      </w:r>
      <w:r w:rsidRPr="001641DA">
        <w:rPr>
          <w:rFonts w:ascii="Arial" w:hAnsi="Arial" w:cs="Arial"/>
        </w:rPr>
        <w:t>(kg</w:t>
      </w:r>
      <w:r w:rsidRPr="001641DA">
        <w:rPr>
          <w:rFonts w:ascii="Arial" w:hAnsi="Arial" w:cs="Arial"/>
          <w:spacing w:val="-3"/>
        </w:rPr>
        <w:t xml:space="preserve"> </w:t>
      </w:r>
      <w:r w:rsidRPr="001641DA">
        <w:rPr>
          <w:rFonts w:ascii="Arial" w:hAnsi="Arial" w:cs="Arial"/>
        </w:rPr>
        <w:t>ha</w:t>
      </w:r>
      <w:r w:rsidRPr="001641DA">
        <w:rPr>
          <w:rFonts w:ascii="Arial" w:hAnsi="Arial" w:cs="Arial"/>
          <w:spacing w:val="-19"/>
        </w:rPr>
        <w:t xml:space="preserve"> </w:t>
      </w:r>
      <w:r w:rsidRPr="001641DA">
        <w:rPr>
          <w:rFonts w:ascii="Arial" w:hAnsi="Arial" w:cs="Arial"/>
          <w:vertAlign w:val="superscript"/>
        </w:rPr>
        <w:t>-1</w:t>
      </w:r>
      <w:r w:rsidRPr="001641DA">
        <w:rPr>
          <w:rFonts w:ascii="Arial" w:hAnsi="Arial" w:cs="Arial"/>
        </w:rPr>
        <w:t>)</w:t>
      </w:r>
    </w:p>
    <w:p w14:paraId="23D4DF12" w14:textId="77777777" w:rsidR="00AB1A9C" w:rsidRPr="001641DA" w:rsidRDefault="00AB1A9C" w:rsidP="00AB1A9C">
      <w:pPr>
        <w:pStyle w:val="BodyText"/>
        <w:jc w:val="both"/>
        <w:rPr>
          <w:rFonts w:ascii="Arial" w:hAnsi="Arial" w:cs="Arial"/>
        </w:rPr>
      </w:pPr>
      <w:r w:rsidRPr="001641DA">
        <w:rPr>
          <w:rFonts w:ascii="Arial" w:hAnsi="Arial" w:cs="Arial"/>
        </w:rPr>
        <w:t xml:space="preserve">                                                       100</w:t>
      </w:r>
    </w:p>
    <w:p w14:paraId="387E6CE9" w14:textId="77777777" w:rsidR="00AB1A9C" w:rsidRPr="001641DA" w:rsidRDefault="00AB1A9C" w:rsidP="00AB1A9C">
      <w:pPr>
        <w:pStyle w:val="BodyText"/>
        <w:ind w:left="3349"/>
        <w:jc w:val="both"/>
        <w:rPr>
          <w:rFonts w:ascii="Arial" w:hAnsi="Arial" w:cs="Arial"/>
        </w:rPr>
      </w:pPr>
    </w:p>
    <w:p w14:paraId="6C6C9640" w14:textId="77777777" w:rsidR="00F87E76" w:rsidRPr="001641DA" w:rsidRDefault="00F87E76" w:rsidP="00AB1A9C">
      <w:pPr>
        <w:pStyle w:val="BodyText"/>
        <w:ind w:left="3349"/>
        <w:jc w:val="both"/>
        <w:rPr>
          <w:rFonts w:ascii="Arial" w:hAnsi="Arial" w:cs="Arial"/>
        </w:rPr>
      </w:pPr>
    </w:p>
    <w:p w14:paraId="65250966" w14:textId="77777777" w:rsidR="00AB1A9C" w:rsidRPr="001641DA" w:rsidRDefault="00AB1A9C" w:rsidP="00AB1A9C">
      <w:pPr>
        <w:pStyle w:val="ListParagraph"/>
        <w:widowControl w:val="0"/>
        <w:numPr>
          <w:ilvl w:val="0"/>
          <w:numId w:val="31"/>
        </w:numPr>
        <w:autoSpaceDE w:val="0"/>
        <w:autoSpaceDN w:val="0"/>
        <w:spacing w:after="0" w:line="240" w:lineRule="auto"/>
        <w:jc w:val="both"/>
        <w:rPr>
          <w:rFonts w:ascii="Arial" w:hAnsi="Arial" w:cs="Arial"/>
          <w:b/>
          <w:bCs/>
          <w:sz w:val="20"/>
          <w:szCs w:val="20"/>
        </w:rPr>
      </w:pPr>
      <w:r w:rsidRPr="001641DA">
        <w:rPr>
          <w:rFonts w:ascii="Arial" w:hAnsi="Arial" w:cs="Arial"/>
          <w:b/>
          <w:bCs/>
          <w:sz w:val="20"/>
          <w:szCs w:val="20"/>
        </w:rPr>
        <w:t>Potassium</w:t>
      </w:r>
      <w:r w:rsidRPr="001641DA">
        <w:rPr>
          <w:rFonts w:ascii="Arial" w:hAnsi="Arial" w:cs="Arial"/>
          <w:b/>
          <w:bCs/>
          <w:spacing w:val="-4"/>
          <w:sz w:val="20"/>
          <w:szCs w:val="20"/>
        </w:rPr>
        <w:t xml:space="preserve"> </w:t>
      </w:r>
      <w:r w:rsidRPr="001641DA">
        <w:rPr>
          <w:rFonts w:ascii="Arial" w:hAnsi="Arial" w:cs="Arial"/>
          <w:b/>
          <w:bCs/>
          <w:sz w:val="20"/>
          <w:szCs w:val="20"/>
        </w:rPr>
        <w:t>removed</w:t>
      </w:r>
      <w:r w:rsidRPr="001641DA">
        <w:rPr>
          <w:rFonts w:ascii="Arial" w:hAnsi="Arial" w:cs="Arial"/>
          <w:b/>
          <w:bCs/>
          <w:spacing w:val="-1"/>
          <w:sz w:val="20"/>
          <w:szCs w:val="20"/>
        </w:rPr>
        <w:t xml:space="preserve"> </w:t>
      </w:r>
      <w:r w:rsidRPr="001641DA">
        <w:rPr>
          <w:rFonts w:ascii="Arial" w:hAnsi="Arial" w:cs="Arial"/>
          <w:b/>
          <w:bCs/>
          <w:sz w:val="20"/>
          <w:szCs w:val="20"/>
        </w:rPr>
        <w:t>(kg</w:t>
      </w:r>
      <w:r w:rsidRPr="001641DA">
        <w:rPr>
          <w:rFonts w:ascii="Arial" w:hAnsi="Arial" w:cs="Arial"/>
          <w:b/>
          <w:bCs/>
          <w:spacing w:val="1"/>
          <w:sz w:val="20"/>
          <w:szCs w:val="20"/>
        </w:rPr>
        <w:t xml:space="preserve"> </w:t>
      </w:r>
      <w:r w:rsidRPr="001641DA">
        <w:rPr>
          <w:rFonts w:ascii="Arial" w:hAnsi="Arial" w:cs="Arial"/>
          <w:b/>
          <w:bCs/>
          <w:sz w:val="20"/>
          <w:szCs w:val="20"/>
        </w:rPr>
        <w:t>ha</w:t>
      </w:r>
      <w:r w:rsidRPr="001641DA">
        <w:rPr>
          <w:rFonts w:ascii="Arial" w:hAnsi="Arial" w:cs="Arial"/>
          <w:b/>
          <w:bCs/>
          <w:sz w:val="20"/>
          <w:szCs w:val="20"/>
          <w:vertAlign w:val="superscript"/>
        </w:rPr>
        <w:t>-1</w:t>
      </w:r>
      <w:r w:rsidRPr="001641DA">
        <w:rPr>
          <w:rFonts w:ascii="Arial" w:hAnsi="Arial" w:cs="Arial"/>
          <w:b/>
          <w:bCs/>
          <w:sz w:val="20"/>
          <w:szCs w:val="20"/>
        </w:rPr>
        <w:t>)</w:t>
      </w:r>
    </w:p>
    <w:p w14:paraId="58E67754" w14:textId="77F17DA6" w:rsidR="00AB1A9C" w:rsidRPr="001641DA" w:rsidRDefault="00AB1A9C" w:rsidP="00AB1A9C">
      <w:pPr>
        <w:ind w:firstLine="720"/>
        <w:jc w:val="both"/>
        <w:rPr>
          <w:rFonts w:ascii="Arial" w:hAnsi="Arial" w:cs="Arial"/>
        </w:rPr>
      </w:pPr>
      <w:r w:rsidRPr="001641DA">
        <w:rPr>
          <w:rFonts w:ascii="Arial" w:hAnsi="Arial" w:cs="Arial"/>
        </w:rPr>
        <w:t>Potassium content in the di-acid mixture was determined with flame photometer</w:t>
      </w:r>
      <w:r w:rsidRPr="001641DA">
        <w:rPr>
          <w:rFonts w:ascii="Arial" w:hAnsi="Arial" w:cs="Arial"/>
          <w:spacing w:val="1"/>
        </w:rPr>
        <w:t xml:space="preserve"> </w:t>
      </w:r>
      <w:r w:rsidRPr="001641DA">
        <w:rPr>
          <w:rFonts w:ascii="Arial" w:hAnsi="Arial" w:cs="Arial"/>
          <w:spacing w:val="9"/>
        </w:rPr>
        <w:t>[</w:t>
      </w:r>
      <w:r w:rsidR="00322158">
        <w:rPr>
          <w:rFonts w:ascii="Arial" w:hAnsi="Arial" w:cs="Arial"/>
          <w:spacing w:val="9"/>
        </w:rPr>
        <w:t>10</w:t>
      </w:r>
      <w:r w:rsidRPr="001641DA">
        <w:rPr>
          <w:rFonts w:ascii="Arial" w:hAnsi="Arial" w:cs="Arial"/>
          <w:spacing w:val="9"/>
        </w:rPr>
        <w:t>]</w:t>
      </w:r>
      <w:r w:rsidRPr="001641DA">
        <w:rPr>
          <w:rFonts w:ascii="Arial" w:hAnsi="Arial" w:cs="Arial"/>
        </w:rPr>
        <w:t>. The</w:t>
      </w:r>
      <w:r w:rsidRPr="001641DA">
        <w:rPr>
          <w:rFonts w:ascii="Arial" w:hAnsi="Arial" w:cs="Arial"/>
          <w:spacing w:val="-2"/>
        </w:rPr>
        <w:t xml:space="preserve"> </w:t>
      </w:r>
      <w:r w:rsidRPr="001641DA">
        <w:rPr>
          <w:rFonts w:ascii="Arial" w:hAnsi="Arial" w:cs="Arial"/>
        </w:rPr>
        <w:t>uptake</w:t>
      </w:r>
      <w:r w:rsidRPr="001641DA">
        <w:rPr>
          <w:rFonts w:ascii="Arial" w:hAnsi="Arial" w:cs="Arial"/>
          <w:spacing w:val="-1"/>
        </w:rPr>
        <w:t xml:space="preserve"> </w:t>
      </w:r>
      <w:r w:rsidRPr="001641DA">
        <w:rPr>
          <w:rFonts w:ascii="Arial" w:hAnsi="Arial" w:cs="Arial"/>
        </w:rPr>
        <w:t>was calculated by</w:t>
      </w:r>
      <w:r w:rsidRPr="001641DA">
        <w:rPr>
          <w:rFonts w:ascii="Arial" w:hAnsi="Arial" w:cs="Arial"/>
          <w:spacing w:val="-3"/>
        </w:rPr>
        <w:t xml:space="preserve"> </w:t>
      </w:r>
      <w:r w:rsidRPr="001641DA">
        <w:rPr>
          <w:rFonts w:ascii="Arial" w:hAnsi="Arial" w:cs="Arial"/>
        </w:rPr>
        <w:t>following</w:t>
      </w:r>
      <w:r w:rsidRPr="001641DA">
        <w:rPr>
          <w:rFonts w:ascii="Arial" w:hAnsi="Arial" w:cs="Arial"/>
          <w:spacing w:val="-3"/>
        </w:rPr>
        <w:t xml:space="preserve"> </w:t>
      </w:r>
      <w:r w:rsidRPr="001641DA">
        <w:rPr>
          <w:rFonts w:ascii="Arial" w:hAnsi="Arial" w:cs="Arial"/>
        </w:rPr>
        <w:t xml:space="preserve">formula.       </w:t>
      </w:r>
    </w:p>
    <w:p w14:paraId="1C7CB33A" w14:textId="77777777" w:rsidR="00AB1A9C" w:rsidRPr="001641DA" w:rsidRDefault="00AB1A9C" w:rsidP="00AB1A9C">
      <w:pPr>
        <w:pStyle w:val="BodyText"/>
        <w:ind w:left="720"/>
        <w:jc w:val="both"/>
        <w:rPr>
          <w:rFonts w:ascii="Arial" w:hAnsi="Arial" w:cs="Arial"/>
        </w:rPr>
      </w:pPr>
      <w:r w:rsidRPr="001641DA">
        <w:rPr>
          <w:rFonts w:ascii="Arial" w:hAnsi="Arial" w:cs="Arial"/>
        </w:rPr>
        <w:t xml:space="preserve">           </w:t>
      </w:r>
    </w:p>
    <w:p w14:paraId="76F46626" w14:textId="77777777" w:rsidR="00AB1A9C" w:rsidRPr="001641DA" w:rsidRDefault="00AB1A9C" w:rsidP="00AB1A9C">
      <w:pPr>
        <w:pStyle w:val="BodyText"/>
        <w:ind w:left="720"/>
        <w:jc w:val="both"/>
        <w:rPr>
          <w:rFonts w:ascii="Arial" w:hAnsi="Arial" w:cs="Arial"/>
        </w:rPr>
      </w:pPr>
      <w:r w:rsidRPr="001641DA">
        <w:rPr>
          <w:rFonts w:ascii="Arial" w:hAnsi="Arial" w:cs="Arial"/>
        </w:rPr>
        <w:t xml:space="preserve">                 Potassium</w:t>
      </w:r>
      <w:r w:rsidRPr="001641DA">
        <w:rPr>
          <w:rFonts w:ascii="Arial" w:hAnsi="Arial" w:cs="Arial"/>
          <w:spacing w:val="-2"/>
        </w:rPr>
        <w:t xml:space="preserve"> </w:t>
      </w:r>
      <w:r w:rsidRPr="001641DA">
        <w:rPr>
          <w:rFonts w:ascii="Arial" w:hAnsi="Arial" w:cs="Arial"/>
        </w:rPr>
        <w:t>content</w:t>
      </w:r>
      <w:r w:rsidRPr="001641DA">
        <w:rPr>
          <w:rFonts w:ascii="Arial" w:hAnsi="Arial" w:cs="Arial"/>
          <w:spacing w:val="-1"/>
        </w:rPr>
        <w:t xml:space="preserve"> </w:t>
      </w:r>
      <w:r w:rsidRPr="001641DA">
        <w:rPr>
          <w:rFonts w:ascii="Arial" w:hAnsi="Arial" w:cs="Arial"/>
        </w:rPr>
        <w:t>(%)</w:t>
      </w:r>
    </w:p>
    <w:p w14:paraId="18FFB4D8" w14:textId="77777777" w:rsidR="00AB1A9C" w:rsidRPr="001641DA" w:rsidRDefault="00AB1A9C" w:rsidP="00AB1A9C">
      <w:pPr>
        <w:pStyle w:val="BodyText"/>
        <w:tabs>
          <w:tab w:val="left" w:pos="1111"/>
          <w:tab w:val="left" w:leader="hyphen" w:pos="4246"/>
        </w:tabs>
        <w:ind w:right="2181"/>
        <w:jc w:val="center"/>
        <w:rPr>
          <w:rFonts w:ascii="Arial" w:hAnsi="Arial" w:cs="Arial"/>
        </w:rPr>
      </w:pPr>
      <w:r w:rsidRPr="001641DA">
        <w:rPr>
          <w:rFonts w:ascii="Arial" w:hAnsi="Arial" w:cs="Arial"/>
        </w:rPr>
        <w:t>K</w:t>
      </w:r>
      <w:r w:rsidRPr="001641DA">
        <w:rPr>
          <w:rFonts w:ascii="Arial" w:hAnsi="Arial" w:cs="Arial"/>
          <w:spacing w:val="-2"/>
        </w:rPr>
        <w:t xml:space="preserve"> </w:t>
      </w:r>
      <w:r w:rsidRPr="001641DA">
        <w:rPr>
          <w:rFonts w:ascii="Arial" w:hAnsi="Arial" w:cs="Arial"/>
        </w:rPr>
        <w:t>removed = -------------------------------×</w:t>
      </w:r>
      <w:r w:rsidRPr="001641DA">
        <w:rPr>
          <w:rFonts w:ascii="Arial" w:hAnsi="Arial" w:cs="Arial"/>
          <w:spacing w:val="1"/>
        </w:rPr>
        <w:t xml:space="preserve"> </w:t>
      </w:r>
      <w:r w:rsidRPr="001641DA">
        <w:rPr>
          <w:rFonts w:ascii="Arial" w:hAnsi="Arial" w:cs="Arial"/>
        </w:rPr>
        <w:t>Dry</w:t>
      </w:r>
      <w:r w:rsidRPr="001641DA">
        <w:rPr>
          <w:rFonts w:ascii="Arial" w:hAnsi="Arial" w:cs="Arial"/>
          <w:spacing w:val="-2"/>
        </w:rPr>
        <w:t xml:space="preserve"> </w:t>
      </w:r>
      <w:r w:rsidRPr="001641DA">
        <w:rPr>
          <w:rFonts w:ascii="Arial" w:hAnsi="Arial" w:cs="Arial"/>
        </w:rPr>
        <w:t>matter</w:t>
      </w:r>
      <w:r w:rsidRPr="001641DA">
        <w:rPr>
          <w:rFonts w:ascii="Arial" w:hAnsi="Arial" w:cs="Arial"/>
          <w:spacing w:val="-1"/>
        </w:rPr>
        <w:t xml:space="preserve"> </w:t>
      </w:r>
      <w:r w:rsidRPr="001641DA">
        <w:rPr>
          <w:rFonts w:ascii="Arial" w:hAnsi="Arial" w:cs="Arial"/>
        </w:rPr>
        <w:t>(kg</w:t>
      </w:r>
      <w:r w:rsidRPr="001641DA">
        <w:rPr>
          <w:rFonts w:ascii="Arial" w:hAnsi="Arial" w:cs="Arial"/>
          <w:spacing w:val="-3"/>
        </w:rPr>
        <w:t xml:space="preserve"> </w:t>
      </w:r>
      <w:r w:rsidRPr="001641DA">
        <w:rPr>
          <w:rFonts w:ascii="Arial" w:hAnsi="Arial" w:cs="Arial"/>
        </w:rPr>
        <w:t>ha</w:t>
      </w:r>
      <w:r w:rsidRPr="001641DA">
        <w:rPr>
          <w:rFonts w:ascii="Arial" w:hAnsi="Arial" w:cs="Arial"/>
          <w:spacing w:val="-19"/>
        </w:rPr>
        <w:t xml:space="preserve"> </w:t>
      </w:r>
      <w:r w:rsidRPr="001641DA">
        <w:rPr>
          <w:rFonts w:ascii="Arial" w:hAnsi="Arial" w:cs="Arial"/>
          <w:vertAlign w:val="superscript"/>
        </w:rPr>
        <w:t>-1</w:t>
      </w:r>
      <w:r w:rsidRPr="001641DA">
        <w:rPr>
          <w:rFonts w:ascii="Arial" w:hAnsi="Arial" w:cs="Arial"/>
        </w:rPr>
        <w:t>)</w:t>
      </w:r>
    </w:p>
    <w:p w14:paraId="24C991D2" w14:textId="77777777" w:rsidR="00AB1A9C" w:rsidRPr="001641DA" w:rsidRDefault="00AB1A9C" w:rsidP="00AB1A9C">
      <w:pPr>
        <w:pStyle w:val="BodyText"/>
        <w:jc w:val="both"/>
        <w:rPr>
          <w:rFonts w:ascii="Arial" w:hAnsi="Arial" w:cs="Arial"/>
        </w:rPr>
      </w:pPr>
      <w:r w:rsidRPr="001641DA">
        <w:rPr>
          <w:rFonts w:ascii="Arial" w:hAnsi="Arial" w:cs="Arial"/>
        </w:rPr>
        <w:t xml:space="preserve">                                     100</w:t>
      </w:r>
    </w:p>
    <w:p w14:paraId="465B9758" w14:textId="77777777" w:rsidR="00AB1A9C" w:rsidRPr="001641DA" w:rsidRDefault="00AB1A9C" w:rsidP="00441B6F">
      <w:pPr>
        <w:pStyle w:val="Body"/>
        <w:spacing w:after="0"/>
        <w:rPr>
          <w:rFonts w:ascii="Arial" w:hAnsi="Arial" w:cs="Arial"/>
        </w:rPr>
      </w:pPr>
    </w:p>
    <w:p w14:paraId="692D7D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13F7D10" w14:textId="77777777" w:rsidR="00790ADA" w:rsidRPr="00FB3A86" w:rsidRDefault="00790ADA" w:rsidP="00441B6F">
      <w:pPr>
        <w:pStyle w:val="Head1"/>
        <w:spacing w:after="0"/>
        <w:jc w:val="both"/>
        <w:rPr>
          <w:rFonts w:ascii="Arial" w:hAnsi="Arial" w:cs="Arial"/>
        </w:rPr>
      </w:pPr>
    </w:p>
    <w:p w14:paraId="5786D506" w14:textId="77777777" w:rsidR="00AB1A9C" w:rsidRPr="00AB1A9C" w:rsidRDefault="00AB1A9C" w:rsidP="00AB1A9C">
      <w:pPr>
        <w:spacing w:line="360" w:lineRule="auto"/>
        <w:jc w:val="both"/>
        <w:rPr>
          <w:rFonts w:ascii="Arial" w:hAnsi="Arial" w:cs="Arial"/>
          <w:b/>
        </w:rPr>
      </w:pPr>
      <w:r w:rsidRPr="00AB1A9C">
        <w:rPr>
          <w:rFonts w:ascii="Arial" w:hAnsi="Arial" w:cs="Arial"/>
          <w:b/>
        </w:rPr>
        <w:t>Nutrient</w:t>
      </w:r>
      <w:r w:rsidRPr="00AB1A9C">
        <w:rPr>
          <w:rFonts w:ascii="Arial" w:hAnsi="Arial" w:cs="Arial"/>
          <w:b/>
          <w:spacing w:val="-1"/>
        </w:rPr>
        <w:t xml:space="preserve"> </w:t>
      </w:r>
      <w:r w:rsidRPr="00AB1A9C">
        <w:rPr>
          <w:rFonts w:ascii="Arial" w:hAnsi="Arial" w:cs="Arial"/>
          <w:b/>
        </w:rPr>
        <w:t>removal</w:t>
      </w:r>
      <w:r w:rsidRPr="00AB1A9C">
        <w:rPr>
          <w:rFonts w:ascii="Arial" w:hAnsi="Arial" w:cs="Arial"/>
          <w:b/>
          <w:spacing w:val="2"/>
        </w:rPr>
        <w:t xml:space="preserve"> </w:t>
      </w:r>
      <w:r w:rsidRPr="00AB1A9C">
        <w:rPr>
          <w:rFonts w:ascii="Arial" w:hAnsi="Arial" w:cs="Arial"/>
          <w:b/>
        </w:rPr>
        <w:t>by</w:t>
      </w:r>
      <w:r w:rsidRPr="00AB1A9C">
        <w:rPr>
          <w:rFonts w:ascii="Arial" w:hAnsi="Arial" w:cs="Arial"/>
          <w:b/>
          <w:spacing w:val="-1"/>
        </w:rPr>
        <w:t xml:space="preserve"> </w:t>
      </w:r>
      <w:r w:rsidRPr="00AB1A9C">
        <w:rPr>
          <w:rFonts w:ascii="Arial" w:hAnsi="Arial" w:cs="Arial"/>
          <w:b/>
        </w:rPr>
        <w:t>weeds (N, P and K kg ha</w:t>
      </w:r>
      <w:r w:rsidRPr="00AB1A9C">
        <w:rPr>
          <w:rFonts w:ascii="Arial" w:hAnsi="Arial" w:cs="Arial"/>
          <w:b/>
          <w:vertAlign w:val="superscript"/>
        </w:rPr>
        <w:t>-1</w:t>
      </w:r>
      <w:r w:rsidRPr="00AB1A9C">
        <w:rPr>
          <w:rFonts w:ascii="Arial" w:hAnsi="Arial" w:cs="Arial"/>
          <w:b/>
        </w:rPr>
        <w:t>)</w:t>
      </w:r>
    </w:p>
    <w:p w14:paraId="6AA7316D" w14:textId="77777777" w:rsidR="00AB1A9C" w:rsidRPr="00BA4389" w:rsidRDefault="00AB1A9C" w:rsidP="00AB1A9C">
      <w:pPr>
        <w:spacing w:line="360" w:lineRule="auto"/>
        <w:ind w:firstLine="720"/>
        <w:jc w:val="both"/>
        <w:rPr>
          <w:rFonts w:ascii="Arial" w:hAnsi="Arial" w:cs="Arial"/>
          <w:lang w:val="en-IN"/>
        </w:rPr>
      </w:pPr>
      <w:r w:rsidRPr="00BA4389">
        <w:rPr>
          <w:rFonts w:ascii="Arial" w:hAnsi="Arial" w:cs="Arial"/>
          <w:lang w:val="en-IN"/>
        </w:rPr>
        <w:t>At 40 and 60 DAT, the unweeded control recorded the highest nutrient removal by weeds, indicating severe competition for nutrients. In contrast, the lowest nutrient depletion was observed with hand weeding at 20 and 40 DAT</w:t>
      </w:r>
      <w:r w:rsidRPr="00AB1A9C">
        <w:rPr>
          <w:rFonts w:ascii="Arial" w:hAnsi="Arial" w:cs="Arial"/>
        </w:rPr>
        <w:t xml:space="preserve">, </w:t>
      </w:r>
      <w:r w:rsidRPr="00BA4389">
        <w:rPr>
          <w:rFonts w:ascii="Arial" w:hAnsi="Arial" w:cs="Arial"/>
          <w:lang w:val="en-IN"/>
        </w:rPr>
        <w:t>followed closely by the knapsack sprayer and drone applications using the multiple solid stream (SJ7A015VP), air induction extended range flat spray (AIXR110015VS), and drift guard even flat spray (DG95015EVS) nozzles, all of which were statistically on par.</w:t>
      </w:r>
    </w:p>
    <w:p w14:paraId="2B20122B" w14:textId="77777777" w:rsidR="00AB1A9C" w:rsidRPr="00BA4389" w:rsidRDefault="00AB1A9C" w:rsidP="00AB1A9C">
      <w:pPr>
        <w:spacing w:line="360" w:lineRule="auto"/>
        <w:ind w:firstLine="720"/>
        <w:jc w:val="both"/>
        <w:rPr>
          <w:rFonts w:ascii="Arial" w:hAnsi="Arial" w:cs="Arial"/>
          <w:lang w:val="en-IN"/>
        </w:rPr>
      </w:pPr>
      <w:r w:rsidRPr="00BA4389">
        <w:rPr>
          <w:rFonts w:ascii="Arial" w:hAnsi="Arial" w:cs="Arial"/>
          <w:lang w:val="en-IN"/>
        </w:rPr>
        <w:t>At 40 DAT, nutrient removal by weeds under T</w:t>
      </w:r>
      <w:r w:rsidRPr="00BA4389">
        <w:rPr>
          <w:rFonts w:ascii="Arial" w:hAnsi="Arial" w:cs="Arial"/>
          <w:vertAlign w:val="subscript"/>
          <w:lang w:val="en-IN"/>
        </w:rPr>
        <w:t>7</w:t>
      </w:r>
      <w:r w:rsidRPr="00BA4389">
        <w:rPr>
          <w:rFonts w:ascii="Arial" w:hAnsi="Arial" w:cs="Arial"/>
          <w:lang w:val="en-IN"/>
        </w:rPr>
        <w:t xml:space="preserve"> was minimal (0.42 N, 0.11 P</w:t>
      </w:r>
      <w:r w:rsidRPr="00BA4389">
        <w:rPr>
          <w:rFonts w:ascii="Cambria Math" w:hAnsi="Cambria Math" w:cs="Cambria Math"/>
          <w:lang w:val="en-IN"/>
        </w:rPr>
        <w:t>₂</w:t>
      </w:r>
      <w:r w:rsidRPr="00BA4389">
        <w:rPr>
          <w:rFonts w:ascii="Arial" w:hAnsi="Arial" w:cs="Arial"/>
          <w:lang w:val="en-IN"/>
        </w:rPr>
        <w:t>O</w:t>
      </w:r>
      <w:r w:rsidRPr="00BA4389">
        <w:rPr>
          <w:rFonts w:ascii="Cambria Math" w:hAnsi="Cambria Math" w:cs="Cambria Math"/>
          <w:lang w:val="en-IN"/>
        </w:rPr>
        <w:t>₅</w:t>
      </w:r>
      <w:r w:rsidRPr="00BA4389">
        <w:rPr>
          <w:rFonts w:ascii="Arial" w:hAnsi="Arial" w:cs="Arial"/>
          <w:lang w:val="en-IN"/>
        </w:rPr>
        <w:t>, and 0.45 K</w:t>
      </w:r>
      <w:r w:rsidRPr="00BA4389">
        <w:rPr>
          <w:rFonts w:ascii="Cambria Math" w:hAnsi="Cambria Math" w:cs="Cambria Math"/>
          <w:lang w:val="en-IN"/>
        </w:rPr>
        <w:t>₂</w:t>
      </w:r>
      <w:r w:rsidRPr="00BA4389">
        <w:rPr>
          <w:rFonts w:ascii="Arial" w:hAnsi="Arial" w:cs="Arial"/>
          <w:lang w:val="en-IN"/>
        </w:rPr>
        <w:t>O kg ha</w:t>
      </w:r>
      <w:r w:rsidRPr="00BA4389">
        <w:rPr>
          <w:rFonts w:ascii="Cambria Math" w:hAnsi="Cambria Math" w:cs="Cambria Math"/>
          <w:lang w:val="en-IN"/>
        </w:rPr>
        <w:t>⁻</w:t>
      </w:r>
      <w:r w:rsidRPr="00BA4389">
        <w:rPr>
          <w:rFonts w:ascii="Arial" w:hAnsi="Arial" w:cs="Arial"/>
          <w:lang w:val="en-IN"/>
        </w:rPr>
        <w:t>¹)</w:t>
      </w:r>
      <w:r w:rsidRPr="00AB1A9C">
        <w:rPr>
          <w:rFonts w:ascii="Arial" w:hAnsi="Arial" w:cs="Arial"/>
        </w:rPr>
        <w:t xml:space="preserve"> (Table 1.)</w:t>
      </w:r>
      <w:r w:rsidRPr="00BA4389">
        <w:rPr>
          <w:rFonts w:ascii="Arial" w:hAnsi="Arial" w:cs="Arial"/>
          <w:lang w:val="en-IN"/>
        </w:rPr>
        <w:t>, while T</w:t>
      </w:r>
      <w:r w:rsidRPr="00BA4389">
        <w:rPr>
          <w:rFonts w:ascii="Arial" w:hAnsi="Arial" w:cs="Arial"/>
          <w:vertAlign w:val="subscript"/>
          <w:lang w:val="en-IN"/>
        </w:rPr>
        <w:t>6</w:t>
      </w:r>
      <w:r w:rsidRPr="00BA4389">
        <w:rPr>
          <w:rFonts w:ascii="Arial" w:hAnsi="Arial" w:cs="Arial"/>
          <w:lang w:val="en-IN"/>
        </w:rPr>
        <w:t xml:space="preserve"> and T</w:t>
      </w:r>
      <w:r w:rsidRPr="00BA4389">
        <w:rPr>
          <w:rFonts w:ascii="Arial" w:hAnsi="Arial" w:cs="Arial"/>
          <w:vertAlign w:val="subscript"/>
          <w:lang w:val="en-IN"/>
        </w:rPr>
        <w:t>5</w:t>
      </w:r>
      <w:r w:rsidRPr="00BA4389">
        <w:rPr>
          <w:rFonts w:ascii="Arial" w:hAnsi="Arial" w:cs="Arial"/>
          <w:lang w:val="en-IN"/>
        </w:rPr>
        <w:t xml:space="preserve"> recorded slightly higher but comparable values. Similar trends were observed at 60 DAT, with T</w:t>
      </w:r>
      <w:r w:rsidRPr="00BA4389">
        <w:rPr>
          <w:rFonts w:ascii="Arial" w:hAnsi="Arial" w:cs="Arial"/>
          <w:vertAlign w:val="subscript"/>
          <w:lang w:val="en-IN"/>
        </w:rPr>
        <w:t>7</w:t>
      </w:r>
      <w:r w:rsidRPr="00BA4389">
        <w:rPr>
          <w:rFonts w:ascii="Arial" w:hAnsi="Arial" w:cs="Arial"/>
          <w:lang w:val="en-IN"/>
        </w:rPr>
        <w:t xml:space="preserve"> maintaining the lowest nutrient removal (0.98 N, 0.26 P</w:t>
      </w:r>
      <w:r w:rsidRPr="00BA4389">
        <w:rPr>
          <w:rFonts w:ascii="Cambria Math" w:hAnsi="Cambria Math" w:cs="Cambria Math"/>
          <w:lang w:val="en-IN"/>
        </w:rPr>
        <w:t>₂</w:t>
      </w:r>
      <w:r w:rsidRPr="00BA4389">
        <w:rPr>
          <w:rFonts w:ascii="Arial" w:hAnsi="Arial" w:cs="Arial"/>
          <w:lang w:val="en-IN"/>
        </w:rPr>
        <w:t>O</w:t>
      </w:r>
      <w:r w:rsidRPr="00BA4389">
        <w:rPr>
          <w:rFonts w:ascii="Cambria Math" w:hAnsi="Cambria Math" w:cs="Cambria Math"/>
          <w:lang w:val="en-IN"/>
        </w:rPr>
        <w:t>₅</w:t>
      </w:r>
      <w:r w:rsidRPr="00BA4389">
        <w:rPr>
          <w:rFonts w:ascii="Arial" w:hAnsi="Arial" w:cs="Arial"/>
          <w:lang w:val="en-IN"/>
        </w:rPr>
        <w:t>, and 1.01 K</w:t>
      </w:r>
      <w:r w:rsidRPr="00BA4389">
        <w:rPr>
          <w:rFonts w:ascii="Cambria Math" w:hAnsi="Cambria Math" w:cs="Cambria Math"/>
          <w:lang w:val="en-IN"/>
        </w:rPr>
        <w:t>₂</w:t>
      </w:r>
      <w:r w:rsidRPr="00BA4389">
        <w:rPr>
          <w:rFonts w:ascii="Arial" w:hAnsi="Arial" w:cs="Arial"/>
          <w:lang w:val="en-IN"/>
        </w:rPr>
        <w:t>O kg ha</w:t>
      </w:r>
      <w:r w:rsidRPr="00BA4389">
        <w:rPr>
          <w:rFonts w:ascii="Cambria Math" w:hAnsi="Cambria Math" w:cs="Cambria Math"/>
          <w:lang w:val="en-IN"/>
        </w:rPr>
        <w:t>⁻</w:t>
      </w:r>
      <w:r w:rsidRPr="00BA4389">
        <w:rPr>
          <w:rFonts w:ascii="Arial" w:hAnsi="Arial" w:cs="Arial"/>
          <w:lang w:val="en-IN"/>
        </w:rPr>
        <w:t>¹). Treatments using DG110015VS and XR11002VP nozzles showed relatively higher nutrient removal due to less effective weed suppression.</w:t>
      </w:r>
    </w:p>
    <w:p w14:paraId="0865C0DC" w14:textId="17A9B91D" w:rsidR="00AB1A9C" w:rsidRPr="00AB1A9C" w:rsidRDefault="00AB1A9C" w:rsidP="00AB1A9C">
      <w:pPr>
        <w:spacing w:line="360" w:lineRule="auto"/>
        <w:ind w:firstLine="720"/>
        <w:jc w:val="both"/>
        <w:rPr>
          <w:rFonts w:ascii="Arial" w:hAnsi="Arial" w:cs="Arial"/>
          <w:lang w:val="en-IN"/>
        </w:rPr>
      </w:pPr>
      <w:r w:rsidRPr="00BA4389">
        <w:rPr>
          <w:rFonts w:ascii="Arial" w:hAnsi="Arial" w:cs="Arial"/>
          <w:lang w:val="en-IN"/>
        </w:rPr>
        <w:t>Overall, the drone-based applications with SJ7A015VP, AIXR110015VS, and DG95015EVS nozzles demonstrated efficient nutrient conservation comparable to conventional hand and knapsack spraying methods, highlighting their potential for effective and precise herbicide delivery in transplanted rice.</w:t>
      </w:r>
      <w:r w:rsidRPr="00AB1A9C">
        <w:rPr>
          <w:rFonts w:ascii="Arial" w:hAnsi="Arial" w:cs="Arial"/>
        </w:rPr>
        <w:t xml:space="preserve"> Lower nutrient removal by weeds in weed management practices is due to effective weed control during the critical period of crop weed competition and after that, weeds were effectively suppressed by the rice crop. The results are in tune with the findings of [</w:t>
      </w:r>
      <w:r w:rsidR="00322158">
        <w:rPr>
          <w:rFonts w:ascii="Arial" w:hAnsi="Arial" w:cs="Arial"/>
        </w:rPr>
        <w:t>11</w:t>
      </w:r>
      <w:r w:rsidRPr="00AB1A9C">
        <w:rPr>
          <w:rFonts w:ascii="Arial" w:hAnsi="Arial" w:cs="Arial"/>
        </w:rPr>
        <w:t>] and [</w:t>
      </w:r>
      <w:r w:rsidR="00322158">
        <w:rPr>
          <w:rFonts w:ascii="Arial" w:hAnsi="Arial" w:cs="Arial"/>
        </w:rPr>
        <w:t>12</w:t>
      </w:r>
      <w:r w:rsidRPr="00AB1A9C">
        <w:rPr>
          <w:rFonts w:ascii="Arial" w:hAnsi="Arial" w:cs="Arial"/>
        </w:rPr>
        <w:t>].</w:t>
      </w:r>
    </w:p>
    <w:p w14:paraId="42A4651B" w14:textId="77777777" w:rsidR="00AB1A9C" w:rsidRPr="00AB1A9C" w:rsidRDefault="00AB1A9C" w:rsidP="00AB1A9C">
      <w:pPr>
        <w:pStyle w:val="Header"/>
        <w:spacing w:line="276" w:lineRule="auto"/>
        <w:rPr>
          <w:rFonts w:ascii="Arial" w:hAnsi="Arial" w:cs="Arial"/>
          <w:b/>
        </w:rPr>
      </w:pPr>
    </w:p>
    <w:p w14:paraId="37C78497" w14:textId="77777777" w:rsidR="00AB1A9C" w:rsidRPr="00AB1A9C" w:rsidRDefault="00AB1A9C" w:rsidP="00AB1A9C">
      <w:pPr>
        <w:pStyle w:val="Header"/>
        <w:spacing w:line="276" w:lineRule="auto"/>
        <w:rPr>
          <w:rFonts w:ascii="Arial" w:hAnsi="Arial" w:cs="Arial"/>
          <w:b/>
          <w:bCs/>
        </w:rPr>
      </w:pPr>
      <w:r w:rsidRPr="00AB1A9C">
        <w:rPr>
          <w:rFonts w:ascii="Arial" w:hAnsi="Arial" w:cs="Arial"/>
          <w:b/>
        </w:rPr>
        <w:t xml:space="preserve">Table 1. </w:t>
      </w:r>
      <w:r w:rsidRPr="00AB1A9C">
        <w:rPr>
          <w:rFonts w:ascii="Arial" w:hAnsi="Arial" w:cs="Arial"/>
          <w:b/>
          <w:bCs/>
        </w:rPr>
        <w:t>Nutrients removed (kg ha</w:t>
      </w:r>
      <w:r w:rsidRPr="00AB1A9C">
        <w:rPr>
          <w:rFonts w:ascii="Arial" w:hAnsi="Arial" w:cs="Arial"/>
          <w:b/>
          <w:bCs/>
          <w:vertAlign w:val="superscript"/>
        </w:rPr>
        <w:t>-1</w:t>
      </w:r>
      <w:r w:rsidRPr="00AB1A9C">
        <w:rPr>
          <w:rFonts w:ascii="Arial" w:hAnsi="Arial" w:cs="Arial"/>
          <w:b/>
          <w:bCs/>
        </w:rPr>
        <w:t xml:space="preserve">) by weed as influenced by herbicide application with drones using different nozzles </w:t>
      </w:r>
    </w:p>
    <w:p w14:paraId="7C366F24" w14:textId="77777777" w:rsidR="00AB1A9C" w:rsidRPr="00AB1A9C" w:rsidRDefault="00AB1A9C" w:rsidP="00AB1A9C">
      <w:pPr>
        <w:rPr>
          <w:rFonts w:ascii="Arial" w:hAnsi="Arial" w:cs="Arial"/>
        </w:rPr>
      </w:pPr>
    </w:p>
    <w:tbl>
      <w:tblPr>
        <w:tblStyle w:val="TableGrid"/>
        <w:tblW w:w="5000" w:type="pct"/>
        <w:tblLook w:val="04A0" w:firstRow="1" w:lastRow="0" w:firstColumn="1" w:lastColumn="0" w:noHBand="0" w:noVBand="1"/>
      </w:tblPr>
      <w:tblGrid>
        <w:gridCol w:w="2660"/>
        <w:gridCol w:w="851"/>
        <w:gridCol w:w="928"/>
        <w:gridCol w:w="839"/>
        <w:gridCol w:w="1087"/>
        <w:gridCol w:w="1137"/>
        <w:gridCol w:w="922"/>
      </w:tblGrid>
      <w:tr w:rsidR="00AB1A9C" w:rsidRPr="00AB1A9C" w14:paraId="766CB94E" w14:textId="77777777" w:rsidTr="00AB1A9C">
        <w:trPr>
          <w:trHeight w:val="356"/>
        </w:trPr>
        <w:tc>
          <w:tcPr>
            <w:tcW w:w="1579" w:type="pct"/>
            <w:vMerge w:val="restart"/>
            <w:vAlign w:val="center"/>
          </w:tcPr>
          <w:p w14:paraId="4F52B38F" w14:textId="77777777" w:rsidR="00AB1A9C" w:rsidRPr="00AB1A9C" w:rsidRDefault="00AB1A9C" w:rsidP="00DF585C">
            <w:pPr>
              <w:jc w:val="center"/>
              <w:rPr>
                <w:rFonts w:ascii="Arial" w:hAnsi="Arial" w:cs="Arial"/>
                <w:b/>
                <w:bCs/>
                <w:sz w:val="20"/>
                <w:szCs w:val="20"/>
              </w:rPr>
            </w:pPr>
            <w:r w:rsidRPr="00AB1A9C">
              <w:rPr>
                <w:rFonts w:ascii="Arial" w:hAnsi="Arial" w:cs="Arial"/>
                <w:b/>
                <w:bCs/>
                <w:sz w:val="20"/>
                <w:szCs w:val="20"/>
              </w:rPr>
              <w:t>TREATMENTS</w:t>
            </w:r>
          </w:p>
        </w:tc>
        <w:tc>
          <w:tcPr>
            <w:tcW w:w="1055" w:type="pct"/>
            <w:gridSpan w:val="2"/>
            <w:vAlign w:val="center"/>
          </w:tcPr>
          <w:p w14:paraId="32BF5BFA"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Nitrogen removed (kg ha</w:t>
            </w:r>
            <w:r w:rsidRPr="00AB1A9C">
              <w:rPr>
                <w:rFonts w:ascii="Arial" w:hAnsi="Arial" w:cs="Arial"/>
                <w:sz w:val="20"/>
                <w:szCs w:val="20"/>
                <w:vertAlign w:val="superscript"/>
              </w:rPr>
              <w:t>-1</w:t>
            </w:r>
            <w:r w:rsidRPr="00AB1A9C">
              <w:rPr>
                <w:rFonts w:ascii="Arial" w:hAnsi="Arial" w:cs="Arial"/>
                <w:sz w:val="20"/>
                <w:szCs w:val="20"/>
              </w:rPr>
              <w:t>)</w:t>
            </w:r>
          </w:p>
        </w:tc>
        <w:tc>
          <w:tcPr>
            <w:tcW w:w="1143" w:type="pct"/>
            <w:gridSpan w:val="2"/>
          </w:tcPr>
          <w:p w14:paraId="7238564A"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Phosphorous removed (kg ha</w:t>
            </w:r>
            <w:r w:rsidRPr="00AB1A9C">
              <w:rPr>
                <w:rFonts w:ascii="Arial" w:hAnsi="Arial" w:cs="Arial"/>
                <w:sz w:val="20"/>
                <w:szCs w:val="20"/>
                <w:vertAlign w:val="superscript"/>
              </w:rPr>
              <w:t>-1</w:t>
            </w:r>
            <w:r w:rsidRPr="00AB1A9C">
              <w:rPr>
                <w:rFonts w:ascii="Arial" w:hAnsi="Arial" w:cs="Arial"/>
                <w:sz w:val="20"/>
                <w:szCs w:val="20"/>
              </w:rPr>
              <w:t>)</w:t>
            </w:r>
          </w:p>
        </w:tc>
        <w:tc>
          <w:tcPr>
            <w:tcW w:w="1223" w:type="pct"/>
            <w:gridSpan w:val="2"/>
          </w:tcPr>
          <w:p w14:paraId="7653583B"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Potassium removed (kg ha</w:t>
            </w:r>
            <w:r w:rsidRPr="00AB1A9C">
              <w:rPr>
                <w:rFonts w:ascii="Arial" w:hAnsi="Arial" w:cs="Arial"/>
                <w:sz w:val="20"/>
                <w:szCs w:val="20"/>
                <w:vertAlign w:val="superscript"/>
              </w:rPr>
              <w:t>-1</w:t>
            </w:r>
            <w:r w:rsidRPr="00AB1A9C">
              <w:rPr>
                <w:rFonts w:ascii="Arial" w:hAnsi="Arial" w:cs="Arial"/>
                <w:sz w:val="20"/>
                <w:szCs w:val="20"/>
              </w:rPr>
              <w:t xml:space="preserve">)  </w:t>
            </w:r>
          </w:p>
        </w:tc>
      </w:tr>
      <w:tr w:rsidR="00AB1A9C" w:rsidRPr="00AB1A9C" w14:paraId="0E56CF44" w14:textId="77777777" w:rsidTr="00AB1A9C">
        <w:trPr>
          <w:trHeight w:val="356"/>
        </w:trPr>
        <w:tc>
          <w:tcPr>
            <w:tcW w:w="1579" w:type="pct"/>
            <w:vMerge/>
            <w:vAlign w:val="center"/>
          </w:tcPr>
          <w:p w14:paraId="440DD880" w14:textId="77777777" w:rsidR="00AB1A9C" w:rsidRPr="00AB1A9C" w:rsidRDefault="00AB1A9C" w:rsidP="00DF585C">
            <w:pPr>
              <w:jc w:val="center"/>
              <w:rPr>
                <w:rFonts w:ascii="Arial" w:hAnsi="Arial" w:cs="Arial"/>
                <w:b/>
                <w:bCs/>
                <w:sz w:val="20"/>
                <w:szCs w:val="20"/>
              </w:rPr>
            </w:pPr>
          </w:p>
        </w:tc>
        <w:tc>
          <w:tcPr>
            <w:tcW w:w="505" w:type="pct"/>
            <w:vAlign w:val="center"/>
          </w:tcPr>
          <w:p w14:paraId="62378761"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40DAT</w:t>
            </w:r>
          </w:p>
        </w:tc>
        <w:tc>
          <w:tcPr>
            <w:tcW w:w="551" w:type="pct"/>
            <w:vAlign w:val="center"/>
          </w:tcPr>
          <w:p w14:paraId="07518F20"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60 DAT</w:t>
            </w:r>
          </w:p>
        </w:tc>
        <w:tc>
          <w:tcPr>
            <w:tcW w:w="498" w:type="pct"/>
            <w:vAlign w:val="center"/>
          </w:tcPr>
          <w:p w14:paraId="5EEC6DE7"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40DAT</w:t>
            </w:r>
          </w:p>
        </w:tc>
        <w:tc>
          <w:tcPr>
            <w:tcW w:w="645" w:type="pct"/>
            <w:vAlign w:val="center"/>
          </w:tcPr>
          <w:p w14:paraId="2F41285C"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60 DAT</w:t>
            </w:r>
          </w:p>
        </w:tc>
        <w:tc>
          <w:tcPr>
            <w:tcW w:w="675" w:type="pct"/>
            <w:vAlign w:val="center"/>
          </w:tcPr>
          <w:p w14:paraId="71B62B68"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40DAT</w:t>
            </w:r>
          </w:p>
        </w:tc>
        <w:tc>
          <w:tcPr>
            <w:tcW w:w="548" w:type="pct"/>
            <w:vAlign w:val="center"/>
          </w:tcPr>
          <w:p w14:paraId="74AC3AC0" w14:textId="77777777" w:rsidR="00AB1A9C" w:rsidRPr="00AB1A9C" w:rsidRDefault="00AB1A9C" w:rsidP="00DF585C">
            <w:pPr>
              <w:jc w:val="center"/>
              <w:rPr>
                <w:rFonts w:ascii="Arial" w:hAnsi="Arial" w:cs="Arial"/>
                <w:sz w:val="20"/>
                <w:szCs w:val="20"/>
              </w:rPr>
            </w:pPr>
            <w:r w:rsidRPr="00AB1A9C">
              <w:rPr>
                <w:rFonts w:ascii="Arial" w:hAnsi="Arial" w:cs="Arial"/>
                <w:sz w:val="20"/>
                <w:szCs w:val="20"/>
              </w:rPr>
              <w:t>60 DAT</w:t>
            </w:r>
          </w:p>
        </w:tc>
      </w:tr>
      <w:tr w:rsidR="00AB1A9C" w:rsidRPr="00AB1A9C" w14:paraId="19AA0141" w14:textId="77777777" w:rsidTr="00AB1A9C">
        <w:trPr>
          <w:trHeight w:val="560"/>
        </w:trPr>
        <w:tc>
          <w:tcPr>
            <w:tcW w:w="1579" w:type="pct"/>
          </w:tcPr>
          <w:p w14:paraId="335A0C64"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1</w:t>
            </w:r>
            <w:r w:rsidRPr="00AB1A9C">
              <w:rPr>
                <w:rFonts w:ascii="Arial" w:hAnsi="Arial" w:cs="Arial"/>
                <w:sz w:val="20"/>
                <w:szCs w:val="20"/>
              </w:rPr>
              <w:t xml:space="preserve"> :</w:t>
            </w:r>
            <w:proofErr w:type="gramEnd"/>
            <w:r w:rsidRPr="00AB1A9C">
              <w:rPr>
                <w:rFonts w:ascii="Arial" w:hAnsi="Arial" w:cs="Arial"/>
                <w:sz w:val="20"/>
                <w:szCs w:val="20"/>
              </w:rPr>
              <w:t xml:space="preserve"> Triafamone 20%+ ethoxysulfron 10%WG 44+22.5 g   </w:t>
            </w:r>
            <w:r w:rsidRPr="00AB1A9C">
              <w:rPr>
                <w:rFonts w:ascii="Arial" w:hAnsi="Arial" w:cs="Arial"/>
                <w:bCs/>
                <w:sz w:val="20"/>
                <w:szCs w:val="20"/>
              </w:rPr>
              <w:t>ha</w:t>
            </w:r>
            <w:r w:rsidRPr="00AB1A9C">
              <w:rPr>
                <w:rFonts w:ascii="Arial" w:hAnsi="Arial" w:cs="Arial"/>
                <w:bCs/>
                <w:sz w:val="20"/>
                <w:szCs w:val="20"/>
                <w:vertAlign w:val="superscript"/>
              </w:rPr>
              <w:t xml:space="preserve">-1 </w:t>
            </w:r>
            <w:r w:rsidRPr="00AB1A9C">
              <w:rPr>
                <w:rFonts w:ascii="Arial" w:hAnsi="Arial" w:cs="Arial"/>
                <w:sz w:val="20"/>
                <w:szCs w:val="20"/>
              </w:rPr>
              <w:t>PoE using drones with extended range flat spray (XR11002VP) nozzle.</w:t>
            </w:r>
          </w:p>
        </w:tc>
        <w:tc>
          <w:tcPr>
            <w:tcW w:w="505" w:type="pct"/>
            <w:tcBorders>
              <w:top w:val="single" w:sz="4" w:space="0" w:color="auto"/>
              <w:left w:val="single" w:sz="4" w:space="0" w:color="auto"/>
              <w:bottom w:val="single" w:sz="4" w:space="0" w:color="auto"/>
              <w:right w:val="single" w:sz="4" w:space="0" w:color="auto"/>
            </w:tcBorders>
            <w:vAlign w:val="center"/>
          </w:tcPr>
          <w:p w14:paraId="209A2402"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2.19</w:t>
            </w:r>
          </w:p>
        </w:tc>
        <w:tc>
          <w:tcPr>
            <w:tcW w:w="551" w:type="pct"/>
            <w:tcBorders>
              <w:top w:val="single" w:sz="4" w:space="0" w:color="auto"/>
              <w:left w:val="nil"/>
              <w:bottom w:val="single" w:sz="4" w:space="0" w:color="auto"/>
              <w:right w:val="single" w:sz="4" w:space="0" w:color="auto"/>
            </w:tcBorders>
            <w:vAlign w:val="center"/>
          </w:tcPr>
          <w:p w14:paraId="546425BC"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3.38</w:t>
            </w:r>
          </w:p>
        </w:tc>
        <w:tc>
          <w:tcPr>
            <w:tcW w:w="498" w:type="pct"/>
            <w:tcBorders>
              <w:top w:val="single" w:sz="4" w:space="0" w:color="auto"/>
              <w:left w:val="nil"/>
              <w:bottom w:val="single" w:sz="4" w:space="0" w:color="auto"/>
              <w:right w:val="single" w:sz="4" w:space="0" w:color="auto"/>
            </w:tcBorders>
            <w:vAlign w:val="center"/>
          </w:tcPr>
          <w:p w14:paraId="2108824D"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0.56</w:t>
            </w:r>
          </w:p>
        </w:tc>
        <w:tc>
          <w:tcPr>
            <w:tcW w:w="645" w:type="pct"/>
            <w:tcBorders>
              <w:top w:val="single" w:sz="4" w:space="0" w:color="auto"/>
              <w:left w:val="nil"/>
              <w:bottom w:val="single" w:sz="4" w:space="0" w:color="auto"/>
              <w:right w:val="single" w:sz="4" w:space="0" w:color="auto"/>
            </w:tcBorders>
            <w:vAlign w:val="center"/>
          </w:tcPr>
          <w:p w14:paraId="5E7B981E"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0.94</w:t>
            </w:r>
          </w:p>
        </w:tc>
        <w:tc>
          <w:tcPr>
            <w:tcW w:w="675" w:type="pct"/>
            <w:tcBorders>
              <w:top w:val="single" w:sz="4" w:space="0" w:color="auto"/>
              <w:left w:val="nil"/>
              <w:bottom w:val="single" w:sz="4" w:space="0" w:color="auto"/>
              <w:right w:val="single" w:sz="4" w:space="0" w:color="auto"/>
            </w:tcBorders>
            <w:vAlign w:val="center"/>
          </w:tcPr>
          <w:p w14:paraId="46879010"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2.19</w:t>
            </w:r>
          </w:p>
        </w:tc>
        <w:tc>
          <w:tcPr>
            <w:tcW w:w="548" w:type="pct"/>
            <w:tcBorders>
              <w:top w:val="single" w:sz="4" w:space="0" w:color="auto"/>
              <w:left w:val="nil"/>
              <w:bottom w:val="single" w:sz="4" w:space="0" w:color="auto"/>
              <w:right w:val="single" w:sz="8" w:space="0" w:color="auto"/>
            </w:tcBorders>
            <w:vAlign w:val="center"/>
          </w:tcPr>
          <w:p w14:paraId="59AE957F"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3.34</w:t>
            </w:r>
          </w:p>
        </w:tc>
      </w:tr>
      <w:tr w:rsidR="00AB1A9C" w:rsidRPr="00AB1A9C" w14:paraId="2310AE0B" w14:textId="77777777" w:rsidTr="00AB1A9C">
        <w:trPr>
          <w:trHeight w:val="548"/>
        </w:trPr>
        <w:tc>
          <w:tcPr>
            <w:tcW w:w="1579" w:type="pct"/>
          </w:tcPr>
          <w:p w14:paraId="29FEE578"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lastRenderedPageBreak/>
              <w:t>T</w:t>
            </w:r>
            <w:proofErr w:type="gramStart"/>
            <w:r w:rsidRPr="00AB1A9C">
              <w:rPr>
                <w:rFonts w:ascii="Arial" w:hAnsi="Arial" w:cs="Arial"/>
                <w:sz w:val="20"/>
                <w:szCs w:val="20"/>
                <w:vertAlign w:val="subscript"/>
              </w:rPr>
              <w:t>2</w:t>
            </w:r>
            <w:r w:rsidRPr="00AB1A9C">
              <w:rPr>
                <w:rFonts w:ascii="Arial" w:hAnsi="Arial" w:cs="Arial"/>
                <w:sz w:val="20"/>
                <w:szCs w:val="20"/>
              </w:rPr>
              <w:t xml:space="preserve"> :</w:t>
            </w:r>
            <w:proofErr w:type="gramEnd"/>
            <w:r w:rsidRPr="00AB1A9C">
              <w:rPr>
                <w:rFonts w:ascii="Arial" w:hAnsi="Arial" w:cs="Arial"/>
                <w:sz w:val="20"/>
                <w:szCs w:val="20"/>
              </w:rPr>
              <w:t xml:space="preserve"> Triafamone 20%+ ethoxysulfron 10%WG  44+22.5 g   </w:t>
            </w:r>
            <w:r w:rsidRPr="00AB1A9C">
              <w:rPr>
                <w:rFonts w:ascii="Arial" w:hAnsi="Arial" w:cs="Arial"/>
                <w:bCs/>
                <w:sz w:val="20"/>
                <w:szCs w:val="20"/>
              </w:rPr>
              <w:t>ha</w:t>
            </w:r>
            <w:r w:rsidRPr="00AB1A9C">
              <w:rPr>
                <w:rFonts w:ascii="Arial" w:hAnsi="Arial" w:cs="Arial"/>
                <w:bCs/>
                <w:sz w:val="20"/>
                <w:szCs w:val="20"/>
                <w:vertAlign w:val="superscript"/>
              </w:rPr>
              <w:t xml:space="preserve">-1 </w:t>
            </w:r>
            <w:r w:rsidRPr="00AB1A9C">
              <w:rPr>
                <w:rFonts w:ascii="Arial" w:hAnsi="Arial" w:cs="Arial"/>
                <w:sz w:val="20"/>
                <w:szCs w:val="20"/>
              </w:rPr>
              <w:t>PoE using drones with air induction extended range flat spray (AIXR110015VS) nozzle.</w:t>
            </w:r>
          </w:p>
        </w:tc>
        <w:tc>
          <w:tcPr>
            <w:tcW w:w="505" w:type="pct"/>
            <w:tcBorders>
              <w:top w:val="nil"/>
              <w:left w:val="single" w:sz="4" w:space="0" w:color="auto"/>
              <w:bottom w:val="single" w:sz="4" w:space="0" w:color="auto"/>
              <w:right w:val="single" w:sz="4" w:space="0" w:color="auto"/>
            </w:tcBorders>
            <w:vAlign w:val="center"/>
          </w:tcPr>
          <w:p w14:paraId="32B5F1AE"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1.53</w:t>
            </w:r>
          </w:p>
        </w:tc>
        <w:tc>
          <w:tcPr>
            <w:tcW w:w="551" w:type="pct"/>
            <w:tcBorders>
              <w:top w:val="nil"/>
              <w:left w:val="nil"/>
              <w:bottom w:val="single" w:sz="4" w:space="0" w:color="auto"/>
              <w:right w:val="single" w:sz="4" w:space="0" w:color="auto"/>
            </w:tcBorders>
            <w:vAlign w:val="center"/>
          </w:tcPr>
          <w:p w14:paraId="090565D3"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2.27</w:t>
            </w:r>
          </w:p>
        </w:tc>
        <w:tc>
          <w:tcPr>
            <w:tcW w:w="498" w:type="pct"/>
            <w:tcBorders>
              <w:top w:val="nil"/>
              <w:left w:val="nil"/>
              <w:bottom w:val="single" w:sz="4" w:space="0" w:color="auto"/>
              <w:right w:val="single" w:sz="4" w:space="0" w:color="auto"/>
            </w:tcBorders>
            <w:vAlign w:val="center"/>
          </w:tcPr>
          <w:p w14:paraId="2F1FF950"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0.43</w:t>
            </w:r>
          </w:p>
        </w:tc>
        <w:tc>
          <w:tcPr>
            <w:tcW w:w="645" w:type="pct"/>
            <w:tcBorders>
              <w:top w:val="nil"/>
              <w:left w:val="nil"/>
              <w:bottom w:val="single" w:sz="4" w:space="0" w:color="auto"/>
              <w:right w:val="single" w:sz="4" w:space="0" w:color="auto"/>
            </w:tcBorders>
            <w:vAlign w:val="center"/>
          </w:tcPr>
          <w:p w14:paraId="78AC4B99"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0.71</w:t>
            </w:r>
          </w:p>
        </w:tc>
        <w:tc>
          <w:tcPr>
            <w:tcW w:w="675" w:type="pct"/>
            <w:tcBorders>
              <w:top w:val="nil"/>
              <w:left w:val="nil"/>
              <w:bottom w:val="single" w:sz="4" w:space="0" w:color="auto"/>
              <w:right w:val="single" w:sz="4" w:space="0" w:color="auto"/>
            </w:tcBorders>
            <w:vAlign w:val="center"/>
          </w:tcPr>
          <w:p w14:paraId="04DD2F1C"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1.69</w:t>
            </w:r>
          </w:p>
        </w:tc>
        <w:tc>
          <w:tcPr>
            <w:tcW w:w="548" w:type="pct"/>
            <w:tcBorders>
              <w:top w:val="nil"/>
              <w:left w:val="nil"/>
              <w:bottom w:val="single" w:sz="4" w:space="0" w:color="auto"/>
              <w:right w:val="single" w:sz="8" w:space="0" w:color="auto"/>
            </w:tcBorders>
            <w:vAlign w:val="center"/>
          </w:tcPr>
          <w:p w14:paraId="346508D5"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2.48</w:t>
            </w:r>
          </w:p>
        </w:tc>
      </w:tr>
      <w:tr w:rsidR="00AB1A9C" w:rsidRPr="00AB1A9C" w14:paraId="1A24D46C" w14:textId="77777777" w:rsidTr="00AB1A9C">
        <w:trPr>
          <w:trHeight w:val="548"/>
        </w:trPr>
        <w:tc>
          <w:tcPr>
            <w:tcW w:w="1579" w:type="pct"/>
          </w:tcPr>
          <w:p w14:paraId="51F1AD98"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 xml:space="preserve">3 </w:t>
            </w:r>
            <w:r w:rsidRPr="00AB1A9C">
              <w:rPr>
                <w:rFonts w:ascii="Arial" w:hAnsi="Arial" w:cs="Arial"/>
                <w:sz w:val="20"/>
                <w:szCs w:val="20"/>
              </w:rPr>
              <w:t>:</w:t>
            </w:r>
            <w:proofErr w:type="gramEnd"/>
            <w:r w:rsidRPr="00AB1A9C">
              <w:rPr>
                <w:rFonts w:ascii="Arial" w:hAnsi="Arial" w:cs="Arial"/>
                <w:sz w:val="20"/>
                <w:szCs w:val="20"/>
              </w:rPr>
              <w:t xml:space="preserve"> Triafamone 20%+ ethoxysulfron 10%WG  44+22.5 g   </w:t>
            </w:r>
            <w:r w:rsidRPr="00AB1A9C">
              <w:rPr>
                <w:rFonts w:ascii="Arial" w:hAnsi="Arial" w:cs="Arial"/>
                <w:bCs/>
                <w:sz w:val="20"/>
                <w:szCs w:val="20"/>
              </w:rPr>
              <w:t>ha</w:t>
            </w:r>
            <w:r w:rsidRPr="00AB1A9C">
              <w:rPr>
                <w:rFonts w:ascii="Arial" w:hAnsi="Arial" w:cs="Arial"/>
                <w:bCs/>
                <w:sz w:val="20"/>
                <w:szCs w:val="20"/>
                <w:vertAlign w:val="superscript"/>
              </w:rPr>
              <w:t xml:space="preserve">-1 </w:t>
            </w:r>
            <w:r w:rsidRPr="00AB1A9C">
              <w:rPr>
                <w:rFonts w:ascii="Arial" w:hAnsi="Arial" w:cs="Arial"/>
                <w:sz w:val="20"/>
                <w:szCs w:val="20"/>
              </w:rPr>
              <w:t>PoE using drones with drift guard flat spray (DG 110015VS) nozzle.</w:t>
            </w:r>
          </w:p>
        </w:tc>
        <w:tc>
          <w:tcPr>
            <w:tcW w:w="505" w:type="pct"/>
            <w:tcBorders>
              <w:top w:val="nil"/>
              <w:left w:val="single" w:sz="4" w:space="0" w:color="auto"/>
              <w:bottom w:val="single" w:sz="4" w:space="0" w:color="auto"/>
              <w:right w:val="single" w:sz="4" w:space="0" w:color="auto"/>
            </w:tcBorders>
            <w:vAlign w:val="center"/>
          </w:tcPr>
          <w:p w14:paraId="3F9D72A4"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2.00</w:t>
            </w:r>
          </w:p>
        </w:tc>
        <w:tc>
          <w:tcPr>
            <w:tcW w:w="551" w:type="pct"/>
            <w:tcBorders>
              <w:top w:val="nil"/>
              <w:left w:val="nil"/>
              <w:bottom w:val="single" w:sz="4" w:space="0" w:color="auto"/>
              <w:right w:val="single" w:sz="4" w:space="0" w:color="auto"/>
            </w:tcBorders>
            <w:vAlign w:val="center"/>
          </w:tcPr>
          <w:p w14:paraId="1643CFED"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3.21</w:t>
            </w:r>
          </w:p>
        </w:tc>
        <w:tc>
          <w:tcPr>
            <w:tcW w:w="498" w:type="pct"/>
            <w:tcBorders>
              <w:top w:val="nil"/>
              <w:left w:val="nil"/>
              <w:bottom w:val="single" w:sz="4" w:space="0" w:color="auto"/>
              <w:right w:val="single" w:sz="4" w:space="0" w:color="auto"/>
            </w:tcBorders>
            <w:vAlign w:val="center"/>
          </w:tcPr>
          <w:p w14:paraId="428C827A"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0.52</w:t>
            </w:r>
          </w:p>
        </w:tc>
        <w:tc>
          <w:tcPr>
            <w:tcW w:w="645" w:type="pct"/>
            <w:tcBorders>
              <w:top w:val="nil"/>
              <w:left w:val="nil"/>
              <w:bottom w:val="single" w:sz="4" w:space="0" w:color="auto"/>
              <w:right w:val="single" w:sz="4" w:space="0" w:color="auto"/>
            </w:tcBorders>
            <w:vAlign w:val="center"/>
          </w:tcPr>
          <w:p w14:paraId="237651D2"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0.90</w:t>
            </w:r>
          </w:p>
        </w:tc>
        <w:tc>
          <w:tcPr>
            <w:tcW w:w="675" w:type="pct"/>
            <w:tcBorders>
              <w:top w:val="nil"/>
              <w:left w:val="nil"/>
              <w:bottom w:val="single" w:sz="4" w:space="0" w:color="auto"/>
              <w:right w:val="single" w:sz="4" w:space="0" w:color="auto"/>
            </w:tcBorders>
            <w:vAlign w:val="center"/>
          </w:tcPr>
          <w:p w14:paraId="0D2DB46B"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2.01</w:t>
            </w:r>
          </w:p>
        </w:tc>
        <w:tc>
          <w:tcPr>
            <w:tcW w:w="548" w:type="pct"/>
            <w:tcBorders>
              <w:top w:val="nil"/>
              <w:left w:val="nil"/>
              <w:bottom w:val="single" w:sz="4" w:space="0" w:color="auto"/>
              <w:right w:val="single" w:sz="8" w:space="0" w:color="auto"/>
            </w:tcBorders>
            <w:vAlign w:val="center"/>
          </w:tcPr>
          <w:p w14:paraId="2D6F1928"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3.18</w:t>
            </w:r>
          </w:p>
        </w:tc>
      </w:tr>
      <w:tr w:rsidR="00AB1A9C" w:rsidRPr="00AB1A9C" w14:paraId="2261476B" w14:textId="77777777" w:rsidTr="00AB1A9C">
        <w:trPr>
          <w:trHeight w:val="569"/>
        </w:trPr>
        <w:tc>
          <w:tcPr>
            <w:tcW w:w="1579" w:type="pct"/>
          </w:tcPr>
          <w:p w14:paraId="11F5F241"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 xml:space="preserve">4 </w:t>
            </w:r>
            <w:r w:rsidRPr="00AB1A9C">
              <w:rPr>
                <w:rFonts w:ascii="Arial" w:hAnsi="Arial" w:cs="Arial"/>
                <w:sz w:val="20"/>
                <w:szCs w:val="20"/>
              </w:rPr>
              <w:t>:</w:t>
            </w:r>
            <w:proofErr w:type="gramEnd"/>
            <w:r w:rsidRPr="00AB1A9C">
              <w:rPr>
                <w:rFonts w:ascii="Arial" w:hAnsi="Arial" w:cs="Arial"/>
                <w:sz w:val="20"/>
                <w:szCs w:val="20"/>
              </w:rPr>
              <w:t xml:space="preserve"> Triafamone 20%+ ethoxysulfron 10%WG  44+22.5 g   </w:t>
            </w:r>
            <w:r w:rsidRPr="00AB1A9C">
              <w:rPr>
                <w:rFonts w:ascii="Arial" w:hAnsi="Arial" w:cs="Arial"/>
                <w:bCs/>
                <w:sz w:val="20"/>
                <w:szCs w:val="20"/>
              </w:rPr>
              <w:t>ha</w:t>
            </w:r>
            <w:r w:rsidRPr="00AB1A9C">
              <w:rPr>
                <w:rFonts w:ascii="Arial" w:hAnsi="Arial" w:cs="Arial"/>
                <w:bCs/>
                <w:sz w:val="20"/>
                <w:szCs w:val="20"/>
                <w:vertAlign w:val="superscript"/>
              </w:rPr>
              <w:t xml:space="preserve">-1 </w:t>
            </w:r>
            <w:r w:rsidRPr="00AB1A9C">
              <w:rPr>
                <w:rFonts w:ascii="Arial" w:hAnsi="Arial" w:cs="Arial"/>
                <w:sz w:val="20"/>
                <w:szCs w:val="20"/>
              </w:rPr>
              <w:t>PoE using drones with drift guard even flat spray (DG95015EVS) nozzle.</w:t>
            </w:r>
          </w:p>
        </w:tc>
        <w:tc>
          <w:tcPr>
            <w:tcW w:w="505" w:type="pct"/>
            <w:tcBorders>
              <w:top w:val="nil"/>
              <w:left w:val="single" w:sz="4" w:space="0" w:color="auto"/>
              <w:bottom w:val="single" w:sz="4" w:space="0" w:color="auto"/>
              <w:right w:val="single" w:sz="4" w:space="0" w:color="auto"/>
            </w:tcBorders>
            <w:vAlign w:val="center"/>
          </w:tcPr>
          <w:p w14:paraId="235B51E0"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1.59</w:t>
            </w:r>
          </w:p>
        </w:tc>
        <w:tc>
          <w:tcPr>
            <w:tcW w:w="551" w:type="pct"/>
            <w:tcBorders>
              <w:top w:val="nil"/>
              <w:left w:val="nil"/>
              <w:bottom w:val="single" w:sz="4" w:space="0" w:color="auto"/>
              <w:right w:val="single" w:sz="4" w:space="0" w:color="auto"/>
            </w:tcBorders>
            <w:vAlign w:val="center"/>
          </w:tcPr>
          <w:p w14:paraId="0160C2F0"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2.35</w:t>
            </w:r>
          </w:p>
        </w:tc>
        <w:tc>
          <w:tcPr>
            <w:tcW w:w="498" w:type="pct"/>
            <w:tcBorders>
              <w:top w:val="nil"/>
              <w:left w:val="nil"/>
              <w:bottom w:val="single" w:sz="4" w:space="0" w:color="auto"/>
              <w:right w:val="single" w:sz="4" w:space="0" w:color="auto"/>
            </w:tcBorders>
            <w:vAlign w:val="center"/>
          </w:tcPr>
          <w:p w14:paraId="78232C61"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0.44</w:t>
            </w:r>
          </w:p>
        </w:tc>
        <w:tc>
          <w:tcPr>
            <w:tcW w:w="645" w:type="pct"/>
            <w:tcBorders>
              <w:top w:val="nil"/>
              <w:left w:val="nil"/>
              <w:bottom w:val="single" w:sz="4" w:space="0" w:color="auto"/>
              <w:right w:val="single" w:sz="4" w:space="0" w:color="auto"/>
            </w:tcBorders>
            <w:vAlign w:val="center"/>
          </w:tcPr>
          <w:p w14:paraId="786A721B"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0.72</w:t>
            </w:r>
          </w:p>
        </w:tc>
        <w:tc>
          <w:tcPr>
            <w:tcW w:w="675" w:type="pct"/>
            <w:tcBorders>
              <w:top w:val="nil"/>
              <w:left w:val="nil"/>
              <w:bottom w:val="single" w:sz="4" w:space="0" w:color="auto"/>
              <w:right w:val="single" w:sz="4" w:space="0" w:color="auto"/>
            </w:tcBorders>
            <w:vAlign w:val="center"/>
          </w:tcPr>
          <w:p w14:paraId="26A87EB4"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1.70</w:t>
            </w:r>
          </w:p>
        </w:tc>
        <w:tc>
          <w:tcPr>
            <w:tcW w:w="548" w:type="pct"/>
            <w:tcBorders>
              <w:top w:val="nil"/>
              <w:left w:val="nil"/>
              <w:bottom w:val="single" w:sz="4" w:space="0" w:color="auto"/>
              <w:right w:val="single" w:sz="8" w:space="0" w:color="auto"/>
            </w:tcBorders>
            <w:vAlign w:val="center"/>
          </w:tcPr>
          <w:p w14:paraId="291193D6"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2.51</w:t>
            </w:r>
          </w:p>
        </w:tc>
      </w:tr>
      <w:tr w:rsidR="00AB1A9C" w:rsidRPr="00AB1A9C" w14:paraId="3DA8AC41" w14:textId="77777777" w:rsidTr="00AB1A9C">
        <w:trPr>
          <w:trHeight w:val="548"/>
        </w:trPr>
        <w:tc>
          <w:tcPr>
            <w:tcW w:w="1579" w:type="pct"/>
          </w:tcPr>
          <w:p w14:paraId="08FDA313"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 xml:space="preserve">5 </w:t>
            </w:r>
            <w:r w:rsidRPr="00AB1A9C">
              <w:rPr>
                <w:rFonts w:ascii="Arial" w:hAnsi="Arial" w:cs="Arial"/>
                <w:sz w:val="20"/>
                <w:szCs w:val="20"/>
              </w:rPr>
              <w:t>:</w:t>
            </w:r>
            <w:proofErr w:type="gramEnd"/>
            <w:r w:rsidRPr="00AB1A9C">
              <w:rPr>
                <w:rFonts w:ascii="Arial" w:hAnsi="Arial" w:cs="Arial"/>
                <w:sz w:val="20"/>
                <w:szCs w:val="20"/>
              </w:rPr>
              <w:t xml:space="preserve"> Triafamone 20%+ ethoxysulfron 10%WG  44+22.5 g   </w:t>
            </w:r>
            <w:r w:rsidRPr="00AB1A9C">
              <w:rPr>
                <w:rFonts w:ascii="Arial" w:hAnsi="Arial" w:cs="Arial"/>
                <w:bCs/>
                <w:sz w:val="20"/>
                <w:szCs w:val="20"/>
              </w:rPr>
              <w:t>ha</w:t>
            </w:r>
            <w:r w:rsidRPr="00AB1A9C">
              <w:rPr>
                <w:rFonts w:ascii="Arial" w:hAnsi="Arial" w:cs="Arial"/>
                <w:bCs/>
                <w:sz w:val="20"/>
                <w:szCs w:val="20"/>
                <w:vertAlign w:val="superscript"/>
              </w:rPr>
              <w:t xml:space="preserve">-1 </w:t>
            </w:r>
            <w:r w:rsidRPr="00AB1A9C">
              <w:rPr>
                <w:rFonts w:ascii="Arial" w:hAnsi="Arial" w:cs="Arial"/>
                <w:sz w:val="20"/>
                <w:szCs w:val="20"/>
              </w:rPr>
              <w:t>PoE using drones with multiple solid stream (SJ7A015VP) nozzle.</w:t>
            </w:r>
          </w:p>
        </w:tc>
        <w:tc>
          <w:tcPr>
            <w:tcW w:w="505" w:type="pct"/>
            <w:tcBorders>
              <w:top w:val="nil"/>
              <w:left w:val="single" w:sz="4" w:space="0" w:color="auto"/>
              <w:bottom w:val="single" w:sz="4" w:space="0" w:color="auto"/>
              <w:right w:val="single" w:sz="4" w:space="0" w:color="auto"/>
            </w:tcBorders>
            <w:vAlign w:val="center"/>
          </w:tcPr>
          <w:p w14:paraId="0565C328"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1.46</w:t>
            </w:r>
          </w:p>
        </w:tc>
        <w:tc>
          <w:tcPr>
            <w:tcW w:w="551" w:type="pct"/>
            <w:tcBorders>
              <w:top w:val="nil"/>
              <w:left w:val="nil"/>
              <w:bottom w:val="single" w:sz="4" w:space="0" w:color="auto"/>
              <w:right w:val="single" w:sz="4" w:space="0" w:color="auto"/>
            </w:tcBorders>
            <w:vAlign w:val="center"/>
          </w:tcPr>
          <w:p w14:paraId="2BFC924D"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2.11</w:t>
            </w:r>
          </w:p>
        </w:tc>
        <w:tc>
          <w:tcPr>
            <w:tcW w:w="498" w:type="pct"/>
            <w:tcBorders>
              <w:top w:val="nil"/>
              <w:left w:val="nil"/>
              <w:bottom w:val="single" w:sz="4" w:space="0" w:color="auto"/>
              <w:right w:val="single" w:sz="4" w:space="0" w:color="auto"/>
            </w:tcBorders>
            <w:vAlign w:val="center"/>
          </w:tcPr>
          <w:p w14:paraId="1385535D"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0.38</w:t>
            </w:r>
          </w:p>
        </w:tc>
        <w:tc>
          <w:tcPr>
            <w:tcW w:w="645" w:type="pct"/>
            <w:tcBorders>
              <w:top w:val="nil"/>
              <w:left w:val="nil"/>
              <w:bottom w:val="single" w:sz="4" w:space="0" w:color="auto"/>
              <w:right w:val="single" w:sz="4" w:space="0" w:color="auto"/>
            </w:tcBorders>
            <w:vAlign w:val="center"/>
          </w:tcPr>
          <w:p w14:paraId="7CDBE3E2"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0.60</w:t>
            </w:r>
          </w:p>
        </w:tc>
        <w:tc>
          <w:tcPr>
            <w:tcW w:w="675" w:type="pct"/>
            <w:tcBorders>
              <w:top w:val="nil"/>
              <w:left w:val="nil"/>
              <w:bottom w:val="single" w:sz="4" w:space="0" w:color="auto"/>
              <w:right w:val="single" w:sz="4" w:space="0" w:color="auto"/>
            </w:tcBorders>
            <w:vAlign w:val="center"/>
          </w:tcPr>
          <w:p w14:paraId="1AC251C9"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1.50</w:t>
            </w:r>
          </w:p>
        </w:tc>
        <w:tc>
          <w:tcPr>
            <w:tcW w:w="548" w:type="pct"/>
            <w:tcBorders>
              <w:top w:val="nil"/>
              <w:left w:val="nil"/>
              <w:bottom w:val="single" w:sz="4" w:space="0" w:color="auto"/>
              <w:right w:val="single" w:sz="8" w:space="0" w:color="auto"/>
            </w:tcBorders>
            <w:vAlign w:val="center"/>
          </w:tcPr>
          <w:p w14:paraId="2BC84916"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2.23</w:t>
            </w:r>
          </w:p>
        </w:tc>
      </w:tr>
      <w:tr w:rsidR="00AB1A9C" w:rsidRPr="00AB1A9C" w14:paraId="0333FA8B" w14:textId="77777777" w:rsidTr="00AB1A9C">
        <w:trPr>
          <w:trHeight w:val="621"/>
        </w:trPr>
        <w:tc>
          <w:tcPr>
            <w:tcW w:w="1579" w:type="pct"/>
          </w:tcPr>
          <w:p w14:paraId="0AE51C99"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 xml:space="preserve">6 </w:t>
            </w:r>
            <w:r w:rsidRPr="00AB1A9C">
              <w:rPr>
                <w:rFonts w:ascii="Arial" w:hAnsi="Arial" w:cs="Arial"/>
                <w:sz w:val="20"/>
                <w:szCs w:val="20"/>
              </w:rPr>
              <w:t>:</w:t>
            </w:r>
            <w:proofErr w:type="gramEnd"/>
            <w:r w:rsidRPr="00AB1A9C">
              <w:rPr>
                <w:rFonts w:ascii="Arial" w:hAnsi="Arial" w:cs="Arial"/>
                <w:sz w:val="20"/>
                <w:szCs w:val="20"/>
              </w:rPr>
              <w:t xml:space="preserve"> Triafamone 20%+ ethoxysulfron 10%WG @ 44+22.5 g   </w:t>
            </w:r>
            <w:r w:rsidRPr="00AB1A9C">
              <w:rPr>
                <w:rFonts w:ascii="Arial" w:hAnsi="Arial" w:cs="Arial"/>
                <w:bCs/>
                <w:sz w:val="20"/>
                <w:szCs w:val="20"/>
              </w:rPr>
              <w:t>ha</w:t>
            </w:r>
            <w:r w:rsidRPr="00AB1A9C">
              <w:rPr>
                <w:rFonts w:ascii="Arial" w:hAnsi="Arial" w:cs="Arial"/>
                <w:bCs/>
                <w:sz w:val="20"/>
                <w:szCs w:val="20"/>
                <w:vertAlign w:val="superscript"/>
              </w:rPr>
              <w:t xml:space="preserve">-1 </w:t>
            </w:r>
            <w:r w:rsidRPr="00AB1A9C">
              <w:rPr>
                <w:rFonts w:ascii="Arial" w:hAnsi="Arial" w:cs="Arial"/>
                <w:sz w:val="20"/>
                <w:szCs w:val="20"/>
              </w:rPr>
              <w:t>PoE using knapsack sprayer with nozzle (flat fan nozzle).</w:t>
            </w:r>
          </w:p>
        </w:tc>
        <w:tc>
          <w:tcPr>
            <w:tcW w:w="505" w:type="pct"/>
            <w:tcBorders>
              <w:top w:val="nil"/>
              <w:left w:val="single" w:sz="4" w:space="0" w:color="auto"/>
              <w:bottom w:val="single" w:sz="4" w:space="0" w:color="auto"/>
              <w:right w:val="single" w:sz="4" w:space="0" w:color="auto"/>
            </w:tcBorders>
            <w:vAlign w:val="center"/>
          </w:tcPr>
          <w:p w14:paraId="1286CB0A"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1.36</w:t>
            </w:r>
          </w:p>
        </w:tc>
        <w:tc>
          <w:tcPr>
            <w:tcW w:w="551" w:type="pct"/>
            <w:tcBorders>
              <w:top w:val="nil"/>
              <w:left w:val="nil"/>
              <w:bottom w:val="single" w:sz="4" w:space="0" w:color="auto"/>
              <w:right w:val="single" w:sz="4" w:space="0" w:color="auto"/>
            </w:tcBorders>
            <w:vAlign w:val="center"/>
          </w:tcPr>
          <w:p w14:paraId="5827ED9D"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1.94</w:t>
            </w:r>
          </w:p>
        </w:tc>
        <w:tc>
          <w:tcPr>
            <w:tcW w:w="498" w:type="pct"/>
            <w:tcBorders>
              <w:top w:val="nil"/>
              <w:left w:val="nil"/>
              <w:bottom w:val="single" w:sz="4" w:space="0" w:color="auto"/>
              <w:right w:val="single" w:sz="4" w:space="0" w:color="auto"/>
            </w:tcBorders>
            <w:vAlign w:val="center"/>
          </w:tcPr>
          <w:p w14:paraId="0ED3759B"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0.36</w:t>
            </w:r>
          </w:p>
        </w:tc>
        <w:tc>
          <w:tcPr>
            <w:tcW w:w="645" w:type="pct"/>
            <w:tcBorders>
              <w:top w:val="nil"/>
              <w:left w:val="nil"/>
              <w:bottom w:val="single" w:sz="4" w:space="0" w:color="auto"/>
              <w:right w:val="single" w:sz="4" w:space="0" w:color="auto"/>
            </w:tcBorders>
            <w:vAlign w:val="center"/>
          </w:tcPr>
          <w:p w14:paraId="61537F6B"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0.53</w:t>
            </w:r>
          </w:p>
        </w:tc>
        <w:tc>
          <w:tcPr>
            <w:tcW w:w="675" w:type="pct"/>
            <w:tcBorders>
              <w:top w:val="nil"/>
              <w:left w:val="nil"/>
              <w:bottom w:val="single" w:sz="4" w:space="0" w:color="auto"/>
              <w:right w:val="single" w:sz="4" w:space="0" w:color="auto"/>
            </w:tcBorders>
            <w:vAlign w:val="center"/>
          </w:tcPr>
          <w:p w14:paraId="5B4C09FB"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1.40</w:t>
            </w:r>
          </w:p>
        </w:tc>
        <w:tc>
          <w:tcPr>
            <w:tcW w:w="548" w:type="pct"/>
            <w:tcBorders>
              <w:top w:val="nil"/>
              <w:left w:val="nil"/>
              <w:bottom w:val="single" w:sz="4" w:space="0" w:color="auto"/>
              <w:right w:val="single" w:sz="8" w:space="0" w:color="auto"/>
            </w:tcBorders>
            <w:vAlign w:val="center"/>
          </w:tcPr>
          <w:p w14:paraId="0F27C16C"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2.03</w:t>
            </w:r>
          </w:p>
        </w:tc>
      </w:tr>
      <w:tr w:rsidR="00AB1A9C" w:rsidRPr="00AB1A9C" w14:paraId="525D556C" w14:textId="77777777" w:rsidTr="00AB1A9C">
        <w:trPr>
          <w:trHeight w:val="363"/>
        </w:trPr>
        <w:tc>
          <w:tcPr>
            <w:tcW w:w="1579" w:type="pct"/>
          </w:tcPr>
          <w:p w14:paraId="7C1F63B6"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 xml:space="preserve">7 </w:t>
            </w:r>
            <w:r w:rsidRPr="00AB1A9C">
              <w:rPr>
                <w:rFonts w:ascii="Arial" w:hAnsi="Arial" w:cs="Arial"/>
                <w:sz w:val="20"/>
                <w:szCs w:val="20"/>
              </w:rPr>
              <w:t>:</w:t>
            </w:r>
            <w:proofErr w:type="gramEnd"/>
            <w:r w:rsidRPr="00AB1A9C">
              <w:rPr>
                <w:rFonts w:ascii="Arial" w:hAnsi="Arial" w:cs="Arial"/>
                <w:sz w:val="20"/>
                <w:szCs w:val="20"/>
              </w:rPr>
              <w:t xml:space="preserve"> Hand weeding (20 and 40 DAT).</w:t>
            </w:r>
          </w:p>
        </w:tc>
        <w:tc>
          <w:tcPr>
            <w:tcW w:w="505" w:type="pct"/>
            <w:tcBorders>
              <w:top w:val="nil"/>
              <w:left w:val="single" w:sz="4" w:space="0" w:color="auto"/>
              <w:bottom w:val="single" w:sz="4" w:space="0" w:color="auto"/>
              <w:right w:val="single" w:sz="4" w:space="0" w:color="auto"/>
            </w:tcBorders>
            <w:vAlign w:val="center"/>
          </w:tcPr>
          <w:p w14:paraId="5B412651"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0.42</w:t>
            </w:r>
          </w:p>
        </w:tc>
        <w:tc>
          <w:tcPr>
            <w:tcW w:w="551" w:type="pct"/>
            <w:tcBorders>
              <w:top w:val="nil"/>
              <w:left w:val="nil"/>
              <w:bottom w:val="single" w:sz="4" w:space="0" w:color="auto"/>
              <w:right w:val="single" w:sz="4" w:space="0" w:color="auto"/>
            </w:tcBorders>
            <w:vAlign w:val="center"/>
          </w:tcPr>
          <w:p w14:paraId="6D67E33D"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0.98</w:t>
            </w:r>
          </w:p>
        </w:tc>
        <w:tc>
          <w:tcPr>
            <w:tcW w:w="498" w:type="pct"/>
            <w:tcBorders>
              <w:top w:val="nil"/>
              <w:left w:val="nil"/>
              <w:bottom w:val="single" w:sz="4" w:space="0" w:color="auto"/>
              <w:right w:val="single" w:sz="4" w:space="0" w:color="auto"/>
            </w:tcBorders>
            <w:vAlign w:val="center"/>
          </w:tcPr>
          <w:p w14:paraId="458597FE"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0.11</w:t>
            </w:r>
          </w:p>
        </w:tc>
        <w:tc>
          <w:tcPr>
            <w:tcW w:w="645" w:type="pct"/>
            <w:tcBorders>
              <w:top w:val="nil"/>
              <w:left w:val="nil"/>
              <w:bottom w:val="single" w:sz="4" w:space="0" w:color="auto"/>
              <w:right w:val="single" w:sz="4" w:space="0" w:color="auto"/>
            </w:tcBorders>
            <w:vAlign w:val="center"/>
          </w:tcPr>
          <w:p w14:paraId="3124B66E"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0.26</w:t>
            </w:r>
          </w:p>
        </w:tc>
        <w:tc>
          <w:tcPr>
            <w:tcW w:w="675" w:type="pct"/>
            <w:tcBorders>
              <w:top w:val="nil"/>
              <w:left w:val="nil"/>
              <w:bottom w:val="single" w:sz="4" w:space="0" w:color="auto"/>
              <w:right w:val="single" w:sz="4" w:space="0" w:color="auto"/>
            </w:tcBorders>
            <w:vAlign w:val="center"/>
          </w:tcPr>
          <w:p w14:paraId="6877548D"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0.45</w:t>
            </w:r>
          </w:p>
        </w:tc>
        <w:tc>
          <w:tcPr>
            <w:tcW w:w="548" w:type="pct"/>
            <w:tcBorders>
              <w:top w:val="nil"/>
              <w:left w:val="nil"/>
              <w:bottom w:val="single" w:sz="4" w:space="0" w:color="auto"/>
              <w:right w:val="single" w:sz="8" w:space="0" w:color="auto"/>
            </w:tcBorders>
            <w:vAlign w:val="center"/>
          </w:tcPr>
          <w:p w14:paraId="44F3A713"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1.01</w:t>
            </w:r>
          </w:p>
        </w:tc>
      </w:tr>
      <w:tr w:rsidR="00AB1A9C" w:rsidRPr="00AB1A9C" w14:paraId="78E7CF3F" w14:textId="77777777" w:rsidTr="00AB1A9C">
        <w:trPr>
          <w:trHeight w:val="229"/>
        </w:trPr>
        <w:tc>
          <w:tcPr>
            <w:tcW w:w="1579" w:type="pct"/>
          </w:tcPr>
          <w:p w14:paraId="61A3020C" w14:textId="77777777" w:rsidR="00AB1A9C" w:rsidRPr="00AB1A9C" w:rsidRDefault="00AB1A9C" w:rsidP="00DF585C">
            <w:pPr>
              <w:spacing w:line="360" w:lineRule="auto"/>
              <w:rPr>
                <w:rFonts w:ascii="Arial" w:hAnsi="Arial" w:cs="Arial"/>
                <w:sz w:val="20"/>
                <w:szCs w:val="20"/>
              </w:rPr>
            </w:pPr>
            <w:r w:rsidRPr="00AB1A9C">
              <w:rPr>
                <w:rFonts w:ascii="Arial" w:hAnsi="Arial" w:cs="Arial"/>
                <w:sz w:val="20"/>
                <w:szCs w:val="20"/>
              </w:rPr>
              <w:t>T</w:t>
            </w:r>
            <w:proofErr w:type="gramStart"/>
            <w:r w:rsidRPr="00AB1A9C">
              <w:rPr>
                <w:rFonts w:ascii="Arial" w:hAnsi="Arial" w:cs="Arial"/>
                <w:sz w:val="20"/>
                <w:szCs w:val="20"/>
                <w:vertAlign w:val="subscript"/>
              </w:rPr>
              <w:t xml:space="preserve">8 </w:t>
            </w:r>
            <w:r w:rsidRPr="00AB1A9C">
              <w:rPr>
                <w:rFonts w:ascii="Arial" w:hAnsi="Arial" w:cs="Arial"/>
                <w:sz w:val="20"/>
                <w:szCs w:val="20"/>
              </w:rPr>
              <w:t>:</w:t>
            </w:r>
            <w:proofErr w:type="gramEnd"/>
            <w:r w:rsidRPr="00AB1A9C">
              <w:rPr>
                <w:rFonts w:ascii="Arial" w:hAnsi="Arial" w:cs="Arial"/>
                <w:sz w:val="20"/>
                <w:szCs w:val="20"/>
              </w:rPr>
              <w:t xml:space="preserve"> Unweeded check.</w:t>
            </w:r>
          </w:p>
        </w:tc>
        <w:tc>
          <w:tcPr>
            <w:tcW w:w="505" w:type="pct"/>
            <w:tcBorders>
              <w:top w:val="nil"/>
              <w:left w:val="single" w:sz="4" w:space="0" w:color="auto"/>
              <w:bottom w:val="single" w:sz="4" w:space="0" w:color="auto"/>
              <w:right w:val="single" w:sz="4" w:space="0" w:color="auto"/>
            </w:tcBorders>
            <w:vAlign w:val="center"/>
          </w:tcPr>
          <w:p w14:paraId="45928331"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7.80</w:t>
            </w:r>
          </w:p>
        </w:tc>
        <w:tc>
          <w:tcPr>
            <w:tcW w:w="551" w:type="pct"/>
            <w:tcBorders>
              <w:top w:val="nil"/>
              <w:left w:val="nil"/>
              <w:bottom w:val="single" w:sz="4" w:space="0" w:color="auto"/>
              <w:right w:val="single" w:sz="4" w:space="0" w:color="auto"/>
            </w:tcBorders>
            <w:vAlign w:val="center"/>
          </w:tcPr>
          <w:p w14:paraId="20BFB9CE"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10.44</w:t>
            </w:r>
          </w:p>
        </w:tc>
        <w:tc>
          <w:tcPr>
            <w:tcW w:w="498" w:type="pct"/>
            <w:tcBorders>
              <w:top w:val="nil"/>
              <w:left w:val="nil"/>
              <w:bottom w:val="single" w:sz="4" w:space="0" w:color="auto"/>
              <w:right w:val="single" w:sz="4" w:space="0" w:color="auto"/>
            </w:tcBorders>
            <w:vAlign w:val="center"/>
          </w:tcPr>
          <w:p w14:paraId="7647E6DA"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1.99</w:t>
            </w:r>
          </w:p>
        </w:tc>
        <w:tc>
          <w:tcPr>
            <w:tcW w:w="645" w:type="pct"/>
            <w:tcBorders>
              <w:top w:val="nil"/>
              <w:left w:val="nil"/>
              <w:bottom w:val="single" w:sz="4" w:space="0" w:color="auto"/>
              <w:right w:val="single" w:sz="4" w:space="0" w:color="auto"/>
            </w:tcBorders>
            <w:vAlign w:val="center"/>
          </w:tcPr>
          <w:p w14:paraId="3F70434A"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2.85</w:t>
            </w:r>
          </w:p>
        </w:tc>
        <w:tc>
          <w:tcPr>
            <w:tcW w:w="675" w:type="pct"/>
            <w:tcBorders>
              <w:top w:val="nil"/>
              <w:left w:val="nil"/>
              <w:bottom w:val="single" w:sz="4" w:space="0" w:color="auto"/>
              <w:right w:val="single" w:sz="4" w:space="0" w:color="auto"/>
            </w:tcBorders>
            <w:vAlign w:val="center"/>
          </w:tcPr>
          <w:p w14:paraId="50D23EBB"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7.80</w:t>
            </w:r>
          </w:p>
        </w:tc>
        <w:tc>
          <w:tcPr>
            <w:tcW w:w="548" w:type="pct"/>
            <w:tcBorders>
              <w:top w:val="nil"/>
              <w:left w:val="nil"/>
              <w:bottom w:val="single" w:sz="4" w:space="0" w:color="auto"/>
              <w:right w:val="single" w:sz="8" w:space="0" w:color="auto"/>
            </w:tcBorders>
            <w:vAlign w:val="center"/>
          </w:tcPr>
          <w:p w14:paraId="2CBD6566"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10.50</w:t>
            </w:r>
          </w:p>
        </w:tc>
      </w:tr>
      <w:tr w:rsidR="00AB1A9C" w:rsidRPr="00AB1A9C" w14:paraId="5A23DAE2" w14:textId="77777777" w:rsidTr="00AB1A9C">
        <w:trPr>
          <w:trHeight w:val="548"/>
        </w:trPr>
        <w:tc>
          <w:tcPr>
            <w:tcW w:w="1579" w:type="pct"/>
          </w:tcPr>
          <w:p w14:paraId="700691E1" w14:textId="77777777" w:rsidR="00AB1A9C" w:rsidRPr="00AB1A9C" w:rsidRDefault="00AB1A9C" w:rsidP="00DF585C">
            <w:pPr>
              <w:jc w:val="right"/>
              <w:rPr>
                <w:rFonts w:ascii="Arial" w:hAnsi="Arial" w:cs="Arial"/>
                <w:sz w:val="20"/>
                <w:szCs w:val="20"/>
              </w:rPr>
            </w:pPr>
            <w:r w:rsidRPr="00AB1A9C">
              <w:rPr>
                <w:rFonts w:ascii="Arial" w:hAnsi="Arial" w:cs="Arial"/>
                <w:sz w:val="20"/>
                <w:szCs w:val="20"/>
              </w:rPr>
              <w:t>SE(m) ±</w:t>
            </w:r>
          </w:p>
        </w:tc>
        <w:tc>
          <w:tcPr>
            <w:tcW w:w="505" w:type="pct"/>
            <w:tcBorders>
              <w:top w:val="nil"/>
              <w:left w:val="single" w:sz="4" w:space="0" w:color="auto"/>
              <w:bottom w:val="single" w:sz="4" w:space="0" w:color="auto"/>
              <w:right w:val="single" w:sz="4" w:space="0" w:color="auto"/>
            </w:tcBorders>
            <w:vAlign w:val="center"/>
          </w:tcPr>
          <w:p w14:paraId="47175774"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0.09</w:t>
            </w:r>
          </w:p>
        </w:tc>
        <w:tc>
          <w:tcPr>
            <w:tcW w:w="551" w:type="pct"/>
            <w:tcBorders>
              <w:top w:val="nil"/>
              <w:left w:val="nil"/>
              <w:bottom w:val="single" w:sz="4" w:space="0" w:color="auto"/>
              <w:right w:val="single" w:sz="4" w:space="0" w:color="auto"/>
            </w:tcBorders>
            <w:vAlign w:val="center"/>
          </w:tcPr>
          <w:p w14:paraId="6582DA93"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0.11</w:t>
            </w:r>
          </w:p>
        </w:tc>
        <w:tc>
          <w:tcPr>
            <w:tcW w:w="498" w:type="pct"/>
            <w:tcBorders>
              <w:top w:val="nil"/>
              <w:left w:val="nil"/>
              <w:bottom w:val="single" w:sz="4" w:space="0" w:color="auto"/>
              <w:right w:val="single" w:sz="4" w:space="0" w:color="auto"/>
            </w:tcBorders>
            <w:vAlign w:val="center"/>
          </w:tcPr>
          <w:p w14:paraId="680826A5"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0.03</w:t>
            </w:r>
          </w:p>
        </w:tc>
        <w:tc>
          <w:tcPr>
            <w:tcW w:w="645" w:type="pct"/>
            <w:tcBorders>
              <w:top w:val="nil"/>
              <w:left w:val="nil"/>
              <w:bottom w:val="single" w:sz="4" w:space="0" w:color="auto"/>
              <w:right w:val="single" w:sz="4" w:space="0" w:color="auto"/>
            </w:tcBorders>
            <w:vAlign w:val="center"/>
          </w:tcPr>
          <w:p w14:paraId="1BBF81B4"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0.05</w:t>
            </w:r>
          </w:p>
        </w:tc>
        <w:tc>
          <w:tcPr>
            <w:tcW w:w="675" w:type="pct"/>
            <w:tcBorders>
              <w:top w:val="nil"/>
              <w:left w:val="nil"/>
              <w:bottom w:val="single" w:sz="4" w:space="0" w:color="auto"/>
              <w:right w:val="single" w:sz="4" w:space="0" w:color="auto"/>
            </w:tcBorders>
            <w:vAlign w:val="center"/>
          </w:tcPr>
          <w:p w14:paraId="1CDF903D"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0.13</w:t>
            </w:r>
          </w:p>
        </w:tc>
        <w:tc>
          <w:tcPr>
            <w:tcW w:w="548" w:type="pct"/>
            <w:tcBorders>
              <w:top w:val="nil"/>
              <w:left w:val="nil"/>
              <w:bottom w:val="single" w:sz="4" w:space="0" w:color="auto"/>
              <w:right w:val="single" w:sz="8" w:space="0" w:color="auto"/>
            </w:tcBorders>
            <w:vAlign w:val="center"/>
          </w:tcPr>
          <w:p w14:paraId="47AD3054"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0.13</w:t>
            </w:r>
          </w:p>
        </w:tc>
      </w:tr>
      <w:tr w:rsidR="00AB1A9C" w:rsidRPr="00AB1A9C" w14:paraId="760D1E69" w14:textId="77777777" w:rsidTr="00AB1A9C">
        <w:trPr>
          <w:trHeight w:val="548"/>
        </w:trPr>
        <w:tc>
          <w:tcPr>
            <w:tcW w:w="1579" w:type="pct"/>
          </w:tcPr>
          <w:p w14:paraId="2C90FE2C" w14:textId="77777777" w:rsidR="00AB1A9C" w:rsidRPr="00AB1A9C" w:rsidRDefault="00AB1A9C" w:rsidP="00DF585C">
            <w:pPr>
              <w:jc w:val="right"/>
              <w:rPr>
                <w:rFonts w:ascii="Arial" w:hAnsi="Arial" w:cs="Arial"/>
                <w:sz w:val="20"/>
                <w:szCs w:val="20"/>
              </w:rPr>
            </w:pPr>
            <w:r w:rsidRPr="00AB1A9C">
              <w:rPr>
                <w:rFonts w:ascii="Arial" w:hAnsi="Arial" w:cs="Arial"/>
                <w:sz w:val="20"/>
                <w:szCs w:val="20"/>
              </w:rPr>
              <w:t>CD</w:t>
            </w:r>
            <w:r w:rsidRPr="00AB1A9C">
              <w:rPr>
                <w:rFonts w:ascii="Arial" w:hAnsi="Arial" w:cs="Arial"/>
                <w:spacing w:val="-1"/>
                <w:sz w:val="20"/>
                <w:szCs w:val="20"/>
              </w:rPr>
              <w:t xml:space="preserve"> </w:t>
            </w:r>
            <w:r w:rsidRPr="00AB1A9C">
              <w:rPr>
                <w:rFonts w:ascii="Arial" w:hAnsi="Arial" w:cs="Arial"/>
                <w:sz w:val="20"/>
                <w:szCs w:val="20"/>
              </w:rPr>
              <w:t>(P=0.05)</w:t>
            </w:r>
          </w:p>
        </w:tc>
        <w:tc>
          <w:tcPr>
            <w:tcW w:w="505" w:type="pct"/>
            <w:tcBorders>
              <w:top w:val="nil"/>
              <w:left w:val="single" w:sz="4" w:space="0" w:color="auto"/>
              <w:bottom w:val="single" w:sz="4" w:space="0" w:color="auto"/>
              <w:right w:val="single" w:sz="4" w:space="0" w:color="auto"/>
            </w:tcBorders>
            <w:vAlign w:val="center"/>
          </w:tcPr>
          <w:p w14:paraId="5173B14E"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0.26</w:t>
            </w:r>
          </w:p>
        </w:tc>
        <w:tc>
          <w:tcPr>
            <w:tcW w:w="551" w:type="pct"/>
            <w:tcBorders>
              <w:top w:val="nil"/>
              <w:left w:val="nil"/>
              <w:bottom w:val="single" w:sz="4" w:space="0" w:color="auto"/>
              <w:right w:val="single" w:sz="4" w:space="0" w:color="auto"/>
            </w:tcBorders>
            <w:vAlign w:val="center"/>
          </w:tcPr>
          <w:p w14:paraId="5E65D693" w14:textId="77777777" w:rsidR="00AB1A9C" w:rsidRPr="00AB1A9C" w:rsidRDefault="00AB1A9C" w:rsidP="00DF585C">
            <w:pPr>
              <w:spacing w:line="360" w:lineRule="auto"/>
              <w:jc w:val="center"/>
              <w:rPr>
                <w:rFonts w:ascii="Arial" w:hAnsi="Arial" w:cs="Arial"/>
                <w:sz w:val="20"/>
                <w:szCs w:val="20"/>
              </w:rPr>
            </w:pPr>
            <w:r w:rsidRPr="00AB1A9C">
              <w:rPr>
                <w:rFonts w:ascii="Arial" w:hAnsi="Arial" w:cs="Arial"/>
                <w:color w:val="000000"/>
                <w:sz w:val="20"/>
                <w:szCs w:val="20"/>
              </w:rPr>
              <w:t>0.34</w:t>
            </w:r>
          </w:p>
        </w:tc>
        <w:tc>
          <w:tcPr>
            <w:tcW w:w="498" w:type="pct"/>
            <w:tcBorders>
              <w:top w:val="nil"/>
              <w:left w:val="nil"/>
              <w:bottom w:val="single" w:sz="4" w:space="0" w:color="auto"/>
              <w:right w:val="single" w:sz="4" w:space="0" w:color="auto"/>
            </w:tcBorders>
            <w:vAlign w:val="center"/>
          </w:tcPr>
          <w:p w14:paraId="03E5AC0F"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0.09</w:t>
            </w:r>
          </w:p>
        </w:tc>
        <w:tc>
          <w:tcPr>
            <w:tcW w:w="645" w:type="pct"/>
            <w:tcBorders>
              <w:top w:val="nil"/>
              <w:left w:val="nil"/>
              <w:bottom w:val="single" w:sz="4" w:space="0" w:color="auto"/>
              <w:right w:val="single" w:sz="4" w:space="0" w:color="auto"/>
            </w:tcBorders>
            <w:vAlign w:val="center"/>
          </w:tcPr>
          <w:p w14:paraId="1D066915"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0.16</w:t>
            </w:r>
          </w:p>
        </w:tc>
        <w:tc>
          <w:tcPr>
            <w:tcW w:w="675" w:type="pct"/>
            <w:tcBorders>
              <w:top w:val="nil"/>
              <w:left w:val="nil"/>
              <w:bottom w:val="single" w:sz="4" w:space="0" w:color="auto"/>
              <w:right w:val="single" w:sz="4" w:space="0" w:color="auto"/>
            </w:tcBorders>
            <w:vAlign w:val="center"/>
          </w:tcPr>
          <w:p w14:paraId="19FA15DC"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0.38</w:t>
            </w:r>
          </w:p>
        </w:tc>
        <w:tc>
          <w:tcPr>
            <w:tcW w:w="548" w:type="pct"/>
            <w:tcBorders>
              <w:top w:val="nil"/>
              <w:left w:val="nil"/>
              <w:bottom w:val="single" w:sz="4" w:space="0" w:color="auto"/>
              <w:right w:val="single" w:sz="8" w:space="0" w:color="auto"/>
            </w:tcBorders>
            <w:vAlign w:val="center"/>
          </w:tcPr>
          <w:p w14:paraId="2A255A7C" w14:textId="77777777" w:rsidR="00AB1A9C" w:rsidRPr="00AB1A9C" w:rsidRDefault="00AB1A9C" w:rsidP="00DF585C">
            <w:pPr>
              <w:spacing w:line="360" w:lineRule="auto"/>
              <w:jc w:val="center"/>
              <w:rPr>
                <w:rFonts w:ascii="Arial" w:hAnsi="Arial" w:cs="Arial"/>
                <w:color w:val="000000"/>
                <w:sz w:val="20"/>
                <w:szCs w:val="20"/>
              </w:rPr>
            </w:pPr>
            <w:r w:rsidRPr="00AB1A9C">
              <w:rPr>
                <w:rFonts w:ascii="Arial" w:hAnsi="Arial" w:cs="Arial"/>
                <w:color w:val="000000"/>
                <w:sz w:val="20"/>
                <w:szCs w:val="20"/>
              </w:rPr>
              <w:t>0.41</w:t>
            </w:r>
          </w:p>
        </w:tc>
      </w:tr>
    </w:tbl>
    <w:p w14:paraId="28301F20" w14:textId="77777777" w:rsidR="00AB1A9C" w:rsidRDefault="00AB1A9C" w:rsidP="00441B6F">
      <w:pPr>
        <w:pStyle w:val="Body"/>
        <w:spacing w:after="0"/>
        <w:rPr>
          <w:rFonts w:ascii="Arial" w:hAnsi="Arial" w:cs="Arial"/>
        </w:rPr>
      </w:pPr>
    </w:p>
    <w:p w14:paraId="151C86BF" w14:textId="77777777" w:rsidR="00790ADA" w:rsidRPr="00FB3A86" w:rsidRDefault="00790ADA" w:rsidP="00441B6F">
      <w:pPr>
        <w:pStyle w:val="Body"/>
        <w:spacing w:after="0"/>
        <w:rPr>
          <w:rFonts w:ascii="Arial" w:hAnsi="Arial" w:cs="Arial"/>
        </w:rPr>
      </w:pPr>
    </w:p>
    <w:p w14:paraId="026A04F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4E08D8" w14:textId="77777777" w:rsidR="00790ADA" w:rsidRPr="00FB3A86" w:rsidRDefault="00790ADA" w:rsidP="00441B6F">
      <w:pPr>
        <w:pStyle w:val="ConcHead"/>
        <w:spacing w:after="0"/>
        <w:jc w:val="both"/>
        <w:rPr>
          <w:rFonts w:ascii="Arial" w:hAnsi="Arial" w:cs="Arial"/>
        </w:rPr>
      </w:pPr>
    </w:p>
    <w:p w14:paraId="6DCBC6A7" w14:textId="77777777" w:rsidR="00AB1A9C" w:rsidRPr="00AB1A9C" w:rsidRDefault="00AB1A9C" w:rsidP="00AB1A9C">
      <w:pPr>
        <w:ind w:firstLine="720"/>
        <w:jc w:val="both"/>
        <w:rPr>
          <w:rFonts w:ascii="Arial" w:hAnsi="Arial" w:cs="Arial"/>
        </w:rPr>
      </w:pPr>
      <w:r w:rsidRPr="00AB1A9C">
        <w:rPr>
          <w:rFonts w:ascii="Arial" w:hAnsi="Arial" w:cs="Arial"/>
        </w:rPr>
        <w:t>Hand weeding at 20 and 40 DAT (T7) recorded the lowest nutrient removal by weeds, closely followed by knapsack spraying and drone applications using the multiple solid stream (SJ7A015VP), air induction extended range flat spray (AIXR110015VS), and drift guard even flat spray (DG95015EVS) nozzles. The drift guard flat spray (DG110015VS) and extended range flat spray (XR11002VP) nozzles showed comparatively higher nutrient losses, while the unweeded control (T8) recorded the maximum nutrient removal. Thus, drone spraying with SJ7A015VP, AIXR110015VS, and DG95015EVS nozzles proved effective in minimizing nutrient depletion, comparable to conventional hand and knapsack methods.</w:t>
      </w:r>
    </w:p>
    <w:p w14:paraId="04B88569" w14:textId="77777777" w:rsidR="00AB1A9C" w:rsidRDefault="00AB1A9C" w:rsidP="00441B6F">
      <w:pPr>
        <w:pStyle w:val="Body"/>
        <w:spacing w:after="0"/>
        <w:rPr>
          <w:rFonts w:ascii="Arial" w:hAnsi="Arial" w:cs="Arial"/>
        </w:rPr>
      </w:pPr>
    </w:p>
    <w:p w14:paraId="7A783A12" w14:textId="77777777" w:rsidR="00790ADA" w:rsidRPr="00FB3A86" w:rsidRDefault="00790ADA" w:rsidP="00441B6F">
      <w:pPr>
        <w:pStyle w:val="Body"/>
        <w:spacing w:after="0"/>
        <w:rPr>
          <w:rFonts w:ascii="Arial" w:hAnsi="Arial" w:cs="Arial"/>
        </w:rPr>
      </w:pPr>
    </w:p>
    <w:p w14:paraId="5D89F79B" w14:textId="77777777" w:rsidR="00AB1A9C" w:rsidRDefault="00AB1A9C" w:rsidP="00441B6F">
      <w:pPr>
        <w:pStyle w:val="ReferHead"/>
        <w:spacing w:after="0"/>
        <w:jc w:val="both"/>
        <w:rPr>
          <w:rFonts w:ascii="Arial" w:hAnsi="Arial" w:cs="Arial"/>
        </w:rPr>
      </w:pPr>
    </w:p>
    <w:p w14:paraId="757466FF" w14:textId="211C80E8" w:rsidR="00B01FCD" w:rsidRDefault="00B01FCD" w:rsidP="00441B6F">
      <w:pPr>
        <w:pStyle w:val="ReferHead"/>
        <w:spacing w:after="0"/>
        <w:jc w:val="both"/>
        <w:rPr>
          <w:rFonts w:ascii="Arial" w:hAnsi="Arial" w:cs="Arial"/>
        </w:rPr>
      </w:pPr>
      <w:r w:rsidRPr="00FB3A86">
        <w:rPr>
          <w:rFonts w:ascii="Arial" w:hAnsi="Arial" w:cs="Arial"/>
        </w:rPr>
        <w:t>References</w:t>
      </w:r>
    </w:p>
    <w:p w14:paraId="44DA970D" w14:textId="4D6F24C7" w:rsidR="00113EA2" w:rsidRPr="00F87E76" w:rsidRDefault="00113EA2" w:rsidP="00113EA2">
      <w:pPr>
        <w:pStyle w:val="ListParagraph"/>
        <w:numPr>
          <w:ilvl w:val="0"/>
          <w:numId w:val="32"/>
        </w:numPr>
        <w:spacing w:line="360" w:lineRule="auto"/>
        <w:jc w:val="both"/>
        <w:rPr>
          <w:rFonts w:ascii="Arial" w:hAnsi="Arial" w:cs="Arial"/>
          <w:sz w:val="20"/>
          <w:szCs w:val="20"/>
        </w:rPr>
      </w:pPr>
      <w:r w:rsidRPr="00322158">
        <w:rPr>
          <w:rFonts w:ascii="Arial" w:hAnsi="Arial" w:cs="Arial"/>
          <w:sz w:val="20"/>
          <w:szCs w:val="20"/>
          <w:lang w:val="de-DE"/>
        </w:rPr>
        <w:t>Jabran, K., Mahajan, G., Sardana, V.</w:t>
      </w:r>
      <w:r w:rsidR="00322158" w:rsidRPr="00322158">
        <w:rPr>
          <w:rFonts w:ascii="Arial" w:hAnsi="Arial" w:cs="Arial"/>
          <w:sz w:val="20"/>
          <w:szCs w:val="20"/>
          <w:lang w:val="de-DE"/>
        </w:rPr>
        <w:t xml:space="preserve"> </w:t>
      </w:r>
      <w:r w:rsidR="00322158">
        <w:rPr>
          <w:rFonts w:ascii="Arial" w:hAnsi="Arial" w:cs="Arial"/>
          <w:sz w:val="20"/>
          <w:szCs w:val="20"/>
          <w:lang w:val="de-DE"/>
        </w:rPr>
        <w:t>(2015).</w:t>
      </w:r>
      <w:r w:rsidRPr="00322158">
        <w:rPr>
          <w:rFonts w:ascii="Arial" w:hAnsi="Arial" w:cs="Arial"/>
          <w:sz w:val="20"/>
          <w:szCs w:val="20"/>
          <w:lang w:val="de-DE"/>
        </w:rPr>
        <w:t xml:space="preserve"> </w:t>
      </w:r>
      <w:r w:rsidRPr="00F87E76">
        <w:rPr>
          <w:rFonts w:ascii="Arial" w:hAnsi="Arial" w:cs="Arial"/>
          <w:sz w:val="20"/>
          <w:szCs w:val="20"/>
          <w:lang w:val="en-US"/>
        </w:rPr>
        <w:t>Weeds and their management in rice</w:t>
      </w:r>
      <w:r w:rsidR="00322158">
        <w:rPr>
          <w:rFonts w:ascii="Arial" w:hAnsi="Arial" w:cs="Arial"/>
          <w:sz w:val="20"/>
          <w:szCs w:val="20"/>
          <w:lang w:val="en-US"/>
        </w:rPr>
        <w:t xml:space="preserve">. </w:t>
      </w:r>
      <w:r w:rsidRPr="00F87E76">
        <w:rPr>
          <w:rFonts w:ascii="Arial" w:hAnsi="Arial" w:cs="Arial"/>
          <w:sz w:val="20"/>
          <w:szCs w:val="20"/>
          <w:lang w:val="en-US"/>
        </w:rPr>
        <w:t>Agron</w:t>
      </w:r>
      <w:r w:rsidR="00322158">
        <w:rPr>
          <w:rFonts w:ascii="Arial" w:hAnsi="Arial" w:cs="Arial"/>
          <w:sz w:val="20"/>
          <w:szCs w:val="20"/>
          <w:lang w:val="en-US"/>
        </w:rPr>
        <w:t>omy for</w:t>
      </w:r>
      <w:r w:rsidRPr="00F87E76">
        <w:rPr>
          <w:rFonts w:ascii="Arial" w:hAnsi="Arial" w:cs="Arial"/>
          <w:sz w:val="20"/>
          <w:szCs w:val="20"/>
          <w:lang w:val="en-US"/>
        </w:rPr>
        <w:t xml:space="preserve"> Sustain</w:t>
      </w:r>
      <w:r w:rsidR="00322158">
        <w:rPr>
          <w:rFonts w:ascii="Arial" w:hAnsi="Arial" w:cs="Arial"/>
          <w:sz w:val="20"/>
          <w:szCs w:val="20"/>
          <w:lang w:val="en-US"/>
        </w:rPr>
        <w:t>able</w:t>
      </w:r>
      <w:r w:rsidRPr="00F87E76">
        <w:rPr>
          <w:rFonts w:ascii="Arial" w:hAnsi="Arial" w:cs="Arial"/>
          <w:sz w:val="20"/>
          <w:szCs w:val="20"/>
          <w:lang w:val="en-US"/>
        </w:rPr>
        <w:t xml:space="preserve"> Dev</w:t>
      </w:r>
      <w:r w:rsidR="00322158">
        <w:rPr>
          <w:rFonts w:ascii="Arial" w:hAnsi="Arial" w:cs="Arial"/>
          <w:sz w:val="20"/>
          <w:szCs w:val="20"/>
          <w:lang w:val="en-US"/>
        </w:rPr>
        <w:t xml:space="preserve">elopment. </w:t>
      </w:r>
      <w:r w:rsidRPr="00F87E76">
        <w:rPr>
          <w:rFonts w:ascii="Arial" w:hAnsi="Arial" w:cs="Arial"/>
          <w:sz w:val="20"/>
          <w:szCs w:val="20"/>
          <w:lang w:val="en-US"/>
        </w:rPr>
        <w:t>35(3):67- 589.</w:t>
      </w:r>
    </w:p>
    <w:p w14:paraId="266F6DD1" w14:textId="082DC248" w:rsidR="00113EA2" w:rsidRPr="00113EA2" w:rsidRDefault="00113EA2" w:rsidP="00113EA2">
      <w:pPr>
        <w:pStyle w:val="ListParagraph"/>
        <w:numPr>
          <w:ilvl w:val="0"/>
          <w:numId w:val="32"/>
        </w:numPr>
        <w:spacing w:line="360" w:lineRule="auto"/>
        <w:jc w:val="both"/>
        <w:rPr>
          <w:rFonts w:ascii="Arial" w:hAnsi="Arial" w:cs="Arial"/>
          <w:sz w:val="20"/>
          <w:szCs w:val="20"/>
        </w:rPr>
      </w:pPr>
      <w:r w:rsidRPr="00F87E76">
        <w:rPr>
          <w:rFonts w:ascii="Arial" w:hAnsi="Arial" w:cs="Arial"/>
          <w:sz w:val="20"/>
          <w:szCs w:val="20"/>
          <w:lang w:val="en-US"/>
        </w:rPr>
        <w:t>Mahajan</w:t>
      </w:r>
      <w:r>
        <w:rPr>
          <w:rFonts w:ascii="Arial" w:hAnsi="Arial" w:cs="Arial"/>
          <w:sz w:val="20"/>
          <w:szCs w:val="20"/>
          <w:lang w:val="en-US"/>
        </w:rPr>
        <w:t>,</w:t>
      </w:r>
      <w:r w:rsidRPr="00F87E76">
        <w:rPr>
          <w:rFonts w:ascii="Arial" w:hAnsi="Arial" w:cs="Arial"/>
          <w:sz w:val="20"/>
          <w:szCs w:val="20"/>
          <w:lang w:val="en-US"/>
        </w:rPr>
        <w:t xml:space="preserve"> G</w:t>
      </w:r>
      <w:r>
        <w:rPr>
          <w:rFonts w:ascii="Arial" w:hAnsi="Arial" w:cs="Arial"/>
          <w:sz w:val="20"/>
          <w:szCs w:val="20"/>
          <w:lang w:val="en-US"/>
        </w:rPr>
        <w:t>.,</w:t>
      </w:r>
      <w:r w:rsidRPr="00F87E76">
        <w:rPr>
          <w:rFonts w:ascii="Arial" w:hAnsi="Arial" w:cs="Arial"/>
          <w:sz w:val="20"/>
          <w:szCs w:val="20"/>
          <w:lang w:val="en-US"/>
        </w:rPr>
        <w:t xml:space="preserve"> Chauhan</w:t>
      </w:r>
      <w:r>
        <w:rPr>
          <w:rFonts w:ascii="Arial" w:hAnsi="Arial" w:cs="Arial"/>
          <w:sz w:val="20"/>
          <w:szCs w:val="20"/>
          <w:lang w:val="en-US"/>
        </w:rPr>
        <w:t>,</w:t>
      </w:r>
      <w:r w:rsidRPr="00F87E76">
        <w:rPr>
          <w:rFonts w:ascii="Arial" w:hAnsi="Arial" w:cs="Arial"/>
          <w:sz w:val="20"/>
          <w:szCs w:val="20"/>
          <w:lang w:val="en-US"/>
        </w:rPr>
        <w:t xml:space="preserve"> B</w:t>
      </w:r>
      <w:r>
        <w:rPr>
          <w:rFonts w:ascii="Arial" w:hAnsi="Arial" w:cs="Arial"/>
          <w:sz w:val="20"/>
          <w:szCs w:val="20"/>
          <w:lang w:val="en-US"/>
        </w:rPr>
        <w:t>.</w:t>
      </w:r>
      <w:r w:rsidRPr="00F87E76">
        <w:rPr>
          <w:rFonts w:ascii="Arial" w:hAnsi="Arial" w:cs="Arial"/>
          <w:sz w:val="20"/>
          <w:szCs w:val="20"/>
          <w:lang w:val="en-US"/>
        </w:rPr>
        <w:t>S</w:t>
      </w:r>
      <w:r>
        <w:rPr>
          <w:rFonts w:ascii="Arial" w:hAnsi="Arial" w:cs="Arial"/>
          <w:sz w:val="20"/>
          <w:szCs w:val="20"/>
          <w:lang w:val="en-US"/>
        </w:rPr>
        <w:t>.</w:t>
      </w:r>
      <w:r w:rsidRPr="00F87E76">
        <w:rPr>
          <w:rFonts w:ascii="Arial" w:hAnsi="Arial" w:cs="Arial"/>
          <w:sz w:val="20"/>
          <w:szCs w:val="20"/>
          <w:lang w:val="en-US"/>
        </w:rPr>
        <w:t>, Singh</w:t>
      </w:r>
      <w:r>
        <w:rPr>
          <w:rFonts w:ascii="Arial" w:hAnsi="Arial" w:cs="Arial"/>
          <w:sz w:val="20"/>
          <w:szCs w:val="20"/>
          <w:lang w:val="en-US"/>
        </w:rPr>
        <w:t>,</w:t>
      </w:r>
      <w:r w:rsidRPr="00F87E76">
        <w:rPr>
          <w:rFonts w:ascii="Arial" w:hAnsi="Arial" w:cs="Arial"/>
          <w:sz w:val="20"/>
          <w:szCs w:val="20"/>
          <w:lang w:val="en-US"/>
        </w:rPr>
        <w:t xml:space="preserve"> S. </w:t>
      </w:r>
      <w:r w:rsidR="00322158">
        <w:rPr>
          <w:rFonts w:ascii="Arial" w:hAnsi="Arial" w:cs="Arial"/>
          <w:sz w:val="20"/>
          <w:szCs w:val="20"/>
          <w:lang w:val="en-US"/>
        </w:rPr>
        <w:t xml:space="preserve">(2013). </w:t>
      </w:r>
      <w:r w:rsidRPr="00F87E76">
        <w:rPr>
          <w:rFonts w:ascii="Arial" w:hAnsi="Arial" w:cs="Arial"/>
          <w:sz w:val="20"/>
          <w:szCs w:val="20"/>
          <w:lang w:val="en-US"/>
        </w:rPr>
        <w:t>Non-chemical methods of weed control in rice: A review. Weed Sci</w:t>
      </w:r>
      <w:r w:rsidR="00322158">
        <w:rPr>
          <w:rFonts w:ascii="Arial" w:hAnsi="Arial" w:cs="Arial"/>
          <w:sz w:val="20"/>
          <w:szCs w:val="20"/>
          <w:lang w:val="en-US"/>
        </w:rPr>
        <w:t>ence.</w:t>
      </w:r>
      <w:r w:rsidRPr="00F87E76">
        <w:rPr>
          <w:rFonts w:ascii="Arial" w:hAnsi="Arial" w:cs="Arial"/>
          <w:sz w:val="20"/>
          <w:szCs w:val="20"/>
          <w:lang w:val="en-US"/>
        </w:rPr>
        <w:t xml:space="preserve"> 61(1):30- 39.</w:t>
      </w:r>
    </w:p>
    <w:p w14:paraId="324C6532" w14:textId="7F7B7812" w:rsidR="00AB1A9C" w:rsidRPr="00AB1A9C" w:rsidRDefault="0055509E" w:rsidP="00AB1A9C">
      <w:pPr>
        <w:pStyle w:val="ListParagraph"/>
        <w:numPr>
          <w:ilvl w:val="0"/>
          <w:numId w:val="32"/>
        </w:numPr>
        <w:spacing w:line="360" w:lineRule="auto"/>
        <w:jc w:val="both"/>
        <w:rPr>
          <w:rFonts w:ascii="Arial" w:hAnsi="Arial" w:cs="Arial"/>
          <w:bCs/>
          <w:sz w:val="20"/>
          <w:szCs w:val="20"/>
        </w:rPr>
      </w:pPr>
      <w:proofErr w:type="spellStart"/>
      <w:r w:rsidRPr="0055509E">
        <w:rPr>
          <w:rFonts w:ascii="Arial" w:hAnsi="Arial" w:cs="Arial"/>
          <w:bCs/>
          <w:sz w:val="20"/>
          <w:szCs w:val="20"/>
        </w:rPr>
        <w:t>Duary</w:t>
      </w:r>
      <w:proofErr w:type="spellEnd"/>
      <w:r w:rsidRPr="0055509E">
        <w:rPr>
          <w:rFonts w:ascii="Arial" w:hAnsi="Arial" w:cs="Arial"/>
          <w:bCs/>
          <w:sz w:val="20"/>
          <w:szCs w:val="20"/>
        </w:rPr>
        <w:t xml:space="preserve">, B., Mishra, M. M., Dash, R., &amp; </w:t>
      </w:r>
      <w:proofErr w:type="spellStart"/>
      <w:r w:rsidRPr="0055509E">
        <w:rPr>
          <w:rFonts w:ascii="Arial" w:hAnsi="Arial" w:cs="Arial"/>
          <w:bCs/>
          <w:sz w:val="20"/>
          <w:szCs w:val="20"/>
        </w:rPr>
        <w:t>Teja</w:t>
      </w:r>
      <w:proofErr w:type="spellEnd"/>
      <w:r w:rsidRPr="0055509E">
        <w:rPr>
          <w:rFonts w:ascii="Arial" w:hAnsi="Arial" w:cs="Arial"/>
          <w:bCs/>
          <w:sz w:val="20"/>
          <w:szCs w:val="20"/>
        </w:rPr>
        <w:t xml:space="preserve">, K. C. (2015). Weed management in lowland rice. Indian Journal of Weed Science, 47(3), 224-232. </w:t>
      </w:r>
      <w:hyperlink r:id="rId18" w:history="1">
        <w:r w:rsidRPr="002F1C71">
          <w:rPr>
            <w:rStyle w:val="Hyperlink"/>
            <w:rFonts w:ascii="Arial" w:hAnsi="Arial" w:cs="Arial"/>
            <w:bCs/>
            <w:sz w:val="20"/>
            <w:szCs w:val="20"/>
          </w:rPr>
          <w:t>https://www.isws.org.in/IJWSn/All_Issues.aspx</w:t>
        </w:r>
      </w:hyperlink>
      <w:r>
        <w:rPr>
          <w:rFonts w:ascii="Arial" w:hAnsi="Arial" w:cs="Arial"/>
          <w:bCs/>
          <w:sz w:val="20"/>
          <w:szCs w:val="20"/>
        </w:rPr>
        <w:t xml:space="preserve"> </w:t>
      </w:r>
    </w:p>
    <w:p w14:paraId="37D2F453" w14:textId="77777777" w:rsidR="00AB1A9C" w:rsidRPr="00AB1A9C" w:rsidRDefault="00AB1A9C" w:rsidP="00AB1A9C">
      <w:pPr>
        <w:pStyle w:val="ListParagraph"/>
        <w:numPr>
          <w:ilvl w:val="0"/>
          <w:numId w:val="32"/>
        </w:numPr>
        <w:spacing w:line="360" w:lineRule="auto"/>
        <w:jc w:val="both"/>
        <w:rPr>
          <w:rFonts w:ascii="Arial" w:hAnsi="Arial" w:cs="Arial"/>
          <w:bCs/>
          <w:sz w:val="20"/>
          <w:szCs w:val="20"/>
        </w:rPr>
      </w:pPr>
      <w:r w:rsidRPr="00AB1A9C">
        <w:rPr>
          <w:rFonts w:ascii="Arial" w:hAnsi="Arial" w:cs="Arial"/>
          <w:bCs/>
          <w:sz w:val="20"/>
          <w:szCs w:val="20"/>
        </w:rPr>
        <w:t>Balasubramaniyan, P., &amp; Palaniappan, S. P. (2004). Principles and practices of agronomy. 192-198.</w:t>
      </w:r>
    </w:p>
    <w:p w14:paraId="32F3E0BB" w14:textId="1282F15E" w:rsidR="00AB1A9C" w:rsidRPr="00AB1A9C" w:rsidRDefault="0055509E" w:rsidP="00AB1A9C">
      <w:pPr>
        <w:pStyle w:val="ListParagraph"/>
        <w:numPr>
          <w:ilvl w:val="0"/>
          <w:numId w:val="32"/>
        </w:numPr>
        <w:spacing w:line="360" w:lineRule="auto"/>
        <w:jc w:val="both"/>
        <w:rPr>
          <w:rFonts w:ascii="Arial" w:hAnsi="Arial" w:cs="Arial"/>
          <w:bCs/>
          <w:sz w:val="20"/>
          <w:szCs w:val="20"/>
        </w:rPr>
      </w:pPr>
      <w:r w:rsidRPr="0055509E">
        <w:rPr>
          <w:rFonts w:ascii="Arial" w:hAnsi="Arial" w:cs="Arial"/>
          <w:bCs/>
          <w:sz w:val="20"/>
          <w:szCs w:val="20"/>
        </w:rPr>
        <w:t xml:space="preserve">Chaudhary, P., Vivek, Naresh, R. K., </w:t>
      </w:r>
      <w:proofErr w:type="spellStart"/>
      <w:r w:rsidRPr="0055509E">
        <w:rPr>
          <w:rFonts w:ascii="Arial" w:hAnsi="Arial" w:cs="Arial"/>
          <w:bCs/>
          <w:sz w:val="20"/>
          <w:szCs w:val="20"/>
        </w:rPr>
        <w:t>Dhyani</w:t>
      </w:r>
      <w:proofErr w:type="spellEnd"/>
      <w:r w:rsidRPr="0055509E">
        <w:rPr>
          <w:rFonts w:ascii="Arial" w:hAnsi="Arial" w:cs="Arial"/>
          <w:bCs/>
          <w:sz w:val="20"/>
          <w:szCs w:val="20"/>
        </w:rPr>
        <w:t xml:space="preserve">, B. P., &amp; Chandra, M. S. (2020). Effect of weed management practices on weed dynamics, nutrient uptake, productivity and profitability of transplanted rice (Oryza sativa L.). Journal of Pharmacognosy and Phytochemistry, 9(5), 2764-2772. </w:t>
      </w:r>
      <w:hyperlink r:id="rId19" w:history="1">
        <w:r w:rsidRPr="002F1C71">
          <w:rPr>
            <w:rStyle w:val="Hyperlink"/>
            <w:rFonts w:ascii="Arial" w:hAnsi="Arial" w:cs="Arial"/>
            <w:bCs/>
            <w:sz w:val="20"/>
            <w:szCs w:val="20"/>
          </w:rPr>
          <w:t>https://www.phytojournal.com/archives/2020/vol9issue5/PartAP/9-5-10-800.html</w:t>
        </w:r>
      </w:hyperlink>
      <w:r>
        <w:rPr>
          <w:rFonts w:ascii="Arial" w:hAnsi="Arial" w:cs="Arial"/>
          <w:bCs/>
          <w:sz w:val="20"/>
          <w:szCs w:val="20"/>
        </w:rPr>
        <w:t xml:space="preserve"> </w:t>
      </w:r>
    </w:p>
    <w:p w14:paraId="510131D6" w14:textId="4466EDA0" w:rsidR="00AB1A9C" w:rsidRPr="00322158" w:rsidRDefault="00D615BC" w:rsidP="00AB1A9C">
      <w:pPr>
        <w:pStyle w:val="ListParagraph"/>
        <w:numPr>
          <w:ilvl w:val="0"/>
          <w:numId w:val="32"/>
        </w:numPr>
        <w:spacing w:line="360" w:lineRule="auto"/>
        <w:jc w:val="both"/>
        <w:rPr>
          <w:rFonts w:ascii="Arial" w:hAnsi="Arial" w:cs="Arial"/>
          <w:sz w:val="20"/>
          <w:szCs w:val="20"/>
        </w:rPr>
      </w:pPr>
      <w:proofErr w:type="spellStart"/>
      <w:r w:rsidRPr="00D615BC">
        <w:rPr>
          <w:rFonts w:ascii="Arial" w:hAnsi="Arial" w:cs="Arial"/>
          <w:bCs/>
          <w:sz w:val="20"/>
          <w:szCs w:val="20"/>
        </w:rPr>
        <w:t>Dhanapal</w:t>
      </w:r>
      <w:proofErr w:type="spellEnd"/>
      <w:r w:rsidRPr="00D615BC">
        <w:rPr>
          <w:rFonts w:ascii="Arial" w:hAnsi="Arial" w:cs="Arial"/>
          <w:bCs/>
          <w:sz w:val="20"/>
          <w:szCs w:val="20"/>
        </w:rPr>
        <w:t xml:space="preserve">, G. N., Bai, S. K., Sanjay, M. T., </w:t>
      </w:r>
      <w:proofErr w:type="spellStart"/>
      <w:r w:rsidRPr="00D615BC">
        <w:rPr>
          <w:rFonts w:ascii="Arial" w:hAnsi="Arial" w:cs="Arial"/>
          <w:bCs/>
          <w:sz w:val="20"/>
          <w:szCs w:val="20"/>
        </w:rPr>
        <w:t>Nagarjun</w:t>
      </w:r>
      <w:proofErr w:type="spellEnd"/>
      <w:r w:rsidRPr="00D615BC">
        <w:rPr>
          <w:rFonts w:ascii="Arial" w:hAnsi="Arial" w:cs="Arial"/>
          <w:bCs/>
          <w:sz w:val="20"/>
          <w:szCs w:val="20"/>
        </w:rPr>
        <w:t xml:space="preserve">, P., &amp; Sandeep, A. (2018). Efficacy of weed management practices in transplanted rice under southern dry zone of Karnataka. Indian Journal of Weed Science, 50(3), 294-297. </w:t>
      </w:r>
      <w:hyperlink r:id="rId20" w:history="1">
        <w:r w:rsidRPr="002F1C71">
          <w:rPr>
            <w:rStyle w:val="Hyperlink"/>
            <w:rFonts w:ascii="Arial" w:hAnsi="Arial" w:cs="Arial"/>
            <w:bCs/>
            <w:sz w:val="20"/>
            <w:szCs w:val="20"/>
          </w:rPr>
          <w:t>https://doi.org/10.5958/0974-8164.2018.00063.1</w:t>
        </w:r>
      </w:hyperlink>
      <w:r>
        <w:rPr>
          <w:rFonts w:ascii="Arial" w:hAnsi="Arial" w:cs="Arial"/>
          <w:bCs/>
          <w:sz w:val="20"/>
          <w:szCs w:val="20"/>
        </w:rPr>
        <w:t xml:space="preserve"> </w:t>
      </w:r>
    </w:p>
    <w:p w14:paraId="166C87F1" w14:textId="03672DEB" w:rsidR="00322158" w:rsidRPr="00113EA2" w:rsidRDefault="00D615BC" w:rsidP="00322158">
      <w:pPr>
        <w:pStyle w:val="ListParagraph"/>
        <w:numPr>
          <w:ilvl w:val="0"/>
          <w:numId w:val="32"/>
        </w:numPr>
        <w:spacing w:line="360" w:lineRule="auto"/>
        <w:jc w:val="both"/>
        <w:rPr>
          <w:rFonts w:ascii="Arial" w:hAnsi="Arial" w:cs="Arial"/>
          <w:sz w:val="20"/>
          <w:szCs w:val="20"/>
        </w:rPr>
      </w:pPr>
      <w:r w:rsidRPr="00D615BC">
        <w:rPr>
          <w:rFonts w:ascii="Arial" w:hAnsi="Arial" w:cs="Arial"/>
          <w:sz w:val="20"/>
          <w:szCs w:val="20"/>
          <w:lang w:val="en-US"/>
        </w:rPr>
        <w:t xml:space="preserve">Lewis, K. A., </w:t>
      </w:r>
      <w:proofErr w:type="spellStart"/>
      <w:r w:rsidRPr="00D615BC">
        <w:rPr>
          <w:rFonts w:ascii="Arial" w:hAnsi="Arial" w:cs="Arial"/>
          <w:sz w:val="20"/>
          <w:szCs w:val="20"/>
          <w:lang w:val="en-US"/>
        </w:rPr>
        <w:t>Tzilivakis</w:t>
      </w:r>
      <w:proofErr w:type="spellEnd"/>
      <w:r w:rsidRPr="00D615BC">
        <w:rPr>
          <w:rFonts w:ascii="Arial" w:hAnsi="Arial" w:cs="Arial"/>
          <w:sz w:val="20"/>
          <w:szCs w:val="20"/>
          <w:lang w:val="en-US"/>
        </w:rPr>
        <w:t xml:space="preserve">, J., Warner, D. J., &amp; Green, A. (2016). An international database for pesticide risk assessments and management. Human and Ecological Risk Assessment: An International Journal, 22(4), 1050-1064. </w:t>
      </w:r>
      <w:hyperlink r:id="rId21" w:history="1">
        <w:r w:rsidRPr="002F1C71">
          <w:rPr>
            <w:rStyle w:val="Hyperlink"/>
            <w:rFonts w:ascii="Arial" w:hAnsi="Arial" w:cs="Arial"/>
            <w:sz w:val="20"/>
            <w:szCs w:val="20"/>
            <w:lang w:val="en-US"/>
          </w:rPr>
          <w:t>https://doi.org/10.1080/10807039.2015.1133242</w:t>
        </w:r>
      </w:hyperlink>
      <w:r>
        <w:rPr>
          <w:rFonts w:ascii="Arial" w:hAnsi="Arial" w:cs="Arial"/>
          <w:sz w:val="20"/>
          <w:szCs w:val="20"/>
          <w:lang w:val="en-US"/>
        </w:rPr>
        <w:t xml:space="preserve"> </w:t>
      </w:r>
    </w:p>
    <w:p w14:paraId="222D3A2E" w14:textId="4D97CD55" w:rsidR="00322158" w:rsidRPr="00322158" w:rsidRDefault="0045370F" w:rsidP="00322158">
      <w:pPr>
        <w:pStyle w:val="ListParagraph"/>
        <w:numPr>
          <w:ilvl w:val="0"/>
          <w:numId w:val="32"/>
        </w:numPr>
        <w:spacing w:line="360" w:lineRule="auto"/>
        <w:jc w:val="both"/>
        <w:rPr>
          <w:rFonts w:ascii="Arial" w:hAnsi="Arial" w:cs="Arial"/>
          <w:sz w:val="20"/>
          <w:szCs w:val="20"/>
        </w:rPr>
      </w:pPr>
      <w:proofErr w:type="spellStart"/>
      <w:r w:rsidRPr="0045370F">
        <w:rPr>
          <w:rFonts w:ascii="Arial" w:hAnsi="Arial" w:cs="Arial"/>
          <w:sz w:val="20"/>
          <w:szCs w:val="20"/>
          <w:lang w:val="en-US"/>
        </w:rPr>
        <w:lastRenderedPageBreak/>
        <w:t>Rosinger</w:t>
      </w:r>
      <w:proofErr w:type="spellEnd"/>
      <w:r w:rsidRPr="0045370F">
        <w:rPr>
          <w:rFonts w:ascii="Arial" w:hAnsi="Arial" w:cs="Arial"/>
          <w:sz w:val="20"/>
          <w:szCs w:val="20"/>
          <w:lang w:val="en-US"/>
        </w:rPr>
        <w:t xml:space="preserve">, C., </w:t>
      </w:r>
      <w:proofErr w:type="spellStart"/>
      <w:r w:rsidRPr="0045370F">
        <w:rPr>
          <w:rFonts w:ascii="Arial" w:hAnsi="Arial" w:cs="Arial"/>
          <w:sz w:val="20"/>
          <w:szCs w:val="20"/>
          <w:lang w:val="en-US"/>
        </w:rPr>
        <w:t>Shirakura</w:t>
      </w:r>
      <w:proofErr w:type="spellEnd"/>
      <w:r w:rsidRPr="0045370F">
        <w:rPr>
          <w:rFonts w:ascii="Arial" w:hAnsi="Arial" w:cs="Arial"/>
          <w:sz w:val="20"/>
          <w:szCs w:val="20"/>
          <w:lang w:val="en-US"/>
        </w:rPr>
        <w:t xml:space="preserve">, S., Hacker, E., Sato, Y., </w:t>
      </w:r>
      <w:proofErr w:type="spellStart"/>
      <w:r w:rsidRPr="0045370F">
        <w:rPr>
          <w:rFonts w:ascii="Arial" w:hAnsi="Arial" w:cs="Arial"/>
          <w:sz w:val="20"/>
          <w:szCs w:val="20"/>
          <w:lang w:val="en-US"/>
        </w:rPr>
        <w:t>Heibges</w:t>
      </w:r>
      <w:proofErr w:type="spellEnd"/>
      <w:r w:rsidRPr="0045370F">
        <w:rPr>
          <w:rFonts w:ascii="Arial" w:hAnsi="Arial" w:cs="Arial"/>
          <w:sz w:val="20"/>
          <w:szCs w:val="20"/>
          <w:lang w:val="en-US"/>
        </w:rPr>
        <w:t xml:space="preserve">, S., &amp; Nakamura, S. (2012). </w:t>
      </w:r>
      <w:proofErr w:type="spellStart"/>
      <w:r w:rsidRPr="0045370F">
        <w:rPr>
          <w:rFonts w:ascii="Arial" w:hAnsi="Arial" w:cs="Arial"/>
          <w:sz w:val="20"/>
          <w:szCs w:val="20"/>
          <w:lang w:val="en-US"/>
        </w:rPr>
        <w:t>Triafamone</w:t>
      </w:r>
      <w:proofErr w:type="spellEnd"/>
      <w:r w:rsidRPr="0045370F">
        <w:rPr>
          <w:rFonts w:ascii="Arial" w:hAnsi="Arial" w:cs="Arial"/>
          <w:sz w:val="20"/>
          <w:szCs w:val="20"/>
          <w:lang w:val="en-US"/>
        </w:rPr>
        <w:t xml:space="preserve"> (AE 1887196) a new rice herbicide for Asia. Julius-</w:t>
      </w:r>
      <w:proofErr w:type="spellStart"/>
      <w:r w:rsidRPr="0045370F">
        <w:rPr>
          <w:rFonts w:ascii="Arial" w:hAnsi="Arial" w:cs="Arial"/>
          <w:sz w:val="20"/>
          <w:szCs w:val="20"/>
          <w:lang w:val="en-US"/>
        </w:rPr>
        <w:t>Kühn</w:t>
      </w:r>
      <w:proofErr w:type="spellEnd"/>
      <w:r w:rsidRPr="0045370F">
        <w:rPr>
          <w:rFonts w:ascii="Arial" w:hAnsi="Arial" w:cs="Arial"/>
          <w:sz w:val="20"/>
          <w:szCs w:val="20"/>
          <w:lang w:val="en-US"/>
        </w:rPr>
        <w:t>-</w:t>
      </w:r>
      <w:proofErr w:type="spellStart"/>
      <w:r w:rsidRPr="0045370F">
        <w:rPr>
          <w:rFonts w:ascii="Arial" w:hAnsi="Arial" w:cs="Arial"/>
          <w:sz w:val="20"/>
          <w:szCs w:val="20"/>
          <w:lang w:val="en-US"/>
        </w:rPr>
        <w:t>Archiv</w:t>
      </w:r>
      <w:proofErr w:type="spellEnd"/>
      <w:r w:rsidRPr="0045370F">
        <w:rPr>
          <w:rFonts w:ascii="Arial" w:hAnsi="Arial" w:cs="Arial"/>
          <w:sz w:val="20"/>
          <w:szCs w:val="20"/>
          <w:lang w:val="en-US"/>
        </w:rPr>
        <w:t xml:space="preserve">, 434. </w:t>
      </w:r>
      <w:hyperlink r:id="rId22" w:history="1">
        <w:r w:rsidRPr="002F1C71">
          <w:rPr>
            <w:rStyle w:val="Hyperlink"/>
            <w:rFonts w:ascii="Arial" w:hAnsi="Arial" w:cs="Arial"/>
            <w:sz w:val="20"/>
            <w:szCs w:val="20"/>
            <w:lang w:val="en-US"/>
          </w:rPr>
          <w:t>https://doi.org/10.5073/jka.2012.434.069</w:t>
        </w:r>
      </w:hyperlink>
      <w:r>
        <w:rPr>
          <w:rFonts w:ascii="Arial" w:hAnsi="Arial" w:cs="Arial"/>
          <w:sz w:val="20"/>
          <w:szCs w:val="20"/>
          <w:lang w:val="en-US"/>
        </w:rPr>
        <w:t xml:space="preserve"> </w:t>
      </w:r>
    </w:p>
    <w:p w14:paraId="35E1B8A8" w14:textId="77777777" w:rsidR="00AB1A9C" w:rsidRPr="00AB1A9C" w:rsidRDefault="00AB1A9C" w:rsidP="00AB1A9C">
      <w:pPr>
        <w:pStyle w:val="ListParagraph"/>
        <w:numPr>
          <w:ilvl w:val="0"/>
          <w:numId w:val="32"/>
        </w:numPr>
        <w:spacing w:line="360" w:lineRule="auto"/>
        <w:jc w:val="both"/>
        <w:rPr>
          <w:rFonts w:ascii="Arial" w:hAnsi="Arial" w:cs="Arial"/>
          <w:sz w:val="20"/>
          <w:szCs w:val="20"/>
        </w:rPr>
      </w:pPr>
      <w:r w:rsidRPr="00AB1A9C">
        <w:rPr>
          <w:rFonts w:ascii="Arial" w:hAnsi="Arial" w:cs="Arial"/>
          <w:sz w:val="20"/>
          <w:szCs w:val="20"/>
        </w:rPr>
        <w:t>Jackson, H.L. (1979). Soil Chemical Analysis. Prentice hall of India Private Limited, New Delhi: 111-226</w:t>
      </w:r>
    </w:p>
    <w:p w14:paraId="2F75DDAC" w14:textId="5A82AF2C" w:rsidR="00AB1A9C" w:rsidRPr="00AB1A9C" w:rsidRDefault="0045370F" w:rsidP="00AB1A9C">
      <w:pPr>
        <w:pStyle w:val="ListParagraph"/>
        <w:numPr>
          <w:ilvl w:val="0"/>
          <w:numId w:val="32"/>
        </w:numPr>
        <w:spacing w:line="360" w:lineRule="auto"/>
        <w:jc w:val="both"/>
        <w:rPr>
          <w:rFonts w:ascii="Arial" w:hAnsi="Arial" w:cs="Arial"/>
          <w:sz w:val="20"/>
          <w:szCs w:val="20"/>
        </w:rPr>
      </w:pPr>
      <w:r w:rsidRPr="0045370F">
        <w:rPr>
          <w:rFonts w:ascii="Arial" w:hAnsi="Arial" w:cs="Arial"/>
          <w:sz w:val="20"/>
          <w:szCs w:val="20"/>
        </w:rPr>
        <w:t>Piper, C. S. (1966). Soil and Plant Analysis. Hans Publishers.</w:t>
      </w:r>
      <w:r>
        <w:rPr>
          <w:rFonts w:ascii="Arial" w:hAnsi="Arial" w:cs="Arial"/>
          <w:sz w:val="20"/>
          <w:szCs w:val="20"/>
        </w:rPr>
        <w:t xml:space="preserve"> </w:t>
      </w:r>
    </w:p>
    <w:p w14:paraId="57C5E4C0" w14:textId="3FA5082D" w:rsidR="00AB1A9C" w:rsidRPr="00AB1A9C" w:rsidRDefault="0045370F" w:rsidP="00AB1A9C">
      <w:pPr>
        <w:pStyle w:val="ListParagraph"/>
        <w:numPr>
          <w:ilvl w:val="0"/>
          <w:numId w:val="32"/>
        </w:numPr>
        <w:spacing w:line="360" w:lineRule="auto"/>
        <w:jc w:val="both"/>
        <w:rPr>
          <w:rFonts w:ascii="Arial" w:hAnsi="Arial" w:cs="Arial"/>
          <w:sz w:val="20"/>
          <w:szCs w:val="20"/>
        </w:rPr>
      </w:pPr>
      <w:r w:rsidRPr="0045370F">
        <w:rPr>
          <w:rFonts w:ascii="Arial" w:hAnsi="Arial" w:cs="Arial"/>
          <w:sz w:val="20"/>
          <w:szCs w:val="20"/>
        </w:rPr>
        <w:t xml:space="preserve">Gupta, P. K., &amp; </w:t>
      </w:r>
      <w:proofErr w:type="spellStart"/>
      <w:r w:rsidRPr="0045370F">
        <w:rPr>
          <w:rFonts w:ascii="Arial" w:hAnsi="Arial" w:cs="Arial"/>
          <w:sz w:val="20"/>
          <w:szCs w:val="20"/>
        </w:rPr>
        <w:t>Tomar</w:t>
      </w:r>
      <w:proofErr w:type="spellEnd"/>
      <w:r w:rsidRPr="0045370F">
        <w:rPr>
          <w:rFonts w:ascii="Arial" w:hAnsi="Arial" w:cs="Arial"/>
          <w:sz w:val="20"/>
          <w:szCs w:val="20"/>
        </w:rPr>
        <w:t xml:space="preserve">, A. K. (2019). Weed management in transplanted rice with special reference to </w:t>
      </w:r>
      <w:proofErr w:type="spellStart"/>
      <w:r w:rsidRPr="0045370F">
        <w:rPr>
          <w:rFonts w:ascii="Arial" w:hAnsi="Arial" w:cs="Arial"/>
          <w:sz w:val="20"/>
          <w:szCs w:val="20"/>
        </w:rPr>
        <w:t>Commelina</w:t>
      </w:r>
      <w:proofErr w:type="spellEnd"/>
      <w:r w:rsidRPr="0045370F">
        <w:rPr>
          <w:rFonts w:ascii="Arial" w:hAnsi="Arial" w:cs="Arial"/>
          <w:sz w:val="20"/>
          <w:szCs w:val="20"/>
        </w:rPr>
        <w:t xml:space="preserve"> </w:t>
      </w:r>
      <w:proofErr w:type="spellStart"/>
      <w:r w:rsidRPr="0045370F">
        <w:rPr>
          <w:rFonts w:ascii="Arial" w:hAnsi="Arial" w:cs="Arial"/>
          <w:sz w:val="20"/>
          <w:szCs w:val="20"/>
        </w:rPr>
        <w:t>benghalensis</w:t>
      </w:r>
      <w:proofErr w:type="spellEnd"/>
      <w:r w:rsidRPr="0045370F">
        <w:rPr>
          <w:rFonts w:ascii="Arial" w:hAnsi="Arial" w:cs="Arial"/>
          <w:sz w:val="20"/>
          <w:szCs w:val="20"/>
        </w:rPr>
        <w:t xml:space="preserve"> in the </w:t>
      </w:r>
      <w:proofErr w:type="spellStart"/>
      <w:r w:rsidRPr="0045370F">
        <w:rPr>
          <w:rFonts w:ascii="Arial" w:hAnsi="Arial" w:cs="Arial"/>
          <w:sz w:val="20"/>
          <w:szCs w:val="20"/>
        </w:rPr>
        <w:t>Kymore</w:t>
      </w:r>
      <w:proofErr w:type="spellEnd"/>
      <w:r w:rsidRPr="0045370F">
        <w:rPr>
          <w:rFonts w:ascii="Arial" w:hAnsi="Arial" w:cs="Arial"/>
          <w:sz w:val="20"/>
          <w:szCs w:val="20"/>
        </w:rPr>
        <w:t xml:space="preserve"> Plateau </w:t>
      </w:r>
      <w:proofErr w:type="spellStart"/>
      <w:r w:rsidRPr="0045370F">
        <w:rPr>
          <w:rFonts w:ascii="Arial" w:hAnsi="Arial" w:cs="Arial"/>
          <w:sz w:val="20"/>
          <w:szCs w:val="20"/>
        </w:rPr>
        <w:t>Satpura</w:t>
      </w:r>
      <w:proofErr w:type="spellEnd"/>
      <w:r w:rsidRPr="0045370F">
        <w:rPr>
          <w:rFonts w:ascii="Arial" w:hAnsi="Arial" w:cs="Arial"/>
          <w:sz w:val="20"/>
          <w:szCs w:val="20"/>
        </w:rPr>
        <w:t xml:space="preserve"> hills region of Madhya Pradesh. Indian Journal of Weed Science. </w:t>
      </w:r>
      <w:hyperlink r:id="rId23" w:history="1">
        <w:r w:rsidRPr="002F1C71">
          <w:rPr>
            <w:rStyle w:val="Hyperlink"/>
            <w:rFonts w:ascii="Arial" w:hAnsi="Arial" w:cs="Arial"/>
            <w:sz w:val="20"/>
            <w:szCs w:val="20"/>
          </w:rPr>
          <w:t>https://doi.org/10.5958/0974-8164.2019.00050.9</w:t>
        </w:r>
      </w:hyperlink>
      <w:r>
        <w:rPr>
          <w:rFonts w:ascii="Arial" w:hAnsi="Arial" w:cs="Arial"/>
          <w:sz w:val="20"/>
          <w:szCs w:val="20"/>
        </w:rPr>
        <w:t xml:space="preserve"> </w:t>
      </w:r>
    </w:p>
    <w:p w14:paraId="1C2FBC2A" w14:textId="7416C5D4" w:rsidR="00113EA2" w:rsidRPr="00322158" w:rsidRDefault="0045370F" w:rsidP="00322158">
      <w:pPr>
        <w:pStyle w:val="ListParagraph"/>
        <w:numPr>
          <w:ilvl w:val="0"/>
          <w:numId w:val="32"/>
        </w:numPr>
        <w:spacing w:line="360" w:lineRule="auto"/>
        <w:jc w:val="both"/>
        <w:rPr>
          <w:rFonts w:ascii="Arial" w:hAnsi="Arial" w:cs="Arial"/>
          <w:sz w:val="20"/>
          <w:szCs w:val="20"/>
        </w:rPr>
      </w:pPr>
      <w:r w:rsidRPr="0045370F">
        <w:rPr>
          <w:rFonts w:ascii="Arial" w:hAnsi="Arial" w:cs="Arial"/>
          <w:sz w:val="20"/>
          <w:szCs w:val="20"/>
          <w:lang w:val="de-DE"/>
        </w:rPr>
        <w:t xml:space="preserve">Samant, T. K., &amp; Dhir, B. C. (2020). Crop growth, weed control, yield, economics and nutrient uptake in wetland transplanted rice as influenced by different weed management practice. Journal of Pharmacognosy and Phytochemistry, 9(3), 1620-1623. </w:t>
      </w:r>
      <w:hyperlink r:id="rId24" w:history="1">
        <w:r w:rsidRPr="002F1C71">
          <w:rPr>
            <w:rStyle w:val="Hyperlink"/>
            <w:rFonts w:ascii="Arial" w:hAnsi="Arial" w:cs="Arial"/>
            <w:sz w:val="20"/>
            <w:szCs w:val="20"/>
            <w:lang w:val="de-DE"/>
          </w:rPr>
          <w:t>https://www.phytojournal.com/archives/2020/vol9issue3/PartAC/9-3-10-116.pdf</w:t>
        </w:r>
      </w:hyperlink>
      <w:r>
        <w:rPr>
          <w:rFonts w:ascii="Arial" w:hAnsi="Arial" w:cs="Arial"/>
          <w:sz w:val="20"/>
          <w:szCs w:val="20"/>
          <w:lang w:val="de-DE"/>
        </w:rPr>
        <w:t xml:space="preserve"> </w:t>
      </w:r>
    </w:p>
    <w:sectPr w:rsidR="00113EA2" w:rsidRPr="00322158" w:rsidSect="005B3CE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3EB5" w14:textId="77777777" w:rsidR="00E2273C" w:rsidRDefault="00E2273C" w:rsidP="00C37E61">
      <w:r>
        <w:separator/>
      </w:r>
    </w:p>
  </w:endnote>
  <w:endnote w:type="continuationSeparator" w:id="0">
    <w:p w14:paraId="74F3D9F3" w14:textId="77777777" w:rsidR="00E2273C" w:rsidRDefault="00E227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CD25" w14:textId="77777777" w:rsidR="005B3CEE" w:rsidRDefault="005B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7EDE" w14:textId="77777777" w:rsidR="005B3CEE" w:rsidRDefault="005B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7708" w14:textId="30C3041D" w:rsidR="00754C9A" w:rsidRPr="005B3CEE" w:rsidRDefault="00754C9A" w:rsidP="005B3CE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9C54" w14:textId="77777777" w:rsidR="00E2273C" w:rsidRDefault="00E2273C" w:rsidP="00C37E61">
      <w:r>
        <w:separator/>
      </w:r>
    </w:p>
  </w:footnote>
  <w:footnote w:type="continuationSeparator" w:id="0">
    <w:p w14:paraId="7EC47852" w14:textId="77777777" w:rsidR="00E2273C" w:rsidRDefault="00E227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E9CF" w14:textId="6D248082" w:rsidR="005B3CEE" w:rsidRDefault="005B3CEE">
    <w:pPr>
      <w:pStyle w:val="Header"/>
    </w:pPr>
    <w:r>
      <w:rPr>
        <w:noProof/>
      </w:rPr>
      <w:pict w14:anchorId="1F50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D133" w14:textId="2F321E59" w:rsidR="005B3CEE" w:rsidRDefault="005B3CEE">
    <w:pPr>
      <w:pStyle w:val="Header"/>
    </w:pPr>
    <w:r>
      <w:rPr>
        <w:noProof/>
      </w:rPr>
      <w:pict w14:anchorId="2E708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A5FE" w14:textId="500FB770" w:rsidR="00296529" w:rsidRPr="00296529" w:rsidRDefault="005B3CEE" w:rsidP="00296529">
    <w:pPr>
      <w:ind w:left="2160"/>
      <w:jc w:val="center"/>
      <w:rPr>
        <w:rFonts w:ascii="Times New Roman" w:eastAsia="Calibri" w:hAnsi="Times New Roman"/>
        <w:i/>
        <w:sz w:val="18"/>
        <w:szCs w:val="22"/>
      </w:rPr>
    </w:pPr>
    <w:r>
      <w:rPr>
        <w:noProof/>
      </w:rPr>
      <w:pict w14:anchorId="0EFE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84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9FFC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9680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C4FFA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91C42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DDA8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54BA1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B5769"/>
    <w:multiLevelType w:val="hybridMultilevel"/>
    <w:tmpl w:val="D59E86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3C422D"/>
    <w:multiLevelType w:val="hybridMultilevel"/>
    <w:tmpl w:val="5FCCB12A"/>
    <w:lvl w:ilvl="0" w:tplc="F3161DB0">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BD54BD"/>
    <w:multiLevelType w:val="hybridMultilevel"/>
    <w:tmpl w:val="7C320E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E62855"/>
    <w:multiLevelType w:val="hybridMultilevel"/>
    <w:tmpl w:val="0194F060"/>
    <w:lvl w:ilvl="0" w:tplc="E7EE37D2">
      <w:start w:val="2"/>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A3F0635"/>
    <w:multiLevelType w:val="hybridMultilevel"/>
    <w:tmpl w:val="469640BA"/>
    <w:lvl w:ilvl="0" w:tplc="B43E6046">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9325B0"/>
    <w:multiLevelType w:val="hybridMultilevel"/>
    <w:tmpl w:val="0DF49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45705"/>
    <w:multiLevelType w:val="hybridMultilevel"/>
    <w:tmpl w:val="CC1C06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6"/>
  </w:num>
  <w:num w:numId="9">
    <w:abstractNumId w:val="32"/>
  </w:num>
  <w:num w:numId="10">
    <w:abstractNumId w:val="2"/>
  </w:num>
  <w:num w:numId="11">
    <w:abstractNumId w:val="25"/>
  </w:num>
  <w:num w:numId="12">
    <w:abstractNumId w:val="3"/>
  </w:num>
  <w:num w:numId="13">
    <w:abstractNumId w:val="24"/>
  </w:num>
  <w:num w:numId="14">
    <w:abstractNumId w:val="12"/>
  </w:num>
  <w:num w:numId="15">
    <w:abstractNumId w:val="28"/>
  </w:num>
  <w:num w:numId="16">
    <w:abstractNumId w:val="5"/>
  </w:num>
  <w:num w:numId="17">
    <w:abstractNumId w:val="29"/>
  </w:num>
  <w:num w:numId="18">
    <w:abstractNumId w:val="18"/>
  </w:num>
  <w:num w:numId="19">
    <w:abstractNumId w:val="35"/>
  </w:num>
  <w:num w:numId="20">
    <w:abstractNumId w:val="15"/>
  </w:num>
  <w:num w:numId="21">
    <w:abstractNumId w:val="13"/>
  </w:num>
  <w:num w:numId="22">
    <w:abstractNumId w:val="17"/>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4"/>
  </w:num>
  <w:num w:numId="31">
    <w:abstractNumId w:val="9"/>
  </w:num>
  <w:num w:numId="32">
    <w:abstractNumId w:val="7"/>
  </w:num>
  <w:num w:numId="33">
    <w:abstractNumId w:val="23"/>
  </w:num>
  <w:num w:numId="34">
    <w:abstractNumId w:val="20"/>
  </w:num>
  <w:num w:numId="35">
    <w:abstractNumId w:val="19"/>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33"/>
    <w:rsid w:val="00030174"/>
    <w:rsid w:val="0004579C"/>
    <w:rsid w:val="000A47FA"/>
    <w:rsid w:val="000A65D3"/>
    <w:rsid w:val="000B1E33"/>
    <w:rsid w:val="000D689F"/>
    <w:rsid w:val="000E7B7B"/>
    <w:rsid w:val="000E7D62"/>
    <w:rsid w:val="00103357"/>
    <w:rsid w:val="00106A07"/>
    <w:rsid w:val="00113EA2"/>
    <w:rsid w:val="00123C9F"/>
    <w:rsid w:val="00126190"/>
    <w:rsid w:val="00130F17"/>
    <w:rsid w:val="001320BF"/>
    <w:rsid w:val="00163BC4"/>
    <w:rsid w:val="001641D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3181"/>
    <w:rsid w:val="00315186"/>
    <w:rsid w:val="0032215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70F"/>
    <w:rsid w:val="004539DB"/>
    <w:rsid w:val="00471A80"/>
    <w:rsid w:val="004D305E"/>
    <w:rsid w:val="004D4277"/>
    <w:rsid w:val="00502516"/>
    <w:rsid w:val="00505F06"/>
    <w:rsid w:val="00506828"/>
    <w:rsid w:val="0053056E"/>
    <w:rsid w:val="00554FDA"/>
    <w:rsid w:val="0055509E"/>
    <w:rsid w:val="005B3CEE"/>
    <w:rsid w:val="005C784C"/>
    <w:rsid w:val="005D17F6"/>
    <w:rsid w:val="005E5539"/>
    <w:rsid w:val="00602BF5"/>
    <w:rsid w:val="00617FDD"/>
    <w:rsid w:val="00633614"/>
    <w:rsid w:val="00633F68"/>
    <w:rsid w:val="00636EB2"/>
    <w:rsid w:val="006375B8"/>
    <w:rsid w:val="00653EB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7D25"/>
    <w:rsid w:val="0083216F"/>
    <w:rsid w:val="00860000"/>
    <w:rsid w:val="00863BD3"/>
    <w:rsid w:val="008641ED"/>
    <w:rsid w:val="00866D66"/>
    <w:rsid w:val="008671C6"/>
    <w:rsid w:val="00875803"/>
    <w:rsid w:val="00883E01"/>
    <w:rsid w:val="008B459E"/>
    <w:rsid w:val="008E13AE"/>
    <w:rsid w:val="008E1506"/>
    <w:rsid w:val="008E710C"/>
    <w:rsid w:val="008F69D6"/>
    <w:rsid w:val="0090247E"/>
    <w:rsid w:val="00902823"/>
    <w:rsid w:val="00915CA6"/>
    <w:rsid w:val="00927834"/>
    <w:rsid w:val="009500A6"/>
    <w:rsid w:val="00957C18"/>
    <w:rsid w:val="009659BA"/>
    <w:rsid w:val="00983040"/>
    <w:rsid w:val="009B3FB9"/>
    <w:rsid w:val="009C2465"/>
    <w:rsid w:val="009C62F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A9C"/>
    <w:rsid w:val="00AB703F"/>
    <w:rsid w:val="00AC6BB8"/>
    <w:rsid w:val="00AE008F"/>
    <w:rsid w:val="00B01FCD"/>
    <w:rsid w:val="00B1776C"/>
    <w:rsid w:val="00B27DA6"/>
    <w:rsid w:val="00B52583"/>
    <w:rsid w:val="00B52896"/>
    <w:rsid w:val="00B66F93"/>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8B0"/>
    <w:rsid w:val="00CE793C"/>
    <w:rsid w:val="00CF193C"/>
    <w:rsid w:val="00D17322"/>
    <w:rsid w:val="00D173F1"/>
    <w:rsid w:val="00D615BC"/>
    <w:rsid w:val="00D74CB0"/>
    <w:rsid w:val="00D8295D"/>
    <w:rsid w:val="00DC2A65"/>
    <w:rsid w:val="00DC6DEE"/>
    <w:rsid w:val="00DE15F0"/>
    <w:rsid w:val="00DE5663"/>
    <w:rsid w:val="00DE78AA"/>
    <w:rsid w:val="00E053D0"/>
    <w:rsid w:val="00E11939"/>
    <w:rsid w:val="00E15994"/>
    <w:rsid w:val="00E2273C"/>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E7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12DC9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AB1A9C"/>
    <w:pPr>
      <w:spacing w:after="120"/>
    </w:pPr>
  </w:style>
  <w:style w:type="character" w:customStyle="1" w:styleId="BodyTextChar">
    <w:name w:val="Body Text Char"/>
    <w:basedOn w:val="DefaultParagraphFont"/>
    <w:link w:val="BodyText"/>
    <w:semiHidden/>
    <w:rsid w:val="00AB1A9C"/>
    <w:rPr>
      <w:rFonts w:ascii="Helvetica" w:hAnsi="Helvetica"/>
    </w:rPr>
  </w:style>
  <w:style w:type="paragraph" w:styleId="ListParagraph">
    <w:name w:val="List Paragraph"/>
    <w:basedOn w:val="Normal"/>
    <w:uiPriority w:val="1"/>
    <w:qFormat/>
    <w:rsid w:val="00AB1A9C"/>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erChar">
    <w:name w:val="Header Char"/>
    <w:basedOn w:val="DefaultParagraphFont"/>
    <w:link w:val="Header"/>
    <w:uiPriority w:val="99"/>
    <w:rsid w:val="00AB1A9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sws.org.in/IJWSn/All_Issue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80/10807039.2015.11332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5958/0974-8164.2018.000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phytojournal.com/archives/2020/vol9issue3/PartAC/9-3-10-116.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5958/0974-8164.2019.00050.9" TargetMode="External"/><Relationship Id="rId10" Type="http://schemas.openxmlformats.org/officeDocument/2006/relationships/footer" Target="footer1.xml"/><Relationship Id="rId19" Type="http://schemas.openxmlformats.org/officeDocument/2006/relationships/hyperlink" Target="https://www.phytojournal.com/archives/2020/vol9issue5/PartAP/9-5-10-800.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073/jka.2012.434.0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1C4C-438C-4E17-9881-39CDB619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10</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2025-12-22T09:39:00Z</dcterms:modified>
</cp:coreProperties>
</file>