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FDF5" w14:textId="77777777" w:rsidR="00832B29" w:rsidRPr="00832B29" w:rsidRDefault="00832B29" w:rsidP="00832B29">
      <w:pPr>
        <w:pStyle w:val="Title"/>
        <w:jc w:val="both"/>
        <w:rPr>
          <w:rFonts w:ascii="Arial" w:hAnsi="Arial" w:cs="Arial"/>
          <w:bCs/>
          <w:i/>
          <w:iCs/>
          <w:u w:val="single"/>
        </w:rPr>
      </w:pPr>
      <w:r w:rsidRPr="00832B29">
        <w:rPr>
          <w:rFonts w:ascii="Arial" w:hAnsi="Arial" w:cs="Arial"/>
          <w:bCs/>
          <w:i/>
          <w:iCs/>
          <w:u w:val="single"/>
        </w:rPr>
        <w:t>Original Research Article</w:t>
      </w:r>
    </w:p>
    <w:p w14:paraId="5528F58C" w14:textId="77777777" w:rsidR="00754C9A" w:rsidRDefault="00754C9A" w:rsidP="00441B6F">
      <w:pPr>
        <w:pStyle w:val="Title"/>
        <w:spacing w:after="0"/>
        <w:jc w:val="both"/>
        <w:rPr>
          <w:rFonts w:ascii="Arial" w:hAnsi="Arial" w:cs="Arial"/>
        </w:rPr>
      </w:pPr>
    </w:p>
    <w:p w14:paraId="05899B51" w14:textId="77777777" w:rsidR="00C74D44" w:rsidRPr="00C74D44" w:rsidRDefault="00C74D44" w:rsidP="00C74D44">
      <w:pPr>
        <w:spacing w:before="100" w:beforeAutospacing="1" w:after="100" w:afterAutospacing="1"/>
        <w:jc w:val="right"/>
        <w:outlineLvl w:val="2"/>
        <w:rPr>
          <w:rFonts w:ascii="Arial" w:hAnsi="Arial" w:cs="Arial"/>
          <w:b/>
          <w:sz w:val="36"/>
          <w:szCs w:val="36"/>
        </w:rPr>
      </w:pPr>
      <w:bookmarkStart w:id="0" w:name="_Hlk217297671"/>
      <w:r w:rsidRPr="00C74D44">
        <w:rPr>
          <w:rFonts w:ascii="Arial" w:hAnsi="Arial" w:cs="Arial"/>
          <w:b/>
          <w:sz w:val="36"/>
          <w:szCs w:val="36"/>
        </w:rPr>
        <w:t>Adsorption of topramezone in maize growing soils of Telangana</w:t>
      </w:r>
    </w:p>
    <w:p w14:paraId="0F60720D" w14:textId="77777777" w:rsidR="00E0619A" w:rsidRDefault="00E0619A" w:rsidP="00441B6F">
      <w:pPr>
        <w:pStyle w:val="Affiliation"/>
        <w:spacing w:after="0" w:line="240" w:lineRule="auto"/>
        <w:jc w:val="both"/>
        <w:rPr>
          <w:rFonts w:ascii="Arial" w:hAnsi="Arial" w:cs="Arial"/>
        </w:rPr>
      </w:pPr>
      <w:bookmarkStart w:id="1" w:name="_Hlk217297680"/>
      <w:bookmarkStart w:id="2" w:name="_GoBack"/>
      <w:bookmarkEnd w:id="0"/>
      <w:bookmarkEnd w:id="2"/>
    </w:p>
    <w:p w14:paraId="66A69769" w14:textId="77777777" w:rsidR="002C57D2" w:rsidRPr="00FB3A86" w:rsidRDefault="002C57D2" w:rsidP="00441B6F">
      <w:pPr>
        <w:pStyle w:val="Affiliation"/>
        <w:spacing w:after="0" w:line="240" w:lineRule="auto"/>
        <w:jc w:val="both"/>
        <w:rPr>
          <w:rFonts w:ascii="Arial" w:hAnsi="Arial" w:cs="Arial"/>
        </w:rPr>
      </w:pPr>
    </w:p>
    <w:bookmarkEnd w:id="1"/>
    <w:p w14:paraId="200B8C42" w14:textId="77777777" w:rsidR="00B01FCD" w:rsidRPr="00FB3A86" w:rsidRDefault="0017603A" w:rsidP="00441B6F">
      <w:pPr>
        <w:pStyle w:val="Copyright"/>
        <w:spacing w:after="0" w:line="240" w:lineRule="auto"/>
        <w:jc w:val="both"/>
        <w:rPr>
          <w:rFonts w:ascii="Arial" w:hAnsi="Arial" w:cs="Arial"/>
        </w:rPr>
        <w:sectPr w:rsidR="00B01FCD" w:rsidRPr="00FB3A86" w:rsidSect="001E02DA">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1C0AD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109624" w14:textId="4D322C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5CDE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08D93F" w14:textId="77777777" w:rsidTr="001E44FE">
        <w:tc>
          <w:tcPr>
            <w:tcW w:w="9576" w:type="dxa"/>
            <w:shd w:val="clear" w:color="auto" w:fill="F2F2F2"/>
          </w:tcPr>
          <w:p w14:paraId="43E89E2C" w14:textId="69A4D168" w:rsidR="00505F06" w:rsidRPr="00C74D44" w:rsidRDefault="00C74D44" w:rsidP="00C74D44">
            <w:pPr>
              <w:pStyle w:val="NormalWeb"/>
              <w:jc w:val="both"/>
            </w:pPr>
            <w:r w:rsidRPr="007151B8">
              <w:t xml:space="preserve">The adsorption and leaching behaviour of the herbicide </w:t>
            </w:r>
            <w:r w:rsidRPr="00C74D44">
              <w:rPr>
                <w:rStyle w:val="Strong"/>
                <w:b w:val="0"/>
                <w:bCs w:val="0"/>
              </w:rPr>
              <w:t>topramezone</w:t>
            </w:r>
            <w:r w:rsidRPr="00C74D44">
              <w:rPr>
                <w:b/>
                <w:bCs/>
              </w:rPr>
              <w:t xml:space="preserve"> </w:t>
            </w:r>
            <w:r w:rsidRPr="00C74D44">
              <w:t>was investigated in two different soils—red sandy loam (</w:t>
            </w:r>
            <w:proofErr w:type="spellStart"/>
            <w:r w:rsidRPr="00C74D44">
              <w:t>Alfisol</w:t>
            </w:r>
            <w:proofErr w:type="spellEnd"/>
            <w:r w:rsidRPr="00C74D44">
              <w:t>) and black</w:t>
            </w:r>
            <w:r w:rsidRPr="007151B8">
              <w:t xml:space="preserve"> clay (</w:t>
            </w:r>
            <w:proofErr w:type="spellStart"/>
            <w:r w:rsidRPr="007151B8">
              <w:t>Vertisol</w:t>
            </w:r>
            <w:proofErr w:type="spellEnd"/>
            <w:r w:rsidRPr="007151B8">
              <w:t xml:space="preserve">)—from maize-growing regions of Telangana, India. Laboratory batch equilibrium experiments were conducted to quantify the adsorption characteristics of topramezone using the Freundlich isotherm model. The red soil was neutral (pH 6.62) with medium organic carbon (0.56%) and low CEC (16.21 </w:t>
            </w:r>
            <w:proofErr w:type="spellStart"/>
            <w:r w:rsidRPr="007151B8">
              <w:t>cmol</w:t>
            </w:r>
            <w:proofErr w:type="spellEnd"/>
            <w:r w:rsidRPr="007151B8">
              <w:t xml:space="preserve">(p⁺) kg⁻¹), whereas the black soil was slightly alkaline (pH 8.12) with low organic carbon (0.49%) and higher CEC (28.65 </w:t>
            </w:r>
            <w:proofErr w:type="spellStart"/>
            <w:r w:rsidRPr="007151B8">
              <w:t>cmol</w:t>
            </w:r>
            <w:proofErr w:type="spellEnd"/>
            <w:r w:rsidRPr="007151B8">
              <w:t>(p⁺) kg⁻¹). Adsorption increased with equilibrium concentration in both soils, ranging from 3.55 µg g⁻¹ in red soil and 2.68 µg g⁻¹ in black soil at 5 µg mL⁻¹ to 28.98 µg g⁻¹ and 24.98 µg g⁻¹, respectively, at 50 µg mL⁻¹. The adsorption isotherms exhibited an S-shaped, nonlinear pattern that fitted well to the Freundlich equation, confirming heterogeneous sorption sites (1/n &lt; 1). Higher Freundlich coefficients (</w:t>
            </w:r>
            <w:proofErr w:type="spellStart"/>
            <w:r w:rsidRPr="007151B8">
              <w:rPr>
                <w:i/>
              </w:rPr>
              <w:t>k</w:t>
            </w:r>
            <w:r w:rsidRPr="007151B8">
              <w:rPr>
                <w:i/>
                <w:vertAlign w:val="subscript"/>
              </w:rPr>
              <w:t>f</w:t>
            </w:r>
            <w:proofErr w:type="spellEnd"/>
            <w:r w:rsidRPr="007151B8">
              <w:t xml:space="preserve"> = 0.733; </w:t>
            </w:r>
            <w:proofErr w:type="spellStart"/>
            <w:r w:rsidRPr="007151B8">
              <w:rPr>
                <w:i/>
              </w:rPr>
              <w:t>k</w:t>
            </w:r>
            <w:r w:rsidRPr="007151B8">
              <w:rPr>
                <w:i/>
                <w:vertAlign w:val="subscript"/>
              </w:rPr>
              <w:t>foc</w:t>
            </w:r>
            <w:proofErr w:type="spellEnd"/>
            <w:r w:rsidRPr="007151B8">
              <w:t xml:space="preserve"> = 130.9) in red soil compared to black soil (</w:t>
            </w:r>
            <w:proofErr w:type="spellStart"/>
            <w:r w:rsidRPr="007151B8">
              <w:rPr>
                <w:i/>
              </w:rPr>
              <w:t>k</w:t>
            </w:r>
            <w:r w:rsidRPr="007151B8">
              <w:rPr>
                <w:i/>
                <w:vertAlign w:val="subscript"/>
              </w:rPr>
              <w:t>f</w:t>
            </w:r>
            <w:proofErr w:type="spellEnd"/>
            <w:r w:rsidRPr="007151B8">
              <w:t xml:space="preserve"> = 0.481; </w:t>
            </w:r>
            <w:proofErr w:type="spellStart"/>
            <w:r w:rsidRPr="007151B8">
              <w:rPr>
                <w:i/>
              </w:rPr>
              <w:t>k</w:t>
            </w:r>
            <w:r w:rsidRPr="007151B8">
              <w:rPr>
                <w:i/>
                <w:vertAlign w:val="subscript"/>
              </w:rPr>
              <w:t>foc</w:t>
            </w:r>
            <w:proofErr w:type="spellEnd"/>
            <w:r w:rsidRPr="007151B8">
              <w:t xml:space="preserve"> = 98.2) indicated stronger sorption under slightly acidic conditions. The reduced adsorption in alkaline black soil was attributed to the predominance of the dissociated anionic form of topramezone (</w:t>
            </w:r>
            <w:proofErr w:type="spellStart"/>
            <w:r w:rsidRPr="007151B8">
              <w:t>pKa</w:t>
            </w:r>
            <w:proofErr w:type="spellEnd"/>
            <w:r w:rsidRPr="007151B8">
              <w:t xml:space="preserve"> = 4.06) and electrostatic repulsion from negatively charged colloids. The results demonstrate that soil pH and organic carbon are the dominant factors influencing topramezone adsorption, while clay content and CEC play lesser roles. Weaker sorption and higher mobility in black soils suggest a relatively higher </w:t>
            </w:r>
            <w:r w:rsidRPr="00C74D44">
              <w:rPr>
                <w:rStyle w:val="Strong"/>
                <w:b w:val="0"/>
                <w:bCs w:val="0"/>
              </w:rPr>
              <w:t>leaching potential</w:t>
            </w:r>
            <w:r w:rsidRPr="00C74D44">
              <w:rPr>
                <w:b/>
                <w:bCs/>
              </w:rPr>
              <w:t>,</w:t>
            </w:r>
            <w:r w:rsidRPr="007151B8">
              <w:t xml:space="preserve"> emphasizing the need for site-specific management strategies for the safe use of topramezone in maize-based cropping systems under semi-arid tropical conditions.</w:t>
            </w:r>
          </w:p>
        </w:tc>
      </w:tr>
    </w:tbl>
    <w:p w14:paraId="448328DE" w14:textId="77777777" w:rsidR="00636EB2" w:rsidRDefault="00636EB2" w:rsidP="00441B6F">
      <w:pPr>
        <w:pStyle w:val="Body"/>
        <w:spacing w:after="0"/>
        <w:rPr>
          <w:rFonts w:ascii="Arial" w:hAnsi="Arial" w:cs="Arial"/>
          <w:i/>
        </w:rPr>
      </w:pPr>
    </w:p>
    <w:p w14:paraId="76C3A476" w14:textId="1DB573BC" w:rsidR="00A24E7E" w:rsidRPr="00C74D44" w:rsidRDefault="00A24E7E" w:rsidP="00441B6F">
      <w:pPr>
        <w:pStyle w:val="Body"/>
        <w:spacing w:after="0"/>
        <w:rPr>
          <w:rFonts w:ascii="Arial" w:hAnsi="Arial" w:cs="Arial"/>
          <w:i/>
        </w:rPr>
      </w:pPr>
      <w:r>
        <w:rPr>
          <w:rFonts w:ascii="Arial" w:hAnsi="Arial" w:cs="Arial"/>
          <w:i/>
        </w:rPr>
        <w:t>Keywords: [</w:t>
      </w:r>
      <w:r w:rsidR="00C74D44" w:rsidRPr="00C74D44">
        <w:rPr>
          <w:rFonts w:ascii="Arial" w:hAnsi="Arial" w:cs="Arial"/>
        </w:rPr>
        <w:t>Adsorption isotherm, Freundlich equation, red and black soils, soil pH and Topramezone</w:t>
      </w:r>
      <w:r w:rsidR="00C74D44" w:rsidRPr="00C74D44">
        <w:rPr>
          <w:rFonts w:ascii="Arial" w:hAnsi="Arial" w:cs="Arial"/>
          <w:i/>
        </w:rPr>
        <w:t>]</w:t>
      </w:r>
    </w:p>
    <w:p w14:paraId="4A893E93" w14:textId="77777777" w:rsidR="00790ADA" w:rsidRDefault="00790ADA" w:rsidP="00441B6F">
      <w:pPr>
        <w:pStyle w:val="Body"/>
        <w:spacing w:after="0"/>
        <w:rPr>
          <w:rFonts w:ascii="Arial" w:hAnsi="Arial" w:cs="Arial"/>
          <w:i/>
        </w:rPr>
      </w:pPr>
    </w:p>
    <w:p w14:paraId="62956DA6" w14:textId="77777777" w:rsidR="00505F06" w:rsidRPr="00A24E7E" w:rsidRDefault="00505F06" w:rsidP="00441B6F">
      <w:pPr>
        <w:pStyle w:val="Body"/>
        <w:spacing w:after="0"/>
        <w:rPr>
          <w:rFonts w:ascii="Arial" w:hAnsi="Arial" w:cs="Arial"/>
          <w:i/>
        </w:rPr>
      </w:pPr>
    </w:p>
    <w:p w14:paraId="214D74A7" w14:textId="1C60A06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80F35B" w14:textId="77777777"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t xml:space="preserve">The adsorption of herbicides onto soil colloids plays a pivotal role in determining their environmental </w:t>
      </w:r>
      <w:proofErr w:type="spellStart"/>
      <w:r w:rsidRPr="00C74D44">
        <w:rPr>
          <w:rFonts w:ascii="Arial" w:hAnsi="Arial" w:cs="Arial"/>
          <w:lang w:eastAsia="en-IN"/>
        </w:rPr>
        <w:t>behaviour</w:t>
      </w:r>
      <w:proofErr w:type="spellEnd"/>
      <w:r w:rsidRPr="00C74D44">
        <w:rPr>
          <w:rFonts w:ascii="Arial" w:hAnsi="Arial" w:cs="Arial"/>
          <w:lang w:eastAsia="en-IN"/>
        </w:rPr>
        <w:t xml:space="preserve">, including persistence, bioavailability, efficacy, and potential </w:t>
      </w:r>
      <w:r w:rsidRPr="00C74D44">
        <w:rPr>
          <w:rFonts w:ascii="Arial" w:hAnsi="Arial" w:cs="Arial"/>
          <w:lang w:eastAsia="en-IN"/>
        </w:rPr>
        <w:lastRenderedPageBreak/>
        <w:t>mobility in the soil–water system. Adsorption dynamics regulate the partitioning of herbicides between soil and solution phases, influencing not only the amount available for microbial degradation and plant uptake but also the extent of leaching losses to deeper soil layers. Strong adsorption generally limits bioavailability and reduces leaching risk, whereas weak adsorption enhances herbicide mobility, thereby increasing the probability of groundwater contamination. The magnitude of adsorption depends on several soil properties, including texture, pH, organic carbon, cation exchange capacity (CEC), and mineral composition, as well as on the physicochemical nature of the herbicide molecule (Wauchope et al., 2002; Walker &amp; Jurado-</w:t>
      </w:r>
      <w:proofErr w:type="spellStart"/>
      <w:r w:rsidRPr="00C74D44">
        <w:rPr>
          <w:rFonts w:ascii="Arial" w:hAnsi="Arial" w:cs="Arial"/>
          <w:lang w:eastAsia="en-IN"/>
        </w:rPr>
        <w:t>Expósito</w:t>
      </w:r>
      <w:proofErr w:type="spellEnd"/>
      <w:r w:rsidRPr="00C74D44">
        <w:rPr>
          <w:rFonts w:ascii="Arial" w:hAnsi="Arial" w:cs="Arial"/>
          <w:lang w:eastAsia="en-IN"/>
        </w:rPr>
        <w:t>, 1998, Rao et al, 2017)).</w:t>
      </w:r>
    </w:p>
    <w:p w14:paraId="7C04C70B" w14:textId="77777777"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bCs/>
          <w:lang w:eastAsia="en-IN"/>
        </w:rPr>
        <w:t>Topramezone</w:t>
      </w:r>
      <w:r w:rsidRPr="00C74D44">
        <w:rPr>
          <w:rFonts w:ascii="Arial" w:hAnsi="Arial" w:cs="Arial"/>
          <w:lang w:eastAsia="en-IN"/>
        </w:rPr>
        <w:t xml:space="preserve">, chemically identified as </w:t>
      </w:r>
      <w:r w:rsidRPr="00C74D44">
        <w:rPr>
          <w:rFonts w:ascii="Arial" w:hAnsi="Arial" w:cs="Arial"/>
          <w:i/>
          <w:iCs/>
          <w:lang w:eastAsia="en-IN"/>
        </w:rPr>
        <w:t>[3-(4,5-dihydro-3-isoxazolyl)-2-methyl-(</w:t>
      </w:r>
      <w:proofErr w:type="spellStart"/>
      <w:r w:rsidRPr="00C74D44">
        <w:rPr>
          <w:rFonts w:ascii="Arial" w:hAnsi="Arial" w:cs="Arial"/>
          <w:i/>
          <w:iCs/>
          <w:lang w:eastAsia="en-IN"/>
        </w:rPr>
        <w:t>methylsulfonyl</w:t>
      </w:r>
      <w:proofErr w:type="spellEnd"/>
      <w:r w:rsidRPr="00C74D44">
        <w:rPr>
          <w:rFonts w:ascii="Arial" w:hAnsi="Arial" w:cs="Arial"/>
          <w:i/>
          <w:iCs/>
          <w:lang w:eastAsia="en-IN"/>
        </w:rPr>
        <w:t>) phenyl]</w:t>
      </w:r>
      <w:r w:rsidRPr="00C74D44">
        <w:rPr>
          <w:rFonts w:ascii="Arial" w:hAnsi="Arial" w:cs="Arial"/>
          <w:lang w:eastAsia="en-IN"/>
        </w:rPr>
        <w:t xml:space="preserve">, is a selective post-emergence herbicide belonging to the </w:t>
      </w:r>
      <w:r w:rsidRPr="00C74D44">
        <w:rPr>
          <w:rFonts w:ascii="Arial" w:hAnsi="Arial" w:cs="Arial"/>
          <w:i/>
          <w:iCs/>
          <w:lang w:eastAsia="en-IN"/>
        </w:rPr>
        <w:t>phenyl pyrazolyl ketone</w:t>
      </w:r>
      <w:r w:rsidRPr="00C74D44">
        <w:rPr>
          <w:rFonts w:ascii="Arial" w:hAnsi="Arial" w:cs="Arial"/>
          <w:lang w:eastAsia="en-IN"/>
        </w:rPr>
        <w:t xml:space="preserve"> group. It is widely used for selective control of broadleaf and grassy weeds in maize (Madhavi et al 2013) due to its systemic action and broad-spectrum efficacy. Its mode of action involves inhibition of </w:t>
      </w:r>
      <w:r w:rsidRPr="00C74D44">
        <w:rPr>
          <w:rFonts w:ascii="Arial" w:hAnsi="Arial" w:cs="Arial"/>
          <w:bCs/>
          <w:lang w:eastAsia="en-IN"/>
        </w:rPr>
        <w:t>4-hydroxyphenylpyruvate dioxygenase (4-HPPD)</w:t>
      </w:r>
      <w:r w:rsidRPr="00C74D44">
        <w:rPr>
          <w:rFonts w:ascii="Arial" w:hAnsi="Arial" w:cs="Arial"/>
          <w:lang w:eastAsia="en-IN"/>
        </w:rPr>
        <w:t>, an enzyme regulating carotenoid biosynthesis, leading to bleaching of foliage and plant death (Mitchell et al., 2001). The compound is a weak acid (</w:t>
      </w:r>
      <w:proofErr w:type="spellStart"/>
      <w:r w:rsidRPr="00C74D44">
        <w:rPr>
          <w:rFonts w:ascii="Arial" w:hAnsi="Arial" w:cs="Arial"/>
          <w:lang w:eastAsia="en-IN"/>
        </w:rPr>
        <w:t>pKa</w:t>
      </w:r>
      <w:proofErr w:type="spellEnd"/>
      <w:r w:rsidRPr="00C74D44">
        <w:rPr>
          <w:rFonts w:ascii="Arial" w:hAnsi="Arial" w:cs="Arial"/>
          <w:lang w:eastAsia="en-IN"/>
        </w:rPr>
        <w:t xml:space="preserve"> = 4.06), existing in equilibrium between dissociated and undissociated forms depending on soil pH (APVMA, 2019). In alkaline soils, the predominance of the anionic form results in reduced affinity for negatively charged soil colloids, lowering adsorption and enhancing mobility.</w:t>
      </w:r>
    </w:p>
    <w:p w14:paraId="5E54DACB" w14:textId="77777777"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t xml:space="preserve">Environmental fate studies conducted in temperate regions have demonstrated that biotransformation is the primary dissipation mechanism of topramezone, although the process is relatively slow, with half-lives ranging between 125 and 365 days under aerobic laboratory conditions (EFSA, 2014; US EPA, 2013). Adsorption and desorption are critical precursors to degradation, and their variability across soils with different organic matter, texture, and mineralogy greatly influences the persistence and potential transport of topramezone (Figueroa-Diva et al., 2010; </w:t>
      </w:r>
      <w:proofErr w:type="spellStart"/>
      <w:r w:rsidRPr="00C74D44">
        <w:rPr>
          <w:rFonts w:ascii="Arial" w:hAnsi="Arial" w:cs="Arial"/>
          <w:lang w:eastAsia="en-IN"/>
        </w:rPr>
        <w:t>Pusino</w:t>
      </w:r>
      <w:proofErr w:type="spellEnd"/>
      <w:r w:rsidRPr="00C74D44">
        <w:rPr>
          <w:rFonts w:ascii="Arial" w:hAnsi="Arial" w:cs="Arial"/>
          <w:lang w:eastAsia="en-IN"/>
        </w:rPr>
        <w:t xml:space="preserve"> et al., 2010). Weakly acidic herbicides with low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lang w:eastAsia="en-IN"/>
        </w:rPr>
        <w:t xml:space="preserve"> values and moderate persistence are typically more mobile in alkaline and low-organic-carbon soils, a pattern observed for similar HPPD inhibitors such as </w:t>
      </w:r>
      <w:proofErr w:type="spellStart"/>
      <w:r w:rsidRPr="00C74D44">
        <w:rPr>
          <w:rFonts w:ascii="Arial" w:hAnsi="Arial" w:cs="Arial"/>
          <w:lang w:eastAsia="en-IN"/>
        </w:rPr>
        <w:t>mesotrione</w:t>
      </w:r>
      <w:proofErr w:type="spellEnd"/>
      <w:r w:rsidRPr="00C74D44">
        <w:rPr>
          <w:rFonts w:ascii="Arial" w:hAnsi="Arial" w:cs="Arial"/>
          <w:lang w:eastAsia="en-IN"/>
        </w:rPr>
        <w:t xml:space="preserve"> and </w:t>
      </w:r>
      <w:proofErr w:type="spellStart"/>
      <w:r w:rsidRPr="00C74D44">
        <w:rPr>
          <w:rFonts w:ascii="Arial" w:hAnsi="Arial" w:cs="Arial"/>
          <w:lang w:eastAsia="en-IN"/>
        </w:rPr>
        <w:t>tembotrione</w:t>
      </w:r>
      <w:proofErr w:type="spellEnd"/>
      <w:r w:rsidRPr="00C74D44">
        <w:rPr>
          <w:rFonts w:ascii="Arial" w:hAnsi="Arial" w:cs="Arial"/>
          <w:lang w:eastAsia="en-IN"/>
        </w:rPr>
        <w:t xml:space="preserve"> (</w:t>
      </w:r>
      <w:proofErr w:type="spellStart"/>
      <w:r w:rsidRPr="00C74D44">
        <w:rPr>
          <w:rFonts w:ascii="Arial" w:hAnsi="Arial" w:cs="Arial"/>
          <w:lang w:eastAsia="en-IN"/>
        </w:rPr>
        <w:t>Hollaway</w:t>
      </w:r>
      <w:proofErr w:type="spellEnd"/>
      <w:r w:rsidRPr="00C74D44">
        <w:rPr>
          <w:rFonts w:ascii="Arial" w:hAnsi="Arial" w:cs="Arial"/>
          <w:lang w:eastAsia="en-IN"/>
        </w:rPr>
        <w:t xml:space="preserve"> et al., 2013; Baumann et al., 2014). The leaching potential of herbicides is closely linked to both their </w:t>
      </w:r>
      <w:proofErr w:type="spellStart"/>
      <w:r w:rsidRPr="00C74D44">
        <w:rPr>
          <w:rFonts w:ascii="Arial" w:hAnsi="Arial" w:cs="Arial"/>
          <w:lang w:eastAsia="en-IN"/>
        </w:rPr>
        <w:t>sorptive</w:t>
      </w:r>
      <w:proofErr w:type="spellEnd"/>
      <w:r w:rsidRPr="00C74D44">
        <w:rPr>
          <w:rFonts w:ascii="Arial" w:hAnsi="Arial" w:cs="Arial"/>
          <w:lang w:eastAsia="en-IN"/>
        </w:rPr>
        <w:t xml:space="preserve"> capacity and persistence in soil. The </w:t>
      </w:r>
      <w:r w:rsidRPr="00C74D44">
        <w:rPr>
          <w:rFonts w:ascii="Arial" w:hAnsi="Arial" w:cs="Arial"/>
          <w:bCs/>
          <w:lang w:eastAsia="en-IN"/>
        </w:rPr>
        <w:t>Groundwater Ubiquity Score (GUS)</w:t>
      </w:r>
      <w:r w:rsidRPr="00C74D44">
        <w:rPr>
          <w:rFonts w:ascii="Arial" w:hAnsi="Arial" w:cs="Arial"/>
          <w:lang w:eastAsia="en-IN"/>
        </w:rPr>
        <w:t xml:space="preserve"> developed by </w:t>
      </w:r>
      <w:r w:rsidRPr="00C74D44">
        <w:rPr>
          <w:rFonts w:ascii="Arial" w:hAnsi="Arial" w:cs="Arial"/>
          <w:bCs/>
          <w:lang w:eastAsia="en-IN"/>
        </w:rPr>
        <w:t>Gustafson (1989)</w:t>
      </w:r>
      <w:r w:rsidRPr="00C74D44">
        <w:rPr>
          <w:rFonts w:ascii="Arial" w:hAnsi="Arial" w:cs="Arial"/>
          <w:lang w:eastAsia="en-IN"/>
        </w:rPr>
        <w:t xml:space="preserve"> provides an integrated assessment of leaching risk by combining adsorption coefficients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lang w:eastAsia="en-IN"/>
        </w:rPr>
        <w:t>) and degradation half-lives (</w:t>
      </w:r>
      <w:r w:rsidRPr="00C74D44">
        <w:rPr>
          <w:rFonts w:ascii="Arial" w:hAnsi="Arial" w:cs="Arial"/>
          <w:i/>
          <w:lang w:eastAsia="en-IN"/>
        </w:rPr>
        <w:t>DT</w:t>
      </w:r>
      <w:r w:rsidRPr="00C74D44">
        <w:rPr>
          <w:rFonts w:ascii="Cambria Math" w:hAnsi="Cambria Math" w:cs="Cambria Math"/>
          <w:lang w:eastAsia="en-IN"/>
        </w:rPr>
        <w:t>₅₀</w:t>
      </w:r>
      <w:r w:rsidRPr="00C74D44">
        <w:rPr>
          <w:rFonts w:ascii="Arial" w:hAnsi="Arial" w:cs="Arial"/>
          <w:lang w:eastAsia="en-IN"/>
        </w:rPr>
        <w:t>). Compounds with low adsorption and longer persistence show higher GUS values and consequently a greater risk of groundwater contamination.</w:t>
      </w:r>
    </w:p>
    <w:p w14:paraId="785A89DD" w14:textId="77777777" w:rsidR="00C74D44" w:rsidRPr="00C74D44" w:rsidRDefault="00C74D44" w:rsidP="00C74D44">
      <w:pPr>
        <w:spacing w:before="100" w:beforeAutospacing="1" w:after="100" w:afterAutospacing="1" w:line="360" w:lineRule="auto"/>
        <w:ind w:firstLine="720"/>
        <w:jc w:val="both"/>
        <w:rPr>
          <w:rFonts w:ascii="Arial" w:hAnsi="Arial" w:cs="Arial"/>
          <w:lang w:eastAsia="en-IN"/>
        </w:rPr>
      </w:pPr>
      <w:r w:rsidRPr="00C74D44">
        <w:rPr>
          <w:rFonts w:ascii="Arial" w:hAnsi="Arial" w:cs="Arial"/>
          <w:lang w:eastAsia="en-IN"/>
        </w:rPr>
        <w:lastRenderedPageBreak/>
        <w:t>In Telangana, maize is grown on contrasting soils—</w:t>
      </w:r>
      <w:r w:rsidRPr="00C74D44">
        <w:rPr>
          <w:rFonts w:ascii="Arial" w:hAnsi="Arial" w:cs="Arial"/>
          <w:bCs/>
          <w:lang w:eastAsia="en-IN"/>
        </w:rPr>
        <w:t>red sandy loam (</w:t>
      </w:r>
      <w:proofErr w:type="spellStart"/>
      <w:r w:rsidRPr="00C74D44">
        <w:rPr>
          <w:rFonts w:ascii="Arial" w:hAnsi="Arial" w:cs="Arial"/>
          <w:bCs/>
          <w:lang w:eastAsia="en-IN"/>
        </w:rPr>
        <w:t>Alfisol</w:t>
      </w:r>
      <w:proofErr w:type="spellEnd"/>
      <w:r w:rsidRPr="00C74D44">
        <w:rPr>
          <w:rFonts w:ascii="Arial" w:hAnsi="Arial" w:cs="Arial"/>
          <w:bCs/>
          <w:lang w:eastAsia="en-IN"/>
        </w:rPr>
        <w:t>)</w:t>
      </w:r>
      <w:r w:rsidRPr="00C74D44">
        <w:rPr>
          <w:rFonts w:ascii="Arial" w:hAnsi="Arial" w:cs="Arial"/>
          <w:lang w:eastAsia="en-IN"/>
        </w:rPr>
        <w:t xml:space="preserve"> and </w:t>
      </w:r>
      <w:r w:rsidRPr="00C74D44">
        <w:rPr>
          <w:rFonts w:ascii="Arial" w:hAnsi="Arial" w:cs="Arial"/>
          <w:bCs/>
          <w:lang w:eastAsia="en-IN"/>
        </w:rPr>
        <w:t>black clay (</w:t>
      </w:r>
      <w:proofErr w:type="spellStart"/>
      <w:r w:rsidRPr="00C74D44">
        <w:rPr>
          <w:rFonts w:ascii="Arial" w:hAnsi="Arial" w:cs="Arial"/>
          <w:bCs/>
          <w:lang w:eastAsia="en-IN"/>
        </w:rPr>
        <w:t>Vertisol</w:t>
      </w:r>
      <w:proofErr w:type="spellEnd"/>
      <w:r w:rsidRPr="00C74D44">
        <w:rPr>
          <w:rFonts w:ascii="Arial" w:hAnsi="Arial" w:cs="Arial"/>
          <w:bCs/>
          <w:lang w:eastAsia="en-IN"/>
        </w:rPr>
        <w:t>)</w:t>
      </w:r>
      <w:r w:rsidRPr="00C74D44">
        <w:rPr>
          <w:rFonts w:ascii="Arial" w:hAnsi="Arial" w:cs="Arial"/>
          <w:lang w:eastAsia="en-IN"/>
        </w:rPr>
        <w:t xml:space="preserve">—that differ markedly in pH, organic carbon, and CEC, which in turn may influence herbicide sorption and movement. Despite the extensive use of topramezone for post-emergence weed control in maize, no systematic data are available on its adsorption–desorption and leaching </w:t>
      </w:r>
      <w:proofErr w:type="spellStart"/>
      <w:r w:rsidRPr="00C74D44">
        <w:rPr>
          <w:rFonts w:ascii="Arial" w:hAnsi="Arial" w:cs="Arial"/>
          <w:lang w:eastAsia="en-IN"/>
        </w:rPr>
        <w:t>behaviour</w:t>
      </w:r>
      <w:proofErr w:type="spellEnd"/>
      <w:r w:rsidRPr="00C74D44">
        <w:rPr>
          <w:rFonts w:ascii="Arial" w:hAnsi="Arial" w:cs="Arial"/>
          <w:lang w:eastAsia="en-IN"/>
        </w:rPr>
        <w:t xml:space="preserve"> under Indian tropical conditions. Therefore, the present study was conducted to </w:t>
      </w:r>
      <w:r w:rsidRPr="00C74D44">
        <w:rPr>
          <w:rFonts w:ascii="Arial" w:hAnsi="Arial" w:cs="Arial"/>
          <w:bCs/>
          <w:lang w:eastAsia="en-IN"/>
        </w:rPr>
        <w:t>quantify the adsorption and desorption characteristics of topramezone in red and black soils of Telangana using Freundlich isotherm models; to evaluate the influence of key soil properties (pH, organic carbon, CEC) on adsorption parameters (</w:t>
      </w:r>
      <w:proofErr w:type="spellStart"/>
      <w:r w:rsidRPr="00C74D44">
        <w:rPr>
          <w:rFonts w:ascii="Arial" w:hAnsi="Arial" w:cs="Arial"/>
          <w:bCs/>
          <w:i/>
          <w:lang w:eastAsia="en-IN"/>
        </w:rPr>
        <w:t>k</w:t>
      </w:r>
      <w:r w:rsidRPr="00C74D44">
        <w:rPr>
          <w:rFonts w:ascii="Arial" w:hAnsi="Arial" w:cs="Arial"/>
          <w:bCs/>
          <w:i/>
          <w:vertAlign w:val="subscript"/>
          <w:lang w:eastAsia="en-IN"/>
        </w:rPr>
        <w:t>f</w:t>
      </w:r>
      <w:proofErr w:type="spellEnd"/>
      <w:r w:rsidRPr="00C74D44">
        <w:rPr>
          <w:rFonts w:ascii="Arial" w:hAnsi="Arial" w:cs="Arial"/>
          <w:bCs/>
          <w:lang w:eastAsia="en-IN"/>
        </w:rPr>
        <w:t xml:space="preserve">, </w:t>
      </w:r>
      <w:r w:rsidRPr="00C74D44">
        <w:rPr>
          <w:rFonts w:ascii="Arial" w:hAnsi="Arial" w:cs="Arial"/>
          <w:bCs/>
          <w:i/>
          <w:lang w:eastAsia="en-IN"/>
        </w:rPr>
        <w:t>1/n</w:t>
      </w:r>
      <w:r w:rsidRPr="00C74D44">
        <w:rPr>
          <w:rFonts w:ascii="Arial" w:hAnsi="Arial" w:cs="Arial"/>
          <w:bCs/>
          <w:lang w:eastAsia="en-IN"/>
        </w:rPr>
        <w:t xml:space="preserve">, </w:t>
      </w:r>
      <w:proofErr w:type="spellStart"/>
      <w:r w:rsidRPr="00C74D44">
        <w:rPr>
          <w:rFonts w:ascii="Arial" w:hAnsi="Arial" w:cs="Arial"/>
          <w:i/>
          <w:lang w:eastAsia="en-IN"/>
        </w:rPr>
        <w:t>k</w:t>
      </w:r>
      <w:r w:rsidRPr="00C74D44">
        <w:rPr>
          <w:rFonts w:ascii="Arial" w:hAnsi="Arial" w:cs="Arial"/>
          <w:i/>
          <w:vertAlign w:val="subscript"/>
          <w:lang w:eastAsia="en-IN"/>
        </w:rPr>
        <w:t>oc</w:t>
      </w:r>
      <w:proofErr w:type="spellEnd"/>
      <w:r w:rsidRPr="00C74D44">
        <w:rPr>
          <w:rFonts w:ascii="Arial" w:hAnsi="Arial" w:cs="Arial"/>
          <w:bCs/>
          <w:lang w:eastAsia="en-IN"/>
        </w:rPr>
        <w:t>); and to assess its potential mobility and leaching risk through the GUS index derived from experimentally determined sorption and literature-based degradation data.</w:t>
      </w:r>
      <w:r w:rsidRPr="00C74D44">
        <w:rPr>
          <w:rFonts w:ascii="Arial" w:hAnsi="Arial" w:cs="Arial"/>
          <w:lang w:eastAsia="en-IN"/>
        </w:rPr>
        <w:t xml:space="preserve"> The study aims to generate a scientific understanding of the environmental mobility of topramezone and to provide baseline information for developing safe, soil-specific weed management recommendations in maize-based cropping systems of semi-arid India.</w:t>
      </w:r>
    </w:p>
    <w:p w14:paraId="50A36F49" w14:textId="71937EFF" w:rsidR="007F7B32" w:rsidRPr="000B52F4" w:rsidRDefault="00902823" w:rsidP="00441B6F">
      <w:pPr>
        <w:pStyle w:val="AbstHead"/>
        <w:spacing w:after="0"/>
        <w:jc w:val="both"/>
        <w:rPr>
          <w:rFonts w:ascii="Arial" w:hAnsi="Arial" w:cs="Arial"/>
          <w:sz w:val="24"/>
          <w:szCs w:val="24"/>
        </w:rPr>
      </w:pPr>
      <w:r w:rsidRPr="000B52F4">
        <w:rPr>
          <w:rFonts w:ascii="Arial" w:hAnsi="Arial" w:cs="Arial"/>
          <w:sz w:val="24"/>
          <w:szCs w:val="24"/>
        </w:rPr>
        <w:t>2. material and method</w:t>
      </w:r>
      <w:r w:rsidR="00000F8F" w:rsidRPr="000B52F4">
        <w:rPr>
          <w:rFonts w:ascii="Arial" w:hAnsi="Arial" w:cs="Arial"/>
          <w:sz w:val="24"/>
          <w:szCs w:val="24"/>
        </w:rPr>
        <w:t xml:space="preserve">s </w:t>
      </w:r>
    </w:p>
    <w:p w14:paraId="28F12501" w14:textId="77777777" w:rsidR="00790ADA" w:rsidRPr="00FB3A86" w:rsidRDefault="00790ADA" w:rsidP="00441B6F">
      <w:pPr>
        <w:pStyle w:val="AbstHead"/>
        <w:spacing w:after="0"/>
        <w:jc w:val="both"/>
        <w:rPr>
          <w:rFonts w:ascii="Arial" w:hAnsi="Arial" w:cs="Arial"/>
        </w:rPr>
      </w:pPr>
    </w:p>
    <w:p w14:paraId="1F3C5D4B" w14:textId="7E1CD30B" w:rsidR="000B52F4" w:rsidRPr="000B52F4" w:rsidRDefault="000B52F4" w:rsidP="000B52F4">
      <w:pPr>
        <w:pStyle w:val="Heading4"/>
        <w:spacing w:line="360" w:lineRule="auto"/>
        <w:rPr>
          <w:rFonts w:ascii="Arial" w:hAnsi="Arial" w:cs="Arial"/>
          <w:b/>
          <w:i w:val="0"/>
          <w:iCs w:val="0"/>
          <w:color w:val="auto"/>
        </w:rPr>
      </w:pPr>
      <w:r w:rsidRPr="000B52F4">
        <w:rPr>
          <w:rFonts w:ascii="Arial" w:hAnsi="Arial" w:cs="Arial"/>
          <w:b/>
          <w:i w:val="0"/>
          <w:iCs w:val="0"/>
          <w:color w:val="auto"/>
        </w:rPr>
        <w:t>2.1 Soil sampling and characterization</w:t>
      </w:r>
    </w:p>
    <w:p w14:paraId="69D3B766" w14:textId="77777777"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Representative soil samples of </w:t>
      </w:r>
      <w:r w:rsidRPr="000B52F4">
        <w:rPr>
          <w:rStyle w:val="Strong"/>
          <w:rFonts w:ascii="Arial" w:eastAsiaTheme="majorEastAsia" w:hAnsi="Arial" w:cs="Arial"/>
          <w:b w:val="0"/>
          <w:bCs w:val="0"/>
          <w:sz w:val="20"/>
          <w:szCs w:val="20"/>
        </w:rPr>
        <w:t>red sandy loam (</w:t>
      </w:r>
      <w:proofErr w:type="spellStart"/>
      <w:r w:rsidRPr="000B52F4">
        <w:rPr>
          <w:rStyle w:val="Strong"/>
          <w:rFonts w:ascii="Arial" w:eastAsiaTheme="majorEastAsia" w:hAnsi="Arial" w:cs="Arial"/>
          <w:b w:val="0"/>
          <w:bCs w:val="0"/>
          <w:sz w:val="20"/>
          <w:szCs w:val="20"/>
        </w:rPr>
        <w:t>Alfisol</w:t>
      </w:r>
      <w:proofErr w:type="spellEnd"/>
      <w:r w:rsidRPr="000B52F4">
        <w:rPr>
          <w:rStyle w:val="Strong"/>
          <w:rFonts w:ascii="Arial" w:eastAsiaTheme="majorEastAsia" w:hAnsi="Arial" w:cs="Arial"/>
          <w:b w:val="0"/>
          <w:bCs w:val="0"/>
          <w:sz w:val="20"/>
          <w:szCs w:val="20"/>
        </w:rPr>
        <w:t>)</w:t>
      </w:r>
      <w:r w:rsidRPr="000B52F4">
        <w:rPr>
          <w:rFonts w:ascii="Arial" w:hAnsi="Arial" w:cs="Arial"/>
          <w:sz w:val="20"/>
          <w:szCs w:val="20"/>
        </w:rPr>
        <w:t xml:space="preserve"> and </w:t>
      </w:r>
      <w:r w:rsidRPr="000B52F4">
        <w:rPr>
          <w:rStyle w:val="Strong"/>
          <w:rFonts w:ascii="Arial" w:eastAsiaTheme="majorEastAsia" w:hAnsi="Arial" w:cs="Arial"/>
          <w:b w:val="0"/>
          <w:bCs w:val="0"/>
          <w:sz w:val="20"/>
          <w:szCs w:val="20"/>
        </w:rPr>
        <w:t>black soils (</w:t>
      </w:r>
      <w:proofErr w:type="spellStart"/>
      <w:r w:rsidRPr="000B52F4">
        <w:rPr>
          <w:rStyle w:val="Strong"/>
          <w:rFonts w:ascii="Arial" w:eastAsiaTheme="majorEastAsia" w:hAnsi="Arial" w:cs="Arial"/>
          <w:b w:val="0"/>
          <w:bCs w:val="0"/>
          <w:sz w:val="20"/>
          <w:szCs w:val="20"/>
        </w:rPr>
        <w:t>Vertisol</w:t>
      </w:r>
      <w:proofErr w:type="spellEnd"/>
      <w:r w:rsidRPr="000B52F4">
        <w:rPr>
          <w:rStyle w:val="Strong"/>
          <w:rFonts w:ascii="Arial" w:eastAsiaTheme="majorEastAsia" w:hAnsi="Arial" w:cs="Arial"/>
          <w:b w:val="0"/>
          <w:bCs w:val="0"/>
          <w:sz w:val="20"/>
          <w:szCs w:val="20"/>
        </w:rPr>
        <w:t>)</w:t>
      </w:r>
      <w:r w:rsidRPr="000B52F4">
        <w:rPr>
          <w:rFonts w:ascii="Arial" w:hAnsi="Arial" w:cs="Arial"/>
          <w:sz w:val="20"/>
          <w:szCs w:val="20"/>
        </w:rPr>
        <w:t xml:space="preserve"> were collected from maize-growing areas of Telangana, India. The soils were air-dried under shade, gently ground, and passed through a 2 mm sieve prior to analysis. The soil pH and electrical conductivity (EC) were measured in a 1:2.5 soil-to-water suspension using a digital pH meter and conductivity bridge, respectively, following standard procedures. Organic carbon content was determined by the </w:t>
      </w:r>
      <w:r w:rsidRPr="000B52F4">
        <w:rPr>
          <w:rStyle w:val="Strong"/>
          <w:rFonts w:ascii="Arial" w:eastAsiaTheme="majorEastAsia" w:hAnsi="Arial" w:cs="Arial"/>
          <w:b w:val="0"/>
          <w:bCs w:val="0"/>
          <w:sz w:val="20"/>
          <w:szCs w:val="20"/>
        </w:rPr>
        <w:t>Walkley and Black (1934)</w:t>
      </w:r>
      <w:r w:rsidRPr="000B52F4">
        <w:rPr>
          <w:rFonts w:ascii="Arial" w:hAnsi="Arial" w:cs="Arial"/>
          <w:sz w:val="20"/>
          <w:szCs w:val="20"/>
        </w:rPr>
        <w:t xml:space="preserve"> rapid titrimetric method involving oxidation with potassium dichromate and concentrated sulfuric acid followed by back titration with ferrous ammonium </w:t>
      </w:r>
      <w:proofErr w:type="spellStart"/>
      <w:r w:rsidRPr="000B52F4">
        <w:rPr>
          <w:rFonts w:ascii="Arial" w:hAnsi="Arial" w:cs="Arial"/>
          <w:sz w:val="20"/>
          <w:szCs w:val="20"/>
        </w:rPr>
        <w:t>sulfate</w:t>
      </w:r>
      <w:proofErr w:type="spellEnd"/>
      <w:r w:rsidRPr="000B52F4">
        <w:rPr>
          <w:rFonts w:ascii="Arial" w:hAnsi="Arial" w:cs="Arial"/>
          <w:sz w:val="20"/>
          <w:szCs w:val="20"/>
        </w:rPr>
        <w:t xml:space="preserve">. The </w:t>
      </w:r>
      <w:r w:rsidRPr="000B52F4">
        <w:rPr>
          <w:rStyle w:val="Strong"/>
          <w:rFonts w:ascii="Arial" w:eastAsiaTheme="majorEastAsia" w:hAnsi="Arial" w:cs="Arial"/>
          <w:b w:val="0"/>
          <w:bCs w:val="0"/>
          <w:sz w:val="20"/>
          <w:szCs w:val="20"/>
        </w:rPr>
        <w:t>cation exchange capacity (CEC)</w:t>
      </w:r>
      <w:r w:rsidRPr="000B52F4">
        <w:rPr>
          <w:rFonts w:ascii="Arial" w:hAnsi="Arial" w:cs="Arial"/>
          <w:b/>
          <w:sz w:val="20"/>
          <w:szCs w:val="20"/>
        </w:rPr>
        <w:t xml:space="preserve"> </w:t>
      </w:r>
      <w:r w:rsidRPr="000B52F4">
        <w:rPr>
          <w:rFonts w:ascii="Arial" w:hAnsi="Arial" w:cs="Arial"/>
          <w:sz w:val="20"/>
          <w:szCs w:val="20"/>
        </w:rPr>
        <w:t xml:space="preserve">was determined by the </w:t>
      </w:r>
      <w:r w:rsidRPr="000B52F4">
        <w:rPr>
          <w:rStyle w:val="Strong"/>
          <w:rFonts w:ascii="Arial" w:eastAsiaTheme="majorEastAsia" w:hAnsi="Arial" w:cs="Arial"/>
          <w:b w:val="0"/>
          <w:bCs w:val="0"/>
          <w:sz w:val="20"/>
          <w:szCs w:val="20"/>
        </w:rPr>
        <w:t>ammonium acetate method (Richards et al., 1954)</w:t>
      </w:r>
      <w:r w:rsidRPr="000B52F4">
        <w:rPr>
          <w:rFonts w:ascii="Arial" w:hAnsi="Arial" w:cs="Arial"/>
          <w:sz w:val="20"/>
          <w:szCs w:val="20"/>
        </w:rPr>
        <w:t xml:space="preserve"> at pH 7.0 and expressed as </w:t>
      </w:r>
      <w:proofErr w:type="spellStart"/>
      <w:r w:rsidRPr="000B52F4">
        <w:rPr>
          <w:rFonts w:ascii="Arial" w:hAnsi="Arial" w:cs="Arial"/>
          <w:sz w:val="20"/>
          <w:szCs w:val="20"/>
        </w:rPr>
        <w:t>cmol</w:t>
      </w:r>
      <w:proofErr w:type="spellEnd"/>
      <w:r w:rsidRPr="000B52F4">
        <w:rPr>
          <w:rFonts w:ascii="Arial" w:hAnsi="Arial" w:cs="Arial"/>
          <w:sz w:val="20"/>
          <w:szCs w:val="20"/>
        </w:rPr>
        <w:t>(p</w:t>
      </w:r>
      <w:r w:rsidRPr="000B52F4">
        <w:rPr>
          <w:rFonts w:ascii="Cambria Math" w:hAnsi="Cambria Math" w:cs="Cambria Math"/>
          <w:sz w:val="20"/>
          <w:szCs w:val="20"/>
        </w:rPr>
        <w:t>⁺</w:t>
      </w:r>
      <w:r w:rsidRPr="000B52F4">
        <w:rPr>
          <w:rFonts w:ascii="Arial" w:hAnsi="Arial" w:cs="Arial"/>
          <w:sz w:val="20"/>
          <w:szCs w:val="20"/>
        </w:rPr>
        <w:t>) kg</w:t>
      </w:r>
      <w:r w:rsidRPr="000B52F4">
        <w:rPr>
          <w:rFonts w:ascii="Cambria Math" w:hAnsi="Cambria Math" w:cs="Cambria Math"/>
          <w:sz w:val="20"/>
          <w:szCs w:val="20"/>
        </w:rPr>
        <w:t>⁻</w:t>
      </w:r>
      <w:r w:rsidRPr="000B52F4">
        <w:rPr>
          <w:rFonts w:ascii="Arial" w:hAnsi="Arial" w:cs="Arial"/>
          <w:sz w:val="20"/>
          <w:szCs w:val="20"/>
        </w:rPr>
        <w:t>¹.</w:t>
      </w:r>
    </w:p>
    <w:p w14:paraId="7A2FA3E2" w14:textId="4FE8B2CE" w:rsidR="000B52F4" w:rsidRPr="000B52F4" w:rsidRDefault="000B52F4" w:rsidP="000B52F4">
      <w:pPr>
        <w:pStyle w:val="Heading4"/>
        <w:spacing w:line="240" w:lineRule="auto"/>
        <w:jc w:val="both"/>
        <w:rPr>
          <w:rFonts w:ascii="Arial" w:hAnsi="Arial" w:cs="Arial"/>
          <w:b/>
          <w:color w:val="auto"/>
        </w:rPr>
      </w:pPr>
      <w:r w:rsidRPr="000B52F4">
        <w:rPr>
          <w:rFonts w:ascii="Arial" w:hAnsi="Arial" w:cs="Arial"/>
          <w:b/>
          <w:color w:val="auto"/>
        </w:rPr>
        <w:t>2.2 Adsorption studies</w:t>
      </w:r>
    </w:p>
    <w:p w14:paraId="10AF2185" w14:textId="77777777"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The adsorption behaviour of topramezone was studied by the </w:t>
      </w:r>
      <w:r w:rsidRPr="000B52F4">
        <w:rPr>
          <w:rStyle w:val="Strong"/>
          <w:rFonts w:ascii="Arial" w:eastAsiaTheme="majorEastAsia" w:hAnsi="Arial" w:cs="Arial"/>
          <w:b w:val="0"/>
          <w:bCs w:val="0"/>
          <w:sz w:val="20"/>
          <w:szCs w:val="20"/>
        </w:rPr>
        <w:t>batch equilibrium method</w:t>
      </w:r>
      <w:r w:rsidRPr="000B52F4">
        <w:rPr>
          <w:rFonts w:ascii="Arial" w:hAnsi="Arial" w:cs="Arial"/>
          <w:sz w:val="20"/>
          <w:szCs w:val="20"/>
        </w:rPr>
        <w:t xml:space="preserve"> following the </w:t>
      </w:r>
      <w:r w:rsidRPr="000B52F4">
        <w:rPr>
          <w:rStyle w:val="Strong"/>
          <w:rFonts w:ascii="Arial" w:eastAsiaTheme="majorEastAsia" w:hAnsi="Arial" w:cs="Arial"/>
          <w:b w:val="0"/>
          <w:bCs w:val="0"/>
          <w:sz w:val="20"/>
          <w:szCs w:val="20"/>
        </w:rPr>
        <w:t>OECD guideline No. 106 (OECD, 2000)</w:t>
      </w:r>
      <w:r w:rsidRPr="000B52F4">
        <w:rPr>
          <w:rFonts w:ascii="Arial" w:hAnsi="Arial" w:cs="Arial"/>
          <w:b/>
          <w:bCs/>
          <w:sz w:val="20"/>
          <w:szCs w:val="20"/>
        </w:rPr>
        <w:t>.</w:t>
      </w:r>
      <w:r w:rsidRPr="000B52F4">
        <w:rPr>
          <w:rFonts w:ascii="Arial" w:hAnsi="Arial" w:cs="Arial"/>
          <w:sz w:val="20"/>
          <w:szCs w:val="20"/>
        </w:rPr>
        <w:t xml:space="preserve"> Five grams of soil were equilibrated with 20 mL of topramezone solutions of varying initial concentrations (0–50 µg mL</w:t>
      </w:r>
      <w:r w:rsidRPr="000B52F4">
        <w:rPr>
          <w:rFonts w:ascii="Cambria Math" w:hAnsi="Cambria Math" w:cs="Cambria Math"/>
          <w:sz w:val="20"/>
          <w:szCs w:val="20"/>
        </w:rPr>
        <w:t>⁻</w:t>
      </w:r>
      <w:r w:rsidRPr="000B52F4">
        <w:rPr>
          <w:rFonts w:ascii="Arial" w:hAnsi="Arial" w:cs="Arial"/>
          <w:sz w:val="20"/>
          <w:szCs w:val="20"/>
        </w:rPr>
        <w:t xml:space="preserve">¹) prepared in </w:t>
      </w:r>
      <w:r w:rsidRPr="000B52F4">
        <w:rPr>
          <w:rStyle w:val="Strong"/>
          <w:rFonts w:ascii="Arial" w:eastAsiaTheme="majorEastAsia" w:hAnsi="Arial" w:cs="Arial"/>
          <w:b w:val="0"/>
          <w:bCs w:val="0"/>
          <w:sz w:val="20"/>
          <w:szCs w:val="20"/>
        </w:rPr>
        <w:t xml:space="preserve">0.01 M </w:t>
      </w:r>
      <w:proofErr w:type="spellStart"/>
      <w:r w:rsidRPr="000B52F4">
        <w:rPr>
          <w:rStyle w:val="Strong"/>
          <w:rFonts w:ascii="Arial" w:eastAsiaTheme="majorEastAsia" w:hAnsi="Arial" w:cs="Arial"/>
          <w:b w:val="0"/>
          <w:bCs w:val="0"/>
          <w:sz w:val="20"/>
          <w:szCs w:val="20"/>
        </w:rPr>
        <w:t>CaCl</w:t>
      </w:r>
      <w:proofErr w:type="spellEnd"/>
      <w:r w:rsidRPr="000B52F4">
        <w:rPr>
          <w:rStyle w:val="Strong"/>
          <w:rFonts w:ascii="Cambria Math" w:eastAsiaTheme="majorEastAsia" w:hAnsi="Cambria Math" w:cs="Cambria Math"/>
          <w:b w:val="0"/>
          <w:bCs w:val="0"/>
          <w:sz w:val="20"/>
          <w:szCs w:val="20"/>
        </w:rPr>
        <w:t>₂</w:t>
      </w:r>
      <w:r w:rsidRPr="000B52F4">
        <w:rPr>
          <w:rFonts w:ascii="Arial" w:hAnsi="Arial" w:cs="Arial"/>
          <w:sz w:val="20"/>
          <w:szCs w:val="20"/>
        </w:rPr>
        <w:t xml:space="preserve"> solution to maintain constant ionic strength. The suspensions were placed in 50 mL stoppered polypropylene centrifuge tubes and shaken on a reciprocating shaker at </w:t>
      </w:r>
      <w:r w:rsidRPr="000B52F4">
        <w:rPr>
          <w:rStyle w:val="Strong"/>
          <w:rFonts w:ascii="Arial" w:eastAsiaTheme="majorEastAsia" w:hAnsi="Arial" w:cs="Arial"/>
          <w:b w:val="0"/>
          <w:bCs w:val="0"/>
          <w:sz w:val="20"/>
          <w:szCs w:val="20"/>
        </w:rPr>
        <w:t>27 ± 1 °C</w:t>
      </w:r>
      <w:r w:rsidRPr="000B52F4">
        <w:rPr>
          <w:rFonts w:ascii="Arial" w:hAnsi="Arial" w:cs="Arial"/>
          <w:sz w:val="20"/>
          <w:szCs w:val="20"/>
        </w:rPr>
        <w:t xml:space="preserve"> for 24 h, which was predetermined to be sufficient to attain equilibrium. Following equilibration, the tubes were centrifuged at 4000 rpm for 15 min, and the supernatant was filtered through Whatman No. 42 filter paper.</w:t>
      </w:r>
    </w:p>
    <w:p w14:paraId="29A5AE14" w14:textId="77777777" w:rsidR="000B52F4" w:rsidRPr="000B52F4" w:rsidRDefault="000B52F4" w:rsidP="000B52F4">
      <w:pPr>
        <w:pStyle w:val="NormalWeb"/>
        <w:ind w:firstLine="720"/>
        <w:jc w:val="both"/>
        <w:rPr>
          <w:rFonts w:ascii="Arial" w:hAnsi="Arial" w:cs="Arial"/>
          <w:sz w:val="20"/>
          <w:szCs w:val="20"/>
        </w:rPr>
      </w:pPr>
      <w:r w:rsidRPr="000B52F4">
        <w:rPr>
          <w:rFonts w:ascii="Arial" w:hAnsi="Arial" w:cs="Arial"/>
          <w:sz w:val="20"/>
          <w:szCs w:val="20"/>
        </w:rPr>
        <w:t xml:space="preserve">The concentration of topramezone remaining in solution was determined by </w:t>
      </w:r>
      <w:r w:rsidRPr="000B52F4">
        <w:rPr>
          <w:rStyle w:val="Strong"/>
          <w:rFonts w:ascii="Arial" w:eastAsiaTheme="majorEastAsia" w:hAnsi="Arial" w:cs="Arial"/>
          <w:b w:val="0"/>
          <w:bCs w:val="0"/>
          <w:sz w:val="20"/>
          <w:szCs w:val="20"/>
        </w:rPr>
        <w:t>high-performance liquid chromatography (HPLC-UV)</w:t>
      </w:r>
      <w:r w:rsidRPr="000B52F4">
        <w:rPr>
          <w:rFonts w:ascii="Arial" w:hAnsi="Arial" w:cs="Arial"/>
          <w:sz w:val="20"/>
          <w:szCs w:val="20"/>
        </w:rPr>
        <w:t xml:space="preserve"> as described by </w:t>
      </w:r>
      <w:r w:rsidRPr="000B52F4">
        <w:rPr>
          <w:rStyle w:val="Emphasis"/>
          <w:rFonts w:ascii="Arial" w:eastAsiaTheme="majorEastAsia" w:hAnsi="Arial" w:cs="Arial"/>
          <w:sz w:val="20"/>
          <w:szCs w:val="20"/>
        </w:rPr>
        <w:t>Gade et al. (2015)</w:t>
      </w:r>
      <w:r w:rsidRPr="000B52F4">
        <w:rPr>
          <w:rFonts w:ascii="Arial" w:hAnsi="Arial" w:cs="Arial"/>
          <w:sz w:val="20"/>
          <w:szCs w:val="20"/>
        </w:rPr>
        <w:t xml:space="preserve"> with suitable modifications. The analytical system comprised a </w:t>
      </w:r>
      <w:r w:rsidRPr="000B52F4">
        <w:rPr>
          <w:rStyle w:val="Strong"/>
          <w:rFonts w:ascii="Arial" w:eastAsiaTheme="majorEastAsia" w:hAnsi="Arial" w:cs="Arial"/>
          <w:b w:val="0"/>
          <w:bCs w:val="0"/>
          <w:sz w:val="20"/>
          <w:szCs w:val="20"/>
        </w:rPr>
        <w:t>C</w:t>
      </w:r>
      <w:r w:rsidRPr="000B52F4">
        <w:rPr>
          <w:rStyle w:val="Strong"/>
          <w:rFonts w:ascii="Arial" w:eastAsiaTheme="majorEastAsia" w:hAnsi="Arial" w:cs="Arial"/>
          <w:b w:val="0"/>
          <w:bCs w:val="0"/>
          <w:sz w:val="20"/>
          <w:szCs w:val="20"/>
          <w:vertAlign w:val="subscript"/>
        </w:rPr>
        <w:t>18</w:t>
      </w:r>
      <w:r w:rsidRPr="000B52F4">
        <w:rPr>
          <w:rStyle w:val="Strong"/>
          <w:rFonts w:ascii="Arial" w:eastAsiaTheme="majorEastAsia" w:hAnsi="Arial" w:cs="Arial"/>
          <w:b w:val="0"/>
          <w:bCs w:val="0"/>
          <w:sz w:val="20"/>
          <w:szCs w:val="20"/>
        </w:rPr>
        <w:t xml:space="preserve"> column (250 × 4.6 mm, 5 µm)</w:t>
      </w:r>
      <w:r w:rsidRPr="000B52F4">
        <w:rPr>
          <w:rFonts w:ascii="Arial" w:hAnsi="Arial" w:cs="Arial"/>
          <w:sz w:val="20"/>
          <w:szCs w:val="20"/>
        </w:rPr>
        <w:t xml:space="preserve"> </w:t>
      </w:r>
      <w:r w:rsidRPr="000B52F4">
        <w:rPr>
          <w:rFonts w:ascii="Arial" w:hAnsi="Arial" w:cs="Arial"/>
          <w:sz w:val="20"/>
          <w:szCs w:val="20"/>
        </w:rPr>
        <w:lastRenderedPageBreak/>
        <w:t xml:space="preserve">with a mobile phase of </w:t>
      </w:r>
      <w:proofErr w:type="spellStart"/>
      <w:proofErr w:type="gramStart"/>
      <w:r w:rsidRPr="000B52F4">
        <w:rPr>
          <w:rStyle w:val="Strong"/>
          <w:rFonts w:ascii="Arial" w:eastAsiaTheme="majorEastAsia" w:hAnsi="Arial" w:cs="Arial"/>
          <w:b w:val="0"/>
          <w:bCs w:val="0"/>
          <w:sz w:val="20"/>
          <w:szCs w:val="20"/>
        </w:rPr>
        <w:t>acetonitrile:water</w:t>
      </w:r>
      <w:proofErr w:type="spellEnd"/>
      <w:proofErr w:type="gramEnd"/>
      <w:r w:rsidRPr="000B52F4">
        <w:rPr>
          <w:rStyle w:val="Strong"/>
          <w:rFonts w:ascii="Arial" w:eastAsiaTheme="majorEastAsia" w:hAnsi="Arial" w:cs="Arial"/>
          <w:b w:val="0"/>
          <w:bCs w:val="0"/>
          <w:sz w:val="20"/>
          <w:szCs w:val="20"/>
        </w:rPr>
        <w:t xml:space="preserve"> (65:35, v/v)</w:t>
      </w:r>
      <w:r w:rsidRPr="000B52F4">
        <w:rPr>
          <w:rFonts w:ascii="Arial" w:hAnsi="Arial" w:cs="Arial"/>
          <w:sz w:val="20"/>
          <w:szCs w:val="20"/>
        </w:rPr>
        <w:t xml:space="preserve"> adjusted to </w:t>
      </w:r>
      <w:r w:rsidRPr="000B52F4">
        <w:rPr>
          <w:rStyle w:val="Strong"/>
          <w:rFonts w:ascii="Arial" w:eastAsiaTheme="majorEastAsia" w:hAnsi="Arial" w:cs="Arial"/>
          <w:b w:val="0"/>
          <w:bCs w:val="0"/>
          <w:sz w:val="20"/>
          <w:szCs w:val="20"/>
        </w:rPr>
        <w:t>pH 2.5</w:t>
      </w:r>
      <w:r w:rsidRPr="000B52F4">
        <w:rPr>
          <w:rFonts w:ascii="Arial" w:hAnsi="Arial" w:cs="Arial"/>
          <w:sz w:val="20"/>
          <w:szCs w:val="20"/>
        </w:rPr>
        <w:t xml:space="preserve"> using orthophosphoric acid, a </w:t>
      </w:r>
      <w:r w:rsidRPr="000B52F4">
        <w:rPr>
          <w:rStyle w:val="Strong"/>
          <w:rFonts w:ascii="Arial" w:eastAsiaTheme="majorEastAsia" w:hAnsi="Arial" w:cs="Arial"/>
          <w:b w:val="0"/>
          <w:bCs w:val="0"/>
          <w:sz w:val="20"/>
          <w:szCs w:val="20"/>
        </w:rPr>
        <w:t>flow rate of 1.0 mL min</w:t>
      </w:r>
      <w:r w:rsidRPr="000B52F4">
        <w:rPr>
          <w:rStyle w:val="Strong"/>
          <w:rFonts w:ascii="Cambria Math" w:eastAsiaTheme="majorEastAsia" w:hAnsi="Cambria Math" w:cs="Cambria Math"/>
          <w:b w:val="0"/>
          <w:bCs w:val="0"/>
          <w:sz w:val="20"/>
          <w:szCs w:val="20"/>
        </w:rPr>
        <w:t>⁻</w:t>
      </w:r>
      <w:r w:rsidRPr="000B52F4">
        <w:rPr>
          <w:rStyle w:val="Strong"/>
          <w:rFonts w:ascii="Arial" w:eastAsiaTheme="majorEastAsia" w:hAnsi="Arial" w:cs="Arial"/>
          <w:b w:val="0"/>
          <w:bCs w:val="0"/>
          <w:sz w:val="20"/>
          <w:szCs w:val="20"/>
        </w:rPr>
        <w:t>¹</w:t>
      </w:r>
      <w:r w:rsidRPr="000B52F4">
        <w:rPr>
          <w:rFonts w:ascii="Arial" w:hAnsi="Arial" w:cs="Arial"/>
          <w:b/>
          <w:bCs/>
          <w:sz w:val="20"/>
          <w:szCs w:val="20"/>
        </w:rPr>
        <w:t>,</w:t>
      </w:r>
      <w:r w:rsidRPr="000B52F4">
        <w:rPr>
          <w:rFonts w:ascii="Arial" w:hAnsi="Arial" w:cs="Arial"/>
          <w:b/>
          <w:sz w:val="20"/>
          <w:szCs w:val="20"/>
        </w:rPr>
        <w:t xml:space="preserve"> </w:t>
      </w:r>
      <w:r w:rsidRPr="000B52F4">
        <w:rPr>
          <w:rFonts w:ascii="Arial" w:hAnsi="Arial" w:cs="Arial"/>
          <w:sz w:val="20"/>
          <w:szCs w:val="20"/>
        </w:rPr>
        <w:t xml:space="preserve">and UV detection at </w:t>
      </w:r>
      <w:r w:rsidRPr="000B52F4">
        <w:rPr>
          <w:rStyle w:val="Strong"/>
          <w:rFonts w:ascii="Arial" w:eastAsiaTheme="majorEastAsia" w:hAnsi="Arial" w:cs="Arial"/>
          <w:b w:val="0"/>
          <w:bCs w:val="0"/>
          <w:sz w:val="20"/>
          <w:szCs w:val="20"/>
        </w:rPr>
        <w:t>220 nm</w:t>
      </w:r>
      <w:r w:rsidRPr="000B52F4">
        <w:rPr>
          <w:rFonts w:ascii="Arial" w:hAnsi="Arial" w:cs="Arial"/>
          <w:b/>
          <w:bCs/>
          <w:sz w:val="20"/>
          <w:szCs w:val="20"/>
        </w:rPr>
        <w:t>.</w:t>
      </w:r>
      <w:r w:rsidRPr="000B52F4">
        <w:rPr>
          <w:rFonts w:ascii="Arial" w:hAnsi="Arial" w:cs="Arial"/>
          <w:sz w:val="20"/>
          <w:szCs w:val="20"/>
        </w:rPr>
        <w:t xml:space="preserve"> The calibration curve was linear within the range 0.05–5.0 µg mL</w:t>
      </w:r>
      <w:r w:rsidRPr="000B52F4">
        <w:rPr>
          <w:rFonts w:ascii="Cambria Math" w:hAnsi="Cambria Math" w:cs="Cambria Math"/>
          <w:sz w:val="20"/>
          <w:szCs w:val="20"/>
        </w:rPr>
        <w:t>⁻</w:t>
      </w:r>
      <w:r w:rsidRPr="000B52F4">
        <w:rPr>
          <w:rFonts w:ascii="Arial" w:hAnsi="Arial" w:cs="Arial"/>
          <w:sz w:val="20"/>
          <w:szCs w:val="20"/>
        </w:rPr>
        <w:t>¹ (r² &gt; 0.995). Identical soil blanks (without herbicide addition) were included to correct for background absorbance.</w:t>
      </w:r>
    </w:p>
    <w:p w14:paraId="54140909" w14:textId="77777777" w:rsidR="000B52F4" w:rsidRPr="000B52F4" w:rsidRDefault="000B52F4" w:rsidP="000B52F4">
      <w:pPr>
        <w:pStyle w:val="NormalWeb"/>
        <w:jc w:val="both"/>
        <w:rPr>
          <w:rFonts w:ascii="Arial" w:hAnsi="Arial" w:cs="Arial"/>
          <w:sz w:val="20"/>
          <w:szCs w:val="20"/>
        </w:rPr>
      </w:pPr>
      <w:r w:rsidRPr="000B52F4">
        <w:rPr>
          <w:rFonts w:ascii="Arial" w:hAnsi="Arial" w:cs="Arial"/>
          <w:sz w:val="20"/>
          <w:szCs w:val="20"/>
        </w:rPr>
        <w:t xml:space="preserve">The amount of topramezone adsorbed per unit mass of soil (x/m) was calculated from the difference between the initial and equilibrium concentrations. Adsorption data were fitted to the </w:t>
      </w:r>
      <w:r w:rsidRPr="000B52F4">
        <w:rPr>
          <w:rStyle w:val="Strong"/>
          <w:rFonts w:ascii="Arial" w:eastAsiaTheme="majorEastAsia" w:hAnsi="Arial" w:cs="Arial"/>
          <w:b w:val="0"/>
          <w:bCs w:val="0"/>
          <w:sz w:val="20"/>
          <w:szCs w:val="20"/>
        </w:rPr>
        <w:t>Freundlich isotherm</w:t>
      </w:r>
      <w:r w:rsidRPr="000B52F4">
        <w:rPr>
          <w:rFonts w:ascii="Arial" w:hAnsi="Arial" w:cs="Arial"/>
          <w:b/>
          <w:bCs/>
          <w:sz w:val="20"/>
          <w:szCs w:val="20"/>
        </w:rPr>
        <w:t>,</w:t>
      </w:r>
      <w:r w:rsidRPr="000B52F4">
        <w:rPr>
          <w:rFonts w:ascii="Arial" w:hAnsi="Arial" w:cs="Arial"/>
          <w:sz w:val="20"/>
          <w:szCs w:val="20"/>
        </w:rPr>
        <w:t xml:space="preserve"> expressed as</w:t>
      </w:r>
    </w:p>
    <w:p w14:paraId="1FAB7AF5" w14:textId="77777777" w:rsidR="000B52F4" w:rsidRPr="000B52F4" w:rsidRDefault="000B52F4" w:rsidP="000B52F4">
      <w:pPr>
        <w:jc w:val="center"/>
        <w:rPr>
          <w:rFonts w:ascii="Arial" w:hAnsi="Arial" w:cs="Arial"/>
          <w:i/>
          <w:lang w:eastAsia="en-IN"/>
        </w:rPr>
      </w:pPr>
      <w:r w:rsidRPr="000B52F4">
        <w:rPr>
          <w:rFonts w:ascii="Arial" w:hAnsi="Arial" w:cs="Arial"/>
          <w:i/>
          <w:lang w:eastAsia="en-IN"/>
        </w:rPr>
        <w:t>x/m=</w:t>
      </w:r>
      <w:proofErr w:type="spellStart"/>
      <w:proofErr w:type="gram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i/>
          <w:vertAlign w:val="subscript"/>
          <w:lang w:eastAsia="en-IN"/>
        </w:rPr>
        <w:t xml:space="preserve"> .</w:t>
      </w:r>
      <w:proofErr w:type="gramEnd"/>
      <w:r w:rsidRPr="000B52F4">
        <w:rPr>
          <w:rFonts w:ascii="Arial" w:hAnsi="Arial" w:cs="Arial"/>
          <w:i/>
          <w:vertAlign w:val="subscript"/>
          <w:lang w:eastAsia="en-IN"/>
        </w:rPr>
        <w:t xml:space="preserve"> </w:t>
      </w:r>
      <w:r w:rsidRPr="000B52F4">
        <w:rPr>
          <w:rFonts w:ascii="Arial" w:hAnsi="Arial" w:cs="Arial"/>
          <w:i/>
          <w:lang w:eastAsia="en-IN"/>
        </w:rPr>
        <w:t>C</w:t>
      </w:r>
      <w:r w:rsidRPr="000B52F4">
        <w:rPr>
          <w:rFonts w:ascii="Arial" w:hAnsi="Arial" w:cs="Arial"/>
          <w:i/>
          <w:vertAlign w:val="subscript"/>
          <w:lang w:eastAsia="en-IN"/>
        </w:rPr>
        <w:t>e</w:t>
      </w:r>
      <w:r w:rsidRPr="000B52F4">
        <w:rPr>
          <w:rFonts w:ascii="Arial" w:hAnsi="Arial" w:cs="Arial"/>
          <w:i/>
          <w:vertAlign w:val="superscript"/>
          <w:lang w:eastAsia="en-IN"/>
        </w:rPr>
        <w:t>1/n</w:t>
      </w:r>
    </w:p>
    <w:p w14:paraId="1098D6EF" w14:textId="77777777" w:rsidR="000B52F4" w:rsidRPr="000B52F4" w:rsidRDefault="000B52F4" w:rsidP="000B52F4">
      <w:pPr>
        <w:jc w:val="both"/>
        <w:rPr>
          <w:rFonts w:ascii="Arial" w:hAnsi="Arial" w:cs="Arial"/>
        </w:rPr>
      </w:pPr>
      <w:r w:rsidRPr="000B52F4">
        <w:rPr>
          <w:rStyle w:val="vlist-s"/>
          <w:rFonts w:ascii="Arial" w:hAnsi="Arial" w:cs="Arial"/>
        </w:rPr>
        <w:t>​</w:t>
      </w:r>
      <w:r w:rsidRPr="000B52F4">
        <w:rPr>
          <w:rFonts w:ascii="Arial" w:hAnsi="Arial" w:cs="Arial"/>
        </w:rPr>
        <w:t xml:space="preserve"> where </w:t>
      </w:r>
      <w:r w:rsidRPr="000B52F4">
        <w:rPr>
          <w:rStyle w:val="Emphasis"/>
          <w:rFonts w:ascii="Arial" w:eastAsiaTheme="majorEastAsia" w:hAnsi="Arial" w:cs="Arial"/>
        </w:rPr>
        <w:t>x/m</w:t>
      </w:r>
      <w:r w:rsidRPr="000B52F4">
        <w:rPr>
          <w:rFonts w:ascii="Arial" w:hAnsi="Arial" w:cs="Arial"/>
        </w:rPr>
        <w:t xml:space="preserve"> is the quantity of herbicide adsorbed (µg g</w:t>
      </w:r>
      <w:r w:rsidRPr="000B52F4">
        <w:rPr>
          <w:rFonts w:ascii="Cambria Math" w:hAnsi="Cambria Math" w:cs="Cambria Math"/>
        </w:rPr>
        <w:t>⁻</w:t>
      </w:r>
      <w:r w:rsidRPr="000B52F4">
        <w:rPr>
          <w:rFonts w:ascii="Arial" w:hAnsi="Arial" w:cs="Arial"/>
        </w:rPr>
        <w:t xml:space="preserve">¹), </w:t>
      </w:r>
      <w:r w:rsidRPr="000B52F4">
        <w:rPr>
          <w:rStyle w:val="Emphasis"/>
          <w:rFonts w:ascii="Arial" w:eastAsiaTheme="majorEastAsia" w:hAnsi="Arial" w:cs="Arial"/>
        </w:rPr>
        <w:t>Cₑ</w:t>
      </w:r>
      <w:r w:rsidRPr="000B52F4">
        <w:rPr>
          <w:rFonts w:ascii="Arial" w:hAnsi="Arial" w:cs="Arial"/>
        </w:rPr>
        <w:t xml:space="preserve"> is the equilibrium concentration in solution (µg mL</w:t>
      </w:r>
      <w:r w:rsidRPr="000B52F4">
        <w:rPr>
          <w:rFonts w:ascii="Cambria Math" w:hAnsi="Cambria Math" w:cs="Cambria Math"/>
        </w:rPr>
        <w:t>⁻</w:t>
      </w:r>
      <w:r w:rsidRPr="000B52F4">
        <w:rPr>
          <w:rFonts w:ascii="Arial" w:hAnsi="Arial" w:cs="Arial"/>
        </w:rPr>
        <w:t xml:space="preserve">¹), </w:t>
      </w:r>
      <w:proofErr w:type="spellStart"/>
      <w:r w:rsidRPr="000B52F4">
        <w:rPr>
          <w:rStyle w:val="Emphasis"/>
          <w:rFonts w:ascii="Arial" w:eastAsiaTheme="majorEastAsia" w:hAnsi="Arial" w:cs="Arial"/>
        </w:rPr>
        <w:t>k</w:t>
      </w:r>
      <w:r w:rsidRPr="000B52F4">
        <w:rPr>
          <w:rStyle w:val="Emphasis"/>
          <w:rFonts w:ascii="Arial" w:eastAsiaTheme="majorEastAsia" w:hAnsi="Arial" w:cs="Arial"/>
          <w:vertAlign w:val="subscript"/>
        </w:rPr>
        <w:t>f</w:t>
      </w:r>
      <w:proofErr w:type="spellEnd"/>
      <w:r w:rsidRPr="000B52F4">
        <w:rPr>
          <w:rFonts w:ascii="Arial" w:hAnsi="Arial" w:cs="Arial"/>
        </w:rPr>
        <w:t xml:space="preserve"> is the Freundlich adsorption coefficient indicating sorption capacity, and </w:t>
      </w:r>
      <w:r w:rsidRPr="000B52F4">
        <w:rPr>
          <w:rStyle w:val="Emphasis"/>
          <w:rFonts w:ascii="Arial" w:eastAsiaTheme="majorEastAsia" w:hAnsi="Arial" w:cs="Arial"/>
        </w:rPr>
        <w:t>1/n</w:t>
      </w:r>
      <w:r w:rsidRPr="000B52F4">
        <w:rPr>
          <w:rFonts w:ascii="Arial" w:hAnsi="Arial" w:cs="Arial"/>
        </w:rPr>
        <w:t xml:space="preserve"> represents adsorption intensity. The linearized form,</w:t>
      </w:r>
    </w:p>
    <w:p w14:paraId="527A3EB4" w14:textId="77777777" w:rsidR="000B52F4" w:rsidRPr="000B52F4" w:rsidRDefault="000B52F4" w:rsidP="000B52F4">
      <w:pPr>
        <w:jc w:val="center"/>
        <w:rPr>
          <w:rFonts w:ascii="Arial" w:hAnsi="Arial" w:cs="Arial"/>
          <w:i/>
          <w:lang w:val="en-IN" w:eastAsia="en-IN"/>
        </w:rPr>
      </w:pPr>
      <w:r w:rsidRPr="000B52F4">
        <w:rPr>
          <w:rFonts w:ascii="Arial" w:hAnsi="Arial" w:cs="Arial"/>
          <w:lang w:val="en-IN" w:eastAsia="en-IN"/>
        </w:rPr>
        <w:t xml:space="preserve">log </w:t>
      </w:r>
      <w:r w:rsidRPr="000B52F4">
        <w:rPr>
          <w:rFonts w:ascii="Arial" w:hAnsi="Arial" w:cs="Arial"/>
          <w:i/>
          <w:lang w:val="en-IN" w:eastAsia="en-IN"/>
        </w:rPr>
        <w:t>(x/</w:t>
      </w:r>
      <w:proofErr w:type="gramStart"/>
      <w:r w:rsidRPr="000B52F4">
        <w:rPr>
          <w:rFonts w:ascii="Arial" w:hAnsi="Arial" w:cs="Arial"/>
          <w:i/>
          <w:lang w:val="en-IN" w:eastAsia="en-IN"/>
        </w:rPr>
        <w:t>m)=</w:t>
      </w:r>
      <w:proofErr w:type="gramEnd"/>
      <w:r w:rsidRPr="000B52F4">
        <w:rPr>
          <w:rFonts w:ascii="Arial" w:hAnsi="Arial" w:cs="Arial"/>
          <w:i/>
          <w:lang w:val="en-IN" w:eastAsia="en-IN"/>
        </w:rPr>
        <w:t xml:space="preserve"> </w:t>
      </w:r>
      <w:r w:rsidRPr="000B52F4">
        <w:rPr>
          <w:rFonts w:ascii="Arial" w:hAnsi="Arial" w:cs="Arial"/>
          <w:lang w:val="en-IN" w:eastAsia="en-IN"/>
        </w:rPr>
        <w:t>log</w:t>
      </w:r>
      <w:r w:rsidRPr="000B52F4">
        <w:rPr>
          <w:rFonts w:ascii="Arial" w:hAnsi="Arial" w:cs="Arial"/>
          <w:i/>
          <w:lang w:val="en-IN" w:eastAsia="en-IN"/>
        </w:rPr>
        <w:t xml:space="preserve"> </w:t>
      </w:r>
      <w:proofErr w:type="spellStart"/>
      <w:r w:rsidRPr="000B52F4">
        <w:rPr>
          <w:rFonts w:ascii="Arial" w:hAnsi="Arial" w:cs="Arial"/>
          <w:i/>
          <w:lang w:val="en-IN" w:eastAsia="en-IN"/>
        </w:rPr>
        <w:t>K</w:t>
      </w:r>
      <w:r w:rsidRPr="000B52F4">
        <w:rPr>
          <w:rFonts w:ascii="Arial" w:hAnsi="Arial" w:cs="Arial"/>
          <w:i/>
          <w:vertAlign w:val="subscript"/>
          <w:lang w:val="en-IN" w:eastAsia="en-IN"/>
        </w:rPr>
        <w:t>f</w:t>
      </w:r>
      <w:proofErr w:type="spellEnd"/>
      <w:r w:rsidRPr="000B52F4">
        <w:rPr>
          <w:rFonts w:ascii="Arial" w:hAnsi="Arial" w:cs="Arial"/>
          <w:i/>
          <w:vertAlign w:val="subscript"/>
          <w:lang w:val="en-IN" w:eastAsia="en-IN"/>
        </w:rPr>
        <w:t xml:space="preserve"> </w:t>
      </w:r>
      <w:r w:rsidRPr="000B52F4">
        <w:rPr>
          <w:rFonts w:ascii="Arial" w:hAnsi="Arial" w:cs="Arial"/>
          <w:i/>
          <w:lang w:val="en-IN" w:eastAsia="en-IN"/>
        </w:rPr>
        <w:t>+1/n (</w:t>
      </w:r>
      <w:proofErr w:type="spellStart"/>
      <w:r w:rsidRPr="000B52F4">
        <w:rPr>
          <w:rFonts w:ascii="Arial" w:hAnsi="Arial" w:cs="Arial"/>
          <w:i/>
          <w:lang w:val="en-IN" w:eastAsia="en-IN"/>
        </w:rPr>
        <w:t>logC</w:t>
      </w:r>
      <w:r w:rsidRPr="000B52F4">
        <w:rPr>
          <w:rFonts w:ascii="Arial" w:hAnsi="Arial" w:cs="Arial"/>
          <w:i/>
          <w:vertAlign w:val="subscript"/>
          <w:lang w:val="en-IN" w:eastAsia="en-IN"/>
        </w:rPr>
        <w:t>e</w:t>
      </w:r>
      <w:proofErr w:type="spellEnd"/>
      <w:r w:rsidRPr="000B52F4">
        <w:rPr>
          <w:rFonts w:ascii="Arial" w:hAnsi="Arial" w:cs="Arial"/>
          <w:i/>
          <w:lang w:val="en-IN" w:eastAsia="en-IN"/>
        </w:rPr>
        <w:t>​)</w:t>
      </w:r>
    </w:p>
    <w:p w14:paraId="36C45BDA" w14:textId="77777777" w:rsidR="000B52F4" w:rsidRPr="000B52F4" w:rsidRDefault="000B52F4" w:rsidP="000B52F4">
      <w:pPr>
        <w:pStyle w:val="NormalWeb"/>
        <w:jc w:val="both"/>
        <w:rPr>
          <w:rFonts w:ascii="Arial" w:hAnsi="Arial" w:cs="Arial"/>
          <w:sz w:val="20"/>
          <w:szCs w:val="20"/>
        </w:rPr>
      </w:pPr>
      <w:r w:rsidRPr="000B52F4">
        <w:rPr>
          <w:rFonts w:ascii="Arial" w:hAnsi="Arial" w:cs="Arial"/>
          <w:sz w:val="20"/>
          <w:szCs w:val="20"/>
        </w:rPr>
        <w:t xml:space="preserve">was used to estimate </w:t>
      </w:r>
      <w:proofErr w:type="spellStart"/>
      <w:r w:rsidRPr="000B52F4">
        <w:rPr>
          <w:rStyle w:val="Emphasis"/>
          <w:rFonts w:ascii="Arial" w:eastAsiaTheme="majorEastAsia" w:hAnsi="Arial" w:cs="Arial"/>
          <w:sz w:val="20"/>
          <w:szCs w:val="20"/>
        </w:rPr>
        <w:t>kf</w:t>
      </w:r>
      <w:proofErr w:type="spellEnd"/>
      <w:r w:rsidRPr="000B52F4">
        <w:rPr>
          <w:rFonts w:ascii="Arial" w:hAnsi="Arial" w:cs="Arial"/>
          <w:sz w:val="20"/>
          <w:szCs w:val="20"/>
        </w:rPr>
        <w:t xml:space="preserve"> and </w:t>
      </w:r>
      <w:r w:rsidRPr="000B52F4">
        <w:rPr>
          <w:rStyle w:val="Emphasis"/>
          <w:rFonts w:ascii="Arial" w:eastAsiaTheme="majorEastAsia" w:hAnsi="Arial" w:cs="Arial"/>
          <w:sz w:val="20"/>
          <w:szCs w:val="20"/>
        </w:rPr>
        <w:t>1/n</w:t>
      </w:r>
      <w:r w:rsidRPr="000B52F4">
        <w:rPr>
          <w:rFonts w:ascii="Arial" w:hAnsi="Arial" w:cs="Arial"/>
          <w:sz w:val="20"/>
          <w:szCs w:val="20"/>
        </w:rPr>
        <w:t xml:space="preserve"> from regression analysis. The coefficient of determination (</w:t>
      </w:r>
      <w:r w:rsidRPr="000B52F4">
        <w:rPr>
          <w:rStyle w:val="Emphasis"/>
          <w:rFonts w:ascii="Arial" w:eastAsiaTheme="majorEastAsia" w:hAnsi="Arial" w:cs="Arial"/>
          <w:sz w:val="20"/>
          <w:szCs w:val="20"/>
        </w:rPr>
        <w:t>R²</w:t>
      </w:r>
      <w:r w:rsidRPr="000B52F4">
        <w:rPr>
          <w:rFonts w:ascii="Arial" w:hAnsi="Arial" w:cs="Arial"/>
          <w:sz w:val="20"/>
          <w:szCs w:val="20"/>
        </w:rPr>
        <w:t>) was used to evaluate the goodness of fit.</w:t>
      </w:r>
    </w:p>
    <w:p w14:paraId="35532FB3" w14:textId="77777777" w:rsidR="00790ADA" w:rsidRPr="00FB3A86" w:rsidRDefault="00790ADA" w:rsidP="00441B6F">
      <w:pPr>
        <w:pStyle w:val="Body"/>
        <w:spacing w:after="0"/>
        <w:rPr>
          <w:rFonts w:ascii="Arial" w:hAnsi="Arial" w:cs="Arial"/>
        </w:rPr>
      </w:pPr>
    </w:p>
    <w:p w14:paraId="5359B6E0" w14:textId="77777777" w:rsidR="00902823" w:rsidRPr="00FB0FA7" w:rsidRDefault="00000F8F" w:rsidP="00441B6F">
      <w:pPr>
        <w:pStyle w:val="Head1"/>
        <w:spacing w:after="0"/>
        <w:jc w:val="both"/>
        <w:rPr>
          <w:rFonts w:ascii="Arial" w:hAnsi="Arial" w:cs="Arial"/>
          <w:sz w:val="24"/>
          <w:szCs w:val="24"/>
        </w:rPr>
      </w:pPr>
      <w:r w:rsidRPr="00FB0FA7">
        <w:rPr>
          <w:rFonts w:ascii="Arial" w:hAnsi="Arial" w:cs="Arial"/>
          <w:sz w:val="24"/>
          <w:szCs w:val="24"/>
        </w:rPr>
        <w:t>3</w:t>
      </w:r>
      <w:r w:rsidR="00902823" w:rsidRPr="00FB0FA7">
        <w:rPr>
          <w:rFonts w:ascii="Arial" w:hAnsi="Arial" w:cs="Arial"/>
          <w:sz w:val="24"/>
          <w:szCs w:val="24"/>
        </w:rPr>
        <w:t xml:space="preserve">. </w:t>
      </w:r>
      <w:r w:rsidRPr="00FB0FA7">
        <w:rPr>
          <w:rFonts w:ascii="Arial" w:hAnsi="Arial" w:cs="Arial"/>
          <w:sz w:val="24"/>
          <w:szCs w:val="24"/>
        </w:rPr>
        <w:t>results and discussion</w:t>
      </w:r>
    </w:p>
    <w:p w14:paraId="33C988D7" w14:textId="77777777" w:rsidR="00790ADA" w:rsidRPr="00FB3A86" w:rsidRDefault="00790ADA" w:rsidP="00441B6F">
      <w:pPr>
        <w:pStyle w:val="Head1"/>
        <w:spacing w:after="0"/>
        <w:jc w:val="both"/>
        <w:rPr>
          <w:rFonts w:ascii="Arial" w:hAnsi="Arial" w:cs="Arial"/>
        </w:rPr>
      </w:pPr>
    </w:p>
    <w:p w14:paraId="58645918"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 xml:space="preserve">The red and black soils of Telangana differed distinctly in their </w:t>
      </w:r>
      <w:proofErr w:type="spellStart"/>
      <w:r w:rsidRPr="000B52F4">
        <w:rPr>
          <w:rFonts w:ascii="Arial" w:hAnsi="Arial" w:cs="Arial"/>
          <w:lang w:eastAsia="en-IN"/>
        </w:rPr>
        <w:t>physico</w:t>
      </w:r>
      <w:proofErr w:type="spellEnd"/>
      <w:r w:rsidRPr="000B52F4">
        <w:rPr>
          <w:rFonts w:ascii="Arial" w:hAnsi="Arial" w:cs="Arial"/>
          <w:lang w:eastAsia="en-IN"/>
        </w:rPr>
        <w:t xml:space="preserve">-chemical characteristics, influencing the sorption </w:t>
      </w:r>
      <w:proofErr w:type="spellStart"/>
      <w:r w:rsidRPr="000B52F4">
        <w:rPr>
          <w:rFonts w:ascii="Arial" w:hAnsi="Arial" w:cs="Arial"/>
          <w:lang w:eastAsia="en-IN"/>
        </w:rPr>
        <w:t>behaviour</w:t>
      </w:r>
      <w:proofErr w:type="spellEnd"/>
      <w:r w:rsidRPr="000B52F4">
        <w:rPr>
          <w:rFonts w:ascii="Arial" w:hAnsi="Arial" w:cs="Arial"/>
          <w:lang w:eastAsia="en-IN"/>
        </w:rPr>
        <w:t xml:space="preserve"> of topramezone. The red soil was neutral in reaction (pH 6.62), sandy loam in texture, with medium organic carbon (0.56%) and a cation exchange capacity (CEC) of 16.21 </w:t>
      </w:r>
      <w:proofErr w:type="spellStart"/>
      <w:r w:rsidRPr="000B52F4">
        <w:rPr>
          <w:rFonts w:ascii="Arial" w:hAnsi="Arial" w:cs="Arial"/>
          <w:lang w:eastAsia="en-IN"/>
        </w:rPr>
        <w:t>cmol</w:t>
      </w:r>
      <w:proofErr w:type="spellEnd"/>
      <w:r w:rsidRPr="000B52F4">
        <w:rPr>
          <w:rFonts w:ascii="Arial" w:hAnsi="Arial" w:cs="Arial"/>
          <w:lang w:eastAsia="en-IN"/>
        </w:rPr>
        <w:t>(p</w:t>
      </w:r>
      <w:r w:rsidRPr="000B52F4">
        <w:rPr>
          <w:rFonts w:ascii="Cambria Math" w:hAnsi="Cambria Math" w:cs="Cambria Math"/>
          <w:lang w:eastAsia="en-IN"/>
        </w:rPr>
        <w:t>⁺</w:t>
      </w:r>
      <w:r w:rsidRPr="000B52F4">
        <w:rPr>
          <w:rFonts w:ascii="Arial" w:hAnsi="Arial" w:cs="Arial"/>
          <w:lang w:eastAsia="en-IN"/>
        </w:rPr>
        <w:t>) kg</w:t>
      </w:r>
      <w:r w:rsidRPr="000B52F4">
        <w:rPr>
          <w:rFonts w:ascii="Cambria Math" w:hAnsi="Cambria Math" w:cs="Cambria Math"/>
          <w:lang w:eastAsia="en-IN"/>
        </w:rPr>
        <w:t>⁻</w:t>
      </w:r>
      <w:r w:rsidRPr="000B52F4">
        <w:rPr>
          <w:rFonts w:ascii="Arial" w:hAnsi="Arial" w:cs="Arial"/>
          <w:lang w:eastAsia="en-IN"/>
        </w:rPr>
        <w:t xml:space="preserve">¹, whereas the black soil was slightly alkaline (pH 8.12), clayey in texture, with low organic carbon (0.49%) and higher CEC (28.65 </w:t>
      </w:r>
      <w:proofErr w:type="spellStart"/>
      <w:r w:rsidRPr="000B52F4">
        <w:rPr>
          <w:rFonts w:ascii="Arial" w:hAnsi="Arial" w:cs="Arial"/>
          <w:lang w:eastAsia="en-IN"/>
        </w:rPr>
        <w:t>cmol</w:t>
      </w:r>
      <w:proofErr w:type="spellEnd"/>
      <w:r w:rsidRPr="000B52F4">
        <w:rPr>
          <w:rFonts w:ascii="Arial" w:hAnsi="Arial" w:cs="Arial"/>
          <w:lang w:eastAsia="en-IN"/>
        </w:rPr>
        <w:t>(p</w:t>
      </w:r>
      <w:r w:rsidRPr="000B52F4">
        <w:rPr>
          <w:rFonts w:ascii="Cambria Math" w:hAnsi="Cambria Math" w:cs="Cambria Math"/>
          <w:lang w:eastAsia="en-IN"/>
        </w:rPr>
        <w:t>⁺</w:t>
      </w:r>
      <w:r w:rsidRPr="000B52F4">
        <w:rPr>
          <w:rFonts w:ascii="Arial" w:hAnsi="Arial" w:cs="Arial"/>
          <w:lang w:eastAsia="en-IN"/>
        </w:rPr>
        <w:t>) kg</w:t>
      </w:r>
      <w:r w:rsidRPr="000B52F4">
        <w:rPr>
          <w:rFonts w:ascii="Cambria Math" w:hAnsi="Cambria Math" w:cs="Cambria Math"/>
          <w:lang w:eastAsia="en-IN"/>
        </w:rPr>
        <w:t>⁻</w:t>
      </w:r>
      <w:r w:rsidRPr="000B52F4">
        <w:rPr>
          <w:rFonts w:ascii="Arial" w:hAnsi="Arial" w:cs="Arial"/>
          <w:lang w:eastAsia="en-IN"/>
        </w:rPr>
        <w:t xml:space="preserve">¹). </w:t>
      </w:r>
    </w:p>
    <w:p w14:paraId="1CBAE1B6" w14:textId="77777777" w:rsidR="000B52F4" w:rsidRPr="000B52F4" w:rsidRDefault="000B52F4" w:rsidP="00FB0FA7">
      <w:pPr>
        <w:jc w:val="both"/>
        <w:rPr>
          <w:rFonts w:ascii="Arial" w:hAnsi="Arial" w:cs="Arial"/>
          <w:b/>
        </w:rPr>
      </w:pPr>
      <w:r w:rsidRPr="000B52F4">
        <w:rPr>
          <w:rFonts w:ascii="Arial" w:hAnsi="Arial" w:cs="Arial"/>
          <w:b/>
          <w:noProof/>
        </w:rPr>
        <w:t>Table.</w:t>
      </w:r>
      <w:r w:rsidRPr="000B52F4">
        <w:rPr>
          <w:rFonts w:ascii="Arial" w:hAnsi="Arial" w:cs="Arial"/>
          <w:b/>
        </w:rPr>
        <w:t xml:space="preserve"> 1. </w:t>
      </w:r>
      <w:proofErr w:type="spellStart"/>
      <w:r w:rsidRPr="000B52F4">
        <w:rPr>
          <w:rFonts w:ascii="Arial" w:hAnsi="Arial" w:cs="Arial"/>
          <w:b/>
        </w:rPr>
        <w:t>Physico</w:t>
      </w:r>
      <w:proofErr w:type="spellEnd"/>
      <w:r w:rsidRPr="000B52F4">
        <w:rPr>
          <w:rFonts w:ascii="Arial" w:hAnsi="Arial" w:cs="Arial"/>
          <w:b/>
        </w:rPr>
        <w:t>-chemical properties of the selected soil samples</w:t>
      </w:r>
    </w:p>
    <w:tbl>
      <w:tblPr>
        <w:tblStyle w:val="TableGrid"/>
        <w:tblW w:w="6198" w:type="dxa"/>
        <w:jc w:val="center"/>
        <w:tblLayout w:type="fixed"/>
        <w:tblLook w:val="04A0" w:firstRow="1" w:lastRow="0" w:firstColumn="1" w:lastColumn="0" w:noHBand="0" w:noVBand="1"/>
      </w:tblPr>
      <w:tblGrid>
        <w:gridCol w:w="2906"/>
        <w:gridCol w:w="1177"/>
        <w:gridCol w:w="2115"/>
      </w:tblGrid>
      <w:tr w:rsidR="000B52F4" w:rsidRPr="000B52F4" w14:paraId="65C15F39" w14:textId="77777777" w:rsidTr="00EC51B1">
        <w:trPr>
          <w:trHeight w:val="300"/>
          <w:jc w:val="center"/>
        </w:trPr>
        <w:tc>
          <w:tcPr>
            <w:tcW w:w="2906" w:type="dxa"/>
            <w:noWrap/>
          </w:tcPr>
          <w:p w14:paraId="4871BD7C"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Adsorption parameter</w:t>
            </w:r>
          </w:p>
        </w:tc>
        <w:tc>
          <w:tcPr>
            <w:tcW w:w="1177" w:type="dxa"/>
            <w:noWrap/>
          </w:tcPr>
          <w:p w14:paraId="4E7F2AFE"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Red soil</w:t>
            </w:r>
          </w:p>
        </w:tc>
        <w:tc>
          <w:tcPr>
            <w:tcW w:w="2115" w:type="dxa"/>
          </w:tcPr>
          <w:p w14:paraId="7FA13028"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Black soil</w:t>
            </w:r>
          </w:p>
        </w:tc>
      </w:tr>
      <w:tr w:rsidR="000B52F4" w:rsidRPr="000B52F4" w14:paraId="003F34CE" w14:textId="77777777" w:rsidTr="00EC51B1">
        <w:trPr>
          <w:trHeight w:val="300"/>
          <w:jc w:val="center"/>
        </w:trPr>
        <w:tc>
          <w:tcPr>
            <w:tcW w:w="2906" w:type="dxa"/>
            <w:noWrap/>
            <w:hideMark/>
          </w:tcPr>
          <w:p w14:paraId="466EEEBD"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pH</w:t>
            </w:r>
          </w:p>
        </w:tc>
        <w:tc>
          <w:tcPr>
            <w:tcW w:w="1177" w:type="dxa"/>
            <w:noWrap/>
            <w:hideMark/>
          </w:tcPr>
          <w:p w14:paraId="28C9AB1E"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6.62</w:t>
            </w:r>
          </w:p>
        </w:tc>
        <w:tc>
          <w:tcPr>
            <w:tcW w:w="2115" w:type="dxa"/>
          </w:tcPr>
          <w:p w14:paraId="5BB66B4C" w14:textId="77777777" w:rsidR="000B52F4" w:rsidRPr="000B52F4" w:rsidRDefault="000B52F4" w:rsidP="00FB0FA7">
            <w:pPr>
              <w:ind w:left="747" w:hanging="747"/>
              <w:jc w:val="both"/>
              <w:rPr>
                <w:rFonts w:ascii="Arial" w:eastAsiaTheme="minorEastAsia" w:hAnsi="Arial" w:cs="Arial"/>
                <w:sz w:val="20"/>
                <w:szCs w:val="20"/>
                <w:lang w:bidi="hi-IN"/>
              </w:rPr>
            </w:pPr>
            <w:r w:rsidRPr="000B52F4">
              <w:rPr>
                <w:rFonts w:ascii="Arial" w:eastAsiaTheme="minorEastAsia" w:hAnsi="Arial" w:cs="Arial"/>
                <w:sz w:val="20"/>
                <w:szCs w:val="20"/>
                <w:lang w:bidi="hi-IN"/>
              </w:rPr>
              <w:t>8.12</w:t>
            </w:r>
          </w:p>
        </w:tc>
      </w:tr>
      <w:tr w:rsidR="000B52F4" w:rsidRPr="000B52F4" w14:paraId="348567B6" w14:textId="77777777" w:rsidTr="00EC51B1">
        <w:trPr>
          <w:trHeight w:val="300"/>
          <w:jc w:val="center"/>
        </w:trPr>
        <w:tc>
          <w:tcPr>
            <w:tcW w:w="2906" w:type="dxa"/>
            <w:noWrap/>
            <w:hideMark/>
          </w:tcPr>
          <w:p w14:paraId="13D96F6C"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rPr>
              <w:t>CEC (C mol (p</w:t>
            </w:r>
            <w:r w:rsidRPr="000B52F4">
              <w:rPr>
                <w:rFonts w:ascii="Arial" w:hAnsi="Arial" w:cs="Arial"/>
                <w:sz w:val="20"/>
                <w:szCs w:val="20"/>
                <w:vertAlign w:val="superscript"/>
              </w:rPr>
              <w:t>+</w:t>
            </w:r>
            <w:r w:rsidRPr="000B52F4">
              <w:rPr>
                <w:rFonts w:ascii="Arial" w:hAnsi="Arial" w:cs="Arial"/>
                <w:sz w:val="20"/>
                <w:szCs w:val="20"/>
              </w:rPr>
              <w:t>)/</w:t>
            </w:r>
            <w:proofErr w:type="gramStart"/>
            <w:r w:rsidRPr="000B52F4">
              <w:rPr>
                <w:rFonts w:ascii="Arial" w:hAnsi="Arial" w:cs="Arial"/>
                <w:sz w:val="20"/>
                <w:szCs w:val="20"/>
              </w:rPr>
              <w:t>kg</w:t>
            </w:r>
            <w:r w:rsidRPr="000B52F4">
              <w:rPr>
                <w:rFonts w:ascii="Arial" w:hAnsi="Arial" w:cs="Arial"/>
                <w:sz w:val="20"/>
                <w:szCs w:val="20"/>
                <w:lang w:bidi="hi-IN"/>
              </w:rPr>
              <w:t xml:space="preserve"> )</w:t>
            </w:r>
            <w:proofErr w:type="gramEnd"/>
          </w:p>
        </w:tc>
        <w:tc>
          <w:tcPr>
            <w:tcW w:w="1177" w:type="dxa"/>
            <w:noWrap/>
            <w:hideMark/>
          </w:tcPr>
          <w:p w14:paraId="179438A3"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16.21</w:t>
            </w:r>
          </w:p>
        </w:tc>
        <w:tc>
          <w:tcPr>
            <w:tcW w:w="2115" w:type="dxa"/>
          </w:tcPr>
          <w:p w14:paraId="2C4D821D"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28.65</w:t>
            </w:r>
          </w:p>
        </w:tc>
      </w:tr>
      <w:tr w:rsidR="000B52F4" w:rsidRPr="000B52F4" w14:paraId="30131E7B" w14:textId="77777777" w:rsidTr="00EC51B1">
        <w:trPr>
          <w:trHeight w:val="300"/>
          <w:jc w:val="center"/>
        </w:trPr>
        <w:tc>
          <w:tcPr>
            <w:tcW w:w="2906" w:type="dxa"/>
            <w:noWrap/>
            <w:hideMark/>
          </w:tcPr>
          <w:p w14:paraId="7CE8809D" w14:textId="77777777" w:rsidR="000B52F4" w:rsidRPr="000B52F4" w:rsidRDefault="000B52F4" w:rsidP="00FB0FA7">
            <w:pPr>
              <w:jc w:val="both"/>
              <w:rPr>
                <w:rFonts w:ascii="Arial" w:hAnsi="Arial" w:cs="Arial"/>
                <w:sz w:val="20"/>
                <w:szCs w:val="20"/>
              </w:rPr>
            </w:pPr>
            <w:r w:rsidRPr="000B52F4">
              <w:rPr>
                <w:rFonts w:ascii="Arial" w:hAnsi="Arial" w:cs="Arial"/>
                <w:sz w:val="20"/>
                <w:szCs w:val="20"/>
                <w:lang w:bidi="hi-IN"/>
              </w:rPr>
              <w:t>Organic carbon (%)</w:t>
            </w:r>
          </w:p>
        </w:tc>
        <w:tc>
          <w:tcPr>
            <w:tcW w:w="1177" w:type="dxa"/>
            <w:noWrap/>
            <w:hideMark/>
          </w:tcPr>
          <w:p w14:paraId="7E9AFC8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0.56</w:t>
            </w:r>
          </w:p>
        </w:tc>
        <w:tc>
          <w:tcPr>
            <w:tcW w:w="2115" w:type="dxa"/>
          </w:tcPr>
          <w:p w14:paraId="1AD6735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0.49</w:t>
            </w:r>
          </w:p>
        </w:tc>
      </w:tr>
      <w:tr w:rsidR="000B52F4" w:rsidRPr="000B52F4" w14:paraId="2392CE7C" w14:textId="77777777" w:rsidTr="00EC51B1">
        <w:trPr>
          <w:trHeight w:val="300"/>
          <w:jc w:val="center"/>
        </w:trPr>
        <w:tc>
          <w:tcPr>
            <w:tcW w:w="2906" w:type="dxa"/>
            <w:noWrap/>
            <w:hideMark/>
          </w:tcPr>
          <w:p w14:paraId="68851AAA"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Clay (%)</w:t>
            </w:r>
          </w:p>
        </w:tc>
        <w:tc>
          <w:tcPr>
            <w:tcW w:w="1177" w:type="dxa"/>
            <w:noWrap/>
            <w:hideMark/>
          </w:tcPr>
          <w:p w14:paraId="555CDE9F"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24.5</w:t>
            </w:r>
          </w:p>
        </w:tc>
        <w:tc>
          <w:tcPr>
            <w:tcW w:w="2115" w:type="dxa"/>
          </w:tcPr>
          <w:p w14:paraId="66D5650F"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36.2</w:t>
            </w:r>
          </w:p>
        </w:tc>
      </w:tr>
      <w:tr w:rsidR="000B52F4" w:rsidRPr="000B52F4" w14:paraId="0BFE57C7" w14:textId="77777777" w:rsidTr="00EC51B1">
        <w:trPr>
          <w:trHeight w:val="300"/>
          <w:jc w:val="center"/>
        </w:trPr>
        <w:tc>
          <w:tcPr>
            <w:tcW w:w="2906" w:type="dxa"/>
            <w:noWrap/>
            <w:hideMark/>
          </w:tcPr>
          <w:p w14:paraId="52084350"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Silt (%)</w:t>
            </w:r>
          </w:p>
        </w:tc>
        <w:tc>
          <w:tcPr>
            <w:tcW w:w="1177" w:type="dxa"/>
            <w:noWrap/>
            <w:hideMark/>
          </w:tcPr>
          <w:p w14:paraId="220B2CDB"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12.8</w:t>
            </w:r>
          </w:p>
        </w:tc>
        <w:tc>
          <w:tcPr>
            <w:tcW w:w="2115" w:type="dxa"/>
          </w:tcPr>
          <w:p w14:paraId="21C48A67"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16.9</w:t>
            </w:r>
          </w:p>
        </w:tc>
      </w:tr>
      <w:tr w:rsidR="000B52F4" w:rsidRPr="000B52F4" w14:paraId="4616B1A4" w14:textId="77777777" w:rsidTr="00EC51B1">
        <w:trPr>
          <w:trHeight w:val="300"/>
          <w:jc w:val="center"/>
        </w:trPr>
        <w:tc>
          <w:tcPr>
            <w:tcW w:w="2906" w:type="dxa"/>
            <w:noWrap/>
            <w:hideMark/>
          </w:tcPr>
          <w:p w14:paraId="377A3646"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Sand (%)</w:t>
            </w:r>
          </w:p>
        </w:tc>
        <w:tc>
          <w:tcPr>
            <w:tcW w:w="1177" w:type="dxa"/>
            <w:noWrap/>
            <w:hideMark/>
          </w:tcPr>
          <w:p w14:paraId="6680F21F"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62.7</w:t>
            </w:r>
          </w:p>
        </w:tc>
        <w:tc>
          <w:tcPr>
            <w:tcW w:w="2115" w:type="dxa"/>
          </w:tcPr>
          <w:p w14:paraId="7BD56F2B" w14:textId="77777777" w:rsidR="000B52F4" w:rsidRPr="000B52F4" w:rsidRDefault="000B52F4" w:rsidP="00FB0FA7">
            <w:pPr>
              <w:jc w:val="both"/>
              <w:rPr>
                <w:rFonts w:ascii="Arial" w:eastAsiaTheme="minorEastAsia" w:hAnsi="Arial" w:cs="Arial"/>
                <w:sz w:val="20"/>
                <w:szCs w:val="20"/>
                <w:lang w:bidi="hi-IN"/>
              </w:rPr>
            </w:pPr>
            <w:r w:rsidRPr="000B52F4">
              <w:rPr>
                <w:rFonts w:ascii="Arial" w:eastAsiaTheme="minorEastAsia" w:hAnsi="Arial" w:cs="Arial"/>
                <w:sz w:val="20"/>
                <w:szCs w:val="20"/>
                <w:lang w:bidi="hi-IN"/>
              </w:rPr>
              <w:t>46.9</w:t>
            </w:r>
          </w:p>
        </w:tc>
      </w:tr>
    </w:tbl>
    <w:p w14:paraId="6FA9C581" w14:textId="77777777" w:rsidR="000B52F4" w:rsidRPr="000B52F4" w:rsidRDefault="000B52F4" w:rsidP="00FB0FA7">
      <w:pPr>
        <w:ind w:right="720"/>
        <w:jc w:val="both"/>
        <w:rPr>
          <w:rFonts w:ascii="Arial" w:hAnsi="Arial" w:cs="Arial"/>
          <w:b/>
          <w:bCs/>
          <w:noProof/>
        </w:rPr>
      </w:pPr>
    </w:p>
    <w:p w14:paraId="5F0AD967"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The amount of topramezone adsorbed increased with its equilibrium concentration in both soils. At an initial concentration of 5 µg mL</w:t>
      </w:r>
      <w:r w:rsidRPr="000B52F4">
        <w:rPr>
          <w:rFonts w:ascii="Cambria Math" w:hAnsi="Cambria Math" w:cs="Cambria Math"/>
          <w:lang w:eastAsia="en-IN"/>
        </w:rPr>
        <w:t>⁻</w:t>
      </w:r>
      <w:r w:rsidRPr="000B52F4">
        <w:rPr>
          <w:rFonts w:ascii="Arial" w:hAnsi="Arial" w:cs="Arial"/>
          <w:lang w:eastAsia="en-IN"/>
        </w:rPr>
        <w:t>¹, adsorption ranged from 3.55 µg g</w:t>
      </w:r>
      <w:r w:rsidRPr="000B52F4">
        <w:rPr>
          <w:rFonts w:ascii="Cambria Math" w:hAnsi="Cambria Math" w:cs="Cambria Math"/>
          <w:lang w:eastAsia="en-IN"/>
        </w:rPr>
        <w:t>⁻</w:t>
      </w:r>
      <w:r w:rsidRPr="000B52F4">
        <w:rPr>
          <w:rFonts w:ascii="Arial" w:hAnsi="Arial" w:cs="Arial"/>
          <w:lang w:eastAsia="en-IN"/>
        </w:rPr>
        <w:t>¹ in red soil to 2.68 µg g</w:t>
      </w:r>
      <w:r w:rsidRPr="000B52F4">
        <w:rPr>
          <w:rFonts w:ascii="Cambria Math" w:hAnsi="Cambria Math" w:cs="Cambria Math"/>
          <w:lang w:eastAsia="en-IN"/>
        </w:rPr>
        <w:t>⁻</w:t>
      </w:r>
      <w:r w:rsidRPr="000B52F4">
        <w:rPr>
          <w:rFonts w:ascii="Arial" w:hAnsi="Arial" w:cs="Arial"/>
          <w:lang w:eastAsia="en-IN"/>
        </w:rPr>
        <w:t>¹ in black soil, while at 50 µg mL</w:t>
      </w:r>
      <w:r w:rsidRPr="000B52F4">
        <w:rPr>
          <w:rFonts w:ascii="Cambria Math" w:hAnsi="Cambria Math" w:cs="Cambria Math"/>
          <w:lang w:eastAsia="en-IN"/>
        </w:rPr>
        <w:t>⁻</w:t>
      </w:r>
      <w:r w:rsidRPr="000B52F4">
        <w:rPr>
          <w:rFonts w:ascii="Arial" w:hAnsi="Arial" w:cs="Arial"/>
          <w:lang w:eastAsia="en-IN"/>
        </w:rPr>
        <w:t>¹, adsorption increased to 28.98 µg g</w:t>
      </w:r>
      <w:r w:rsidRPr="000B52F4">
        <w:rPr>
          <w:rFonts w:ascii="Cambria Math" w:hAnsi="Cambria Math" w:cs="Cambria Math"/>
          <w:lang w:eastAsia="en-IN"/>
        </w:rPr>
        <w:t>⁻</w:t>
      </w:r>
      <w:r w:rsidRPr="000B52F4">
        <w:rPr>
          <w:rFonts w:ascii="Arial" w:hAnsi="Arial" w:cs="Arial"/>
          <w:lang w:eastAsia="en-IN"/>
        </w:rPr>
        <w:t>¹ and 24.98 µg g</w:t>
      </w:r>
      <w:r w:rsidRPr="000B52F4">
        <w:rPr>
          <w:rFonts w:ascii="Cambria Math" w:hAnsi="Cambria Math" w:cs="Cambria Math"/>
          <w:lang w:eastAsia="en-IN"/>
        </w:rPr>
        <w:t>⁻</w:t>
      </w:r>
      <w:r w:rsidRPr="000B52F4">
        <w:rPr>
          <w:rFonts w:ascii="Arial" w:hAnsi="Arial" w:cs="Arial"/>
          <w:lang w:eastAsia="en-IN"/>
        </w:rPr>
        <w:t>¹, respectively. Adsorption was initially slow at lower concentrations (&lt;15 µg mL</w:t>
      </w:r>
      <w:r w:rsidRPr="000B52F4">
        <w:rPr>
          <w:rFonts w:ascii="Cambria Math" w:hAnsi="Cambria Math" w:cs="Cambria Math"/>
          <w:lang w:eastAsia="en-IN"/>
        </w:rPr>
        <w:t>⁻</w:t>
      </w:r>
      <w:r w:rsidRPr="000B52F4">
        <w:rPr>
          <w:rFonts w:ascii="Arial" w:hAnsi="Arial" w:cs="Arial"/>
          <w:lang w:eastAsia="en-IN"/>
        </w:rPr>
        <w:t>¹), accelerated at intermediate levels, and tended to plateau beyond 40 µg mL</w:t>
      </w:r>
      <w:r w:rsidRPr="000B52F4">
        <w:rPr>
          <w:rFonts w:ascii="Cambria Math" w:hAnsi="Cambria Math" w:cs="Cambria Math"/>
          <w:lang w:eastAsia="en-IN"/>
        </w:rPr>
        <w:t>⁻</w:t>
      </w:r>
      <w:r w:rsidRPr="000B52F4">
        <w:rPr>
          <w:rFonts w:ascii="Arial" w:hAnsi="Arial" w:cs="Arial"/>
          <w:lang w:eastAsia="en-IN"/>
        </w:rPr>
        <w:t>¹, indicating saturation of active sorption sites.</w:t>
      </w:r>
    </w:p>
    <w:p w14:paraId="3E4321DB" w14:textId="77777777" w:rsidR="000B52F4" w:rsidRPr="000B52F4" w:rsidRDefault="000B52F4" w:rsidP="00FB0FA7">
      <w:pPr>
        <w:ind w:right="720"/>
        <w:jc w:val="both"/>
        <w:rPr>
          <w:rFonts w:ascii="Arial" w:hAnsi="Arial" w:cs="Arial"/>
          <w:b/>
          <w:bCs/>
        </w:rPr>
      </w:pPr>
      <w:r w:rsidRPr="000B52F4">
        <w:rPr>
          <w:rFonts w:ascii="Arial" w:hAnsi="Arial" w:cs="Arial"/>
          <w:b/>
          <w:bCs/>
          <w:noProof/>
        </w:rPr>
        <w:t xml:space="preserve"> Table.</w:t>
      </w:r>
      <w:r w:rsidRPr="000B52F4">
        <w:rPr>
          <w:rFonts w:ascii="Arial" w:hAnsi="Arial" w:cs="Arial"/>
          <w:b/>
          <w:bCs/>
        </w:rPr>
        <w:t xml:space="preserve"> 2. Adsorption of topramezone in red and black soil samples (2 mm sieved)</w:t>
      </w:r>
    </w:p>
    <w:tbl>
      <w:tblPr>
        <w:tblStyle w:val="TableGrid"/>
        <w:tblW w:w="9355" w:type="dxa"/>
        <w:tblLayout w:type="fixed"/>
        <w:tblLook w:val="04A0" w:firstRow="1" w:lastRow="0" w:firstColumn="1" w:lastColumn="0" w:noHBand="0" w:noVBand="1"/>
      </w:tblPr>
      <w:tblGrid>
        <w:gridCol w:w="960"/>
        <w:gridCol w:w="960"/>
        <w:gridCol w:w="1050"/>
        <w:gridCol w:w="960"/>
        <w:gridCol w:w="1000"/>
        <w:gridCol w:w="555"/>
        <w:gridCol w:w="900"/>
        <w:gridCol w:w="990"/>
        <w:gridCol w:w="1170"/>
        <w:gridCol w:w="810"/>
      </w:tblGrid>
      <w:tr w:rsidR="000B52F4" w:rsidRPr="000B52F4" w14:paraId="23D56CA0" w14:textId="77777777" w:rsidTr="00EC51B1">
        <w:trPr>
          <w:trHeight w:val="296"/>
        </w:trPr>
        <w:tc>
          <w:tcPr>
            <w:tcW w:w="4930" w:type="dxa"/>
            <w:gridSpan w:val="5"/>
            <w:noWrap/>
            <w:hideMark/>
          </w:tcPr>
          <w:p w14:paraId="3076957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lastRenderedPageBreak/>
              <w:t>Red soil</w:t>
            </w:r>
          </w:p>
        </w:tc>
        <w:tc>
          <w:tcPr>
            <w:tcW w:w="4425" w:type="dxa"/>
            <w:gridSpan w:val="5"/>
          </w:tcPr>
          <w:p w14:paraId="504FE372"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Black soil</w:t>
            </w:r>
          </w:p>
        </w:tc>
      </w:tr>
      <w:tr w:rsidR="000B52F4" w:rsidRPr="000B52F4" w14:paraId="01DB298B" w14:textId="77777777" w:rsidTr="00EC51B1">
        <w:trPr>
          <w:trHeight w:val="300"/>
        </w:trPr>
        <w:tc>
          <w:tcPr>
            <w:tcW w:w="960" w:type="dxa"/>
            <w:noWrap/>
          </w:tcPr>
          <w:p w14:paraId="4DB4F24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Initial Conc.</w:t>
            </w:r>
          </w:p>
          <w:p w14:paraId="31BFFB9E"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960" w:type="dxa"/>
            <w:noWrap/>
          </w:tcPr>
          <w:p w14:paraId="2D24A41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Ce</w:t>
            </w:r>
          </w:p>
          <w:p w14:paraId="71B8732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Eq. Conc</w:t>
            </w:r>
          </w:p>
          <w:p w14:paraId="4C25923A"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1050" w:type="dxa"/>
            <w:noWrap/>
          </w:tcPr>
          <w:p w14:paraId="5867A1CC"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x/m</w:t>
            </w:r>
          </w:p>
          <w:p w14:paraId="1AB6EA13"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Amount adsorbed</w:t>
            </w:r>
          </w:p>
          <w:p w14:paraId="763EA202"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(µg/g)</w:t>
            </w:r>
          </w:p>
        </w:tc>
        <w:tc>
          <w:tcPr>
            <w:tcW w:w="960" w:type="dxa"/>
            <w:noWrap/>
          </w:tcPr>
          <w:p w14:paraId="5BDA0F06"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Ce</w:t>
            </w:r>
          </w:p>
        </w:tc>
        <w:tc>
          <w:tcPr>
            <w:tcW w:w="1000" w:type="dxa"/>
            <w:noWrap/>
          </w:tcPr>
          <w:p w14:paraId="577F5363"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x/m</w:t>
            </w:r>
          </w:p>
        </w:tc>
        <w:tc>
          <w:tcPr>
            <w:tcW w:w="555" w:type="dxa"/>
          </w:tcPr>
          <w:p w14:paraId="4AAEE09F"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Initial Conc.</w:t>
            </w:r>
          </w:p>
        </w:tc>
        <w:tc>
          <w:tcPr>
            <w:tcW w:w="900" w:type="dxa"/>
          </w:tcPr>
          <w:p w14:paraId="31EBFD9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Ce</w:t>
            </w:r>
          </w:p>
          <w:p w14:paraId="456B7A4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Eq. Conc</w:t>
            </w:r>
          </w:p>
          <w:p w14:paraId="473F683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(µg/mL)</w:t>
            </w:r>
          </w:p>
        </w:tc>
        <w:tc>
          <w:tcPr>
            <w:tcW w:w="990" w:type="dxa"/>
          </w:tcPr>
          <w:p w14:paraId="668CC437"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x/m</w:t>
            </w:r>
          </w:p>
          <w:p w14:paraId="41505676"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Amount adsorbed</w:t>
            </w:r>
          </w:p>
          <w:p w14:paraId="4211B699"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(µg/g)</w:t>
            </w:r>
          </w:p>
        </w:tc>
        <w:tc>
          <w:tcPr>
            <w:tcW w:w="1170" w:type="dxa"/>
          </w:tcPr>
          <w:p w14:paraId="3C96DB3B"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Ce</w:t>
            </w:r>
          </w:p>
        </w:tc>
        <w:tc>
          <w:tcPr>
            <w:tcW w:w="810" w:type="dxa"/>
          </w:tcPr>
          <w:p w14:paraId="02654380"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log x/m</w:t>
            </w:r>
          </w:p>
        </w:tc>
      </w:tr>
      <w:tr w:rsidR="000B52F4" w:rsidRPr="000B52F4" w14:paraId="6727FC14" w14:textId="77777777" w:rsidTr="00EC51B1">
        <w:trPr>
          <w:trHeight w:val="300"/>
        </w:trPr>
        <w:tc>
          <w:tcPr>
            <w:tcW w:w="960" w:type="dxa"/>
            <w:noWrap/>
            <w:hideMark/>
          </w:tcPr>
          <w:p w14:paraId="4FD57B2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w:t>
            </w:r>
          </w:p>
        </w:tc>
        <w:tc>
          <w:tcPr>
            <w:tcW w:w="960" w:type="dxa"/>
            <w:noWrap/>
            <w:hideMark/>
          </w:tcPr>
          <w:p w14:paraId="4BE1BCA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4.11</w:t>
            </w:r>
          </w:p>
        </w:tc>
        <w:tc>
          <w:tcPr>
            <w:tcW w:w="1050" w:type="dxa"/>
            <w:noWrap/>
            <w:hideMark/>
          </w:tcPr>
          <w:p w14:paraId="2E10690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3.55</w:t>
            </w:r>
          </w:p>
        </w:tc>
        <w:tc>
          <w:tcPr>
            <w:tcW w:w="960" w:type="dxa"/>
            <w:noWrap/>
            <w:hideMark/>
          </w:tcPr>
          <w:p w14:paraId="469926A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0.614</w:t>
            </w:r>
          </w:p>
        </w:tc>
        <w:tc>
          <w:tcPr>
            <w:tcW w:w="1000" w:type="dxa"/>
            <w:noWrap/>
            <w:hideMark/>
          </w:tcPr>
          <w:p w14:paraId="7C6BAB1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0.550</w:t>
            </w:r>
          </w:p>
        </w:tc>
        <w:tc>
          <w:tcPr>
            <w:tcW w:w="555" w:type="dxa"/>
          </w:tcPr>
          <w:p w14:paraId="499002A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w:t>
            </w:r>
          </w:p>
        </w:tc>
        <w:tc>
          <w:tcPr>
            <w:tcW w:w="900" w:type="dxa"/>
          </w:tcPr>
          <w:p w14:paraId="34C1897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4.33</w:t>
            </w:r>
          </w:p>
        </w:tc>
        <w:tc>
          <w:tcPr>
            <w:tcW w:w="990" w:type="dxa"/>
          </w:tcPr>
          <w:p w14:paraId="7FC3962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2.68</w:t>
            </w:r>
          </w:p>
        </w:tc>
        <w:tc>
          <w:tcPr>
            <w:tcW w:w="1170" w:type="dxa"/>
          </w:tcPr>
          <w:p w14:paraId="0D648D5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0.636</w:t>
            </w:r>
          </w:p>
        </w:tc>
        <w:tc>
          <w:tcPr>
            <w:tcW w:w="810" w:type="dxa"/>
          </w:tcPr>
          <w:p w14:paraId="65902D5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0.428</w:t>
            </w:r>
          </w:p>
        </w:tc>
      </w:tr>
      <w:tr w:rsidR="000B52F4" w:rsidRPr="000B52F4" w14:paraId="2D52789F" w14:textId="77777777" w:rsidTr="00EC51B1">
        <w:trPr>
          <w:trHeight w:val="300"/>
        </w:trPr>
        <w:tc>
          <w:tcPr>
            <w:tcW w:w="960" w:type="dxa"/>
            <w:noWrap/>
            <w:hideMark/>
          </w:tcPr>
          <w:p w14:paraId="03FE822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w:t>
            </w:r>
          </w:p>
        </w:tc>
        <w:tc>
          <w:tcPr>
            <w:tcW w:w="960" w:type="dxa"/>
            <w:noWrap/>
            <w:hideMark/>
          </w:tcPr>
          <w:p w14:paraId="55D4DC4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8.59</w:t>
            </w:r>
          </w:p>
        </w:tc>
        <w:tc>
          <w:tcPr>
            <w:tcW w:w="1050" w:type="dxa"/>
            <w:noWrap/>
            <w:hideMark/>
          </w:tcPr>
          <w:p w14:paraId="62145BA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5.65</w:t>
            </w:r>
          </w:p>
        </w:tc>
        <w:tc>
          <w:tcPr>
            <w:tcW w:w="960" w:type="dxa"/>
            <w:noWrap/>
            <w:hideMark/>
          </w:tcPr>
          <w:p w14:paraId="420CDBC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0.934</w:t>
            </w:r>
          </w:p>
        </w:tc>
        <w:tc>
          <w:tcPr>
            <w:tcW w:w="1000" w:type="dxa"/>
            <w:noWrap/>
            <w:hideMark/>
          </w:tcPr>
          <w:p w14:paraId="025921E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0.752</w:t>
            </w:r>
          </w:p>
        </w:tc>
        <w:tc>
          <w:tcPr>
            <w:tcW w:w="555" w:type="dxa"/>
          </w:tcPr>
          <w:p w14:paraId="3076CAB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w:t>
            </w:r>
          </w:p>
        </w:tc>
        <w:tc>
          <w:tcPr>
            <w:tcW w:w="900" w:type="dxa"/>
          </w:tcPr>
          <w:p w14:paraId="584B13D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8.94</w:t>
            </w:r>
          </w:p>
        </w:tc>
        <w:tc>
          <w:tcPr>
            <w:tcW w:w="990" w:type="dxa"/>
          </w:tcPr>
          <w:p w14:paraId="5343FAC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4.23</w:t>
            </w:r>
          </w:p>
        </w:tc>
        <w:tc>
          <w:tcPr>
            <w:tcW w:w="1170" w:type="dxa"/>
          </w:tcPr>
          <w:p w14:paraId="71F8E44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0.951</w:t>
            </w:r>
          </w:p>
        </w:tc>
        <w:tc>
          <w:tcPr>
            <w:tcW w:w="810" w:type="dxa"/>
          </w:tcPr>
          <w:p w14:paraId="74599FC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0.626</w:t>
            </w:r>
          </w:p>
        </w:tc>
      </w:tr>
      <w:tr w:rsidR="000B52F4" w:rsidRPr="000B52F4" w14:paraId="08311476" w14:textId="77777777" w:rsidTr="00EC51B1">
        <w:trPr>
          <w:trHeight w:val="300"/>
        </w:trPr>
        <w:tc>
          <w:tcPr>
            <w:tcW w:w="960" w:type="dxa"/>
            <w:noWrap/>
            <w:hideMark/>
          </w:tcPr>
          <w:p w14:paraId="4FEA269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w:t>
            </w:r>
          </w:p>
        </w:tc>
        <w:tc>
          <w:tcPr>
            <w:tcW w:w="960" w:type="dxa"/>
            <w:noWrap/>
            <w:hideMark/>
          </w:tcPr>
          <w:p w14:paraId="64D6EC2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13.03</w:t>
            </w:r>
          </w:p>
        </w:tc>
        <w:tc>
          <w:tcPr>
            <w:tcW w:w="1050" w:type="dxa"/>
            <w:noWrap/>
            <w:hideMark/>
          </w:tcPr>
          <w:p w14:paraId="242EA60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7.88</w:t>
            </w:r>
          </w:p>
        </w:tc>
        <w:tc>
          <w:tcPr>
            <w:tcW w:w="960" w:type="dxa"/>
            <w:noWrap/>
            <w:hideMark/>
          </w:tcPr>
          <w:p w14:paraId="2CA533A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1.115</w:t>
            </w:r>
          </w:p>
        </w:tc>
        <w:tc>
          <w:tcPr>
            <w:tcW w:w="1000" w:type="dxa"/>
            <w:noWrap/>
            <w:hideMark/>
          </w:tcPr>
          <w:p w14:paraId="58BBCCA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0.897</w:t>
            </w:r>
          </w:p>
        </w:tc>
        <w:tc>
          <w:tcPr>
            <w:tcW w:w="555" w:type="dxa"/>
          </w:tcPr>
          <w:p w14:paraId="37A7494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w:t>
            </w:r>
          </w:p>
        </w:tc>
        <w:tc>
          <w:tcPr>
            <w:tcW w:w="900" w:type="dxa"/>
          </w:tcPr>
          <w:p w14:paraId="27B4345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13.28</w:t>
            </w:r>
          </w:p>
        </w:tc>
        <w:tc>
          <w:tcPr>
            <w:tcW w:w="990" w:type="dxa"/>
          </w:tcPr>
          <w:p w14:paraId="4748C2E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6.87</w:t>
            </w:r>
          </w:p>
        </w:tc>
        <w:tc>
          <w:tcPr>
            <w:tcW w:w="1170" w:type="dxa"/>
          </w:tcPr>
          <w:p w14:paraId="4D68D9F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1.123</w:t>
            </w:r>
          </w:p>
        </w:tc>
        <w:tc>
          <w:tcPr>
            <w:tcW w:w="810" w:type="dxa"/>
          </w:tcPr>
          <w:p w14:paraId="4A7F140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0.837</w:t>
            </w:r>
          </w:p>
        </w:tc>
      </w:tr>
      <w:tr w:rsidR="000B52F4" w:rsidRPr="000B52F4" w14:paraId="744AB8BA" w14:textId="77777777" w:rsidTr="00EC51B1">
        <w:trPr>
          <w:trHeight w:val="300"/>
        </w:trPr>
        <w:tc>
          <w:tcPr>
            <w:tcW w:w="960" w:type="dxa"/>
            <w:noWrap/>
            <w:hideMark/>
          </w:tcPr>
          <w:p w14:paraId="5DEAAF4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w:t>
            </w:r>
          </w:p>
        </w:tc>
        <w:tc>
          <w:tcPr>
            <w:tcW w:w="960" w:type="dxa"/>
            <w:noWrap/>
            <w:hideMark/>
          </w:tcPr>
          <w:p w14:paraId="0F52604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16.95</w:t>
            </w:r>
          </w:p>
        </w:tc>
        <w:tc>
          <w:tcPr>
            <w:tcW w:w="1050" w:type="dxa"/>
            <w:noWrap/>
            <w:hideMark/>
          </w:tcPr>
          <w:p w14:paraId="664358F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12.22</w:t>
            </w:r>
          </w:p>
        </w:tc>
        <w:tc>
          <w:tcPr>
            <w:tcW w:w="960" w:type="dxa"/>
            <w:noWrap/>
            <w:hideMark/>
          </w:tcPr>
          <w:p w14:paraId="40B8837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1.229</w:t>
            </w:r>
          </w:p>
        </w:tc>
        <w:tc>
          <w:tcPr>
            <w:tcW w:w="1000" w:type="dxa"/>
            <w:noWrap/>
            <w:hideMark/>
          </w:tcPr>
          <w:p w14:paraId="0197A17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1.087</w:t>
            </w:r>
          </w:p>
        </w:tc>
        <w:tc>
          <w:tcPr>
            <w:tcW w:w="555" w:type="dxa"/>
          </w:tcPr>
          <w:p w14:paraId="3119AE5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w:t>
            </w:r>
          </w:p>
        </w:tc>
        <w:tc>
          <w:tcPr>
            <w:tcW w:w="900" w:type="dxa"/>
          </w:tcPr>
          <w:p w14:paraId="4142193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17.44</w:t>
            </w:r>
          </w:p>
        </w:tc>
        <w:tc>
          <w:tcPr>
            <w:tcW w:w="990" w:type="dxa"/>
          </w:tcPr>
          <w:p w14:paraId="1FCE67F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10.23</w:t>
            </w:r>
          </w:p>
        </w:tc>
        <w:tc>
          <w:tcPr>
            <w:tcW w:w="1170" w:type="dxa"/>
          </w:tcPr>
          <w:p w14:paraId="4C77AFE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1.242</w:t>
            </w:r>
          </w:p>
        </w:tc>
        <w:tc>
          <w:tcPr>
            <w:tcW w:w="810" w:type="dxa"/>
          </w:tcPr>
          <w:p w14:paraId="26A3C85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1.010</w:t>
            </w:r>
          </w:p>
        </w:tc>
      </w:tr>
      <w:tr w:rsidR="000B52F4" w:rsidRPr="000B52F4" w14:paraId="6C6683D6" w14:textId="77777777" w:rsidTr="00EC51B1">
        <w:trPr>
          <w:trHeight w:val="300"/>
        </w:trPr>
        <w:tc>
          <w:tcPr>
            <w:tcW w:w="960" w:type="dxa"/>
            <w:noWrap/>
            <w:hideMark/>
          </w:tcPr>
          <w:p w14:paraId="719DBE1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w:t>
            </w:r>
          </w:p>
        </w:tc>
        <w:tc>
          <w:tcPr>
            <w:tcW w:w="960" w:type="dxa"/>
            <w:noWrap/>
            <w:hideMark/>
          </w:tcPr>
          <w:p w14:paraId="4B916DD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20.61</w:t>
            </w:r>
          </w:p>
        </w:tc>
        <w:tc>
          <w:tcPr>
            <w:tcW w:w="1050" w:type="dxa"/>
            <w:noWrap/>
            <w:hideMark/>
          </w:tcPr>
          <w:p w14:paraId="252EA41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17.55</w:t>
            </w:r>
          </w:p>
        </w:tc>
        <w:tc>
          <w:tcPr>
            <w:tcW w:w="960" w:type="dxa"/>
            <w:noWrap/>
            <w:hideMark/>
          </w:tcPr>
          <w:p w14:paraId="095A1D4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1.314</w:t>
            </w:r>
          </w:p>
        </w:tc>
        <w:tc>
          <w:tcPr>
            <w:tcW w:w="1000" w:type="dxa"/>
            <w:noWrap/>
            <w:hideMark/>
          </w:tcPr>
          <w:p w14:paraId="6121666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1.244</w:t>
            </w:r>
          </w:p>
        </w:tc>
        <w:tc>
          <w:tcPr>
            <w:tcW w:w="555" w:type="dxa"/>
          </w:tcPr>
          <w:p w14:paraId="59639B0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w:t>
            </w:r>
          </w:p>
        </w:tc>
        <w:tc>
          <w:tcPr>
            <w:tcW w:w="900" w:type="dxa"/>
          </w:tcPr>
          <w:p w14:paraId="5D3F01D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21.36</w:t>
            </w:r>
          </w:p>
        </w:tc>
        <w:tc>
          <w:tcPr>
            <w:tcW w:w="990" w:type="dxa"/>
          </w:tcPr>
          <w:p w14:paraId="55361B4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14.56</w:t>
            </w:r>
          </w:p>
        </w:tc>
        <w:tc>
          <w:tcPr>
            <w:tcW w:w="1170" w:type="dxa"/>
          </w:tcPr>
          <w:p w14:paraId="17C03C0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1.330</w:t>
            </w:r>
          </w:p>
        </w:tc>
        <w:tc>
          <w:tcPr>
            <w:tcW w:w="810" w:type="dxa"/>
          </w:tcPr>
          <w:p w14:paraId="44CC4B0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1.163</w:t>
            </w:r>
          </w:p>
        </w:tc>
      </w:tr>
      <w:tr w:rsidR="000B52F4" w:rsidRPr="000B52F4" w14:paraId="17AB2170" w14:textId="77777777" w:rsidTr="00EC51B1">
        <w:trPr>
          <w:trHeight w:val="300"/>
        </w:trPr>
        <w:tc>
          <w:tcPr>
            <w:tcW w:w="960" w:type="dxa"/>
            <w:noWrap/>
            <w:hideMark/>
          </w:tcPr>
          <w:p w14:paraId="33DC891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30</w:t>
            </w:r>
          </w:p>
        </w:tc>
        <w:tc>
          <w:tcPr>
            <w:tcW w:w="960" w:type="dxa"/>
            <w:noWrap/>
            <w:hideMark/>
          </w:tcPr>
          <w:p w14:paraId="2E8474B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24.47</w:t>
            </w:r>
          </w:p>
        </w:tc>
        <w:tc>
          <w:tcPr>
            <w:tcW w:w="1050" w:type="dxa"/>
            <w:noWrap/>
            <w:hideMark/>
          </w:tcPr>
          <w:p w14:paraId="2A7DD11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22.11</w:t>
            </w:r>
          </w:p>
        </w:tc>
        <w:tc>
          <w:tcPr>
            <w:tcW w:w="960" w:type="dxa"/>
            <w:noWrap/>
            <w:hideMark/>
          </w:tcPr>
          <w:p w14:paraId="37CB45E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1.389</w:t>
            </w:r>
          </w:p>
        </w:tc>
        <w:tc>
          <w:tcPr>
            <w:tcW w:w="1000" w:type="dxa"/>
            <w:noWrap/>
            <w:hideMark/>
          </w:tcPr>
          <w:p w14:paraId="0C46AED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1.345</w:t>
            </w:r>
          </w:p>
        </w:tc>
        <w:tc>
          <w:tcPr>
            <w:tcW w:w="555" w:type="dxa"/>
          </w:tcPr>
          <w:p w14:paraId="0EAEB08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30</w:t>
            </w:r>
          </w:p>
        </w:tc>
        <w:tc>
          <w:tcPr>
            <w:tcW w:w="900" w:type="dxa"/>
          </w:tcPr>
          <w:p w14:paraId="5EB7AC0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25.31</w:t>
            </w:r>
          </w:p>
        </w:tc>
        <w:tc>
          <w:tcPr>
            <w:tcW w:w="990" w:type="dxa"/>
          </w:tcPr>
          <w:p w14:paraId="4750233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18.78</w:t>
            </w:r>
          </w:p>
        </w:tc>
        <w:tc>
          <w:tcPr>
            <w:tcW w:w="1170" w:type="dxa"/>
          </w:tcPr>
          <w:p w14:paraId="68650E6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1.403</w:t>
            </w:r>
          </w:p>
        </w:tc>
        <w:tc>
          <w:tcPr>
            <w:tcW w:w="810" w:type="dxa"/>
          </w:tcPr>
          <w:p w14:paraId="07E5D86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1.274</w:t>
            </w:r>
          </w:p>
        </w:tc>
      </w:tr>
      <w:tr w:rsidR="000B52F4" w:rsidRPr="000B52F4" w14:paraId="585C9E07" w14:textId="77777777" w:rsidTr="00EC51B1">
        <w:trPr>
          <w:trHeight w:val="300"/>
        </w:trPr>
        <w:tc>
          <w:tcPr>
            <w:tcW w:w="960" w:type="dxa"/>
            <w:noWrap/>
            <w:hideMark/>
          </w:tcPr>
          <w:p w14:paraId="1B2E868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w:t>
            </w:r>
          </w:p>
        </w:tc>
        <w:tc>
          <w:tcPr>
            <w:tcW w:w="960" w:type="dxa"/>
            <w:noWrap/>
            <w:hideMark/>
          </w:tcPr>
          <w:p w14:paraId="62EABAE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28.65</w:t>
            </w:r>
          </w:p>
        </w:tc>
        <w:tc>
          <w:tcPr>
            <w:tcW w:w="1050" w:type="dxa"/>
            <w:noWrap/>
            <w:hideMark/>
          </w:tcPr>
          <w:p w14:paraId="6211516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25.41</w:t>
            </w:r>
          </w:p>
        </w:tc>
        <w:tc>
          <w:tcPr>
            <w:tcW w:w="960" w:type="dxa"/>
            <w:noWrap/>
            <w:hideMark/>
          </w:tcPr>
          <w:p w14:paraId="4D6C2D8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1.457</w:t>
            </w:r>
          </w:p>
        </w:tc>
        <w:tc>
          <w:tcPr>
            <w:tcW w:w="1000" w:type="dxa"/>
            <w:noWrap/>
            <w:hideMark/>
          </w:tcPr>
          <w:p w14:paraId="4A1ADFA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1.405</w:t>
            </w:r>
          </w:p>
        </w:tc>
        <w:tc>
          <w:tcPr>
            <w:tcW w:w="555" w:type="dxa"/>
          </w:tcPr>
          <w:p w14:paraId="04037E3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35</w:t>
            </w:r>
          </w:p>
        </w:tc>
        <w:tc>
          <w:tcPr>
            <w:tcW w:w="900" w:type="dxa"/>
          </w:tcPr>
          <w:p w14:paraId="150E98D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29.59</w:t>
            </w:r>
          </w:p>
        </w:tc>
        <w:tc>
          <w:tcPr>
            <w:tcW w:w="990" w:type="dxa"/>
          </w:tcPr>
          <w:p w14:paraId="6C0A502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21.65</w:t>
            </w:r>
          </w:p>
        </w:tc>
        <w:tc>
          <w:tcPr>
            <w:tcW w:w="1170" w:type="dxa"/>
          </w:tcPr>
          <w:p w14:paraId="62B22FD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1.471</w:t>
            </w:r>
          </w:p>
        </w:tc>
        <w:tc>
          <w:tcPr>
            <w:tcW w:w="810" w:type="dxa"/>
          </w:tcPr>
          <w:p w14:paraId="68E29AE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1.335</w:t>
            </w:r>
          </w:p>
        </w:tc>
      </w:tr>
      <w:tr w:rsidR="000B52F4" w:rsidRPr="000B52F4" w14:paraId="4BFCBCD7" w14:textId="77777777" w:rsidTr="00EC51B1">
        <w:trPr>
          <w:trHeight w:val="300"/>
        </w:trPr>
        <w:tc>
          <w:tcPr>
            <w:tcW w:w="960" w:type="dxa"/>
            <w:noWrap/>
            <w:hideMark/>
          </w:tcPr>
          <w:p w14:paraId="742748C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40</w:t>
            </w:r>
          </w:p>
        </w:tc>
        <w:tc>
          <w:tcPr>
            <w:tcW w:w="960" w:type="dxa"/>
            <w:noWrap/>
            <w:hideMark/>
          </w:tcPr>
          <w:p w14:paraId="2220237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33.16</w:t>
            </w:r>
          </w:p>
        </w:tc>
        <w:tc>
          <w:tcPr>
            <w:tcW w:w="1050" w:type="dxa"/>
            <w:noWrap/>
            <w:hideMark/>
          </w:tcPr>
          <w:p w14:paraId="45FE053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27.36</w:t>
            </w:r>
          </w:p>
        </w:tc>
        <w:tc>
          <w:tcPr>
            <w:tcW w:w="960" w:type="dxa"/>
            <w:noWrap/>
            <w:hideMark/>
          </w:tcPr>
          <w:p w14:paraId="3D1AFF8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1.521</w:t>
            </w:r>
          </w:p>
        </w:tc>
        <w:tc>
          <w:tcPr>
            <w:tcW w:w="1000" w:type="dxa"/>
            <w:noWrap/>
            <w:hideMark/>
          </w:tcPr>
          <w:p w14:paraId="4FC98AC6"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1.437</w:t>
            </w:r>
          </w:p>
        </w:tc>
        <w:tc>
          <w:tcPr>
            <w:tcW w:w="555" w:type="dxa"/>
          </w:tcPr>
          <w:p w14:paraId="01DDB8A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40</w:t>
            </w:r>
          </w:p>
        </w:tc>
        <w:tc>
          <w:tcPr>
            <w:tcW w:w="900" w:type="dxa"/>
          </w:tcPr>
          <w:p w14:paraId="3200C52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34.22</w:t>
            </w:r>
          </w:p>
        </w:tc>
        <w:tc>
          <w:tcPr>
            <w:tcW w:w="990" w:type="dxa"/>
          </w:tcPr>
          <w:p w14:paraId="6297C8F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23.12</w:t>
            </w:r>
          </w:p>
        </w:tc>
        <w:tc>
          <w:tcPr>
            <w:tcW w:w="1170" w:type="dxa"/>
          </w:tcPr>
          <w:p w14:paraId="7404FF1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1.534</w:t>
            </w:r>
          </w:p>
        </w:tc>
        <w:tc>
          <w:tcPr>
            <w:tcW w:w="810" w:type="dxa"/>
          </w:tcPr>
          <w:p w14:paraId="7EBA4BD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1.364</w:t>
            </w:r>
          </w:p>
        </w:tc>
      </w:tr>
      <w:tr w:rsidR="000B52F4" w:rsidRPr="000B52F4" w14:paraId="29AE1E5A" w14:textId="77777777" w:rsidTr="00EC51B1">
        <w:trPr>
          <w:trHeight w:val="300"/>
        </w:trPr>
        <w:tc>
          <w:tcPr>
            <w:tcW w:w="960" w:type="dxa"/>
            <w:noWrap/>
            <w:hideMark/>
          </w:tcPr>
          <w:p w14:paraId="39E56B6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45</w:t>
            </w:r>
          </w:p>
        </w:tc>
        <w:tc>
          <w:tcPr>
            <w:tcW w:w="960" w:type="dxa"/>
            <w:noWrap/>
            <w:hideMark/>
          </w:tcPr>
          <w:p w14:paraId="3157474F"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37.86</w:t>
            </w:r>
          </w:p>
        </w:tc>
        <w:tc>
          <w:tcPr>
            <w:tcW w:w="1050" w:type="dxa"/>
            <w:noWrap/>
            <w:hideMark/>
          </w:tcPr>
          <w:p w14:paraId="7C576E3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28.55</w:t>
            </w:r>
          </w:p>
        </w:tc>
        <w:tc>
          <w:tcPr>
            <w:tcW w:w="960" w:type="dxa"/>
            <w:noWrap/>
            <w:hideMark/>
          </w:tcPr>
          <w:p w14:paraId="412B85D3"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1.578</w:t>
            </w:r>
          </w:p>
        </w:tc>
        <w:tc>
          <w:tcPr>
            <w:tcW w:w="1000" w:type="dxa"/>
            <w:noWrap/>
            <w:hideMark/>
          </w:tcPr>
          <w:p w14:paraId="3DB9CDB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1.456</w:t>
            </w:r>
          </w:p>
        </w:tc>
        <w:tc>
          <w:tcPr>
            <w:tcW w:w="555" w:type="dxa"/>
          </w:tcPr>
          <w:p w14:paraId="1C14B13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45</w:t>
            </w:r>
          </w:p>
        </w:tc>
        <w:tc>
          <w:tcPr>
            <w:tcW w:w="900" w:type="dxa"/>
          </w:tcPr>
          <w:p w14:paraId="60DEF0A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38.97</w:t>
            </w:r>
          </w:p>
        </w:tc>
        <w:tc>
          <w:tcPr>
            <w:tcW w:w="990" w:type="dxa"/>
          </w:tcPr>
          <w:p w14:paraId="63C4266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24.12</w:t>
            </w:r>
          </w:p>
        </w:tc>
        <w:tc>
          <w:tcPr>
            <w:tcW w:w="1170" w:type="dxa"/>
          </w:tcPr>
          <w:p w14:paraId="77029D3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1.591</w:t>
            </w:r>
          </w:p>
        </w:tc>
        <w:tc>
          <w:tcPr>
            <w:tcW w:w="810" w:type="dxa"/>
          </w:tcPr>
          <w:p w14:paraId="3A56A96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1.382</w:t>
            </w:r>
          </w:p>
        </w:tc>
      </w:tr>
      <w:tr w:rsidR="000B52F4" w:rsidRPr="000B52F4" w14:paraId="42B3D328" w14:textId="77777777" w:rsidTr="00EC51B1">
        <w:trPr>
          <w:trHeight w:val="300"/>
        </w:trPr>
        <w:tc>
          <w:tcPr>
            <w:tcW w:w="960" w:type="dxa"/>
            <w:noWrap/>
            <w:hideMark/>
          </w:tcPr>
          <w:p w14:paraId="17CF2A2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50</w:t>
            </w:r>
          </w:p>
        </w:tc>
        <w:tc>
          <w:tcPr>
            <w:tcW w:w="960" w:type="dxa"/>
            <w:noWrap/>
            <w:hideMark/>
          </w:tcPr>
          <w:p w14:paraId="0191E52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42.76</w:t>
            </w:r>
          </w:p>
        </w:tc>
        <w:tc>
          <w:tcPr>
            <w:tcW w:w="1050" w:type="dxa"/>
            <w:noWrap/>
            <w:hideMark/>
          </w:tcPr>
          <w:p w14:paraId="550FE23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28.98</w:t>
            </w:r>
          </w:p>
        </w:tc>
        <w:tc>
          <w:tcPr>
            <w:tcW w:w="960" w:type="dxa"/>
            <w:noWrap/>
            <w:hideMark/>
          </w:tcPr>
          <w:p w14:paraId="5D66B09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1.631</w:t>
            </w:r>
          </w:p>
        </w:tc>
        <w:tc>
          <w:tcPr>
            <w:tcW w:w="1000" w:type="dxa"/>
            <w:noWrap/>
            <w:hideMark/>
          </w:tcPr>
          <w:p w14:paraId="4791C79B"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1.462</w:t>
            </w:r>
          </w:p>
        </w:tc>
        <w:tc>
          <w:tcPr>
            <w:tcW w:w="555" w:type="dxa"/>
          </w:tcPr>
          <w:p w14:paraId="3EA35FF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50</w:t>
            </w:r>
          </w:p>
        </w:tc>
        <w:tc>
          <w:tcPr>
            <w:tcW w:w="900" w:type="dxa"/>
          </w:tcPr>
          <w:p w14:paraId="1CA5A50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43.76</w:t>
            </w:r>
          </w:p>
        </w:tc>
        <w:tc>
          <w:tcPr>
            <w:tcW w:w="990" w:type="dxa"/>
          </w:tcPr>
          <w:p w14:paraId="19B9DC8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24.98</w:t>
            </w:r>
          </w:p>
        </w:tc>
        <w:tc>
          <w:tcPr>
            <w:tcW w:w="1170" w:type="dxa"/>
          </w:tcPr>
          <w:p w14:paraId="0A4D399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1.641</w:t>
            </w:r>
          </w:p>
        </w:tc>
        <w:tc>
          <w:tcPr>
            <w:tcW w:w="810" w:type="dxa"/>
          </w:tcPr>
          <w:p w14:paraId="4FA687C8"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1.398</w:t>
            </w:r>
          </w:p>
        </w:tc>
      </w:tr>
    </w:tbl>
    <w:p w14:paraId="07B874A9" w14:textId="77777777" w:rsidR="000B52F4" w:rsidRPr="000B52F4" w:rsidRDefault="000B52F4" w:rsidP="00FB0FA7">
      <w:pPr>
        <w:ind w:right="720"/>
        <w:jc w:val="both"/>
        <w:rPr>
          <w:rFonts w:ascii="Arial" w:hAnsi="Arial" w:cs="Arial"/>
        </w:rPr>
      </w:pPr>
    </w:p>
    <w:p w14:paraId="4A6023AD" w14:textId="77777777" w:rsidR="000B52F4" w:rsidRPr="000B52F4" w:rsidRDefault="000B52F4" w:rsidP="00FB0FA7">
      <w:pPr>
        <w:jc w:val="both"/>
        <w:rPr>
          <w:rFonts w:ascii="Arial" w:hAnsi="Arial" w:cs="Arial"/>
          <w:b/>
          <w:bCs/>
        </w:rPr>
      </w:pPr>
    </w:p>
    <w:p w14:paraId="65458B19" w14:textId="77777777" w:rsidR="000B52F4" w:rsidRPr="000B52F4" w:rsidRDefault="000B52F4" w:rsidP="00FB0FA7">
      <w:pPr>
        <w:jc w:val="both"/>
        <w:rPr>
          <w:rFonts w:ascii="Arial" w:hAnsi="Arial" w:cs="Arial"/>
          <w:b/>
          <w:bCs/>
        </w:rPr>
      </w:pPr>
    </w:p>
    <w:p w14:paraId="37F62376" w14:textId="58E41D85" w:rsidR="000B52F4" w:rsidRPr="000B52F4" w:rsidRDefault="000B52F4" w:rsidP="00FB0FA7">
      <w:pPr>
        <w:jc w:val="both"/>
        <w:rPr>
          <w:rFonts w:ascii="Arial" w:hAnsi="Arial" w:cs="Arial"/>
          <w:b/>
          <w:bCs/>
        </w:rPr>
      </w:pPr>
      <w:r w:rsidRPr="000B52F4">
        <w:rPr>
          <w:rFonts w:ascii="Arial" w:hAnsi="Arial" w:cs="Arial"/>
          <w:b/>
          <w:bCs/>
        </w:rPr>
        <w:t xml:space="preserve"> </w:t>
      </w:r>
      <w:r w:rsidRPr="000B52F4">
        <w:rPr>
          <w:rFonts w:ascii="Arial" w:hAnsi="Arial" w:cs="Arial"/>
          <w:noProof/>
          <w:lang w:bidi="te-IN"/>
        </w:rPr>
        <w:t xml:space="preserve"> </w:t>
      </w:r>
      <w:r w:rsidR="00FB0FA7" w:rsidRPr="00FB0FA7">
        <w:rPr>
          <w:rFonts w:ascii="Arial" w:hAnsi="Arial" w:cs="Arial"/>
          <w:noProof/>
          <w:lang w:bidi="te-IN"/>
        </w:rPr>
        <w:drawing>
          <wp:inline distT="0" distB="0" distL="0" distR="0" wp14:anchorId="424D666F" wp14:editId="0C2080E4">
            <wp:extent cx="5212080" cy="1517650"/>
            <wp:effectExtent l="0" t="0" r="0" b="0"/>
            <wp:docPr id="346623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23175" name=""/>
                    <pic:cNvPicPr/>
                  </pic:nvPicPr>
                  <pic:blipFill>
                    <a:blip r:embed="rId10"/>
                    <a:stretch>
                      <a:fillRect/>
                    </a:stretch>
                  </pic:blipFill>
                  <pic:spPr>
                    <a:xfrm>
                      <a:off x="0" y="0"/>
                      <a:ext cx="5212080" cy="1517650"/>
                    </a:xfrm>
                    <a:prstGeom prst="rect">
                      <a:avLst/>
                    </a:prstGeom>
                  </pic:spPr>
                </pic:pic>
              </a:graphicData>
            </a:graphic>
          </wp:inline>
        </w:drawing>
      </w:r>
    </w:p>
    <w:p w14:paraId="663C9BEA" w14:textId="77777777" w:rsidR="00FB0FA7" w:rsidRDefault="00FB0FA7" w:rsidP="00FB0FA7">
      <w:pPr>
        <w:jc w:val="center"/>
        <w:rPr>
          <w:rFonts w:ascii="Arial" w:hAnsi="Arial" w:cs="Arial"/>
          <w:b/>
          <w:bCs/>
        </w:rPr>
      </w:pPr>
    </w:p>
    <w:p w14:paraId="78BB367D" w14:textId="4D3430B0" w:rsidR="000B52F4" w:rsidRPr="00FB0FA7" w:rsidRDefault="000B52F4" w:rsidP="00FB0FA7">
      <w:pPr>
        <w:jc w:val="center"/>
        <w:rPr>
          <w:rFonts w:ascii="Arial" w:hAnsi="Arial" w:cs="Arial"/>
          <w:b/>
          <w:bCs/>
          <w:sz w:val="22"/>
          <w:szCs w:val="22"/>
        </w:rPr>
      </w:pPr>
      <w:r w:rsidRPr="00FB0FA7">
        <w:rPr>
          <w:rFonts w:ascii="Arial" w:hAnsi="Arial" w:cs="Arial"/>
          <w:b/>
          <w:bCs/>
          <w:sz w:val="22"/>
          <w:szCs w:val="22"/>
        </w:rPr>
        <w:t>Fig. 1: Adsorption isotherms in red soils</w:t>
      </w:r>
    </w:p>
    <w:p w14:paraId="41264455" w14:textId="77777777" w:rsidR="000B52F4" w:rsidRPr="000B52F4" w:rsidRDefault="000B52F4" w:rsidP="00FB0FA7">
      <w:pPr>
        <w:jc w:val="both"/>
        <w:rPr>
          <w:rFonts w:ascii="Arial" w:hAnsi="Arial" w:cs="Arial"/>
          <w:b/>
          <w:bCs/>
        </w:rPr>
      </w:pPr>
    </w:p>
    <w:p w14:paraId="74185282" w14:textId="6C4C0B0F" w:rsidR="000B52F4" w:rsidRPr="000B52F4" w:rsidRDefault="000B52F4" w:rsidP="00FB0FA7">
      <w:pPr>
        <w:jc w:val="both"/>
        <w:rPr>
          <w:rFonts w:ascii="Arial" w:hAnsi="Arial" w:cs="Arial"/>
          <w:b/>
          <w:bCs/>
        </w:rPr>
      </w:pPr>
      <w:r w:rsidRPr="000B52F4">
        <w:rPr>
          <w:rFonts w:ascii="Arial" w:hAnsi="Arial" w:cs="Arial"/>
          <w:b/>
          <w:bCs/>
        </w:rPr>
        <w:t xml:space="preserve"> </w:t>
      </w:r>
      <w:r w:rsidR="00FB0FA7" w:rsidRPr="00FB0FA7">
        <w:rPr>
          <w:rFonts w:ascii="Arial" w:hAnsi="Arial" w:cs="Arial"/>
          <w:b/>
          <w:bCs/>
          <w:noProof/>
        </w:rPr>
        <w:drawing>
          <wp:inline distT="0" distB="0" distL="0" distR="0" wp14:anchorId="3C512853" wp14:editId="35AB6B6F">
            <wp:extent cx="5212080" cy="1720850"/>
            <wp:effectExtent l="0" t="0" r="0" b="0"/>
            <wp:docPr id="124657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74280" name=""/>
                    <pic:cNvPicPr/>
                  </pic:nvPicPr>
                  <pic:blipFill>
                    <a:blip r:embed="rId11"/>
                    <a:stretch>
                      <a:fillRect/>
                    </a:stretch>
                  </pic:blipFill>
                  <pic:spPr>
                    <a:xfrm>
                      <a:off x="0" y="0"/>
                      <a:ext cx="5212080" cy="1720850"/>
                    </a:xfrm>
                    <a:prstGeom prst="rect">
                      <a:avLst/>
                    </a:prstGeom>
                  </pic:spPr>
                </pic:pic>
              </a:graphicData>
            </a:graphic>
          </wp:inline>
        </w:drawing>
      </w:r>
    </w:p>
    <w:p w14:paraId="64223910" w14:textId="77777777" w:rsidR="000B52F4" w:rsidRPr="000B52F4" w:rsidRDefault="000B52F4" w:rsidP="00FB0FA7">
      <w:pPr>
        <w:jc w:val="both"/>
        <w:rPr>
          <w:rFonts w:ascii="Arial" w:hAnsi="Arial" w:cs="Arial"/>
          <w:b/>
          <w:bCs/>
        </w:rPr>
      </w:pPr>
    </w:p>
    <w:p w14:paraId="21B4C606" w14:textId="42A1BA7C" w:rsidR="000B52F4" w:rsidRPr="00FB0FA7" w:rsidRDefault="000B52F4" w:rsidP="00FB0FA7">
      <w:pPr>
        <w:jc w:val="center"/>
        <w:rPr>
          <w:rFonts w:ascii="Arial" w:hAnsi="Arial" w:cs="Arial"/>
          <w:b/>
          <w:bCs/>
          <w:sz w:val="22"/>
          <w:szCs w:val="22"/>
        </w:rPr>
      </w:pPr>
      <w:r w:rsidRPr="00FB0FA7">
        <w:rPr>
          <w:rFonts w:ascii="Arial" w:hAnsi="Arial" w:cs="Arial"/>
          <w:b/>
          <w:bCs/>
          <w:sz w:val="22"/>
          <w:szCs w:val="22"/>
        </w:rPr>
        <w:t>Fig.2: Adsorption isotherms in black soils</w:t>
      </w:r>
    </w:p>
    <w:p w14:paraId="2F1DA913" w14:textId="77777777" w:rsidR="000B52F4" w:rsidRPr="000B52F4" w:rsidRDefault="000B52F4" w:rsidP="00FB0FA7">
      <w:pPr>
        <w:jc w:val="both"/>
        <w:rPr>
          <w:rFonts w:ascii="Arial" w:hAnsi="Arial" w:cs="Arial"/>
          <w:b/>
          <w:bCs/>
        </w:rPr>
      </w:pPr>
    </w:p>
    <w:p w14:paraId="1FEC1007" w14:textId="77777777" w:rsidR="000B52F4" w:rsidRPr="00FB0FA7" w:rsidRDefault="000B52F4" w:rsidP="00FB0FA7">
      <w:pPr>
        <w:jc w:val="both"/>
        <w:rPr>
          <w:rFonts w:ascii="Arial" w:hAnsi="Arial" w:cs="Arial"/>
          <w:b/>
          <w:sz w:val="22"/>
          <w:szCs w:val="22"/>
        </w:rPr>
      </w:pPr>
      <w:r w:rsidRPr="00FB0FA7">
        <w:rPr>
          <w:rFonts w:ascii="Arial" w:hAnsi="Arial" w:cs="Arial"/>
          <w:b/>
          <w:bCs/>
          <w:noProof/>
          <w:sz w:val="22"/>
          <w:szCs w:val="22"/>
        </w:rPr>
        <w:lastRenderedPageBreak/>
        <w:t>Table.</w:t>
      </w:r>
      <w:r w:rsidRPr="00FB0FA7">
        <w:rPr>
          <w:rFonts w:ascii="Arial" w:hAnsi="Arial" w:cs="Arial"/>
          <w:b/>
          <w:bCs/>
          <w:sz w:val="22"/>
          <w:szCs w:val="22"/>
        </w:rPr>
        <w:t xml:space="preserve"> 3. </w:t>
      </w:r>
      <w:proofErr w:type="spellStart"/>
      <w:r w:rsidRPr="00FB0FA7">
        <w:rPr>
          <w:rFonts w:ascii="Arial" w:hAnsi="Arial" w:cs="Arial"/>
          <w:b/>
          <w:sz w:val="22"/>
          <w:szCs w:val="22"/>
        </w:rPr>
        <w:t>K</w:t>
      </w:r>
      <w:r w:rsidRPr="00FB0FA7">
        <w:rPr>
          <w:rFonts w:ascii="Arial" w:hAnsi="Arial" w:cs="Arial"/>
          <w:b/>
          <w:sz w:val="22"/>
          <w:szCs w:val="22"/>
          <w:vertAlign w:val="subscript"/>
        </w:rPr>
        <w:t>d</w:t>
      </w:r>
      <w:proofErr w:type="spellEnd"/>
      <w:r w:rsidRPr="00FB0FA7">
        <w:rPr>
          <w:rFonts w:ascii="Arial" w:hAnsi="Arial" w:cs="Arial"/>
          <w:b/>
          <w:sz w:val="22"/>
          <w:szCs w:val="22"/>
        </w:rPr>
        <w:t xml:space="preserve"> and K </w:t>
      </w:r>
      <w:r w:rsidRPr="00FB0FA7">
        <w:rPr>
          <w:rFonts w:ascii="Arial" w:hAnsi="Arial" w:cs="Arial"/>
          <w:b/>
          <w:sz w:val="22"/>
          <w:szCs w:val="22"/>
          <w:vertAlign w:val="subscript"/>
        </w:rPr>
        <w:t>doc</w:t>
      </w:r>
      <w:r w:rsidRPr="00FB0FA7">
        <w:rPr>
          <w:rFonts w:ascii="Arial" w:hAnsi="Arial" w:cs="Arial"/>
          <w:b/>
          <w:sz w:val="22"/>
          <w:szCs w:val="22"/>
        </w:rPr>
        <w:t>, Freundlich constants (</w:t>
      </w:r>
      <w:proofErr w:type="spellStart"/>
      <w:r w:rsidRPr="00FB0FA7">
        <w:rPr>
          <w:rFonts w:ascii="Arial" w:hAnsi="Arial" w:cs="Arial"/>
          <w:b/>
          <w:i/>
          <w:sz w:val="22"/>
          <w:szCs w:val="22"/>
        </w:rPr>
        <w:t>k</w:t>
      </w:r>
      <w:r w:rsidRPr="00FB0FA7">
        <w:rPr>
          <w:rFonts w:ascii="Arial" w:hAnsi="Arial" w:cs="Arial"/>
          <w:b/>
          <w:i/>
          <w:sz w:val="22"/>
          <w:szCs w:val="22"/>
          <w:vertAlign w:val="subscript"/>
        </w:rPr>
        <w:t>f</w:t>
      </w:r>
      <w:proofErr w:type="spellEnd"/>
      <w:r w:rsidRPr="00FB0FA7">
        <w:rPr>
          <w:rFonts w:ascii="Arial" w:hAnsi="Arial" w:cs="Arial"/>
          <w:b/>
          <w:sz w:val="22"/>
          <w:szCs w:val="22"/>
          <w:vertAlign w:val="subscript"/>
        </w:rPr>
        <w:t xml:space="preserve">, </w:t>
      </w:r>
      <w:r w:rsidRPr="00FB0FA7">
        <w:rPr>
          <w:rFonts w:ascii="Arial" w:hAnsi="Arial" w:cs="Arial"/>
          <w:b/>
          <w:i/>
          <w:sz w:val="22"/>
          <w:szCs w:val="22"/>
        </w:rPr>
        <w:t>n</w:t>
      </w:r>
      <w:r w:rsidRPr="00FB0FA7">
        <w:rPr>
          <w:rFonts w:ascii="Arial" w:hAnsi="Arial" w:cs="Arial"/>
          <w:b/>
          <w:sz w:val="22"/>
          <w:szCs w:val="22"/>
        </w:rPr>
        <w:t xml:space="preserve"> </w:t>
      </w:r>
      <w:r w:rsidRPr="00FB0FA7">
        <w:rPr>
          <w:rFonts w:ascii="Arial" w:hAnsi="Arial" w:cs="Arial"/>
          <w:b/>
          <w:noProof/>
          <w:sz w:val="22"/>
          <w:szCs w:val="22"/>
        </w:rPr>
        <w:t>and</w:t>
      </w:r>
      <w:r w:rsidRPr="00FB0FA7">
        <w:rPr>
          <w:rFonts w:ascii="Arial" w:hAnsi="Arial" w:cs="Arial"/>
          <w:b/>
          <w:sz w:val="22"/>
          <w:szCs w:val="22"/>
        </w:rPr>
        <w:t xml:space="preserve"> </w:t>
      </w:r>
      <w:proofErr w:type="spellStart"/>
      <w:r w:rsidRPr="00FB0FA7">
        <w:rPr>
          <w:rFonts w:ascii="Arial" w:hAnsi="Arial" w:cs="Arial"/>
          <w:b/>
          <w:i/>
          <w:sz w:val="22"/>
          <w:szCs w:val="22"/>
        </w:rPr>
        <w:t>k</w:t>
      </w:r>
      <w:r w:rsidRPr="00FB0FA7">
        <w:rPr>
          <w:rFonts w:ascii="Arial" w:hAnsi="Arial" w:cs="Arial"/>
          <w:b/>
          <w:i/>
          <w:noProof/>
          <w:sz w:val="22"/>
          <w:szCs w:val="22"/>
          <w:vertAlign w:val="subscript"/>
        </w:rPr>
        <w:t>foc</w:t>
      </w:r>
      <w:proofErr w:type="spellEnd"/>
      <w:r w:rsidRPr="00FB0FA7">
        <w:rPr>
          <w:rFonts w:ascii="Arial" w:hAnsi="Arial" w:cs="Arial"/>
          <w:b/>
          <w:sz w:val="22"/>
          <w:szCs w:val="22"/>
          <w:vertAlign w:val="subscript"/>
        </w:rPr>
        <w:t xml:space="preserve">) </w:t>
      </w:r>
      <w:r w:rsidRPr="00FB0FA7">
        <w:rPr>
          <w:rFonts w:ascii="Arial" w:hAnsi="Arial" w:cs="Arial"/>
          <w:b/>
          <w:sz w:val="22"/>
          <w:szCs w:val="22"/>
        </w:rPr>
        <w:t xml:space="preserve">values for adsorption of topramezone on </w:t>
      </w:r>
      <w:r w:rsidRPr="00FB0FA7">
        <w:rPr>
          <w:rFonts w:ascii="Arial" w:hAnsi="Arial" w:cs="Arial"/>
          <w:b/>
          <w:bCs/>
          <w:sz w:val="22"/>
          <w:szCs w:val="22"/>
        </w:rPr>
        <w:t>2 mm soil samples (Red and Black soils)</w:t>
      </w:r>
    </w:p>
    <w:p w14:paraId="3E2F9304" w14:textId="77777777" w:rsidR="000B52F4" w:rsidRPr="00FB0FA7" w:rsidRDefault="000B52F4" w:rsidP="00FB0FA7">
      <w:pPr>
        <w:jc w:val="both"/>
        <w:rPr>
          <w:rFonts w:ascii="Arial" w:hAnsi="Arial" w:cs="Arial"/>
          <w:b/>
          <w:bCs/>
          <w:sz w:val="22"/>
          <w:szCs w:val="22"/>
        </w:rPr>
      </w:pPr>
    </w:p>
    <w:tbl>
      <w:tblPr>
        <w:tblStyle w:val="TableGrid"/>
        <w:tblW w:w="5302" w:type="dxa"/>
        <w:jc w:val="center"/>
        <w:tblLayout w:type="fixed"/>
        <w:tblLook w:val="04A0" w:firstRow="1" w:lastRow="0" w:firstColumn="1" w:lastColumn="0" w:noHBand="0" w:noVBand="1"/>
      </w:tblPr>
      <w:tblGrid>
        <w:gridCol w:w="1572"/>
        <w:gridCol w:w="1615"/>
        <w:gridCol w:w="2115"/>
      </w:tblGrid>
      <w:tr w:rsidR="000B52F4" w:rsidRPr="000B52F4" w14:paraId="0C5C8C8B" w14:textId="77777777" w:rsidTr="00EC51B1">
        <w:trPr>
          <w:trHeight w:val="300"/>
          <w:jc w:val="center"/>
        </w:trPr>
        <w:tc>
          <w:tcPr>
            <w:tcW w:w="1572" w:type="dxa"/>
            <w:noWrap/>
            <w:vAlign w:val="center"/>
          </w:tcPr>
          <w:p w14:paraId="4227DC51" w14:textId="77777777" w:rsidR="000B52F4" w:rsidRPr="000B52F4" w:rsidRDefault="000B52F4" w:rsidP="00FB0FA7">
            <w:pPr>
              <w:jc w:val="both"/>
              <w:rPr>
                <w:rFonts w:ascii="Arial" w:hAnsi="Arial" w:cs="Arial"/>
                <w:b/>
                <w:bCs/>
                <w:sz w:val="20"/>
                <w:szCs w:val="20"/>
                <w:lang w:bidi="hi-IN"/>
              </w:rPr>
            </w:pPr>
            <w:r w:rsidRPr="000B52F4">
              <w:rPr>
                <w:rFonts w:ascii="Arial" w:hAnsi="Arial" w:cs="Arial"/>
                <w:b/>
                <w:bCs/>
                <w:sz w:val="20"/>
                <w:szCs w:val="20"/>
                <w:lang w:bidi="hi-IN"/>
              </w:rPr>
              <w:t>Adsorption parameter</w:t>
            </w:r>
          </w:p>
        </w:tc>
        <w:tc>
          <w:tcPr>
            <w:tcW w:w="1615" w:type="dxa"/>
            <w:noWrap/>
            <w:vAlign w:val="center"/>
          </w:tcPr>
          <w:p w14:paraId="0E3BDD6E"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Red soil</w:t>
            </w:r>
          </w:p>
        </w:tc>
        <w:tc>
          <w:tcPr>
            <w:tcW w:w="2115" w:type="dxa"/>
            <w:vAlign w:val="center"/>
          </w:tcPr>
          <w:p w14:paraId="29AA7BCF" w14:textId="77777777" w:rsidR="000B52F4" w:rsidRPr="000B52F4" w:rsidRDefault="000B52F4" w:rsidP="00FB0FA7">
            <w:pPr>
              <w:jc w:val="both"/>
              <w:rPr>
                <w:rFonts w:ascii="Arial" w:hAnsi="Arial" w:cs="Arial"/>
                <w:b/>
                <w:bCs/>
                <w:sz w:val="20"/>
                <w:szCs w:val="20"/>
              </w:rPr>
            </w:pPr>
            <w:r w:rsidRPr="000B52F4">
              <w:rPr>
                <w:rFonts w:ascii="Arial" w:hAnsi="Arial" w:cs="Arial"/>
                <w:b/>
                <w:bCs/>
                <w:sz w:val="20"/>
                <w:szCs w:val="20"/>
              </w:rPr>
              <w:t>Black soil</w:t>
            </w:r>
          </w:p>
        </w:tc>
      </w:tr>
      <w:tr w:rsidR="000B52F4" w:rsidRPr="000B52F4" w14:paraId="26B9777C" w14:textId="77777777" w:rsidTr="00EC51B1">
        <w:trPr>
          <w:trHeight w:val="300"/>
          <w:jc w:val="center"/>
        </w:trPr>
        <w:tc>
          <w:tcPr>
            <w:tcW w:w="1572" w:type="dxa"/>
            <w:noWrap/>
            <w:hideMark/>
          </w:tcPr>
          <w:p w14:paraId="558869E4"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Slope</w:t>
            </w:r>
          </w:p>
        </w:tc>
        <w:tc>
          <w:tcPr>
            <w:tcW w:w="1615" w:type="dxa"/>
            <w:noWrap/>
            <w:hideMark/>
          </w:tcPr>
          <w:p w14:paraId="6D532EE9"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1.016</w:t>
            </w:r>
          </w:p>
        </w:tc>
        <w:tc>
          <w:tcPr>
            <w:tcW w:w="2115" w:type="dxa"/>
          </w:tcPr>
          <w:p w14:paraId="2B3B8DB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1.083</w:t>
            </w:r>
          </w:p>
        </w:tc>
      </w:tr>
      <w:tr w:rsidR="000B52F4" w:rsidRPr="000B52F4" w14:paraId="7C5094C1" w14:textId="77777777" w:rsidTr="00EC51B1">
        <w:trPr>
          <w:trHeight w:val="300"/>
          <w:jc w:val="center"/>
        </w:trPr>
        <w:tc>
          <w:tcPr>
            <w:tcW w:w="1572" w:type="dxa"/>
            <w:noWrap/>
            <w:hideMark/>
          </w:tcPr>
          <w:p w14:paraId="34299222"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Intercept</w:t>
            </w:r>
          </w:p>
        </w:tc>
        <w:tc>
          <w:tcPr>
            <w:tcW w:w="1615" w:type="dxa"/>
            <w:noWrap/>
            <w:hideMark/>
          </w:tcPr>
          <w:p w14:paraId="39D80422"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-0.135</w:t>
            </w:r>
          </w:p>
        </w:tc>
        <w:tc>
          <w:tcPr>
            <w:tcW w:w="2115" w:type="dxa"/>
          </w:tcPr>
          <w:p w14:paraId="2F2367C4"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-0.318</w:t>
            </w:r>
          </w:p>
        </w:tc>
      </w:tr>
      <w:tr w:rsidR="000B52F4" w:rsidRPr="000B52F4" w14:paraId="336BDD30" w14:textId="77777777" w:rsidTr="00EC51B1">
        <w:trPr>
          <w:trHeight w:val="300"/>
          <w:jc w:val="center"/>
        </w:trPr>
        <w:tc>
          <w:tcPr>
            <w:tcW w:w="1572" w:type="dxa"/>
            <w:noWrap/>
            <w:hideMark/>
          </w:tcPr>
          <w:p w14:paraId="3A67A60D"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OC (%)</w:t>
            </w:r>
          </w:p>
        </w:tc>
        <w:tc>
          <w:tcPr>
            <w:tcW w:w="1615" w:type="dxa"/>
            <w:noWrap/>
            <w:hideMark/>
          </w:tcPr>
          <w:p w14:paraId="355A16F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0.56</w:t>
            </w:r>
          </w:p>
        </w:tc>
        <w:tc>
          <w:tcPr>
            <w:tcW w:w="2115" w:type="dxa"/>
          </w:tcPr>
          <w:p w14:paraId="5C2FDE31"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0.49</w:t>
            </w:r>
          </w:p>
        </w:tc>
      </w:tr>
      <w:tr w:rsidR="000B52F4" w:rsidRPr="000B52F4" w14:paraId="102098E6" w14:textId="77777777" w:rsidTr="00EC51B1">
        <w:trPr>
          <w:trHeight w:val="300"/>
          <w:jc w:val="center"/>
        </w:trPr>
        <w:tc>
          <w:tcPr>
            <w:tcW w:w="1572" w:type="dxa"/>
            <w:noWrap/>
            <w:hideMark/>
          </w:tcPr>
          <w:p w14:paraId="4C1136AE" w14:textId="77777777" w:rsidR="000B52F4" w:rsidRPr="000B52F4" w:rsidRDefault="000B52F4" w:rsidP="00FB0FA7">
            <w:pPr>
              <w:jc w:val="both"/>
              <w:rPr>
                <w:rFonts w:ascii="Arial" w:hAnsi="Arial" w:cs="Arial"/>
                <w:sz w:val="20"/>
                <w:szCs w:val="20"/>
                <w:lang w:bidi="hi-IN"/>
              </w:rPr>
            </w:pPr>
            <w:r w:rsidRPr="000B52F4">
              <w:rPr>
                <w:rFonts w:ascii="Arial" w:hAnsi="Arial" w:cs="Arial"/>
                <w:sz w:val="20"/>
                <w:szCs w:val="20"/>
                <w:lang w:bidi="hi-IN"/>
              </w:rPr>
              <w:t>1/n</w:t>
            </w:r>
          </w:p>
        </w:tc>
        <w:tc>
          <w:tcPr>
            <w:tcW w:w="1615" w:type="dxa"/>
            <w:noWrap/>
            <w:hideMark/>
          </w:tcPr>
          <w:p w14:paraId="4B6B8C8C"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0.984</w:t>
            </w:r>
          </w:p>
        </w:tc>
        <w:tc>
          <w:tcPr>
            <w:tcW w:w="2115" w:type="dxa"/>
          </w:tcPr>
          <w:p w14:paraId="77FBC0CE"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0.923</w:t>
            </w:r>
          </w:p>
        </w:tc>
      </w:tr>
      <w:tr w:rsidR="000B52F4" w:rsidRPr="000B52F4" w14:paraId="24FA7FCF" w14:textId="77777777" w:rsidTr="00EC51B1">
        <w:trPr>
          <w:trHeight w:val="300"/>
          <w:jc w:val="center"/>
        </w:trPr>
        <w:tc>
          <w:tcPr>
            <w:tcW w:w="1572" w:type="dxa"/>
            <w:noWrap/>
            <w:hideMark/>
          </w:tcPr>
          <w:p w14:paraId="4D965EFC"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f</w:t>
            </w:r>
            <w:proofErr w:type="spellEnd"/>
          </w:p>
        </w:tc>
        <w:tc>
          <w:tcPr>
            <w:tcW w:w="1615" w:type="dxa"/>
            <w:noWrap/>
            <w:hideMark/>
          </w:tcPr>
          <w:p w14:paraId="1CC6C29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0.733</w:t>
            </w:r>
          </w:p>
        </w:tc>
        <w:tc>
          <w:tcPr>
            <w:tcW w:w="2115" w:type="dxa"/>
          </w:tcPr>
          <w:p w14:paraId="1022E01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0.481</w:t>
            </w:r>
          </w:p>
        </w:tc>
      </w:tr>
      <w:tr w:rsidR="000B52F4" w:rsidRPr="000B52F4" w14:paraId="16874B38" w14:textId="77777777" w:rsidTr="00EC51B1">
        <w:trPr>
          <w:trHeight w:val="300"/>
          <w:jc w:val="center"/>
        </w:trPr>
        <w:tc>
          <w:tcPr>
            <w:tcW w:w="1572" w:type="dxa"/>
            <w:noWrap/>
            <w:hideMark/>
          </w:tcPr>
          <w:p w14:paraId="3905F24E"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rPr>
              <w:t>K</w:t>
            </w:r>
            <w:r w:rsidRPr="000B52F4">
              <w:rPr>
                <w:rFonts w:ascii="Arial" w:hAnsi="Arial" w:cs="Arial"/>
                <w:i/>
                <w:sz w:val="20"/>
                <w:szCs w:val="20"/>
                <w:vertAlign w:val="subscript"/>
              </w:rPr>
              <w:t>foc</w:t>
            </w:r>
            <w:proofErr w:type="spellEnd"/>
          </w:p>
        </w:tc>
        <w:tc>
          <w:tcPr>
            <w:tcW w:w="1615" w:type="dxa"/>
            <w:noWrap/>
            <w:hideMark/>
          </w:tcPr>
          <w:p w14:paraId="342D6677"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130.9</w:t>
            </w:r>
          </w:p>
        </w:tc>
        <w:tc>
          <w:tcPr>
            <w:tcW w:w="2115" w:type="dxa"/>
          </w:tcPr>
          <w:p w14:paraId="4CC0ABB0"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98.2</w:t>
            </w:r>
          </w:p>
        </w:tc>
      </w:tr>
      <w:tr w:rsidR="000B52F4" w:rsidRPr="000B52F4" w14:paraId="6E33945F" w14:textId="77777777" w:rsidTr="00EC51B1">
        <w:trPr>
          <w:trHeight w:val="300"/>
          <w:jc w:val="center"/>
        </w:trPr>
        <w:tc>
          <w:tcPr>
            <w:tcW w:w="1572" w:type="dxa"/>
            <w:noWrap/>
            <w:hideMark/>
          </w:tcPr>
          <w:p w14:paraId="5F5D535F" w14:textId="77777777" w:rsidR="000B52F4" w:rsidRPr="000B52F4" w:rsidRDefault="000B52F4" w:rsidP="00FB0FA7">
            <w:pPr>
              <w:jc w:val="both"/>
              <w:rPr>
                <w:rFonts w:ascii="Arial" w:eastAsiaTheme="minorEastAsia"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d</w:t>
            </w:r>
            <w:proofErr w:type="spellEnd"/>
          </w:p>
        </w:tc>
        <w:tc>
          <w:tcPr>
            <w:tcW w:w="1615" w:type="dxa"/>
            <w:noWrap/>
            <w:hideMark/>
          </w:tcPr>
          <w:p w14:paraId="1A544DE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0.779</w:t>
            </w:r>
          </w:p>
        </w:tc>
        <w:tc>
          <w:tcPr>
            <w:tcW w:w="2115" w:type="dxa"/>
          </w:tcPr>
          <w:p w14:paraId="2F3DBACA"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0.638</w:t>
            </w:r>
          </w:p>
        </w:tc>
      </w:tr>
      <w:tr w:rsidR="000B52F4" w:rsidRPr="000B52F4" w14:paraId="76D8720F" w14:textId="77777777" w:rsidTr="00EC51B1">
        <w:trPr>
          <w:trHeight w:val="300"/>
          <w:jc w:val="center"/>
        </w:trPr>
        <w:tc>
          <w:tcPr>
            <w:tcW w:w="1572" w:type="dxa"/>
            <w:noWrap/>
            <w:hideMark/>
          </w:tcPr>
          <w:p w14:paraId="4BCFFB2B" w14:textId="77777777" w:rsidR="000B52F4" w:rsidRPr="000B52F4" w:rsidRDefault="000B52F4" w:rsidP="00FB0FA7">
            <w:pPr>
              <w:jc w:val="both"/>
              <w:rPr>
                <w:rFonts w:ascii="Arial" w:hAnsi="Arial" w:cs="Arial"/>
                <w:i/>
                <w:sz w:val="20"/>
                <w:szCs w:val="20"/>
                <w:lang w:bidi="hi-IN"/>
              </w:rPr>
            </w:pPr>
            <w:proofErr w:type="spellStart"/>
            <w:r w:rsidRPr="000B52F4">
              <w:rPr>
                <w:rFonts w:ascii="Arial" w:hAnsi="Arial" w:cs="Arial"/>
                <w:i/>
                <w:sz w:val="20"/>
                <w:szCs w:val="20"/>
                <w:lang w:bidi="hi-IN"/>
              </w:rPr>
              <w:t>K</w:t>
            </w:r>
            <w:r w:rsidRPr="000B52F4">
              <w:rPr>
                <w:rFonts w:ascii="Arial" w:hAnsi="Arial" w:cs="Arial"/>
                <w:i/>
                <w:sz w:val="20"/>
                <w:szCs w:val="20"/>
                <w:vertAlign w:val="subscript"/>
              </w:rPr>
              <w:t>doc</w:t>
            </w:r>
            <w:proofErr w:type="spellEnd"/>
          </w:p>
        </w:tc>
        <w:tc>
          <w:tcPr>
            <w:tcW w:w="1615" w:type="dxa"/>
            <w:noWrap/>
            <w:hideMark/>
          </w:tcPr>
          <w:p w14:paraId="04E387CD"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139.07</w:t>
            </w:r>
          </w:p>
        </w:tc>
        <w:tc>
          <w:tcPr>
            <w:tcW w:w="2115" w:type="dxa"/>
          </w:tcPr>
          <w:p w14:paraId="27DD7B85" w14:textId="77777777" w:rsidR="000B52F4" w:rsidRPr="000B52F4" w:rsidRDefault="000B52F4" w:rsidP="00FB0FA7">
            <w:pPr>
              <w:jc w:val="both"/>
              <w:rPr>
                <w:rFonts w:ascii="Arial" w:hAnsi="Arial" w:cs="Arial"/>
                <w:sz w:val="20"/>
                <w:szCs w:val="20"/>
              </w:rPr>
            </w:pPr>
            <w:r w:rsidRPr="000B52F4">
              <w:rPr>
                <w:rFonts w:ascii="Arial" w:hAnsi="Arial" w:cs="Arial"/>
                <w:sz w:val="20"/>
                <w:szCs w:val="20"/>
              </w:rPr>
              <w:t>130.11</w:t>
            </w:r>
          </w:p>
        </w:tc>
      </w:tr>
    </w:tbl>
    <w:p w14:paraId="689C93FF" w14:textId="77777777" w:rsidR="000B52F4" w:rsidRPr="000B52F4"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 xml:space="preserve">The adsorption isotherms were parabolic with a characteristic S-shape in both soils, typical of compounds exhibiting variable affinity at different concentration ranges. The data fitted well to the </w:t>
      </w:r>
      <w:r w:rsidRPr="000B52F4">
        <w:rPr>
          <w:rFonts w:ascii="Arial" w:hAnsi="Arial" w:cs="Arial"/>
          <w:bCs/>
          <w:lang w:eastAsia="en-IN"/>
        </w:rPr>
        <w:t>Freundlich adsorption equation</w:t>
      </w:r>
      <w:r w:rsidRPr="000B52F4">
        <w:rPr>
          <w:rFonts w:ascii="Arial" w:hAnsi="Arial" w:cs="Arial"/>
          <w:lang w:eastAsia="en-IN"/>
        </w:rPr>
        <w:t>, confirming nonlinear sorption (</w:t>
      </w:r>
      <w:r w:rsidRPr="000B52F4">
        <w:rPr>
          <w:rFonts w:ascii="Arial" w:hAnsi="Arial" w:cs="Arial"/>
          <w:i/>
          <w:lang w:eastAsia="en-IN"/>
        </w:rPr>
        <w:t>1/n</w:t>
      </w:r>
      <w:r w:rsidRPr="000B52F4">
        <w:rPr>
          <w:rFonts w:ascii="Arial" w:hAnsi="Arial" w:cs="Arial"/>
          <w:lang w:eastAsia="en-IN"/>
        </w:rPr>
        <w:t xml:space="preserve"> &lt; 1), which suggests heterogeneous energy distribution of sorption sites. The higher Freundlich adsorption coefficient (</w:t>
      </w:r>
      <w:proofErr w:type="spell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lang w:eastAsia="en-IN"/>
        </w:rPr>
        <w:t xml:space="preserve"> = 0.733) and </w:t>
      </w:r>
      <w:proofErr w:type="spellStart"/>
      <w:r w:rsidRPr="000B52F4">
        <w:rPr>
          <w:rFonts w:ascii="Arial" w:hAnsi="Arial" w:cs="Arial"/>
          <w:i/>
          <w:lang w:eastAsia="en-IN"/>
        </w:rPr>
        <w:t>k</w:t>
      </w:r>
      <w:r w:rsidRPr="000B52F4">
        <w:rPr>
          <w:rFonts w:ascii="Arial" w:hAnsi="Arial" w:cs="Arial"/>
          <w:i/>
          <w:vertAlign w:val="subscript"/>
          <w:lang w:eastAsia="en-IN"/>
        </w:rPr>
        <w:t>foc</w:t>
      </w:r>
      <w:proofErr w:type="spellEnd"/>
      <w:r w:rsidRPr="000B52F4">
        <w:rPr>
          <w:rFonts w:ascii="Arial" w:hAnsi="Arial" w:cs="Arial"/>
          <w:lang w:eastAsia="en-IN"/>
        </w:rPr>
        <w:t xml:space="preserve"> value (130.9) in red soil compared to black soil (</w:t>
      </w:r>
      <w:proofErr w:type="spellStart"/>
      <w:r w:rsidRPr="000B52F4">
        <w:rPr>
          <w:rFonts w:ascii="Arial" w:hAnsi="Arial" w:cs="Arial"/>
          <w:i/>
          <w:lang w:eastAsia="en-IN"/>
        </w:rPr>
        <w:t>k</w:t>
      </w:r>
      <w:r w:rsidRPr="000B52F4">
        <w:rPr>
          <w:rFonts w:ascii="Arial" w:hAnsi="Arial" w:cs="Arial"/>
          <w:i/>
          <w:vertAlign w:val="subscript"/>
          <w:lang w:eastAsia="en-IN"/>
        </w:rPr>
        <w:t>f</w:t>
      </w:r>
      <w:proofErr w:type="spellEnd"/>
      <w:r w:rsidRPr="000B52F4">
        <w:rPr>
          <w:rFonts w:ascii="Arial" w:hAnsi="Arial" w:cs="Arial"/>
          <w:lang w:eastAsia="en-IN"/>
        </w:rPr>
        <w:t xml:space="preserve"> = 0.481, </w:t>
      </w:r>
      <w:proofErr w:type="spellStart"/>
      <w:r w:rsidRPr="000B52F4">
        <w:rPr>
          <w:rFonts w:ascii="Arial" w:hAnsi="Arial" w:cs="Arial"/>
          <w:i/>
          <w:lang w:eastAsia="en-IN"/>
        </w:rPr>
        <w:t>k</w:t>
      </w:r>
      <w:r w:rsidRPr="000B52F4">
        <w:rPr>
          <w:rFonts w:ascii="Arial" w:hAnsi="Arial" w:cs="Arial"/>
          <w:i/>
          <w:vertAlign w:val="subscript"/>
          <w:lang w:eastAsia="en-IN"/>
        </w:rPr>
        <w:t>foc</w:t>
      </w:r>
      <w:proofErr w:type="spellEnd"/>
      <w:r w:rsidRPr="000B52F4">
        <w:rPr>
          <w:rFonts w:ascii="Arial" w:hAnsi="Arial" w:cs="Arial"/>
          <w:lang w:eastAsia="en-IN"/>
        </w:rPr>
        <w:t xml:space="preserve"> = 98.2) indicated stronger sorption in the red soil. Although the black soil contained more clay and had higher CEC, its slightly alkaline reaction and lower organic matter reduced topramezone retention. Similar observations were reported by </w:t>
      </w:r>
      <w:r w:rsidRPr="000B52F4">
        <w:rPr>
          <w:rFonts w:ascii="Arial" w:hAnsi="Arial" w:cs="Arial"/>
          <w:bCs/>
          <w:lang w:eastAsia="en-IN"/>
        </w:rPr>
        <w:t>Baumann et al. (2014)</w:t>
      </w:r>
      <w:r w:rsidRPr="000B52F4">
        <w:rPr>
          <w:rFonts w:ascii="Arial" w:hAnsi="Arial" w:cs="Arial"/>
          <w:lang w:eastAsia="en-IN"/>
        </w:rPr>
        <w:t xml:space="preserve"> and </w:t>
      </w:r>
      <w:r w:rsidRPr="000B52F4">
        <w:rPr>
          <w:rFonts w:ascii="Arial" w:hAnsi="Arial" w:cs="Arial"/>
          <w:bCs/>
          <w:lang w:eastAsia="en-IN"/>
        </w:rPr>
        <w:t>Hollaway et al. (2013)</w:t>
      </w:r>
      <w:r w:rsidRPr="000B52F4">
        <w:rPr>
          <w:rFonts w:ascii="Arial" w:hAnsi="Arial" w:cs="Arial"/>
          <w:lang w:eastAsia="en-IN"/>
        </w:rPr>
        <w:t>, who found that weakly acidic herbicides exhibit lower adsorption in alkaline soils due to increased dissociation.</w:t>
      </w:r>
    </w:p>
    <w:p w14:paraId="59E682DD" w14:textId="77777777" w:rsidR="000B52F4" w:rsidRPr="000B52F4" w:rsidRDefault="000B52F4" w:rsidP="00FB0FA7">
      <w:pPr>
        <w:spacing w:before="100" w:beforeAutospacing="1" w:after="100" w:afterAutospacing="1"/>
        <w:jc w:val="both"/>
        <w:rPr>
          <w:rFonts w:ascii="Arial" w:hAnsi="Arial" w:cs="Arial"/>
          <w:lang w:eastAsia="en-IN"/>
        </w:rPr>
      </w:pPr>
      <w:r w:rsidRPr="000B52F4">
        <w:rPr>
          <w:rFonts w:ascii="Arial" w:hAnsi="Arial" w:cs="Arial"/>
          <w:lang w:eastAsia="en-IN"/>
        </w:rPr>
        <w:t>Topramezone, being a weak acid (</w:t>
      </w:r>
      <w:proofErr w:type="spellStart"/>
      <w:r w:rsidRPr="000B52F4">
        <w:rPr>
          <w:rFonts w:ascii="Arial" w:hAnsi="Arial" w:cs="Arial"/>
          <w:i/>
          <w:lang w:eastAsia="en-IN"/>
        </w:rPr>
        <w:t>pK</w:t>
      </w:r>
      <w:r w:rsidRPr="000B52F4">
        <w:rPr>
          <w:rFonts w:ascii="Arial" w:hAnsi="Arial" w:cs="Arial"/>
          <w:i/>
          <w:vertAlign w:val="subscript"/>
          <w:lang w:eastAsia="en-IN"/>
        </w:rPr>
        <w:t>a</w:t>
      </w:r>
      <w:proofErr w:type="spellEnd"/>
      <w:r w:rsidRPr="000B52F4">
        <w:rPr>
          <w:rFonts w:ascii="Arial" w:hAnsi="Arial" w:cs="Arial"/>
          <w:lang w:eastAsia="en-IN"/>
        </w:rPr>
        <w:t xml:space="preserve"> = 4.06), exists predominantly in its anionic form in soils with pH &gt; 6.5, where electrostatic repulsion between negatively charged soil colloids and anionic species limits sorption. This explains the lower adsorption observed in the black soil (pH 8.1). Conversely, in the slightly acidic red soil, a greater proportion of the undissociated molecule may interact with organic matter and weakly charged mineral surfaces, enhancing sorption. Previous studies have also emphasized that for weak acid herbicides, </w:t>
      </w:r>
      <w:r w:rsidRPr="000B52F4">
        <w:rPr>
          <w:rFonts w:ascii="Arial" w:hAnsi="Arial" w:cs="Arial"/>
          <w:bCs/>
          <w:lang w:eastAsia="en-IN"/>
        </w:rPr>
        <w:t>soil reaction and organic matter rather than</w:t>
      </w:r>
      <w:r w:rsidRPr="000B52F4">
        <w:rPr>
          <w:rFonts w:ascii="Arial" w:hAnsi="Arial" w:cs="Arial"/>
          <w:lang w:eastAsia="en-IN"/>
        </w:rPr>
        <w:t xml:space="preserve"> CEC or clay content is the primary factor influencing adsorption (Walker and Jurado-Exposito, 1998; Wauchope et al., 2002).</w:t>
      </w:r>
    </w:p>
    <w:p w14:paraId="52FBE85B" w14:textId="67BC8E68" w:rsidR="00790ADA" w:rsidRPr="00FB3A86" w:rsidRDefault="000B52F4" w:rsidP="00FB0FA7">
      <w:pPr>
        <w:spacing w:before="100" w:beforeAutospacing="1" w:after="100" w:afterAutospacing="1"/>
        <w:ind w:firstLine="720"/>
        <w:jc w:val="both"/>
        <w:rPr>
          <w:rFonts w:ascii="Arial" w:hAnsi="Arial" w:cs="Arial"/>
          <w:lang w:eastAsia="en-IN"/>
        </w:rPr>
      </w:pPr>
      <w:r w:rsidRPr="000B52F4">
        <w:rPr>
          <w:rFonts w:ascii="Arial" w:hAnsi="Arial" w:cs="Arial"/>
          <w:lang w:eastAsia="en-IN"/>
        </w:rPr>
        <w:t xml:space="preserve">Overall, the results demonstrate that topramezone adsorption is governed largely by soil pH and organic carbon rather than clay or exchange capacity. The S-shaped Freundlich isotherms suggest limited adsorption sites at low concentrations and increased site affinity at moderate solute levels, followed by desorption or competition effects at higher concentrations, consistent with reports for other HPPD-inhibiting herbicides such as </w:t>
      </w:r>
      <w:proofErr w:type="spellStart"/>
      <w:r w:rsidRPr="000B52F4">
        <w:rPr>
          <w:rFonts w:ascii="Arial" w:hAnsi="Arial" w:cs="Arial"/>
          <w:lang w:eastAsia="en-IN"/>
        </w:rPr>
        <w:t>mesotrione</w:t>
      </w:r>
      <w:proofErr w:type="spellEnd"/>
      <w:r w:rsidRPr="000B52F4">
        <w:rPr>
          <w:rFonts w:ascii="Arial" w:hAnsi="Arial" w:cs="Arial"/>
          <w:lang w:eastAsia="en-IN"/>
        </w:rPr>
        <w:t xml:space="preserve"> and </w:t>
      </w:r>
      <w:proofErr w:type="spellStart"/>
      <w:r w:rsidRPr="000B52F4">
        <w:rPr>
          <w:rFonts w:ascii="Arial" w:hAnsi="Arial" w:cs="Arial"/>
          <w:lang w:eastAsia="en-IN"/>
        </w:rPr>
        <w:t>tembotrione</w:t>
      </w:r>
      <w:proofErr w:type="spellEnd"/>
      <w:r w:rsidRPr="000B52F4">
        <w:rPr>
          <w:rFonts w:ascii="Arial" w:hAnsi="Arial" w:cs="Arial"/>
          <w:lang w:eastAsia="en-IN"/>
        </w:rPr>
        <w:t xml:space="preserve"> (</w:t>
      </w:r>
      <w:proofErr w:type="spellStart"/>
      <w:r w:rsidRPr="000B52F4">
        <w:rPr>
          <w:rFonts w:ascii="Arial" w:hAnsi="Arial" w:cs="Arial"/>
          <w:bCs/>
          <w:lang w:eastAsia="en-IN"/>
        </w:rPr>
        <w:t>Pusino</w:t>
      </w:r>
      <w:proofErr w:type="spellEnd"/>
      <w:r w:rsidRPr="000B52F4">
        <w:rPr>
          <w:rFonts w:ascii="Arial" w:hAnsi="Arial" w:cs="Arial"/>
          <w:bCs/>
          <w:lang w:eastAsia="en-IN"/>
        </w:rPr>
        <w:t xml:space="preserve"> et al., 2010; Figueroa-Diva et al., 2010</w:t>
      </w:r>
      <w:r w:rsidRPr="000B52F4">
        <w:rPr>
          <w:rFonts w:ascii="Arial" w:hAnsi="Arial" w:cs="Arial"/>
          <w:lang w:eastAsia="en-IN"/>
        </w:rPr>
        <w:t xml:space="preserve">). The weaker sorption and higher mobility of topramezone in alkaline soils imply a greater leaching potential in </w:t>
      </w:r>
      <w:proofErr w:type="spellStart"/>
      <w:r w:rsidRPr="000B52F4">
        <w:rPr>
          <w:rFonts w:ascii="Arial" w:hAnsi="Arial" w:cs="Arial"/>
          <w:lang w:eastAsia="en-IN"/>
        </w:rPr>
        <w:t>Vertisols</w:t>
      </w:r>
      <w:proofErr w:type="spellEnd"/>
      <w:r w:rsidRPr="000B52F4">
        <w:rPr>
          <w:rFonts w:ascii="Arial" w:hAnsi="Arial" w:cs="Arial"/>
          <w:lang w:eastAsia="en-IN"/>
        </w:rPr>
        <w:t xml:space="preserve"> compared with </w:t>
      </w:r>
      <w:proofErr w:type="spellStart"/>
      <w:r w:rsidRPr="000B52F4">
        <w:rPr>
          <w:rFonts w:ascii="Arial" w:hAnsi="Arial" w:cs="Arial"/>
          <w:lang w:eastAsia="en-IN"/>
        </w:rPr>
        <w:t>Alfisols</w:t>
      </w:r>
      <w:proofErr w:type="spellEnd"/>
      <w:r w:rsidRPr="000B52F4">
        <w:rPr>
          <w:rFonts w:ascii="Arial" w:hAnsi="Arial" w:cs="Arial"/>
          <w:lang w:eastAsia="en-IN"/>
        </w:rPr>
        <w:t xml:space="preserve"> under Telangana conditions.</w:t>
      </w:r>
    </w:p>
    <w:p w14:paraId="250DD9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69947" w14:textId="77777777" w:rsidR="00790ADA" w:rsidRPr="00FB3A86" w:rsidRDefault="00790ADA" w:rsidP="00441B6F">
      <w:pPr>
        <w:pStyle w:val="ConcHead"/>
        <w:spacing w:after="0"/>
        <w:jc w:val="both"/>
        <w:rPr>
          <w:rFonts w:ascii="Arial" w:hAnsi="Arial" w:cs="Arial"/>
        </w:rPr>
      </w:pPr>
    </w:p>
    <w:p w14:paraId="289775E8" w14:textId="77777777" w:rsidR="00FB0FA7" w:rsidRPr="00FB0FA7" w:rsidRDefault="00FB0FA7" w:rsidP="00FB0FA7">
      <w:pPr>
        <w:spacing w:before="100" w:beforeAutospacing="1" w:after="100" w:afterAutospacing="1"/>
        <w:ind w:firstLine="720"/>
        <w:jc w:val="both"/>
        <w:rPr>
          <w:rFonts w:ascii="Arial" w:hAnsi="Arial" w:cs="Arial"/>
        </w:rPr>
      </w:pPr>
      <w:r w:rsidRPr="00FB0FA7">
        <w:rPr>
          <w:rFonts w:ascii="Arial" w:hAnsi="Arial" w:cs="Arial"/>
        </w:rPr>
        <w:t>Topramezone exhibited nonlinear, concentration-dependent adsorption in both soils, with higher sorption in the red sandy loam (</w:t>
      </w:r>
      <w:proofErr w:type="spellStart"/>
      <w:r w:rsidRPr="00FB0FA7">
        <w:rPr>
          <w:rFonts w:ascii="Arial" w:hAnsi="Arial" w:cs="Arial"/>
        </w:rPr>
        <w:t>Alfisol</w:t>
      </w:r>
      <w:proofErr w:type="spellEnd"/>
      <w:r w:rsidRPr="00FB0FA7">
        <w:rPr>
          <w:rFonts w:ascii="Arial" w:hAnsi="Arial" w:cs="Arial"/>
        </w:rPr>
        <w:t>) than in the black clay (</w:t>
      </w:r>
      <w:proofErr w:type="spellStart"/>
      <w:r w:rsidRPr="00FB0FA7">
        <w:rPr>
          <w:rFonts w:ascii="Arial" w:hAnsi="Arial" w:cs="Arial"/>
        </w:rPr>
        <w:t>Vertisol</w:t>
      </w:r>
      <w:proofErr w:type="spellEnd"/>
      <w:r w:rsidRPr="00FB0FA7">
        <w:rPr>
          <w:rFonts w:ascii="Arial" w:hAnsi="Arial" w:cs="Arial"/>
        </w:rPr>
        <w:t xml:space="preserve">). The greater adsorption in red soil was attributed to its slightly acidic pH and higher organic </w:t>
      </w:r>
      <w:r w:rsidRPr="00FB0FA7">
        <w:rPr>
          <w:rFonts w:ascii="Arial" w:hAnsi="Arial" w:cs="Arial"/>
        </w:rPr>
        <w:lastRenderedPageBreak/>
        <w:t xml:space="preserve">carbon, while reduced sorption in black soil resulted from alkaline reaction and predominance of the anionic herbicide form. Freundlich isotherms confirmed heterogeneous sorption sites and S-shaped </w:t>
      </w:r>
      <w:proofErr w:type="spellStart"/>
      <w:r w:rsidRPr="00FB0FA7">
        <w:rPr>
          <w:rFonts w:ascii="Arial" w:hAnsi="Arial" w:cs="Arial"/>
        </w:rPr>
        <w:t>behaviour</w:t>
      </w:r>
      <w:proofErr w:type="spellEnd"/>
      <w:r w:rsidRPr="00FB0FA7">
        <w:rPr>
          <w:rFonts w:ascii="Arial" w:hAnsi="Arial" w:cs="Arial"/>
        </w:rPr>
        <w:t xml:space="preserve">. Overall, soil pH and organic matter governed topramezone adsorption more than clay or CEC, indicating higher mobility and leaching potential in alkaline </w:t>
      </w:r>
      <w:proofErr w:type="spellStart"/>
      <w:r w:rsidRPr="00FB0FA7">
        <w:rPr>
          <w:rFonts w:ascii="Arial" w:hAnsi="Arial" w:cs="Arial"/>
        </w:rPr>
        <w:t>Vertisols</w:t>
      </w:r>
      <w:proofErr w:type="spellEnd"/>
      <w:r w:rsidRPr="00FB0FA7">
        <w:rPr>
          <w:rFonts w:ascii="Arial" w:hAnsi="Arial" w:cs="Arial"/>
        </w:rPr>
        <w:t xml:space="preserve"> than in acidic </w:t>
      </w:r>
      <w:proofErr w:type="spellStart"/>
      <w:r w:rsidRPr="00FB0FA7">
        <w:rPr>
          <w:rFonts w:ascii="Arial" w:hAnsi="Arial" w:cs="Arial"/>
        </w:rPr>
        <w:t>Alfisols</w:t>
      </w:r>
      <w:proofErr w:type="spellEnd"/>
      <w:r w:rsidRPr="00FB0FA7">
        <w:rPr>
          <w:rFonts w:ascii="Arial" w:hAnsi="Arial" w:cs="Arial"/>
        </w:rPr>
        <w:t xml:space="preserve"> of Telangana.</w:t>
      </w:r>
    </w:p>
    <w:p w14:paraId="77B6DC75" w14:textId="216D18E6" w:rsidR="00790ADA" w:rsidRDefault="00FB0FA7" w:rsidP="00441B6F">
      <w:pPr>
        <w:pStyle w:val="Body"/>
        <w:spacing w:after="0"/>
        <w:rPr>
          <w:rFonts w:ascii="Arial" w:hAnsi="Arial" w:cs="Arial"/>
          <w:b/>
          <w:bCs/>
          <w:sz w:val="24"/>
          <w:szCs w:val="24"/>
        </w:rPr>
      </w:pPr>
      <w:r w:rsidRPr="00FB0FA7">
        <w:rPr>
          <w:rFonts w:ascii="Arial" w:hAnsi="Arial" w:cs="Arial"/>
          <w:b/>
          <w:bCs/>
          <w:sz w:val="24"/>
          <w:szCs w:val="24"/>
        </w:rPr>
        <w:t>R</w:t>
      </w:r>
      <w:r>
        <w:rPr>
          <w:rFonts w:ascii="Arial" w:hAnsi="Arial" w:cs="Arial"/>
          <w:b/>
          <w:bCs/>
          <w:sz w:val="24"/>
          <w:szCs w:val="24"/>
        </w:rPr>
        <w:t>EFERENCES</w:t>
      </w:r>
    </w:p>
    <w:p w14:paraId="2ACA2359" w14:textId="77777777"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APVMA. 2019. Public release summary on evaluation of the new active constituent topramezone in the product “Frequency Herbicide.” Australian Pesticides and Veterinary Medicines Authority, Canberra.</w:t>
      </w:r>
    </w:p>
    <w:p w14:paraId="27BACC20" w14:textId="5E66E19A"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Baumann, P.A.; </w:t>
      </w:r>
      <w:proofErr w:type="spellStart"/>
      <w:r w:rsidRPr="00E45F53">
        <w:rPr>
          <w:rFonts w:ascii="Times New Roman" w:hAnsi="Times New Roman"/>
          <w:sz w:val="24"/>
          <w:szCs w:val="24"/>
          <w:lang w:eastAsia="en-IN"/>
        </w:rPr>
        <w:t>Dotray</w:t>
      </w:r>
      <w:proofErr w:type="spellEnd"/>
      <w:r w:rsidRPr="00E45F53">
        <w:rPr>
          <w:rFonts w:ascii="Times New Roman" w:hAnsi="Times New Roman"/>
          <w:sz w:val="24"/>
          <w:szCs w:val="24"/>
          <w:lang w:eastAsia="en-IN"/>
        </w:rPr>
        <w:t>, P.A. and McGinty, J.A.</w:t>
      </w:r>
      <w:r w:rsidR="00E45F53">
        <w:rPr>
          <w:rFonts w:ascii="Times New Roman" w:hAnsi="Times New Roman"/>
          <w:sz w:val="24"/>
          <w:szCs w:val="24"/>
          <w:lang w:eastAsia="en-IN"/>
        </w:rPr>
        <w:t xml:space="preserve"> (2014).</w:t>
      </w:r>
      <w:r w:rsidRPr="00E45F53">
        <w:rPr>
          <w:rFonts w:ascii="Times New Roman" w:hAnsi="Times New Roman"/>
          <w:sz w:val="24"/>
          <w:szCs w:val="24"/>
          <w:lang w:eastAsia="en-IN"/>
        </w:rPr>
        <w:t xml:space="preserve"> Environmental </w:t>
      </w:r>
      <w:proofErr w:type="spellStart"/>
      <w:r w:rsidRPr="00E45F53">
        <w:rPr>
          <w:rFonts w:ascii="Times New Roman" w:hAnsi="Times New Roman"/>
          <w:sz w:val="24"/>
          <w:szCs w:val="24"/>
          <w:lang w:eastAsia="en-IN"/>
        </w:rPr>
        <w:t>behaviour</w:t>
      </w:r>
      <w:proofErr w:type="spellEnd"/>
      <w:r w:rsidRPr="00E45F53">
        <w:rPr>
          <w:rFonts w:ascii="Times New Roman" w:hAnsi="Times New Roman"/>
          <w:sz w:val="24"/>
          <w:szCs w:val="24"/>
          <w:lang w:eastAsia="en-IN"/>
        </w:rPr>
        <w:t xml:space="preserve"> and mobility of HPPD-inhibiting herbicides. </w:t>
      </w:r>
      <w:r w:rsidRPr="00E45F53">
        <w:rPr>
          <w:rFonts w:ascii="Times New Roman" w:hAnsi="Times New Roman"/>
          <w:i/>
          <w:iCs/>
          <w:sz w:val="24"/>
          <w:szCs w:val="24"/>
          <w:lang w:eastAsia="en-IN"/>
        </w:rPr>
        <w:t>Weed Technology</w:t>
      </w:r>
      <w:r w:rsidRPr="00E45F53">
        <w:rPr>
          <w:rFonts w:ascii="Times New Roman" w:hAnsi="Times New Roman"/>
          <w:sz w:val="24"/>
          <w:szCs w:val="24"/>
          <w:lang w:eastAsia="en-IN"/>
        </w:rPr>
        <w:t>. 28, 356–364.</w:t>
      </w:r>
    </w:p>
    <w:p w14:paraId="4435A358" w14:textId="0AC02546" w:rsidR="00FB0FA7" w:rsidRPr="00E45F53" w:rsidRDefault="00D336EF"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D336EF">
        <w:rPr>
          <w:rFonts w:ascii="Times New Roman" w:hAnsi="Times New Roman"/>
          <w:sz w:val="24"/>
          <w:szCs w:val="24"/>
          <w:lang w:eastAsia="en-IN"/>
        </w:rPr>
        <w:t xml:space="preserve">European Food Safety Authority. (2014). Conclusion on the peer review of the pesticide risk assessment of the active substance topramezone. EFSA Journal, 12(2), 3540. </w:t>
      </w:r>
      <w:hyperlink r:id="rId12" w:history="1">
        <w:r w:rsidRPr="002F1C71">
          <w:rPr>
            <w:rStyle w:val="Hyperlink"/>
            <w:rFonts w:ascii="Times New Roman" w:hAnsi="Times New Roman"/>
            <w:sz w:val="24"/>
            <w:szCs w:val="24"/>
            <w:lang w:eastAsia="en-IN"/>
          </w:rPr>
          <w:t>https://doi.org/10.2903/j.efsa.2014.3540</w:t>
        </w:r>
      </w:hyperlink>
      <w:r>
        <w:rPr>
          <w:rFonts w:ascii="Times New Roman" w:hAnsi="Times New Roman"/>
          <w:sz w:val="24"/>
          <w:szCs w:val="24"/>
          <w:lang w:eastAsia="en-IN"/>
        </w:rPr>
        <w:t xml:space="preserve"> </w:t>
      </w:r>
    </w:p>
    <w:p w14:paraId="58C837E4" w14:textId="16912CDB" w:rsidR="00FB0FA7" w:rsidRPr="00E45F53" w:rsidRDefault="00D336EF"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D336EF">
        <w:rPr>
          <w:rFonts w:ascii="Times New Roman" w:hAnsi="Times New Roman"/>
          <w:sz w:val="24"/>
          <w:szCs w:val="24"/>
          <w:lang w:eastAsia="en-IN"/>
        </w:rPr>
        <w:t xml:space="preserve">Figueroa-Diva, R. A., Vasudevan, D., &amp; MacKay, A. A. (2010). Trends in soil sorption coefficients within common antimicrobial families. Chemosphere, 79(8), 786–793. </w:t>
      </w:r>
      <w:hyperlink r:id="rId13" w:history="1">
        <w:r w:rsidRPr="002F1C71">
          <w:rPr>
            <w:rStyle w:val="Hyperlink"/>
            <w:rFonts w:ascii="Times New Roman" w:hAnsi="Times New Roman"/>
            <w:sz w:val="24"/>
            <w:szCs w:val="24"/>
            <w:lang w:eastAsia="en-IN"/>
          </w:rPr>
          <w:t>https://doi.org/10.1016/j.chemosphere.2010.03.017</w:t>
        </w:r>
      </w:hyperlink>
      <w:r>
        <w:rPr>
          <w:rFonts w:ascii="Times New Roman" w:hAnsi="Times New Roman"/>
          <w:sz w:val="24"/>
          <w:szCs w:val="24"/>
          <w:lang w:eastAsia="en-IN"/>
        </w:rPr>
        <w:t xml:space="preserve"> </w:t>
      </w:r>
    </w:p>
    <w:p w14:paraId="14150644" w14:textId="746B1FF1" w:rsidR="00FB0FA7" w:rsidRPr="007151B8" w:rsidRDefault="00EC0945" w:rsidP="00E45F53">
      <w:pPr>
        <w:pStyle w:val="NormalWeb"/>
        <w:numPr>
          <w:ilvl w:val="0"/>
          <w:numId w:val="31"/>
        </w:numPr>
        <w:spacing w:line="360" w:lineRule="auto"/>
        <w:jc w:val="both"/>
      </w:pPr>
      <w:proofErr w:type="spellStart"/>
      <w:r w:rsidRPr="00EC0945">
        <w:t>Apparao</w:t>
      </w:r>
      <w:proofErr w:type="spellEnd"/>
      <w:r w:rsidRPr="00EC0945">
        <w:t xml:space="preserve">, K., </w:t>
      </w:r>
      <w:proofErr w:type="spellStart"/>
      <w:r w:rsidRPr="00EC0945">
        <w:t>Babu</w:t>
      </w:r>
      <w:proofErr w:type="spellEnd"/>
      <w:r w:rsidRPr="00EC0945">
        <w:t xml:space="preserve">, M. S., Rao, T. N., &amp; Rao, M. V. B. (2015). A novel method for determination of topramezone residues in maize. *Oriental Journal of Chemistry*, *31*(Special Issue 1), 213–218. </w:t>
      </w:r>
      <w:hyperlink r:id="rId14" w:history="1">
        <w:r w:rsidRPr="002F1C71">
          <w:rPr>
            <w:rStyle w:val="Hyperlink"/>
          </w:rPr>
          <w:t>https://doi.org/10.13005/ojc/31.special-issue1.26</w:t>
        </w:r>
      </w:hyperlink>
      <w:r>
        <w:t xml:space="preserve"> </w:t>
      </w:r>
    </w:p>
    <w:p w14:paraId="059E096B" w14:textId="2E3E1F53"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rPr>
      </w:pPr>
      <w:r w:rsidRPr="00347E83">
        <w:rPr>
          <w:rFonts w:ascii="Times New Roman" w:hAnsi="Times New Roman"/>
          <w:sz w:val="24"/>
          <w:szCs w:val="24"/>
        </w:rPr>
        <w:t xml:space="preserve">Gustafson, D. I. (1989). Groundwater ubiquity score: A simple method for assessing pesticide leachability. Environmental Toxicology and Chemistry, 8(4), 339–357. </w:t>
      </w:r>
      <w:hyperlink r:id="rId15" w:history="1">
        <w:r w:rsidRPr="002F1C71">
          <w:rPr>
            <w:rStyle w:val="Hyperlink"/>
            <w:rFonts w:ascii="Times New Roman" w:hAnsi="Times New Roman"/>
            <w:sz w:val="24"/>
            <w:szCs w:val="24"/>
          </w:rPr>
          <w:t>https://doi.org/10.1002/etc.5620080411</w:t>
        </w:r>
      </w:hyperlink>
      <w:r>
        <w:rPr>
          <w:rFonts w:ascii="Times New Roman" w:hAnsi="Times New Roman"/>
          <w:sz w:val="24"/>
          <w:szCs w:val="24"/>
        </w:rPr>
        <w:t xml:space="preserve"> </w:t>
      </w:r>
      <w:r w:rsidR="00FB0FA7" w:rsidRPr="00E45F53">
        <w:rPr>
          <w:rFonts w:ascii="Times New Roman" w:hAnsi="Times New Roman"/>
          <w:sz w:val="24"/>
          <w:szCs w:val="24"/>
        </w:rPr>
        <w:t xml:space="preserve"> </w:t>
      </w:r>
    </w:p>
    <w:p w14:paraId="1ADBEF84" w14:textId="28F61E2F"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Hollaway, K.L.; Walker, S.R. and Preston, C. </w:t>
      </w:r>
      <w:r w:rsidR="00E45F53">
        <w:rPr>
          <w:rFonts w:ascii="Times New Roman" w:hAnsi="Times New Roman"/>
          <w:sz w:val="24"/>
          <w:szCs w:val="24"/>
          <w:lang w:eastAsia="en-IN"/>
        </w:rPr>
        <w:t xml:space="preserve">(2013). </w:t>
      </w:r>
      <w:r w:rsidRPr="00E45F53">
        <w:rPr>
          <w:rFonts w:ascii="Times New Roman" w:hAnsi="Times New Roman"/>
          <w:sz w:val="24"/>
          <w:szCs w:val="24"/>
          <w:lang w:eastAsia="en-IN"/>
        </w:rPr>
        <w:t xml:space="preserve">Influence of soil pH and organic carbon on sorption and degradation of </w:t>
      </w:r>
      <w:proofErr w:type="spellStart"/>
      <w:r w:rsidRPr="00E45F53">
        <w:rPr>
          <w:rFonts w:ascii="Times New Roman" w:hAnsi="Times New Roman"/>
          <w:sz w:val="24"/>
          <w:szCs w:val="24"/>
          <w:lang w:eastAsia="en-IN"/>
        </w:rPr>
        <w:t>mesotrione</w:t>
      </w:r>
      <w:proofErr w:type="spellEnd"/>
      <w:r w:rsidRPr="00E45F53">
        <w:rPr>
          <w:rFonts w:ascii="Times New Roman" w:hAnsi="Times New Roman"/>
          <w:sz w:val="24"/>
          <w:szCs w:val="24"/>
          <w:lang w:eastAsia="en-IN"/>
        </w:rPr>
        <w:t xml:space="preserve"> and </w:t>
      </w:r>
      <w:proofErr w:type="spellStart"/>
      <w:r w:rsidRPr="00E45F53">
        <w:rPr>
          <w:rFonts w:ascii="Times New Roman" w:hAnsi="Times New Roman"/>
          <w:sz w:val="24"/>
          <w:szCs w:val="24"/>
          <w:lang w:eastAsia="en-IN"/>
        </w:rPr>
        <w:t>tembotrione</w:t>
      </w:r>
      <w:proofErr w:type="spellEnd"/>
      <w:r w:rsidRPr="00E45F53">
        <w:rPr>
          <w:rFonts w:ascii="Times New Roman" w:hAnsi="Times New Roman"/>
          <w:sz w:val="24"/>
          <w:szCs w:val="24"/>
          <w:lang w:eastAsia="en-IN"/>
        </w:rPr>
        <w:t xml:space="preserve">. </w:t>
      </w:r>
      <w:r w:rsidRPr="00E45F53">
        <w:rPr>
          <w:rFonts w:ascii="Times New Roman" w:hAnsi="Times New Roman"/>
          <w:i/>
          <w:iCs/>
          <w:sz w:val="24"/>
          <w:szCs w:val="24"/>
          <w:lang w:eastAsia="en-IN"/>
        </w:rPr>
        <w:t>Pest Management Science</w:t>
      </w:r>
      <w:r w:rsidRPr="00E45F53">
        <w:rPr>
          <w:rFonts w:ascii="Times New Roman" w:hAnsi="Times New Roman"/>
          <w:b/>
          <w:bCs/>
          <w:sz w:val="24"/>
          <w:szCs w:val="24"/>
          <w:lang w:eastAsia="en-IN"/>
        </w:rPr>
        <w:t>,</w:t>
      </w:r>
      <w:r w:rsidRPr="00E45F53">
        <w:rPr>
          <w:rFonts w:ascii="Times New Roman" w:hAnsi="Times New Roman"/>
          <w:sz w:val="24"/>
          <w:szCs w:val="24"/>
          <w:lang w:eastAsia="en-IN"/>
        </w:rPr>
        <w:t xml:space="preserve"> 69, 1492–1498.</w:t>
      </w:r>
    </w:p>
    <w:p w14:paraId="028063CA" w14:textId="470EEDC9"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color w:val="1C1D1E"/>
          <w:sz w:val="24"/>
          <w:szCs w:val="24"/>
          <w:shd w:val="clear" w:color="auto" w:fill="FFFFFF"/>
        </w:rPr>
      </w:pPr>
      <w:r w:rsidRPr="00347E83">
        <w:rPr>
          <w:rStyle w:val="author0"/>
          <w:rFonts w:ascii="Times New Roman" w:hAnsi="Times New Roman"/>
          <w:color w:val="1C1D1E"/>
          <w:sz w:val="24"/>
          <w:szCs w:val="24"/>
          <w:shd w:val="clear" w:color="auto" w:fill="FFFFFF"/>
        </w:rPr>
        <w:t xml:space="preserve">Madhavi, M., Prakash, T. R., Srinivas, A., &amp; </w:t>
      </w:r>
      <w:proofErr w:type="spellStart"/>
      <w:r w:rsidRPr="00347E83">
        <w:rPr>
          <w:rStyle w:val="author0"/>
          <w:rFonts w:ascii="Times New Roman" w:hAnsi="Times New Roman"/>
          <w:color w:val="1C1D1E"/>
          <w:sz w:val="24"/>
          <w:szCs w:val="24"/>
          <w:shd w:val="clear" w:color="auto" w:fill="FFFFFF"/>
        </w:rPr>
        <w:t>Yakadri</w:t>
      </w:r>
      <w:proofErr w:type="spellEnd"/>
      <w:r w:rsidRPr="00347E83">
        <w:rPr>
          <w:rStyle w:val="author0"/>
          <w:rFonts w:ascii="Times New Roman" w:hAnsi="Times New Roman"/>
          <w:color w:val="1C1D1E"/>
          <w:sz w:val="24"/>
          <w:szCs w:val="24"/>
          <w:shd w:val="clear" w:color="auto" w:fill="FFFFFF"/>
        </w:rPr>
        <w:t>, M. (2013). Integrated weed management in maize (</w:t>
      </w:r>
      <w:proofErr w:type="spellStart"/>
      <w:r w:rsidRPr="00347E83">
        <w:rPr>
          <w:rStyle w:val="author0"/>
          <w:rFonts w:ascii="Times New Roman" w:hAnsi="Times New Roman"/>
          <w:color w:val="1C1D1E"/>
          <w:sz w:val="24"/>
          <w:szCs w:val="24"/>
          <w:shd w:val="clear" w:color="auto" w:fill="FFFFFF"/>
        </w:rPr>
        <w:t>Zea</w:t>
      </w:r>
      <w:proofErr w:type="spellEnd"/>
      <w:r w:rsidRPr="00347E83">
        <w:rPr>
          <w:rStyle w:val="author0"/>
          <w:rFonts w:ascii="Times New Roman" w:hAnsi="Times New Roman"/>
          <w:color w:val="1C1D1E"/>
          <w:sz w:val="24"/>
          <w:szCs w:val="24"/>
          <w:shd w:val="clear" w:color="auto" w:fill="FFFFFF"/>
        </w:rPr>
        <w:t xml:space="preserve"> mays L.) for supporting food </w:t>
      </w:r>
      <w:r w:rsidRPr="00347E83">
        <w:rPr>
          <w:rStyle w:val="author0"/>
          <w:rFonts w:ascii="Times New Roman" w:hAnsi="Times New Roman"/>
          <w:color w:val="1C1D1E"/>
          <w:sz w:val="24"/>
          <w:szCs w:val="24"/>
          <w:shd w:val="clear" w:color="auto" w:fill="FFFFFF"/>
        </w:rPr>
        <w:lastRenderedPageBreak/>
        <w:t xml:space="preserve">security in Andhra Pradesh, India. In *The role of weed science in supporting food security by 2020, Proceedings of the 24th Asian-Pacific Weed Science Society Conference* (pp. 510–516). Asian-Pacific Weed Science Society. </w:t>
      </w:r>
      <w:hyperlink r:id="rId16" w:history="1">
        <w:r w:rsidRPr="002F1C71">
          <w:rPr>
            <w:rStyle w:val="Hyperlink"/>
            <w:rFonts w:ascii="Times New Roman" w:hAnsi="Times New Roman"/>
            <w:sz w:val="24"/>
            <w:szCs w:val="24"/>
            <w:shd w:val="clear" w:color="auto" w:fill="FFFFFF"/>
          </w:rPr>
          <w:t>https://oar.icrisat.org/8000/</w:t>
        </w:r>
      </w:hyperlink>
      <w:r>
        <w:rPr>
          <w:rStyle w:val="author0"/>
          <w:rFonts w:ascii="Times New Roman" w:hAnsi="Times New Roman"/>
          <w:color w:val="1C1D1E"/>
          <w:sz w:val="24"/>
          <w:szCs w:val="24"/>
          <w:shd w:val="clear" w:color="auto" w:fill="FFFFFF"/>
        </w:rPr>
        <w:t xml:space="preserve"> </w:t>
      </w:r>
    </w:p>
    <w:p w14:paraId="1280DEC7" w14:textId="7C145D17"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347E83">
        <w:rPr>
          <w:rFonts w:ascii="Times New Roman" w:hAnsi="Times New Roman"/>
          <w:sz w:val="24"/>
          <w:szCs w:val="24"/>
          <w:lang w:eastAsia="en-IN"/>
        </w:rPr>
        <w:t xml:space="preserve">Mitchell, G., Bartlett, D. W., Fraser, T. E., Hawkes, T. R., Holt, D. C., Townson, J. K., &amp; </w:t>
      </w:r>
      <w:proofErr w:type="spellStart"/>
      <w:r w:rsidRPr="00347E83">
        <w:rPr>
          <w:rFonts w:ascii="Times New Roman" w:hAnsi="Times New Roman"/>
          <w:sz w:val="24"/>
          <w:szCs w:val="24"/>
          <w:lang w:eastAsia="en-IN"/>
        </w:rPr>
        <w:t>Wichert</w:t>
      </w:r>
      <w:proofErr w:type="spellEnd"/>
      <w:r w:rsidRPr="00347E83">
        <w:rPr>
          <w:rFonts w:ascii="Times New Roman" w:hAnsi="Times New Roman"/>
          <w:sz w:val="24"/>
          <w:szCs w:val="24"/>
          <w:lang w:eastAsia="en-IN"/>
        </w:rPr>
        <w:t xml:space="preserve">, R. A. (2001). </w:t>
      </w:r>
      <w:proofErr w:type="spellStart"/>
      <w:r w:rsidRPr="00347E83">
        <w:rPr>
          <w:rFonts w:ascii="Times New Roman" w:hAnsi="Times New Roman"/>
          <w:sz w:val="24"/>
          <w:szCs w:val="24"/>
          <w:lang w:eastAsia="en-IN"/>
        </w:rPr>
        <w:t>Mesotrione</w:t>
      </w:r>
      <w:proofErr w:type="spellEnd"/>
      <w:r w:rsidRPr="00347E83">
        <w:rPr>
          <w:rFonts w:ascii="Times New Roman" w:hAnsi="Times New Roman"/>
          <w:sz w:val="24"/>
          <w:szCs w:val="24"/>
          <w:lang w:eastAsia="en-IN"/>
        </w:rPr>
        <w:t xml:space="preserve">: a new selective herbicide for use in maize. Pest Management Science, 57, 120–128. </w:t>
      </w:r>
      <w:hyperlink r:id="rId17" w:history="1">
        <w:r w:rsidRPr="002F1C71">
          <w:rPr>
            <w:rStyle w:val="Hyperlink"/>
            <w:rFonts w:ascii="Times New Roman" w:hAnsi="Times New Roman"/>
            <w:sz w:val="24"/>
            <w:szCs w:val="24"/>
            <w:lang w:eastAsia="en-IN"/>
          </w:rPr>
          <w:t>https://doi.org/10.1002/1526-4998(200102)57:2&lt;120::AID-PS254&gt;3.0.CO;2-E</w:t>
        </w:r>
      </w:hyperlink>
      <w:r>
        <w:rPr>
          <w:rFonts w:ascii="Times New Roman" w:hAnsi="Times New Roman"/>
          <w:sz w:val="24"/>
          <w:szCs w:val="24"/>
          <w:lang w:eastAsia="en-IN"/>
        </w:rPr>
        <w:t xml:space="preserve"> </w:t>
      </w:r>
    </w:p>
    <w:p w14:paraId="74EF3A14" w14:textId="325EF15A" w:rsidR="00FB0FA7" w:rsidRPr="007151B8" w:rsidRDefault="00347E83" w:rsidP="00E45F53">
      <w:pPr>
        <w:pStyle w:val="NormalWeb"/>
        <w:numPr>
          <w:ilvl w:val="0"/>
          <w:numId w:val="31"/>
        </w:numPr>
        <w:spacing w:line="360" w:lineRule="auto"/>
        <w:jc w:val="both"/>
      </w:pPr>
      <w:r w:rsidRPr="00347E83">
        <w:t xml:space="preserve">Organisation for Economic Co-operation and Development. (2000). *Test No. 106: Adsorption -- Desorption Using a Batch Equilibrium Method*. </w:t>
      </w:r>
      <w:hyperlink r:id="rId18" w:history="1">
        <w:r w:rsidRPr="002F1C71">
          <w:rPr>
            <w:rStyle w:val="Hyperlink"/>
          </w:rPr>
          <w:t>https://www.oecd-ilibrary.org/environment/test-no-106-adsorption-desorption-using-a-batch-equilibrium-method_9789264069622-en</w:t>
        </w:r>
      </w:hyperlink>
      <w:r>
        <w:t xml:space="preserve"> </w:t>
      </w:r>
    </w:p>
    <w:p w14:paraId="1894148B" w14:textId="0136C59E"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proofErr w:type="spellStart"/>
      <w:r w:rsidRPr="00E45F53">
        <w:rPr>
          <w:rFonts w:ascii="Times New Roman" w:hAnsi="Times New Roman"/>
          <w:sz w:val="24"/>
          <w:szCs w:val="24"/>
          <w:lang w:eastAsia="en-IN"/>
        </w:rPr>
        <w:t>Pusino</w:t>
      </w:r>
      <w:proofErr w:type="spellEnd"/>
      <w:r w:rsidRPr="00E45F53">
        <w:rPr>
          <w:rFonts w:ascii="Times New Roman" w:hAnsi="Times New Roman"/>
          <w:sz w:val="24"/>
          <w:szCs w:val="24"/>
          <w:lang w:eastAsia="en-IN"/>
        </w:rPr>
        <w:t xml:space="preserve">, A.; </w:t>
      </w:r>
      <w:proofErr w:type="spellStart"/>
      <w:r w:rsidRPr="00E45F53">
        <w:rPr>
          <w:rFonts w:ascii="Times New Roman" w:hAnsi="Times New Roman"/>
          <w:sz w:val="24"/>
          <w:szCs w:val="24"/>
          <w:lang w:eastAsia="en-IN"/>
        </w:rPr>
        <w:t>Petretto</w:t>
      </w:r>
      <w:proofErr w:type="spellEnd"/>
      <w:r w:rsidRPr="00E45F53">
        <w:rPr>
          <w:rFonts w:ascii="Times New Roman" w:hAnsi="Times New Roman"/>
          <w:sz w:val="24"/>
          <w:szCs w:val="24"/>
          <w:lang w:eastAsia="en-IN"/>
        </w:rPr>
        <w:t xml:space="preserve">, S and </w:t>
      </w:r>
      <w:proofErr w:type="spellStart"/>
      <w:r w:rsidRPr="00E45F53">
        <w:rPr>
          <w:rFonts w:ascii="Times New Roman" w:hAnsi="Times New Roman"/>
          <w:sz w:val="24"/>
          <w:szCs w:val="24"/>
          <w:lang w:eastAsia="en-IN"/>
        </w:rPr>
        <w:t>Gessa</w:t>
      </w:r>
      <w:proofErr w:type="spellEnd"/>
      <w:r w:rsidRPr="00E45F53">
        <w:rPr>
          <w:rFonts w:ascii="Times New Roman" w:hAnsi="Times New Roman"/>
          <w:sz w:val="24"/>
          <w:szCs w:val="24"/>
          <w:lang w:eastAsia="en-IN"/>
        </w:rPr>
        <w:t xml:space="preserve">, C. Adsorption and desorption of </w:t>
      </w:r>
      <w:proofErr w:type="spellStart"/>
      <w:r w:rsidRPr="00E45F53">
        <w:rPr>
          <w:rFonts w:ascii="Times New Roman" w:hAnsi="Times New Roman"/>
          <w:sz w:val="24"/>
          <w:szCs w:val="24"/>
          <w:lang w:eastAsia="en-IN"/>
        </w:rPr>
        <w:t>mesotrione</w:t>
      </w:r>
      <w:proofErr w:type="spellEnd"/>
      <w:r w:rsidRPr="00E45F53">
        <w:rPr>
          <w:rFonts w:ascii="Times New Roman" w:hAnsi="Times New Roman"/>
          <w:sz w:val="24"/>
          <w:szCs w:val="24"/>
          <w:lang w:eastAsia="en-IN"/>
        </w:rPr>
        <w:t xml:space="preserve"> on agricultural soils.</w:t>
      </w:r>
      <w:r w:rsidR="00E45F53">
        <w:rPr>
          <w:rFonts w:ascii="Times New Roman" w:hAnsi="Times New Roman"/>
          <w:sz w:val="24"/>
          <w:szCs w:val="24"/>
          <w:lang w:eastAsia="en-IN"/>
        </w:rPr>
        <w:t xml:space="preserve"> (2010).</w:t>
      </w:r>
      <w:r w:rsidRPr="00E45F53">
        <w:rPr>
          <w:rFonts w:ascii="Times New Roman" w:hAnsi="Times New Roman"/>
          <w:sz w:val="24"/>
          <w:szCs w:val="24"/>
          <w:lang w:eastAsia="en-IN"/>
        </w:rPr>
        <w:t xml:space="preserve"> </w:t>
      </w:r>
      <w:r w:rsidRPr="00E45F53">
        <w:rPr>
          <w:rFonts w:ascii="Times New Roman" w:hAnsi="Times New Roman"/>
          <w:i/>
          <w:iCs/>
          <w:sz w:val="24"/>
          <w:szCs w:val="24"/>
          <w:lang w:eastAsia="en-IN"/>
        </w:rPr>
        <w:t>Journal of Environmental Science and Health, Part B</w:t>
      </w:r>
      <w:r w:rsidRPr="00E45F53">
        <w:rPr>
          <w:rFonts w:ascii="Times New Roman" w:hAnsi="Times New Roman"/>
          <w:sz w:val="24"/>
          <w:szCs w:val="24"/>
          <w:lang w:eastAsia="en-IN"/>
        </w:rPr>
        <w:t>, 45, 539–543.</w:t>
      </w:r>
    </w:p>
    <w:p w14:paraId="03E4D4F8" w14:textId="78E873FA" w:rsidR="00FB0FA7" w:rsidRPr="007151B8" w:rsidRDefault="00347E83" w:rsidP="00E45F53">
      <w:pPr>
        <w:pStyle w:val="NormalWeb"/>
        <w:numPr>
          <w:ilvl w:val="0"/>
          <w:numId w:val="31"/>
        </w:numPr>
        <w:spacing w:line="360" w:lineRule="auto"/>
        <w:jc w:val="both"/>
      </w:pPr>
      <w:r w:rsidRPr="00347E83">
        <w:t xml:space="preserve">Rao, P. L., </w:t>
      </w:r>
      <w:proofErr w:type="spellStart"/>
      <w:r w:rsidRPr="00347E83">
        <w:t>Jayasree</w:t>
      </w:r>
      <w:proofErr w:type="spellEnd"/>
      <w:r w:rsidRPr="00347E83">
        <w:t>, G., Pratibha, G., &amp; Ram Prakash, T. (2017). Effect of Soil Amendments on Physical Properties of Soil in Maize (</w:t>
      </w:r>
      <w:proofErr w:type="spellStart"/>
      <w:r w:rsidRPr="00347E83">
        <w:t>Zea</w:t>
      </w:r>
      <w:proofErr w:type="spellEnd"/>
      <w:r w:rsidRPr="00347E83">
        <w:t xml:space="preserve"> mays L.). International Journal of Current Microbiology and Applied Sciences, 6(6), 2082-2091. </w:t>
      </w:r>
      <w:hyperlink r:id="rId19" w:history="1">
        <w:r w:rsidRPr="002F1C71">
          <w:rPr>
            <w:rStyle w:val="Hyperlink"/>
          </w:rPr>
          <w:t>https://doi.org/10.20546/ijcmas.2017.606.247</w:t>
        </w:r>
      </w:hyperlink>
      <w:r>
        <w:t xml:space="preserve"> </w:t>
      </w:r>
    </w:p>
    <w:p w14:paraId="7CCAD19B" w14:textId="5C6999B0" w:rsidR="00FB0FA7" w:rsidRPr="007151B8" w:rsidRDefault="00347E83" w:rsidP="00E45F53">
      <w:pPr>
        <w:pStyle w:val="NormalWeb"/>
        <w:numPr>
          <w:ilvl w:val="0"/>
          <w:numId w:val="31"/>
        </w:numPr>
        <w:spacing w:line="360" w:lineRule="auto"/>
        <w:jc w:val="both"/>
      </w:pPr>
      <w:r w:rsidRPr="00347E83">
        <w:t xml:space="preserve">Richards, L. A. (Ed.). (1954). Diagnosis and Improvement of Saline and Alkali Soils. USDA Handbook No. 60. </w:t>
      </w:r>
      <w:hyperlink r:id="rId20" w:history="1">
        <w:r w:rsidRPr="002F1C71">
          <w:rPr>
            <w:rStyle w:val="Hyperlink"/>
          </w:rPr>
          <w:t>https://www.ars.usda.gov/pacific-west-area/riverside-ca/us-salinity-laboratory/docs/handbook-no-60/</w:t>
        </w:r>
      </w:hyperlink>
      <w:r>
        <w:t xml:space="preserve"> </w:t>
      </w:r>
    </w:p>
    <w:p w14:paraId="0BD82B43" w14:textId="7232D448"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US EPA. </w:t>
      </w:r>
      <w:r w:rsidR="00510989" w:rsidRPr="00510989">
        <w:rPr>
          <w:rFonts w:ascii="Times New Roman" w:hAnsi="Times New Roman"/>
          <w:sz w:val="24"/>
          <w:szCs w:val="24"/>
          <w:lang w:eastAsia="en-IN"/>
        </w:rPr>
        <w:t>(</w:t>
      </w:r>
      <w:r w:rsidRPr="00510989">
        <w:rPr>
          <w:rFonts w:ascii="Times New Roman" w:hAnsi="Times New Roman"/>
          <w:sz w:val="24"/>
          <w:szCs w:val="24"/>
          <w:lang w:eastAsia="en-IN"/>
        </w:rPr>
        <w:t>2013</w:t>
      </w:r>
      <w:r w:rsidR="00510989" w:rsidRPr="00510989">
        <w:rPr>
          <w:rFonts w:ascii="Times New Roman" w:hAnsi="Times New Roman"/>
          <w:sz w:val="24"/>
          <w:szCs w:val="24"/>
          <w:lang w:eastAsia="en-IN"/>
        </w:rPr>
        <w:t>)</w:t>
      </w:r>
      <w:r w:rsidRPr="00510989">
        <w:rPr>
          <w:rFonts w:ascii="Times New Roman" w:hAnsi="Times New Roman"/>
          <w:sz w:val="24"/>
          <w:szCs w:val="24"/>
          <w:lang w:eastAsia="en-IN"/>
        </w:rPr>
        <w:t>.</w:t>
      </w:r>
      <w:r w:rsidRPr="00E45F53">
        <w:rPr>
          <w:rFonts w:ascii="Times New Roman" w:hAnsi="Times New Roman"/>
          <w:sz w:val="24"/>
          <w:szCs w:val="24"/>
          <w:lang w:eastAsia="en-IN"/>
        </w:rPr>
        <w:t xml:space="preserve"> Environmental fate and ecological risk assessment for topramezone. Environmental Protection Agency, Washington, DC.</w:t>
      </w:r>
    </w:p>
    <w:p w14:paraId="7F0057DE" w14:textId="0FDF4244" w:rsidR="00FB0FA7" w:rsidRPr="00E45F53" w:rsidRDefault="00FB0FA7"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E45F53">
        <w:rPr>
          <w:rFonts w:ascii="Times New Roman" w:hAnsi="Times New Roman"/>
          <w:sz w:val="24"/>
          <w:szCs w:val="24"/>
          <w:lang w:eastAsia="en-IN"/>
        </w:rPr>
        <w:t xml:space="preserve">Walker, A. and Jurado-Exposito, M. </w:t>
      </w:r>
      <w:r w:rsidR="00510989">
        <w:rPr>
          <w:rFonts w:ascii="Times New Roman" w:hAnsi="Times New Roman"/>
          <w:sz w:val="24"/>
          <w:szCs w:val="24"/>
          <w:lang w:eastAsia="en-IN"/>
        </w:rPr>
        <w:t xml:space="preserve">(1998). </w:t>
      </w:r>
      <w:r w:rsidRPr="00E45F53">
        <w:rPr>
          <w:rFonts w:ascii="Times New Roman" w:hAnsi="Times New Roman"/>
          <w:sz w:val="24"/>
          <w:szCs w:val="24"/>
          <w:lang w:eastAsia="en-IN"/>
        </w:rPr>
        <w:t xml:space="preserve">Adsorption, degradation and mobility of acid herbicides in soils. </w:t>
      </w:r>
      <w:r w:rsidRPr="00E45F53">
        <w:rPr>
          <w:rFonts w:ascii="Times New Roman" w:hAnsi="Times New Roman"/>
          <w:i/>
          <w:iCs/>
          <w:sz w:val="24"/>
          <w:szCs w:val="24"/>
          <w:lang w:eastAsia="en-IN"/>
        </w:rPr>
        <w:t>Weed Research</w:t>
      </w:r>
      <w:r w:rsidRPr="00E45F53">
        <w:rPr>
          <w:rFonts w:ascii="Times New Roman" w:hAnsi="Times New Roman"/>
          <w:sz w:val="24"/>
          <w:szCs w:val="24"/>
          <w:lang w:eastAsia="en-IN"/>
        </w:rPr>
        <w:t>, 38, 229–239.</w:t>
      </w:r>
    </w:p>
    <w:p w14:paraId="4B37D822" w14:textId="1AD74582" w:rsidR="00FB0FA7" w:rsidRPr="007151B8" w:rsidRDefault="00347E83" w:rsidP="00E45F53">
      <w:pPr>
        <w:pStyle w:val="NormalWeb"/>
        <w:numPr>
          <w:ilvl w:val="0"/>
          <w:numId w:val="31"/>
        </w:numPr>
        <w:spacing w:line="360" w:lineRule="auto"/>
        <w:jc w:val="both"/>
      </w:pPr>
      <w:r w:rsidRPr="00347E83">
        <w:t xml:space="preserve">Walkley, A., &amp; Black, I.A. (1934). An examination of the </w:t>
      </w:r>
      <w:proofErr w:type="spellStart"/>
      <w:r w:rsidRPr="00347E83">
        <w:t>Degtjareff</w:t>
      </w:r>
      <w:proofErr w:type="spellEnd"/>
      <w:r w:rsidRPr="00347E83">
        <w:t xml:space="preserve"> method for determining soil organic matter and a proposed modification </w:t>
      </w:r>
      <w:r w:rsidRPr="00347E83">
        <w:lastRenderedPageBreak/>
        <w:t xml:space="preserve">of the chromic acid titration method. Soil Science, 37, 29–38. </w:t>
      </w:r>
      <w:hyperlink r:id="rId21" w:history="1">
        <w:r w:rsidRPr="002F1C71">
          <w:rPr>
            <w:rStyle w:val="Hyperlink"/>
          </w:rPr>
          <w:t>https://doi.org/10.1097/00010694-193401000-00003</w:t>
        </w:r>
      </w:hyperlink>
      <w:r>
        <w:t xml:space="preserve"> </w:t>
      </w:r>
    </w:p>
    <w:p w14:paraId="386B6D30" w14:textId="74088919" w:rsidR="00FB0FA7" w:rsidRPr="00E45F53" w:rsidRDefault="00347E83" w:rsidP="00E45F53">
      <w:pPr>
        <w:pStyle w:val="ListParagraph"/>
        <w:numPr>
          <w:ilvl w:val="0"/>
          <w:numId w:val="31"/>
        </w:numPr>
        <w:spacing w:before="100" w:beforeAutospacing="1" w:after="100" w:afterAutospacing="1" w:line="360" w:lineRule="auto"/>
        <w:jc w:val="both"/>
        <w:rPr>
          <w:rFonts w:ascii="Times New Roman" w:hAnsi="Times New Roman"/>
          <w:sz w:val="24"/>
          <w:szCs w:val="24"/>
          <w:lang w:eastAsia="en-IN"/>
        </w:rPr>
      </w:pPr>
      <w:r w:rsidRPr="00347E83">
        <w:rPr>
          <w:rFonts w:ascii="Times New Roman" w:hAnsi="Times New Roman"/>
          <w:sz w:val="24"/>
          <w:szCs w:val="24"/>
          <w:lang w:eastAsia="en-IN"/>
        </w:rPr>
        <w:t xml:space="preserve">Wauchope, R. D., Yeh, S., </w:t>
      </w:r>
      <w:proofErr w:type="spellStart"/>
      <w:r w:rsidRPr="00347E83">
        <w:rPr>
          <w:rFonts w:ascii="Times New Roman" w:hAnsi="Times New Roman"/>
          <w:sz w:val="24"/>
          <w:szCs w:val="24"/>
          <w:lang w:eastAsia="en-IN"/>
        </w:rPr>
        <w:t>Linders</w:t>
      </w:r>
      <w:proofErr w:type="spellEnd"/>
      <w:r w:rsidRPr="00347E83">
        <w:rPr>
          <w:rFonts w:ascii="Times New Roman" w:hAnsi="Times New Roman"/>
          <w:sz w:val="24"/>
          <w:szCs w:val="24"/>
          <w:lang w:eastAsia="en-IN"/>
        </w:rPr>
        <w:t xml:space="preserve">, J. B. H. J., </w:t>
      </w:r>
      <w:proofErr w:type="spellStart"/>
      <w:r w:rsidRPr="00347E83">
        <w:rPr>
          <w:rFonts w:ascii="Times New Roman" w:hAnsi="Times New Roman"/>
          <w:sz w:val="24"/>
          <w:szCs w:val="24"/>
          <w:lang w:eastAsia="en-IN"/>
        </w:rPr>
        <w:t>Kloskowski</w:t>
      </w:r>
      <w:proofErr w:type="spellEnd"/>
      <w:r w:rsidRPr="00347E83">
        <w:rPr>
          <w:rFonts w:ascii="Times New Roman" w:hAnsi="Times New Roman"/>
          <w:sz w:val="24"/>
          <w:szCs w:val="24"/>
          <w:lang w:eastAsia="en-IN"/>
        </w:rPr>
        <w:t xml:space="preserve">, R., Tanaka, K., Rubin, B., Katayama, A., </w:t>
      </w:r>
      <w:proofErr w:type="spellStart"/>
      <w:r w:rsidRPr="00347E83">
        <w:rPr>
          <w:rFonts w:ascii="Times New Roman" w:hAnsi="Times New Roman"/>
          <w:sz w:val="24"/>
          <w:szCs w:val="24"/>
          <w:lang w:eastAsia="en-IN"/>
        </w:rPr>
        <w:t>Kördel</w:t>
      </w:r>
      <w:proofErr w:type="spellEnd"/>
      <w:r w:rsidRPr="00347E83">
        <w:rPr>
          <w:rFonts w:ascii="Times New Roman" w:hAnsi="Times New Roman"/>
          <w:sz w:val="24"/>
          <w:szCs w:val="24"/>
          <w:lang w:eastAsia="en-IN"/>
        </w:rPr>
        <w:t xml:space="preserve">, W., </w:t>
      </w:r>
      <w:proofErr w:type="spellStart"/>
      <w:r w:rsidRPr="00347E83">
        <w:rPr>
          <w:rFonts w:ascii="Times New Roman" w:hAnsi="Times New Roman"/>
          <w:sz w:val="24"/>
          <w:szCs w:val="24"/>
          <w:lang w:eastAsia="en-IN"/>
        </w:rPr>
        <w:t>Gerstl</w:t>
      </w:r>
      <w:proofErr w:type="spellEnd"/>
      <w:r w:rsidRPr="00347E83">
        <w:rPr>
          <w:rFonts w:ascii="Times New Roman" w:hAnsi="Times New Roman"/>
          <w:sz w:val="24"/>
          <w:szCs w:val="24"/>
          <w:lang w:eastAsia="en-IN"/>
        </w:rPr>
        <w:t xml:space="preserve">, Z., Lane, M., &amp; Unsworth, J. B. (2002). Pesticide soil sorption parameters: Theory, measurement, uses, limitations and reliability. Pest Management Science, 58(5), 419–445. </w:t>
      </w:r>
      <w:hyperlink r:id="rId22" w:history="1">
        <w:r w:rsidRPr="002F1C71">
          <w:rPr>
            <w:rStyle w:val="Hyperlink"/>
            <w:rFonts w:ascii="Times New Roman" w:hAnsi="Times New Roman"/>
            <w:sz w:val="24"/>
            <w:szCs w:val="24"/>
            <w:lang w:eastAsia="en-IN"/>
          </w:rPr>
          <w:t>https://doi.org/10.1002/ps.489</w:t>
        </w:r>
      </w:hyperlink>
      <w:r>
        <w:rPr>
          <w:rFonts w:ascii="Times New Roman" w:hAnsi="Times New Roman"/>
          <w:sz w:val="24"/>
          <w:szCs w:val="24"/>
          <w:lang w:eastAsia="en-IN"/>
        </w:rPr>
        <w:t xml:space="preserve"> </w:t>
      </w:r>
    </w:p>
    <w:p w14:paraId="677F34C8" w14:textId="77777777" w:rsidR="00FB0FA7" w:rsidRPr="00FB0FA7" w:rsidRDefault="00FB0FA7" w:rsidP="00441B6F">
      <w:pPr>
        <w:pStyle w:val="Body"/>
        <w:spacing w:after="0"/>
        <w:rPr>
          <w:rFonts w:ascii="Arial" w:hAnsi="Arial" w:cs="Arial"/>
          <w:b/>
          <w:bCs/>
          <w:sz w:val="24"/>
          <w:szCs w:val="24"/>
        </w:rPr>
      </w:pPr>
    </w:p>
    <w:sectPr w:rsidR="00FB0FA7" w:rsidRPr="00FB0FA7" w:rsidSect="001E02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C2338" w14:textId="77777777" w:rsidR="0017603A" w:rsidRDefault="0017603A" w:rsidP="00C37E61">
      <w:r>
        <w:separator/>
      </w:r>
    </w:p>
  </w:endnote>
  <w:endnote w:type="continuationSeparator" w:id="0">
    <w:p w14:paraId="2409D55C" w14:textId="77777777" w:rsidR="0017603A" w:rsidRDefault="001760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CEB5" w14:textId="77777777" w:rsidR="009E048A" w:rsidRDefault="009E048A">
    <w:pPr>
      <w:pStyle w:val="Footer"/>
      <w:rPr>
        <w:rFonts w:ascii="Arial" w:hAnsi="Arial" w:cs="Arial"/>
        <w:sz w:val="16"/>
      </w:rPr>
    </w:pPr>
  </w:p>
  <w:p w14:paraId="2404B41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7DDB5A" w14:textId="77777777" w:rsidR="009E048A" w:rsidRDefault="009E048A">
    <w:pPr>
      <w:pStyle w:val="Footer"/>
      <w:rPr>
        <w:rFonts w:ascii="Arial" w:hAnsi="Arial" w:cs="Arial"/>
        <w:sz w:val="16"/>
      </w:rPr>
    </w:pPr>
  </w:p>
  <w:p w14:paraId="6E54F55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32DB5" w14:textId="77777777" w:rsidR="0017603A" w:rsidRDefault="0017603A" w:rsidP="00C37E61">
      <w:r>
        <w:separator/>
      </w:r>
    </w:p>
  </w:footnote>
  <w:footnote w:type="continuationSeparator" w:id="0">
    <w:p w14:paraId="485E3995" w14:textId="77777777" w:rsidR="0017603A" w:rsidRDefault="001760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A9B81" w14:textId="77777777" w:rsidR="00296529" w:rsidRPr="00296529" w:rsidRDefault="00296529" w:rsidP="00296529">
    <w:pPr>
      <w:ind w:left="2160"/>
      <w:jc w:val="center"/>
      <w:rPr>
        <w:rFonts w:ascii="Times New Roman" w:eastAsia="Calibri" w:hAnsi="Times New Roman"/>
        <w:i/>
        <w:sz w:val="18"/>
        <w:szCs w:val="22"/>
      </w:rPr>
    </w:pPr>
  </w:p>
  <w:p w14:paraId="0A8C6D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552F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1A3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64F4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057A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3253C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531DCF"/>
    <w:multiLevelType w:val="hybridMultilevel"/>
    <w:tmpl w:val="B100EA0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52F4"/>
    <w:rsid w:val="000D689F"/>
    <w:rsid w:val="000E7B7B"/>
    <w:rsid w:val="000E7D62"/>
    <w:rsid w:val="00103357"/>
    <w:rsid w:val="00123C9F"/>
    <w:rsid w:val="00126190"/>
    <w:rsid w:val="00130F17"/>
    <w:rsid w:val="001320BF"/>
    <w:rsid w:val="00163BC4"/>
    <w:rsid w:val="0017603A"/>
    <w:rsid w:val="00191062"/>
    <w:rsid w:val="00192B72"/>
    <w:rsid w:val="001A29D8"/>
    <w:rsid w:val="001A5CAA"/>
    <w:rsid w:val="001B0427"/>
    <w:rsid w:val="001D3A51"/>
    <w:rsid w:val="001E02D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E83"/>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989"/>
    <w:rsid w:val="00512136"/>
    <w:rsid w:val="0053056E"/>
    <w:rsid w:val="00554FDA"/>
    <w:rsid w:val="005C784C"/>
    <w:rsid w:val="005C7A33"/>
    <w:rsid w:val="005D17F6"/>
    <w:rsid w:val="005E5539"/>
    <w:rsid w:val="00602BF5"/>
    <w:rsid w:val="00617FDD"/>
    <w:rsid w:val="00633614"/>
    <w:rsid w:val="00633F68"/>
    <w:rsid w:val="00636EB2"/>
    <w:rsid w:val="006375B8"/>
    <w:rsid w:val="00653EB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418A"/>
    <w:rsid w:val="007D2288"/>
    <w:rsid w:val="007E088F"/>
    <w:rsid w:val="007F7B32"/>
    <w:rsid w:val="00804BC2"/>
    <w:rsid w:val="0081431A"/>
    <w:rsid w:val="0083216F"/>
    <w:rsid w:val="00832B29"/>
    <w:rsid w:val="00860000"/>
    <w:rsid w:val="00863BD3"/>
    <w:rsid w:val="008641ED"/>
    <w:rsid w:val="00866D66"/>
    <w:rsid w:val="008671C6"/>
    <w:rsid w:val="00875803"/>
    <w:rsid w:val="008B1062"/>
    <w:rsid w:val="008B459E"/>
    <w:rsid w:val="008E13AE"/>
    <w:rsid w:val="008E1506"/>
    <w:rsid w:val="008E710C"/>
    <w:rsid w:val="008F69D6"/>
    <w:rsid w:val="00902823"/>
    <w:rsid w:val="00915CA6"/>
    <w:rsid w:val="00927834"/>
    <w:rsid w:val="009500A6"/>
    <w:rsid w:val="00957C18"/>
    <w:rsid w:val="00962638"/>
    <w:rsid w:val="009659BA"/>
    <w:rsid w:val="0098038E"/>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0462"/>
    <w:rsid w:val="00BB37AA"/>
    <w:rsid w:val="00BC53A0"/>
    <w:rsid w:val="00BE62AD"/>
    <w:rsid w:val="00BF121F"/>
    <w:rsid w:val="00BF1F80"/>
    <w:rsid w:val="00C166EF"/>
    <w:rsid w:val="00C17EB0"/>
    <w:rsid w:val="00C27F5F"/>
    <w:rsid w:val="00C30A0F"/>
    <w:rsid w:val="00C37E61"/>
    <w:rsid w:val="00C70F1B"/>
    <w:rsid w:val="00C71A47"/>
    <w:rsid w:val="00C7464C"/>
    <w:rsid w:val="00C74D44"/>
    <w:rsid w:val="00C85588"/>
    <w:rsid w:val="00CD6755"/>
    <w:rsid w:val="00CD6856"/>
    <w:rsid w:val="00CE0089"/>
    <w:rsid w:val="00CE793C"/>
    <w:rsid w:val="00CF193C"/>
    <w:rsid w:val="00D173F1"/>
    <w:rsid w:val="00D336EF"/>
    <w:rsid w:val="00D6050D"/>
    <w:rsid w:val="00D74CB0"/>
    <w:rsid w:val="00D8295D"/>
    <w:rsid w:val="00DC2A65"/>
    <w:rsid w:val="00DE15F0"/>
    <w:rsid w:val="00DE5663"/>
    <w:rsid w:val="00DE78AA"/>
    <w:rsid w:val="00E053D0"/>
    <w:rsid w:val="00E0619A"/>
    <w:rsid w:val="00E15994"/>
    <w:rsid w:val="00E3114E"/>
    <w:rsid w:val="00E31A70"/>
    <w:rsid w:val="00E35B02"/>
    <w:rsid w:val="00E45F53"/>
    <w:rsid w:val="00E66496"/>
    <w:rsid w:val="00E66B35"/>
    <w:rsid w:val="00E66E10"/>
    <w:rsid w:val="00E769F6"/>
    <w:rsid w:val="00E8407C"/>
    <w:rsid w:val="00E84F3C"/>
    <w:rsid w:val="00EA012C"/>
    <w:rsid w:val="00EC0945"/>
    <w:rsid w:val="00EC6A55"/>
    <w:rsid w:val="00ED0288"/>
    <w:rsid w:val="00EE52CB"/>
    <w:rsid w:val="00EF581D"/>
    <w:rsid w:val="00EF7FD8"/>
    <w:rsid w:val="00F06F59"/>
    <w:rsid w:val="00F17988"/>
    <w:rsid w:val="00F469F0"/>
    <w:rsid w:val="00F53273"/>
    <w:rsid w:val="00F755E4"/>
    <w:rsid w:val="00F77D02"/>
    <w:rsid w:val="00FB0F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184FA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0B52F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C74D4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C74D44"/>
    <w:rPr>
      <w:b/>
      <w:bCs/>
    </w:rPr>
  </w:style>
  <w:style w:type="character" w:customStyle="1" w:styleId="Heading4Char">
    <w:name w:val="Heading 4 Char"/>
    <w:basedOn w:val="DefaultParagraphFont"/>
    <w:link w:val="Heading4"/>
    <w:uiPriority w:val="9"/>
    <w:semiHidden/>
    <w:rsid w:val="000B52F4"/>
    <w:rPr>
      <w:rFonts w:asciiTheme="majorHAnsi" w:eastAsiaTheme="majorEastAsia" w:hAnsiTheme="majorHAnsi" w:cstheme="majorBidi"/>
      <w:i/>
      <w:iCs/>
      <w:color w:val="365F91" w:themeColor="accent1" w:themeShade="BF"/>
      <w:sz w:val="22"/>
      <w:szCs w:val="22"/>
      <w:lang w:val="en-IN"/>
    </w:rPr>
  </w:style>
  <w:style w:type="character" w:customStyle="1" w:styleId="vlist-s">
    <w:name w:val="vlist-s"/>
    <w:basedOn w:val="DefaultParagraphFont"/>
    <w:rsid w:val="000B52F4"/>
  </w:style>
  <w:style w:type="character" w:customStyle="1" w:styleId="author0">
    <w:name w:val="author"/>
    <w:basedOn w:val="DefaultParagraphFont"/>
    <w:rsid w:val="00FB0FA7"/>
  </w:style>
  <w:style w:type="character" w:customStyle="1" w:styleId="othertitle">
    <w:name w:val="othertitle"/>
    <w:basedOn w:val="DefaultParagraphFont"/>
    <w:rsid w:val="00FB0FA7"/>
  </w:style>
  <w:style w:type="character" w:customStyle="1" w:styleId="vol">
    <w:name w:val="vol"/>
    <w:basedOn w:val="DefaultParagraphFont"/>
    <w:rsid w:val="00FB0FA7"/>
  </w:style>
  <w:style w:type="character" w:customStyle="1" w:styleId="pagefirst">
    <w:name w:val="pagefirst"/>
    <w:basedOn w:val="DefaultParagraphFont"/>
    <w:rsid w:val="00FB0FA7"/>
  </w:style>
  <w:style w:type="character" w:customStyle="1" w:styleId="pagelast">
    <w:name w:val="pagelast"/>
    <w:basedOn w:val="DefaultParagraphFont"/>
    <w:rsid w:val="00FB0FA7"/>
  </w:style>
  <w:style w:type="paragraph" w:styleId="ListParagraph">
    <w:name w:val="List Paragraph"/>
    <w:basedOn w:val="Normal"/>
    <w:uiPriority w:val="34"/>
    <w:qFormat/>
    <w:rsid w:val="00E45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chemosphere.2010.03.017" TargetMode="External"/><Relationship Id="rId18" Type="http://schemas.openxmlformats.org/officeDocument/2006/relationships/hyperlink" Target="https://www.oecd-ilibrary.org/environment/test-no-106-adsorption-desorption-using-a-batch-equilibrium-method_9789264069622-en" TargetMode="External"/><Relationship Id="rId3" Type="http://schemas.openxmlformats.org/officeDocument/2006/relationships/styles" Target="styles.xml"/><Relationship Id="rId21" Type="http://schemas.openxmlformats.org/officeDocument/2006/relationships/hyperlink" Target="https://doi.org/10.1097/00010694-193401000-00003" TargetMode="External"/><Relationship Id="rId7" Type="http://schemas.openxmlformats.org/officeDocument/2006/relationships/endnotes" Target="endnotes.xml"/><Relationship Id="rId12" Type="http://schemas.openxmlformats.org/officeDocument/2006/relationships/hyperlink" Target="https://doi.org/10.2903/j.efsa.2014.3540" TargetMode="External"/><Relationship Id="rId17" Type="http://schemas.openxmlformats.org/officeDocument/2006/relationships/hyperlink" Target="https://doi.org/10.1002/1526-4998(200102)57:2%3c120::AID-PS254%3e3.0.CO;2-E" TargetMode="External"/><Relationship Id="rId2" Type="http://schemas.openxmlformats.org/officeDocument/2006/relationships/numbering" Target="numbering.xml"/><Relationship Id="rId16" Type="http://schemas.openxmlformats.org/officeDocument/2006/relationships/hyperlink" Target="https://oar.icrisat.org/8000/" TargetMode="External"/><Relationship Id="rId20" Type="http://schemas.openxmlformats.org/officeDocument/2006/relationships/hyperlink" Target="https://www.ars.usda.gov/pacific-west-area/riverside-ca/us-salinity-laboratory/docs/handbook-no-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etc.562008041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20546/ijcmas.2017.606.2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3005/ojc/31.special-issue1.26" TargetMode="External"/><Relationship Id="rId22" Type="http://schemas.openxmlformats.org/officeDocument/2006/relationships/hyperlink" Target="https://doi.org/10.1002/ps.4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BCF6-E603-423A-B605-59A013F6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9</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2025-12-22T09:18:00Z</dcterms:modified>
</cp:coreProperties>
</file>