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AE40A" w14:textId="4D16E077" w:rsidR="004B761B" w:rsidRPr="004B761B" w:rsidRDefault="004B761B" w:rsidP="00391E60">
      <w:pPr>
        <w:widowControl/>
        <w:autoSpaceDE/>
        <w:autoSpaceDN/>
        <w:jc w:val="both"/>
        <w:rPr>
          <w:rFonts w:eastAsia="Calibri"/>
          <w:b/>
          <w:sz w:val="24"/>
          <w:u w:val="single"/>
          <w:lang w:val="en-IN"/>
        </w:rPr>
      </w:pPr>
      <w:r w:rsidRPr="004B761B">
        <w:rPr>
          <w:rFonts w:eastAsia="Calibri"/>
          <w:b/>
          <w:sz w:val="24"/>
          <w:u w:val="single"/>
          <w:lang w:val="en-IN"/>
        </w:rPr>
        <w:t>Original Research Article</w:t>
      </w:r>
    </w:p>
    <w:p w14:paraId="0DA495CB" w14:textId="77777777" w:rsidR="004B761B" w:rsidRDefault="004B761B" w:rsidP="00391E60">
      <w:pPr>
        <w:widowControl/>
        <w:autoSpaceDE/>
        <w:autoSpaceDN/>
        <w:jc w:val="both"/>
        <w:rPr>
          <w:rFonts w:eastAsia="Calibri"/>
          <w:b/>
          <w:sz w:val="24"/>
          <w:lang w:val="en-IN"/>
        </w:rPr>
      </w:pPr>
    </w:p>
    <w:p w14:paraId="49C39B98" w14:textId="087508AF" w:rsidR="00391E60" w:rsidRPr="00391E60" w:rsidRDefault="00391E60" w:rsidP="004B761B">
      <w:pPr>
        <w:widowControl/>
        <w:autoSpaceDE/>
        <w:autoSpaceDN/>
        <w:ind w:right="965"/>
        <w:jc w:val="both"/>
        <w:rPr>
          <w:rFonts w:eastAsia="Calibri"/>
          <w:b/>
          <w:sz w:val="24"/>
          <w:lang w:val="en-IN"/>
        </w:rPr>
      </w:pPr>
      <w:r w:rsidRPr="00391E60">
        <w:rPr>
          <w:rFonts w:eastAsia="Calibri"/>
          <w:b/>
          <w:sz w:val="24"/>
          <w:lang w:val="en-IN"/>
        </w:rPr>
        <w:t>Microsatellite Instability Status among Admitted Gastric Adenocarcinoma Patients at Surgical Oncology Department of National Institute of Cancer Research and Hospital</w:t>
      </w:r>
      <w:r>
        <w:rPr>
          <w:rFonts w:eastAsia="Calibri"/>
          <w:b/>
          <w:sz w:val="24"/>
          <w:lang w:val="en-IN"/>
        </w:rPr>
        <w:t xml:space="preserve"> </w:t>
      </w:r>
      <w:r w:rsidRPr="00391E60">
        <w:rPr>
          <w:rFonts w:eastAsia="Calibri"/>
          <w:b/>
          <w:sz w:val="24"/>
          <w:lang w:val="en-IN"/>
        </w:rPr>
        <w:t>(NICRH),</w:t>
      </w:r>
      <w:r>
        <w:rPr>
          <w:rFonts w:eastAsia="Calibri"/>
          <w:b/>
          <w:sz w:val="24"/>
          <w:lang w:val="en-IN"/>
        </w:rPr>
        <w:t xml:space="preserve"> </w:t>
      </w:r>
      <w:r w:rsidRPr="00391E60">
        <w:rPr>
          <w:rFonts w:eastAsia="Calibri"/>
          <w:b/>
          <w:sz w:val="24"/>
          <w:lang w:val="en-IN"/>
        </w:rPr>
        <w:t xml:space="preserve">Bangladesh </w:t>
      </w:r>
    </w:p>
    <w:p w14:paraId="70350509" w14:textId="77777777" w:rsidR="00391E60" w:rsidRDefault="00391E60" w:rsidP="00391E60">
      <w:pPr>
        <w:spacing w:before="58"/>
        <w:ind w:right="3663"/>
        <w:rPr>
          <w:b/>
          <w:sz w:val="24"/>
        </w:rPr>
      </w:pPr>
    </w:p>
    <w:p w14:paraId="4277202F" w14:textId="77777777" w:rsidR="004B761B" w:rsidRDefault="004B761B" w:rsidP="00391E60">
      <w:pPr>
        <w:spacing w:before="58"/>
        <w:ind w:right="3663"/>
        <w:rPr>
          <w:b/>
          <w:sz w:val="24"/>
        </w:rPr>
      </w:pPr>
    </w:p>
    <w:p w14:paraId="4A2CE909" w14:textId="77777777" w:rsidR="004B761B" w:rsidRDefault="004B761B" w:rsidP="00391E60">
      <w:pPr>
        <w:spacing w:before="58"/>
        <w:ind w:right="3663"/>
        <w:rPr>
          <w:b/>
          <w:sz w:val="24"/>
        </w:rPr>
      </w:pPr>
    </w:p>
    <w:p w14:paraId="3D0F1CE9" w14:textId="77777777" w:rsidR="007068B3" w:rsidRDefault="00391E60" w:rsidP="00391E60">
      <w:pPr>
        <w:spacing w:before="58"/>
        <w:ind w:right="3663"/>
        <w:rPr>
          <w:b/>
          <w:sz w:val="24"/>
        </w:rPr>
      </w:pPr>
      <w:r w:rsidRPr="00391E60">
        <w:rPr>
          <w:b/>
          <w:sz w:val="24"/>
        </w:rPr>
        <w:t>Abstract:</w:t>
      </w:r>
    </w:p>
    <w:p w14:paraId="230F4444" w14:textId="77777777" w:rsidR="00620796" w:rsidRPr="00391E60" w:rsidRDefault="00620796" w:rsidP="00391E60">
      <w:pPr>
        <w:spacing w:before="58"/>
        <w:ind w:right="3663"/>
        <w:rPr>
          <w:b/>
          <w:spacing w:val="-2"/>
          <w:sz w:val="28"/>
        </w:rPr>
      </w:pPr>
    </w:p>
    <w:p w14:paraId="07D4ED31" w14:textId="77777777" w:rsidR="007068B3" w:rsidRDefault="007F0112" w:rsidP="007F0112">
      <w:pPr>
        <w:pStyle w:val="BodyText"/>
        <w:spacing w:line="360" w:lineRule="auto"/>
        <w:ind w:right="1013"/>
        <w:jc w:val="both"/>
      </w:pPr>
      <w:r>
        <w:rPr>
          <w:b/>
        </w:rPr>
        <w:t>Background:</w:t>
      </w:r>
      <w:r w:rsidR="007068B3">
        <w:rPr>
          <w:b/>
        </w:rPr>
        <w:t xml:space="preserve"> </w:t>
      </w:r>
      <w:r w:rsidR="007068B3">
        <w:t>Gastric cancer (GC) is one of the leading causes of cancer-related death. Till now, GC treatments strategy is not based on molecular basis like other malignancy such as breast cancer, rectal cancer etc. The role of microsatellite instability</w:t>
      </w:r>
      <w:r w:rsidR="007068B3">
        <w:rPr>
          <w:spacing w:val="40"/>
        </w:rPr>
        <w:t xml:space="preserve"> </w:t>
      </w:r>
      <w:r w:rsidR="007068B3">
        <w:t>in gastric</w:t>
      </w:r>
      <w:r w:rsidR="007068B3">
        <w:rPr>
          <w:spacing w:val="-1"/>
        </w:rPr>
        <w:t xml:space="preserve"> </w:t>
      </w:r>
      <w:r w:rsidR="007068B3">
        <w:t>cancer</w:t>
      </w:r>
      <w:r w:rsidR="007068B3">
        <w:rPr>
          <w:spacing w:val="-2"/>
        </w:rPr>
        <w:t xml:space="preserve"> </w:t>
      </w:r>
      <w:r w:rsidR="007068B3">
        <w:t>management</w:t>
      </w:r>
      <w:r w:rsidR="007068B3">
        <w:rPr>
          <w:spacing w:val="-2"/>
        </w:rPr>
        <w:t xml:space="preserve"> </w:t>
      </w:r>
      <w:r w:rsidR="007068B3">
        <w:t>is</w:t>
      </w:r>
      <w:r w:rsidR="007068B3">
        <w:rPr>
          <w:spacing w:val="-4"/>
        </w:rPr>
        <w:t xml:space="preserve"> </w:t>
      </w:r>
      <w:r w:rsidR="007068B3">
        <w:t>promising. The</w:t>
      </w:r>
      <w:r w:rsidR="007068B3">
        <w:rPr>
          <w:spacing w:val="-1"/>
        </w:rPr>
        <w:t xml:space="preserve"> </w:t>
      </w:r>
      <w:r w:rsidR="007068B3">
        <w:t>combination</w:t>
      </w:r>
      <w:r w:rsidR="007068B3">
        <w:rPr>
          <w:spacing w:val="-2"/>
        </w:rPr>
        <w:t xml:space="preserve"> </w:t>
      </w:r>
      <w:r w:rsidR="007068B3">
        <w:t>of</w:t>
      </w:r>
      <w:r w:rsidR="007068B3">
        <w:rPr>
          <w:spacing w:val="40"/>
        </w:rPr>
        <w:t xml:space="preserve"> </w:t>
      </w:r>
      <w:r w:rsidR="007068B3">
        <w:t>molecular classifications with clinicopathological data could contribute to the individualization of patients and to the development of new therapeutic strategies.</w:t>
      </w:r>
    </w:p>
    <w:p w14:paraId="0E9C1C6A" w14:textId="77777777" w:rsidR="007068B3" w:rsidRDefault="007068B3" w:rsidP="007F0112">
      <w:pPr>
        <w:pStyle w:val="BodyText"/>
        <w:spacing w:line="360" w:lineRule="auto"/>
        <w:ind w:right="1015"/>
        <w:jc w:val="both"/>
      </w:pPr>
      <w:r>
        <w:rPr>
          <w:b/>
        </w:rPr>
        <w:t xml:space="preserve">Methods: </w:t>
      </w:r>
      <w:r>
        <w:t xml:space="preserve">The aim of this study was to find out </w:t>
      </w:r>
      <w:r>
        <w:rPr>
          <w:color w:val="0E0E0E"/>
        </w:rPr>
        <w:t>the prevalence and</w:t>
      </w:r>
      <w:r>
        <w:rPr>
          <w:color w:val="0E0E0E"/>
          <w:spacing w:val="40"/>
        </w:rPr>
        <w:t xml:space="preserve"> </w:t>
      </w:r>
      <w:r>
        <w:rPr>
          <w:color w:val="0E0E0E"/>
        </w:rPr>
        <w:t xml:space="preserve">clinicopathological features of microsatellite instability in gastric adenocarcinoma. </w:t>
      </w:r>
      <w:r>
        <w:t xml:space="preserve">This was a cross-sectional study. Endoscopically biopsied and </w:t>
      </w:r>
      <w:proofErr w:type="spellStart"/>
      <w:r>
        <w:t>histopathologically</w:t>
      </w:r>
      <w:proofErr w:type="spellEnd"/>
      <w:r>
        <w:t xml:space="preserve"> confirmed as adenocarcinoma stomach patients were admitted for surgical</w:t>
      </w:r>
      <w:r>
        <w:rPr>
          <w:spacing w:val="40"/>
        </w:rPr>
        <w:t xml:space="preserve"> </w:t>
      </w:r>
      <w:r>
        <w:t>intervention in the department of Surgical Oncology in National Institute of Cancer Research and Hospital Mohakhali, Dhaka, Bangladesh. For</w:t>
      </w:r>
      <w:r>
        <w:rPr>
          <w:spacing w:val="80"/>
        </w:rPr>
        <w:t xml:space="preserve"> </w:t>
      </w:r>
      <w:r>
        <w:t xml:space="preserve">Microsatellite study of the </w:t>
      </w:r>
      <w:proofErr w:type="spellStart"/>
      <w:r>
        <w:t>gastrectomized</w:t>
      </w:r>
      <w:proofErr w:type="spellEnd"/>
      <w:r>
        <w:t xml:space="preserve"> tissue DNA extraction and PCR amplification was done. The results were matched with clinicopathological factors and tumor status to find their association. Data was analyzed with SPSS for Windows (V.27) software and found significant when</w:t>
      </w:r>
      <w:r>
        <w:rPr>
          <w:spacing w:val="40"/>
        </w:rPr>
        <w:t xml:space="preserve"> </w:t>
      </w:r>
      <w:r>
        <w:rPr>
          <w:i/>
        </w:rPr>
        <w:t>p</w:t>
      </w:r>
      <w:r>
        <w:t>-value &lt; 0.05</w:t>
      </w:r>
    </w:p>
    <w:p w14:paraId="15FAB70C" w14:textId="77777777" w:rsidR="007068B3" w:rsidRDefault="007F0112" w:rsidP="007F0112">
      <w:pPr>
        <w:pStyle w:val="BodyText"/>
        <w:spacing w:line="360" w:lineRule="auto"/>
        <w:ind w:right="1012"/>
        <w:jc w:val="both"/>
      </w:pPr>
      <w:r>
        <w:rPr>
          <w:b/>
        </w:rPr>
        <w:t>Results:</w:t>
      </w:r>
      <w:r w:rsidR="007068B3">
        <w:rPr>
          <w:b/>
        </w:rPr>
        <w:t xml:space="preserve"> </w:t>
      </w:r>
      <w:r w:rsidR="007068B3">
        <w:rPr>
          <w:color w:val="0E0E0E"/>
        </w:rPr>
        <w:t>A total 33 patients were enrolled for analysis. Prevalence of</w:t>
      </w:r>
      <w:r w:rsidR="007068B3">
        <w:rPr>
          <w:color w:val="0E0E0E"/>
          <w:spacing w:val="40"/>
        </w:rPr>
        <w:t xml:space="preserve"> </w:t>
      </w:r>
      <w:r w:rsidR="007068B3">
        <w:rPr>
          <w:color w:val="0E0E0E"/>
        </w:rPr>
        <w:t>MSI was 18.2%. Comparison between</w:t>
      </w:r>
      <w:r w:rsidR="007068B3">
        <w:rPr>
          <w:color w:val="0E0E0E"/>
          <w:spacing w:val="40"/>
        </w:rPr>
        <w:t xml:space="preserve"> </w:t>
      </w:r>
      <w:r w:rsidR="007068B3">
        <w:rPr>
          <w:color w:val="0E0E0E"/>
        </w:rPr>
        <w:t>MSS and MSI-H was done.</w:t>
      </w:r>
      <w:r w:rsidR="007068B3">
        <w:rPr>
          <w:color w:val="0E0E0E"/>
          <w:spacing w:val="40"/>
        </w:rPr>
        <w:t xml:space="preserve"> </w:t>
      </w:r>
      <w:r w:rsidR="007068B3">
        <w:t xml:space="preserve">Gender, age, </w:t>
      </w:r>
      <w:proofErr w:type="spellStart"/>
      <w:r w:rsidR="007068B3">
        <w:t>tumour</w:t>
      </w:r>
      <w:proofErr w:type="spellEnd"/>
      <w:r w:rsidR="007068B3">
        <w:t xml:space="preserve"> site and degree of differentiation, LVI, and PNI did not correlate with microsatellite instability, however there was significant association with intestinal type variety histopathology, early pathological </w:t>
      </w:r>
      <w:proofErr w:type="spellStart"/>
      <w:r w:rsidR="007068B3">
        <w:t>tumour</w:t>
      </w:r>
      <w:proofErr w:type="spellEnd"/>
      <w:r w:rsidR="007068B3">
        <w:t xml:space="preserve"> status and less nodal involvement in this </w:t>
      </w:r>
      <w:r w:rsidR="007068B3">
        <w:rPr>
          <w:spacing w:val="-2"/>
        </w:rPr>
        <w:t>study.</w:t>
      </w:r>
    </w:p>
    <w:p w14:paraId="4E4D051A" w14:textId="77777777" w:rsidR="007068B3" w:rsidRDefault="007F0112" w:rsidP="007F0112">
      <w:pPr>
        <w:pStyle w:val="BodyText"/>
        <w:spacing w:before="1" w:line="360" w:lineRule="auto"/>
        <w:ind w:right="1021"/>
        <w:jc w:val="both"/>
      </w:pPr>
      <w:r>
        <w:rPr>
          <w:b/>
        </w:rPr>
        <w:t>Conclusion:</w:t>
      </w:r>
      <w:r w:rsidR="007068B3">
        <w:t xml:space="preserve"> For prognostic and predictive purposes, as well as for correlation with particular clinicopathological characteristics, MSI status in GC must be determined.</w:t>
      </w:r>
    </w:p>
    <w:p w14:paraId="7BC983B1" w14:textId="77777777" w:rsidR="007068B3" w:rsidRPr="007068B3" w:rsidRDefault="007068B3" w:rsidP="007F0112">
      <w:pPr>
        <w:pStyle w:val="BodyText"/>
        <w:spacing w:line="360" w:lineRule="auto"/>
        <w:ind w:right="1011"/>
        <w:jc w:val="both"/>
        <w:rPr>
          <w:i/>
        </w:rPr>
      </w:pPr>
      <w:r>
        <w:rPr>
          <w:b/>
        </w:rPr>
        <w:t xml:space="preserve">Key </w:t>
      </w:r>
      <w:r w:rsidR="007F0112">
        <w:rPr>
          <w:b/>
        </w:rPr>
        <w:t>Words</w:t>
      </w:r>
      <w:r w:rsidR="007F0112">
        <w:rPr>
          <w:b/>
          <w:spacing w:val="-4"/>
        </w:rPr>
        <w:t>:</w:t>
      </w:r>
      <w:r>
        <w:rPr>
          <w:b/>
        </w:rPr>
        <w:t xml:space="preserve"> </w:t>
      </w:r>
      <w:r w:rsidRPr="007068B3">
        <w:rPr>
          <w:i/>
        </w:rPr>
        <w:t>Gastric</w:t>
      </w:r>
      <w:r w:rsidRPr="007068B3">
        <w:rPr>
          <w:i/>
          <w:spacing w:val="-5"/>
        </w:rPr>
        <w:t xml:space="preserve"> </w:t>
      </w:r>
      <w:r w:rsidRPr="007068B3">
        <w:rPr>
          <w:i/>
        </w:rPr>
        <w:t>carcinoma,</w:t>
      </w:r>
      <w:r w:rsidRPr="007068B3">
        <w:rPr>
          <w:i/>
          <w:spacing w:val="-11"/>
        </w:rPr>
        <w:t xml:space="preserve"> </w:t>
      </w:r>
      <w:r w:rsidRPr="007068B3">
        <w:rPr>
          <w:i/>
        </w:rPr>
        <w:t>microsatellite</w:t>
      </w:r>
      <w:r w:rsidRPr="007068B3">
        <w:rPr>
          <w:i/>
          <w:spacing w:val="-5"/>
        </w:rPr>
        <w:t xml:space="preserve"> </w:t>
      </w:r>
      <w:r w:rsidRPr="007068B3">
        <w:rPr>
          <w:i/>
        </w:rPr>
        <w:t>instability, clinicopathological</w:t>
      </w:r>
      <w:r w:rsidRPr="007068B3">
        <w:rPr>
          <w:i/>
          <w:spacing w:val="-6"/>
        </w:rPr>
        <w:t xml:space="preserve"> </w:t>
      </w:r>
      <w:r w:rsidRPr="007068B3">
        <w:rPr>
          <w:i/>
        </w:rPr>
        <w:t xml:space="preserve">factors, molecular </w:t>
      </w:r>
      <w:proofErr w:type="gramStart"/>
      <w:r w:rsidRPr="007068B3">
        <w:rPr>
          <w:i/>
        </w:rPr>
        <w:t>classification .</w:t>
      </w:r>
      <w:proofErr w:type="gramEnd"/>
    </w:p>
    <w:p w14:paraId="7CCE27EA" w14:textId="77777777" w:rsidR="007068B3" w:rsidRPr="007068B3" w:rsidRDefault="007068B3" w:rsidP="007068B3">
      <w:pPr>
        <w:pStyle w:val="BodyText"/>
        <w:spacing w:line="360" w:lineRule="auto"/>
        <w:jc w:val="both"/>
        <w:rPr>
          <w:i/>
        </w:rPr>
        <w:sectPr w:rsidR="007068B3" w:rsidRPr="007068B3">
          <w:headerReference w:type="even" r:id="rId7"/>
          <w:headerReference w:type="default" r:id="rId8"/>
          <w:footerReference w:type="even" r:id="rId9"/>
          <w:footerReference w:type="default" r:id="rId10"/>
          <w:headerReference w:type="first" r:id="rId11"/>
          <w:footerReference w:type="first" r:id="rId12"/>
          <w:pgSz w:w="11910" w:h="16840"/>
          <w:pgMar w:top="1380" w:right="425" w:bottom="1080" w:left="1700" w:header="0" w:footer="884" w:gutter="0"/>
          <w:cols w:space="720"/>
        </w:sectPr>
      </w:pPr>
    </w:p>
    <w:p w14:paraId="0BDE3DB6" w14:textId="77777777" w:rsidR="00A554DB" w:rsidRPr="00A554DB" w:rsidRDefault="00A554DB" w:rsidP="007068B3">
      <w:pPr>
        <w:spacing w:line="360" w:lineRule="auto"/>
        <w:jc w:val="both"/>
        <w:rPr>
          <w:b/>
          <w:sz w:val="24"/>
        </w:rPr>
      </w:pPr>
      <w:r w:rsidRPr="00A554DB">
        <w:rPr>
          <w:b/>
          <w:sz w:val="24"/>
        </w:rPr>
        <w:lastRenderedPageBreak/>
        <w:t>Introduction:</w:t>
      </w:r>
    </w:p>
    <w:p w14:paraId="67F232C6" w14:textId="77777777" w:rsidR="007068B3" w:rsidRPr="007068B3" w:rsidRDefault="007068B3" w:rsidP="007068B3">
      <w:pPr>
        <w:spacing w:line="360" w:lineRule="auto"/>
        <w:jc w:val="both"/>
        <w:rPr>
          <w:sz w:val="24"/>
        </w:rPr>
      </w:pPr>
      <w:r w:rsidRPr="007068B3">
        <w:rPr>
          <w:sz w:val="24"/>
        </w:rPr>
        <w:t>Gastric adenocarcinoma ranks fifth in terms of cancer-related mortality and is the sixth most common cancer disease globally (Sung et al., 2021). Incidence is more in developing countries like Bangladesh (Isabel et al., 2021). At the time of presentation, stage IV metastatic disease is found in about 40% of patients with gastric adenocarcinoma, according to the National Cancer Database (Feig, 2023</w:t>
      </w:r>
      <w:proofErr w:type="gramStart"/>
      <w:r w:rsidRPr="007068B3">
        <w:rPr>
          <w:sz w:val="24"/>
        </w:rPr>
        <w:t>).</w:t>
      </w:r>
      <w:proofErr w:type="spellStart"/>
      <w:r w:rsidRPr="007068B3">
        <w:rPr>
          <w:sz w:val="24"/>
        </w:rPr>
        <w:t>Aetiopathogenesis</w:t>
      </w:r>
      <w:proofErr w:type="spellEnd"/>
      <w:proofErr w:type="gramEnd"/>
      <w:r w:rsidRPr="007068B3">
        <w:rPr>
          <w:sz w:val="24"/>
        </w:rPr>
        <w:t xml:space="preserve"> of gastric adenocarcinoma is complex, heterogenous and multifactorial (Isabel et al., 2021).</w:t>
      </w:r>
    </w:p>
    <w:p w14:paraId="5192D6F5" w14:textId="77777777" w:rsidR="007068B3" w:rsidRPr="007068B3" w:rsidRDefault="007068B3" w:rsidP="007068B3">
      <w:pPr>
        <w:spacing w:line="360" w:lineRule="auto"/>
        <w:jc w:val="both"/>
        <w:rPr>
          <w:sz w:val="24"/>
        </w:rPr>
      </w:pPr>
      <w:r w:rsidRPr="007068B3">
        <w:rPr>
          <w:sz w:val="24"/>
        </w:rPr>
        <w:t xml:space="preserve">Various histological and anatomical classifications of gastric cancer have been proposed for treatment and staging, but they are not prognostic or predictive value and have no therapeutic relevance (Isabel et al., 2021).Lauren's classification of diffuse or intestinal type of gastric adenocarcinoma may have therapeutic roles because </w:t>
      </w:r>
      <w:proofErr w:type="spellStart"/>
      <w:r w:rsidRPr="007068B3">
        <w:rPr>
          <w:sz w:val="24"/>
        </w:rPr>
        <w:t>tumours</w:t>
      </w:r>
      <w:proofErr w:type="spellEnd"/>
      <w:r w:rsidRPr="007068B3">
        <w:rPr>
          <w:sz w:val="24"/>
        </w:rPr>
        <w:t xml:space="preserve"> of the intestinal type are more likely to overexpress HER 2 (</w:t>
      </w:r>
      <w:proofErr w:type="spellStart"/>
      <w:r w:rsidRPr="007068B3">
        <w:rPr>
          <w:sz w:val="24"/>
        </w:rPr>
        <w:t>Puliga</w:t>
      </w:r>
      <w:proofErr w:type="spellEnd"/>
      <w:r w:rsidRPr="007068B3">
        <w:rPr>
          <w:sz w:val="24"/>
        </w:rPr>
        <w:t xml:space="preserve"> et al., 2021).Gastric adenocarcinoma's molecular characterization may help identify distinct forms, allowing for individual treatment strategy protocol (</w:t>
      </w:r>
      <w:proofErr w:type="spellStart"/>
      <w:r w:rsidRPr="007068B3">
        <w:rPr>
          <w:sz w:val="24"/>
        </w:rPr>
        <w:t>Puliga</w:t>
      </w:r>
      <w:proofErr w:type="spellEnd"/>
      <w:r w:rsidRPr="007068B3">
        <w:rPr>
          <w:sz w:val="24"/>
        </w:rPr>
        <w:t xml:space="preserve"> et al., 2021).</w:t>
      </w:r>
    </w:p>
    <w:p w14:paraId="094D469B" w14:textId="77777777" w:rsidR="007068B3" w:rsidRPr="007068B3" w:rsidRDefault="007068B3" w:rsidP="007068B3">
      <w:pPr>
        <w:spacing w:line="360" w:lineRule="auto"/>
        <w:jc w:val="both"/>
        <w:rPr>
          <w:sz w:val="24"/>
        </w:rPr>
      </w:pPr>
      <w:r w:rsidRPr="007068B3">
        <w:rPr>
          <w:sz w:val="24"/>
        </w:rPr>
        <w:t>The Cancer Genome Atlas (TCGA) in 2014 and The Asian Cancer Research Group (ACRG) in 2015 both developed molecular classification systems of gastric adenocarcinoma that identified many subtypes associated with unique molecular and clinical traits (</w:t>
      </w:r>
      <w:proofErr w:type="spellStart"/>
      <w:r w:rsidRPr="007068B3">
        <w:rPr>
          <w:sz w:val="24"/>
        </w:rPr>
        <w:t>Cisło</w:t>
      </w:r>
      <w:proofErr w:type="spellEnd"/>
      <w:r w:rsidRPr="007068B3">
        <w:rPr>
          <w:sz w:val="24"/>
        </w:rPr>
        <w:t xml:space="preserve"> et al., 2018). They also offer a roadmap to targeted therapies and patterns of disease progression, together with a molecular subtyping framework (</w:t>
      </w:r>
      <w:proofErr w:type="spellStart"/>
      <w:r w:rsidRPr="007068B3">
        <w:rPr>
          <w:sz w:val="24"/>
        </w:rPr>
        <w:t>Cisło</w:t>
      </w:r>
      <w:proofErr w:type="spellEnd"/>
      <w:r w:rsidRPr="007068B3">
        <w:rPr>
          <w:sz w:val="24"/>
        </w:rPr>
        <w:t xml:space="preserve"> et al., 2018).</w:t>
      </w:r>
    </w:p>
    <w:p w14:paraId="749A545D" w14:textId="77777777" w:rsidR="007068B3" w:rsidRPr="007068B3" w:rsidRDefault="007068B3" w:rsidP="007068B3">
      <w:pPr>
        <w:spacing w:line="360" w:lineRule="auto"/>
        <w:jc w:val="both"/>
        <w:rPr>
          <w:sz w:val="24"/>
        </w:rPr>
      </w:pPr>
      <w:r w:rsidRPr="007068B3">
        <w:rPr>
          <w:sz w:val="24"/>
        </w:rPr>
        <w:t xml:space="preserve">Asian Cancer Research Group </w:t>
      </w:r>
      <w:proofErr w:type="gramStart"/>
      <w:r w:rsidRPr="007068B3">
        <w:rPr>
          <w:sz w:val="24"/>
        </w:rPr>
        <w:t>( ACRG</w:t>
      </w:r>
      <w:proofErr w:type="gramEnd"/>
      <w:r w:rsidRPr="007068B3">
        <w:rPr>
          <w:sz w:val="24"/>
        </w:rPr>
        <w:t>) proposed 4 molecular subtypes-</w:t>
      </w:r>
    </w:p>
    <w:p w14:paraId="5FA36C7E" w14:textId="77777777" w:rsidR="007068B3" w:rsidRPr="007068B3" w:rsidRDefault="007068B3" w:rsidP="007068B3">
      <w:pPr>
        <w:spacing w:line="360" w:lineRule="auto"/>
        <w:jc w:val="both"/>
        <w:rPr>
          <w:sz w:val="24"/>
        </w:rPr>
      </w:pPr>
      <w:r w:rsidRPr="007068B3">
        <w:rPr>
          <w:sz w:val="24"/>
        </w:rPr>
        <w:t>a.</w:t>
      </w:r>
      <w:r w:rsidRPr="007068B3">
        <w:rPr>
          <w:sz w:val="24"/>
        </w:rPr>
        <w:tab/>
        <w:t>Microsatellite Instability (MSI) (23 %)</w:t>
      </w:r>
    </w:p>
    <w:p w14:paraId="1B860F98" w14:textId="77777777" w:rsidR="007068B3" w:rsidRPr="007068B3" w:rsidRDefault="007068B3" w:rsidP="007068B3">
      <w:pPr>
        <w:spacing w:line="360" w:lineRule="auto"/>
        <w:jc w:val="both"/>
        <w:rPr>
          <w:sz w:val="24"/>
        </w:rPr>
      </w:pPr>
      <w:r w:rsidRPr="007068B3">
        <w:rPr>
          <w:sz w:val="24"/>
        </w:rPr>
        <w:t>b.</w:t>
      </w:r>
      <w:r w:rsidRPr="007068B3">
        <w:rPr>
          <w:sz w:val="24"/>
        </w:rPr>
        <w:tab/>
        <w:t>Microsatellite Stable (MSS) / Epithelial to mesenchymal transition (EMT) (15%)</w:t>
      </w:r>
    </w:p>
    <w:p w14:paraId="0110EA54" w14:textId="77777777" w:rsidR="007068B3" w:rsidRPr="007068B3" w:rsidRDefault="007068B3" w:rsidP="007068B3">
      <w:pPr>
        <w:spacing w:line="360" w:lineRule="auto"/>
        <w:jc w:val="both"/>
        <w:rPr>
          <w:sz w:val="24"/>
        </w:rPr>
      </w:pPr>
      <w:r w:rsidRPr="007068B3">
        <w:rPr>
          <w:sz w:val="24"/>
        </w:rPr>
        <w:t>c.</w:t>
      </w:r>
      <w:r w:rsidRPr="007068B3">
        <w:rPr>
          <w:sz w:val="24"/>
        </w:rPr>
        <w:tab/>
        <w:t>Microsatellite Stable GC with intact TP53 activity (MSS / TP53+). (33%)</w:t>
      </w:r>
    </w:p>
    <w:p w14:paraId="00FA3D29" w14:textId="77777777" w:rsidR="007068B3" w:rsidRPr="007068B3" w:rsidRDefault="007068B3" w:rsidP="007068B3">
      <w:pPr>
        <w:spacing w:line="360" w:lineRule="auto"/>
        <w:jc w:val="both"/>
        <w:rPr>
          <w:sz w:val="24"/>
        </w:rPr>
      </w:pPr>
      <w:r w:rsidRPr="007068B3">
        <w:rPr>
          <w:sz w:val="24"/>
        </w:rPr>
        <w:t>d.</w:t>
      </w:r>
      <w:r w:rsidRPr="007068B3">
        <w:rPr>
          <w:sz w:val="24"/>
        </w:rPr>
        <w:tab/>
        <w:t>Microsatellite Stable GC with loss TP53 activity (MSS / TP53-). (26%)</w:t>
      </w:r>
    </w:p>
    <w:p w14:paraId="1B08FA8E" w14:textId="77777777" w:rsidR="007068B3" w:rsidRPr="007068B3" w:rsidRDefault="007068B3" w:rsidP="007068B3">
      <w:pPr>
        <w:spacing w:line="360" w:lineRule="auto"/>
        <w:jc w:val="both"/>
        <w:rPr>
          <w:sz w:val="24"/>
        </w:rPr>
      </w:pPr>
      <w:r w:rsidRPr="007068B3">
        <w:rPr>
          <w:sz w:val="24"/>
        </w:rPr>
        <w:t xml:space="preserve">About 10-30% of gastric adenocarcinomas are associated with MSI, which mainly occurs in the advanced age population and especially affects women. Histologically, it is an intestinal type that involves distal part of stomach. Compared to MSS tumors, it is linked to early stage, less involvement of lymph nodes, no metastasis, and a longer life time (Guan et al., </w:t>
      </w:r>
      <w:proofErr w:type="gramStart"/>
      <w:r w:rsidRPr="007068B3">
        <w:rPr>
          <w:sz w:val="24"/>
        </w:rPr>
        <w:t>2021 ;</w:t>
      </w:r>
      <w:proofErr w:type="gramEnd"/>
      <w:r w:rsidRPr="007068B3">
        <w:rPr>
          <w:sz w:val="24"/>
        </w:rPr>
        <w:t xml:space="preserve"> Kim et al., 2021).</w:t>
      </w:r>
    </w:p>
    <w:p w14:paraId="4280E274" w14:textId="77777777" w:rsidR="007068B3" w:rsidRPr="007068B3" w:rsidRDefault="007068B3" w:rsidP="007068B3">
      <w:pPr>
        <w:spacing w:line="360" w:lineRule="auto"/>
        <w:jc w:val="both"/>
        <w:rPr>
          <w:sz w:val="24"/>
        </w:rPr>
      </w:pPr>
      <w:r w:rsidRPr="007068B3">
        <w:rPr>
          <w:sz w:val="24"/>
        </w:rPr>
        <w:t xml:space="preserve"> </w:t>
      </w:r>
    </w:p>
    <w:p w14:paraId="657C448F" w14:textId="77777777" w:rsidR="00A554DB" w:rsidRDefault="00A554DB" w:rsidP="007068B3">
      <w:pPr>
        <w:spacing w:line="360" w:lineRule="auto"/>
        <w:jc w:val="both"/>
        <w:rPr>
          <w:sz w:val="24"/>
        </w:rPr>
      </w:pPr>
    </w:p>
    <w:p w14:paraId="6B5EFDF5" w14:textId="77777777" w:rsidR="00A554DB" w:rsidRDefault="00A554DB" w:rsidP="007068B3">
      <w:pPr>
        <w:spacing w:line="360" w:lineRule="auto"/>
        <w:jc w:val="both"/>
        <w:rPr>
          <w:sz w:val="24"/>
        </w:rPr>
      </w:pPr>
      <w:r w:rsidRPr="00A554DB">
        <w:rPr>
          <w:sz w:val="24"/>
        </w:rPr>
        <w:lastRenderedPageBreak/>
        <w:t xml:space="preserve">If two or more </w:t>
      </w:r>
      <w:proofErr w:type="spellStart"/>
      <w:r w:rsidRPr="00A554DB">
        <w:rPr>
          <w:sz w:val="24"/>
        </w:rPr>
        <w:t>neucleotide</w:t>
      </w:r>
      <w:proofErr w:type="spellEnd"/>
      <w:r w:rsidRPr="00A554DB">
        <w:rPr>
          <w:sz w:val="24"/>
        </w:rPr>
        <w:t xml:space="preserve"> markers exhibit instability, they are labelled as MSI-H (Microsatellite Instability -High) and if one marker exhibits instability, it is marked as MSI-L (Microsatellite Instability- Low). MSS (Microsatellite Instability-Stable) is diagnosed if no marker shows instability. But practically, MSI is categorized into two groups (MSS and MSI- </w:t>
      </w:r>
      <w:proofErr w:type="gramStart"/>
      <w:r w:rsidRPr="00A554DB">
        <w:rPr>
          <w:sz w:val="24"/>
        </w:rPr>
        <w:t>H )</w:t>
      </w:r>
      <w:proofErr w:type="gramEnd"/>
      <w:r w:rsidRPr="00A554DB">
        <w:rPr>
          <w:sz w:val="24"/>
        </w:rPr>
        <w:t>. MSS and MSI- L varieties are grouped as MSS (Van Velzen et al., 2020; Kim et al., 2019).</w:t>
      </w:r>
    </w:p>
    <w:p w14:paraId="3641A24E" w14:textId="77777777" w:rsidR="007068B3" w:rsidRDefault="007068B3" w:rsidP="007068B3">
      <w:pPr>
        <w:spacing w:line="360" w:lineRule="auto"/>
        <w:jc w:val="both"/>
        <w:rPr>
          <w:sz w:val="24"/>
        </w:rPr>
      </w:pPr>
      <w:r w:rsidRPr="007068B3">
        <w:rPr>
          <w:sz w:val="24"/>
        </w:rPr>
        <w:t>The MSI is utilized for both therapeutic and prognostic purposes (Abdullahi Muhammad Ahmad and Mohammed, 2020). Patients with MSI gastric cancer treated with surgery alone have been found to have a better prognosis than those treated with neoadjuvant chemotherapy (Isabel et al., 2021).</w:t>
      </w:r>
    </w:p>
    <w:p w14:paraId="0EFC5F62" w14:textId="77777777" w:rsidR="007068B3" w:rsidRDefault="007068B3" w:rsidP="007068B3">
      <w:pPr>
        <w:spacing w:line="360" w:lineRule="auto"/>
        <w:jc w:val="both"/>
        <w:rPr>
          <w:sz w:val="24"/>
        </w:rPr>
      </w:pPr>
      <w:r w:rsidRPr="007068B3">
        <w:rPr>
          <w:sz w:val="24"/>
        </w:rPr>
        <w:t>Genomic instability is the key factor for the development of any cancer. Universal testing for MSI by PCR or MMR by IHC should be performed for all newly diagnosed gastric cancer patients according to NCCN</w:t>
      </w:r>
      <w:r w:rsidR="00A554DB">
        <w:rPr>
          <w:sz w:val="24"/>
        </w:rPr>
        <w:t xml:space="preserve"> (</w:t>
      </w:r>
      <w:r w:rsidR="00A554DB" w:rsidRPr="00A554DB">
        <w:rPr>
          <w:sz w:val="24"/>
        </w:rPr>
        <w:t>National Com</w:t>
      </w:r>
      <w:r w:rsidR="00A554DB">
        <w:rPr>
          <w:sz w:val="24"/>
        </w:rPr>
        <w:t xml:space="preserve">prehensive Cancer Network) </w:t>
      </w:r>
      <w:r w:rsidRPr="007068B3">
        <w:rPr>
          <w:sz w:val="24"/>
        </w:rPr>
        <w:t xml:space="preserve">guidelines. MSI determination is used for both prognostic and therapeutic purposes. MSI gastric cancer is reported to have different clinic-pathological characteristics and better prognosis, which might improve the development of MSI targeted therapy as research advances. MSI status in gastric cancer is positively correlated with a better survival compared with the MSS counterpart &amp; exhibits promising molecular hallmarks of potential sensitivity to cancer immunotherapy. But there is no valid and viable study regarding MSI in gastric cancer patients in our country. The purpose of this study is to evaluate the prevalence of MSI status in gastric adenocarcinoma and also to see the relation of MSI with demographic status, location of </w:t>
      </w:r>
      <w:proofErr w:type="spellStart"/>
      <w:r w:rsidRPr="007068B3">
        <w:rPr>
          <w:sz w:val="24"/>
        </w:rPr>
        <w:t>tumour</w:t>
      </w:r>
      <w:proofErr w:type="spellEnd"/>
      <w:r w:rsidRPr="007068B3">
        <w:rPr>
          <w:sz w:val="24"/>
        </w:rPr>
        <w:t>, histopathological type and degree of differentiation, clinical and pathological TNM status which will help in developing strategies for gastric cancer ma</w:t>
      </w:r>
      <w:r w:rsidR="00A554DB">
        <w:rPr>
          <w:sz w:val="24"/>
        </w:rPr>
        <w:t>nagement</w:t>
      </w:r>
      <w:r w:rsidRPr="007068B3">
        <w:rPr>
          <w:sz w:val="24"/>
        </w:rPr>
        <w:t>.</w:t>
      </w:r>
    </w:p>
    <w:p w14:paraId="02E3EC4D" w14:textId="77777777" w:rsidR="00A554DB" w:rsidRDefault="00A554DB" w:rsidP="007068B3">
      <w:pPr>
        <w:spacing w:line="360" w:lineRule="auto"/>
        <w:jc w:val="both"/>
        <w:rPr>
          <w:sz w:val="24"/>
        </w:rPr>
      </w:pPr>
    </w:p>
    <w:p w14:paraId="7CECF433" w14:textId="77777777" w:rsidR="00A554DB" w:rsidRDefault="00A554DB" w:rsidP="007068B3">
      <w:pPr>
        <w:spacing w:line="360" w:lineRule="auto"/>
        <w:jc w:val="both"/>
        <w:rPr>
          <w:sz w:val="24"/>
        </w:rPr>
      </w:pPr>
    </w:p>
    <w:p w14:paraId="29614B82" w14:textId="77777777" w:rsidR="00A554DB" w:rsidRDefault="00A554DB" w:rsidP="007068B3">
      <w:pPr>
        <w:spacing w:line="360" w:lineRule="auto"/>
        <w:jc w:val="both"/>
        <w:rPr>
          <w:sz w:val="24"/>
        </w:rPr>
      </w:pPr>
    </w:p>
    <w:p w14:paraId="149A71E7" w14:textId="77777777" w:rsidR="00A554DB" w:rsidRDefault="00A554DB" w:rsidP="007068B3">
      <w:pPr>
        <w:spacing w:line="360" w:lineRule="auto"/>
        <w:jc w:val="both"/>
        <w:rPr>
          <w:sz w:val="24"/>
        </w:rPr>
      </w:pPr>
    </w:p>
    <w:p w14:paraId="04105CD3" w14:textId="77777777" w:rsidR="00A554DB" w:rsidRDefault="00A554DB" w:rsidP="007068B3">
      <w:pPr>
        <w:spacing w:line="360" w:lineRule="auto"/>
        <w:jc w:val="both"/>
        <w:rPr>
          <w:sz w:val="24"/>
        </w:rPr>
      </w:pPr>
    </w:p>
    <w:p w14:paraId="02C5BD15" w14:textId="77777777" w:rsidR="00A554DB" w:rsidRDefault="00A554DB" w:rsidP="007068B3">
      <w:pPr>
        <w:spacing w:line="360" w:lineRule="auto"/>
        <w:jc w:val="both"/>
        <w:rPr>
          <w:sz w:val="24"/>
        </w:rPr>
      </w:pPr>
    </w:p>
    <w:p w14:paraId="76F38B78" w14:textId="77777777" w:rsidR="00A554DB" w:rsidRDefault="00A554DB" w:rsidP="007068B3">
      <w:pPr>
        <w:spacing w:line="360" w:lineRule="auto"/>
        <w:jc w:val="both"/>
        <w:rPr>
          <w:sz w:val="24"/>
        </w:rPr>
      </w:pPr>
    </w:p>
    <w:p w14:paraId="783A6750" w14:textId="77777777" w:rsidR="00A554DB" w:rsidRDefault="00A554DB" w:rsidP="007068B3">
      <w:pPr>
        <w:spacing w:line="360" w:lineRule="auto"/>
        <w:jc w:val="both"/>
        <w:rPr>
          <w:sz w:val="24"/>
        </w:rPr>
      </w:pPr>
    </w:p>
    <w:p w14:paraId="739A6E68" w14:textId="77777777" w:rsidR="00A554DB" w:rsidRDefault="00A554DB" w:rsidP="007068B3">
      <w:pPr>
        <w:spacing w:line="360" w:lineRule="auto"/>
        <w:jc w:val="both"/>
        <w:rPr>
          <w:sz w:val="24"/>
        </w:rPr>
      </w:pPr>
    </w:p>
    <w:p w14:paraId="068A7FD9" w14:textId="77777777" w:rsidR="00A554DB" w:rsidRDefault="00A554DB" w:rsidP="007068B3">
      <w:pPr>
        <w:spacing w:line="360" w:lineRule="auto"/>
        <w:jc w:val="both"/>
        <w:rPr>
          <w:sz w:val="24"/>
        </w:rPr>
      </w:pPr>
    </w:p>
    <w:p w14:paraId="0A57693F" w14:textId="77777777" w:rsidR="00A554DB" w:rsidRPr="00A554DB" w:rsidRDefault="00A554DB" w:rsidP="007068B3">
      <w:pPr>
        <w:spacing w:line="360" w:lineRule="auto"/>
        <w:jc w:val="both"/>
        <w:rPr>
          <w:b/>
          <w:sz w:val="24"/>
        </w:rPr>
      </w:pPr>
      <w:r w:rsidRPr="00A554DB">
        <w:rPr>
          <w:b/>
          <w:sz w:val="24"/>
        </w:rPr>
        <w:t>Materials and method:</w:t>
      </w:r>
    </w:p>
    <w:p w14:paraId="566D5F51" w14:textId="77777777" w:rsidR="00A554DB" w:rsidRPr="007068B3" w:rsidRDefault="00A554DB" w:rsidP="00A554DB">
      <w:pPr>
        <w:spacing w:line="360" w:lineRule="auto"/>
        <w:jc w:val="both"/>
        <w:rPr>
          <w:sz w:val="24"/>
        </w:rPr>
      </w:pPr>
      <w:r>
        <w:rPr>
          <w:sz w:val="24"/>
        </w:rPr>
        <w:t xml:space="preserve">This </w:t>
      </w:r>
      <w:proofErr w:type="gramStart"/>
      <w:r w:rsidRPr="00A554DB">
        <w:rPr>
          <w:sz w:val="24"/>
        </w:rPr>
        <w:t>Cros</w:t>
      </w:r>
      <w:r>
        <w:rPr>
          <w:sz w:val="24"/>
        </w:rPr>
        <w:t>s sectional</w:t>
      </w:r>
      <w:proofErr w:type="gramEnd"/>
      <w:r>
        <w:rPr>
          <w:sz w:val="24"/>
        </w:rPr>
        <w:t xml:space="preserve"> observational study </w:t>
      </w:r>
      <w:r w:rsidRPr="00A554DB">
        <w:rPr>
          <w:sz w:val="24"/>
        </w:rPr>
        <w:t>was conducted from July, 2023 to June, 2024</w:t>
      </w:r>
      <w:r>
        <w:rPr>
          <w:sz w:val="24"/>
        </w:rPr>
        <w:t xml:space="preserve"> in the </w:t>
      </w:r>
      <w:r w:rsidRPr="00A554DB">
        <w:rPr>
          <w:sz w:val="24"/>
        </w:rPr>
        <w:t>Department of Surgical Oncology, NICRH</w:t>
      </w:r>
      <w:r>
        <w:rPr>
          <w:sz w:val="24"/>
        </w:rPr>
        <w:t xml:space="preserve"> (National Institute of Cancer Research and Institute), Mohakhali, Dhaka, Bangladesh. All the p</w:t>
      </w:r>
      <w:r w:rsidRPr="00A554DB">
        <w:rPr>
          <w:sz w:val="24"/>
        </w:rPr>
        <w:t xml:space="preserve">atient with gastric adenocarcinoma who were admitted at Surgical Oncology Department </w:t>
      </w:r>
      <w:r>
        <w:rPr>
          <w:sz w:val="24"/>
        </w:rPr>
        <w:t>of NICRH were included in the study after fulfilling the inclusion and exclusion criteria. A consecutive method was used for sampling.</w:t>
      </w:r>
      <w:r w:rsidRPr="00A554DB">
        <w:t xml:space="preserve"> </w:t>
      </w:r>
      <w:r w:rsidRPr="00A554DB">
        <w:rPr>
          <w:sz w:val="24"/>
        </w:rPr>
        <w:t>An ethical clearance was taken from Et</w:t>
      </w:r>
      <w:r>
        <w:rPr>
          <w:sz w:val="24"/>
        </w:rPr>
        <w:t xml:space="preserve">hical Clearance Committee of NICRH </w:t>
      </w:r>
      <w:r w:rsidRPr="00A554DB">
        <w:rPr>
          <w:sz w:val="24"/>
        </w:rPr>
        <w:t>to conduct the study. An informed written consent was obtained from all the participants regarding the study procedure.</w:t>
      </w:r>
    </w:p>
    <w:p w14:paraId="3CEE8091" w14:textId="77777777" w:rsidR="00A554DB" w:rsidRPr="00A554DB" w:rsidRDefault="00A554DB" w:rsidP="00A554DB">
      <w:pPr>
        <w:spacing w:line="360" w:lineRule="auto"/>
        <w:jc w:val="both"/>
        <w:rPr>
          <w:b/>
          <w:sz w:val="24"/>
        </w:rPr>
      </w:pPr>
      <w:r w:rsidRPr="00A554DB">
        <w:rPr>
          <w:b/>
          <w:sz w:val="24"/>
        </w:rPr>
        <w:t>Inclusion Criteria:</w:t>
      </w:r>
    </w:p>
    <w:p w14:paraId="24C701DC" w14:textId="77777777" w:rsidR="00A554DB" w:rsidRPr="00A554DB" w:rsidRDefault="00A554DB" w:rsidP="00A554DB">
      <w:pPr>
        <w:spacing w:line="360" w:lineRule="auto"/>
        <w:jc w:val="both"/>
        <w:rPr>
          <w:sz w:val="24"/>
        </w:rPr>
      </w:pPr>
      <w:r>
        <w:rPr>
          <w:sz w:val="24"/>
        </w:rPr>
        <w:t xml:space="preserve">1. </w:t>
      </w:r>
      <w:r w:rsidRPr="00A554DB">
        <w:rPr>
          <w:sz w:val="24"/>
        </w:rPr>
        <w:t>Preoperatively confirmed gastric adenocarcinoma patients with the help of upper GIT endoscopic biopsy and histopathology.</w:t>
      </w:r>
    </w:p>
    <w:p w14:paraId="019F1DD5" w14:textId="77777777" w:rsidR="00A554DB" w:rsidRPr="00A554DB" w:rsidRDefault="00A554DB" w:rsidP="00A554DB">
      <w:pPr>
        <w:spacing w:line="360" w:lineRule="auto"/>
        <w:jc w:val="both"/>
        <w:rPr>
          <w:b/>
          <w:sz w:val="24"/>
        </w:rPr>
      </w:pPr>
      <w:r w:rsidRPr="00A554DB">
        <w:rPr>
          <w:b/>
          <w:sz w:val="24"/>
        </w:rPr>
        <w:t>Exclusion Criteria</w:t>
      </w:r>
      <w:r>
        <w:rPr>
          <w:b/>
          <w:sz w:val="24"/>
        </w:rPr>
        <w:t>:</w:t>
      </w:r>
    </w:p>
    <w:p w14:paraId="50481DBD" w14:textId="77777777" w:rsidR="00A554DB" w:rsidRPr="00A554DB" w:rsidRDefault="00A554DB" w:rsidP="00A554DB">
      <w:pPr>
        <w:pStyle w:val="ListParagraph"/>
        <w:numPr>
          <w:ilvl w:val="0"/>
          <w:numId w:val="1"/>
        </w:numPr>
        <w:spacing w:line="360" w:lineRule="auto"/>
        <w:jc w:val="both"/>
        <w:rPr>
          <w:sz w:val="24"/>
        </w:rPr>
      </w:pPr>
      <w:r w:rsidRPr="00A554DB">
        <w:rPr>
          <w:sz w:val="24"/>
        </w:rPr>
        <w:t>Primary gastric malignancy other than gastric adenocarcinoma.</w:t>
      </w:r>
    </w:p>
    <w:p w14:paraId="79A9BFB0" w14:textId="77777777" w:rsidR="00A554DB" w:rsidRPr="00A554DB" w:rsidRDefault="00A554DB" w:rsidP="00A554DB">
      <w:pPr>
        <w:pStyle w:val="ListParagraph"/>
        <w:numPr>
          <w:ilvl w:val="0"/>
          <w:numId w:val="1"/>
        </w:numPr>
        <w:spacing w:line="360" w:lineRule="auto"/>
        <w:jc w:val="both"/>
        <w:rPr>
          <w:sz w:val="24"/>
        </w:rPr>
      </w:pPr>
      <w:r w:rsidRPr="00A554DB">
        <w:rPr>
          <w:sz w:val="24"/>
        </w:rPr>
        <w:t>Patients who refuse to enroll in this study.</w:t>
      </w:r>
    </w:p>
    <w:p w14:paraId="002BBB0D" w14:textId="77777777" w:rsidR="00A554DB" w:rsidRPr="00A554DB" w:rsidRDefault="00A554DB" w:rsidP="00A554DB">
      <w:pPr>
        <w:spacing w:line="360" w:lineRule="auto"/>
        <w:jc w:val="both"/>
        <w:rPr>
          <w:sz w:val="24"/>
        </w:rPr>
      </w:pPr>
      <w:r w:rsidRPr="00A554DB">
        <w:rPr>
          <w:sz w:val="24"/>
        </w:rPr>
        <w:t>This prospective study was conducted in the Department of Surgical Oncology of NICRH for one-year period following approval by the Ethical Review Committee (ERC) of NICRH. Initially, patients with diagnosis of adenocarcinoma of stomach admitted in Department of Surgical Oncology for treatment was enrolled in the study. Thereafter, they were scrutinized according to the eligibility criteria.</w:t>
      </w:r>
    </w:p>
    <w:p w14:paraId="28B39BCB" w14:textId="77777777" w:rsidR="007D63B3" w:rsidRDefault="00A554DB" w:rsidP="00A554DB">
      <w:pPr>
        <w:spacing w:line="360" w:lineRule="auto"/>
        <w:jc w:val="both"/>
        <w:rPr>
          <w:sz w:val="24"/>
        </w:rPr>
      </w:pPr>
      <w:r w:rsidRPr="00A554DB">
        <w:rPr>
          <w:sz w:val="24"/>
        </w:rPr>
        <w:t>All patients were informed regarding the study procedure and written consent was obtained. After clinical assessment and staging investigation, operable and fit patients were planned for surgery and surgery was carried out as per standard guideline.</w:t>
      </w:r>
      <w:r>
        <w:rPr>
          <w:sz w:val="24"/>
        </w:rPr>
        <w:t xml:space="preserve"> </w:t>
      </w:r>
      <w:r w:rsidRPr="00A554DB">
        <w:rPr>
          <w:sz w:val="24"/>
        </w:rPr>
        <w:t>Specimens were preserved in 10% formalin, and sent to laboratories for further examinations.</w:t>
      </w:r>
    </w:p>
    <w:p w14:paraId="0D6C8BD3" w14:textId="77777777" w:rsidR="00A554DB" w:rsidRPr="00A554DB" w:rsidRDefault="00A554DB" w:rsidP="00A554DB">
      <w:pPr>
        <w:spacing w:line="360" w:lineRule="auto"/>
        <w:jc w:val="both"/>
        <w:rPr>
          <w:b/>
          <w:sz w:val="24"/>
        </w:rPr>
      </w:pPr>
      <w:r w:rsidRPr="00A554DB">
        <w:rPr>
          <w:b/>
          <w:sz w:val="24"/>
        </w:rPr>
        <w:t>MSI Analysis by PCR method:</w:t>
      </w:r>
    </w:p>
    <w:p w14:paraId="183CCDAF" w14:textId="77777777" w:rsidR="00A554DB" w:rsidRPr="00A554DB" w:rsidRDefault="00A554DB" w:rsidP="00A554DB">
      <w:pPr>
        <w:pStyle w:val="ListParagraph"/>
        <w:numPr>
          <w:ilvl w:val="0"/>
          <w:numId w:val="2"/>
        </w:numPr>
        <w:spacing w:line="360" w:lineRule="auto"/>
        <w:jc w:val="both"/>
        <w:rPr>
          <w:b/>
          <w:sz w:val="24"/>
        </w:rPr>
      </w:pPr>
      <w:r w:rsidRPr="00A554DB">
        <w:rPr>
          <w:b/>
          <w:sz w:val="24"/>
        </w:rPr>
        <w:t>Sampling and DNA extraction</w:t>
      </w:r>
    </w:p>
    <w:p w14:paraId="6FAB769B" w14:textId="77777777" w:rsidR="00A554DB" w:rsidRPr="00A554DB" w:rsidRDefault="00A554DB" w:rsidP="00A554DB">
      <w:pPr>
        <w:spacing w:line="360" w:lineRule="auto"/>
        <w:jc w:val="both"/>
        <w:rPr>
          <w:sz w:val="24"/>
        </w:rPr>
      </w:pPr>
      <w:r w:rsidRPr="00A554DB">
        <w:rPr>
          <w:sz w:val="24"/>
        </w:rPr>
        <w:t>Tissue slides of the patients was examined under a light microscope, and DNA will be extracted from normal and tumor tissues of tissue sections stained with HE for MSI study.</w:t>
      </w:r>
    </w:p>
    <w:p w14:paraId="1FF215D1" w14:textId="77777777" w:rsidR="00A554DB" w:rsidRPr="00A554DB" w:rsidRDefault="00A554DB" w:rsidP="00A554DB">
      <w:pPr>
        <w:pStyle w:val="ListParagraph"/>
        <w:numPr>
          <w:ilvl w:val="0"/>
          <w:numId w:val="2"/>
        </w:numPr>
        <w:spacing w:line="360" w:lineRule="auto"/>
        <w:jc w:val="both"/>
        <w:rPr>
          <w:b/>
          <w:sz w:val="24"/>
        </w:rPr>
      </w:pPr>
      <w:r w:rsidRPr="00A554DB">
        <w:rPr>
          <w:b/>
          <w:sz w:val="24"/>
        </w:rPr>
        <w:t>Analysis of MSI:</w:t>
      </w:r>
    </w:p>
    <w:p w14:paraId="253BAFFF" w14:textId="77777777" w:rsidR="00A554DB" w:rsidRDefault="00A554DB" w:rsidP="00A554DB">
      <w:pPr>
        <w:spacing w:line="360" w:lineRule="auto"/>
        <w:jc w:val="both"/>
        <w:rPr>
          <w:sz w:val="24"/>
        </w:rPr>
      </w:pPr>
      <w:r w:rsidRPr="00A554DB">
        <w:rPr>
          <w:sz w:val="24"/>
        </w:rPr>
        <w:t>BAT25 and BAT26 with the repeated sequence of a single nucleotide, and D5S346, D2S123, and D17S250 with the repeated sequence of</w:t>
      </w:r>
      <w:r>
        <w:rPr>
          <w:sz w:val="24"/>
        </w:rPr>
        <w:t xml:space="preserve"> two nucleotides, were selected </w:t>
      </w:r>
      <w:r w:rsidRPr="00A554DB">
        <w:rPr>
          <w:sz w:val="24"/>
        </w:rPr>
        <w:t xml:space="preserve">as PCR primers for the </w:t>
      </w:r>
      <w:r w:rsidRPr="00A554DB">
        <w:rPr>
          <w:sz w:val="24"/>
        </w:rPr>
        <w:lastRenderedPageBreak/>
        <w:t xml:space="preserve">assessment of MSI. In our study, according to the guideline of the National Comprehensive Cancer Network </w:t>
      </w:r>
      <w:proofErr w:type="gramStart"/>
      <w:r w:rsidRPr="00A554DB">
        <w:rPr>
          <w:sz w:val="24"/>
        </w:rPr>
        <w:t>( NCCN</w:t>
      </w:r>
      <w:proofErr w:type="gramEnd"/>
      <w:r w:rsidRPr="00A554DB">
        <w:rPr>
          <w:sz w:val="24"/>
        </w:rPr>
        <w:t>) , Cases positive for ≥2 markers were considered to be high-frequency MSI (MSI-H), while cases positive for 1marker was considered to be low-frequency MSI (MSI-L) and cases negative for all marker was considered as MSS (microsatellite stable). Only MSI-H was considered to be the satellite instability group, and MSI-L or MSS was referred to as the satellite stability group.</w:t>
      </w:r>
    </w:p>
    <w:p w14:paraId="7DDB7E88" w14:textId="77777777" w:rsidR="00DC3232" w:rsidRPr="00DC3232" w:rsidRDefault="00DC3232" w:rsidP="00DC3232">
      <w:pPr>
        <w:spacing w:line="360" w:lineRule="auto"/>
        <w:jc w:val="both"/>
        <w:rPr>
          <w:sz w:val="24"/>
        </w:rPr>
      </w:pPr>
      <w:r>
        <w:rPr>
          <w:sz w:val="24"/>
        </w:rPr>
        <w:t>Patient’s demographics including age, sex, body mass index (BMI) were documented. Besides MSI status of gastric carcinoma,</w:t>
      </w:r>
      <w:r w:rsidRPr="00DC3232">
        <w:t xml:space="preserve"> </w:t>
      </w:r>
      <w:r>
        <w:rPr>
          <w:sz w:val="24"/>
        </w:rPr>
        <w:t>location of tumor, h</w:t>
      </w:r>
      <w:r w:rsidRPr="00DC3232">
        <w:rPr>
          <w:sz w:val="24"/>
        </w:rPr>
        <w:t>istopatho</w:t>
      </w:r>
      <w:r>
        <w:rPr>
          <w:sz w:val="24"/>
        </w:rPr>
        <w:t xml:space="preserve">logical Type and grade of tumor, </w:t>
      </w:r>
      <w:proofErr w:type="gramStart"/>
      <w:r>
        <w:rPr>
          <w:sz w:val="24"/>
        </w:rPr>
        <w:t>Lauren‘</w:t>
      </w:r>
      <w:proofErr w:type="gramEnd"/>
      <w:r>
        <w:rPr>
          <w:sz w:val="24"/>
        </w:rPr>
        <w:t xml:space="preserve">s classification, clinical </w:t>
      </w:r>
      <w:r w:rsidRPr="00DC3232">
        <w:rPr>
          <w:sz w:val="24"/>
        </w:rPr>
        <w:t>(</w:t>
      </w:r>
      <w:proofErr w:type="spellStart"/>
      <w:r w:rsidRPr="00DC3232">
        <w:rPr>
          <w:sz w:val="24"/>
        </w:rPr>
        <w:t>cTNM</w:t>
      </w:r>
      <w:proofErr w:type="spellEnd"/>
      <w:r w:rsidRPr="00DC3232">
        <w:rPr>
          <w:sz w:val="24"/>
        </w:rPr>
        <w:t>)</w:t>
      </w:r>
      <w:r>
        <w:rPr>
          <w:sz w:val="24"/>
        </w:rPr>
        <w:t xml:space="preserve"> and p</w:t>
      </w:r>
      <w:r w:rsidRPr="00DC3232">
        <w:rPr>
          <w:sz w:val="24"/>
        </w:rPr>
        <w:t xml:space="preserve">athological Staging ( </w:t>
      </w:r>
      <w:proofErr w:type="spellStart"/>
      <w:r w:rsidRPr="00DC3232">
        <w:rPr>
          <w:sz w:val="24"/>
        </w:rPr>
        <w:t>pTNM</w:t>
      </w:r>
      <w:proofErr w:type="spellEnd"/>
      <w:r w:rsidRPr="00DC3232">
        <w:rPr>
          <w:sz w:val="24"/>
        </w:rPr>
        <w:t xml:space="preserve">/ </w:t>
      </w:r>
      <w:proofErr w:type="spellStart"/>
      <w:r w:rsidRPr="00DC3232">
        <w:rPr>
          <w:sz w:val="24"/>
        </w:rPr>
        <w:t>ypTNM</w:t>
      </w:r>
      <w:proofErr w:type="spellEnd"/>
      <w:r w:rsidRPr="00DC3232">
        <w:rPr>
          <w:sz w:val="24"/>
        </w:rPr>
        <w:t>)</w:t>
      </w:r>
      <w:r>
        <w:rPr>
          <w:sz w:val="24"/>
        </w:rPr>
        <w:t xml:space="preserve"> were analyzed.</w:t>
      </w:r>
    </w:p>
    <w:p w14:paraId="689230BF" w14:textId="77777777" w:rsidR="00A554DB" w:rsidRPr="00A554DB" w:rsidRDefault="00A554DB" w:rsidP="00A554DB">
      <w:pPr>
        <w:spacing w:line="360" w:lineRule="auto"/>
        <w:jc w:val="both"/>
        <w:rPr>
          <w:sz w:val="24"/>
        </w:rPr>
      </w:pPr>
      <w:r w:rsidRPr="00A554DB">
        <w:rPr>
          <w:sz w:val="24"/>
        </w:rPr>
        <w:t xml:space="preserve">Descriptive statistics was </w:t>
      </w:r>
      <w:proofErr w:type="gramStart"/>
      <w:r w:rsidRPr="00A554DB">
        <w:rPr>
          <w:sz w:val="24"/>
        </w:rPr>
        <w:t>include</w:t>
      </w:r>
      <w:proofErr w:type="gramEnd"/>
      <w:r w:rsidRPr="00A554DB">
        <w:rPr>
          <w:sz w:val="24"/>
        </w:rPr>
        <w:t xml:space="preserve"> frequencies with percent for nominal variables and mean ± SD or median for continuous variables. The fisher exact tests </w:t>
      </w:r>
      <w:proofErr w:type="gramStart"/>
      <w:r w:rsidRPr="00A554DB">
        <w:rPr>
          <w:sz w:val="24"/>
        </w:rPr>
        <w:t>was</w:t>
      </w:r>
      <w:proofErr w:type="gramEnd"/>
      <w:r w:rsidRPr="00A554DB">
        <w:rPr>
          <w:sz w:val="24"/>
        </w:rPr>
        <w:t xml:space="preserve"> used for categorical variables and analysis of variance for continuous variables. A value of</w:t>
      </w:r>
    </w:p>
    <w:p w14:paraId="4B650DA4" w14:textId="77777777" w:rsidR="00A554DB" w:rsidRDefault="00A554DB" w:rsidP="00A554DB">
      <w:pPr>
        <w:spacing w:line="360" w:lineRule="auto"/>
        <w:jc w:val="both"/>
        <w:rPr>
          <w:sz w:val="24"/>
        </w:rPr>
      </w:pPr>
      <w:r w:rsidRPr="00A554DB">
        <w:rPr>
          <w:sz w:val="24"/>
        </w:rPr>
        <w:t xml:space="preserve">&lt;0.05 will be considered statistically significant in all analyses. Then the result of the study was calculated and analyzed by standard statistical method and was presented in the forms of tables and graphs. For analysis of data SPSS for windows (IBM SPSS statistics for windows, version 27.0, Armonk, NY: IBM </w:t>
      </w:r>
      <w:proofErr w:type="spellStart"/>
      <w:r w:rsidRPr="00A554DB">
        <w:rPr>
          <w:sz w:val="24"/>
        </w:rPr>
        <w:t>corp</w:t>
      </w:r>
      <w:proofErr w:type="spellEnd"/>
      <w:r w:rsidRPr="00A554DB">
        <w:rPr>
          <w:sz w:val="24"/>
        </w:rPr>
        <w:t>) software was used.</w:t>
      </w:r>
    </w:p>
    <w:p w14:paraId="7EC928E3" w14:textId="77777777" w:rsidR="00682FFA" w:rsidRDefault="00682FFA" w:rsidP="00A554DB">
      <w:pPr>
        <w:spacing w:line="360" w:lineRule="auto"/>
        <w:jc w:val="both"/>
        <w:rPr>
          <w:sz w:val="24"/>
        </w:rPr>
      </w:pPr>
    </w:p>
    <w:p w14:paraId="06328447" w14:textId="77777777" w:rsidR="00682FFA" w:rsidRDefault="00682FFA" w:rsidP="00A554DB">
      <w:pPr>
        <w:spacing w:line="360" w:lineRule="auto"/>
        <w:jc w:val="both"/>
        <w:rPr>
          <w:sz w:val="24"/>
        </w:rPr>
      </w:pPr>
    </w:p>
    <w:p w14:paraId="5B095C5A" w14:textId="77777777" w:rsidR="00682FFA" w:rsidRDefault="00682FFA" w:rsidP="00A554DB">
      <w:pPr>
        <w:spacing w:line="360" w:lineRule="auto"/>
        <w:jc w:val="both"/>
        <w:rPr>
          <w:sz w:val="24"/>
        </w:rPr>
      </w:pPr>
    </w:p>
    <w:p w14:paraId="1128CA41" w14:textId="77777777" w:rsidR="00682FFA" w:rsidRDefault="00682FFA" w:rsidP="00A554DB">
      <w:pPr>
        <w:spacing w:line="360" w:lineRule="auto"/>
        <w:jc w:val="both"/>
        <w:rPr>
          <w:sz w:val="24"/>
        </w:rPr>
      </w:pPr>
    </w:p>
    <w:p w14:paraId="64E3E61E" w14:textId="77777777" w:rsidR="00682FFA" w:rsidRDefault="00682FFA" w:rsidP="00A554DB">
      <w:pPr>
        <w:spacing w:line="360" w:lineRule="auto"/>
        <w:jc w:val="both"/>
        <w:rPr>
          <w:sz w:val="24"/>
        </w:rPr>
      </w:pPr>
    </w:p>
    <w:p w14:paraId="16000A2E" w14:textId="77777777" w:rsidR="00682FFA" w:rsidRDefault="00682FFA" w:rsidP="00A554DB">
      <w:pPr>
        <w:spacing w:line="360" w:lineRule="auto"/>
        <w:jc w:val="both"/>
        <w:rPr>
          <w:sz w:val="24"/>
        </w:rPr>
      </w:pPr>
    </w:p>
    <w:p w14:paraId="1A93552A" w14:textId="77777777" w:rsidR="00682FFA" w:rsidRDefault="00682FFA" w:rsidP="00A554DB">
      <w:pPr>
        <w:spacing w:line="360" w:lineRule="auto"/>
        <w:jc w:val="both"/>
        <w:rPr>
          <w:sz w:val="24"/>
        </w:rPr>
      </w:pPr>
    </w:p>
    <w:p w14:paraId="2136E68E" w14:textId="77777777" w:rsidR="00682FFA" w:rsidRDefault="00682FFA" w:rsidP="00A554DB">
      <w:pPr>
        <w:spacing w:line="360" w:lineRule="auto"/>
        <w:jc w:val="both"/>
        <w:rPr>
          <w:sz w:val="24"/>
        </w:rPr>
      </w:pPr>
    </w:p>
    <w:p w14:paraId="52379533" w14:textId="77777777" w:rsidR="00682FFA" w:rsidRDefault="00682FFA" w:rsidP="00A554DB">
      <w:pPr>
        <w:spacing w:line="360" w:lineRule="auto"/>
        <w:jc w:val="both"/>
        <w:rPr>
          <w:sz w:val="24"/>
        </w:rPr>
      </w:pPr>
    </w:p>
    <w:p w14:paraId="3963A789" w14:textId="77777777" w:rsidR="00682FFA" w:rsidRDefault="00682FFA" w:rsidP="00A554DB">
      <w:pPr>
        <w:spacing w:line="360" w:lineRule="auto"/>
        <w:jc w:val="both"/>
        <w:rPr>
          <w:sz w:val="24"/>
        </w:rPr>
      </w:pPr>
    </w:p>
    <w:p w14:paraId="3F1EFCB9" w14:textId="77777777" w:rsidR="00682FFA" w:rsidRDefault="00682FFA" w:rsidP="00A554DB">
      <w:pPr>
        <w:spacing w:line="360" w:lineRule="auto"/>
        <w:jc w:val="both"/>
        <w:rPr>
          <w:sz w:val="24"/>
        </w:rPr>
      </w:pPr>
    </w:p>
    <w:p w14:paraId="22D229C3" w14:textId="77777777" w:rsidR="00682FFA" w:rsidRDefault="00682FFA" w:rsidP="00A554DB">
      <w:pPr>
        <w:spacing w:line="360" w:lineRule="auto"/>
        <w:jc w:val="both"/>
        <w:rPr>
          <w:sz w:val="24"/>
        </w:rPr>
      </w:pPr>
    </w:p>
    <w:p w14:paraId="7398EE89" w14:textId="77777777" w:rsidR="00682FFA" w:rsidRDefault="00682FFA" w:rsidP="00A554DB">
      <w:pPr>
        <w:spacing w:line="360" w:lineRule="auto"/>
        <w:jc w:val="both"/>
        <w:rPr>
          <w:sz w:val="24"/>
        </w:rPr>
      </w:pPr>
    </w:p>
    <w:p w14:paraId="4D03EFA9" w14:textId="77777777" w:rsidR="00682FFA" w:rsidRDefault="00682FFA" w:rsidP="00A554DB">
      <w:pPr>
        <w:spacing w:line="360" w:lineRule="auto"/>
        <w:jc w:val="both"/>
        <w:rPr>
          <w:sz w:val="24"/>
        </w:rPr>
      </w:pPr>
    </w:p>
    <w:p w14:paraId="2B0E03D5" w14:textId="77777777" w:rsidR="00682FFA" w:rsidRDefault="00682FFA" w:rsidP="00A554DB">
      <w:pPr>
        <w:spacing w:line="360" w:lineRule="auto"/>
        <w:jc w:val="both"/>
        <w:rPr>
          <w:b/>
          <w:sz w:val="24"/>
        </w:rPr>
      </w:pPr>
      <w:r w:rsidRPr="00682FFA">
        <w:rPr>
          <w:b/>
          <w:sz w:val="24"/>
        </w:rPr>
        <w:lastRenderedPageBreak/>
        <w:t>Results:</w:t>
      </w:r>
    </w:p>
    <w:p w14:paraId="53B5C943" w14:textId="77777777" w:rsidR="00682FFA" w:rsidRDefault="000B37B2" w:rsidP="000B37B2">
      <w:pPr>
        <w:spacing w:line="360" w:lineRule="auto"/>
        <w:jc w:val="both"/>
        <w:rPr>
          <w:sz w:val="24"/>
        </w:rPr>
      </w:pPr>
      <w:r>
        <w:rPr>
          <w:noProof/>
          <w:sz w:val="20"/>
        </w:rPr>
        <w:drawing>
          <wp:anchor distT="0" distB="0" distL="114300" distR="114300" simplePos="0" relativeHeight="251658240" behindDoc="0" locked="0" layoutInCell="1" allowOverlap="1" wp14:anchorId="70E6B3A0" wp14:editId="5D860200">
            <wp:simplePos x="0" y="0"/>
            <wp:positionH relativeFrom="column">
              <wp:posOffset>122830</wp:posOffset>
            </wp:positionH>
            <wp:positionV relativeFrom="paragraph">
              <wp:posOffset>2364740</wp:posOffset>
            </wp:positionV>
            <wp:extent cx="5523219" cy="3229165"/>
            <wp:effectExtent l="0" t="0" r="1905" b="0"/>
            <wp:wrapSquare wrapText="bothSides"/>
            <wp:docPr id="19" name="Image 19" descr="C:\Users\MDED5B~1.RIP\AppData\Local\Temp\ksohtml20456\wps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C:\Users\MDED5B~1.RIP\AppData\Local\Temp\ksohtml20456\wps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23219" cy="3229165"/>
                    </a:xfrm>
                    <a:prstGeom prst="rect">
                      <a:avLst/>
                    </a:prstGeom>
                  </pic:spPr>
                </pic:pic>
              </a:graphicData>
            </a:graphic>
          </wp:anchor>
        </w:drawing>
      </w:r>
      <w:r w:rsidR="00682FFA" w:rsidRPr="00682FFA">
        <w:rPr>
          <w:sz w:val="24"/>
        </w:rPr>
        <w:t xml:space="preserve">This prospective cross section observational study was carried out in the department of Surgical Oncology at NICRH from July, 2023 to June, 2024. It focused on to see relation of microsatellite status with gastric carcinoma. </w:t>
      </w:r>
      <w:r w:rsidR="00682FFA">
        <w:rPr>
          <w:sz w:val="24"/>
        </w:rPr>
        <w:t xml:space="preserve">The study included </w:t>
      </w:r>
      <w:proofErr w:type="gramStart"/>
      <w:r w:rsidR="00682FFA">
        <w:rPr>
          <w:sz w:val="24"/>
        </w:rPr>
        <w:t>thirty three</w:t>
      </w:r>
      <w:proofErr w:type="gramEnd"/>
      <w:r w:rsidR="00682FFA">
        <w:rPr>
          <w:sz w:val="24"/>
        </w:rPr>
        <w:t xml:space="preserve"> </w:t>
      </w:r>
      <w:r w:rsidR="00682FFA" w:rsidRPr="00682FFA">
        <w:rPr>
          <w:sz w:val="24"/>
        </w:rPr>
        <w:t>(33) patients.</w:t>
      </w:r>
      <w:r w:rsidR="00682FFA" w:rsidRPr="00682FFA">
        <w:t xml:space="preserve"> </w:t>
      </w:r>
      <w:r w:rsidR="00682FFA" w:rsidRPr="00682FFA">
        <w:rPr>
          <w:sz w:val="24"/>
        </w:rPr>
        <w:t>Among 33 patients, 06 (18.18%) patients were diagnosed as MSI-H and 27 (81.81%) patients were diagnosed as MSS.</w:t>
      </w:r>
      <w:r w:rsidR="00682FFA" w:rsidRPr="00682FFA">
        <w:t xml:space="preserve"> </w:t>
      </w:r>
      <w:r w:rsidR="00682FFA" w:rsidRPr="00682FFA">
        <w:rPr>
          <w:sz w:val="24"/>
        </w:rPr>
        <w:t>Mean age was 56.18 (±12.14) years. Minimum and maximum ages were 22 years and 75 years respectively</w:t>
      </w:r>
      <w:r>
        <w:rPr>
          <w:sz w:val="24"/>
        </w:rPr>
        <w:t xml:space="preserve"> (Figure-1)</w:t>
      </w:r>
      <w:r w:rsidR="00682FFA" w:rsidRPr="00682FFA">
        <w:rPr>
          <w:sz w:val="24"/>
        </w:rPr>
        <w:t>.</w:t>
      </w:r>
      <w:r w:rsidR="00682FFA" w:rsidRPr="00682FFA">
        <w:t xml:space="preserve"> </w:t>
      </w:r>
      <w:r w:rsidR="00682FFA" w:rsidRPr="00682FFA">
        <w:rPr>
          <w:sz w:val="24"/>
        </w:rPr>
        <w:t xml:space="preserve">Among </w:t>
      </w:r>
      <w:proofErr w:type="gramStart"/>
      <w:r w:rsidR="00682FFA" w:rsidRPr="00682FFA">
        <w:rPr>
          <w:sz w:val="24"/>
        </w:rPr>
        <w:t>thirty three</w:t>
      </w:r>
      <w:proofErr w:type="gramEnd"/>
      <w:r w:rsidR="00682FFA" w:rsidRPr="00682FFA">
        <w:rPr>
          <w:sz w:val="24"/>
        </w:rPr>
        <w:t xml:space="preserve"> (33) patients, twenty three (23) patients were male and ten patients were female. Among </w:t>
      </w:r>
      <w:proofErr w:type="gramStart"/>
      <w:r w:rsidR="00682FFA" w:rsidRPr="00682FFA">
        <w:rPr>
          <w:sz w:val="24"/>
        </w:rPr>
        <w:t>twenty three</w:t>
      </w:r>
      <w:proofErr w:type="gramEnd"/>
      <w:r w:rsidR="00682FFA" w:rsidRPr="00682FFA">
        <w:rPr>
          <w:sz w:val="24"/>
        </w:rPr>
        <w:t xml:space="preserve"> male (23) patients, 82.6% patients were belong to MSS group and 17.4% patients were belong to MSI-H group. Among ten female </w:t>
      </w:r>
      <w:r w:rsidR="00AD6033">
        <w:rPr>
          <w:sz w:val="24"/>
        </w:rPr>
        <w:t xml:space="preserve">patients </w:t>
      </w:r>
      <w:r>
        <w:rPr>
          <w:sz w:val="24"/>
        </w:rPr>
        <w:t>(</w:t>
      </w:r>
      <w:r w:rsidRPr="00682FFA">
        <w:rPr>
          <w:sz w:val="24"/>
        </w:rPr>
        <w:t>80%) patients</w:t>
      </w:r>
      <w:r w:rsidR="00682FFA" w:rsidRPr="00682FFA">
        <w:rPr>
          <w:sz w:val="24"/>
        </w:rPr>
        <w:t xml:space="preserve"> were belongs to MSS group &amp; rest were belongs to MSI-H group.</w:t>
      </w:r>
    </w:p>
    <w:p w14:paraId="7FF6E2BB" w14:textId="77777777" w:rsidR="000B37B2" w:rsidRPr="00682FFA" w:rsidRDefault="000B37B2" w:rsidP="000B37B2">
      <w:pPr>
        <w:spacing w:line="360" w:lineRule="auto"/>
        <w:jc w:val="both"/>
        <w:rPr>
          <w:sz w:val="24"/>
        </w:rPr>
      </w:pPr>
    </w:p>
    <w:p w14:paraId="3D652681" w14:textId="77777777" w:rsidR="00682FFA" w:rsidRPr="000B37B2" w:rsidRDefault="000B37B2" w:rsidP="000B37B2">
      <w:pPr>
        <w:spacing w:line="360" w:lineRule="auto"/>
        <w:jc w:val="center"/>
        <w:rPr>
          <w:b/>
          <w:sz w:val="24"/>
        </w:rPr>
      </w:pPr>
      <w:r w:rsidRPr="000B37B2">
        <w:rPr>
          <w:b/>
          <w:sz w:val="24"/>
        </w:rPr>
        <w:t>Figure-1 showing age distribution of the patients</w:t>
      </w:r>
    </w:p>
    <w:p w14:paraId="6C830564" w14:textId="77777777" w:rsidR="00682FFA" w:rsidRDefault="00682FFA" w:rsidP="000B37B2">
      <w:pPr>
        <w:spacing w:line="360" w:lineRule="auto"/>
        <w:jc w:val="both"/>
        <w:rPr>
          <w:sz w:val="24"/>
        </w:rPr>
      </w:pPr>
      <w:r>
        <w:rPr>
          <w:sz w:val="24"/>
        </w:rPr>
        <w:t>Twenty</w:t>
      </w:r>
      <w:r w:rsidR="00AD6033">
        <w:rPr>
          <w:sz w:val="24"/>
        </w:rPr>
        <w:t xml:space="preserve"> </w:t>
      </w:r>
      <w:r w:rsidRPr="00682FFA">
        <w:rPr>
          <w:sz w:val="24"/>
        </w:rPr>
        <w:t>(60.60%) tumors were located in</w:t>
      </w:r>
      <w:r>
        <w:rPr>
          <w:sz w:val="24"/>
        </w:rPr>
        <w:t xml:space="preserve"> distal part of stomach and 13</w:t>
      </w:r>
      <w:r w:rsidRPr="00682FFA">
        <w:rPr>
          <w:sz w:val="24"/>
        </w:rPr>
        <w:t>(39.40%) tumors were located in proximal part of stomach.</w:t>
      </w:r>
      <w:r w:rsidRPr="00682FFA">
        <w:t xml:space="preserve"> </w:t>
      </w:r>
      <w:r>
        <w:rPr>
          <w:sz w:val="24"/>
        </w:rPr>
        <w:t>In MSS group most tumors were</w:t>
      </w:r>
      <w:r w:rsidRPr="00682FFA">
        <w:rPr>
          <w:sz w:val="24"/>
        </w:rPr>
        <w:t xml:space="preserve"> located in distal part of stomach (70%) &amp; rest of tumor located in proximal part (30%</w:t>
      </w:r>
      <w:r w:rsidR="00AD6033" w:rsidRPr="00682FFA">
        <w:rPr>
          <w:sz w:val="24"/>
        </w:rPr>
        <w:t xml:space="preserve">). </w:t>
      </w:r>
      <w:r w:rsidRPr="00682FFA">
        <w:rPr>
          <w:sz w:val="24"/>
        </w:rPr>
        <w:t>In MSI-H group all tumor was located in distal part of stomach (100%)</w:t>
      </w:r>
      <w:r w:rsidR="000B37B2">
        <w:rPr>
          <w:sz w:val="24"/>
        </w:rPr>
        <w:t xml:space="preserve"> (Table-1)</w:t>
      </w:r>
      <w:r w:rsidRPr="00682FFA">
        <w:rPr>
          <w:sz w:val="24"/>
        </w:rPr>
        <w:t>.</w:t>
      </w:r>
    </w:p>
    <w:p w14:paraId="7972C80F" w14:textId="77777777" w:rsidR="00D62309" w:rsidRPr="00D62309" w:rsidRDefault="00D62309" w:rsidP="00D62309">
      <w:pPr>
        <w:spacing w:line="360" w:lineRule="auto"/>
        <w:jc w:val="both"/>
        <w:rPr>
          <w:sz w:val="24"/>
        </w:rPr>
      </w:pPr>
      <w:r w:rsidRPr="00D62309">
        <w:rPr>
          <w:sz w:val="24"/>
        </w:rPr>
        <w:t xml:space="preserve">Histopathological analysis of tumor showed 4 patients had intestinal type (total= 4) malignancy. Out of which 1 patient was in MSS group (25%) and 3 patients were in MSI-H group (75%). Diffuse type tumor (Total=8) was maximum in MSS group (87.5%) and rest in the MSI-H group </w:t>
      </w:r>
      <w:r w:rsidRPr="00D62309">
        <w:rPr>
          <w:sz w:val="24"/>
        </w:rPr>
        <w:lastRenderedPageBreak/>
        <w:t>(12.5%</w:t>
      </w:r>
      <w:proofErr w:type="gramStart"/>
      <w:r w:rsidRPr="00D62309">
        <w:rPr>
          <w:sz w:val="24"/>
        </w:rPr>
        <w:t>) .Among</w:t>
      </w:r>
      <w:proofErr w:type="gramEnd"/>
      <w:r w:rsidRPr="00D62309">
        <w:rPr>
          <w:sz w:val="24"/>
        </w:rPr>
        <w:t xml:space="preserve"> other histopathological variety of tumor, most of the tumor were in MSS group (90.4%) and rest were in MSI-H group( 9.6%). There was no early stage gastric carcinoma was found in both MSS &amp; MSI-H group (Table-1).</w:t>
      </w:r>
    </w:p>
    <w:p w14:paraId="4371D5AB" w14:textId="77777777" w:rsidR="00D62309" w:rsidRDefault="00D62309" w:rsidP="00D62309">
      <w:pPr>
        <w:spacing w:line="360" w:lineRule="auto"/>
        <w:jc w:val="both"/>
        <w:rPr>
          <w:sz w:val="24"/>
        </w:rPr>
      </w:pPr>
      <w:r w:rsidRPr="00D62309">
        <w:rPr>
          <w:sz w:val="24"/>
        </w:rPr>
        <w:t xml:space="preserve">Well differentiation (G1) tumor were 7, where 85.7% patients were MSS &amp; 14.3% patients were MSI-H. Moderately differentiated tumor number was fifteen (15), where 73.3% were MSS &amp; 16.7. Among poorly differentiated tumor (11), ten (10) </w:t>
      </w:r>
      <w:r>
        <w:rPr>
          <w:sz w:val="24"/>
        </w:rPr>
        <w:t>patients (90.9%) were MSS group.</w:t>
      </w:r>
    </w:p>
    <w:tbl>
      <w:tblPr>
        <w:tblpPr w:leftFromText="180" w:rightFromText="180" w:vertAnchor="text" w:horzAnchor="margin" w:tblpY="166"/>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1028"/>
        <w:gridCol w:w="1664"/>
        <w:gridCol w:w="787"/>
        <w:gridCol w:w="1688"/>
        <w:gridCol w:w="1132"/>
      </w:tblGrid>
      <w:tr w:rsidR="00D62309" w14:paraId="76EB688B" w14:textId="77777777" w:rsidTr="00D62309">
        <w:trPr>
          <w:trHeight w:val="313"/>
        </w:trPr>
        <w:tc>
          <w:tcPr>
            <w:tcW w:w="3145" w:type="dxa"/>
          </w:tcPr>
          <w:p w14:paraId="011EE275" w14:textId="77777777" w:rsidR="00D62309" w:rsidRDefault="00D62309" w:rsidP="00D62309">
            <w:pPr>
              <w:pStyle w:val="TableParagraph"/>
            </w:pPr>
          </w:p>
        </w:tc>
        <w:tc>
          <w:tcPr>
            <w:tcW w:w="2692" w:type="dxa"/>
            <w:gridSpan w:val="2"/>
          </w:tcPr>
          <w:p w14:paraId="18E2541C" w14:textId="77777777" w:rsidR="00D62309" w:rsidRDefault="00D62309" w:rsidP="00D62309">
            <w:pPr>
              <w:pStyle w:val="TableParagraph"/>
              <w:spacing w:line="275" w:lineRule="exact"/>
              <w:ind w:left="731"/>
              <w:rPr>
                <w:b/>
                <w:sz w:val="24"/>
              </w:rPr>
            </w:pPr>
            <w:r>
              <w:rPr>
                <w:b/>
                <w:sz w:val="24"/>
              </w:rPr>
              <w:t>MSS</w:t>
            </w:r>
            <w:r>
              <w:rPr>
                <w:b/>
                <w:spacing w:val="-5"/>
                <w:sz w:val="24"/>
              </w:rPr>
              <w:t xml:space="preserve"> </w:t>
            </w:r>
            <w:r>
              <w:rPr>
                <w:b/>
                <w:spacing w:val="-2"/>
                <w:sz w:val="24"/>
              </w:rPr>
              <w:t>(n=27)</w:t>
            </w:r>
          </w:p>
        </w:tc>
        <w:tc>
          <w:tcPr>
            <w:tcW w:w="2475" w:type="dxa"/>
            <w:gridSpan w:val="2"/>
          </w:tcPr>
          <w:p w14:paraId="3DC17317" w14:textId="77777777" w:rsidR="00D62309" w:rsidRDefault="00D62309" w:rsidP="00D62309">
            <w:pPr>
              <w:pStyle w:val="TableParagraph"/>
              <w:spacing w:line="275" w:lineRule="exact"/>
              <w:ind w:left="571"/>
              <w:rPr>
                <w:b/>
                <w:sz w:val="24"/>
              </w:rPr>
            </w:pPr>
            <w:r>
              <w:rPr>
                <w:b/>
                <w:sz w:val="24"/>
              </w:rPr>
              <w:t>MSI-H</w:t>
            </w:r>
            <w:r>
              <w:rPr>
                <w:b/>
                <w:spacing w:val="-2"/>
                <w:sz w:val="24"/>
              </w:rPr>
              <w:t xml:space="preserve"> (n=6)</w:t>
            </w:r>
          </w:p>
        </w:tc>
        <w:tc>
          <w:tcPr>
            <w:tcW w:w="1132" w:type="dxa"/>
          </w:tcPr>
          <w:p w14:paraId="4169122F" w14:textId="77777777" w:rsidR="00D62309" w:rsidRDefault="00D62309" w:rsidP="00D62309">
            <w:pPr>
              <w:pStyle w:val="TableParagraph"/>
            </w:pPr>
          </w:p>
        </w:tc>
      </w:tr>
      <w:tr w:rsidR="00D62309" w14:paraId="0DB214CA" w14:textId="77777777" w:rsidTr="00D62309">
        <w:trPr>
          <w:trHeight w:val="830"/>
        </w:trPr>
        <w:tc>
          <w:tcPr>
            <w:tcW w:w="3145" w:type="dxa"/>
          </w:tcPr>
          <w:p w14:paraId="401683AC" w14:textId="77777777" w:rsidR="00D62309" w:rsidRDefault="00D62309" w:rsidP="00D62309">
            <w:pPr>
              <w:pStyle w:val="TableParagraph"/>
              <w:spacing w:line="271" w:lineRule="exact"/>
              <w:ind w:left="8"/>
              <w:jc w:val="center"/>
              <w:rPr>
                <w:b/>
                <w:sz w:val="24"/>
              </w:rPr>
            </w:pPr>
            <w:r>
              <w:rPr>
                <w:b/>
                <w:spacing w:val="-2"/>
                <w:sz w:val="24"/>
              </w:rPr>
              <w:t>Features</w:t>
            </w:r>
          </w:p>
        </w:tc>
        <w:tc>
          <w:tcPr>
            <w:tcW w:w="1028" w:type="dxa"/>
          </w:tcPr>
          <w:p w14:paraId="3AC63BF8" w14:textId="77777777" w:rsidR="00D62309" w:rsidRDefault="00D62309" w:rsidP="00D62309">
            <w:pPr>
              <w:pStyle w:val="TableParagraph"/>
              <w:spacing w:line="271" w:lineRule="exact"/>
              <w:ind w:left="218"/>
              <w:rPr>
                <w:b/>
                <w:sz w:val="24"/>
              </w:rPr>
            </w:pPr>
            <w:r>
              <w:rPr>
                <w:b/>
                <w:spacing w:val="-2"/>
                <w:sz w:val="24"/>
              </w:rPr>
              <w:t>Cases</w:t>
            </w:r>
          </w:p>
        </w:tc>
        <w:tc>
          <w:tcPr>
            <w:tcW w:w="1664" w:type="dxa"/>
          </w:tcPr>
          <w:p w14:paraId="61F774CE" w14:textId="77777777" w:rsidR="00D62309" w:rsidRDefault="00D62309" w:rsidP="00D62309">
            <w:pPr>
              <w:pStyle w:val="TableParagraph"/>
              <w:spacing w:line="271" w:lineRule="exact"/>
              <w:ind w:left="111"/>
              <w:rPr>
                <w:b/>
                <w:sz w:val="24"/>
              </w:rPr>
            </w:pPr>
            <w:r>
              <w:rPr>
                <w:b/>
                <w:spacing w:val="-2"/>
                <w:sz w:val="24"/>
              </w:rPr>
              <w:t>Percentages%</w:t>
            </w:r>
          </w:p>
        </w:tc>
        <w:tc>
          <w:tcPr>
            <w:tcW w:w="787" w:type="dxa"/>
          </w:tcPr>
          <w:p w14:paraId="6D48E943" w14:textId="77777777" w:rsidR="00D62309" w:rsidRDefault="00D62309" w:rsidP="00D62309">
            <w:pPr>
              <w:pStyle w:val="TableParagraph"/>
              <w:spacing w:line="271" w:lineRule="exact"/>
              <w:ind w:left="56"/>
              <w:rPr>
                <w:b/>
                <w:sz w:val="24"/>
              </w:rPr>
            </w:pPr>
            <w:r>
              <w:rPr>
                <w:b/>
                <w:spacing w:val="-2"/>
                <w:sz w:val="24"/>
              </w:rPr>
              <w:t>Cases</w:t>
            </w:r>
          </w:p>
        </w:tc>
        <w:tc>
          <w:tcPr>
            <w:tcW w:w="1688" w:type="dxa"/>
          </w:tcPr>
          <w:p w14:paraId="212994CC" w14:textId="77777777" w:rsidR="00D62309" w:rsidRDefault="00D62309" w:rsidP="00D62309">
            <w:pPr>
              <w:pStyle w:val="TableParagraph"/>
              <w:spacing w:line="271" w:lineRule="exact"/>
              <w:ind w:left="109"/>
              <w:rPr>
                <w:b/>
                <w:sz w:val="24"/>
              </w:rPr>
            </w:pPr>
            <w:r>
              <w:rPr>
                <w:b/>
                <w:spacing w:val="-2"/>
                <w:sz w:val="24"/>
              </w:rPr>
              <w:t>Percentages%</w:t>
            </w:r>
          </w:p>
        </w:tc>
        <w:tc>
          <w:tcPr>
            <w:tcW w:w="1132" w:type="dxa"/>
          </w:tcPr>
          <w:p w14:paraId="533E077C" w14:textId="77777777" w:rsidR="00D62309" w:rsidRDefault="00D62309" w:rsidP="00D62309">
            <w:pPr>
              <w:pStyle w:val="TableParagraph"/>
              <w:spacing w:line="271" w:lineRule="exact"/>
              <w:jc w:val="center"/>
              <w:rPr>
                <w:b/>
                <w:sz w:val="24"/>
              </w:rPr>
            </w:pPr>
            <w:r>
              <w:rPr>
                <w:b/>
                <w:i/>
                <w:sz w:val="24"/>
              </w:rPr>
              <w:t xml:space="preserve">p- </w:t>
            </w:r>
            <w:r>
              <w:rPr>
                <w:b/>
                <w:spacing w:val="-2"/>
                <w:sz w:val="24"/>
              </w:rPr>
              <w:t>value</w:t>
            </w:r>
          </w:p>
        </w:tc>
      </w:tr>
      <w:tr w:rsidR="00D62309" w14:paraId="77F33CCD" w14:textId="77777777" w:rsidTr="00D62309">
        <w:trPr>
          <w:trHeight w:val="1977"/>
        </w:trPr>
        <w:tc>
          <w:tcPr>
            <w:tcW w:w="3145" w:type="dxa"/>
            <w:tcBorders>
              <w:right w:val="nil"/>
            </w:tcBorders>
          </w:tcPr>
          <w:p w14:paraId="03D43CB6" w14:textId="77777777" w:rsidR="00D62309" w:rsidRDefault="00D62309" w:rsidP="00D62309">
            <w:pPr>
              <w:pStyle w:val="TableParagraph"/>
              <w:spacing w:line="275" w:lineRule="exact"/>
              <w:ind w:left="106"/>
              <w:rPr>
                <w:b/>
                <w:sz w:val="24"/>
              </w:rPr>
            </w:pPr>
            <w:r>
              <w:rPr>
                <w:b/>
                <w:spacing w:val="-5"/>
                <w:sz w:val="24"/>
              </w:rPr>
              <w:t>Age</w:t>
            </w:r>
          </w:p>
          <w:p w14:paraId="0029D5DB" w14:textId="77777777" w:rsidR="00D62309" w:rsidRDefault="00D62309" w:rsidP="00D62309">
            <w:pPr>
              <w:pStyle w:val="TableParagraph"/>
              <w:rPr>
                <w:b/>
                <w:sz w:val="24"/>
              </w:rPr>
            </w:pPr>
          </w:p>
          <w:p w14:paraId="5FFDEDD3" w14:textId="77777777" w:rsidR="00D62309" w:rsidRDefault="00D62309" w:rsidP="00D62309">
            <w:pPr>
              <w:pStyle w:val="TableParagraph"/>
              <w:ind w:left="880" w:right="881"/>
              <w:jc w:val="center"/>
              <w:rPr>
                <w:sz w:val="24"/>
              </w:rPr>
            </w:pPr>
            <w:r>
              <w:rPr>
                <w:spacing w:val="-4"/>
                <w:sz w:val="24"/>
              </w:rPr>
              <w:t>Mean</w:t>
            </w:r>
          </w:p>
          <w:p w14:paraId="2B99AB7F" w14:textId="77777777" w:rsidR="00D62309" w:rsidRDefault="00D62309" w:rsidP="00D62309">
            <w:pPr>
              <w:pStyle w:val="TableParagraph"/>
              <w:spacing w:before="4"/>
              <w:rPr>
                <w:b/>
                <w:sz w:val="24"/>
              </w:rPr>
            </w:pPr>
          </w:p>
          <w:p w14:paraId="4154E1F5" w14:textId="77777777" w:rsidR="00D62309" w:rsidRDefault="00D62309" w:rsidP="00D62309">
            <w:pPr>
              <w:pStyle w:val="TableParagraph"/>
              <w:ind w:left="880" w:right="880"/>
              <w:jc w:val="center"/>
              <w:rPr>
                <w:sz w:val="24"/>
              </w:rPr>
            </w:pPr>
            <w:r>
              <w:rPr>
                <w:sz w:val="24"/>
              </w:rPr>
              <w:t>&lt;55</w:t>
            </w:r>
            <w:r>
              <w:rPr>
                <w:spacing w:val="4"/>
                <w:sz w:val="24"/>
              </w:rPr>
              <w:t xml:space="preserve"> </w:t>
            </w:r>
            <w:r>
              <w:rPr>
                <w:spacing w:val="-2"/>
                <w:sz w:val="24"/>
              </w:rPr>
              <w:t>years</w:t>
            </w:r>
          </w:p>
          <w:p w14:paraId="706D3E08" w14:textId="77777777" w:rsidR="00D62309" w:rsidRDefault="00D62309" w:rsidP="00D62309">
            <w:pPr>
              <w:pStyle w:val="TableParagraph"/>
              <w:spacing w:before="4"/>
              <w:rPr>
                <w:b/>
                <w:sz w:val="24"/>
              </w:rPr>
            </w:pPr>
          </w:p>
          <w:p w14:paraId="29F1A46E" w14:textId="77777777" w:rsidR="00D62309" w:rsidRDefault="00D62309" w:rsidP="00D62309">
            <w:pPr>
              <w:pStyle w:val="TableParagraph"/>
              <w:ind w:left="880" w:right="880"/>
              <w:jc w:val="center"/>
              <w:rPr>
                <w:sz w:val="24"/>
              </w:rPr>
            </w:pPr>
            <w:r>
              <w:rPr>
                <w:sz w:val="24"/>
              </w:rPr>
              <w:t>≥ 55</w:t>
            </w:r>
            <w:r>
              <w:rPr>
                <w:spacing w:val="4"/>
                <w:sz w:val="24"/>
              </w:rPr>
              <w:t xml:space="preserve"> </w:t>
            </w:r>
            <w:r>
              <w:rPr>
                <w:spacing w:val="-2"/>
                <w:sz w:val="24"/>
              </w:rPr>
              <w:t>years</w:t>
            </w:r>
          </w:p>
        </w:tc>
        <w:tc>
          <w:tcPr>
            <w:tcW w:w="1028" w:type="dxa"/>
            <w:tcBorders>
              <w:left w:val="nil"/>
              <w:right w:val="nil"/>
            </w:tcBorders>
          </w:tcPr>
          <w:p w14:paraId="363DDC9D" w14:textId="77777777" w:rsidR="00D62309" w:rsidRDefault="00D62309" w:rsidP="00D62309">
            <w:pPr>
              <w:pStyle w:val="TableParagraph"/>
              <w:spacing w:before="274"/>
              <w:rPr>
                <w:b/>
                <w:sz w:val="24"/>
              </w:rPr>
            </w:pPr>
          </w:p>
          <w:p w14:paraId="7E4545E7" w14:textId="77777777" w:rsidR="00D62309" w:rsidRDefault="00D62309" w:rsidP="00D62309">
            <w:pPr>
              <w:pStyle w:val="TableParagraph"/>
              <w:spacing w:before="1"/>
              <w:ind w:left="89" w:right="81"/>
              <w:jc w:val="center"/>
              <w:rPr>
                <w:sz w:val="24"/>
              </w:rPr>
            </w:pPr>
            <w:r>
              <w:rPr>
                <w:spacing w:val="-2"/>
                <w:sz w:val="24"/>
              </w:rPr>
              <w:t>56.18</w:t>
            </w:r>
          </w:p>
          <w:p w14:paraId="4297AB13" w14:textId="77777777" w:rsidR="00D62309" w:rsidRDefault="00D62309" w:rsidP="00D62309">
            <w:pPr>
              <w:pStyle w:val="TableParagraph"/>
              <w:spacing w:before="4"/>
              <w:rPr>
                <w:b/>
                <w:sz w:val="24"/>
              </w:rPr>
            </w:pPr>
          </w:p>
          <w:p w14:paraId="4F8AD0FE" w14:textId="77777777" w:rsidR="00D62309" w:rsidRDefault="00D62309" w:rsidP="00D62309">
            <w:pPr>
              <w:pStyle w:val="TableParagraph"/>
              <w:ind w:left="84" w:right="81"/>
              <w:jc w:val="center"/>
              <w:rPr>
                <w:sz w:val="24"/>
              </w:rPr>
            </w:pPr>
            <w:r>
              <w:rPr>
                <w:spacing w:val="-5"/>
                <w:sz w:val="24"/>
              </w:rPr>
              <w:t>10</w:t>
            </w:r>
          </w:p>
          <w:p w14:paraId="1B8078FE" w14:textId="77777777" w:rsidR="00D62309" w:rsidRDefault="00D62309" w:rsidP="00D62309">
            <w:pPr>
              <w:pStyle w:val="TableParagraph"/>
              <w:spacing w:before="4"/>
              <w:rPr>
                <w:b/>
                <w:sz w:val="24"/>
              </w:rPr>
            </w:pPr>
          </w:p>
          <w:p w14:paraId="2AAE5E26" w14:textId="77777777" w:rsidR="00D62309" w:rsidRDefault="00D62309" w:rsidP="00D62309">
            <w:pPr>
              <w:pStyle w:val="TableParagraph"/>
              <w:ind w:left="84" w:right="81"/>
              <w:jc w:val="center"/>
              <w:rPr>
                <w:sz w:val="24"/>
              </w:rPr>
            </w:pPr>
            <w:r>
              <w:rPr>
                <w:spacing w:val="-5"/>
                <w:sz w:val="24"/>
              </w:rPr>
              <w:t>17</w:t>
            </w:r>
          </w:p>
        </w:tc>
        <w:tc>
          <w:tcPr>
            <w:tcW w:w="1664" w:type="dxa"/>
            <w:tcBorders>
              <w:left w:val="nil"/>
              <w:right w:val="nil"/>
            </w:tcBorders>
          </w:tcPr>
          <w:p w14:paraId="7E5EA248" w14:textId="77777777" w:rsidR="00D62309" w:rsidRDefault="00D62309" w:rsidP="00D62309">
            <w:pPr>
              <w:pStyle w:val="TableParagraph"/>
              <w:rPr>
                <w:b/>
                <w:sz w:val="24"/>
              </w:rPr>
            </w:pPr>
          </w:p>
          <w:p w14:paraId="0F849321" w14:textId="77777777" w:rsidR="00D62309" w:rsidRDefault="00D62309" w:rsidP="00D62309">
            <w:pPr>
              <w:pStyle w:val="TableParagraph"/>
              <w:rPr>
                <w:b/>
                <w:sz w:val="24"/>
              </w:rPr>
            </w:pPr>
          </w:p>
          <w:p w14:paraId="6C0D0CE9" w14:textId="77777777" w:rsidR="00D62309" w:rsidRDefault="00D62309" w:rsidP="00D62309">
            <w:pPr>
              <w:pStyle w:val="TableParagraph"/>
              <w:rPr>
                <w:b/>
                <w:sz w:val="24"/>
              </w:rPr>
            </w:pPr>
          </w:p>
          <w:p w14:paraId="4BB54220" w14:textId="77777777" w:rsidR="00D62309" w:rsidRDefault="00D62309" w:rsidP="00D62309">
            <w:pPr>
              <w:pStyle w:val="TableParagraph"/>
              <w:spacing w:before="3"/>
              <w:rPr>
                <w:b/>
                <w:sz w:val="24"/>
              </w:rPr>
            </w:pPr>
          </w:p>
          <w:p w14:paraId="03B6ACA8" w14:textId="77777777" w:rsidR="00D62309" w:rsidRDefault="00D62309" w:rsidP="00D62309">
            <w:pPr>
              <w:pStyle w:val="TableParagraph"/>
              <w:ind w:left="9" w:right="4"/>
              <w:jc w:val="center"/>
              <w:rPr>
                <w:sz w:val="24"/>
              </w:rPr>
            </w:pPr>
            <w:r>
              <w:rPr>
                <w:spacing w:val="-4"/>
                <w:sz w:val="24"/>
              </w:rPr>
              <w:t>83.3</w:t>
            </w:r>
          </w:p>
          <w:p w14:paraId="120A5325" w14:textId="77777777" w:rsidR="00D62309" w:rsidRDefault="00D62309" w:rsidP="00D62309">
            <w:pPr>
              <w:pStyle w:val="TableParagraph"/>
              <w:spacing w:before="4"/>
              <w:rPr>
                <w:b/>
                <w:sz w:val="24"/>
              </w:rPr>
            </w:pPr>
          </w:p>
          <w:p w14:paraId="31246911" w14:textId="77777777" w:rsidR="00D62309" w:rsidRDefault="00D62309" w:rsidP="00D62309">
            <w:pPr>
              <w:pStyle w:val="TableParagraph"/>
              <w:ind w:left="9" w:right="4"/>
              <w:jc w:val="center"/>
              <w:rPr>
                <w:sz w:val="24"/>
              </w:rPr>
            </w:pPr>
            <w:r>
              <w:rPr>
                <w:spacing w:val="-4"/>
                <w:sz w:val="24"/>
              </w:rPr>
              <w:t>80.9</w:t>
            </w:r>
          </w:p>
        </w:tc>
        <w:tc>
          <w:tcPr>
            <w:tcW w:w="787" w:type="dxa"/>
            <w:tcBorders>
              <w:left w:val="nil"/>
              <w:right w:val="nil"/>
            </w:tcBorders>
          </w:tcPr>
          <w:p w14:paraId="5CDF749C" w14:textId="77777777" w:rsidR="00D62309" w:rsidRDefault="00D62309" w:rsidP="00D62309">
            <w:pPr>
              <w:pStyle w:val="TableParagraph"/>
              <w:rPr>
                <w:b/>
                <w:sz w:val="24"/>
              </w:rPr>
            </w:pPr>
          </w:p>
          <w:p w14:paraId="038970CC" w14:textId="77777777" w:rsidR="00D62309" w:rsidRDefault="00D62309" w:rsidP="00D62309">
            <w:pPr>
              <w:pStyle w:val="TableParagraph"/>
              <w:rPr>
                <w:b/>
                <w:sz w:val="24"/>
              </w:rPr>
            </w:pPr>
          </w:p>
          <w:p w14:paraId="4AB8F9B5" w14:textId="77777777" w:rsidR="00D62309" w:rsidRDefault="00D62309" w:rsidP="00D62309">
            <w:pPr>
              <w:pStyle w:val="TableParagraph"/>
              <w:rPr>
                <w:b/>
                <w:sz w:val="24"/>
              </w:rPr>
            </w:pPr>
          </w:p>
          <w:p w14:paraId="3550660D" w14:textId="77777777" w:rsidR="00D62309" w:rsidRDefault="00D62309" w:rsidP="00D62309">
            <w:pPr>
              <w:pStyle w:val="TableParagraph"/>
              <w:spacing w:before="3"/>
              <w:rPr>
                <w:b/>
                <w:sz w:val="24"/>
              </w:rPr>
            </w:pPr>
          </w:p>
          <w:p w14:paraId="6867DDA2" w14:textId="77777777" w:rsidR="00D62309" w:rsidRDefault="00D62309" w:rsidP="00D62309">
            <w:pPr>
              <w:pStyle w:val="TableParagraph"/>
              <w:ind w:left="6"/>
              <w:jc w:val="center"/>
              <w:rPr>
                <w:sz w:val="24"/>
              </w:rPr>
            </w:pPr>
            <w:r>
              <w:rPr>
                <w:spacing w:val="-10"/>
                <w:sz w:val="24"/>
              </w:rPr>
              <w:t>2</w:t>
            </w:r>
          </w:p>
          <w:p w14:paraId="73AE72AE" w14:textId="77777777" w:rsidR="00D62309" w:rsidRDefault="00D62309" w:rsidP="00D62309">
            <w:pPr>
              <w:pStyle w:val="TableParagraph"/>
              <w:spacing w:before="4"/>
              <w:rPr>
                <w:b/>
                <w:sz w:val="24"/>
              </w:rPr>
            </w:pPr>
          </w:p>
          <w:p w14:paraId="06726D75" w14:textId="77777777" w:rsidR="00D62309" w:rsidRDefault="00D62309" w:rsidP="00D62309">
            <w:pPr>
              <w:pStyle w:val="TableParagraph"/>
              <w:ind w:left="6"/>
              <w:jc w:val="center"/>
              <w:rPr>
                <w:sz w:val="24"/>
              </w:rPr>
            </w:pPr>
            <w:r>
              <w:rPr>
                <w:spacing w:val="-10"/>
                <w:sz w:val="24"/>
              </w:rPr>
              <w:t>4</w:t>
            </w:r>
          </w:p>
        </w:tc>
        <w:tc>
          <w:tcPr>
            <w:tcW w:w="1688" w:type="dxa"/>
            <w:tcBorders>
              <w:left w:val="nil"/>
              <w:right w:val="nil"/>
            </w:tcBorders>
          </w:tcPr>
          <w:p w14:paraId="6EDDD8E0" w14:textId="77777777" w:rsidR="00D62309" w:rsidRDefault="00D62309" w:rsidP="00D62309">
            <w:pPr>
              <w:pStyle w:val="TableParagraph"/>
              <w:rPr>
                <w:b/>
                <w:sz w:val="24"/>
              </w:rPr>
            </w:pPr>
          </w:p>
          <w:p w14:paraId="4FD5EC21" w14:textId="77777777" w:rsidR="00D62309" w:rsidRDefault="00D62309" w:rsidP="00D62309">
            <w:pPr>
              <w:pStyle w:val="TableParagraph"/>
              <w:rPr>
                <w:b/>
                <w:sz w:val="24"/>
              </w:rPr>
            </w:pPr>
          </w:p>
          <w:p w14:paraId="5CD09769" w14:textId="77777777" w:rsidR="00D62309" w:rsidRDefault="00D62309" w:rsidP="00D62309">
            <w:pPr>
              <w:pStyle w:val="TableParagraph"/>
              <w:rPr>
                <w:b/>
                <w:sz w:val="24"/>
              </w:rPr>
            </w:pPr>
          </w:p>
          <w:p w14:paraId="494D86CA" w14:textId="77777777" w:rsidR="00D62309" w:rsidRDefault="00D62309" w:rsidP="00D62309">
            <w:pPr>
              <w:pStyle w:val="TableParagraph"/>
              <w:spacing w:before="3"/>
              <w:rPr>
                <w:b/>
                <w:sz w:val="24"/>
              </w:rPr>
            </w:pPr>
          </w:p>
          <w:p w14:paraId="3E38BF96" w14:textId="77777777" w:rsidR="00D62309" w:rsidRDefault="00D62309" w:rsidP="00D62309">
            <w:pPr>
              <w:pStyle w:val="TableParagraph"/>
              <w:ind w:left="538"/>
              <w:rPr>
                <w:sz w:val="24"/>
              </w:rPr>
            </w:pPr>
            <w:r>
              <w:rPr>
                <w:spacing w:val="-2"/>
                <w:sz w:val="24"/>
              </w:rPr>
              <w:t>16.7%</w:t>
            </w:r>
          </w:p>
          <w:p w14:paraId="221AACEB" w14:textId="77777777" w:rsidR="00D62309" w:rsidRDefault="00D62309" w:rsidP="00D62309">
            <w:pPr>
              <w:pStyle w:val="TableParagraph"/>
              <w:spacing w:before="4"/>
              <w:rPr>
                <w:b/>
                <w:sz w:val="24"/>
              </w:rPr>
            </w:pPr>
          </w:p>
          <w:p w14:paraId="74687B86" w14:textId="77777777" w:rsidR="00D62309" w:rsidRDefault="00D62309" w:rsidP="00D62309">
            <w:pPr>
              <w:pStyle w:val="TableParagraph"/>
              <w:ind w:left="538"/>
              <w:rPr>
                <w:sz w:val="24"/>
              </w:rPr>
            </w:pPr>
            <w:r>
              <w:rPr>
                <w:spacing w:val="-2"/>
                <w:sz w:val="24"/>
              </w:rPr>
              <w:t>19.1%</w:t>
            </w:r>
          </w:p>
        </w:tc>
        <w:tc>
          <w:tcPr>
            <w:tcW w:w="1132" w:type="dxa"/>
            <w:tcBorders>
              <w:left w:val="nil"/>
            </w:tcBorders>
          </w:tcPr>
          <w:p w14:paraId="6757C0CF" w14:textId="77777777" w:rsidR="00D62309" w:rsidRDefault="00D62309" w:rsidP="00D62309">
            <w:pPr>
              <w:pStyle w:val="TableParagraph"/>
              <w:rPr>
                <w:b/>
                <w:sz w:val="24"/>
              </w:rPr>
            </w:pPr>
          </w:p>
          <w:p w14:paraId="2C8CAC3A" w14:textId="77777777" w:rsidR="00D62309" w:rsidRDefault="00D62309" w:rsidP="00D62309">
            <w:pPr>
              <w:pStyle w:val="TableParagraph"/>
              <w:rPr>
                <w:b/>
                <w:sz w:val="24"/>
              </w:rPr>
            </w:pPr>
          </w:p>
          <w:p w14:paraId="2BB7FD8B" w14:textId="77777777" w:rsidR="00D62309" w:rsidRDefault="00D62309" w:rsidP="00D62309">
            <w:pPr>
              <w:pStyle w:val="TableParagraph"/>
              <w:rPr>
                <w:b/>
                <w:sz w:val="24"/>
              </w:rPr>
            </w:pPr>
          </w:p>
          <w:p w14:paraId="4C869A7B" w14:textId="77777777" w:rsidR="00D62309" w:rsidRDefault="00D62309" w:rsidP="00D62309">
            <w:pPr>
              <w:pStyle w:val="TableParagraph"/>
              <w:spacing w:before="3"/>
              <w:rPr>
                <w:b/>
                <w:sz w:val="24"/>
              </w:rPr>
            </w:pPr>
          </w:p>
          <w:p w14:paraId="62E14A7B" w14:textId="77777777" w:rsidR="00D62309" w:rsidRDefault="00D62309" w:rsidP="00D62309">
            <w:pPr>
              <w:pStyle w:val="TableParagraph"/>
              <w:ind w:left="10" w:right="31"/>
              <w:jc w:val="center"/>
              <w:rPr>
                <w:sz w:val="24"/>
              </w:rPr>
            </w:pPr>
            <w:r>
              <w:rPr>
                <w:spacing w:val="-2"/>
                <w:sz w:val="24"/>
              </w:rPr>
              <w:t>.626(NS)</w:t>
            </w:r>
          </w:p>
        </w:tc>
      </w:tr>
      <w:tr w:rsidR="00D62309" w14:paraId="28AE57F8" w14:textId="77777777" w:rsidTr="00D62309">
        <w:trPr>
          <w:trHeight w:val="1428"/>
        </w:trPr>
        <w:tc>
          <w:tcPr>
            <w:tcW w:w="3145" w:type="dxa"/>
            <w:tcBorders>
              <w:right w:val="nil"/>
            </w:tcBorders>
          </w:tcPr>
          <w:p w14:paraId="497088CC" w14:textId="77777777" w:rsidR="00D62309" w:rsidRDefault="00D62309" w:rsidP="00D62309">
            <w:pPr>
              <w:pStyle w:val="TableParagraph"/>
              <w:spacing w:line="271" w:lineRule="exact"/>
              <w:ind w:left="106"/>
              <w:rPr>
                <w:b/>
                <w:sz w:val="24"/>
              </w:rPr>
            </w:pPr>
            <w:r>
              <w:rPr>
                <w:b/>
                <w:spacing w:val="-5"/>
                <w:sz w:val="24"/>
              </w:rPr>
              <w:t>Sex</w:t>
            </w:r>
          </w:p>
          <w:p w14:paraId="7D3CCB8E" w14:textId="77777777" w:rsidR="00D62309" w:rsidRDefault="00D62309" w:rsidP="00D62309">
            <w:pPr>
              <w:pStyle w:val="TableParagraph"/>
              <w:rPr>
                <w:b/>
                <w:sz w:val="24"/>
              </w:rPr>
            </w:pPr>
          </w:p>
          <w:p w14:paraId="2059F170" w14:textId="77777777" w:rsidR="00D62309" w:rsidRDefault="00D62309" w:rsidP="00D62309">
            <w:pPr>
              <w:pStyle w:val="TableParagraph"/>
              <w:spacing w:line="484" w:lineRule="auto"/>
              <w:ind w:left="1215" w:right="1217" w:firstLine="4"/>
              <w:jc w:val="center"/>
              <w:rPr>
                <w:sz w:val="24"/>
              </w:rPr>
            </w:pPr>
            <w:r>
              <w:rPr>
                <w:spacing w:val="-4"/>
                <w:sz w:val="24"/>
              </w:rPr>
              <w:t xml:space="preserve">Male </w:t>
            </w:r>
            <w:r>
              <w:rPr>
                <w:spacing w:val="-2"/>
                <w:sz w:val="24"/>
              </w:rPr>
              <w:t>Female</w:t>
            </w:r>
          </w:p>
        </w:tc>
        <w:tc>
          <w:tcPr>
            <w:tcW w:w="1028" w:type="dxa"/>
            <w:tcBorders>
              <w:left w:val="nil"/>
              <w:right w:val="nil"/>
            </w:tcBorders>
          </w:tcPr>
          <w:p w14:paraId="35900A10" w14:textId="77777777" w:rsidR="00D62309" w:rsidRDefault="00D62309" w:rsidP="00D62309">
            <w:pPr>
              <w:pStyle w:val="TableParagraph"/>
              <w:spacing w:before="270"/>
              <w:rPr>
                <w:b/>
                <w:sz w:val="24"/>
              </w:rPr>
            </w:pPr>
          </w:p>
          <w:p w14:paraId="71DEE060" w14:textId="77777777" w:rsidR="00D62309" w:rsidRDefault="00D62309" w:rsidP="00D62309">
            <w:pPr>
              <w:pStyle w:val="TableParagraph"/>
              <w:ind w:left="84" w:right="81"/>
              <w:jc w:val="center"/>
              <w:rPr>
                <w:sz w:val="24"/>
              </w:rPr>
            </w:pPr>
            <w:r>
              <w:rPr>
                <w:spacing w:val="-5"/>
                <w:sz w:val="24"/>
              </w:rPr>
              <w:t>19</w:t>
            </w:r>
          </w:p>
          <w:p w14:paraId="0E52B78B" w14:textId="77777777" w:rsidR="00D62309" w:rsidRDefault="00D62309" w:rsidP="00D62309">
            <w:pPr>
              <w:pStyle w:val="TableParagraph"/>
              <w:spacing w:before="5"/>
              <w:rPr>
                <w:b/>
                <w:sz w:val="24"/>
              </w:rPr>
            </w:pPr>
          </w:p>
          <w:p w14:paraId="1657FBEE" w14:textId="77777777" w:rsidR="00D62309" w:rsidRDefault="00D62309" w:rsidP="00D62309">
            <w:pPr>
              <w:pStyle w:val="TableParagraph"/>
              <w:ind w:left="84" w:right="81"/>
              <w:jc w:val="center"/>
              <w:rPr>
                <w:sz w:val="24"/>
              </w:rPr>
            </w:pPr>
            <w:r>
              <w:rPr>
                <w:spacing w:val="-10"/>
                <w:sz w:val="24"/>
              </w:rPr>
              <w:t>8</w:t>
            </w:r>
          </w:p>
        </w:tc>
        <w:tc>
          <w:tcPr>
            <w:tcW w:w="1664" w:type="dxa"/>
            <w:tcBorders>
              <w:left w:val="nil"/>
              <w:right w:val="nil"/>
            </w:tcBorders>
          </w:tcPr>
          <w:p w14:paraId="4868A849" w14:textId="77777777" w:rsidR="00D62309" w:rsidRDefault="00D62309" w:rsidP="00D62309">
            <w:pPr>
              <w:pStyle w:val="TableParagraph"/>
              <w:spacing w:before="270"/>
              <w:rPr>
                <w:b/>
                <w:sz w:val="24"/>
              </w:rPr>
            </w:pPr>
          </w:p>
          <w:p w14:paraId="720CD5A7" w14:textId="77777777" w:rsidR="00D62309" w:rsidRDefault="00D62309" w:rsidP="00D62309">
            <w:pPr>
              <w:pStyle w:val="TableParagraph"/>
              <w:ind w:left="9" w:right="4"/>
              <w:jc w:val="center"/>
              <w:rPr>
                <w:sz w:val="24"/>
              </w:rPr>
            </w:pPr>
            <w:r>
              <w:rPr>
                <w:spacing w:val="-4"/>
                <w:sz w:val="24"/>
              </w:rPr>
              <w:t>82.6</w:t>
            </w:r>
          </w:p>
          <w:p w14:paraId="716D5F67" w14:textId="77777777" w:rsidR="00D62309" w:rsidRDefault="00D62309" w:rsidP="00D62309">
            <w:pPr>
              <w:pStyle w:val="TableParagraph"/>
              <w:spacing w:before="5"/>
              <w:rPr>
                <w:b/>
                <w:sz w:val="24"/>
              </w:rPr>
            </w:pPr>
          </w:p>
          <w:p w14:paraId="0BF1D673" w14:textId="77777777" w:rsidR="00D62309" w:rsidRDefault="00D62309" w:rsidP="00D62309">
            <w:pPr>
              <w:pStyle w:val="TableParagraph"/>
              <w:ind w:left="9"/>
              <w:jc w:val="center"/>
              <w:rPr>
                <w:sz w:val="24"/>
              </w:rPr>
            </w:pPr>
            <w:r>
              <w:rPr>
                <w:spacing w:val="-5"/>
                <w:sz w:val="24"/>
              </w:rPr>
              <w:t>80</w:t>
            </w:r>
          </w:p>
        </w:tc>
        <w:tc>
          <w:tcPr>
            <w:tcW w:w="787" w:type="dxa"/>
            <w:tcBorders>
              <w:left w:val="nil"/>
              <w:right w:val="nil"/>
            </w:tcBorders>
          </w:tcPr>
          <w:p w14:paraId="57BCC022" w14:textId="77777777" w:rsidR="00D62309" w:rsidRDefault="00D62309" w:rsidP="00D62309">
            <w:pPr>
              <w:pStyle w:val="TableParagraph"/>
              <w:spacing w:before="270"/>
              <w:rPr>
                <w:b/>
                <w:sz w:val="24"/>
              </w:rPr>
            </w:pPr>
          </w:p>
          <w:p w14:paraId="7F23C7B1" w14:textId="77777777" w:rsidR="00D62309" w:rsidRDefault="00D62309" w:rsidP="00D62309">
            <w:pPr>
              <w:pStyle w:val="TableParagraph"/>
              <w:ind w:left="6"/>
              <w:jc w:val="center"/>
              <w:rPr>
                <w:sz w:val="24"/>
              </w:rPr>
            </w:pPr>
            <w:r>
              <w:rPr>
                <w:spacing w:val="-10"/>
                <w:sz w:val="24"/>
              </w:rPr>
              <w:t>4</w:t>
            </w:r>
          </w:p>
          <w:p w14:paraId="1AB0CE5C" w14:textId="77777777" w:rsidR="00D62309" w:rsidRDefault="00D62309" w:rsidP="00D62309">
            <w:pPr>
              <w:pStyle w:val="TableParagraph"/>
              <w:spacing w:before="5"/>
              <w:rPr>
                <w:b/>
                <w:sz w:val="24"/>
              </w:rPr>
            </w:pPr>
          </w:p>
          <w:p w14:paraId="0BE9590C" w14:textId="77777777" w:rsidR="00D62309" w:rsidRDefault="00D62309" w:rsidP="00D62309">
            <w:pPr>
              <w:pStyle w:val="TableParagraph"/>
              <w:ind w:left="6"/>
              <w:jc w:val="center"/>
              <w:rPr>
                <w:sz w:val="24"/>
              </w:rPr>
            </w:pPr>
            <w:r>
              <w:rPr>
                <w:spacing w:val="-10"/>
                <w:sz w:val="24"/>
              </w:rPr>
              <w:t>2</w:t>
            </w:r>
          </w:p>
        </w:tc>
        <w:tc>
          <w:tcPr>
            <w:tcW w:w="1688" w:type="dxa"/>
            <w:tcBorders>
              <w:left w:val="nil"/>
              <w:right w:val="nil"/>
            </w:tcBorders>
          </w:tcPr>
          <w:p w14:paraId="1209C8A0" w14:textId="77777777" w:rsidR="00D62309" w:rsidRDefault="00D62309" w:rsidP="00D62309">
            <w:pPr>
              <w:pStyle w:val="TableParagraph"/>
              <w:spacing w:before="270"/>
              <w:rPr>
                <w:b/>
                <w:sz w:val="24"/>
              </w:rPr>
            </w:pPr>
          </w:p>
          <w:p w14:paraId="1C625C7F" w14:textId="77777777" w:rsidR="00D62309" w:rsidRDefault="00D62309" w:rsidP="00D62309">
            <w:pPr>
              <w:pStyle w:val="TableParagraph"/>
              <w:ind w:left="12" w:right="4"/>
              <w:jc w:val="center"/>
              <w:rPr>
                <w:sz w:val="24"/>
              </w:rPr>
            </w:pPr>
            <w:r>
              <w:rPr>
                <w:spacing w:val="-2"/>
                <w:sz w:val="24"/>
              </w:rPr>
              <w:t>17.4%</w:t>
            </w:r>
          </w:p>
          <w:p w14:paraId="04833AB9" w14:textId="77777777" w:rsidR="00D62309" w:rsidRDefault="00D62309" w:rsidP="00D62309">
            <w:pPr>
              <w:pStyle w:val="TableParagraph"/>
              <w:spacing w:before="5"/>
              <w:rPr>
                <w:b/>
                <w:sz w:val="24"/>
              </w:rPr>
            </w:pPr>
          </w:p>
          <w:p w14:paraId="397082BB" w14:textId="77777777" w:rsidR="00D62309" w:rsidRDefault="00D62309" w:rsidP="00D62309">
            <w:pPr>
              <w:pStyle w:val="TableParagraph"/>
              <w:ind w:left="12"/>
              <w:jc w:val="center"/>
              <w:rPr>
                <w:sz w:val="24"/>
              </w:rPr>
            </w:pPr>
            <w:r>
              <w:rPr>
                <w:spacing w:val="-5"/>
                <w:sz w:val="24"/>
              </w:rPr>
              <w:t>20%</w:t>
            </w:r>
          </w:p>
        </w:tc>
        <w:tc>
          <w:tcPr>
            <w:tcW w:w="1132" w:type="dxa"/>
            <w:tcBorders>
              <w:left w:val="nil"/>
            </w:tcBorders>
          </w:tcPr>
          <w:p w14:paraId="2C540A44" w14:textId="77777777" w:rsidR="00D62309" w:rsidRDefault="00D62309" w:rsidP="00D62309">
            <w:pPr>
              <w:pStyle w:val="TableParagraph"/>
              <w:spacing w:before="270"/>
              <w:rPr>
                <w:b/>
                <w:sz w:val="24"/>
              </w:rPr>
            </w:pPr>
          </w:p>
          <w:p w14:paraId="2F1A8D60" w14:textId="77777777" w:rsidR="00D62309" w:rsidRDefault="00D62309" w:rsidP="00D62309">
            <w:pPr>
              <w:pStyle w:val="TableParagraph"/>
              <w:ind w:left="23" w:right="21"/>
              <w:jc w:val="center"/>
              <w:rPr>
                <w:sz w:val="24"/>
              </w:rPr>
            </w:pPr>
            <w:r>
              <w:rPr>
                <w:spacing w:val="-2"/>
                <w:sz w:val="24"/>
              </w:rPr>
              <w:t>.605(NS)</w:t>
            </w:r>
          </w:p>
        </w:tc>
      </w:tr>
      <w:tr w:rsidR="00D62309" w14:paraId="6C3093D4" w14:textId="77777777" w:rsidTr="00D62309">
        <w:trPr>
          <w:trHeight w:val="1390"/>
        </w:trPr>
        <w:tc>
          <w:tcPr>
            <w:tcW w:w="3145" w:type="dxa"/>
            <w:tcBorders>
              <w:right w:val="nil"/>
            </w:tcBorders>
          </w:tcPr>
          <w:p w14:paraId="4371927F" w14:textId="77777777" w:rsidR="00D62309" w:rsidRDefault="00D62309" w:rsidP="00D62309">
            <w:pPr>
              <w:pStyle w:val="TableParagraph"/>
              <w:spacing w:line="275" w:lineRule="exact"/>
              <w:ind w:left="106"/>
              <w:rPr>
                <w:b/>
                <w:sz w:val="24"/>
              </w:rPr>
            </w:pPr>
            <w:r>
              <w:rPr>
                <w:b/>
                <w:spacing w:val="-2"/>
                <w:sz w:val="24"/>
              </w:rPr>
              <w:t>Location</w:t>
            </w:r>
          </w:p>
          <w:p w14:paraId="770DDDF6" w14:textId="77777777" w:rsidR="00D62309" w:rsidRDefault="00D62309" w:rsidP="00D62309">
            <w:pPr>
              <w:pStyle w:val="TableParagraph"/>
              <w:spacing w:before="15" w:line="556" w:lineRule="exact"/>
              <w:ind w:left="880" w:right="873"/>
              <w:jc w:val="center"/>
              <w:rPr>
                <w:sz w:val="24"/>
              </w:rPr>
            </w:pPr>
            <w:r>
              <w:rPr>
                <w:spacing w:val="-2"/>
                <w:sz w:val="24"/>
              </w:rPr>
              <w:t>Proximal Distal</w:t>
            </w:r>
          </w:p>
        </w:tc>
        <w:tc>
          <w:tcPr>
            <w:tcW w:w="1028" w:type="dxa"/>
            <w:tcBorders>
              <w:left w:val="nil"/>
              <w:right w:val="nil"/>
            </w:tcBorders>
          </w:tcPr>
          <w:p w14:paraId="6A091FAD" w14:textId="77777777" w:rsidR="00D62309" w:rsidRDefault="00D62309" w:rsidP="00D62309">
            <w:pPr>
              <w:pStyle w:val="TableParagraph"/>
              <w:spacing w:before="274"/>
              <w:rPr>
                <w:b/>
                <w:sz w:val="24"/>
              </w:rPr>
            </w:pPr>
          </w:p>
          <w:p w14:paraId="7B110CAE" w14:textId="77777777" w:rsidR="00D62309" w:rsidRDefault="00D62309" w:rsidP="00D62309">
            <w:pPr>
              <w:pStyle w:val="TableParagraph"/>
              <w:spacing w:before="1"/>
              <w:ind w:left="84" w:right="81"/>
              <w:jc w:val="center"/>
              <w:rPr>
                <w:sz w:val="24"/>
              </w:rPr>
            </w:pPr>
            <w:r>
              <w:rPr>
                <w:spacing w:val="-5"/>
                <w:sz w:val="24"/>
              </w:rPr>
              <w:t>13</w:t>
            </w:r>
          </w:p>
          <w:p w14:paraId="5820716F" w14:textId="77777777" w:rsidR="00D62309" w:rsidRDefault="00D62309" w:rsidP="00D62309">
            <w:pPr>
              <w:pStyle w:val="TableParagraph"/>
              <w:spacing w:before="4"/>
              <w:rPr>
                <w:b/>
                <w:sz w:val="24"/>
              </w:rPr>
            </w:pPr>
          </w:p>
          <w:p w14:paraId="6FACA3D6" w14:textId="77777777" w:rsidR="00D62309" w:rsidRDefault="00D62309" w:rsidP="00D62309">
            <w:pPr>
              <w:pStyle w:val="TableParagraph"/>
              <w:spacing w:line="263" w:lineRule="exact"/>
              <w:ind w:left="84" w:right="81"/>
              <w:jc w:val="center"/>
              <w:rPr>
                <w:sz w:val="24"/>
              </w:rPr>
            </w:pPr>
            <w:r>
              <w:rPr>
                <w:spacing w:val="-5"/>
                <w:sz w:val="24"/>
              </w:rPr>
              <w:t>14</w:t>
            </w:r>
          </w:p>
        </w:tc>
        <w:tc>
          <w:tcPr>
            <w:tcW w:w="1664" w:type="dxa"/>
            <w:tcBorders>
              <w:left w:val="nil"/>
              <w:right w:val="nil"/>
            </w:tcBorders>
          </w:tcPr>
          <w:p w14:paraId="4D1633E4" w14:textId="77777777" w:rsidR="00D62309" w:rsidRDefault="00D62309" w:rsidP="00D62309">
            <w:pPr>
              <w:pStyle w:val="TableParagraph"/>
              <w:spacing w:before="274"/>
              <w:rPr>
                <w:b/>
                <w:sz w:val="24"/>
              </w:rPr>
            </w:pPr>
          </w:p>
          <w:p w14:paraId="67D18213" w14:textId="77777777" w:rsidR="00D62309" w:rsidRDefault="00D62309" w:rsidP="00D62309">
            <w:pPr>
              <w:pStyle w:val="TableParagraph"/>
              <w:spacing w:before="1"/>
              <w:ind w:left="9"/>
              <w:jc w:val="center"/>
              <w:rPr>
                <w:sz w:val="24"/>
              </w:rPr>
            </w:pPr>
            <w:r>
              <w:rPr>
                <w:spacing w:val="-5"/>
                <w:sz w:val="24"/>
              </w:rPr>
              <w:t>100</w:t>
            </w:r>
          </w:p>
          <w:p w14:paraId="6B780158" w14:textId="77777777" w:rsidR="00D62309" w:rsidRDefault="00D62309" w:rsidP="00D62309">
            <w:pPr>
              <w:pStyle w:val="TableParagraph"/>
              <w:spacing w:before="4"/>
              <w:rPr>
                <w:b/>
                <w:sz w:val="24"/>
              </w:rPr>
            </w:pPr>
          </w:p>
          <w:p w14:paraId="75D88321" w14:textId="77777777" w:rsidR="00D62309" w:rsidRDefault="00D62309" w:rsidP="00D62309">
            <w:pPr>
              <w:pStyle w:val="TableParagraph"/>
              <w:spacing w:line="263" w:lineRule="exact"/>
              <w:ind w:left="9"/>
              <w:jc w:val="center"/>
              <w:rPr>
                <w:sz w:val="24"/>
              </w:rPr>
            </w:pPr>
            <w:r>
              <w:rPr>
                <w:spacing w:val="-5"/>
                <w:sz w:val="24"/>
              </w:rPr>
              <w:t>70</w:t>
            </w:r>
          </w:p>
        </w:tc>
        <w:tc>
          <w:tcPr>
            <w:tcW w:w="787" w:type="dxa"/>
            <w:tcBorders>
              <w:left w:val="nil"/>
              <w:right w:val="nil"/>
            </w:tcBorders>
          </w:tcPr>
          <w:p w14:paraId="0E2B7410" w14:textId="77777777" w:rsidR="00D62309" w:rsidRDefault="00D62309" w:rsidP="00D62309">
            <w:pPr>
              <w:pStyle w:val="TableParagraph"/>
              <w:spacing w:before="274"/>
              <w:rPr>
                <w:b/>
                <w:sz w:val="24"/>
              </w:rPr>
            </w:pPr>
          </w:p>
          <w:p w14:paraId="34105305" w14:textId="77777777" w:rsidR="00D62309" w:rsidRDefault="00D62309" w:rsidP="00D62309">
            <w:pPr>
              <w:pStyle w:val="TableParagraph"/>
              <w:spacing w:before="1"/>
              <w:ind w:left="6"/>
              <w:jc w:val="center"/>
              <w:rPr>
                <w:sz w:val="24"/>
              </w:rPr>
            </w:pPr>
            <w:r>
              <w:rPr>
                <w:spacing w:val="-10"/>
                <w:sz w:val="24"/>
              </w:rPr>
              <w:t>0</w:t>
            </w:r>
          </w:p>
          <w:p w14:paraId="714DAC0C" w14:textId="77777777" w:rsidR="00D62309" w:rsidRDefault="00D62309" w:rsidP="00D62309">
            <w:pPr>
              <w:pStyle w:val="TableParagraph"/>
              <w:spacing w:before="4"/>
              <w:rPr>
                <w:b/>
                <w:sz w:val="24"/>
              </w:rPr>
            </w:pPr>
          </w:p>
          <w:p w14:paraId="4BCE4244" w14:textId="77777777" w:rsidR="00D62309" w:rsidRDefault="00D62309" w:rsidP="00D62309">
            <w:pPr>
              <w:pStyle w:val="TableParagraph"/>
              <w:spacing w:line="263" w:lineRule="exact"/>
              <w:ind w:left="6"/>
              <w:jc w:val="center"/>
              <w:rPr>
                <w:sz w:val="24"/>
              </w:rPr>
            </w:pPr>
            <w:r>
              <w:rPr>
                <w:spacing w:val="-10"/>
                <w:sz w:val="24"/>
              </w:rPr>
              <w:t>6</w:t>
            </w:r>
          </w:p>
        </w:tc>
        <w:tc>
          <w:tcPr>
            <w:tcW w:w="1688" w:type="dxa"/>
            <w:tcBorders>
              <w:left w:val="nil"/>
              <w:right w:val="nil"/>
            </w:tcBorders>
          </w:tcPr>
          <w:p w14:paraId="42D118EC" w14:textId="77777777" w:rsidR="00D62309" w:rsidRDefault="00D62309" w:rsidP="00D62309">
            <w:pPr>
              <w:pStyle w:val="TableParagraph"/>
              <w:spacing w:before="274"/>
              <w:rPr>
                <w:b/>
                <w:sz w:val="24"/>
              </w:rPr>
            </w:pPr>
          </w:p>
          <w:p w14:paraId="6AB5F6FD" w14:textId="77777777" w:rsidR="00D62309" w:rsidRDefault="00D62309" w:rsidP="00D62309">
            <w:pPr>
              <w:pStyle w:val="TableParagraph"/>
              <w:spacing w:before="1"/>
              <w:ind w:left="12"/>
              <w:jc w:val="center"/>
              <w:rPr>
                <w:sz w:val="24"/>
              </w:rPr>
            </w:pPr>
            <w:r>
              <w:rPr>
                <w:spacing w:val="-5"/>
                <w:sz w:val="24"/>
              </w:rPr>
              <w:t>0%</w:t>
            </w:r>
          </w:p>
          <w:p w14:paraId="61D13F45" w14:textId="77777777" w:rsidR="00D62309" w:rsidRDefault="00D62309" w:rsidP="00D62309">
            <w:pPr>
              <w:pStyle w:val="TableParagraph"/>
              <w:spacing w:before="4"/>
              <w:rPr>
                <w:b/>
                <w:sz w:val="24"/>
              </w:rPr>
            </w:pPr>
          </w:p>
          <w:p w14:paraId="33752178" w14:textId="77777777" w:rsidR="00D62309" w:rsidRDefault="00D62309" w:rsidP="00D62309">
            <w:pPr>
              <w:pStyle w:val="TableParagraph"/>
              <w:spacing w:line="263" w:lineRule="exact"/>
              <w:ind w:left="12"/>
              <w:jc w:val="center"/>
              <w:rPr>
                <w:sz w:val="24"/>
              </w:rPr>
            </w:pPr>
            <w:r>
              <w:rPr>
                <w:spacing w:val="-5"/>
                <w:sz w:val="24"/>
              </w:rPr>
              <w:t>30%</w:t>
            </w:r>
          </w:p>
        </w:tc>
        <w:tc>
          <w:tcPr>
            <w:tcW w:w="1132" w:type="dxa"/>
            <w:tcBorders>
              <w:left w:val="nil"/>
            </w:tcBorders>
          </w:tcPr>
          <w:p w14:paraId="2F91C58C" w14:textId="77777777" w:rsidR="00D62309" w:rsidRDefault="00D62309" w:rsidP="00D62309">
            <w:pPr>
              <w:pStyle w:val="TableParagraph"/>
              <w:spacing w:before="274"/>
              <w:rPr>
                <w:b/>
                <w:sz w:val="24"/>
              </w:rPr>
            </w:pPr>
          </w:p>
          <w:p w14:paraId="0654543E" w14:textId="77777777" w:rsidR="00D62309" w:rsidRDefault="00D62309" w:rsidP="00D62309">
            <w:pPr>
              <w:pStyle w:val="TableParagraph"/>
              <w:spacing w:before="1"/>
              <w:ind w:left="23" w:right="21"/>
              <w:jc w:val="center"/>
              <w:rPr>
                <w:sz w:val="24"/>
              </w:rPr>
            </w:pPr>
            <w:r>
              <w:rPr>
                <w:spacing w:val="-2"/>
                <w:sz w:val="24"/>
              </w:rPr>
              <w:t>.035(NS)</w:t>
            </w:r>
          </w:p>
        </w:tc>
      </w:tr>
      <w:tr w:rsidR="00D62309" w14:paraId="19A92CFC" w14:textId="77777777" w:rsidTr="00D62309">
        <w:trPr>
          <w:trHeight w:val="1934"/>
        </w:trPr>
        <w:tc>
          <w:tcPr>
            <w:tcW w:w="3145" w:type="dxa"/>
            <w:tcBorders>
              <w:right w:val="nil"/>
            </w:tcBorders>
          </w:tcPr>
          <w:p w14:paraId="1EA42CE5" w14:textId="77777777" w:rsidR="00D62309" w:rsidRDefault="00D62309" w:rsidP="00D62309">
            <w:pPr>
              <w:pStyle w:val="TableParagraph"/>
              <w:spacing w:line="259" w:lineRule="exact"/>
              <w:ind w:left="106"/>
              <w:rPr>
                <w:b/>
                <w:sz w:val="24"/>
              </w:rPr>
            </w:pPr>
            <w:r>
              <w:rPr>
                <w:b/>
                <w:sz w:val="24"/>
              </w:rPr>
              <w:t>Clinical</w:t>
            </w:r>
            <w:r>
              <w:rPr>
                <w:b/>
                <w:spacing w:val="-3"/>
                <w:sz w:val="24"/>
              </w:rPr>
              <w:t xml:space="preserve"> </w:t>
            </w:r>
            <w:r>
              <w:rPr>
                <w:b/>
                <w:spacing w:val="-2"/>
                <w:sz w:val="24"/>
              </w:rPr>
              <w:t>Stage</w:t>
            </w:r>
          </w:p>
          <w:p w14:paraId="1B5B10DB" w14:textId="77777777" w:rsidR="00D62309" w:rsidRDefault="00D62309" w:rsidP="00D62309">
            <w:pPr>
              <w:pStyle w:val="TableParagraph"/>
              <w:rPr>
                <w:b/>
                <w:sz w:val="24"/>
              </w:rPr>
            </w:pPr>
          </w:p>
          <w:p w14:paraId="0FA255DD" w14:textId="77777777" w:rsidR="00D62309" w:rsidRDefault="00D62309" w:rsidP="00D62309">
            <w:pPr>
              <w:pStyle w:val="TableParagraph"/>
              <w:spacing w:line="484" w:lineRule="auto"/>
              <w:ind w:left="739" w:right="736" w:firstLine="572"/>
              <w:rPr>
                <w:sz w:val="24"/>
              </w:rPr>
            </w:pPr>
            <w:r>
              <w:rPr>
                <w:spacing w:val="-2"/>
                <w:sz w:val="24"/>
              </w:rPr>
              <w:t xml:space="preserve">Early </w:t>
            </w:r>
            <w:r>
              <w:rPr>
                <w:sz w:val="24"/>
              </w:rPr>
              <w:t>Locally</w:t>
            </w:r>
            <w:r>
              <w:rPr>
                <w:spacing w:val="-15"/>
                <w:sz w:val="24"/>
              </w:rPr>
              <w:t xml:space="preserve"> </w:t>
            </w:r>
            <w:r>
              <w:rPr>
                <w:sz w:val="24"/>
              </w:rPr>
              <w:t>Regional</w:t>
            </w:r>
          </w:p>
          <w:p w14:paraId="61C4AA84" w14:textId="77777777" w:rsidR="00D62309" w:rsidRDefault="00D62309" w:rsidP="00D62309">
            <w:pPr>
              <w:pStyle w:val="TableParagraph"/>
              <w:spacing w:line="265" w:lineRule="exact"/>
              <w:ind w:left="880" w:right="880"/>
              <w:jc w:val="center"/>
              <w:rPr>
                <w:sz w:val="24"/>
              </w:rPr>
            </w:pPr>
            <w:r>
              <w:rPr>
                <w:spacing w:val="-2"/>
                <w:sz w:val="24"/>
              </w:rPr>
              <w:t>Advanced</w:t>
            </w:r>
          </w:p>
        </w:tc>
        <w:tc>
          <w:tcPr>
            <w:tcW w:w="1028" w:type="dxa"/>
            <w:tcBorders>
              <w:left w:val="nil"/>
              <w:right w:val="nil"/>
            </w:tcBorders>
          </w:tcPr>
          <w:p w14:paraId="50CE82BD" w14:textId="77777777" w:rsidR="00D62309" w:rsidRDefault="00D62309" w:rsidP="00D62309">
            <w:pPr>
              <w:pStyle w:val="TableParagraph"/>
              <w:spacing w:before="259"/>
              <w:rPr>
                <w:b/>
                <w:sz w:val="24"/>
              </w:rPr>
            </w:pPr>
          </w:p>
          <w:p w14:paraId="1D7A5F02" w14:textId="77777777" w:rsidR="00D62309" w:rsidRDefault="00D62309" w:rsidP="00D62309">
            <w:pPr>
              <w:pStyle w:val="TableParagraph"/>
              <w:ind w:left="84" w:right="81"/>
              <w:jc w:val="center"/>
              <w:rPr>
                <w:sz w:val="24"/>
              </w:rPr>
            </w:pPr>
            <w:r>
              <w:rPr>
                <w:spacing w:val="-10"/>
                <w:sz w:val="24"/>
              </w:rPr>
              <w:t>0</w:t>
            </w:r>
          </w:p>
          <w:p w14:paraId="7A9B9B1A" w14:textId="77777777" w:rsidR="00D62309" w:rsidRDefault="00D62309" w:rsidP="00D62309">
            <w:pPr>
              <w:pStyle w:val="TableParagraph"/>
              <w:spacing w:before="4"/>
              <w:rPr>
                <w:b/>
                <w:sz w:val="24"/>
              </w:rPr>
            </w:pPr>
          </w:p>
          <w:p w14:paraId="3E9A2A4F" w14:textId="77777777" w:rsidR="00D62309" w:rsidRDefault="00D62309" w:rsidP="00D62309">
            <w:pPr>
              <w:pStyle w:val="TableParagraph"/>
              <w:ind w:left="84" w:right="81"/>
              <w:jc w:val="center"/>
              <w:rPr>
                <w:sz w:val="24"/>
              </w:rPr>
            </w:pPr>
            <w:r>
              <w:rPr>
                <w:spacing w:val="-5"/>
                <w:sz w:val="24"/>
              </w:rPr>
              <w:t>26</w:t>
            </w:r>
          </w:p>
          <w:p w14:paraId="3B55E7E6" w14:textId="77777777" w:rsidR="00D62309" w:rsidRDefault="00D62309" w:rsidP="00D62309">
            <w:pPr>
              <w:pStyle w:val="TableParagraph"/>
              <w:spacing w:before="4"/>
              <w:rPr>
                <w:b/>
                <w:sz w:val="24"/>
              </w:rPr>
            </w:pPr>
          </w:p>
          <w:p w14:paraId="69AE3C2B" w14:textId="77777777" w:rsidR="00D62309" w:rsidRDefault="00D62309" w:rsidP="00D62309">
            <w:pPr>
              <w:pStyle w:val="TableParagraph"/>
              <w:spacing w:line="267" w:lineRule="exact"/>
              <w:ind w:left="84" w:right="81"/>
              <w:jc w:val="center"/>
              <w:rPr>
                <w:sz w:val="24"/>
              </w:rPr>
            </w:pPr>
            <w:r>
              <w:rPr>
                <w:spacing w:val="-10"/>
                <w:sz w:val="24"/>
              </w:rPr>
              <w:t>1</w:t>
            </w:r>
          </w:p>
        </w:tc>
        <w:tc>
          <w:tcPr>
            <w:tcW w:w="1664" w:type="dxa"/>
            <w:tcBorders>
              <w:left w:val="nil"/>
              <w:right w:val="nil"/>
            </w:tcBorders>
          </w:tcPr>
          <w:p w14:paraId="5C4720C0" w14:textId="77777777" w:rsidR="00D62309" w:rsidRDefault="00D62309" w:rsidP="00D62309">
            <w:pPr>
              <w:pStyle w:val="TableParagraph"/>
              <w:spacing w:before="259"/>
              <w:rPr>
                <w:b/>
                <w:sz w:val="24"/>
              </w:rPr>
            </w:pPr>
          </w:p>
          <w:p w14:paraId="2FC04B81" w14:textId="77777777" w:rsidR="00D62309" w:rsidRDefault="00D62309" w:rsidP="00D62309">
            <w:pPr>
              <w:pStyle w:val="TableParagraph"/>
              <w:ind w:left="9" w:right="4"/>
              <w:jc w:val="center"/>
              <w:rPr>
                <w:sz w:val="24"/>
              </w:rPr>
            </w:pPr>
            <w:r>
              <w:rPr>
                <w:spacing w:val="-5"/>
                <w:sz w:val="24"/>
              </w:rPr>
              <w:t>0.0</w:t>
            </w:r>
          </w:p>
          <w:p w14:paraId="7F1D60F6" w14:textId="77777777" w:rsidR="00D62309" w:rsidRDefault="00D62309" w:rsidP="00D62309">
            <w:pPr>
              <w:pStyle w:val="TableParagraph"/>
              <w:spacing w:before="4"/>
              <w:rPr>
                <w:b/>
                <w:sz w:val="24"/>
              </w:rPr>
            </w:pPr>
          </w:p>
          <w:p w14:paraId="251DBA0D" w14:textId="77777777" w:rsidR="00D62309" w:rsidRDefault="00D62309" w:rsidP="00D62309">
            <w:pPr>
              <w:pStyle w:val="TableParagraph"/>
              <w:ind w:left="9" w:right="4"/>
              <w:jc w:val="center"/>
              <w:rPr>
                <w:sz w:val="24"/>
              </w:rPr>
            </w:pPr>
            <w:r>
              <w:rPr>
                <w:spacing w:val="-2"/>
                <w:sz w:val="24"/>
              </w:rPr>
              <w:t>81.25</w:t>
            </w:r>
          </w:p>
          <w:p w14:paraId="007741CB" w14:textId="77777777" w:rsidR="00D62309" w:rsidRDefault="00D62309" w:rsidP="00D62309">
            <w:pPr>
              <w:pStyle w:val="TableParagraph"/>
              <w:spacing w:before="4"/>
              <w:rPr>
                <w:b/>
                <w:sz w:val="24"/>
              </w:rPr>
            </w:pPr>
          </w:p>
          <w:p w14:paraId="7A23BDA4" w14:textId="77777777" w:rsidR="00D62309" w:rsidRDefault="00D62309" w:rsidP="00D62309">
            <w:pPr>
              <w:pStyle w:val="TableParagraph"/>
              <w:spacing w:line="267" w:lineRule="exact"/>
              <w:ind w:left="9"/>
              <w:jc w:val="center"/>
              <w:rPr>
                <w:sz w:val="24"/>
              </w:rPr>
            </w:pPr>
            <w:r>
              <w:rPr>
                <w:spacing w:val="-5"/>
                <w:sz w:val="24"/>
              </w:rPr>
              <w:t>100</w:t>
            </w:r>
          </w:p>
        </w:tc>
        <w:tc>
          <w:tcPr>
            <w:tcW w:w="787" w:type="dxa"/>
            <w:tcBorders>
              <w:left w:val="nil"/>
              <w:right w:val="nil"/>
            </w:tcBorders>
          </w:tcPr>
          <w:p w14:paraId="482F45EC" w14:textId="77777777" w:rsidR="00D62309" w:rsidRDefault="00D62309" w:rsidP="00D62309">
            <w:pPr>
              <w:pStyle w:val="TableParagraph"/>
              <w:spacing w:before="259"/>
              <w:rPr>
                <w:b/>
                <w:sz w:val="24"/>
              </w:rPr>
            </w:pPr>
          </w:p>
          <w:p w14:paraId="589A522A" w14:textId="77777777" w:rsidR="00D62309" w:rsidRDefault="00D62309" w:rsidP="00D62309">
            <w:pPr>
              <w:pStyle w:val="TableParagraph"/>
              <w:ind w:left="6"/>
              <w:jc w:val="center"/>
              <w:rPr>
                <w:sz w:val="24"/>
              </w:rPr>
            </w:pPr>
            <w:r>
              <w:rPr>
                <w:spacing w:val="-10"/>
                <w:sz w:val="24"/>
              </w:rPr>
              <w:t>0</w:t>
            </w:r>
          </w:p>
          <w:p w14:paraId="334EF086" w14:textId="77777777" w:rsidR="00D62309" w:rsidRDefault="00D62309" w:rsidP="00D62309">
            <w:pPr>
              <w:pStyle w:val="TableParagraph"/>
              <w:spacing w:before="4"/>
              <w:rPr>
                <w:b/>
                <w:sz w:val="24"/>
              </w:rPr>
            </w:pPr>
          </w:p>
          <w:p w14:paraId="766E014B" w14:textId="77777777" w:rsidR="00D62309" w:rsidRDefault="00D62309" w:rsidP="00D62309">
            <w:pPr>
              <w:pStyle w:val="TableParagraph"/>
              <w:ind w:left="6"/>
              <w:jc w:val="center"/>
              <w:rPr>
                <w:sz w:val="24"/>
              </w:rPr>
            </w:pPr>
            <w:r>
              <w:rPr>
                <w:spacing w:val="-10"/>
                <w:sz w:val="24"/>
              </w:rPr>
              <w:t>6</w:t>
            </w:r>
          </w:p>
          <w:p w14:paraId="7534986C" w14:textId="77777777" w:rsidR="00D62309" w:rsidRDefault="00D62309" w:rsidP="00D62309">
            <w:pPr>
              <w:pStyle w:val="TableParagraph"/>
              <w:spacing w:before="4"/>
              <w:rPr>
                <w:b/>
                <w:sz w:val="24"/>
              </w:rPr>
            </w:pPr>
          </w:p>
          <w:p w14:paraId="7DC862F0" w14:textId="77777777" w:rsidR="00D62309" w:rsidRDefault="00D62309" w:rsidP="00D62309">
            <w:pPr>
              <w:pStyle w:val="TableParagraph"/>
              <w:spacing w:line="267" w:lineRule="exact"/>
              <w:ind w:left="6"/>
              <w:jc w:val="center"/>
              <w:rPr>
                <w:sz w:val="24"/>
              </w:rPr>
            </w:pPr>
            <w:r>
              <w:rPr>
                <w:spacing w:val="-10"/>
                <w:sz w:val="24"/>
              </w:rPr>
              <w:t>0</w:t>
            </w:r>
          </w:p>
        </w:tc>
        <w:tc>
          <w:tcPr>
            <w:tcW w:w="1688" w:type="dxa"/>
            <w:tcBorders>
              <w:left w:val="nil"/>
              <w:right w:val="nil"/>
            </w:tcBorders>
          </w:tcPr>
          <w:p w14:paraId="0B888D33" w14:textId="77777777" w:rsidR="00D62309" w:rsidRDefault="00D62309" w:rsidP="00D62309">
            <w:pPr>
              <w:pStyle w:val="TableParagraph"/>
              <w:spacing w:before="259"/>
              <w:rPr>
                <w:b/>
                <w:sz w:val="24"/>
              </w:rPr>
            </w:pPr>
          </w:p>
          <w:p w14:paraId="109D8252" w14:textId="77777777" w:rsidR="00D62309" w:rsidRDefault="00D62309" w:rsidP="00D62309">
            <w:pPr>
              <w:pStyle w:val="TableParagraph"/>
              <w:ind w:left="12" w:right="4"/>
              <w:jc w:val="center"/>
              <w:rPr>
                <w:sz w:val="24"/>
              </w:rPr>
            </w:pPr>
            <w:r>
              <w:rPr>
                <w:spacing w:val="-4"/>
                <w:sz w:val="24"/>
              </w:rPr>
              <w:t>0.0%</w:t>
            </w:r>
          </w:p>
          <w:p w14:paraId="059D3E63" w14:textId="77777777" w:rsidR="00D62309" w:rsidRDefault="00D62309" w:rsidP="00D62309">
            <w:pPr>
              <w:pStyle w:val="TableParagraph"/>
              <w:spacing w:before="4"/>
              <w:rPr>
                <w:b/>
                <w:sz w:val="24"/>
              </w:rPr>
            </w:pPr>
          </w:p>
          <w:p w14:paraId="7C6F1116" w14:textId="77777777" w:rsidR="00D62309" w:rsidRDefault="00D62309" w:rsidP="00D62309">
            <w:pPr>
              <w:pStyle w:val="TableParagraph"/>
              <w:ind w:left="12" w:right="4"/>
              <w:jc w:val="center"/>
              <w:rPr>
                <w:sz w:val="24"/>
              </w:rPr>
            </w:pPr>
            <w:r>
              <w:rPr>
                <w:spacing w:val="-2"/>
                <w:sz w:val="24"/>
              </w:rPr>
              <w:t>18.75%</w:t>
            </w:r>
          </w:p>
          <w:p w14:paraId="4BEF70E1" w14:textId="77777777" w:rsidR="00D62309" w:rsidRDefault="00D62309" w:rsidP="00D62309">
            <w:pPr>
              <w:pStyle w:val="TableParagraph"/>
              <w:spacing w:before="4"/>
              <w:rPr>
                <w:b/>
                <w:sz w:val="24"/>
              </w:rPr>
            </w:pPr>
          </w:p>
          <w:p w14:paraId="3BCA3331" w14:textId="77777777" w:rsidR="00D62309" w:rsidRDefault="00D62309" w:rsidP="00D62309">
            <w:pPr>
              <w:pStyle w:val="TableParagraph"/>
              <w:spacing w:line="267" w:lineRule="exact"/>
              <w:ind w:left="12" w:right="4"/>
              <w:jc w:val="center"/>
              <w:rPr>
                <w:sz w:val="24"/>
              </w:rPr>
            </w:pPr>
            <w:r>
              <w:rPr>
                <w:spacing w:val="-4"/>
                <w:sz w:val="24"/>
              </w:rPr>
              <w:t>0.0%</w:t>
            </w:r>
          </w:p>
        </w:tc>
        <w:tc>
          <w:tcPr>
            <w:tcW w:w="1132" w:type="dxa"/>
            <w:tcBorders>
              <w:left w:val="nil"/>
            </w:tcBorders>
          </w:tcPr>
          <w:p w14:paraId="571AB544" w14:textId="77777777" w:rsidR="00D62309" w:rsidRDefault="00D62309" w:rsidP="00D62309">
            <w:pPr>
              <w:pStyle w:val="TableParagraph"/>
              <w:rPr>
                <w:b/>
                <w:sz w:val="24"/>
              </w:rPr>
            </w:pPr>
          </w:p>
          <w:p w14:paraId="36A8E312" w14:textId="77777777" w:rsidR="00D62309" w:rsidRDefault="00D62309" w:rsidP="00D62309">
            <w:pPr>
              <w:pStyle w:val="TableParagraph"/>
              <w:rPr>
                <w:b/>
                <w:sz w:val="24"/>
              </w:rPr>
            </w:pPr>
          </w:p>
          <w:p w14:paraId="081BFC90" w14:textId="77777777" w:rsidR="00D62309" w:rsidRDefault="00D62309" w:rsidP="00D62309">
            <w:pPr>
              <w:pStyle w:val="TableParagraph"/>
              <w:spacing w:before="263"/>
              <w:rPr>
                <w:b/>
                <w:sz w:val="24"/>
              </w:rPr>
            </w:pPr>
          </w:p>
          <w:p w14:paraId="34B4DDAE" w14:textId="77777777" w:rsidR="00D62309" w:rsidRDefault="00D62309" w:rsidP="00D62309">
            <w:pPr>
              <w:pStyle w:val="TableParagraph"/>
              <w:ind w:left="23" w:right="21"/>
              <w:jc w:val="center"/>
              <w:rPr>
                <w:sz w:val="24"/>
              </w:rPr>
            </w:pPr>
            <w:r>
              <w:rPr>
                <w:spacing w:val="-2"/>
                <w:sz w:val="24"/>
              </w:rPr>
              <w:t>.818(NS)</w:t>
            </w:r>
          </w:p>
        </w:tc>
      </w:tr>
      <w:tr w:rsidR="00D62309" w14:paraId="30CAC836" w14:textId="77777777" w:rsidTr="00D62309">
        <w:trPr>
          <w:trHeight w:val="1406"/>
        </w:trPr>
        <w:tc>
          <w:tcPr>
            <w:tcW w:w="3145" w:type="dxa"/>
            <w:tcBorders>
              <w:right w:val="nil"/>
            </w:tcBorders>
          </w:tcPr>
          <w:p w14:paraId="0A2F920C" w14:textId="77777777" w:rsidR="00D62309" w:rsidRDefault="00D62309" w:rsidP="00D62309">
            <w:pPr>
              <w:pStyle w:val="TableParagraph"/>
              <w:spacing w:line="275" w:lineRule="exact"/>
              <w:ind w:left="106"/>
              <w:rPr>
                <w:b/>
                <w:sz w:val="24"/>
              </w:rPr>
            </w:pPr>
            <w:r>
              <w:rPr>
                <w:b/>
                <w:sz w:val="24"/>
              </w:rPr>
              <w:t>Preoperative</w:t>
            </w:r>
            <w:r>
              <w:rPr>
                <w:b/>
                <w:spacing w:val="-4"/>
                <w:sz w:val="24"/>
              </w:rPr>
              <w:t xml:space="preserve"> </w:t>
            </w:r>
            <w:r>
              <w:rPr>
                <w:b/>
                <w:spacing w:val="-2"/>
                <w:sz w:val="24"/>
              </w:rPr>
              <w:t>Chemotherapy</w:t>
            </w:r>
          </w:p>
          <w:p w14:paraId="5E02894F" w14:textId="77777777" w:rsidR="00D62309" w:rsidRDefault="00D62309" w:rsidP="00D62309">
            <w:pPr>
              <w:pStyle w:val="TableParagraph"/>
              <w:spacing w:before="15" w:line="556" w:lineRule="exact"/>
              <w:ind w:left="1423" w:right="1413" w:hanging="116"/>
              <w:rPr>
                <w:sz w:val="24"/>
              </w:rPr>
            </w:pPr>
            <w:r>
              <w:rPr>
                <w:spacing w:val="-4"/>
                <w:sz w:val="24"/>
              </w:rPr>
              <w:t xml:space="preserve">Yes </w:t>
            </w:r>
            <w:r>
              <w:rPr>
                <w:spacing w:val="-5"/>
                <w:sz w:val="24"/>
              </w:rPr>
              <w:t>No</w:t>
            </w:r>
          </w:p>
        </w:tc>
        <w:tc>
          <w:tcPr>
            <w:tcW w:w="1028" w:type="dxa"/>
            <w:tcBorders>
              <w:left w:val="nil"/>
              <w:right w:val="nil"/>
            </w:tcBorders>
          </w:tcPr>
          <w:p w14:paraId="225A8952" w14:textId="77777777" w:rsidR="00D62309" w:rsidRDefault="00D62309" w:rsidP="00D62309">
            <w:pPr>
              <w:pStyle w:val="TableParagraph"/>
              <w:spacing w:before="274"/>
              <w:rPr>
                <w:b/>
                <w:sz w:val="24"/>
              </w:rPr>
            </w:pPr>
          </w:p>
          <w:p w14:paraId="0652DEAB" w14:textId="77777777" w:rsidR="00D62309" w:rsidRDefault="00D62309" w:rsidP="00D62309">
            <w:pPr>
              <w:pStyle w:val="TableParagraph"/>
              <w:spacing w:before="1"/>
              <w:ind w:left="8" w:right="89"/>
              <w:jc w:val="center"/>
              <w:rPr>
                <w:sz w:val="24"/>
              </w:rPr>
            </w:pPr>
            <w:r>
              <w:rPr>
                <w:spacing w:val="-5"/>
                <w:sz w:val="24"/>
              </w:rPr>
              <w:t>20</w:t>
            </w:r>
          </w:p>
          <w:p w14:paraId="3434EB5D" w14:textId="77777777" w:rsidR="00D62309" w:rsidRDefault="00D62309" w:rsidP="00D62309">
            <w:pPr>
              <w:pStyle w:val="TableParagraph"/>
              <w:spacing w:before="4"/>
              <w:rPr>
                <w:b/>
                <w:sz w:val="24"/>
              </w:rPr>
            </w:pPr>
          </w:p>
          <w:p w14:paraId="6D360CD3" w14:textId="77777777" w:rsidR="00D62309" w:rsidRDefault="00D62309" w:rsidP="00D62309">
            <w:pPr>
              <w:pStyle w:val="TableParagraph"/>
              <w:ind w:left="84" w:right="81"/>
              <w:jc w:val="center"/>
              <w:rPr>
                <w:sz w:val="24"/>
              </w:rPr>
            </w:pPr>
            <w:r>
              <w:rPr>
                <w:spacing w:val="-10"/>
                <w:sz w:val="24"/>
              </w:rPr>
              <w:t>7</w:t>
            </w:r>
          </w:p>
        </w:tc>
        <w:tc>
          <w:tcPr>
            <w:tcW w:w="1664" w:type="dxa"/>
            <w:tcBorders>
              <w:left w:val="nil"/>
              <w:right w:val="nil"/>
            </w:tcBorders>
          </w:tcPr>
          <w:p w14:paraId="4D96E3C7" w14:textId="77777777" w:rsidR="00D62309" w:rsidRDefault="00D62309" w:rsidP="00D62309">
            <w:pPr>
              <w:pStyle w:val="TableParagraph"/>
              <w:spacing w:before="274"/>
              <w:rPr>
                <w:b/>
                <w:sz w:val="24"/>
              </w:rPr>
            </w:pPr>
          </w:p>
          <w:p w14:paraId="30AD1D24" w14:textId="77777777" w:rsidR="00D62309" w:rsidRDefault="00D62309" w:rsidP="00D62309">
            <w:pPr>
              <w:pStyle w:val="TableParagraph"/>
              <w:spacing w:before="1"/>
              <w:ind w:left="9"/>
              <w:jc w:val="center"/>
              <w:rPr>
                <w:sz w:val="24"/>
              </w:rPr>
            </w:pPr>
            <w:r>
              <w:rPr>
                <w:spacing w:val="-5"/>
                <w:sz w:val="24"/>
              </w:rPr>
              <w:t>100</w:t>
            </w:r>
          </w:p>
          <w:p w14:paraId="7C43AB5E" w14:textId="77777777" w:rsidR="00D62309" w:rsidRDefault="00D62309" w:rsidP="00D62309">
            <w:pPr>
              <w:pStyle w:val="TableParagraph"/>
              <w:spacing w:before="4"/>
              <w:rPr>
                <w:b/>
                <w:sz w:val="24"/>
              </w:rPr>
            </w:pPr>
          </w:p>
          <w:p w14:paraId="4B122551" w14:textId="77777777" w:rsidR="00D62309" w:rsidRDefault="00D62309" w:rsidP="00D62309">
            <w:pPr>
              <w:pStyle w:val="TableParagraph"/>
              <w:ind w:left="9" w:right="4"/>
              <w:jc w:val="center"/>
              <w:rPr>
                <w:sz w:val="24"/>
              </w:rPr>
            </w:pPr>
            <w:r>
              <w:rPr>
                <w:spacing w:val="-4"/>
                <w:sz w:val="24"/>
              </w:rPr>
              <w:t>53.8</w:t>
            </w:r>
          </w:p>
        </w:tc>
        <w:tc>
          <w:tcPr>
            <w:tcW w:w="787" w:type="dxa"/>
            <w:tcBorders>
              <w:left w:val="nil"/>
              <w:right w:val="nil"/>
            </w:tcBorders>
          </w:tcPr>
          <w:p w14:paraId="122E6B1F" w14:textId="77777777" w:rsidR="00D62309" w:rsidRDefault="00D62309" w:rsidP="00D62309">
            <w:pPr>
              <w:pStyle w:val="TableParagraph"/>
              <w:spacing w:before="274"/>
              <w:rPr>
                <w:b/>
                <w:sz w:val="24"/>
              </w:rPr>
            </w:pPr>
          </w:p>
          <w:p w14:paraId="19D03DCF" w14:textId="77777777" w:rsidR="00D62309" w:rsidRDefault="00D62309" w:rsidP="00D62309">
            <w:pPr>
              <w:pStyle w:val="TableParagraph"/>
              <w:spacing w:before="1"/>
              <w:ind w:left="6"/>
              <w:jc w:val="center"/>
              <w:rPr>
                <w:sz w:val="24"/>
              </w:rPr>
            </w:pPr>
            <w:r>
              <w:rPr>
                <w:spacing w:val="-10"/>
                <w:sz w:val="24"/>
              </w:rPr>
              <w:t>0</w:t>
            </w:r>
          </w:p>
          <w:p w14:paraId="64DFF4DB" w14:textId="77777777" w:rsidR="00D62309" w:rsidRDefault="00D62309" w:rsidP="00D62309">
            <w:pPr>
              <w:pStyle w:val="TableParagraph"/>
              <w:spacing w:before="4"/>
              <w:rPr>
                <w:b/>
                <w:sz w:val="24"/>
              </w:rPr>
            </w:pPr>
          </w:p>
          <w:p w14:paraId="7EC15A69" w14:textId="77777777" w:rsidR="00D62309" w:rsidRDefault="00D62309" w:rsidP="00D62309">
            <w:pPr>
              <w:pStyle w:val="TableParagraph"/>
              <w:ind w:left="6"/>
              <w:jc w:val="center"/>
              <w:rPr>
                <w:sz w:val="24"/>
              </w:rPr>
            </w:pPr>
            <w:r>
              <w:rPr>
                <w:spacing w:val="-10"/>
                <w:sz w:val="24"/>
              </w:rPr>
              <w:t>6</w:t>
            </w:r>
          </w:p>
        </w:tc>
        <w:tc>
          <w:tcPr>
            <w:tcW w:w="1688" w:type="dxa"/>
            <w:tcBorders>
              <w:left w:val="nil"/>
              <w:right w:val="nil"/>
            </w:tcBorders>
          </w:tcPr>
          <w:p w14:paraId="5AB65AB7" w14:textId="77777777" w:rsidR="00D62309" w:rsidRDefault="00D62309" w:rsidP="00D62309">
            <w:pPr>
              <w:pStyle w:val="TableParagraph"/>
              <w:spacing w:before="274"/>
              <w:rPr>
                <w:b/>
                <w:sz w:val="24"/>
              </w:rPr>
            </w:pPr>
          </w:p>
          <w:p w14:paraId="20C2FFF7" w14:textId="77777777" w:rsidR="00D62309" w:rsidRDefault="00D62309" w:rsidP="00D62309">
            <w:pPr>
              <w:pStyle w:val="TableParagraph"/>
              <w:spacing w:before="1"/>
              <w:ind w:left="12" w:right="3"/>
              <w:jc w:val="center"/>
              <w:rPr>
                <w:sz w:val="24"/>
              </w:rPr>
            </w:pPr>
            <w:r>
              <w:rPr>
                <w:spacing w:val="-5"/>
                <w:sz w:val="24"/>
              </w:rPr>
              <w:t>0.0</w:t>
            </w:r>
          </w:p>
          <w:p w14:paraId="73E26644" w14:textId="77777777" w:rsidR="00D62309" w:rsidRDefault="00D62309" w:rsidP="00D62309">
            <w:pPr>
              <w:pStyle w:val="TableParagraph"/>
              <w:spacing w:before="4"/>
              <w:rPr>
                <w:b/>
                <w:sz w:val="24"/>
              </w:rPr>
            </w:pPr>
          </w:p>
          <w:p w14:paraId="4F7A401B" w14:textId="77777777" w:rsidR="00D62309" w:rsidRDefault="00D62309" w:rsidP="00D62309">
            <w:pPr>
              <w:pStyle w:val="TableParagraph"/>
              <w:ind w:left="12" w:right="3"/>
              <w:jc w:val="center"/>
              <w:rPr>
                <w:sz w:val="24"/>
              </w:rPr>
            </w:pPr>
            <w:r>
              <w:rPr>
                <w:spacing w:val="-4"/>
                <w:sz w:val="24"/>
              </w:rPr>
              <w:t>46.2</w:t>
            </w:r>
          </w:p>
        </w:tc>
        <w:tc>
          <w:tcPr>
            <w:tcW w:w="1132" w:type="dxa"/>
            <w:tcBorders>
              <w:left w:val="nil"/>
            </w:tcBorders>
          </w:tcPr>
          <w:p w14:paraId="1FFA19F6" w14:textId="77777777" w:rsidR="00D62309" w:rsidRDefault="00D62309" w:rsidP="00D62309">
            <w:pPr>
              <w:pStyle w:val="TableParagraph"/>
              <w:rPr>
                <w:b/>
                <w:sz w:val="24"/>
              </w:rPr>
            </w:pPr>
          </w:p>
          <w:p w14:paraId="58C2B726" w14:textId="77777777" w:rsidR="00D62309" w:rsidRDefault="00D62309" w:rsidP="00D62309">
            <w:pPr>
              <w:pStyle w:val="TableParagraph"/>
              <w:spacing w:before="2"/>
              <w:rPr>
                <w:b/>
                <w:sz w:val="24"/>
              </w:rPr>
            </w:pPr>
          </w:p>
          <w:p w14:paraId="40F92344" w14:textId="77777777" w:rsidR="00D62309" w:rsidRDefault="00D62309" w:rsidP="00D62309">
            <w:pPr>
              <w:pStyle w:val="TableParagraph"/>
              <w:ind w:left="31" w:right="21"/>
              <w:jc w:val="center"/>
              <w:rPr>
                <w:b/>
                <w:sz w:val="24"/>
              </w:rPr>
            </w:pPr>
            <w:r>
              <w:rPr>
                <w:b/>
                <w:sz w:val="24"/>
              </w:rPr>
              <w:t xml:space="preserve">.002 </w:t>
            </w:r>
            <w:r>
              <w:rPr>
                <w:b/>
                <w:spacing w:val="-5"/>
                <w:sz w:val="24"/>
              </w:rPr>
              <w:t>(S)</w:t>
            </w:r>
          </w:p>
        </w:tc>
      </w:tr>
    </w:tbl>
    <w:p w14:paraId="6E6F97A8" w14:textId="77777777" w:rsidR="000B37B2" w:rsidRPr="00D62309" w:rsidRDefault="00D62309" w:rsidP="00D62309">
      <w:pPr>
        <w:spacing w:line="360" w:lineRule="auto"/>
        <w:jc w:val="center"/>
        <w:rPr>
          <w:b/>
          <w:sz w:val="24"/>
        </w:rPr>
      </w:pPr>
      <w:r w:rsidRPr="00D62309">
        <w:rPr>
          <w:b/>
          <w:sz w:val="24"/>
        </w:rPr>
        <w:t>Table-1 Clinical features of the gastric cancer patients and correlation with microsatellite status (n=33)</w:t>
      </w:r>
    </w:p>
    <w:p w14:paraId="4A19F247" w14:textId="77777777" w:rsidR="000B37B2" w:rsidRDefault="000B37B2" w:rsidP="000B37B2">
      <w:pPr>
        <w:spacing w:line="360" w:lineRule="auto"/>
        <w:jc w:val="both"/>
        <w:rPr>
          <w:sz w:val="24"/>
        </w:rPr>
      </w:pPr>
    </w:p>
    <w:p w14:paraId="60707D82" w14:textId="77777777" w:rsidR="000B37B2" w:rsidRDefault="000B37B2" w:rsidP="000B37B2">
      <w:pPr>
        <w:spacing w:line="360" w:lineRule="auto"/>
        <w:jc w:val="both"/>
        <w:rPr>
          <w:sz w:val="28"/>
        </w:rPr>
      </w:pPr>
    </w:p>
    <w:p w14:paraId="568BDDC2" w14:textId="77777777" w:rsidR="00D62309" w:rsidRDefault="00D62309" w:rsidP="000B37B2">
      <w:pPr>
        <w:spacing w:line="360" w:lineRule="auto"/>
        <w:jc w:val="both"/>
        <w:rPr>
          <w:sz w:val="24"/>
        </w:rPr>
      </w:pPr>
      <w:r w:rsidRPr="00D62309">
        <w:rPr>
          <w:sz w:val="24"/>
        </w:rPr>
        <w:t xml:space="preserve">Upfront surgery was done in thirteen (13) patients, where 07 patients were </w:t>
      </w:r>
      <w:proofErr w:type="gramStart"/>
      <w:r w:rsidRPr="00D62309">
        <w:rPr>
          <w:sz w:val="24"/>
        </w:rPr>
        <w:t>belong</w:t>
      </w:r>
      <w:proofErr w:type="gramEnd"/>
      <w:r w:rsidRPr="00D62309">
        <w:rPr>
          <w:sz w:val="24"/>
        </w:rPr>
        <w:t xml:space="preserve"> to MSS group (53.8%) and 06 patients were MSI-H group (46.2%). No preoperative chemotherapy was given to MSI-H group.</w:t>
      </w:r>
      <w:r>
        <w:rPr>
          <w:sz w:val="24"/>
        </w:rPr>
        <w:t xml:space="preserve"> Statistically significant association was present between preoperative c</w:t>
      </w:r>
      <w:r w:rsidRPr="00D62309">
        <w:rPr>
          <w:sz w:val="24"/>
        </w:rPr>
        <w:t>hemotherapy</w:t>
      </w:r>
      <w:r>
        <w:rPr>
          <w:sz w:val="24"/>
        </w:rPr>
        <w:t xml:space="preserve"> and MSI status (p=</w:t>
      </w:r>
      <w:r w:rsidRPr="00D62309">
        <w:rPr>
          <w:sz w:val="24"/>
        </w:rPr>
        <w:t>.002</w:t>
      </w:r>
      <w:r>
        <w:rPr>
          <w:sz w:val="24"/>
        </w:rPr>
        <w:t>)</w:t>
      </w:r>
    </w:p>
    <w:p w14:paraId="4EC74D24" w14:textId="77777777" w:rsidR="00AD6033" w:rsidRDefault="00AD6033" w:rsidP="000B37B2">
      <w:pPr>
        <w:spacing w:line="360" w:lineRule="auto"/>
        <w:jc w:val="both"/>
        <w:rPr>
          <w:sz w:val="24"/>
        </w:rPr>
      </w:pPr>
      <w:r w:rsidRPr="00AD6033">
        <w:rPr>
          <w:sz w:val="24"/>
        </w:rPr>
        <w:t>There was significant association between pathological tumor status (</w:t>
      </w:r>
      <w:proofErr w:type="spellStart"/>
      <w:r w:rsidRPr="00AD6033">
        <w:rPr>
          <w:sz w:val="24"/>
        </w:rPr>
        <w:t>pT</w:t>
      </w:r>
      <w:proofErr w:type="spellEnd"/>
      <w:r w:rsidRPr="00AD6033">
        <w:rPr>
          <w:sz w:val="24"/>
        </w:rPr>
        <w:t>) with microsatellite status. Among MSS group most of the tumors were pT3 tumor (94.12%) where in MSI-H group most of the tumors were pT2 tumor (42.9%). There was also significant association between pathological nodal status (</w:t>
      </w:r>
      <w:proofErr w:type="spellStart"/>
      <w:r w:rsidRPr="00AD6033">
        <w:rPr>
          <w:sz w:val="24"/>
        </w:rPr>
        <w:t>pN</w:t>
      </w:r>
      <w:proofErr w:type="spellEnd"/>
      <w:r w:rsidRPr="00AD6033">
        <w:rPr>
          <w:sz w:val="24"/>
        </w:rPr>
        <w:t xml:space="preserve">) with microsatellite </w:t>
      </w:r>
      <w:proofErr w:type="spellStart"/>
      <w:proofErr w:type="gramStart"/>
      <w:r w:rsidRPr="00AD6033">
        <w:rPr>
          <w:sz w:val="24"/>
        </w:rPr>
        <w:t>status.Among</w:t>
      </w:r>
      <w:proofErr w:type="spellEnd"/>
      <w:proofErr w:type="gramEnd"/>
      <w:r w:rsidRPr="00AD6033">
        <w:rPr>
          <w:sz w:val="24"/>
        </w:rPr>
        <w:t xml:space="preserve"> MSS group most of the tumors nodal status were </w:t>
      </w:r>
      <w:proofErr w:type="spellStart"/>
      <w:r w:rsidRPr="00AD6033">
        <w:rPr>
          <w:sz w:val="24"/>
        </w:rPr>
        <w:t>pN</w:t>
      </w:r>
      <w:proofErr w:type="spellEnd"/>
      <w:r w:rsidRPr="00AD6033">
        <w:rPr>
          <w:sz w:val="24"/>
        </w:rPr>
        <w:t>(100.0 %) where in MSI-H group all tumors nodal status were pN0 tumor (46.20%).</w:t>
      </w:r>
    </w:p>
    <w:tbl>
      <w:tblPr>
        <w:tblW w:w="0" w:type="auto"/>
        <w:tblInd w:w="359" w:type="dxa"/>
        <w:tblLayout w:type="fixed"/>
        <w:tblCellMar>
          <w:left w:w="0" w:type="dxa"/>
          <w:right w:w="0" w:type="dxa"/>
        </w:tblCellMar>
        <w:tblLook w:val="01E0" w:firstRow="1" w:lastRow="1" w:firstColumn="1" w:lastColumn="1" w:noHBand="0" w:noVBand="0"/>
      </w:tblPr>
      <w:tblGrid>
        <w:gridCol w:w="2508"/>
        <w:gridCol w:w="984"/>
        <w:gridCol w:w="1915"/>
        <w:gridCol w:w="848"/>
        <w:gridCol w:w="1843"/>
        <w:gridCol w:w="1050"/>
      </w:tblGrid>
      <w:tr w:rsidR="00D62309" w14:paraId="28B45999" w14:textId="77777777" w:rsidTr="00CA262D">
        <w:trPr>
          <w:trHeight w:val="622"/>
        </w:trPr>
        <w:tc>
          <w:tcPr>
            <w:tcW w:w="2508" w:type="dxa"/>
            <w:tcBorders>
              <w:top w:val="single" w:sz="4" w:space="0" w:color="000000"/>
              <w:bottom w:val="single" w:sz="4" w:space="0" w:color="000000"/>
            </w:tcBorders>
          </w:tcPr>
          <w:p w14:paraId="4EE74CF9" w14:textId="77777777" w:rsidR="00D62309" w:rsidRDefault="00D62309" w:rsidP="00CA262D">
            <w:pPr>
              <w:pStyle w:val="TableParagraph"/>
              <w:spacing w:line="275" w:lineRule="exact"/>
              <w:ind w:left="41"/>
              <w:jc w:val="center"/>
              <w:rPr>
                <w:b/>
                <w:sz w:val="24"/>
              </w:rPr>
            </w:pPr>
            <w:r>
              <w:rPr>
                <w:b/>
                <w:spacing w:val="-2"/>
                <w:sz w:val="24"/>
              </w:rPr>
              <w:t>Traits</w:t>
            </w:r>
          </w:p>
        </w:tc>
        <w:tc>
          <w:tcPr>
            <w:tcW w:w="984" w:type="dxa"/>
            <w:tcBorders>
              <w:top w:val="single" w:sz="4" w:space="0" w:color="000000"/>
              <w:bottom w:val="single" w:sz="4" w:space="0" w:color="000000"/>
            </w:tcBorders>
          </w:tcPr>
          <w:p w14:paraId="1A80BFB4" w14:textId="77777777" w:rsidR="00D62309" w:rsidRDefault="00D62309" w:rsidP="00CA262D">
            <w:pPr>
              <w:pStyle w:val="TableParagraph"/>
            </w:pPr>
          </w:p>
        </w:tc>
        <w:tc>
          <w:tcPr>
            <w:tcW w:w="1915" w:type="dxa"/>
            <w:tcBorders>
              <w:top w:val="single" w:sz="4" w:space="0" w:color="000000"/>
              <w:bottom w:val="single" w:sz="4" w:space="0" w:color="000000"/>
            </w:tcBorders>
          </w:tcPr>
          <w:p w14:paraId="58472EA9" w14:textId="77777777" w:rsidR="00D62309" w:rsidRDefault="00D62309" w:rsidP="00CA262D">
            <w:pPr>
              <w:pStyle w:val="TableParagraph"/>
              <w:spacing w:line="275" w:lineRule="exact"/>
              <w:ind w:left="237"/>
              <w:rPr>
                <w:b/>
                <w:sz w:val="24"/>
              </w:rPr>
            </w:pPr>
            <w:r>
              <w:rPr>
                <w:b/>
                <w:spacing w:val="-5"/>
                <w:sz w:val="24"/>
              </w:rPr>
              <w:t>MSS</w:t>
            </w:r>
          </w:p>
        </w:tc>
        <w:tc>
          <w:tcPr>
            <w:tcW w:w="848" w:type="dxa"/>
            <w:tcBorders>
              <w:top w:val="single" w:sz="4" w:space="0" w:color="000000"/>
              <w:bottom w:val="single" w:sz="4" w:space="0" w:color="000000"/>
            </w:tcBorders>
          </w:tcPr>
          <w:p w14:paraId="3DD5F42B" w14:textId="77777777" w:rsidR="00D62309" w:rsidRDefault="00D62309" w:rsidP="00CA262D">
            <w:pPr>
              <w:pStyle w:val="TableParagraph"/>
            </w:pPr>
          </w:p>
        </w:tc>
        <w:tc>
          <w:tcPr>
            <w:tcW w:w="1843" w:type="dxa"/>
            <w:tcBorders>
              <w:top w:val="single" w:sz="4" w:space="0" w:color="000000"/>
              <w:bottom w:val="single" w:sz="4" w:space="0" w:color="000000"/>
            </w:tcBorders>
          </w:tcPr>
          <w:p w14:paraId="5404E93D" w14:textId="77777777" w:rsidR="00D62309" w:rsidRDefault="00D62309" w:rsidP="00CA262D">
            <w:pPr>
              <w:pStyle w:val="TableParagraph"/>
              <w:spacing w:line="275" w:lineRule="exact"/>
              <w:ind w:left="127"/>
              <w:rPr>
                <w:b/>
                <w:sz w:val="24"/>
              </w:rPr>
            </w:pPr>
            <w:r>
              <w:rPr>
                <w:b/>
                <w:spacing w:val="-2"/>
                <w:sz w:val="24"/>
              </w:rPr>
              <w:t>MSI-</w:t>
            </w:r>
            <w:r>
              <w:rPr>
                <w:b/>
                <w:spacing w:val="-10"/>
                <w:sz w:val="24"/>
              </w:rPr>
              <w:t>H</w:t>
            </w:r>
          </w:p>
        </w:tc>
        <w:tc>
          <w:tcPr>
            <w:tcW w:w="1050" w:type="dxa"/>
            <w:tcBorders>
              <w:top w:val="single" w:sz="4" w:space="0" w:color="000000"/>
              <w:bottom w:val="single" w:sz="4" w:space="0" w:color="000000"/>
            </w:tcBorders>
          </w:tcPr>
          <w:p w14:paraId="5B74BE46" w14:textId="77777777" w:rsidR="00D62309" w:rsidRDefault="00D62309" w:rsidP="00CA262D">
            <w:pPr>
              <w:pStyle w:val="TableParagraph"/>
            </w:pPr>
          </w:p>
        </w:tc>
      </w:tr>
      <w:tr w:rsidR="00D62309" w14:paraId="2B06E5B5" w14:textId="77777777" w:rsidTr="00CA262D">
        <w:trPr>
          <w:trHeight w:val="830"/>
        </w:trPr>
        <w:tc>
          <w:tcPr>
            <w:tcW w:w="2508" w:type="dxa"/>
            <w:tcBorders>
              <w:top w:val="single" w:sz="4" w:space="0" w:color="000000"/>
              <w:bottom w:val="single" w:sz="4" w:space="0" w:color="000000"/>
            </w:tcBorders>
          </w:tcPr>
          <w:p w14:paraId="29DE1814" w14:textId="77777777" w:rsidR="00D62309" w:rsidRDefault="00D62309" w:rsidP="00CA262D">
            <w:pPr>
              <w:pStyle w:val="TableParagraph"/>
              <w:spacing w:line="271" w:lineRule="exact"/>
              <w:ind w:left="41" w:right="3"/>
              <w:jc w:val="center"/>
              <w:rPr>
                <w:b/>
                <w:sz w:val="24"/>
              </w:rPr>
            </w:pPr>
            <w:r>
              <w:rPr>
                <w:b/>
                <w:sz w:val="24"/>
              </w:rPr>
              <w:t>Pathological</w:t>
            </w:r>
            <w:r>
              <w:rPr>
                <w:b/>
                <w:spacing w:val="-5"/>
                <w:sz w:val="24"/>
              </w:rPr>
              <w:t xml:space="preserve"> </w:t>
            </w:r>
            <w:r>
              <w:rPr>
                <w:b/>
                <w:sz w:val="24"/>
              </w:rPr>
              <w:t>T</w:t>
            </w:r>
            <w:r>
              <w:rPr>
                <w:b/>
                <w:spacing w:val="-2"/>
                <w:sz w:val="24"/>
              </w:rPr>
              <w:t xml:space="preserve"> </w:t>
            </w:r>
            <w:r>
              <w:rPr>
                <w:b/>
                <w:spacing w:val="-4"/>
                <w:sz w:val="24"/>
              </w:rPr>
              <w:t>(</w:t>
            </w:r>
            <w:proofErr w:type="spellStart"/>
            <w:r>
              <w:rPr>
                <w:b/>
                <w:spacing w:val="-4"/>
                <w:sz w:val="24"/>
              </w:rPr>
              <w:t>pT</w:t>
            </w:r>
            <w:proofErr w:type="spellEnd"/>
            <w:r>
              <w:rPr>
                <w:b/>
                <w:spacing w:val="-4"/>
                <w:sz w:val="24"/>
              </w:rPr>
              <w:t>)</w:t>
            </w:r>
          </w:p>
        </w:tc>
        <w:tc>
          <w:tcPr>
            <w:tcW w:w="984" w:type="dxa"/>
            <w:tcBorders>
              <w:top w:val="single" w:sz="4" w:space="0" w:color="000000"/>
              <w:bottom w:val="single" w:sz="4" w:space="0" w:color="000000"/>
            </w:tcBorders>
          </w:tcPr>
          <w:p w14:paraId="484E7468" w14:textId="77777777" w:rsidR="00D62309" w:rsidRDefault="00D62309" w:rsidP="00CA262D">
            <w:pPr>
              <w:pStyle w:val="TableParagraph"/>
              <w:spacing w:line="271" w:lineRule="exact"/>
              <w:ind w:left="82" w:right="7"/>
              <w:jc w:val="center"/>
              <w:rPr>
                <w:b/>
                <w:sz w:val="24"/>
              </w:rPr>
            </w:pPr>
            <w:r>
              <w:rPr>
                <w:b/>
                <w:spacing w:val="-2"/>
                <w:sz w:val="24"/>
              </w:rPr>
              <w:t>Cases</w:t>
            </w:r>
          </w:p>
        </w:tc>
        <w:tc>
          <w:tcPr>
            <w:tcW w:w="1915" w:type="dxa"/>
            <w:tcBorders>
              <w:top w:val="single" w:sz="4" w:space="0" w:color="000000"/>
              <w:bottom w:val="single" w:sz="4" w:space="0" w:color="000000"/>
            </w:tcBorders>
          </w:tcPr>
          <w:p w14:paraId="04D49C04" w14:textId="77777777" w:rsidR="00D62309" w:rsidRDefault="00D62309" w:rsidP="00CA262D">
            <w:pPr>
              <w:pStyle w:val="TableParagraph"/>
              <w:spacing w:line="271" w:lineRule="exact"/>
              <w:ind w:left="161"/>
              <w:rPr>
                <w:b/>
                <w:sz w:val="24"/>
              </w:rPr>
            </w:pPr>
            <w:proofErr w:type="gramStart"/>
            <w:r>
              <w:rPr>
                <w:b/>
                <w:spacing w:val="-2"/>
                <w:sz w:val="24"/>
              </w:rPr>
              <w:t>Percentages(</w:t>
            </w:r>
            <w:proofErr w:type="gramEnd"/>
            <w:r>
              <w:rPr>
                <w:b/>
                <w:spacing w:val="-2"/>
                <w:sz w:val="24"/>
              </w:rPr>
              <w:t>%)</w:t>
            </w:r>
          </w:p>
        </w:tc>
        <w:tc>
          <w:tcPr>
            <w:tcW w:w="848" w:type="dxa"/>
            <w:tcBorders>
              <w:top w:val="single" w:sz="4" w:space="0" w:color="000000"/>
              <w:bottom w:val="single" w:sz="4" w:space="0" w:color="000000"/>
            </w:tcBorders>
          </w:tcPr>
          <w:p w14:paraId="6B71FDF2" w14:textId="77777777" w:rsidR="00D62309" w:rsidRDefault="00D62309" w:rsidP="00CA262D">
            <w:pPr>
              <w:pStyle w:val="TableParagraph"/>
              <w:spacing w:line="271" w:lineRule="exact"/>
              <w:ind w:left="14" w:right="7"/>
              <w:jc w:val="center"/>
              <w:rPr>
                <w:b/>
                <w:sz w:val="24"/>
              </w:rPr>
            </w:pPr>
            <w:r>
              <w:rPr>
                <w:b/>
                <w:spacing w:val="-2"/>
                <w:sz w:val="24"/>
              </w:rPr>
              <w:t>Cases</w:t>
            </w:r>
          </w:p>
        </w:tc>
        <w:tc>
          <w:tcPr>
            <w:tcW w:w="1843" w:type="dxa"/>
            <w:tcBorders>
              <w:top w:val="single" w:sz="4" w:space="0" w:color="000000"/>
              <w:bottom w:val="single" w:sz="4" w:space="0" w:color="000000"/>
            </w:tcBorders>
          </w:tcPr>
          <w:p w14:paraId="0F282B79" w14:textId="77777777" w:rsidR="00D62309" w:rsidRDefault="00D62309" w:rsidP="00CA262D">
            <w:pPr>
              <w:pStyle w:val="TableParagraph"/>
              <w:spacing w:line="271" w:lineRule="exact"/>
              <w:ind w:left="127"/>
              <w:rPr>
                <w:b/>
                <w:sz w:val="24"/>
              </w:rPr>
            </w:pPr>
            <w:proofErr w:type="gramStart"/>
            <w:r>
              <w:rPr>
                <w:b/>
                <w:spacing w:val="-2"/>
                <w:sz w:val="24"/>
              </w:rPr>
              <w:t>Percentages(</w:t>
            </w:r>
            <w:proofErr w:type="gramEnd"/>
            <w:r>
              <w:rPr>
                <w:b/>
                <w:spacing w:val="-2"/>
                <w:sz w:val="24"/>
              </w:rPr>
              <w:t>%)</w:t>
            </w:r>
          </w:p>
        </w:tc>
        <w:tc>
          <w:tcPr>
            <w:tcW w:w="1050" w:type="dxa"/>
            <w:tcBorders>
              <w:top w:val="single" w:sz="4" w:space="0" w:color="000000"/>
              <w:bottom w:val="single" w:sz="4" w:space="0" w:color="000000"/>
            </w:tcBorders>
          </w:tcPr>
          <w:p w14:paraId="13186C7E" w14:textId="77777777" w:rsidR="00D62309" w:rsidRDefault="00D62309" w:rsidP="00CA262D">
            <w:pPr>
              <w:pStyle w:val="TableParagraph"/>
              <w:spacing w:line="271" w:lineRule="exact"/>
              <w:ind w:left="6" w:right="22"/>
              <w:jc w:val="center"/>
              <w:rPr>
                <w:b/>
                <w:sz w:val="24"/>
              </w:rPr>
            </w:pPr>
            <w:r>
              <w:rPr>
                <w:b/>
                <w:i/>
                <w:sz w:val="24"/>
              </w:rPr>
              <w:t xml:space="preserve">p </w:t>
            </w:r>
            <w:r>
              <w:rPr>
                <w:b/>
                <w:spacing w:val="-2"/>
                <w:sz w:val="24"/>
              </w:rPr>
              <w:t>value</w:t>
            </w:r>
          </w:p>
        </w:tc>
      </w:tr>
      <w:tr w:rsidR="00D62309" w14:paraId="67C97FA9" w14:textId="77777777" w:rsidTr="00CA262D">
        <w:trPr>
          <w:trHeight w:val="416"/>
        </w:trPr>
        <w:tc>
          <w:tcPr>
            <w:tcW w:w="2508" w:type="dxa"/>
            <w:tcBorders>
              <w:top w:val="single" w:sz="4" w:space="0" w:color="000000"/>
            </w:tcBorders>
          </w:tcPr>
          <w:p w14:paraId="42A7129E" w14:textId="77777777" w:rsidR="00D62309" w:rsidRDefault="00D62309" w:rsidP="00CA262D">
            <w:pPr>
              <w:pStyle w:val="TableParagraph"/>
              <w:spacing w:line="271" w:lineRule="exact"/>
              <w:ind w:left="41"/>
              <w:jc w:val="center"/>
              <w:rPr>
                <w:sz w:val="24"/>
              </w:rPr>
            </w:pPr>
            <w:r>
              <w:rPr>
                <w:spacing w:val="-5"/>
                <w:sz w:val="24"/>
              </w:rPr>
              <w:t>pT1</w:t>
            </w:r>
          </w:p>
        </w:tc>
        <w:tc>
          <w:tcPr>
            <w:tcW w:w="984" w:type="dxa"/>
            <w:tcBorders>
              <w:top w:val="single" w:sz="4" w:space="0" w:color="000000"/>
            </w:tcBorders>
          </w:tcPr>
          <w:p w14:paraId="1E820447" w14:textId="77777777" w:rsidR="00D62309" w:rsidRDefault="00D62309" w:rsidP="00CA262D">
            <w:pPr>
              <w:pStyle w:val="TableParagraph"/>
              <w:spacing w:line="271" w:lineRule="exact"/>
              <w:ind w:left="82"/>
              <w:jc w:val="center"/>
              <w:rPr>
                <w:sz w:val="24"/>
              </w:rPr>
            </w:pPr>
            <w:r>
              <w:rPr>
                <w:spacing w:val="-10"/>
                <w:sz w:val="24"/>
              </w:rPr>
              <w:t>0</w:t>
            </w:r>
          </w:p>
        </w:tc>
        <w:tc>
          <w:tcPr>
            <w:tcW w:w="1915" w:type="dxa"/>
            <w:tcBorders>
              <w:top w:val="single" w:sz="4" w:space="0" w:color="000000"/>
            </w:tcBorders>
          </w:tcPr>
          <w:p w14:paraId="7CEAD934" w14:textId="77777777" w:rsidR="00D62309" w:rsidRDefault="00D62309" w:rsidP="00CA262D">
            <w:pPr>
              <w:pStyle w:val="TableParagraph"/>
              <w:spacing w:line="271" w:lineRule="exact"/>
              <w:ind w:left="36"/>
              <w:jc w:val="center"/>
              <w:rPr>
                <w:sz w:val="24"/>
              </w:rPr>
            </w:pPr>
            <w:r>
              <w:rPr>
                <w:spacing w:val="-4"/>
                <w:sz w:val="24"/>
              </w:rPr>
              <w:t>0.00</w:t>
            </w:r>
          </w:p>
        </w:tc>
        <w:tc>
          <w:tcPr>
            <w:tcW w:w="848" w:type="dxa"/>
            <w:tcBorders>
              <w:top w:val="single" w:sz="4" w:space="0" w:color="000000"/>
            </w:tcBorders>
          </w:tcPr>
          <w:p w14:paraId="589B8FAF" w14:textId="77777777" w:rsidR="00D62309" w:rsidRDefault="00D62309" w:rsidP="00CA262D">
            <w:pPr>
              <w:pStyle w:val="TableParagraph"/>
              <w:spacing w:line="271" w:lineRule="exact"/>
              <w:ind w:left="14"/>
              <w:jc w:val="center"/>
              <w:rPr>
                <w:sz w:val="24"/>
              </w:rPr>
            </w:pPr>
            <w:r>
              <w:rPr>
                <w:spacing w:val="-10"/>
                <w:sz w:val="24"/>
              </w:rPr>
              <w:t>2</w:t>
            </w:r>
          </w:p>
        </w:tc>
        <w:tc>
          <w:tcPr>
            <w:tcW w:w="1843" w:type="dxa"/>
            <w:tcBorders>
              <w:top w:val="single" w:sz="4" w:space="0" w:color="000000"/>
            </w:tcBorders>
          </w:tcPr>
          <w:p w14:paraId="62E406B6" w14:textId="77777777" w:rsidR="00D62309" w:rsidRDefault="00D62309" w:rsidP="00CA262D">
            <w:pPr>
              <w:pStyle w:val="TableParagraph"/>
              <w:spacing w:line="271" w:lineRule="exact"/>
              <w:ind w:left="16" w:right="4"/>
              <w:jc w:val="center"/>
              <w:rPr>
                <w:sz w:val="24"/>
              </w:rPr>
            </w:pPr>
            <w:r>
              <w:rPr>
                <w:spacing w:val="-5"/>
                <w:sz w:val="24"/>
              </w:rPr>
              <w:t>100</w:t>
            </w:r>
          </w:p>
        </w:tc>
        <w:tc>
          <w:tcPr>
            <w:tcW w:w="1050" w:type="dxa"/>
            <w:tcBorders>
              <w:top w:val="single" w:sz="4" w:space="0" w:color="000000"/>
            </w:tcBorders>
          </w:tcPr>
          <w:p w14:paraId="60E261A9" w14:textId="77777777" w:rsidR="00D62309" w:rsidRDefault="00D62309" w:rsidP="00CA262D">
            <w:pPr>
              <w:pStyle w:val="TableParagraph"/>
            </w:pPr>
          </w:p>
        </w:tc>
      </w:tr>
      <w:tr w:rsidR="00D62309" w14:paraId="1AC19856" w14:textId="77777777" w:rsidTr="00CA262D">
        <w:trPr>
          <w:trHeight w:val="558"/>
        </w:trPr>
        <w:tc>
          <w:tcPr>
            <w:tcW w:w="2508" w:type="dxa"/>
          </w:tcPr>
          <w:p w14:paraId="38336C7B" w14:textId="77777777" w:rsidR="00D62309" w:rsidRDefault="00D62309" w:rsidP="00CA262D">
            <w:pPr>
              <w:pStyle w:val="TableParagraph"/>
              <w:spacing w:before="135"/>
              <w:ind w:left="41"/>
              <w:jc w:val="center"/>
              <w:rPr>
                <w:sz w:val="24"/>
              </w:rPr>
            </w:pPr>
            <w:r>
              <w:rPr>
                <w:spacing w:val="-5"/>
                <w:sz w:val="24"/>
              </w:rPr>
              <w:t>pT2</w:t>
            </w:r>
          </w:p>
        </w:tc>
        <w:tc>
          <w:tcPr>
            <w:tcW w:w="984" w:type="dxa"/>
          </w:tcPr>
          <w:p w14:paraId="27D58EB7" w14:textId="77777777" w:rsidR="00D62309" w:rsidRDefault="00D62309" w:rsidP="00CA262D">
            <w:pPr>
              <w:pStyle w:val="TableParagraph"/>
              <w:spacing w:before="135"/>
              <w:ind w:left="82"/>
              <w:jc w:val="center"/>
              <w:rPr>
                <w:sz w:val="24"/>
              </w:rPr>
            </w:pPr>
            <w:r>
              <w:rPr>
                <w:spacing w:val="-10"/>
                <w:sz w:val="24"/>
              </w:rPr>
              <w:t>4</w:t>
            </w:r>
          </w:p>
        </w:tc>
        <w:tc>
          <w:tcPr>
            <w:tcW w:w="1915" w:type="dxa"/>
          </w:tcPr>
          <w:p w14:paraId="46D0C8C3" w14:textId="77777777" w:rsidR="00D62309" w:rsidRDefault="00D62309" w:rsidP="00CA262D">
            <w:pPr>
              <w:pStyle w:val="TableParagraph"/>
              <w:spacing w:before="135"/>
              <w:ind w:left="36"/>
              <w:jc w:val="center"/>
              <w:rPr>
                <w:sz w:val="24"/>
              </w:rPr>
            </w:pPr>
            <w:r>
              <w:rPr>
                <w:spacing w:val="-2"/>
                <w:sz w:val="24"/>
              </w:rPr>
              <w:t>57.10</w:t>
            </w:r>
          </w:p>
        </w:tc>
        <w:tc>
          <w:tcPr>
            <w:tcW w:w="848" w:type="dxa"/>
          </w:tcPr>
          <w:p w14:paraId="52B2C937" w14:textId="77777777" w:rsidR="00D62309" w:rsidRDefault="00D62309" w:rsidP="00CA262D">
            <w:pPr>
              <w:pStyle w:val="TableParagraph"/>
              <w:spacing w:before="135"/>
              <w:ind w:left="14"/>
              <w:jc w:val="center"/>
              <w:rPr>
                <w:sz w:val="24"/>
              </w:rPr>
            </w:pPr>
            <w:r>
              <w:rPr>
                <w:spacing w:val="-10"/>
                <w:sz w:val="24"/>
              </w:rPr>
              <w:t>3</w:t>
            </w:r>
          </w:p>
        </w:tc>
        <w:tc>
          <w:tcPr>
            <w:tcW w:w="1843" w:type="dxa"/>
          </w:tcPr>
          <w:p w14:paraId="2FDE1DCB" w14:textId="77777777" w:rsidR="00D62309" w:rsidRDefault="00D62309" w:rsidP="00CA262D">
            <w:pPr>
              <w:pStyle w:val="TableParagraph"/>
              <w:spacing w:before="135"/>
              <w:ind w:left="16"/>
              <w:jc w:val="center"/>
              <w:rPr>
                <w:sz w:val="24"/>
              </w:rPr>
            </w:pPr>
            <w:r>
              <w:rPr>
                <w:spacing w:val="-4"/>
                <w:sz w:val="24"/>
              </w:rPr>
              <w:t>42.9</w:t>
            </w:r>
          </w:p>
        </w:tc>
        <w:tc>
          <w:tcPr>
            <w:tcW w:w="1050" w:type="dxa"/>
          </w:tcPr>
          <w:p w14:paraId="7729D447" w14:textId="77777777" w:rsidR="00D62309" w:rsidRDefault="00D62309" w:rsidP="00CA262D">
            <w:pPr>
              <w:pStyle w:val="TableParagraph"/>
              <w:spacing w:before="139"/>
              <w:ind w:right="22"/>
              <w:jc w:val="center"/>
              <w:rPr>
                <w:b/>
                <w:sz w:val="24"/>
              </w:rPr>
            </w:pPr>
            <w:r>
              <w:rPr>
                <w:b/>
                <w:spacing w:val="-2"/>
                <w:sz w:val="24"/>
              </w:rPr>
              <w:t>.004(S)*</w:t>
            </w:r>
          </w:p>
        </w:tc>
      </w:tr>
      <w:tr w:rsidR="00D62309" w14:paraId="5387F9B4" w14:textId="77777777" w:rsidTr="00CA262D">
        <w:trPr>
          <w:trHeight w:val="554"/>
        </w:trPr>
        <w:tc>
          <w:tcPr>
            <w:tcW w:w="2508" w:type="dxa"/>
          </w:tcPr>
          <w:p w14:paraId="0FFDEE7E" w14:textId="77777777" w:rsidR="00D62309" w:rsidRDefault="00D62309" w:rsidP="00CA262D">
            <w:pPr>
              <w:pStyle w:val="TableParagraph"/>
              <w:spacing w:before="133"/>
              <w:ind w:left="41"/>
              <w:jc w:val="center"/>
              <w:rPr>
                <w:sz w:val="24"/>
              </w:rPr>
            </w:pPr>
            <w:r>
              <w:rPr>
                <w:spacing w:val="-5"/>
                <w:sz w:val="24"/>
              </w:rPr>
              <w:t>pT3</w:t>
            </w:r>
          </w:p>
        </w:tc>
        <w:tc>
          <w:tcPr>
            <w:tcW w:w="984" w:type="dxa"/>
          </w:tcPr>
          <w:p w14:paraId="1BB303AF" w14:textId="77777777" w:rsidR="00D62309" w:rsidRDefault="00D62309" w:rsidP="00CA262D">
            <w:pPr>
              <w:pStyle w:val="TableParagraph"/>
              <w:spacing w:before="133"/>
              <w:ind w:left="82"/>
              <w:jc w:val="center"/>
              <w:rPr>
                <w:sz w:val="24"/>
              </w:rPr>
            </w:pPr>
            <w:r>
              <w:rPr>
                <w:spacing w:val="-5"/>
                <w:sz w:val="24"/>
              </w:rPr>
              <w:t>16</w:t>
            </w:r>
          </w:p>
        </w:tc>
        <w:tc>
          <w:tcPr>
            <w:tcW w:w="1915" w:type="dxa"/>
          </w:tcPr>
          <w:p w14:paraId="3DA114FC" w14:textId="77777777" w:rsidR="00D62309" w:rsidRDefault="00D62309" w:rsidP="00CA262D">
            <w:pPr>
              <w:pStyle w:val="TableParagraph"/>
              <w:spacing w:before="133"/>
              <w:ind w:left="36"/>
              <w:jc w:val="center"/>
              <w:rPr>
                <w:sz w:val="24"/>
              </w:rPr>
            </w:pPr>
            <w:r>
              <w:rPr>
                <w:spacing w:val="-2"/>
                <w:sz w:val="24"/>
              </w:rPr>
              <w:t>94.12</w:t>
            </w:r>
          </w:p>
        </w:tc>
        <w:tc>
          <w:tcPr>
            <w:tcW w:w="848" w:type="dxa"/>
          </w:tcPr>
          <w:p w14:paraId="67AEDB2A" w14:textId="77777777" w:rsidR="00D62309" w:rsidRDefault="00D62309" w:rsidP="00CA262D">
            <w:pPr>
              <w:pStyle w:val="TableParagraph"/>
              <w:spacing w:before="133"/>
              <w:ind w:left="14"/>
              <w:jc w:val="center"/>
              <w:rPr>
                <w:sz w:val="24"/>
              </w:rPr>
            </w:pPr>
            <w:r>
              <w:rPr>
                <w:spacing w:val="-10"/>
                <w:sz w:val="24"/>
              </w:rPr>
              <w:t>1</w:t>
            </w:r>
          </w:p>
        </w:tc>
        <w:tc>
          <w:tcPr>
            <w:tcW w:w="1843" w:type="dxa"/>
          </w:tcPr>
          <w:p w14:paraId="3A1ACF5F" w14:textId="77777777" w:rsidR="00D62309" w:rsidRDefault="00D62309" w:rsidP="00CA262D">
            <w:pPr>
              <w:pStyle w:val="TableParagraph"/>
              <w:spacing w:before="133"/>
              <w:ind w:left="16"/>
              <w:jc w:val="center"/>
              <w:rPr>
                <w:sz w:val="24"/>
              </w:rPr>
            </w:pPr>
            <w:r>
              <w:rPr>
                <w:spacing w:val="-4"/>
                <w:sz w:val="24"/>
              </w:rPr>
              <w:t>5.88</w:t>
            </w:r>
          </w:p>
        </w:tc>
        <w:tc>
          <w:tcPr>
            <w:tcW w:w="1050" w:type="dxa"/>
          </w:tcPr>
          <w:p w14:paraId="319245AE" w14:textId="77777777" w:rsidR="00D62309" w:rsidRDefault="00D62309" w:rsidP="00CA262D">
            <w:pPr>
              <w:pStyle w:val="TableParagraph"/>
            </w:pPr>
          </w:p>
        </w:tc>
      </w:tr>
      <w:tr w:rsidR="00D62309" w14:paraId="33B743D3" w14:textId="77777777" w:rsidTr="00CA262D">
        <w:trPr>
          <w:trHeight w:val="554"/>
        </w:trPr>
        <w:tc>
          <w:tcPr>
            <w:tcW w:w="2508" w:type="dxa"/>
          </w:tcPr>
          <w:p w14:paraId="228351E6" w14:textId="77777777" w:rsidR="00D62309" w:rsidRDefault="00D62309" w:rsidP="00CA262D">
            <w:pPr>
              <w:pStyle w:val="TableParagraph"/>
              <w:spacing w:before="135"/>
              <w:ind w:left="41"/>
              <w:jc w:val="center"/>
              <w:rPr>
                <w:sz w:val="24"/>
              </w:rPr>
            </w:pPr>
            <w:r>
              <w:rPr>
                <w:spacing w:val="-5"/>
                <w:sz w:val="24"/>
              </w:rPr>
              <w:t>pT4</w:t>
            </w:r>
          </w:p>
        </w:tc>
        <w:tc>
          <w:tcPr>
            <w:tcW w:w="984" w:type="dxa"/>
          </w:tcPr>
          <w:p w14:paraId="22E9A06D" w14:textId="77777777" w:rsidR="00D62309" w:rsidRDefault="00D62309" w:rsidP="00CA262D">
            <w:pPr>
              <w:pStyle w:val="TableParagraph"/>
              <w:spacing w:before="135"/>
              <w:ind w:left="82"/>
              <w:jc w:val="center"/>
              <w:rPr>
                <w:sz w:val="24"/>
              </w:rPr>
            </w:pPr>
            <w:r>
              <w:rPr>
                <w:spacing w:val="-10"/>
                <w:sz w:val="24"/>
              </w:rPr>
              <w:t>7</w:t>
            </w:r>
          </w:p>
        </w:tc>
        <w:tc>
          <w:tcPr>
            <w:tcW w:w="1915" w:type="dxa"/>
          </w:tcPr>
          <w:p w14:paraId="77BC2E17" w14:textId="77777777" w:rsidR="00D62309" w:rsidRDefault="00D62309" w:rsidP="00CA262D">
            <w:pPr>
              <w:pStyle w:val="TableParagraph"/>
              <w:spacing w:before="135"/>
              <w:ind w:left="36"/>
              <w:jc w:val="center"/>
              <w:rPr>
                <w:sz w:val="24"/>
              </w:rPr>
            </w:pPr>
            <w:r>
              <w:rPr>
                <w:spacing w:val="-2"/>
                <w:sz w:val="24"/>
              </w:rPr>
              <w:t>100.0</w:t>
            </w:r>
          </w:p>
        </w:tc>
        <w:tc>
          <w:tcPr>
            <w:tcW w:w="848" w:type="dxa"/>
          </w:tcPr>
          <w:p w14:paraId="094126EA" w14:textId="77777777" w:rsidR="00D62309" w:rsidRDefault="00D62309" w:rsidP="00CA262D">
            <w:pPr>
              <w:pStyle w:val="TableParagraph"/>
              <w:spacing w:before="135"/>
              <w:ind w:left="14"/>
              <w:jc w:val="center"/>
              <w:rPr>
                <w:sz w:val="24"/>
              </w:rPr>
            </w:pPr>
            <w:r>
              <w:rPr>
                <w:spacing w:val="-10"/>
                <w:sz w:val="24"/>
              </w:rPr>
              <w:t>0</w:t>
            </w:r>
          </w:p>
        </w:tc>
        <w:tc>
          <w:tcPr>
            <w:tcW w:w="1843" w:type="dxa"/>
          </w:tcPr>
          <w:p w14:paraId="237E8A8B" w14:textId="77777777" w:rsidR="00D62309" w:rsidRDefault="00D62309" w:rsidP="00CA262D">
            <w:pPr>
              <w:pStyle w:val="TableParagraph"/>
              <w:spacing w:before="135"/>
              <w:ind w:left="16"/>
              <w:jc w:val="center"/>
              <w:rPr>
                <w:sz w:val="24"/>
              </w:rPr>
            </w:pPr>
            <w:r>
              <w:rPr>
                <w:spacing w:val="-4"/>
                <w:sz w:val="24"/>
              </w:rPr>
              <w:t>0.00</w:t>
            </w:r>
          </w:p>
        </w:tc>
        <w:tc>
          <w:tcPr>
            <w:tcW w:w="1050" w:type="dxa"/>
          </w:tcPr>
          <w:p w14:paraId="4895BE6D" w14:textId="77777777" w:rsidR="00D62309" w:rsidRDefault="00D62309" w:rsidP="00CA262D">
            <w:pPr>
              <w:pStyle w:val="TableParagraph"/>
            </w:pPr>
          </w:p>
        </w:tc>
      </w:tr>
      <w:tr w:rsidR="00D62309" w14:paraId="76809CD1" w14:textId="77777777" w:rsidTr="00CA262D">
        <w:trPr>
          <w:trHeight w:val="726"/>
        </w:trPr>
        <w:tc>
          <w:tcPr>
            <w:tcW w:w="9148" w:type="dxa"/>
            <w:gridSpan w:val="6"/>
          </w:tcPr>
          <w:p w14:paraId="18B1C288" w14:textId="77777777" w:rsidR="00D62309" w:rsidRDefault="00D62309" w:rsidP="00CA262D">
            <w:pPr>
              <w:pStyle w:val="TableParagraph"/>
              <w:spacing w:before="133"/>
              <w:ind w:left="107"/>
              <w:rPr>
                <w:b/>
                <w:sz w:val="24"/>
              </w:rPr>
            </w:pPr>
            <w:r>
              <w:rPr>
                <w:b/>
                <w:sz w:val="24"/>
              </w:rPr>
              <w:t>Pathological</w:t>
            </w:r>
            <w:r>
              <w:rPr>
                <w:b/>
                <w:spacing w:val="-5"/>
                <w:sz w:val="24"/>
              </w:rPr>
              <w:t xml:space="preserve"> </w:t>
            </w:r>
            <w:r>
              <w:rPr>
                <w:b/>
                <w:sz w:val="24"/>
              </w:rPr>
              <w:t>Nodal</w:t>
            </w:r>
            <w:r>
              <w:rPr>
                <w:b/>
                <w:spacing w:val="-5"/>
                <w:sz w:val="24"/>
              </w:rPr>
              <w:t xml:space="preserve"> </w:t>
            </w:r>
            <w:r>
              <w:rPr>
                <w:b/>
                <w:sz w:val="24"/>
              </w:rPr>
              <w:t>status</w:t>
            </w:r>
            <w:r>
              <w:rPr>
                <w:b/>
                <w:spacing w:val="-6"/>
                <w:sz w:val="24"/>
              </w:rPr>
              <w:t xml:space="preserve"> </w:t>
            </w:r>
            <w:r>
              <w:rPr>
                <w:b/>
                <w:spacing w:val="-4"/>
                <w:sz w:val="24"/>
              </w:rPr>
              <w:t>(</w:t>
            </w:r>
            <w:proofErr w:type="spellStart"/>
            <w:r>
              <w:rPr>
                <w:b/>
                <w:spacing w:val="-4"/>
                <w:sz w:val="24"/>
              </w:rPr>
              <w:t>pN</w:t>
            </w:r>
            <w:proofErr w:type="spellEnd"/>
            <w:r>
              <w:rPr>
                <w:b/>
                <w:spacing w:val="-4"/>
                <w:sz w:val="24"/>
              </w:rPr>
              <w:t>)</w:t>
            </w:r>
          </w:p>
        </w:tc>
      </w:tr>
      <w:tr w:rsidR="00D62309" w14:paraId="5EC2BC6F" w14:textId="77777777" w:rsidTr="00CA262D">
        <w:trPr>
          <w:trHeight w:val="822"/>
        </w:trPr>
        <w:tc>
          <w:tcPr>
            <w:tcW w:w="2508" w:type="dxa"/>
          </w:tcPr>
          <w:p w14:paraId="3F0CEDB8" w14:textId="77777777" w:rsidR="00D62309" w:rsidRDefault="00D62309" w:rsidP="00D62309">
            <w:pPr>
              <w:pStyle w:val="TableParagraph"/>
              <w:rPr>
                <w:b/>
                <w:sz w:val="24"/>
              </w:rPr>
            </w:pPr>
          </w:p>
          <w:p w14:paraId="6E0885FB" w14:textId="77777777" w:rsidR="00D62309" w:rsidRDefault="00D62309" w:rsidP="00D62309">
            <w:pPr>
              <w:pStyle w:val="TableParagraph"/>
              <w:ind w:left="41"/>
              <w:jc w:val="center"/>
              <w:rPr>
                <w:sz w:val="24"/>
              </w:rPr>
            </w:pPr>
            <w:r>
              <w:rPr>
                <w:spacing w:val="-5"/>
                <w:sz w:val="24"/>
              </w:rPr>
              <w:t>pN0</w:t>
            </w:r>
          </w:p>
        </w:tc>
        <w:tc>
          <w:tcPr>
            <w:tcW w:w="984" w:type="dxa"/>
          </w:tcPr>
          <w:p w14:paraId="5808DBBA" w14:textId="77777777" w:rsidR="00D62309" w:rsidRDefault="00D62309" w:rsidP="00D62309">
            <w:pPr>
              <w:pStyle w:val="TableParagraph"/>
              <w:rPr>
                <w:b/>
                <w:sz w:val="24"/>
              </w:rPr>
            </w:pPr>
          </w:p>
          <w:p w14:paraId="66E25DFD" w14:textId="77777777" w:rsidR="00D62309" w:rsidRDefault="00D62309" w:rsidP="00D62309">
            <w:pPr>
              <w:pStyle w:val="TableParagraph"/>
              <w:ind w:left="82"/>
              <w:jc w:val="center"/>
              <w:rPr>
                <w:sz w:val="24"/>
              </w:rPr>
            </w:pPr>
            <w:r>
              <w:rPr>
                <w:spacing w:val="-10"/>
                <w:sz w:val="24"/>
              </w:rPr>
              <w:t>7</w:t>
            </w:r>
          </w:p>
        </w:tc>
        <w:tc>
          <w:tcPr>
            <w:tcW w:w="1915" w:type="dxa"/>
          </w:tcPr>
          <w:p w14:paraId="153C9093" w14:textId="77777777" w:rsidR="00D62309" w:rsidRDefault="00D62309" w:rsidP="00D62309">
            <w:pPr>
              <w:pStyle w:val="TableParagraph"/>
              <w:rPr>
                <w:b/>
                <w:sz w:val="24"/>
              </w:rPr>
            </w:pPr>
          </w:p>
          <w:p w14:paraId="4F830CD3" w14:textId="77777777" w:rsidR="00D62309" w:rsidRDefault="00D62309" w:rsidP="00D62309">
            <w:pPr>
              <w:pStyle w:val="TableParagraph"/>
              <w:ind w:left="36"/>
              <w:jc w:val="center"/>
              <w:rPr>
                <w:sz w:val="24"/>
              </w:rPr>
            </w:pPr>
            <w:r>
              <w:rPr>
                <w:spacing w:val="-2"/>
                <w:sz w:val="24"/>
              </w:rPr>
              <w:t>53.80</w:t>
            </w:r>
          </w:p>
        </w:tc>
        <w:tc>
          <w:tcPr>
            <w:tcW w:w="848" w:type="dxa"/>
          </w:tcPr>
          <w:p w14:paraId="718FE80C" w14:textId="77777777" w:rsidR="00D62309" w:rsidRDefault="00D62309" w:rsidP="00D62309">
            <w:pPr>
              <w:pStyle w:val="TableParagraph"/>
              <w:rPr>
                <w:b/>
                <w:sz w:val="24"/>
              </w:rPr>
            </w:pPr>
          </w:p>
          <w:p w14:paraId="38C5F5B1" w14:textId="77777777" w:rsidR="00D62309" w:rsidRDefault="00D62309" w:rsidP="00D62309">
            <w:pPr>
              <w:pStyle w:val="TableParagraph"/>
              <w:ind w:left="14"/>
              <w:jc w:val="center"/>
              <w:rPr>
                <w:sz w:val="24"/>
              </w:rPr>
            </w:pPr>
            <w:r>
              <w:rPr>
                <w:spacing w:val="-10"/>
                <w:sz w:val="24"/>
              </w:rPr>
              <w:t>6</w:t>
            </w:r>
          </w:p>
        </w:tc>
        <w:tc>
          <w:tcPr>
            <w:tcW w:w="1843" w:type="dxa"/>
          </w:tcPr>
          <w:p w14:paraId="1D6F5F58" w14:textId="77777777" w:rsidR="00D62309" w:rsidRDefault="00D62309" w:rsidP="00D62309">
            <w:pPr>
              <w:pStyle w:val="TableParagraph"/>
              <w:rPr>
                <w:b/>
                <w:sz w:val="24"/>
              </w:rPr>
            </w:pPr>
          </w:p>
          <w:p w14:paraId="54A976DA" w14:textId="77777777" w:rsidR="00D62309" w:rsidRDefault="00D62309" w:rsidP="00D62309">
            <w:pPr>
              <w:pStyle w:val="TableParagraph"/>
              <w:ind w:left="16"/>
              <w:jc w:val="center"/>
              <w:rPr>
                <w:sz w:val="24"/>
              </w:rPr>
            </w:pPr>
            <w:r>
              <w:rPr>
                <w:spacing w:val="-2"/>
                <w:sz w:val="24"/>
              </w:rPr>
              <w:t>46.20</w:t>
            </w:r>
          </w:p>
        </w:tc>
        <w:tc>
          <w:tcPr>
            <w:tcW w:w="1050" w:type="dxa"/>
          </w:tcPr>
          <w:p w14:paraId="044178C4" w14:textId="77777777" w:rsidR="00D62309" w:rsidRDefault="00D62309" w:rsidP="00D62309">
            <w:pPr>
              <w:pStyle w:val="TableParagraph"/>
            </w:pPr>
          </w:p>
        </w:tc>
      </w:tr>
      <w:tr w:rsidR="00D62309" w14:paraId="725B8510" w14:textId="77777777" w:rsidTr="00CA262D">
        <w:trPr>
          <w:trHeight w:val="595"/>
        </w:trPr>
        <w:tc>
          <w:tcPr>
            <w:tcW w:w="2508" w:type="dxa"/>
          </w:tcPr>
          <w:p w14:paraId="6FC3E83B" w14:textId="77777777" w:rsidR="00D62309" w:rsidRDefault="00D62309" w:rsidP="00D62309">
            <w:pPr>
              <w:pStyle w:val="TableParagraph"/>
              <w:ind w:left="41"/>
              <w:jc w:val="center"/>
              <w:rPr>
                <w:sz w:val="24"/>
              </w:rPr>
            </w:pPr>
            <w:r>
              <w:rPr>
                <w:spacing w:val="-5"/>
                <w:sz w:val="24"/>
              </w:rPr>
              <w:t>pN1</w:t>
            </w:r>
          </w:p>
        </w:tc>
        <w:tc>
          <w:tcPr>
            <w:tcW w:w="984" w:type="dxa"/>
          </w:tcPr>
          <w:p w14:paraId="49B10D94" w14:textId="77777777" w:rsidR="00D62309" w:rsidRDefault="00D62309" w:rsidP="00D62309">
            <w:pPr>
              <w:pStyle w:val="TableParagraph"/>
              <w:ind w:left="82"/>
              <w:jc w:val="center"/>
              <w:rPr>
                <w:sz w:val="24"/>
              </w:rPr>
            </w:pPr>
            <w:r>
              <w:rPr>
                <w:spacing w:val="-5"/>
                <w:sz w:val="24"/>
              </w:rPr>
              <w:t>12</w:t>
            </w:r>
          </w:p>
        </w:tc>
        <w:tc>
          <w:tcPr>
            <w:tcW w:w="1915" w:type="dxa"/>
          </w:tcPr>
          <w:p w14:paraId="2862C135" w14:textId="77777777" w:rsidR="00D62309" w:rsidRDefault="00D62309" w:rsidP="00D62309">
            <w:pPr>
              <w:pStyle w:val="TableParagraph"/>
              <w:ind w:left="36"/>
              <w:jc w:val="center"/>
              <w:rPr>
                <w:sz w:val="24"/>
              </w:rPr>
            </w:pPr>
            <w:r>
              <w:rPr>
                <w:spacing w:val="-2"/>
                <w:sz w:val="24"/>
              </w:rPr>
              <w:t>100.0</w:t>
            </w:r>
          </w:p>
        </w:tc>
        <w:tc>
          <w:tcPr>
            <w:tcW w:w="848" w:type="dxa"/>
          </w:tcPr>
          <w:p w14:paraId="6F9ACAF1" w14:textId="77777777" w:rsidR="00D62309" w:rsidRDefault="00D62309" w:rsidP="00D62309">
            <w:pPr>
              <w:pStyle w:val="TableParagraph"/>
              <w:ind w:left="14"/>
              <w:jc w:val="center"/>
              <w:rPr>
                <w:sz w:val="24"/>
              </w:rPr>
            </w:pPr>
            <w:r>
              <w:rPr>
                <w:spacing w:val="-10"/>
                <w:sz w:val="24"/>
              </w:rPr>
              <w:t>0</w:t>
            </w:r>
          </w:p>
        </w:tc>
        <w:tc>
          <w:tcPr>
            <w:tcW w:w="1843" w:type="dxa"/>
          </w:tcPr>
          <w:p w14:paraId="206884B3" w14:textId="77777777" w:rsidR="00D62309" w:rsidRDefault="00D62309" w:rsidP="00D62309">
            <w:pPr>
              <w:pStyle w:val="TableParagraph"/>
              <w:ind w:left="16"/>
              <w:jc w:val="center"/>
              <w:rPr>
                <w:sz w:val="24"/>
              </w:rPr>
            </w:pPr>
            <w:r>
              <w:rPr>
                <w:spacing w:val="-5"/>
                <w:sz w:val="24"/>
              </w:rPr>
              <w:t>0.0</w:t>
            </w:r>
          </w:p>
        </w:tc>
        <w:tc>
          <w:tcPr>
            <w:tcW w:w="1050" w:type="dxa"/>
          </w:tcPr>
          <w:p w14:paraId="64B79853" w14:textId="77777777" w:rsidR="00D62309" w:rsidRDefault="00D62309" w:rsidP="00D62309">
            <w:pPr>
              <w:pStyle w:val="TableParagraph"/>
            </w:pPr>
          </w:p>
        </w:tc>
      </w:tr>
      <w:tr w:rsidR="00D62309" w14:paraId="73782DFE" w14:textId="77777777" w:rsidTr="00CA262D">
        <w:trPr>
          <w:trHeight w:val="383"/>
        </w:trPr>
        <w:tc>
          <w:tcPr>
            <w:tcW w:w="2508" w:type="dxa"/>
          </w:tcPr>
          <w:p w14:paraId="3C0C99A5" w14:textId="77777777" w:rsidR="00D62309" w:rsidRDefault="00D62309" w:rsidP="00D62309">
            <w:pPr>
              <w:pStyle w:val="TableParagraph"/>
            </w:pPr>
          </w:p>
        </w:tc>
        <w:tc>
          <w:tcPr>
            <w:tcW w:w="984" w:type="dxa"/>
          </w:tcPr>
          <w:p w14:paraId="4A6F18E5" w14:textId="77777777" w:rsidR="00D62309" w:rsidRDefault="00D62309" w:rsidP="00D62309">
            <w:pPr>
              <w:pStyle w:val="TableParagraph"/>
            </w:pPr>
          </w:p>
        </w:tc>
        <w:tc>
          <w:tcPr>
            <w:tcW w:w="1915" w:type="dxa"/>
          </w:tcPr>
          <w:p w14:paraId="231AEDBF" w14:textId="77777777" w:rsidR="00D62309" w:rsidRDefault="00D62309" w:rsidP="00D62309">
            <w:pPr>
              <w:pStyle w:val="TableParagraph"/>
            </w:pPr>
          </w:p>
        </w:tc>
        <w:tc>
          <w:tcPr>
            <w:tcW w:w="848" w:type="dxa"/>
          </w:tcPr>
          <w:p w14:paraId="5B1F8915" w14:textId="77777777" w:rsidR="00D62309" w:rsidRDefault="00D62309" w:rsidP="00D62309">
            <w:pPr>
              <w:pStyle w:val="TableParagraph"/>
            </w:pPr>
          </w:p>
        </w:tc>
        <w:tc>
          <w:tcPr>
            <w:tcW w:w="1843" w:type="dxa"/>
          </w:tcPr>
          <w:p w14:paraId="63DADC85" w14:textId="77777777" w:rsidR="00D62309" w:rsidRDefault="00D62309" w:rsidP="00D62309">
            <w:pPr>
              <w:pStyle w:val="TableParagraph"/>
            </w:pPr>
          </w:p>
        </w:tc>
        <w:tc>
          <w:tcPr>
            <w:tcW w:w="1050" w:type="dxa"/>
          </w:tcPr>
          <w:p w14:paraId="5E4AB7C0" w14:textId="77777777" w:rsidR="00D62309" w:rsidRDefault="00D62309" w:rsidP="00D62309">
            <w:pPr>
              <w:pStyle w:val="TableParagraph"/>
              <w:ind w:left="8" w:right="22"/>
              <w:jc w:val="center"/>
              <w:rPr>
                <w:b/>
                <w:sz w:val="24"/>
              </w:rPr>
            </w:pPr>
            <w:r>
              <w:rPr>
                <w:b/>
                <w:spacing w:val="-2"/>
                <w:sz w:val="24"/>
              </w:rPr>
              <w:t>.002(S)*</w:t>
            </w:r>
          </w:p>
        </w:tc>
      </w:tr>
      <w:tr w:rsidR="00D62309" w14:paraId="16C12AC9" w14:textId="77777777" w:rsidTr="00CA262D">
        <w:trPr>
          <w:trHeight w:val="544"/>
        </w:trPr>
        <w:tc>
          <w:tcPr>
            <w:tcW w:w="2508" w:type="dxa"/>
          </w:tcPr>
          <w:p w14:paraId="64896308" w14:textId="77777777" w:rsidR="00D62309" w:rsidRDefault="00D62309" w:rsidP="00D62309">
            <w:pPr>
              <w:pStyle w:val="TableParagraph"/>
              <w:ind w:left="41"/>
              <w:jc w:val="center"/>
              <w:rPr>
                <w:sz w:val="24"/>
              </w:rPr>
            </w:pPr>
            <w:r>
              <w:rPr>
                <w:spacing w:val="-5"/>
                <w:sz w:val="24"/>
              </w:rPr>
              <w:t>pN2</w:t>
            </w:r>
          </w:p>
        </w:tc>
        <w:tc>
          <w:tcPr>
            <w:tcW w:w="984" w:type="dxa"/>
          </w:tcPr>
          <w:p w14:paraId="05A90A31" w14:textId="77777777" w:rsidR="00D62309" w:rsidRDefault="00D62309" w:rsidP="00D62309">
            <w:pPr>
              <w:pStyle w:val="TableParagraph"/>
              <w:ind w:left="82"/>
              <w:jc w:val="center"/>
              <w:rPr>
                <w:sz w:val="24"/>
              </w:rPr>
            </w:pPr>
            <w:r>
              <w:rPr>
                <w:spacing w:val="-10"/>
                <w:sz w:val="24"/>
              </w:rPr>
              <w:t>5</w:t>
            </w:r>
          </w:p>
        </w:tc>
        <w:tc>
          <w:tcPr>
            <w:tcW w:w="1915" w:type="dxa"/>
          </w:tcPr>
          <w:p w14:paraId="40F8BCF0" w14:textId="77777777" w:rsidR="00D62309" w:rsidRDefault="00D62309" w:rsidP="00D62309">
            <w:pPr>
              <w:pStyle w:val="TableParagraph"/>
              <w:ind w:left="36"/>
              <w:jc w:val="center"/>
              <w:rPr>
                <w:sz w:val="24"/>
              </w:rPr>
            </w:pPr>
            <w:r>
              <w:rPr>
                <w:spacing w:val="-2"/>
                <w:sz w:val="24"/>
              </w:rPr>
              <w:t>100.0</w:t>
            </w:r>
          </w:p>
        </w:tc>
        <w:tc>
          <w:tcPr>
            <w:tcW w:w="848" w:type="dxa"/>
          </w:tcPr>
          <w:p w14:paraId="21751370" w14:textId="77777777" w:rsidR="00D62309" w:rsidRDefault="00D62309" w:rsidP="00D62309">
            <w:pPr>
              <w:pStyle w:val="TableParagraph"/>
              <w:ind w:left="14"/>
              <w:jc w:val="center"/>
              <w:rPr>
                <w:sz w:val="24"/>
              </w:rPr>
            </w:pPr>
            <w:r>
              <w:rPr>
                <w:spacing w:val="-10"/>
                <w:sz w:val="24"/>
              </w:rPr>
              <w:t>0</w:t>
            </w:r>
          </w:p>
        </w:tc>
        <w:tc>
          <w:tcPr>
            <w:tcW w:w="1843" w:type="dxa"/>
          </w:tcPr>
          <w:p w14:paraId="237777C5" w14:textId="77777777" w:rsidR="00D62309" w:rsidRDefault="00D62309" w:rsidP="00D62309">
            <w:pPr>
              <w:pStyle w:val="TableParagraph"/>
              <w:ind w:left="16"/>
              <w:jc w:val="center"/>
              <w:rPr>
                <w:sz w:val="24"/>
              </w:rPr>
            </w:pPr>
            <w:r>
              <w:rPr>
                <w:spacing w:val="-5"/>
                <w:sz w:val="24"/>
              </w:rPr>
              <w:t>0.0</w:t>
            </w:r>
          </w:p>
        </w:tc>
        <w:tc>
          <w:tcPr>
            <w:tcW w:w="1050" w:type="dxa"/>
          </w:tcPr>
          <w:p w14:paraId="393A905E" w14:textId="77777777" w:rsidR="00D62309" w:rsidRDefault="00D62309" w:rsidP="00D62309">
            <w:pPr>
              <w:pStyle w:val="TableParagraph"/>
            </w:pPr>
          </w:p>
        </w:tc>
      </w:tr>
      <w:tr w:rsidR="00D62309" w14:paraId="63B556EB" w14:textId="77777777" w:rsidTr="00D62309">
        <w:trPr>
          <w:trHeight w:val="378"/>
        </w:trPr>
        <w:tc>
          <w:tcPr>
            <w:tcW w:w="2508" w:type="dxa"/>
            <w:tcBorders>
              <w:bottom w:val="single" w:sz="4" w:space="0" w:color="000000"/>
            </w:tcBorders>
          </w:tcPr>
          <w:p w14:paraId="0B93232F" w14:textId="77777777" w:rsidR="00D62309" w:rsidRDefault="00D62309" w:rsidP="00D62309">
            <w:pPr>
              <w:pStyle w:val="TableParagraph"/>
              <w:ind w:left="41"/>
              <w:jc w:val="center"/>
              <w:rPr>
                <w:sz w:val="24"/>
              </w:rPr>
            </w:pPr>
            <w:r>
              <w:rPr>
                <w:spacing w:val="-5"/>
                <w:sz w:val="24"/>
              </w:rPr>
              <w:t>pN3</w:t>
            </w:r>
          </w:p>
        </w:tc>
        <w:tc>
          <w:tcPr>
            <w:tcW w:w="984" w:type="dxa"/>
            <w:tcBorders>
              <w:bottom w:val="single" w:sz="4" w:space="0" w:color="000000"/>
            </w:tcBorders>
          </w:tcPr>
          <w:p w14:paraId="26B98476" w14:textId="77777777" w:rsidR="00D62309" w:rsidRDefault="00D62309" w:rsidP="00D62309">
            <w:pPr>
              <w:pStyle w:val="TableParagraph"/>
              <w:ind w:left="82"/>
              <w:jc w:val="center"/>
              <w:rPr>
                <w:sz w:val="24"/>
              </w:rPr>
            </w:pPr>
            <w:r>
              <w:rPr>
                <w:spacing w:val="-10"/>
                <w:sz w:val="24"/>
              </w:rPr>
              <w:t>3</w:t>
            </w:r>
          </w:p>
        </w:tc>
        <w:tc>
          <w:tcPr>
            <w:tcW w:w="1915" w:type="dxa"/>
            <w:tcBorders>
              <w:bottom w:val="single" w:sz="4" w:space="0" w:color="000000"/>
            </w:tcBorders>
          </w:tcPr>
          <w:p w14:paraId="361B7A29" w14:textId="77777777" w:rsidR="00D62309" w:rsidRDefault="00D62309" w:rsidP="00D62309">
            <w:pPr>
              <w:pStyle w:val="TableParagraph"/>
              <w:ind w:left="36"/>
              <w:jc w:val="center"/>
              <w:rPr>
                <w:sz w:val="24"/>
              </w:rPr>
            </w:pPr>
            <w:r>
              <w:rPr>
                <w:spacing w:val="-2"/>
                <w:sz w:val="24"/>
              </w:rPr>
              <w:t>100.0</w:t>
            </w:r>
          </w:p>
        </w:tc>
        <w:tc>
          <w:tcPr>
            <w:tcW w:w="848" w:type="dxa"/>
            <w:tcBorders>
              <w:bottom w:val="single" w:sz="4" w:space="0" w:color="000000"/>
            </w:tcBorders>
          </w:tcPr>
          <w:p w14:paraId="572A41D2" w14:textId="77777777" w:rsidR="00D62309" w:rsidRDefault="00D62309" w:rsidP="00D62309">
            <w:pPr>
              <w:pStyle w:val="TableParagraph"/>
              <w:ind w:left="14"/>
              <w:jc w:val="center"/>
              <w:rPr>
                <w:sz w:val="24"/>
              </w:rPr>
            </w:pPr>
            <w:r>
              <w:rPr>
                <w:spacing w:val="-10"/>
                <w:sz w:val="24"/>
              </w:rPr>
              <w:t>0</w:t>
            </w:r>
          </w:p>
        </w:tc>
        <w:tc>
          <w:tcPr>
            <w:tcW w:w="1843" w:type="dxa"/>
            <w:tcBorders>
              <w:bottom w:val="single" w:sz="4" w:space="0" w:color="000000"/>
            </w:tcBorders>
          </w:tcPr>
          <w:p w14:paraId="0B2C07B5" w14:textId="77777777" w:rsidR="00D62309" w:rsidRDefault="00D62309" w:rsidP="00D62309">
            <w:pPr>
              <w:pStyle w:val="TableParagraph"/>
              <w:ind w:left="16"/>
              <w:jc w:val="center"/>
              <w:rPr>
                <w:sz w:val="24"/>
              </w:rPr>
            </w:pPr>
            <w:r>
              <w:rPr>
                <w:spacing w:val="-5"/>
                <w:sz w:val="24"/>
              </w:rPr>
              <w:t>0.0</w:t>
            </w:r>
          </w:p>
        </w:tc>
        <w:tc>
          <w:tcPr>
            <w:tcW w:w="1050" w:type="dxa"/>
            <w:tcBorders>
              <w:bottom w:val="single" w:sz="4" w:space="0" w:color="000000"/>
            </w:tcBorders>
          </w:tcPr>
          <w:p w14:paraId="33306C3E" w14:textId="77777777" w:rsidR="00D62309" w:rsidRDefault="00D62309" w:rsidP="00D62309">
            <w:pPr>
              <w:pStyle w:val="TableParagraph"/>
            </w:pPr>
          </w:p>
        </w:tc>
      </w:tr>
    </w:tbl>
    <w:p w14:paraId="3ED471C1" w14:textId="77777777" w:rsidR="00D62309" w:rsidRPr="00D62309" w:rsidRDefault="00D62309" w:rsidP="00D62309">
      <w:pPr>
        <w:spacing w:line="360" w:lineRule="auto"/>
        <w:jc w:val="center"/>
        <w:rPr>
          <w:b/>
          <w:sz w:val="24"/>
        </w:rPr>
      </w:pPr>
      <w:r w:rsidRPr="00D62309">
        <w:rPr>
          <w:b/>
          <w:sz w:val="24"/>
        </w:rPr>
        <w:t>Table-2 showing distribution of respondent’s pathological tumor (</w:t>
      </w:r>
      <w:proofErr w:type="spellStart"/>
      <w:r w:rsidRPr="00D62309">
        <w:rPr>
          <w:b/>
          <w:sz w:val="24"/>
        </w:rPr>
        <w:t>pT</w:t>
      </w:r>
      <w:proofErr w:type="spellEnd"/>
      <w:r w:rsidRPr="00D62309">
        <w:rPr>
          <w:b/>
          <w:sz w:val="24"/>
        </w:rPr>
        <w:t>) status according to Microsatellite status (n=33)</w:t>
      </w:r>
    </w:p>
    <w:p w14:paraId="771CC0AB" w14:textId="77777777" w:rsidR="00AD6033" w:rsidRPr="00AD6033" w:rsidRDefault="00AD6033" w:rsidP="000B37B2">
      <w:pPr>
        <w:spacing w:line="360" w:lineRule="auto"/>
        <w:jc w:val="both"/>
        <w:rPr>
          <w:sz w:val="24"/>
        </w:rPr>
      </w:pPr>
    </w:p>
    <w:p w14:paraId="25184BDF" w14:textId="77777777" w:rsidR="00AD6033" w:rsidRPr="00AD6033" w:rsidRDefault="00AD6033" w:rsidP="000B37B2">
      <w:pPr>
        <w:spacing w:line="360" w:lineRule="auto"/>
        <w:jc w:val="both"/>
        <w:rPr>
          <w:sz w:val="24"/>
        </w:rPr>
      </w:pPr>
      <w:r>
        <w:rPr>
          <w:sz w:val="24"/>
        </w:rPr>
        <w:t xml:space="preserve">On the other hand, </w:t>
      </w:r>
      <w:r w:rsidRPr="00AD6033">
        <w:rPr>
          <w:sz w:val="24"/>
        </w:rPr>
        <w:t xml:space="preserve">there was a no significant association between LVI </w:t>
      </w:r>
      <w:r>
        <w:rPr>
          <w:sz w:val="24"/>
        </w:rPr>
        <w:t>status</w:t>
      </w:r>
      <w:r w:rsidRPr="00AD6033">
        <w:rPr>
          <w:sz w:val="24"/>
        </w:rPr>
        <w:t xml:space="preserve"> with Microsatellite status. LVI was present in 16 cases out of 33 cases where 93.75% cases founded in MSS group where 6.25% cases </w:t>
      </w:r>
      <w:proofErr w:type="gramStart"/>
      <w:r w:rsidRPr="00AD6033">
        <w:rPr>
          <w:sz w:val="24"/>
        </w:rPr>
        <w:t>was</w:t>
      </w:r>
      <w:proofErr w:type="gramEnd"/>
      <w:r w:rsidRPr="00AD6033">
        <w:rPr>
          <w:sz w:val="24"/>
        </w:rPr>
        <w:t xml:space="preserve"> present in MSI-H group.</w:t>
      </w:r>
    </w:p>
    <w:p w14:paraId="30236548" w14:textId="77777777" w:rsidR="00AD6033" w:rsidRPr="00682FFA" w:rsidRDefault="00AD6033" w:rsidP="000B37B2">
      <w:pPr>
        <w:spacing w:line="360" w:lineRule="auto"/>
        <w:jc w:val="both"/>
        <w:rPr>
          <w:sz w:val="24"/>
        </w:rPr>
      </w:pPr>
    </w:p>
    <w:p w14:paraId="58F148A2" w14:textId="77777777" w:rsidR="00682FFA" w:rsidRPr="00682FFA" w:rsidRDefault="00682FFA" w:rsidP="000B37B2">
      <w:pPr>
        <w:spacing w:line="360" w:lineRule="auto"/>
        <w:jc w:val="both"/>
        <w:rPr>
          <w:sz w:val="24"/>
        </w:rPr>
      </w:pPr>
    </w:p>
    <w:tbl>
      <w:tblPr>
        <w:tblW w:w="0" w:type="auto"/>
        <w:tblInd w:w="467" w:type="dxa"/>
        <w:tblLayout w:type="fixed"/>
        <w:tblCellMar>
          <w:left w:w="0" w:type="dxa"/>
          <w:right w:w="0" w:type="dxa"/>
        </w:tblCellMar>
        <w:tblLook w:val="01E0" w:firstRow="1" w:lastRow="1" w:firstColumn="1" w:lastColumn="1" w:noHBand="0" w:noVBand="0"/>
      </w:tblPr>
      <w:tblGrid>
        <w:gridCol w:w="1635"/>
        <w:gridCol w:w="1036"/>
        <w:gridCol w:w="1946"/>
        <w:gridCol w:w="892"/>
        <w:gridCol w:w="1855"/>
        <w:gridCol w:w="1099"/>
      </w:tblGrid>
      <w:tr w:rsidR="00D62309" w14:paraId="3DE7E4A2" w14:textId="77777777" w:rsidTr="00CA262D">
        <w:trPr>
          <w:trHeight w:val="906"/>
        </w:trPr>
        <w:tc>
          <w:tcPr>
            <w:tcW w:w="1635" w:type="dxa"/>
            <w:tcBorders>
              <w:top w:val="single" w:sz="4" w:space="0" w:color="000000"/>
              <w:bottom w:val="single" w:sz="4" w:space="0" w:color="000000"/>
            </w:tcBorders>
          </w:tcPr>
          <w:p w14:paraId="3B7C41A6" w14:textId="77777777" w:rsidR="00D62309" w:rsidRDefault="00D62309" w:rsidP="00CA262D">
            <w:pPr>
              <w:pStyle w:val="TableParagraph"/>
              <w:spacing w:before="19"/>
              <w:rPr>
                <w:b/>
                <w:sz w:val="24"/>
              </w:rPr>
            </w:pPr>
          </w:p>
          <w:p w14:paraId="28EF4C22" w14:textId="77777777" w:rsidR="00D62309" w:rsidRDefault="00D62309" w:rsidP="00CA262D">
            <w:pPr>
              <w:pStyle w:val="TableParagraph"/>
              <w:ind w:left="468"/>
              <w:rPr>
                <w:b/>
                <w:sz w:val="24"/>
              </w:rPr>
            </w:pPr>
            <w:r>
              <w:rPr>
                <w:b/>
                <w:spacing w:val="-2"/>
                <w:sz w:val="24"/>
              </w:rPr>
              <w:t>Traits</w:t>
            </w:r>
          </w:p>
        </w:tc>
        <w:tc>
          <w:tcPr>
            <w:tcW w:w="1036" w:type="dxa"/>
            <w:tcBorders>
              <w:top w:val="single" w:sz="4" w:space="0" w:color="000000"/>
              <w:bottom w:val="single" w:sz="4" w:space="0" w:color="000000"/>
            </w:tcBorders>
          </w:tcPr>
          <w:p w14:paraId="7F486B1F" w14:textId="77777777" w:rsidR="00D62309" w:rsidRDefault="00D62309" w:rsidP="00CA262D">
            <w:pPr>
              <w:pStyle w:val="TableParagraph"/>
            </w:pPr>
          </w:p>
        </w:tc>
        <w:tc>
          <w:tcPr>
            <w:tcW w:w="1946" w:type="dxa"/>
            <w:tcBorders>
              <w:top w:val="single" w:sz="4" w:space="0" w:color="000000"/>
              <w:bottom w:val="single" w:sz="4" w:space="0" w:color="000000"/>
            </w:tcBorders>
          </w:tcPr>
          <w:p w14:paraId="18427C00" w14:textId="77777777" w:rsidR="00D62309" w:rsidRDefault="00D62309" w:rsidP="00CA262D">
            <w:pPr>
              <w:pStyle w:val="TableParagraph"/>
              <w:spacing w:line="275" w:lineRule="exact"/>
              <w:ind w:left="234"/>
              <w:rPr>
                <w:b/>
                <w:sz w:val="24"/>
              </w:rPr>
            </w:pPr>
            <w:r>
              <w:rPr>
                <w:b/>
                <w:spacing w:val="-5"/>
                <w:sz w:val="24"/>
              </w:rPr>
              <w:t>MSS</w:t>
            </w:r>
          </w:p>
        </w:tc>
        <w:tc>
          <w:tcPr>
            <w:tcW w:w="892" w:type="dxa"/>
            <w:tcBorders>
              <w:top w:val="single" w:sz="4" w:space="0" w:color="000000"/>
              <w:bottom w:val="single" w:sz="4" w:space="0" w:color="000000"/>
            </w:tcBorders>
          </w:tcPr>
          <w:p w14:paraId="499BC9AA" w14:textId="77777777" w:rsidR="00D62309" w:rsidRDefault="00D62309" w:rsidP="00CA262D">
            <w:pPr>
              <w:pStyle w:val="TableParagraph"/>
            </w:pPr>
          </w:p>
        </w:tc>
        <w:tc>
          <w:tcPr>
            <w:tcW w:w="1855" w:type="dxa"/>
            <w:tcBorders>
              <w:top w:val="single" w:sz="4" w:space="0" w:color="000000"/>
              <w:bottom w:val="single" w:sz="4" w:space="0" w:color="000000"/>
            </w:tcBorders>
          </w:tcPr>
          <w:p w14:paraId="78946B67" w14:textId="77777777" w:rsidR="00D62309" w:rsidRDefault="00D62309" w:rsidP="00CA262D">
            <w:pPr>
              <w:pStyle w:val="TableParagraph"/>
              <w:spacing w:line="275" w:lineRule="exact"/>
              <w:ind w:left="508"/>
              <w:rPr>
                <w:b/>
                <w:sz w:val="24"/>
              </w:rPr>
            </w:pPr>
            <w:r>
              <w:rPr>
                <w:b/>
                <w:spacing w:val="-2"/>
                <w:sz w:val="24"/>
              </w:rPr>
              <w:t>MSI-</w:t>
            </w:r>
            <w:r>
              <w:rPr>
                <w:b/>
                <w:spacing w:val="-10"/>
                <w:sz w:val="24"/>
              </w:rPr>
              <w:t>H</w:t>
            </w:r>
          </w:p>
        </w:tc>
        <w:tc>
          <w:tcPr>
            <w:tcW w:w="1099" w:type="dxa"/>
            <w:tcBorders>
              <w:top w:val="single" w:sz="4" w:space="0" w:color="000000"/>
              <w:bottom w:val="single" w:sz="4" w:space="0" w:color="000000"/>
            </w:tcBorders>
          </w:tcPr>
          <w:p w14:paraId="70E936CA" w14:textId="77777777" w:rsidR="00D62309" w:rsidRDefault="00D62309" w:rsidP="00CA262D">
            <w:pPr>
              <w:pStyle w:val="TableParagraph"/>
            </w:pPr>
          </w:p>
        </w:tc>
      </w:tr>
      <w:tr w:rsidR="00D62309" w14:paraId="40AE2B92" w14:textId="77777777" w:rsidTr="00CA262D">
        <w:trPr>
          <w:trHeight w:val="905"/>
        </w:trPr>
        <w:tc>
          <w:tcPr>
            <w:tcW w:w="1635" w:type="dxa"/>
            <w:tcBorders>
              <w:top w:val="single" w:sz="4" w:space="0" w:color="000000"/>
              <w:bottom w:val="single" w:sz="4" w:space="0" w:color="000000"/>
            </w:tcBorders>
          </w:tcPr>
          <w:p w14:paraId="043B016F" w14:textId="77777777" w:rsidR="00D62309" w:rsidRDefault="00D62309" w:rsidP="00CA262D">
            <w:pPr>
              <w:pStyle w:val="TableParagraph"/>
              <w:spacing w:line="271" w:lineRule="exact"/>
              <w:ind w:left="300"/>
              <w:rPr>
                <w:b/>
                <w:sz w:val="24"/>
              </w:rPr>
            </w:pPr>
            <w:r>
              <w:rPr>
                <w:b/>
                <w:sz w:val="24"/>
              </w:rPr>
              <w:t>LVI</w:t>
            </w:r>
            <w:r>
              <w:rPr>
                <w:b/>
                <w:spacing w:val="-6"/>
                <w:sz w:val="24"/>
              </w:rPr>
              <w:t xml:space="preserve"> </w:t>
            </w:r>
            <w:r>
              <w:rPr>
                <w:b/>
                <w:spacing w:val="-2"/>
                <w:sz w:val="24"/>
              </w:rPr>
              <w:t>status</w:t>
            </w:r>
          </w:p>
        </w:tc>
        <w:tc>
          <w:tcPr>
            <w:tcW w:w="1036" w:type="dxa"/>
            <w:tcBorders>
              <w:top w:val="single" w:sz="4" w:space="0" w:color="000000"/>
              <w:bottom w:val="single" w:sz="4" w:space="0" w:color="000000"/>
            </w:tcBorders>
          </w:tcPr>
          <w:p w14:paraId="66B2A5FC" w14:textId="77777777" w:rsidR="00D62309" w:rsidRDefault="00D62309" w:rsidP="00CA262D">
            <w:pPr>
              <w:pStyle w:val="TableParagraph"/>
              <w:spacing w:line="275" w:lineRule="exact"/>
              <w:ind w:right="198"/>
              <w:jc w:val="right"/>
              <w:rPr>
                <w:b/>
                <w:sz w:val="24"/>
              </w:rPr>
            </w:pPr>
            <w:r>
              <w:rPr>
                <w:b/>
                <w:spacing w:val="-2"/>
                <w:sz w:val="24"/>
              </w:rPr>
              <w:t>Cases</w:t>
            </w:r>
          </w:p>
        </w:tc>
        <w:tc>
          <w:tcPr>
            <w:tcW w:w="1946" w:type="dxa"/>
            <w:tcBorders>
              <w:top w:val="single" w:sz="4" w:space="0" w:color="000000"/>
              <w:bottom w:val="single" w:sz="4" w:space="0" w:color="000000"/>
            </w:tcBorders>
          </w:tcPr>
          <w:p w14:paraId="6E96AA42" w14:textId="77777777" w:rsidR="00D62309" w:rsidRDefault="00D62309" w:rsidP="00CA262D">
            <w:pPr>
              <w:pStyle w:val="TableParagraph"/>
              <w:spacing w:line="271" w:lineRule="exact"/>
              <w:ind w:left="158"/>
              <w:rPr>
                <w:b/>
                <w:sz w:val="24"/>
              </w:rPr>
            </w:pPr>
            <w:r>
              <w:rPr>
                <w:b/>
                <w:spacing w:val="-2"/>
                <w:sz w:val="24"/>
              </w:rPr>
              <w:t>Percentages (%)</w:t>
            </w:r>
          </w:p>
        </w:tc>
        <w:tc>
          <w:tcPr>
            <w:tcW w:w="892" w:type="dxa"/>
            <w:tcBorders>
              <w:top w:val="single" w:sz="4" w:space="0" w:color="000000"/>
              <w:bottom w:val="single" w:sz="4" w:space="0" w:color="000000"/>
            </w:tcBorders>
          </w:tcPr>
          <w:p w14:paraId="250E8D88" w14:textId="77777777" w:rsidR="00D62309" w:rsidRDefault="00D62309" w:rsidP="00CA262D">
            <w:pPr>
              <w:pStyle w:val="TableParagraph"/>
              <w:spacing w:line="275" w:lineRule="exact"/>
              <w:ind w:right="136"/>
              <w:jc w:val="right"/>
              <w:rPr>
                <w:b/>
                <w:sz w:val="24"/>
              </w:rPr>
            </w:pPr>
            <w:r>
              <w:rPr>
                <w:b/>
                <w:spacing w:val="-2"/>
                <w:sz w:val="24"/>
              </w:rPr>
              <w:t>Cases</w:t>
            </w:r>
          </w:p>
        </w:tc>
        <w:tc>
          <w:tcPr>
            <w:tcW w:w="1855" w:type="dxa"/>
            <w:tcBorders>
              <w:top w:val="single" w:sz="4" w:space="0" w:color="000000"/>
              <w:bottom w:val="single" w:sz="4" w:space="0" w:color="000000"/>
            </w:tcBorders>
          </w:tcPr>
          <w:p w14:paraId="3A584F15" w14:textId="77777777" w:rsidR="00D62309" w:rsidRDefault="00D62309" w:rsidP="00CA262D">
            <w:pPr>
              <w:pStyle w:val="TableParagraph"/>
              <w:spacing w:line="275" w:lineRule="exact"/>
              <w:ind w:left="137"/>
              <w:rPr>
                <w:b/>
                <w:sz w:val="24"/>
              </w:rPr>
            </w:pPr>
            <w:r>
              <w:rPr>
                <w:b/>
                <w:spacing w:val="-2"/>
                <w:sz w:val="24"/>
              </w:rPr>
              <w:t>Percentages (%)</w:t>
            </w:r>
          </w:p>
        </w:tc>
        <w:tc>
          <w:tcPr>
            <w:tcW w:w="1099" w:type="dxa"/>
            <w:tcBorders>
              <w:top w:val="single" w:sz="4" w:space="0" w:color="000000"/>
              <w:bottom w:val="single" w:sz="4" w:space="0" w:color="000000"/>
            </w:tcBorders>
          </w:tcPr>
          <w:p w14:paraId="68DEA6B4" w14:textId="77777777" w:rsidR="00D62309" w:rsidRDefault="00D62309" w:rsidP="00CA262D">
            <w:pPr>
              <w:pStyle w:val="TableParagraph"/>
              <w:spacing w:line="271" w:lineRule="exact"/>
              <w:ind w:right="60"/>
              <w:jc w:val="center"/>
              <w:rPr>
                <w:sz w:val="24"/>
              </w:rPr>
            </w:pPr>
            <w:r>
              <w:rPr>
                <w:i/>
                <w:sz w:val="24"/>
              </w:rPr>
              <w:t>p-</w:t>
            </w:r>
            <w:r>
              <w:rPr>
                <w:spacing w:val="-2"/>
                <w:sz w:val="24"/>
              </w:rPr>
              <w:t>value⁕</w:t>
            </w:r>
          </w:p>
        </w:tc>
      </w:tr>
      <w:tr w:rsidR="00D62309" w14:paraId="066E6FE3" w14:textId="77777777" w:rsidTr="00CA262D">
        <w:trPr>
          <w:trHeight w:val="894"/>
        </w:trPr>
        <w:tc>
          <w:tcPr>
            <w:tcW w:w="1635" w:type="dxa"/>
            <w:tcBorders>
              <w:top w:val="single" w:sz="4" w:space="0" w:color="000000"/>
            </w:tcBorders>
          </w:tcPr>
          <w:p w14:paraId="74CA5441" w14:textId="77777777" w:rsidR="00D62309" w:rsidRDefault="00D62309" w:rsidP="00CA262D">
            <w:pPr>
              <w:pStyle w:val="TableParagraph"/>
              <w:spacing w:line="271" w:lineRule="exact"/>
              <w:ind w:left="492"/>
              <w:rPr>
                <w:sz w:val="24"/>
              </w:rPr>
            </w:pPr>
            <w:r>
              <w:rPr>
                <w:spacing w:val="-2"/>
                <w:sz w:val="24"/>
              </w:rPr>
              <w:t>Present</w:t>
            </w:r>
          </w:p>
        </w:tc>
        <w:tc>
          <w:tcPr>
            <w:tcW w:w="1036" w:type="dxa"/>
            <w:vMerge w:val="restart"/>
            <w:tcBorders>
              <w:top w:val="single" w:sz="4" w:space="0" w:color="000000"/>
            </w:tcBorders>
          </w:tcPr>
          <w:p w14:paraId="110F481D" w14:textId="77777777" w:rsidR="00D62309" w:rsidRDefault="00D62309" w:rsidP="00CA262D">
            <w:pPr>
              <w:pStyle w:val="TableParagraph"/>
              <w:spacing w:line="271" w:lineRule="exact"/>
              <w:ind w:left="48"/>
              <w:jc w:val="center"/>
              <w:rPr>
                <w:sz w:val="24"/>
              </w:rPr>
            </w:pPr>
            <w:r>
              <w:rPr>
                <w:spacing w:val="-5"/>
                <w:sz w:val="24"/>
              </w:rPr>
              <w:t>15</w:t>
            </w:r>
          </w:p>
          <w:p w14:paraId="124E35D0" w14:textId="77777777" w:rsidR="00D62309" w:rsidRDefault="00D62309" w:rsidP="00CA262D">
            <w:pPr>
              <w:pStyle w:val="TableParagraph"/>
              <w:spacing w:before="44"/>
              <w:rPr>
                <w:b/>
                <w:sz w:val="24"/>
              </w:rPr>
            </w:pPr>
          </w:p>
          <w:p w14:paraId="5D7325A8" w14:textId="77777777" w:rsidR="00D62309" w:rsidRDefault="00D62309" w:rsidP="00CA262D">
            <w:pPr>
              <w:pStyle w:val="TableParagraph"/>
              <w:ind w:left="48"/>
              <w:jc w:val="center"/>
              <w:rPr>
                <w:sz w:val="24"/>
              </w:rPr>
            </w:pPr>
            <w:r>
              <w:rPr>
                <w:spacing w:val="-5"/>
                <w:sz w:val="24"/>
              </w:rPr>
              <w:t>12</w:t>
            </w:r>
          </w:p>
          <w:p w14:paraId="2578879B" w14:textId="77777777" w:rsidR="00D62309" w:rsidRDefault="00D62309" w:rsidP="00CA262D">
            <w:pPr>
              <w:pStyle w:val="TableParagraph"/>
              <w:rPr>
                <w:b/>
                <w:sz w:val="24"/>
              </w:rPr>
            </w:pPr>
          </w:p>
          <w:p w14:paraId="1BF71C87" w14:textId="77777777" w:rsidR="00D62309" w:rsidRDefault="00D62309" w:rsidP="00CA262D">
            <w:pPr>
              <w:pStyle w:val="TableParagraph"/>
              <w:rPr>
                <w:b/>
                <w:sz w:val="24"/>
              </w:rPr>
            </w:pPr>
          </w:p>
          <w:p w14:paraId="720E2B00" w14:textId="77777777" w:rsidR="00D62309" w:rsidRDefault="00D62309" w:rsidP="00CA262D">
            <w:pPr>
              <w:pStyle w:val="TableParagraph"/>
              <w:spacing w:before="92"/>
              <w:rPr>
                <w:b/>
                <w:sz w:val="24"/>
              </w:rPr>
            </w:pPr>
          </w:p>
          <w:p w14:paraId="2494958A" w14:textId="77777777" w:rsidR="00D62309" w:rsidRDefault="00D62309" w:rsidP="00CA262D">
            <w:pPr>
              <w:pStyle w:val="TableParagraph"/>
              <w:ind w:left="48"/>
              <w:jc w:val="center"/>
              <w:rPr>
                <w:sz w:val="24"/>
              </w:rPr>
            </w:pPr>
            <w:r>
              <w:rPr>
                <w:spacing w:val="-5"/>
                <w:sz w:val="24"/>
              </w:rPr>
              <w:t>27</w:t>
            </w:r>
          </w:p>
        </w:tc>
        <w:tc>
          <w:tcPr>
            <w:tcW w:w="1946" w:type="dxa"/>
            <w:tcBorders>
              <w:top w:val="single" w:sz="4" w:space="0" w:color="000000"/>
            </w:tcBorders>
          </w:tcPr>
          <w:p w14:paraId="73399064" w14:textId="77777777" w:rsidR="00D62309" w:rsidRDefault="00D62309" w:rsidP="00CA262D">
            <w:pPr>
              <w:pStyle w:val="TableParagraph"/>
              <w:spacing w:line="271" w:lineRule="exact"/>
              <w:ind w:right="7"/>
              <w:jc w:val="center"/>
              <w:rPr>
                <w:sz w:val="24"/>
              </w:rPr>
            </w:pPr>
            <w:r>
              <w:rPr>
                <w:spacing w:val="-2"/>
                <w:sz w:val="24"/>
              </w:rPr>
              <w:t>93.75</w:t>
            </w:r>
          </w:p>
        </w:tc>
        <w:tc>
          <w:tcPr>
            <w:tcW w:w="892" w:type="dxa"/>
            <w:tcBorders>
              <w:top w:val="single" w:sz="4" w:space="0" w:color="000000"/>
            </w:tcBorders>
          </w:tcPr>
          <w:p w14:paraId="0265548D" w14:textId="77777777" w:rsidR="00D62309" w:rsidRDefault="00D62309" w:rsidP="00CA262D">
            <w:pPr>
              <w:pStyle w:val="TableParagraph"/>
              <w:spacing w:line="271" w:lineRule="exact"/>
              <w:ind w:left="30"/>
              <w:jc w:val="center"/>
              <w:rPr>
                <w:sz w:val="24"/>
              </w:rPr>
            </w:pPr>
            <w:r>
              <w:rPr>
                <w:spacing w:val="-10"/>
                <w:sz w:val="24"/>
              </w:rPr>
              <w:t>0</w:t>
            </w:r>
          </w:p>
        </w:tc>
        <w:tc>
          <w:tcPr>
            <w:tcW w:w="1855" w:type="dxa"/>
            <w:tcBorders>
              <w:top w:val="single" w:sz="4" w:space="0" w:color="000000"/>
            </w:tcBorders>
          </w:tcPr>
          <w:p w14:paraId="04696165" w14:textId="77777777" w:rsidR="00D62309" w:rsidRDefault="00D62309" w:rsidP="00CA262D">
            <w:pPr>
              <w:pStyle w:val="TableParagraph"/>
              <w:spacing w:line="271" w:lineRule="exact"/>
              <w:ind w:right="22"/>
              <w:jc w:val="center"/>
              <w:rPr>
                <w:sz w:val="24"/>
              </w:rPr>
            </w:pPr>
            <w:r>
              <w:rPr>
                <w:spacing w:val="-4"/>
                <w:sz w:val="24"/>
              </w:rPr>
              <w:t>6.25</w:t>
            </w:r>
          </w:p>
        </w:tc>
        <w:tc>
          <w:tcPr>
            <w:tcW w:w="1099" w:type="dxa"/>
            <w:tcBorders>
              <w:top w:val="single" w:sz="4" w:space="0" w:color="000000"/>
            </w:tcBorders>
          </w:tcPr>
          <w:p w14:paraId="59CA0DB3" w14:textId="77777777" w:rsidR="00D62309" w:rsidRDefault="00D62309" w:rsidP="00CA262D">
            <w:pPr>
              <w:pStyle w:val="TableParagraph"/>
              <w:rPr>
                <w:b/>
                <w:sz w:val="24"/>
              </w:rPr>
            </w:pPr>
          </w:p>
          <w:p w14:paraId="377C6ABA" w14:textId="77777777" w:rsidR="00D62309" w:rsidRDefault="00D62309" w:rsidP="00CA262D">
            <w:pPr>
              <w:pStyle w:val="TableParagraph"/>
              <w:spacing w:before="39"/>
              <w:rPr>
                <w:b/>
                <w:sz w:val="24"/>
              </w:rPr>
            </w:pPr>
          </w:p>
          <w:p w14:paraId="3B1742E7" w14:textId="77777777" w:rsidR="00D62309" w:rsidRDefault="00D62309" w:rsidP="00CA262D">
            <w:pPr>
              <w:pStyle w:val="TableParagraph"/>
              <w:ind w:right="119"/>
              <w:jc w:val="center"/>
              <w:rPr>
                <w:sz w:val="24"/>
              </w:rPr>
            </w:pPr>
            <w:r>
              <w:rPr>
                <w:b/>
                <w:spacing w:val="-2"/>
                <w:sz w:val="24"/>
              </w:rPr>
              <w:t>.</w:t>
            </w:r>
            <w:r>
              <w:rPr>
                <w:spacing w:val="-2"/>
                <w:sz w:val="24"/>
              </w:rPr>
              <w:t>175(NS)</w:t>
            </w:r>
          </w:p>
        </w:tc>
      </w:tr>
      <w:tr w:rsidR="00D62309" w14:paraId="14955D31" w14:textId="77777777" w:rsidTr="00CA262D">
        <w:trPr>
          <w:trHeight w:val="616"/>
        </w:trPr>
        <w:tc>
          <w:tcPr>
            <w:tcW w:w="1635" w:type="dxa"/>
          </w:tcPr>
          <w:p w14:paraId="55C71461" w14:textId="77777777" w:rsidR="00D62309" w:rsidRDefault="00D62309" w:rsidP="00CA262D">
            <w:pPr>
              <w:pStyle w:val="TableParagraph"/>
              <w:spacing w:before="17"/>
              <w:ind w:left="504"/>
              <w:rPr>
                <w:sz w:val="24"/>
              </w:rPr>
            </w:pPr>
            <w:r>
              <w:rPr>
                <w:spacing w:val="-2"/>
                <w:sz w:val="24"/>
              </w:rPr>
              <w:t>Absent</w:t>
            </w:r>
          </w:p>
        </w:tc>
        <w:tc>
          <w:tcPr>
            <w:tcW w:w="1036" w:type="dxa"/>
            <w:vMerge/>
            <w:tcBorders>
              <w:top w:val="nil"/>
            </w:tcBorders>
          </w:tcPr>
          <w:p w14:paraId="5165C0ED" w14:textId="77777777" w:rsidR="00D62309" w:rsidRDefault="00D62309" w:rsidP="00CA262D">
            <w:pPr>
              <w:rPr>
                <w:sz w:val="2"/>
                <w:szCs w:val="2"/>
              </w:rPr>
            </w:pPr>
          </w:p>
        </w:tc>
        <w:tc>
          <w:tcPr>
            <w:tcW w:w="1946" w:type="dxa"/>
          </w:tcPr>
          <w:p w14:paraId="47A72F52" w14:textId="77777777" w:rsidR="00D62309" w:rsidRDefault="00D62309" w:rsidP="00CA262D">
            <w:pPr>
              <w:pStyle w:val="TableParagraph"/>
              <w:spacing w:before="17"/>
              <w:ind w:left="1" w:right="7"/>
              <w:jc w:val="center"/>
              <w:rPr>
                <w:sz w:val="24"/>
              </w:rPr>
            </w:pPr>
            <w:r>
              <w:rPr>
                <w:spacing w:val="-4"/>
                <w:sz w:val="24"/>
              </w:rPr>
              <w:t>70.5</w:t>
            </w:r>
          </w:p>
        </w:tc>
        <w:tc>
          <w:tcPr>
            <w:tcW w:w="892" w:type="dxa"/>
          </w:tcPr>
          <w:p w14:paraId="73CF33DA" w14:textId="77777777" w:rsidR="00D62309" w:rsidRDefault="00D62309" w:rsidP="00CA262D">
            <w:pPr>
              <w:pStyle w:val="TableParagraph"/>
              <w:spacing w:before="17"/>
              <w:ind w:left="30"/>
              <w:jc w:val="center"/>
              <w:rPr>
                <w:sz w:val="24"/>
              </w:rPr>
            </w:pPr>
            <w:r>
              <w:rPr>
                <w:spacing w:val="-10"/>
                <w:sz w:val="24"/>
              </w:rPr>
              <w:t>6</w:t>
            </w:r>
          </w:p>
        </w:tc>
        <w:tc>
          <w:tcPr>
            <w:tcW w:w="1855" w:type="dxa"/>
          </w:tcPr>
          <w:p w14:paraId="6F0534F1" w14:textId="77777777" w:rsidR="00D62309" w:rsidRDefault="00D62309" w:rsidP="00CA262D">
            <w:pPr>
              <w:pStyle w:val="TableParagraph"/>
              <w:spacing w:before="17"/>
              <w:ind w:right="22"/>
              <w:jc w:val="center"/>
              <w:rPr>
                <w:sz w:val="24"/>
              </w:rPr>
            </w:pPr>
            <w:r>
              <w:rPr>
                <w:spacing w:val="-2"/>
                <w:sz w:val="24"/>
              </w:rPr>
              <w:t>29.50</w:t>
            </w:r>
          </w:p>
        </w:tc>
        <w:tc>
          <w:tcPr>
            <w:tcW w:w="1099" w:type="dxa"/>
          </w:tcPr>
          <w:p w14:paraId="35CD0068" w14:textId="77777777" w:rsidR="00D62309" w:rsidRDefault="00D62309" w:rsidP="00CA262D">
            <w:pPr>
              <w:pStyle w:val="TableParagraph"/>
            </w:pPr>
          </w:p>
        </w:tc>
      </w:tr>
      <w:tr w:rsidR="00D62309" w14:paraId="6A3AC05C" w14:textId="77777777" w:rsidTr="00CA262D">
        <w:trPr>
          <w:trHeight w:val="916"/>
        </w:trPr>
        <w:tc>
          <w:tcPr>
            <w:tcW w:w="1635" w:type="dxa"/>
          </w:tcPr>
          <w:p w14:paraId="4124D83F" w14:textId="77777777" w:rsidR="00D62309" w:rsidRDefault="00D62309" w:rsidP="00CA262D">
            <w:pPr>
              <w:pStyle w:val="TableParagraph"/>
              <w:spacing w:before="37"/>
              <w:rPr>
                <w:b/>
                <w:sz w:val="24"/>
              </w:rPr>
            </w:pPr>
          </w:p>
          <w:p w14:paraId="3D88D29C" w14:textId="77777777" w:rsidR="00D62309" w:rsidRDefault="00D62309" w:rsidP="00CA262D">
            <w:pPr>
              <w:pStyle w:val="TableParagraph"/>
              <w:ind w:left="592"/>
              <w:rPr>
                <w:sz w:val="24"/>
              </w:rPr>
            </w:pPr>
            <w:r>
              <w:rPr>
                <w:spacing w:val="-2"/>
                <w:sz w:val="24"/>
              </w:rPr>
              <w:t>Total</w:t>
            </w:r>
          </w:p>
        </w:tc>
        <w:tc>
          <w:tcPr>
            <w:tcW w:w="1036" w:type="dxa"/>
            <w:vMerge/>
            <w:tcBorders>
              <w:top w:val="nil"/>
            </w:tcBorders>
          </w:tcPr>
          <w:p w14:paraId="45048FD3" w14:textId="77777777" w:rsidR="00D62309" w:rsidRDefault="00D62309" w:rsidP="00CA262D">
            <w:pPr>
              <w:rPr>
                <w:sz w:val="2"/>
                <w:szCs w:val="2"/>
              </w:rPr>
            </w:pPr>
          </w:p>
        </w:tc>
        <w:tc>
          <w:tcPr>
            <w:tcW w:w="1946" w:type="dxa"/>
          </w:tcPr>
          <w:p w14:paraId="5B0E73BB" w14:textId="77777777" w:rsidR="00D62309" w:rsidRDefault="00D62309" w:rsidP="00CA262D">
            <w:pPr>
              <w:pStyle w:val="TableParagraph"/>
            </w:pPr>
          </w:p>
        </w:tc>
        <w:tc>
          <w:tcPr>
            <w:tcW w:w="892" w:type="dxa"/>
          </w:tcPr>
          <w:p w14:paraId="547AC438" w14:textId="77777777" w:rsidR="00D62309" w:rsidRDefault="00D62309" w:rsidP="00CA262D">
            <w:pPr>
              <w:pStyle w:val="TableParagraph"/>
              <w:spacing w:before="37"/>
              <w:rPr>
                <w:b/>
                <w:sz w:val="24"/>
              </w:rPr>
            </w:pPr>
          </w:p>
          <w:p w14:paraId="04C678C8" w14:textId="77777777" w:rsidR="00D62309" w:rsidRDefault="00D62309" w:rsidP="00CA262D">
            <w:pPr>
              <w:pStyle w:val="TableParagraph"/>
              <w:ind w:left="30"/>
              <w:jc w:val="center"/>
              <w:rPr>
                <w:sz w:val="24"/>
              </w:rPr>
            </w:pPr>
            <w:r>
              <w:rPr>
                <w:spacing w:val="-10"/>
                <w:sz w:val="24"/>
              </w:rPr>
              <w:t>6</w:t>
            </w:r>
          </w:p>
        </w:tc>
        <w:tc>
          <w:tcPr>
            <w:tcW w:w="1855" w:type="dxa"/>
          </w:tcPr>
          <w:p w14:paraId="4D143B5D" w14:textId="77777777" w:rsidR="00D62309" w:rsidRDefault="00D62309" w:rsidP="00CA262D">
            <w:pPr>
              <w:pStyle w:val="TableParagraph"/>
            </w:pPr>
          </w:p>
        </w:tc>
        <w:tc>
          <w:tcPr>
            <w:tcW w:w="1099" w:type="dxa"/>
          </w:tcPr>
          <w:p w14:paraId="1C364D28" w14:textId="77777777" w:rsidR="00D62309" w:rsidRDefault="00D62309" w:rsidP="00CA262D">
            <w:pPr>
              <w:pStyle w:val="TableParagraph"/>
            </w:pPr>
          </w:p>
        </w:tc>
      </w:tr>
      <w:tr w:rsidR="00D62309" w14:paraId="29174231" w14:textId="77777777" w:rsidTr="00CA262D">
        <w:trPr>
          <w:trHeight w:val="800"/>
        </w:trPr>
        <w:tc>
          <w:tcPr>
            <w:tcW w:w="1635" w:type="dxa"/>
          </w:tcPr>
          <w:p w14:paraId="6AF2788A" w14:textId="77777777" w:rsidR="00D62309" w:rsidRDefault="00D62309" w:rsidP="00CA262D">
            <w:pPr>
              <w:pStyle w:val="TableParagraph"/>
              <w:spacing w:before="41"/>
              <w:rPr>
                <w:b/>
                <w:sz w:val="24"/>
              </w:rPr>
            </w:pPr>
          </w:p>
          <w:p w14:paraId="73072E48" w14:textId="77777777" w:rsidR="00D62309" w:rsidRDefault="00D62309" w:rsidP="00CA262D">
            <w:pPr>
              <w:pStyle w:val="TableParagraph"/>
              <w:ind w:left="108"/>
              <w:rPr>
                <w:b/>
                <w:sz w:val="24"/>
              </w:rPr>
            </w:pPr>
            <w:r>
              <w:rPr>
                <w:b/>
                <w:sz w:val="24"/>
              </w:rPr>
              <w:t>PNI</w:t>
            </w:r>
            <w:r>
              <w:rPr>
                <w:b/>
                <w:spacing w:val="57"/>
                <w:sz w:val="24"/>
              </w:rPr>
              <w:t xml:space="preserve"> </w:t>
            </w:r>
            <w:r>
              <w:rPr>
                <w:b/>
                <w:spacing w:val="-2"/>
                <w:sz w:val="24"/>
              </w:rPr>
              <w:t>status</w:t>
            </w:r>
          </w:p>
        </w:tc>
        <w:tc>
          <w:tcPr>
            <w:tcW w:w="1036" w:type="dxa"/>
          </w:tcPr>
          <w:p w14:paraId="75876C93" w14:textId="77777777" w:rsidR="00D62309" w:rsidRDefault="00D62309" w:rsidP="00CA262D">
            <w:pPr>
              <w:pStyle w:val="TableParagraph"/>
            </w:pPr>
          </w:p>
        </w:tc>
        <w:tc>
          <w:tcPr>
            <w:tcW w:w="1946" w:type="dxa"/>
          </w:tcPr>
          <w:p w14:paraId="675D3D4F" w14:textId="77777777" w:rsidR="00D62309" w:rsidRDefault="00D62309" w:rsidP="00CA262D">
            <w:pPr>
              <w:pStyle w:val="TableParagraph"/>
            </w:pPr>
          </w:p>
        </w:tc>
        <w:tc>
          <w:tcPr>
            <w:tcW w:w="892" w:type="dxa"/>
          </w:tcPr>
          <w:p w14:paraId="7F05EDEA" w14:textId="77777777" w:rsidR="00D62309" w:rsidRDefault="00D62309" w:rsidP="00CA262D">
            <w:pPr>
              <w:pStyle w:val="TableParagraph"/>
            </w:pPr>
          </w:p>
        </w:tc>
        <w:tc>
          <w:tcPr>
            <w:tcW w:w="1855" w:type="dxa"/>
          </w:tcPr>
          <w:p w14:paraId="218531A1" w14:textId="77777777" w:rsidR="00D62309" w:rsidRDefault="00D62309" w:rsidP="00CA262D">
            <w:pPr>
              <w:pStyle w:val="TableParagraph"/>
            </w:pPr>
          </w:p>
        </w:tc>
        <w:tc>
          <w:tcPr>
            <w:tcW w:w="1099" w:type="dxa"/>
          </w:tcPr>
          <w:p w14:paraId="0DCDBEA4" w14:textId="77777777" w:rsidR="00D62309" w:rsidRDefault="00D62309" w:rsidP="00CA262D">
            <w:pPr>
              <w:pStyle w:val="TableParagraph"/>
            </w:pPr>
          </w:p>
        </w:tc>
      </w:tr>
      <w:tr w:rsidR="00D62309" w14:paraId="1DF5E18C" w14:textId="77777777" w:rsidTr="00CA262D">
        <w:trPr>
          <w:trHeight w:val="855"/>
        </w:trPr>
        <w:tc>
          <w:tcPr>
            <w:tcW w:w="1635" w:type="dxa"/>
          </w:tcPr>
          <w:p w14:paraId="7C531682" w14:textId="77777777" w:rsidR="00D62309" w:rsidRDefault="00D62309" w:rsidP="00CA262D">
            <w:pPr>
              <w:pStyle w:val="TableParagraph"/>
              <w:spacing w:before="197"/>
              <w:ind w:left="492"/>
              <w:rPr>
                <w:sz w:val="24"/>
              </w:rPr>
            </w:pPr>
            <w:r>
              <w:rPr>
                <w:spacing w:val="-2"/>
                <w:sz w:val="24"/>
              </w:rPr>
              <w:t>Present</w:t>
            </w:r>
          </w:p>
        </w:tc>
        <w:tc>
          <w:tcPr>
            <w:tcW w:w="1036" w:type="dxa"/>
          </w:tcPr>
          <w:p w14:paraId="1A9368B9" w14:textId="77777777" w:rsidR="00D62309" w:rsidRDefault="00D62309" w:rsidP="00CA262D">
            <w:pPr>
              <w:pStyle w:val="TableParagraph"/>
              <w:spacing w:before="197"/>
              <w:ind w:right="215"/>
              <w:jc w:val="right"/>
              <w:rPr>
                <w:sz w:val="24"/>
              </w:rPr>
            </w:pPr>
            <w:r>
              <w:rPr>
                <w:spacing w:val="-10"/>
                <w:sz w:val="24"/>
              </w:rPr>
              <w:t>4</w:t>
            </w:r>
          </w:p>
        </w:tc>
        <w:tc>
          <w:tcPr>
            <w:tcW w:w="1946" w:type="dxa"/>
          </w:tcPr>
          <w:p w14:paraId="24253F79" w14:textId="77777777" w:rsidR="00D62309" w:rsidRDefault="00D62309" w:rsidP="00CA262D">
            <w:pPr>
              <w:pStyle w:val="TableParagraph"/>
              <w:spacing w:before="197"/>
              <w:ind w:left="794"/>
              <w:rPr>
                <w:sz w:val="24"/>
              </w:rPr>
            </w:pPr>
            <w:r>
              <w:rPr>
                <w:spacing w:val="-2"/>
                <w:sz w:val="24"/>
              </w:rPr>
              <w:t>100.0%</w:t>
            </w:r>
          </w:p>
        </w:tc>
        <w:tc>
          <w:tcPr>
            <w:tcW w:w="892" w:type="dxa"/>
          </w:tcPr>
          <w:p w14:paraId="4400DCA0" w14:textId="77777777" w:rsidR="00D62309" w:rsidRDefault="00D62309" w:rsidP="00CA262D">
            <w:pPr>
              <w:pStyle w:val="TableParagraph"/>
              <w:spacing w:before="197"/>
              <w:ind w:right="172"/>
              <w:jc w:val="right"/>
              <w:rPr>
                <w:sz w:val="24"/>
              </w:rPr>
            </w:pPr>
            <w:r>
              <w:rPr>
                <w:spacing w:val="-10"/>
                <w:sz w:val="24"/>
              </w:rPr>
              <w:t>0</w:t>
            </w:r>
          </w:p>
        </w:tc>
        <w:tc>
          <w:tcPr>
            <w:tcW w:w="1855" w:type="dxa"/>
          </w:tcPr>
          <w:p w14:paraId="701CAD87" w14:textId="77777777" w:rsidR="00D62309" w:rsidRDefault="00D62309" w:rsidP="00CA262D">
            <w:pPr>
              <w:pStyle w:val="TableParagraph"/>
              <w:spacing w:before="197"/>
              <w:ind w:left="760"/>
              <w:rPr>
                <w:sz w:val="24"/>
              </w:rPr>
            </w:pPr>
            <w:r>
              <w:rPr>
                <w:spacing w:val="-4"/>
                <w:sz w:val="24"/>
              </w:rPr>
              <w:t>0.0%</w:t>
            </w:r>
          </w:p>
        </w:tc>
        <w:tc>
          <w:tcPr>
            <w:tcW w:w="1099" w:type="dxa"/>
          </w:tcPr>
          <w:p w14:paraId="173A1838" w14:textId="77777777" w:rsidR="00D62309" w:rsidRDefault="00D62309" w:rsidP="00CA262D">
            <w:pPr>
              <w:pStyle w:val="TableParagraph"/>
              <w:spacing w:before="264"/>
              <w:rPr>
                <w:b/>
                <w:sz w:val="24"/>
              </w:rPr>
            </w:pPr>
          </w:p>
          <w:p w14:paraId="2ABFDFB5" w14:textId="77777777" w:rsidR="00D62309" w:rsidRDefault="00D62309" w:rsidP="00CA262D">
            <w:pPr>
              <w:pStyle w:val="TableParagraph"/>
              <w:spacing w:before="1"/>
              <w:ind w:right="119"/>
              <w:jc w:val="center"/>
              <w:rPr>
                <w:sz w:val="24"/>
              </w:rPr>
            </w:pPr>
            <w:r>
              <w:rPr>
                <w:spacing w:val="-2"/>
                <w:sz w:val="24"/>
              </w:rPr>
              <w:t>.429(NS)</w:t>
            </w:r>
          </w:p>
        </w:tc>
      </w:tr>
      <w:tr w:rsidR="00D62309" w14:paraId="02F5F4A3" w14:textId="77777777" w:rsidTr="00D62309">
        <w:trPr>
          <w:trHeight w:val="518"/>
        </w:trPr>
        <w:tc>
          <w:tcPr>
            <w:tcW w:w="1635" w:type="dxa"/>
          </w:tcPr>
          <w:p w14:paraId="7CDA7393" w14:textId="77777777" w:rsidR="00D62309" w:rsidRDefault="00D62309" w:rsidP="00CA262D">
            <w:pPr>
              <w:pStyle w:val="TableParagraph"/>
              <w:spacing w:before="29"/>
              <w:ind w:left="504"/>
              <w:rPr>
                <w:sz w:val="24"/>
              </w:rPr>
            </w:pPr>
            <w:r>
              <w:rPr>
                <w:spacing w:val="-2"/>
                <w:sz w:val="24"/>
              </w:rPr>
              <w:t>Absent</w:t>
            </w:r>
          </w:p>
        </w:tc>
        <w:tc>
          <w:tcPr>
            <w:tcW w:w="1036" w:type="dxa"/>
          </w:tcPr>
          <w:p w14:paraId="6390C5B0" w14:textId="77777777" w:rsidR="00D62309" w:rsidRDefault="00D62309" w:rsidP="00CA262D">
            <w:pPr>
              <w:pStyle w:val="TableParagraph"/>
              <w:spacing w:before="29"/>
              <w:ind w:right="155"/>
              <w:jc w:val="right"/>
              <w:rPr>
                <w:sz w:val="24"/>
              </w:rPr>
            </w:pPr>
            <w:r>
              <w:rPr>
                <w:spacing w:val="-5"/>
                <w:sz w:val="24"/>
              </w:rPr>
              <w:t>23</w:t>
            </w:r>
          </w:p>
        </w:tc>
        <w:tc>
          <w:tcPr>
            <w:tcW w:w="1946" w:type="dxa"/>
          </w:tcPr>
          <w:p w14:paraId="43FCD15F" w14:textId="77777777" w:rsidR="00D62309" w:rsidRDefault="00D62309" w:rsidP="00CA262D">
            <w:pPr>
              <w:pStyle w:val="TableParagraph"/>
              <w:spacing w:before="29"/>
              <w:ind w:left="794"/>
              <w:rPr>
                <w:sz w:val="24"/>
              </w:rPr>
            </w:pPr>
            <w:r>
              <w:rPr>
                <w:spacing w:val="-2"/>
                <w:sz w:val="24"/>
              </w:rPr>
              <w:t>81.80%</w:t>
            </w:r>
          </w:p>
        </w:tc>
        <w:tc>
          <w:tcPr>
            <w:tcW w:w="892" w:type="dxa"/>
          </w:tcPr>
          <w:p w14:paraId="54F8FA95" w14:textId="77777777" w:rsidR="00D62309" w:rsidRDefault="00D62309" w:rsidP="00CA262D">
            <w:pPr>
              <w:pStyle w:val="TableParagraph"/>
              <w:spacing w:before="29"/>
              <w:ind w:right="172"/>
              <w:jc w:val="right"/>
              <w:rPr>
                <w:sz w:val="24"/>
              </w:rPr>
            </w:pPr>
            <w:r>
              <w:rPr>
                <w:spacing w:val="-10"/>
                <w:sz w:val="24"/>
              </w:rPr>
              <w:t>6</w:t>
            </w:r>
          </w:p>
        </w:tc>
        <w:tc>
          <w:tcPr>
            <w:tcW w:w="1855" w:type="dxa"/>
          </w:tcPr>
          <w:p w14:paraId="6EB2147F" w14:textId="77777777" w:rsidR="00D62309" w:rsidRDefault="00D62309" w:rsidP="00CA262D">
            <w:pPr>
              <w:pStyle w:val="TableParagraph"/>
              <w:spacing w:before="29"/>
              <w:ind w:left="700"/>
              <w:rPr>
                <w:sz w:val="24"/>
              </w:rPr>
            </w:pPr>
            <w:r>
              <w:rPr>
                <w:spacing w:val="-2"/>
                <w:sz w:val="24"/>
              </w:rPr>
              <w:t>18.2%</w:t>
            </w:r>
          </w:p>
        </w:tc>
        <w:tc>
          <w:tcPr>
            <w:tcW w:w="1099" w:type="dxa"/>
          </w:tcPr>
          <w:p w14:paraId="40C93B55" w14:textId="77777777" w:rsidR="00D62309" w:rsidRDefault="00D62309" w:rsidP="00CA262D">
            <w:pPr>
              <w:pStyle w:val="TableParagraph"/>
            </w:pPr>
          </w:p>
        </w:tc>
      </w:tr>
      <w:tr w:rsidR="00D62309" w14:paraId="7642E8AF" w14:textId="77777777" w:rsidTr="00D62309">
        <w:trPr>
          <w:trHeight w:val="478"/>
        </w:trPr>
        <w:tc>
          <w:tcPr>
            <w:tcW w:w="1635" w:type="dxa"/>
            <w:tcBorders>
              <w:bottom w:val="single" w:sz="4" w:space="0" w:color="auto"/>
            </w:tcBorders>
          </w:tcPr>
          <w:p w14:paraId="30B6D301" w14:textId="77777777" w:rsidR="00D62309" w:rsidRDefault="00D62309" w:rsidP="00CA262D">
            <w:pPr>
              <w:pStyle w:val="TableParagraph"/>
              <w:spacing w:before="203" w:line="256" w:lineRule="exact"/>
              <w:ind w:left="592"/>
              <w:rPr>
                <w:sz w:val="24"/>
              </w:rPr>
            </w:pPr>
            <w:r>
              <w:rPr>
                <w:spacing w:val="-2"/>
                <w:sz w:val="24"/>
              </w:rPr>
              <w:t>Total</w:t>
            </w:r>
          </w:p>
        </w:tc>
        <w:tc>
          <w:tcPr>
            <w:tcW w:w="1036" w:type="dxa"/>
            <w:tcBorders>
              <w:bottom w:val="single" w:sz="4" w:space="0" w:color="auto"/>
            </w:tcBorders>
          </w:tcPr>
          <w:p w14:paraId="70C99345" w14:textId="77777777" w:rsidR="00D62309" w:rsidRDefault="00D62309" w:rsidP="00CA262D">
            <w:pPr>
              <w:pStyle w:val="TableParagraph"/>
              <w:spacing w:before="203" w:line="256" w:lineRule="exact"/>
              <w:ind w:right="155"/>
              <w:jc w:val="right"/>
              <w:rPr>
                <w:sz w:val="24"/>
              </w:rPr>
            </w:pPr>
            <w:r>
              <w:rPr>
                <w:spacing w:val="-5"/>
                <w:sz w:val="24"/>
              </w:rPr>
              <w:t>27</w:t>
            </w:r>
          </w:p>
        </w:tc>
        <w:tc>
          <w:tcPr>
            <w:tcW w:w="1946" w:type="dxa"/>
            <w:tcBorders>
              <w:bottom w:val="single" w:sz="4" w:space="0" w:color="auto"/>
            </w:tcBorders>
          </w:tcPr>
          <w:p w14:paraId="0023C0F8" w14:textId="77777777" w:rsidR="00D62309" w:rsidRDefault="00D62309" w:rsidP="00CA262D">
            <w:pPr>
              <w:pStyle w:val="TableParagraph"/>
            </w:pPr>
          </w:p>
        </w:tc>
        <w:tc>
          <w:tcPr>
            <w:tcW w:w="892" w:type="dxa"/>
            <w:tcBorders>
              <w:bottom w:val="single" w:sz="4" w:space="0" w:color="auto"/>
            </w:tcBorders>
          </w:tcPr>
          <w:p w14:paraId="76AEAA28" w14:textId="77777777" w:rsidR="00D62309" w:rsidRDefault="00D62309" w:rsidP="00CA262D">
            <w:pPr>
              <w:pStyle w:val="TableParagraph"/>
              <w:spacing w:before="203" w:line="256" w:lineRule="exact"/>
              <w:ind w:right="172"/>
              <w:jc w:val="right"/>
              <w:rPr>
                <w:sz w:val="24"/>
              </w:rPr>
            </w:pPr>
            <w:r>
              <w:rPr>
                <w:spacing w:val="-10"/>
                <w:sz w:val="24"/>
              </w:rPr>
              <w:t>6</w:t>
            </w:r>
          </w:p>
        </w:tc>
        <w:tc>
          <w:tcPr>
            <w:tcW w:w="1855" w:type="dxa"/>
            <w:tcBorders>
              <w:bottom w:val="single" w:sz="4" w:space="0" w:color="auto"/>
            </w:tcBorders>
          </w:tcPr>
          <w:p w14:paraId="25C2A5FD" w14:textId="77777777" w:rsidR="00D62309" w:rsidRDefault="00D62309" w:rsidP="00CA262D">
            <w:pPr>
              <w:pStyle w:val="TableParagraph"/>
            </w:pPr>
          </w:p>
        </w:tc>
        <w:tc>
          <w:tcPr>
            <w:tcW w:w="1099" w:type="dxa"/>
            <w:tcBorders>
              <w:bottom w:val="single" w:sz="4" w:space="0" w:color="auto"/>
            </w:tcBorders>
          </w:tcPr>
          <w:p w14:paraId="37669A86" w14:textId="77777777" w:rsidR="00D62309" w:rsidRDefault="00D62309" w:rsidP="00CA262D">
            <w:pPr>
              <w:pStyle w:val="TableParagraph"/>
            </w:pPr>
          </w:p>
        </w:tc>
      </w:tr>
    </w:tbl>
    <w:p w14:paraId="7FE571E3" w14:textId="77777777" w:rsidR="00D62309" w:rsidRDefault="00D62309" w:rsidP="00AD6033">
      <w:pPr>
        <w:spacing w:line="360" w:lineRule="auto"/>
        <w:jc w:val="both"/>
        <w:rPr>
          <w:sz w:val="24"/>
        </w:rPr>
      </w:pPr>
    </w:p>
    <w:p w14:paraId="204F1C76" w14:textId="77777777" w:rsidR="00682FFA" w:rsidRPr="00D62309" w:rsidRDefault="00D62309" w:rsidP="00D62309">
      <w:pPr>
        <w:spacing w:line="360" w:lineRule="auto"/>
        <w:jc w:val="center"/>
        <w:rPr>
          <w:b/>
          <w:sz w:val="24"/>
        </w:rPr>
      </w:pPr>
      <w:r w:rsidRPr="00D62309">
        <w:rPr>
          <w:b/>
          <w:sz w:val="24"/>
        </w:rPr>
        <w:t xml:space="preserve">Table 3 showing distribution of respondent’s </w:t>
      </w:r>
      <w:proofErr w:type="spellStart"/>
      <w:r w:rsidRPr="00D62309">
        <w:rPr>
          <w:b/>
          <w:sz w:val="24"/>
        </w:rPr>
        <w:t>lymphovascular</w:t>
      </w:r>
      <w:proofErr w:type="spellEnd"/>
      <w:r w:rsidRPr="00D62309">
        <w:rPr>
          <w:b/>
          <w:sz w:val="24"/>
        </w:rPr>
        <w:t xml:space="preserve"> invasion (LVI) &amp; Perineural Invasion (PNI) status according to Microsatellite status (n=33)</w:t>
      </w:r>
    </w:p>
    <w:p w14:paraId="16038C3F" w14:textId="77777777" w:rsidR="00682FFA" w:rsidRDefault="00682FFA" w:rsidP="00D62309">
      <w:pPr>
        <w:spacing w:line="360" w:lineRule="auto"/>
        <w:jc w:val="center"/>
        <w:rPr>
          <w:sz w:val="24"/>
        </w:rPr>
      </w:pPr>
    </w:p>
    <w:p w14:paraId="21281B44" w14:textId="77777777" w:rsidR="00D62309" w:rsidRDefault="00D62309" w:rsidP="00D62309">
      <w:pPr>
        <w:spacing w:line="360" w:lineRule="auto"/>
        <w:jc w:val="center"/>
        <w:rPr>
          <w:sz w:val="24"/>
        </w:rPr>
      </w:pPr>
    </w:p>
    <w:p w14:paraId="1AAAB308" w14:textId="77777777" w:rsidR="00D62309" w:rsidRDefault="00D62309" w:rsidP="00D62309">
      <w:pPr>
        <w:spacing w:line="360" w:lineRule="auto"/>
        <w:jc w:val="center"/>
        <w:rPr>
          <w:sz w:val="24"/>
        </w:rPr>
      </w:pPr>
    </w:p>
    <w:p w14:paraId="21A2FDA5" w14:textId="77777777" w:rsidR="00D62309" w:rsidRDefault="00D62309" w:rsidP="00D62309">
      <w:pPr>
        <w:spacing w:line="360" w:lineRule="auto"/>
        <w:jc w:val="center"/>
        <w:rPr>
          <w:sz w:val="24"/>
        </w:rPr>
      </w:pPr>
    </w:p>
    <w:p w14:paraId="04E95E37" w14:textId="77777777" w:rsidR="00D62309" w:rsidRDefault="00D62309" w:rsidP="00D62309">
      <w:pPr>
        <w:spacing w:line="360" w:lineRule="auto"/>
        <w:jc w:val="center"/>
        <w:rPr>
          <w:sz w:val="24"/>
        </w:rPr>
      </w:pPr>
      <w:bookmarkStart w:id="0" w:name="_GoBack"/>
      <w:bookmarkEnd w:id="0"/>
    </w:p>
    <w:p w14:paraId="07D00B19" w14:textId="77777777" w:rsidR="00D62309" w:rsidRDefault="00881F7C" w:rsidP="00D62309">
      <w:pPr>
        <w:spacing w:line="360" w:lineRule="auto"/>
        <w:jc w:val="both"/>
        <w:rPr>
          <w:b/>
          <w:sz w:val="24"/>
        </w:rPr>
      </w:pPr>
      <w:r w:rsidRPr="00881F7C">
        <w:rPr>
          <w:b/>
          <w:sz w:val="24"/>
        </w:rPr>
        <w:lastRenderedPageBreak/>
        <w:t>Discussion:</w:t>
      </w:r>
    </w:p>
    <w:p w14:paraId="53466A83" w14:textId="77777777" w:rsidR="00881F7C" w:rsidRPr="00881F7C" w:rsidRDefault="00881F7C" w:rsidP="00D62309">
      <w:pPr>
        <w:spacing w:line="360" w:lineRule="auto"/>
        <w:jc w:val="both"/>
        <w:rPr>
          <w:sz w:val="24"/>
        </w:rPr>
      </w:pPr>
      <w:r w:rsidRPr="00881F7C">
        <w:rPr>
          <w:sz w:val="24"/>
        </w:rPr>
        <w:t>Gastric cancer remains one of the most common and deadly cancers worldwide, with high morbidity and mortality rates, particularly in Asian countries, including Bangladesh. At the National Institute of Cancer Research and Hospital (NICRH), the burden of gastric cancer is significant, presenting a need for research into biomarkers that could guide diagnosis, prognosis, and personalized treatment.</w:t>
      </w:r>
    </w:p>
    <w:p w14:paraId="4F7118C7" w14:textId="77777777" w:rsidR="00881F7C" w:rsidRPr="00881F7C" w:rsidRDefault="00881F7C" w:rsidP="00881F7C">
      <w:pPr>
        <w:spacing w:line="360" w:lineRule="auto"/>
        <w:jc w:val="both"/>
        <w:rPr>
          <w:sz w:val="24"/>
        </w:rPr>
      </w:pPr>
      <w:r w:rsidRPr="00881F7C">
        <w:rPr>
          <w:sz w:val="24"/>
        </w:rPr>
        <w:t>Both the Asian Cancer Research Group (ACRG) in 2015 and the Cancer Genome Atlas (TCGA) in 2014 developed molecular categorization systems of gastric carcinoma that found linked to distinct molecular and clinical characteristics (Feig, 2023</w:t>
      </w:r>
      <w:proofErr w:type="gramStart"/>
      <w:r w:rsidRPr="00881F7C">
        <w:rPr>
          <w:sz w:val="24"/>
        </w:rPr>
        <w:t>).The</w:t>
      </w:r>
      <w:proofErr w:type="gramEnd"/>
      <w:r w:rsidRPr="00881F7C">
        <w:rPr>
          <w:sz w:val="24"/>
        </w:rPr>
        <w:t xml:space="preserve"> Microsatellite Instability (MSI) subgroup was identified as a unique and well-defined entity (Isabel et al., 2021).</w:t>
      </w:r>
    </w:p>
    <w:p w14:paraId="40D0676E" w14:textId="77777777" w:rsidR="00881F7C" w:rsidRPr="00A554DB" w:rsidRDefault="00881F7C" w:rsidP="00881F7C">
      <w:pPr>
        <w:spacing w:line="360" w:lineRule="auto"/>
        <w:jc w:val="both"/>
        <w:rPr>
          <w:sz w:val="24"/>
        </w:rPr>
      </w:pPr>
      <w:r w:rsidRPr="00881F7C">
        <w:rPr>
          <w:sz w:val="24"/>
        </w:rPr>
        <w:t xml:space="preserve">In this study MSI was identified in six (06) </w:t>
      </w:r>
      <w:proofErr w:type="gramStart"/>
      <w:r w:rsidRPr="00881F7C">
        <w:rPr>
          <w:sz w:val="24"/>
        </w:rPr>
        <w:t>patients( 18.81</w:t>
      </w:r>
      <w:proofErr w:type="gramEnd"/>
      <w:r w:rsidRPr="00881F7C">
        <w:rPr>
          <w:sz w:val="24"/>
        </w:rPr>
        <w:t xml:space="preserve">%) out of thirty three (33) patients . According to the </w:t>
      </w:r>
      <w:proofErr w:type="gramStart"/>
      <w:r w:rsidRPr="00881F7C">
        <w:rPr>
          <w:sz w:val="24"/>
        </w:rPr>
        <w:t>TCGA ,</w:t>
      </w:r>
      <w:proofErr w:type="gramEnd"/>
      <w:r w:rsidRPr="00881F7C">
        <w:rPr>
          <w:sz w:val="24"/>
        </w:rPr>
        <w:t xml:space="preserve"> MSI was found in 21.7% of gastric carcinoma patients (Guan et al., 2021) . According to Isabel et al., 2021, MSI was identified in 23 (16.2%) patients out of 142 patients. Similar to </w:t>
      </w:r>
      <w:r>
        <w:rPr>
          <w:sz w:val="24"/>
        </w:rPr>
        <w:t xml:space="preserve">this study, MSI was detected in </w:t>
      </w:r>
      <w:r w:rsidRPr="00881F7C">
        <w:rPr>
          <w:sz w:val="24"/>
        </w:rPr>
        <w:t xml:space="preserve">10-22% cases of gastric adenocarcinoma (Ratti et al., 2018). But in another </w:t>
      </w:r>
      <w:proofErr w:type="gramStart"/>
      <w:r w:rsidRPr="00881F7C">
        <w:rPr>
          <w:sz w:val="24"/>
        </w:rPr>
        <w:t>study ,</w:t>
      </w:r>
      <w:proofErr w:type="gramEnd"/>
      <w:r w:rsidRPr="00881F7C">
        <w:rPr>
          <w:sz w:val="24"/>
        </w:rPr>
        <w:t xml:space="preserve"> dissimilarity was found where 6.6 % MSI was detected in a retrospective study done in China (Guan et al., 2021). </w:t>
      </w:r>
      <w:proofErr w:type="gramStart"/>
      <w:r w:rsidRPr="00881F7C">
        <w:rPr>
          <w:sz w:val="24"/>
        </w:rPr>
        <w:t>But ,</w:t>
      </w:r>
      <w:proofErr w:type="gramEnd"/>
      <w:r w:rsidRPr="00881F7C">
        <w:rPr>
          <w:sz w:val="24"/>
        </w:rPr>
        <w:t xml:space="preserve"> detection of MSI in gastric carcinoma is ranging from 8-25% (</w:t>
      </w:r>
      <w:proofErr w:type="spellStart"/>
      <w:r w:rsidRPr="00881F7C">
        <w:rPr>
          <w:sz w:val="24"/>
        </w:rPr>
        <w:t>Puliga</w:t>
      </w:r>
      <w:proofErr w:type="spellEnd"/>
      <w:r w:rsidRPr="00881F7C">
        <w:rPr>
          <w:sz w:val="24"/>
        </w:rPr>
        <w:t xml:space="preserve"> et al., 2021 ; Van Velzen et al., 2020 ).</w:t>
      </w:r>
    </w:p>
    <w:p w14:paraId="161CB856" w14:textId="77777777" w:rsidR="00881F7C" w:rsidRDefault="00881F7C" w:rsidP="00881F7C">
      <w:pPr>
        <w:spacing w:line="360" w:lineRule="auto"/>
        <w:jc w:val="both"/>
        <w:rPr>
          <w:sz w:val="24"/>
        </w:rPr>
      </w:pPr>
      <w:r w:rsidRPr="00881F7C">
        <w:rPr>
          <w:sz w:val="24"/>
        </w:rPr>
        <w:t xml:space="preserve">According to National Comprehensive Cancer Network (NCCN) Clinical Practice Guidelines in </w:t>
      </w:r>
      <w:proofErr w:type="gramStart"/>
      <w:r w:rsidRPr="00881F7C">
        <w:rPr>
          <w:sz w:val="24"/>
        </w:rPr>
        <w:t>Oncology(</w:t>
      </w:r>
      <w:proofErr w:type="gramEnd"/>
      <w:r w:rsidRPr="00881F7C">
        <w:rPr>
          <w:sz w:val="24"/>
        </w:rPr>
        <w:t xml:space="preserve">2024), neoadjuvant chemotherapy is given in twenty patients (60.6%) and upfront surgery was done in thirteen patients (39.4%) . MSI-H was found in six patients who undergone upfront surgery and there was significant association </w:t>
      </w:r>
      <w:proofErr w:type="gramStart"/>
      <w:r w:rsidRPr="00881F7C">
        <w:rPr>
          <w:sz w:val="24"/>
        </w:rPr>
        <w:t>( P</w:t>
      </w:r>
      <w:proofErr w:type="gramEnd"/>
      <w:r w:rsidRPr="00881F7C">
        <w:rPr>
          <w:sz w:val="24"/>
        </w:rPr>
        <w:t xml:space="preserve">=.002). </w:t>
      </w:r>
      <w:proofErr w:type="spellStart"/>
      <w:r w:rsidRPr="00881F7C">
        <w:rPr>
          <w:sz w:val="24"/>
        </w:rPr>
        <w:t>Polom</w:t>
      </w:r>
      <w:proofErr w:type="spellEnd"/>
      <w:r w:rsidRPr="00881F7C">
        <w:rPr>
          <w:sz w:val="24"/>
        </w:rPr>
        <w:t xml:space="preserve"> et al. (2018) demonstrated that the MSI group's OS was superior to that of the upfront surgery group without perioperative chemotherapy. The MAGIC, CLASSIC, ARTIST, and ITCA-S trials were meta-analyzed, and the results showed that the MSS group responded better to chemotherapy and surgery than the MSI-H groups. The overall survival rate was higher for patients with </w:t>
      </w:r>
      <w:proofErr w:type="spellStart"/>
      <w:r w:rsidRPr="00881F7C">
        <w:rPr>
          <w:sz w:val="24"/>
        </w:rPr>
        <w:t>resectable</w:t>
      </w:r>
      <w:proofErr w:type="spellEnd"/>
      <w:r w:rsidRPr="00881F7C">
        <w:rPr>
          <w:sz w:val="24"/>
        </w:rPr>
        <w:t xml:space="preserve"> MSI- H gastric than for MSS patients in situations of upfront surgery.</w:t>
      </w:r>
    </w:p>
    <w:p w14:paraId="66D878C2" w14:textId="77777777" w:rsidR="00881F7C" w:rsidRPr="00881F7C" w:rsidRDefault="00881F7C" w:rsidP="00881F7C">
      <w:pPr>
        <w:spacing w:line="360" w:lineRule="auto"/>
        <w:jc w:val="both"/>
        <w:rPr>
          <w:sz w:val="24"/>
        </w:rPr>
      </w:pPr>
      <w:r w:rsidRPr="00881F7C">
        <w:rPr>
          <w:sz w:val="24"/>
        </w:rPr>
        <w:t xml:space="preserve">Pathological Tumor status </w:t>
      </w:r>
      <w:proofErr w:type="gramStart"/>
      <w:r w:rsidRPr="00881F7C">
        <w:rPr>
          <w:sz w:val="24"/>
        </w:rPr>
        <w:t xml:space="preserve">( </w:t>
      </w:r>
      <w:proofErr w:type="spellStart"/>
      <w:r w:rsidRPr="00881F7C">
        <w:rPr>
          <w:sz w:val="24"/>
        </w:rPr>
        <w:t>pT</w:t>
      </w:r>
      <w:proofErr w:type="spellEnd"/>
      <w:proofErr w:type="gramEnd"/>
      <w:r w:rsidRPr="00881F7C">
        <w:rPr>
          <w:sz w:val="24"/>
        </w:rPr>
        <w:t xml:space="preserve"> ) was investigated in this study. Most of the tumor invaded muscular layer pT3 (51.51%) (Amin and Edge, 2017</w:t>
      </w:r>
      <w:proofErr w:type="gramStart"/>
      <w:r w:rsidRPr="00881F7C">
        <w:rPr>
          <w:sz w:val="24"/>
        </w:rPr>
        <w:t>) .</w:t>
      </w:r>
      <w:proofErr w:type="gramEnd"/>
      <w:r w:rsidRPr="00881F7C">
        <w:rPr>
          <w:sz w:val="24"/>
        </w:rPr>
        <w:t xml:space="preserve"> Pathological assessment of tumor status was following manner (pT1: pT</w:t>
      </w:r>
      <w:proofErr w:type="gramStart"/>
      <w:r w:rsidRPr="00881F7C">
        <w:rPr>
          <w:sz w:val="24"/>
        </w:rPr>
        <w:t>2 :</w:t>
      </w:r>
      <w:proofErr w:type="gramEnd"/>
      <w:r w:rsidRPr="00881F7C">
        <w:rPr>
          <w:sz w:val="24"/>
        </w:rPr>
        <w:t xml:space="preserve"> pT3 : pT4 = 6.06% : 21.21% : 51.51% : 21.21% ). MSI was most comm</w:t>
      </w:r>
      <w:r>
        <w:rPr>
          <w:sz w:val="24"/>
        </w:rPr>
        <w:t>only found in pT2 tumor (42.9</w:t>
      </w:r>
      <w:proofErr w:type="gramStart"/>
      <w:r>
        <w:rPr>
          <w:sz w:val="24"/>
        </w:rPr>
        <w:t>%)</w:t>
      </w:r>
      <w:r w:rsidRPr="00881F7C">
        <w:rPr>
          <w:sz w:val="24"/>
        </w:rPr>
        <w:t>which</w:t>
      </w:r>
      <w:proofErr w:type="gramEnd"/>
      <w:r w:rsidRPr="00881F7C">
        <w:rPr>
          <w:sz w:val="24"/>
        </w:rPr>
        <w:t xml:space="preserve"> showed a significant association between tumor status (loco-regional) with microsatellite instability (p = .004). This findings was similar </w:t>
      </w:r>
      <w:r w:rsidRPr="00881F7C">
        <w:rPr>
          <w:sz w:val="24"/>
        </w:rPr>
        <w:lastRenderedPageBreak/>
        <w:t xml:space="preserve">with other studies where MSI was associated with earlier TNM staging (p &lt; .005) (Guan et al., </w:t>
      </w:r>
      <w:proofErr w:type="gramStart"/>
      <w:r w:rsidRPr="00881F7C">
        <w:rPr>
          <w:sz w:val="24"/>
        </w:rPr>
        <w:t>2021 ;</w:t>
      </w:r>
      <w:proofErr w:type="gramEnd"/>
      <w:r w:rsidRPr="00881F7C">
        <w:rPr>
          <w:sz w:val="24"/>
        </w:rPr>
        <w:t xml:space="preserve"> Corso, 2009, Kim et al., 2019 ). But another studies where no association was found between MSI with early stage gastric carcinoma </w:t>
      </w:r>
      <w:proofErr w:type="gramStart"/>
      <w:r w:rsidRPr="00881F7C">
        <w:rPr>
          <w:sz w:val="24"/>
        </w:rPr>
        <w:t>( Vos</w:t>
      </w:r>
      <w:proofErr w:type="gramEnd"/>
      <w:r w:rsidRPr="00881F7C">
        <w:rPr>
          <w:sz w:val="24"/>
        </w:rPr>
        <w:t xml:space="preserve"> et al., 2022;Isabel et al., 2021).</w:t>
      </w:r>
    </w:p>
    <w:p w14:paraId="199D8930" w14:textId="77777777" w:rsidR="00881F7C" w:rsidRPr="00881F7C" w:rsidRDefault="00881F7C" w:rsidP="00881F7C">
      <w:pPr>
        <w:spacing w:line="360" w:lineRule="auto"/>
        <w:jc w:val="both"/>
        <w:rPr>
          <w:sz w:val="24"/>
        </w:rPr>
      </w:pPr>
      <w:r w:rsidRPr="00881F7C">
        <w:rPr>
          <w:sz w:val="24"/>
        </w:rPr>
        <w:t xml:space="preserve">Pathological Nodal status </w:t>
      </w:r>
      <w:proofErr w:type="gramStart"/>
      <w:r w:rsidRPr="00881F7C">
        <w:rPr>
          <w:sz w:val="24"/>
        </w:rPr>
        <w:t xml:space="preserve">( </w:t>
      </w:r>
      <w:proofErr w:type="spellStart"/>
      <w:r w:rsidRPr="00881F7C">
        <w:rPr>
          <w:sz w:val="24"/>
        </w:rPr>
        <w:t>pN</w:t>
      </w:r>
      <w:proofErr w:type="spellEnd"/>
      <w:proofErr w:type="gramEnd"/>
      <w:r w:rsidRPr="00881F7C">
        <w:rPr>
          <w:sz w:val="24"/>
        </w:rPr>
        <w:t xml:space="preserve"> ) was also investigated in this study. Most of the tumor (pN</w:t>
      </w:r>
      <w:proofErr w:type="gramStart"/>
      <w:r w:rsidRPr="00881F7C">
        <w:rPr>
          <w:sz w:val="24"/>
        </w:rPr>
        <w:t>0 )</w:t>
      </w:r>
      <w:proofErr w:type="gramEnd"/>
      <w:r w:rsidRPr="00881F7C">
        <w:rPr>
          <w:sz w:val="24"/>
        </w:rPr>
        <w:t xml:space="preserve"> (39.39%) (Amin and Edge, 2017). Though pN0 was seen more in MSS variety than MSI - H variety </w:t>
      </w:r>
      <w:proofErr w:type="gramStart"/>
      <w:r w:rsidRPr="00881F7C">
        <w:rPr>
          <w:sz w:val="24"/>
        </w:rPr>
        <w:t>( 53.80</w:t>
      </w:r>
      <w:proofErr w:type="gramEnd"/>
      <w:r w:rsidRPr="00881F7C">
        <w:rPr>
          <w:sz w:val="24"/>
        </w:rPr>
        <w:t xml:space="preserve">% vs 46.20% ) in this study but there was a significant association with MSI status with nodal involvement (p = .002). This findings was consistent with another study pN0 </w:t>
      </w:r>
      <w:proofErr w:type="gramStart"/>
      <w:r w:rsidRPr="00881F7C">
        <w:rPr>
          <w:sz w:val="24"/>
        </w:rPr>
        <w:t>( MSI</w:t>
      </w:r>
      <w:proofErr w:type="gramEnd"/>
      <w:r w:rsidRPr="00881F7C">
        <w:rPr>
          <w:sz w:val="24"/>
        </w:rPr>
        <w:t xml:space="preserve"> vs MSS : 33.7% vs 20% ) ( p = .001) (Guan et al., 2021 ; Corso, 2009 ) . Prevalence of nodal distribution was correlated with another studies but did </w:t>
      </w:r>
      <w:proofErr w:type="spellStart"/>
      <w:r w:rsidRPr="00881F7C">
        <w:rPr>
          <w:sz w:val="24"/>
        </w:rPr>
        <w:t>no</w:t>
      </w:r>
      <w:proofErr w:type="spellEnd"/>
      <w:r w:rsidRPr="00881F7C">
        <w:rPr>
          <w:sz w:val="24"/>
        </w:rPr>
        <w:t xml:space="preserve"> show any significance </w:t>
      </w:r>
      <w:proofErr w:type="gramStart"/>
      <w:r w:rsidRPr="00881F7C">
        <w:rPr>
          <w:sz w:val="24"/>
        </w:rPr>
        <w:t>( Isabel</w:t>
      </w:r>
      <w:proofErr w:type="gramEnd"/>
      <w:r w:rsidRPr="00881F7C">
        <w:rPr>
          <w:sz w:val="24"/>
        </w:rPr>
        <w:t xml:space="preserve"> et al., 2021) . Other studies also showed similar results </w:t>
      </w:r>
      <w:proofErr w:type="gramStart"/>
      <w:r w:rsidRPr="00881F7C">
        <w:rPr>
          <w:sz w:val="24"/>
        </w:rPr>
        <w:t xml:space="preserve">( </w:t>
      </w:r>
      <w:proofErr w:type="spellStart"/>
      <w:r w:rsidRPr="00881F7C">
        <w:rPr>
          <w:sz w:val="24"/>
        </w:rPr>
        <w:t>Puliga</w:t>
      </w:r>
      <w:proofErr w:type="spellEnd"/>
      <w:proofErr w:type="gramEnd"/>
      <w:r w:rsidRPr="00881F7C">
        <w:rPr>
          <w:sz w:val="24"/>
        </w:rPr>
        <w:t xml:space="preserve"> et al., 2021, Vos et al., 2022). But there was no relation found between nodal status with microsatellite status in other study </w:t>
      </w:r>
      <w:proofErr w:type="gramStart"/>
      <w:r w:rsidRPr="00881F7C">
        <w:rPr>
          <w:sz w:val="24"/>
        </w:rPr>
        <w:t>( Kim</w:t>
      </w:r>
      <w:proofErr w:type="gramEnd"/>
      <w:r w:rsidRPr="00881F7C">
        <w:rPr>
          <w:sz w:val="24"/>
        </w:rPr>
        <w:t xml:space="preserve"> et al., 2010; Kim et al.,2019 ).</w:t>
      </w:r>
    </w:p>
    <w:p w14:paraId="4BA4C0B1" w14:textId="77777777" w:rsidR="00881F7C" w:rsidRPr="00881F7C" w:rsidRDefault="00881F7C" w:rsidP="00881F7C">
      <w:pPr>
        <w:spacing w:line="360" w:lineRule="auto"/>
        <w:jc w:val="both"/>
        <w:rPr>
          <w:sz w:val="24"/>
        </w:rPr>
      </w:pPr>
      <w:r w:rsidRPr="00881F7C">
        <w:rPr>
          <w:sz w:val="24"/>
        </w:rPr>
        <w:t xml:space="preserve">Relation between </w:t>
      </w:r>
      <w:proofErr w:type="spellStart"/>
      <w:r w:rsidRPr="00881F7C">
        <w:rPr>
          <w:sz w:val="24"/>
        </w:rPr>
        <w:t>lymphovascular</w:t>
      </w:r>
      <w:proofErr w:type="spellEnd"/>
      <w:r w:rsidRPr="00881F7C">
        <w:rPr>
          <w:sz w:val="24"/>
        </w:rPr>
        <w:t xml:space="preserve"> Invasion (LVI) with microsatellite </w:t>
      </w:r>
      <w:proofErr w:type="spellStart"/>
      <w:r w:rsidRPr="00881F7C">
        <w:rPr>
          <w:sz w:val="24"/>
        </w:rPr>
        <w:t>staus</w:t>
      </w:r>
      <w:proofErr w:type="spellEnd"/>
      <w:r w:rsidRPr="00881F7C">
        <w:rPr>
          <w:sz w:val="24"/>
        </w:rPr>
        <w:t xml:space="preserve"> of gastric carcinoma was also seen in this </w:t>
      </w:r>
      <w:proofErr w:type="gramStart"/>
      <w:r w:rsidRPr="00881F7C">
        <w:rPr>
          <w:sz w:val="24"/>
        </w:rPr>
        <w:t>study .</w:t>
      </w:r>
      <w:proofErr w:type="gramEnd"/>
      <w:r w:rsidRPr="00881F7C">
        <w:rPr>
          <w:sz w:val="24"/>
        </w:rPr>
        <w:t xml:space="preserve"> LVI was present sixteen (16) </w:t>
      </w:r>
      <w:proofErr w:type="gramStart"/>
      <w:r w:rsidRPr="00881F7C">
        <w:rPr>
          <w:sz w:val="24"/>
        </w:rPr>
        <w:t>( 48.48</w:t>
      </w:r>
      <w:proofErr w:type="gramEnd"/>
      <w:r w:rsidRPr="00881F7C">
        <w:rPr>
          <w:sz w:val="24"/>
        </w:rPr>
        <w:t xml:space="preserve">%) cases out of thirty three (33) cases . Relation of LVI presence status was analyzed </w:t>
      </w:r>
      <w:proofErr w:type="gramStart"/>
      <w:r w:rsidRPr="00881F7C">
        <w:rPr>
          <w:sz w:val="24"/>
        </w:rPr>
        <w:t>( MSS</w:t>
      </w:r>
      <w:proofErr w:type="gramEnd"/>
      <w:r w:rsidRPr="00881F7C">
        <w:rPr>
          <w:sz w:val="24"/>
        </w:rPr>
        <w:t xml:space="preserve"> vs MSI-H : 93.75% vs 6.25% ; p = .175 ) . This similar findings was found in other studies </w:t>
      </w:r>
      <w:proofErr w:type="gramStart"/>
      <w:r w:rsidRPr="00881F7C">
        <w:rPr>
          <w:sz w:val="24"/>
        </w:rPr>
        <w:t>( Isabel</w:t>
      </w:r>
      <w:proofErr w:type="gramEnd"/>
      <w:r w:rsidRPr="00881F7C">
        <w:rPr>
          <w:sz w:val="24"/>
        </w:rPr>
        <w:t xml:space="preserve"> et al., 2021). This result was mismatched with the findings of other study where LVI showed significant association with MSI status </w:t>
      </w:r>
      <w:proofErr w:type="gramStart"/>
      <w:r w:rsidRPr="00881F7C">
        <w:rPr>
          <w:sz w:val="24"/>
        </w:rPr>
        <w:t>( p</w:t>
      </w:r>
      <w:proofErr w:type="gramEnd"/>
      <w:r w:rsidRPr="00881F7C">
        <w:rPr>
          <w:sz w:val="24"/>
        </w:rPr>
        <w:t>&lt; .005) ( Kim et al ., 2019).</w:t>
      </w:r>
    </w:p>
    <w:p w14:paraId="0A81205E" w14:textId="77777777" w:rsidR="00881F7C" w:rsidRPr="00881F7C" w:rsidRDefault="00881F7C" w:rsidP="00881F7C">
      <w:pPr>
        <w:spacing w:line="360" w:lineRule="auto"/>
        <w:jc w:val="both"/>
        <w:rPr>
          <w:sz w:val="24"/>
        </w:rPr>
      </w:pPr>
      <w:r w:rsidRPr="00881F7C">
        <w:rPr>
          <w:sz w:val="24"/>
        </w:rPr>
        <w:t xml:space="preserve">There was no relation found between perineural invasion (PNI) with microsatellite status of gastric carcinoma in this </w:t>
      </w:r>
      <w:proofErr w:type="gramStart"/>
      <w:r w:rsidRPr="00881F7C">
        <w:rPr>
          <w:sz w:val="24"/>
        </w:rPr>
        <w:t>study .</w:t>
      </w:r>
      <w:proofErr w:type="gramEnd"/>
      <w:r w:rsidRPr="00881F7C">
        <w:rPr>
          <w:sz w:val="24"/>
        </w:rPr>
        <w:t xml:space="preserve"> PNI was present four (04) </w:t>
      </w:r>
      <w:proofErr w:type="gramStart"/>
      <w:r w:rsidRPr="00881F7C">
        <w:rPr>
          <w:sz w:val="24"/>
        </w:rPr>
        <w:t>( 12.12</w:t>
      </w:r>
      <w:proofErr w:type="gramEnd"/>
      <w:r w:rsidRPr="00881F7C">
        <w:rPr>
          <w:sz w:val="24"/>
        </w:rPr>
        <w:t xml:space="preserve">%) cases out of thirty three (33) cases . Relation of PNI presence status was analyzed </w:t>
      </w:r>
      <w:proofErr w:type="gramStart"/>
      <w:r w:rsidRPr="00881F7C">
        <w:rPr>
          <w:sz w:val="24"/>
        </w:rPr>
        <w:t>( MSS</w:t>
      </w:r>
      <w:proofErr w:type="gramEnd"/>
      <w:r w:rsidRPr="00881F7C">
        <w:rPr>
          <w:sz w:val="24"/>
        </w:rPr>
        <w:t xml:space="preserve"> vs MSI-H : 100.0% vs 0.0% ; p = .429 ) where no association was found between PNI &amp; microsatellite status.</w:t>
      </w:r>
    </w:p>
    <w:p w14:paraId="16C3765D" w14:textId="77777777" w:rsidR="00881F7C" w:rsidRPr="00881F7C" w:rsidRDefault="00881F7C" w:rsidP="00881F7C">
      <w:pPr>
        <w:spacing w:line="360" w:lineRule="auto"/>
        <w:jc w:val="both"/>
        <w:rPr>
          <w:sz w:val="24"/>
        </w:rPr>
      </w:pPr>
      <w:r w:rsidRPr="00881F7C">
        <w:rPr>
          <w:sz w:val="24"/>
        </w:rPr>
        <w:t>The current study had some limitations. It was a single center study with a small sample size.</w:t>
      </w:r>
      <w:r w:rsidRPr="00881F7C">
        <w:t xml:space="preserve"> </w:t>
      </w:r>
      <w:r w:rsidRPr="00881F7C">
        <w:rPr>
          <w:sz w:val="24"/>
        </w:rPr>
        <w:t>The research did not provide long-term follow-up data, which limits understanding of the impact of MSI status on overall survival and progression-free survival.</w:t>
      </w:r>
    </w:p>
    <w:p w14:paraId="63A09ACF" w14:textId="77777777" w:rsidR="00881F7C" w:rsidRDefault="00881F7C" w:rsidP="00881F7C">
      <w:pPr>
        <w:spacing w:line="360" w:lineRule="auto"/>
        <w:jc w:val="both"/>
        <w:rPr>
          <w:sz w:val="24"/>
        </w:rPr>
      </w:pPr>
    </w:p>
    <w:p w14:paraId="235FECEA" w14:textId="77777777" w:rsidR="00881F7C" w:rsidRDefault="00881F7C" w:rsidP="00881F7C">
      <w:pPr>
        <w:spacing w:line="360" w:lineRule="auto"/>
        <w:jc w:val="both"/>
        <w:rPr>
          <w:sz w:val="24"/>
        </w:rPr>
      </w:pPr>
    </w:p>
    <w:p w14:paraId="32108E32" w14:textId="77777777" w:rsidR="00881F7C" w:rsidRDefault="00881F7C" w:rsidP="00881F7C">
      <w:pPr>
        <w:spacing w:line="360" w:lineRule="auto"/>
        <w:jc w:val="both"/>
        <w:rPr>
          <w:sz w:val="24"/>
        </w:rPr>
      </w:pPr>
    </w:p>
    <w:p w14:paraId="402BEF0D" w14:textId="77777777" w:rsidR="00881F7C" w:rsidRDefault="00881F7C" w:rsidP="00881F7C">
      <w:pPr>
        <w:spacing w:line="360" w:lineRule="auto"/>
        <w:jc w:val="both"/>
        <w:rPr>
          <w:sz w:val="24"/>
        </w:rPr>
      </w:pPr>
    </w:p>
    <w:p w14:paraId="707EAC39" w14:textId="77777777" w:rsidR="00881F7C" w:rsidRDefault="00881F7C" w:rsidP="00881F7C">
      <w:pPr>
        <w:spacing w:line="360" w:lineRule="auto"/>
        <w:jc w:val="both"/>
        <w:rPr>
          <w:sz w:val="24"/>
        </w:rPr>
      </w:pPr>
    </w:p>
    <w:p w14:paraId="46A1F321" w14:textId="77777777" w:rsidR="00881F7C" w:rsidRDefault="00881F7C" w:rsidP="00881F7C">
      <w:pPr>
        <w:spacing w:line="360" w:lineRule="auto"/>
        <w:jc w:val="both"/>
        <w:rPr>
          <w:sz w:val="24"/>
        </w:rPr>
      </w:pPr>
    </w:p>
    <w:p w14:paraId="4DF90C88" w14:textId="77777777" w:rsidR="00881F7C" w:rsidRPr="00881F7C" w:rsidRDefault="00881F7C" w:rsidP="00881F7C">
      <w:pPr>
        <w:spacing w:line="360" w:lineRule="auto"/>
        <w:jc w:val="both"/>
        <w:rPr>
          <w:b/>
          <w:sz w:val="24"/>
        </w:rPr>
      </w:pPr>
      <w:r w:rsidRPr="00881F7C">
        <w:rPr>
          <w:b/>
          <w:sz w:val="24"/>
        </w:rPr>
        <w:lastRenderedPageBreak/>
        <w:t>Conclusion</w:t>
      </w:r>
      <w:r>
        <w:rPr>
          <w:b/>
          <w:sz w:val="24"/>
        </w:rPr>
        <w:t>:</w:t>
      </w:r>
    </w:p>
    <w:p w14:paraId="6662AB8C" w14:textId="77777777" w:rsidR="00881F7C" w:rsidRDefault="00881F7C" w:rsidP="00881F7C">
      <w:pPr>
        <w:spacing w:line="360" w:lineRule="auto"/>
        <w:jc w:val="both"/>
        <w:rPr>
          <w:sz w:val="24"/>
        </w:rPr>
      </w:pPr>
      <w:r w:rsidRPr="00881F7C">
        <w:rPr>
          <w:sz w:val="24"/>
        </w:rPr>
        <w:t>In conclusion, the primary clinicopathological features of our GC patients are male sex, diffuse type, distal location, somewhat differentiated and loco-regional stage, and older age. Gender, age, tumor site and degree of differentiation, LVI, and PNI did not correlate with microsatellite instability, however there was association with intestinal type variety histopathology, early pathological tumor status and less nodal involvement in this study. The knowledge generated from this study will support further research and could serve as a foundation for incorporating MSI testing into routine diagnostic protocols in Bangladesh, enhancing precision medicine efforts in our country.</w:t>
      </w:r>
    </w:p>
    <w:p w14:paraId="725C1A82" w14:textId="77777777" w:rsidR="00881F7C" w:rsidRPr="00881F7C" w:rsidRDefault="00881F7C" w:rsidP="00881F7C">
      <w:pPr>
        <w:spacing w:line="360" w:lineRule="auto"/>
        <w:jc w:val="both"/>
        <w:rPr>
          <w:b/>
          <w:sz w:val="24"/>
        </w:rPr>
      </w:pPr>
      <w:r w:rsidRPr="00881F7C">
        <w:rPr>
          <w:b/>
          <w:sz w:val="24"/>
        </w:rPr>
        <w:t>Consent:</w:t>
      </w:r>
    </w:p>
    <w:p w14:paraId="5271E8B5" w14:textId="77777777" w:rsidR="00881F7C" w:rsidRPr="00881F7C" w:rsidRDefault="00881F7C" w:rsidP="00881F7C">
      <w:pPr>
        <w:spacing w:line="360" w:lineRule="auto"/>
        <w:jc w:val="both"/>
        <w:rPr>
          <w:sz w:val="24"/>
        </w:rPr>
      </w:pPr>
      <w:r w:rsidRPr="00881F7C">
        <w:rPr>
          <w:sz w:val="24"/>
        </w:rPr>
        <w:t>Patient’s informed written consent was taken to publish his/her case for academic purpose.</w:t>
      </w:r>
    </w:p>
    <w:p w14:paraId="76F94EC7" w14:textId="77777777" w:rsidR="00881F7C" w:rsidRPr="00881F7C" w:rsidRDefault="00881F7C" w:rsidP="00881F7C">
      <w:pPr>
        <w:spacing w:line="360" w:lineRule="auto"/>
        <w:jc w:val="both"/>
        <w:rPr>
          <w:b/>
          <w:sz w:val="24"/>
        </w:rPr>
      </w:pPr>
      <w:r w:rsidRPr="00881F7C">
        <w:rPr>
          <w:b/>
          <w:sz w:val="24"/>
        </w:rPr>
        <w:t>Ethical approval:</w:t>
      </w:r>
    </w:p>
    <w:p w14:paraId="55501F21" w14:textId="77777777" w:rsidR="00881F7C" w:rsidRPr="00881F7C" w:rsidRDefault="00881F7C" w:rsidP="00881F7C">
      <w:pPr>
        <w:spacing w:line="360" w:lineRule="auto"/>
        <w:jc w:val="both"/>
        <w:rPr>
          <w:sz w:val="24"/>
        </w:rPr>
      </w:pPr>
      <w:r w:rsidRPr="00881F7C">
        <w:rPr>
          <w:sz w:val="24"/>
        </w:rPr>
        <w:t>As per   international   standards   or   university standards   written   ethical   approval   has   been collected from Institutional Ethical committee and preserved by the authors.</w:t>
      </w:r>
    </w:p>
    <w:p w14:paraId="3557E8AB" w14:textId="77777777" w:rsidR="00881F7C" w:rsidRDefault="00881F7C" w:rsidP="00881F7C">
      <w:pPr>
        <w:spacing w:line="360" w:lineRule="auto"/>
        <w:jc w:val="both"/>
        <w:rPr>
          <w:sz w:val="24"/>
        </w:rPr>
      </w:pPr>
    </w:p>
    <w:p w14:paraId="0885AE68" w14:textId="77777777" w:rsidR="00881F7C" w:rsidRDefault="00881F7C" w:rsidP="00881F7C">
      <w:pPr>
        <w:spacing w:line="360" w:lineRule="auto"/>
        <w:jc w:val="both"/>
        <w:rPr>
          <w:sz w:val="24"/>
        </w:rPr>
      </w:pPr>
    </w:p>
    <w:p w14:paraId="0B808DCC" w14:textId="77777777" w:rsidR="00881F7C" w:rsidRDefault="00881F7C" w:rsidP="00881F7C">
      <w:pPr>
        <w:spacing w:line="360" w:lineRule="auto"/>
        <w:jc w:val="both"/>
        <w:rPr>
          <w:sz w:val="24"/>
        </w:rPr>
      </w:pPr>
    </w:p>
    <w:p w14:paraId="0E3296EC" w14:textId="77777777" w:rsidR="00947334" w:rsidRPr="00947334" w:rsidRDefault="00947334" w:rsidP="00947334">
      <w:pPr>
        <w:spacing w:line="360" w:lineRule="auto"/>
        <w:jc w:val="both"/>
        <w:rPr>
          <w:sz w:val="24"/>
        </w:rPr>
      </w:pPr>
      <w:r w:rsidRPr="00947334">
        <w:rPr>
          <w:sz w:val="24"/>
        </w:rPr>
        <w:t>COMPETING INTERESTS DISCLAIMER:</w:t>
      </w:r>
    </w:p>
    <w:p w14:paraId="5DCC7F8F" w14:textId="45D49BB9" w:rsidR="00881F7C" w:rsidRDefault="00947334" w:rsidP="00947334">
      <w:pPr>
        <w:spacing w:line="360" w:lineRule="auto"/>
        <w:jc w:val="both"/>
        <w:rPr>
          <w:sz w:val="24"/>
        </w:rPr>
      </w:pPr>
      <w:r w:rsidRPr="00947334">
        <w:rPr>
          <w:sz w:val="24"/>
        </w:rPr>
        <w:t>Authors have declared that they have no known competing financial interests OR non-financial interests OR personal relationships that could have appeared to influence the work reported in this paper.</w:t>
      </w:r>
    </w:p>
    <w:p w14:paraId="0946707D" w14:textId="77777777" w:rsidR="00881F7C" w:rsidRDefault="00881F7C" w:rsidP="00881F7C">
      <w:pPr>
        <w:spacing w:line="360" w:lineRule="auto"/>
        <w:jc w:val="both"/>
        <w:rPr>
          <w:sz w:val="24"/>
        </w:rPr>
      </w:pPr>
    </w:p>
    <w:p w14:paraId="6E560F39" w14:textId="77777777" w:rsidR="00881F7C" w:rsidRDefault="00881F7C" w:rsidP="00881F7C">
      <w:pPr>
        <w:spacing w:line="360" w:lineRule="auto"/>
        <w:jc w:val="both"/>
        <w:rPr>
          <w:sz w:val="24"/>
        </w:rPr>
      </w:pPr>
    </w:p>
    <w:p w14:paraId="7692F72A" w14:textId="77777777" w:rsidR="00881F7C" w:rsidRDefault="00881F7C" w:rsidP="00881F7C">
      <w:pPr>
        <w:spacing w:line="360" w:lineRule="auto"/>
        <w:jc w:val="both"/>
        <w:rPr>
          <w:sz w:val="24"/>
        </w:rPr>
      </w:pPr>
    </w:p>
    <w:p w14:paraId="7F20F107" w14:textId="77777777" w:rsidR="00881F7C" w:rsidRDefault="00881F7C" w:rsidP="00881F7C">
      <w:pPr>
        <w:spacing w:line="360" w:lineRule="auto"/>
        <w:jc w:val="both"/>
        <w:rPr>
          <w:sz w:val="24"/>
        </w:rPr>
      </w:pPr>
    </w:p>
    <w:p w14:paraId="2DCB939A" w14:textId="77777777" w:rsidR="00881F7C" w:rsidRDefault="00881F7C" w:rsidP="00881F7C">
      <w:pPr>
        <w:spacing w:line="360" w:lineRule="auto"/>
        <w:jc w:val="both"/>
        <w:rPr>
          <w:sz w:val="24"/>
        </w:rPr>
      </w:pPr>
    </w:p>
    <w:p w14:paraId="75EA50BC" w14:textId="77777777" w:rsidR="00881F7C" w:rsidRDefault="00881F7C" w:rsidP="00881F7C">
      <w:pPr>
        <w:spacing w:line="360" w:lineRule="auto"/>
        <w:jc w:val="both"/>
        <w:rPr>
          <w:sz w:val="24"/>
        </w:rPr>
      </w:pPr>
    </w:p>
    <w:p w14:paraId="39283BAD" w14:textId="77777777" w:rsidR="00881F7C" w:rsidRDefault="00881F7C" w:rsidP="00881F7C">
      <w:pPr>
        <w:spacing w:line="360" w:lineRule="auto"/>
        <w:jc w:val="both"/>
        <w:rPr>
          <w:sz w:val="24"/>
        </w:rPr>
      </w:pPr>
    </w:p>
    <w:p w14:paraId="57862D98" w14:textId="77777777" w:rsidR="00881F7C" w:rsidRDefault="00881F7C" w:rsidP="00881F7C">
      <w:pPr>
        <w:spacing w:line="360" w:lineRule="auto"/>
        <w:jc w:val="both"/>
        <w:rPr>
          <w:sz w:val="24"/>
        </w:rPr>
      </w:pPr>
    </w:p>
    <w:p w14:paraId="51900093" w14:textId="77777777" w:rsidR="00881F7C" w:rsidRDefault="00881F7C" w:rsidP="00881F7C">
      <w:pPr>
        <w:spacing w:line="360" w:lineRule="auto"/>
        <w:jc w:val="both"/>
        <w:rPr>
          <w:sz w:val="24"/>
        </w:rPr>
      </w:pPr>
    </w:p>
    <w:p w14:paraId="1C72F7DF" w14:textId="77777777" w:rsidR="00881F7C" w:rsidRDefault="00881F7C" w:rsidP="00881F7C">
      <w:pPr>
        <w:spacing w:line="360" w:lineRule="auto"/>
        <w:jc w:val="both"/>
        <w:rPr>
          <w:sz w:val="24"/>
        </w:rPr>
      </w:pPr>
    </w:p>
    <w:p w14:paraId="019BF225" w14:textId="77777777" w:rsidR="00881F7C" w:rsidRDefault="00881F7C" w:rsidP="00881F7C">
      <w:pPr>
        <w:spacing w:line="360" w:lineRule="auto"/>
        <w:jc w:val="both"/>
        <w:rPr>
          <w:sz w:val="24"/>
        </w:rPr>
      </w:pPr>
    </w:p>
    <w:p w14:paraId="56A51788" w14:textId="77777777" w:rsidR="00881F7C" w:rsidRDefault="00881F7C" w:rsidP="00881F7C">
      <w:pPr>
        <w:spacing w:line="360" w:lineRule="auto"/>
        <w:jc w:val="both"/>
        <w:rPr>
          <w:sz w:val="24"/>
        </w:rPr>
      </w:pPr>
    </w:p>
    <w:p w14:paraId="1684AF0D" w14:textId="77777777" w:rsidR="00881F7C" w:rsidRPr="007F0112" w:rsidRDefault="00881F7C" w:rsidP="00881F7C">
      <w:pPr>
        <w:spacing w:line="360" w:lineRule="auto"/>
        <w:jc w:val="both"/>
        <w:rPr>
          <w:b/>
          <w:sz w:val="24"/>
        </w:rPr>
      </w:pPr>
      <w:r w:rsidRPr="007F0112">
        <w:rPr>
          <w:b/>
          <w:sz w:val="24"/>
        </w:rPr>
        <w:t>References:</w:t>
      </w:r>
    </w:p>
    <w:p w14:paraId="7B3C4136" w14:textId="77777777" w:rsidR="007F0112" w:rsidRPr="007F0112" w:rsidRDefault="007F0112" w:rsidP="007F0112">
      <w:pPr>
        <w:spacing w:line="360" w:lineRule="auto"/>
        <w:jc w:val="both"/>
        <w:rPr>
          <w:sz w:val="24"/>
        </w:rPr>
      </w:pPr>
      <w:r w:rsidRPr="007F0112">
        <w:rPr>
          <w:sz w:val="24"/>
        </w:rPr>
        <w:t>Ahmad, A., &amp; Mohammed, A. (2020). Microsatellite instability in gastric carcinomas in Kano, Nigeria. Annals of Tropical Pathology, 11(1), 52. https://doi.org/10.4103/atp.atp_3_20.</w:t>
      </w:r>
    </w:p>
    <w:p w14:paraId="519EBD5C" w14:textId="77777777" w:rsidR="004C0C63" w:rsidRDefault="004C0C63" w:rsidP="007F0112">
      <w:pPr>
        <w:spacing w:line="360" w:lineRule="auto"/>
        <w:jc w:val="both"/>
        <w:rPr>
          <w:sz w:val="24"/>
        </w:rPr>
      </w:pPr>
    </w:p>
    <w:p w14:paraId="51D35F4B" w14:textId="77777777" w:rsidR="007F0112" w:rsidRPr="007F0112" w:rsidRDefault="007F0112" w:rsidP="007F0112">
      <w:pPr>
        <w:spacing w:line="360" w:lineRule="auto"/>
        <w:jc w:val="both"/>
        <w:rPr>
          <w:sz w:val="24"/>
        </w:rPr>
      </w:pPr>
      <w:r w:rsidRPr="007F0112">
        <w:rPr>
          <w:sz w:val="24"/>
        </w:rPr>
        <w:t>An, J. Y., Choi, Y. Y., Lee, J., Hyung, W. J., Kim, K.-M., Noh, S. H., Choi, M.-G., &amp;</w:t>
      </w:r>
    </w:p>
    <w:p w14:paraId="34FB972A" w14:textId="77777777" w:rsidR="007F0112" w:rsidRPr="007F0112" w:rsidRDefault="007F0112" w:rsidP="007F0112">
      <w:pPr>
        <w:spacing w:line="360" w:lineRule="auto"/>
        <w:jc w:val="both"/>
        <w:rPr>
          <w:sz w:val="24"/>
        </w:rPr>
      </w:pPr>
      <w:r w:rsidRPr="007F0112">
        <w:rPr>
          <w:sz w:val="24"/>
        </w:rPr>
        <w:t xml:space="preserve">Cheong, J.-H. (2020). A multi-cohort study of the prognostic significance of microsatellite instability or mismatch repair status after recurrence of </w:t>
      </w:r>
      <w:proofErr w:type="spellStart"/>
      <w:r w:rsidRPr="007F0112">
        <w:rPr>
          <w:sz w:val="24"/>
        </w:rPr>
        <w:t>resectable</w:t>
      </w:r>
      <w:proofErr w:type="spellEnd"/>
      <w:r w:rsidRPr="007F0112">
        <w:rPr>
          <w:sz w:val="24"/>
        </w:rPr>
        <w:t xml:space="preserve"> gastric cancer. Cancer Research and Treatment: Official Journal of Korean Cancer Association. https://doi.org/10.4143/crt.2020.173</w:t>
      </w:r>
    </w:p>
    <w:p w14:paraId="32E2F4B5" w14:textId="77777777" w:rsidR="007F0112" w:rsidRPr="007F0112" w:rsidRDefault="007F0112" w:rsidP="007F0112">
      <w:pPr>
        <w:spacing w:line="360" w:lineRule="auto"/>
        <w:jc w:val="both"/>
        <w:rPr>
          <w:sz w:val="24"/>
        </w:rPr>
      </w:pPr>
    </w:p>
    <w:p w14:paraId="47D2A469" w14:textId="77777777" w:rsidR="007F0112" w:rsidRPr="007F0112" w:rsidRDefault="007F0112" w:rsidP="007F0112">
      <w:pPr>
        <w:spacing w:line="360" w:lineRule="auto"/>
        <w:jc w:val="both"/>
        <w:rPr>
          <w:sz w:val="24"/>
        </w:rPr>
      </w:pPr>
      <w:r w:rsidRPr="007F0112">
        <w:rPr>
          <w:sz w:val="24"/>
        </w:rPr>
        <w:t xml:space="preserve">Bermúdez, A., Arranz-Salas, I., Mercado, S., López-Villodres, J. A., González, V., Ríus, F., Ortega, M. V., Alba, C., Hierro, I., &amp; Bermúdez, D. (2021). Her2- positive and microsatellite instability status in gastric cancer—clinicopathological implications.    Diagnostics </w:t>
      </w:r>
      <w:proofErr w:type="gramStart"/>
      <w:r w:rsidRPr="007F0112">
        <w:rPr>
          <w:sz w:val="24"/>
        </w:rPr>
        <w:t xml:space="preserve">   (</w:t>
      </w:r>
      <w:proofErr w:type="gramEnd"/>
      <w:r w:rsidRPr="007F0112">
        <w:rPr>
          <w:sz w:val="24"/>
        </w:rPr>
        <w:t>Basel,    Switzerland),    11(6),    944.</w:t>
      </w:r>
    </w:p>
    <w:p w14:paraId="76FA361E" w14:textId="77777777" w:rsidR="007F0112" w:rsidRPr="007F0112" w:rsidRDefault="007F0112" w:rsidP="007F0112">
      <w:pPr>
        <w:spacing w:line="360" w:lineRule="auto"/>
        <w:jc w:val="both"/>
        <w:rPr>
          <w:sz w:val="24"/>
        </w:rPr>
      </w:pPr>
      <w:r w:rsidRPr="007F0112">
        <w:rPr>
          <w:sz w:val="24"/>
        </w:rPr>
        <w:t>https://doi.org/10.3390/diagnostics11060944.</w:t>
      </w:r>
    </w:p>
    <w:p w14:paraId="77FB2544" w14:textId="77777777" w:rsidR="007F0112" w:rsidRPr="007F0112" w:rsidRDefault="007F0112" w:rsidP="007F0112">
      <w:pPr>
        <w:spacing w:line="360" w:lineRule="auto"/>
        <w:jc w:val="both"/>
        <w:rPr>
          <w:sz w:val="24"/>
        </w:rPr>
      </w:pPr>
    </w:p>
    <w:p w14:paraId="78D19204" w14:textId="77777777" w:rsidR="007F0112" w:rsidRPr="007F0112" w:rsidRDefault="007F0112" w:rsidP="007F0112">
      <w:pPr>
        <w:spacing w:line="360" w:lineRule="auto"/>
        <w:jc w:val="both"/>
        <w:rPr>
          <w:sz w:val="24"/>
        </w:rPr>
      </w:pPr>
      <w:proofErr w:type="spellStart"/>
      <w:r w:rsidRPr="007F0112">
        <w:rPr>
          <w:sz w:val="24"/>
        </w:rPr>
        <w:t>Cisło</w:t>
      </w:r>
      <w:proofErr w:type="spellEnd"/>
      <w:r w:rsidRPr="007F0112">
        <w:rPr>
          <w:sz w:val="24"/>
        </w:rPr>
        <w:t xml:space="preserve">, M., Filip, A. A., Arnold </w:t>
      </w:r>
      <w:proofErr w:type="spellStart"/>
      <w:r w:rsidRPr="007F0112">
        <w:rPr>
          <w:sz w:val="24"/>
        </w:rPr>
        <w:t>Offerhaus</w:t>
      </w:r>
      <w:proofErr w:type="spellEnd"/>
      <w:r w:rsidRPr="007F0112">
        <w:rPr>
          <w:sz w:val="24"/>
        </w:rPr>
        <w:t xml:space="preserve">, G. J., </w:t>
      </w:r>
      <w:proofErr w:type="spellStart"/>
      <w:r w:rsidRPr="007F0112">
        <w:rPr>
          <w:sz w:val="24"/>
        </w:rPr>
        <w:t>Ciseł</w:t>
      </w:r>
      <w:proofErr w:type="spellEnd"/>
      <w:r w:rsidRPr="007F0112">
        <w:rPr>
          <w:sz w:val="24"/>
        </w:rPr>
        <w:t xml:space="preserve">, B., Rawicz-Pruszyński, K., </w:t>
      </w:r>
      <w:proofErr w:type="spellStart"/>
      <w:r w:rsidRPr="007F0112">
        <w:rPr>
          <w:sz w:val="24"/>
        </w:rPr>
        <w:t>Skierucha</w:t>
      </w:r>
      <w:proofErr w:type="spellEnd"/>
      <w:r w:rsidRPr="007F0112">
        <w:rPr>
          <w:sz w:val="24"/>
        </w:rPr>
        <w:t xml:space="preserve">, M., &amp; Polkowski, W. P. (2018). Distinct molecular subtypes of gastric cancer: from </w:t>
      </w:r>
      <w:proofErr w:type="spellStart"/>
      <w:r w:rsidRPr="007F0112">
        <w:rPr>
          <w:sz w:val="24"/>
        </w:rPr>
        <w:t>Laurén</w:t>
      </w:r>
      <w:proofErr w:type="spellEnd"/>
      <w:r w:rsidRPr="007F0112">
        <w:rPr>
          <w:sz w:val="24"/>
        </w:rPr>
        <w:t xml:space="preserve"> to molecular pathology. </w:t>
      </w:r>
      <w:proofErr w:type="spellStart"/>
      <w:r w:rsidRPr="007F0112">
        <w:rPr>
          <w:sz w:val="24"/>
        </w:rPr>
        <w:t>Oncotarget</w:t>
      </w:r>
      <w:proofErr w:type="spellEnd"/>
      <w:r w:rsidRPr="007F0112">
        <w:rPr>
          <w:sz w:val="24"/>
        </w:rPr>
        <w:t>, 9(27), 19427–19442. https://doi.org/10.18632/oncotarget.24827</w:t>
      </w:r>
    </w:p>
    <w:p w14:paraId="1ADBAE73" w14:textId="77777777" w:rsidR="007F0112" w:rsidRPr="007F0112" w:rsidRDefault="007F0112" w:rsidP="007F0112">
      <w:pPr>
        <w:spacing w:line="360" w:lineRule="auto"/>
        <w:jc w:val="both"/>
        <w:rPr>
          <w:sz w:val="24"/>
        </w:rPr>
      </w:pPr>
    </w:p>
    <w:p w14:paraId="78C02327" w14:textId="77777777" w:rsidR="007F0112" w:rsidRPr="007F0112" w:rsidRDefault="007F0112" w:rsidP="007F0112">
      <w:pPr>
        <w:spacing w:line="360" w:lineRule="auto"/>
        <w:jc w:val="both"/>
        <w:rPr>
          <w:sz w:val="24"/>
        </w:rPr>
      </w:pPr>
      <w:r w:rsidRPr="007F0112">
        <w:rPr>
          <w:sz w:val="24"/>
        </w:rPr>
        <w:t>Corso, G. (2009). Correlation of microsatellite instability at multiple loci with long- term survival in advanced gastric carcinoma. Archives of Surgery (Chicago, Ill.: 1960), 144(8), 722. https://doi.org/10.1001/archsurg.2009.42</w:t>
      </w:r>
    </w:p>
    <w:p w14:paraId="7E1183E7" w14:textId="77777777" w:rsidR="007F0112" w:rsidRPr="007F0112" w:rsidRDefault="007F0112" w:rsidP="007F0112">
      <w:pPr>
        <w:spacing w:line="360" w:lineRule="auto"/>
        <w:jc w:val="both"/>
        <w:rPr>
          <w:sz w:val="24"/>
        </w:rPr>
      </w:pPr>
    </w:p>
    <w:p w14:paraId="00FE3520" w14:textId="77777777" w:rsidR="007F0112" w:rsidRPr="007F0112" w:rsidRDefault="007F0112" w:rsidP="007F0112">
      <w:pPr>
        <w:spacing w:line="360" w:lineRule="auto"/>
        <w:jc w:val="both"/>
        <w:rPr>
          <w:sz w:val="24"/>
        </w:rPr>
      </w:pPr>
      <w:r w:rsidRPr="007F0112">
        <w:rPr>
          <w:sz w:val="24"/>
        </w:rPr>
        <w:t>Feig, B. W. (Ed.). (2023). The MD Anderson surgical oncology manual (7th ed.).</w:t>
      </w:r>
    </w:p>
    <w:p w14:paraId="3348B802" w14:textId="77777777" w:rsidR="007F0112" w:rsidRPr="007F0112" w:rsidRDefault="007F0112" w:rsidP="007F0112">
      <w:pPr>
        <w:spacing w:line="360" w:lineRule="auto"/>
        <w:jc w:val="both"/>
        <w:rPr>
          <w:sz w:val="24"/>
        </w:rPr>
      </w:pPr>
      <w:r w:rsidRPr="007F0112">
        <w:rPr>
          <w:sz w:val="24"/>
        </w:rPr>
        <w:t>Wolters Kluwer Health.</w:t>
      </w:r>
    </w:p>
    <w:p w14:paraId="07C80517" w14:textId="77777777" w:rsidR="007F0112" w:rsidRPr="007F0112" w:rsidRDefault="007F0112" w:rsidP="007F0112">
      <w:pPr>
        <w:spacing w:line="360" w:lineRule="auto"/>
        <w:jc w:val="both"/>
        <w:rPr>
          <w:sz w:val="24"/>
        </w:rPr>
      </w:pPr>
    </w:p>
    <w:p w14:paraId="1F77F29A" w14:textId="77777777" w:rsidR="007F0112" w:rsidRPr="007F0112" w:rsidRDefault="007F0112" w:rsidP="007F0112">
      <w:pPr>
        <w:spacing w:line="360" w:lineRule="auto"/>
        <w:jc w:val="both"/>
        <w:rPr>
          <w:sz w:val="24"/>
        </w:rPr>
      </w:pPr>
      <w:proofErr w:type="spellStart"/>
      <w:r w:rsidRPr="007F0112">
        <w:rPr>
          <w:sz w:val="24"/>
        </w:rPr>
        <w:t>Ferlay</w:t>
      </w:r>
      <w:proofErr w:type="spellEnd"/>
      <w:r w:rsidRPr="007F0112">
        <w:rPr>
          <w:sz w:val="24"/>
        </w:rPr>
        <w:t xml:space="preserve">, J., </w:t>
      </w:r>
      <w:proofErr w:type="spellStart"/>
      <w:r w:rsidRPr="007F0112">
        <w:rPr>
          <w:sz w:val="24"/>
        </w:rPr>
        <w:t>Colombet</w:t>
      </w:r>
      <w:proofErr w:type="spellEnd"/>
      <w:r w:rsidRPr="007F0112">
        <w:rPr>
          <w:sz w:val="24"/>
        </w:rPr>
        <w:t xml:space="preserve">, M., </w:t>
      </w:r>
      <w:proofErr w:type="spellStart"/>
      <w:r w:rsidRPr="007F0112">
        <w:rPr>
          <w:sz w:val="24"/>
        </w:rPr>
        <w:t>Soerjomataram</w:t>
      </w:r>
      <w:proofErr w:type="spellEnd"/>
      <w:r w:rsidRPr="007F0112">
        <w:rPr>
          <w:sz w:val="24"/>
        </w:rPr>
        <w:t xml:space="preserve">, I., Parkin, D. M., Piñeros, M., Znaor, A., &amp; Bray, F. (2021). Cancer statistics for the year 2020: An overview. International Journal of Cancer. Journal </w:t>
      </w:r>
      <w:r w:rsidRPr="007F0112">
        <w:rPr>
          <w:sz w:val="24"/>
        </w:rPr>
        <w:lastRenderedPageBreak/>
        <w:t>International Du Cancer, 149(4), 778–789. https://doi.org/10.1002/ijc.33588</w:t>
      </w:r>
    </w:p>
    <w:p w14:paraId="57A2B25B" w14:textId="77777777" w:rsidR="007F0112" w:rsidRPr="007F0112" w:rsidRDefault="007F0112" w:rsidP="007F0112">
      <w:pPr>
        <w:spacing w:line="360" w:lineRule="auto"/>
        <w:jc w:val="both"/>
        <w:rPr>
          <w:sz w:val="24"/>
        </w:rPr>
      </w:pPr>
    </w:p>
    <w:p w14:paraId="17A13C4B" w14:textId="77777777" w:rsidR="007F0112" w:rsidRPr="007F0112" w:rsidRDefault="007F0112" w:rsidP="007F0112">
      <w:pPr>
        <w:spacing w:line="360" w:lineRule="auto"/>
        <w:jc w:val="both"/>
        <w:rPr>
          <w:sz w:val="24"/>
        </w:rPr>
      </w:pPr>
    </w:p>
    <w:p w14:paraId="1F92C258" w14:textId="77777777" w:rsidR="007F0112" w:rsidRPr="007F0112" w:rsidRDefault="007F0112" w:rsidP="007F0112">
      <w:pPr>
        <w:spacing w:line="360" w:lineRule="auto"/>
        <w:jc w:val="both"/>
        <w:rPr>
          <w:sz w:val="24"/>
        </w:rPr>
      </w:pPr>
      <w:r w:rsidRPr="007F0112">
        <w:rPr>
          <w:sz w:val="24"/>
        </w:rPr>
        <w:t xml:space="preserve">Hidaka, Y., </w:t>
      </w:r>
      <w:proofErr w:type="spellStart"/>
      <w:r w:rsidRPr="007F0112">
        <w:rPr>
          <w:sz w:val="24"/>
        </w:rPr>
        <w:t>Arigami</w:t>
      </w:r>
      <w:proofErr w:type="spellEnd"/>
      <w:r w:rsidRPr="007F0112">
        <w:rPr>
          <w:sz w:val="24"/>
        </w:rPr>
        <w:t xml:space="preserve">, T., Osako, Y., </w:t>
      </w:r>
      <w:proofErr w:type="spellStart"/>
      <w:r w:rsidRPr="007F0112">
        <w:rPr>
          <w:sz w:val="24"/>
        </w:rPr>
        <w:t>Desaki</w:t>
      </w:r>
      <w:proofErr w:type="spellEnd"/>
      <w:r w:rsidRPr="007F0112">
        <w:rPr>
          <w:sz w:val="24"/>
        </w:rPr>
        <w:t>, R., Hamanoue, M., Takao, S., Kirishima, M., &amp; Ohtsuka, T. (2022). Conversion surgery for microsatellite instability-high gastric cancer with a complete pathological response to pembrolizumab: a case report. World Journal of Surgical Oncology, 20(1). https://doi.org/10.1186/ s12957-022-02661-8</w:t>
      </w:r>
    </w:p>
    <w:p w14:paraId="5C366D2E" w14:textId="77777777" w:rsidR="007F0112" w:rsidRPr="007F0112" w:rsidRDefault="007F0112" w:rsidP="007F0112">
      <w:pPr>
        <w:spacing w:line="360" w:lineRule="auto"/>
        <w:jc w:val="both"/>
        <w:rPr>
          <w:sz w:val="24"/>
        </w:rPr>
      </w:pPr>
    </w:p>
    <w:p w14:paraId="2F0754EE" w14:textId="77777777" w:rsidR="007F0112" w:rsidRPr="007F0112" w:rsidRDefault="007F0112" w:rsidP="007F0112">
      <w:pPr>
        <w:spacing w:line="360" w:lineRule="auto"/>
        <w:jc w:val="both"/>
        <w:rPr>
          <w:sz w:val="24"/>
        </w:rPr>
      </w:pPr>
      <w:r w:rsidRPr="007F0112">
        <w:rPr>
          <w:sz w:val="24"/>
        </w:rPr>
        <w:t>Hori, M., &amp; Okuyama, A. (2020). Age-specific incidence rates of stomach cancer in the world. Japanese Journal of Clinical Oncology, 50(6), 724–725. https://doi.org/10.1093/jjco/hyaa081</w:t>
      </w:r>
    </w:p>
    <w:p w14:paraId="4751F26C" w14:textId="77777777" w:rsidR="007F0112" w:rsidRPr="007F0112" w:rsidRDefault="007F0112" w:rsidP="007F0112">
      <w:pPr>
        <w:spacing w:line="360" w:lineRule="auto"/>
        <w:jc w:val="both"/>
        <w:rPr>
          <w:sz w:val="24"/>
        </w:rPr>
      </w:pPr>
    </w:p>
    <w:p w14:paraId="2DCDE969" w14:textId="77777777" w:rsidR="007F0112" w:rsidRPr="007F0112" w:rsidRDefault="007F0112" w:rsidP="007F0112">
      <w:pPr>
        <w:spacing w:line="360" w:lineRule="auto"/>
        <w:jc w:val="both"/>
        <w:rPr>
          <w:sz w:val="24"/>
        </w:rPr>
      </w:pPr>
      <w:r w:rsidRPr="007F0112">
        <w:rPr>
          <w:sz w:val="24"/>
        </w:rPr>
        <w:t>Kim, J. W., Cho, S.-Y., Chae, J., Kim, J.-W., Kim, T.-Y., Lee, K.-W., Oh, D.-Y.,</w:t>
      </w:r>
    </w:p>
    <w:p w14:paraId="4F802242" w14:textId="77777777" w:rsidR="007F0112" w:rsidRPr="007F0112" w:rsidRDefault="007F0112" w:rsidP="007F0112">
      <w:pPr>
        <w:spacing w:line="360" w:lineRule="auto"/>
        <w:jc w:val="both"/>
        <w:rPr>
          <w:sz w:val="24"/>
        </w:rPr>
      </w:pPr>
      <w:r w:rsidRPr="007F0112">
        <w:rPr>
          <w:sz w:val="24"/>
        </w:rPr>
        <w:t xml:space="preserve">Bang, Y.-J., &amp; </w:t>
      </w:r>
      <w:proofErr w:type="spellStart"/>
      <w:r w:rsidRPr="007F0112">
        <w:rPr>
          <w:sz w:val="24"/>
        </w:rPr>
        <w:t>Im</w:t>
      </w:r>
      <w:proofErr w:type="spellEnd"/>
      <w:r w:rsidRPr="007F0112">
        <w:rPr>
          <w:sz w:val="24"/>
        </w:rPr>
        <w:t>, S.-A. (2020). Adjuvant chemotherapy in microsatellite instability-high gastric cancer. Cancer Research and Treatment: Official Journal of Korean Cancer Association. https://doi.org/10.4143/crt.2020.313</w:t>
      </w:r>
    </w:p>
    <w:p w14:paraId="01AF11E6" w14:textId="77777777" w:rsidR="007F0112" w:rsidRPr="007F0112" w:rsidRDefault="007F0112" w:rsidP="007F0112">
      <w:pPr>
        <w:spacing w:line="360" w:lineRule="auto"/>
        <w:jc w:val="both"/>
        <w:rPr>
          <w:sz w:val="24"/>
        </w:rPr>
      </w:pPr>
    </w:p>
    <w:p w14:paraId="344E68D1" w14:textId="77777777" w:rsidR="007F0112" w:rsidRPr="007F0112" w:rsidRDefault="007F0112" w:rsidP="007F0112">
      <w:pPr>
        <w:spacing w:line="360" w:lineRule="auto"/>
        <w:jc w:val="both"/>
        <w:rPr>
          <w:sz w:val="24"/>
        </w:rPr>
      </w:pPr>
      <w:r w:rsidRPr="007F0112">
        <w:rPr>
          <w:sz w:val="24"/>
        </w:rPr>
        <w:t>Kim, S. H., Ahn, B. K., Nam, Y. S., Pyo, J. Y., Oh, Y. H., &amp; Lee, K. H. (2010).</w:t>
      </w:r>
    </w:p>
    <w:p w14:paraId="3F17DF9D" w14:textId="77777777" w:rsidR="007F0112" w:rsidRPr="007F0112" w:rsidRDefault="007F0112" w:rsidP="007F0112">
      <w:pPr>
        <w:spacing w:line="360" w:lineRule="auto"/>
        <w:jc w:val="both"/>
        <w:rPr>
          <w:sz w:val="24"/>
        </w:rPr>
      </w:pPr>
      <w:r w:rsidRPr="007F0112">
        <w:rPr>
          <w:sz w:val="24"/>
        </w:rPr>
        <w:t>Microsatellite instability is associated with the clinicopathologic features of gastric cancer in sporadic gastric cancer patients. Journal of Gastric Cancer, 10(4), 149. https://doi.org/10.5230/jgc.2010.10.4.149</w:t>
      </w:r>
    </w:p>
    <w:p w14:paraId="11EA51AB" w14:textId="77777777" w:rsidR="007F0112" w:rsidRPr="007F0112" w:rsidRDefault="007F0112" w:rsidP="007F0112">
      <w:pPr>
        <w:spacing w:line="360" w:lineRule="auto"/>
        <w:jc w:val="both"/>
        <w:rPr>
          <w:sz w:val="24"/>
        </w:rPr>
      </w:pPr>
    </w:p>
    <w:p w14:paraId="654BD979" w14:textId="77777777" w:rsidR="007F0112" w:rsidRPr="007F0112" w:rsidRDefault="007F0112" w:rsidP="007F0112">
      <w:pPr>
        <w:spacing w:line="360" w:lineRule="auto"/>
        <w:jc w:val="both"/>
        <w:rPr>
          <w:sz w:val="24"/>
        </w:rPr>
      </w:pPr>
      <w:proofErr w:type="spellStart"/>
      <w:r w:rsidRPr="007F0112">
        <w:rPr>
          <w:sz w:val="24"/>
        </w:rPr>
        <w:t>Puliga</w:t>
      </w:r>
      <w:proofErr w:type="spellEnd"/>
      <w:r w:rsidRPr="007F0112">
        <w:rPr>
          <w:sz w:val="24"/>
        </w:rPr>
        <w:t>, E., Corso, S., Pietrantonio, F., &amp; Giordano, S. (2021). Microsatellite instability in Gastric Cancer: Between lights and shadows. Cancer Treatment Reviews, 95(102175), 102175. https://doi.org/10.1016/j.ctrv.2021.102175</w:t>
      </w:r>
    </w:p>
    <w:p w14:paraId="29E2D452" w14:textId="77777777" w:rsidR="007F0112" w:rsidRPr="007F0112" w:rsidRDefault="007F0112" w:rsidP="007F0112">
      <w:pPr>
        <w:spacing w:line="360" w:lineRule="auto"/>
        <w:jc w:val="both"/>
        <w:rPr>
          <w:sz w:val="24"/>
        </w:rPr>
      </w:pPr>
    </w:p>
    <w:p w14:paraId="7DF80DB3" w14:textId="77777777" w:rsidR="007F0112" w:rsidRPr="007F0112" w:rsidRDefault="007F0112" w:rsidP="007F0112">
      <w:pPr>
        <w:spacing w:line="360" w:lineRule="auto"/>
        <w:jc w:val="both"/>
        <w:rPr>
          <w:sz w:val="24"/>
        </w:rPr>
      </w:pPr>
      <w:r w:rsidRPr="007F0112">
        <w:rPr>
          <w:sz w:val="24"/>
        </w:rPr>
        <w:t>Rahman, M. M., Sultana, G. N. N., Sarker, M. A. K., Hossain, M. M., Alam, M. S., Rahman, M. A., Ahad, A., Islam, M. M., &amp; Begum, R. (2024). Genetic alterations in H. pylori infected gastric cancer patients. In Advancement and New Understanding in Medical Science Vol. 5 (pp. 127–143). B P International.</w:t>
      </w:r>
    </w:p>
    <w:p w14:paraId="303289E8" w14:textId="77777777" w:rsidR="007F0112" w:rsidRPr="007F0112" w:rsidRDefault="007F0112" w:rsidP="007F0112">
      <w:pPr>
        <w:spacing w:line="360" w:lineRule="auto"/>
        <w:jc w:val="both"/>
        <w:rPr>
          <w:sz w:val="24"/>
        </w:rPr>
      </w:pPr>
    </w:p>
    <w:p w14:paraId="1DE1691E" w14:textId="77777777" w:rsidR="007F0112" w:rsidRPr="007F0112" w:rsidRDefault="007F0112" w:rsidP="007F0112">
      <w:pPr>
        <w:spacing w:line="360" w:lineRule="auto"/>
        <w:jc w:val="both"/>
        <w:rPr>
          <w:sz w:val="24"/>
        </w:rPr>
      </w:pPr>
      <w:r w:rsidRPr="007F0112">
        <w:rPr>
          <w:sz w:val="24"/>
        </w:rPr>
        <w:t xml:space="preserve">Ratti, M., </w:t>
      </w:r>
      <w:proofErr w:type="spellStart"/>
      <w:r w:rsidRPr="007F0112">
        <w:rPr>
          <w:sz w:val="24"/>
        </w:rPr>
        <w:t>Lampis</w:t>
      </w:r>
      <w:proofErr w:type="spellEnd"/>
      <w:r w:rsidRPr="007F0112">
        <w:rPr>
          <w:sz w:val="24"/>
        </w:rPr>
        <w:t xml:space="preserve">, A., Hahne, J. C., Passalacqua, R., &amp; Valeri, N. (2018). Microsatellite instability </w:t>
      </w:r>
      <w:r w:rsidRPr="007F0112">
        <w:rPr>
          <w:sz w:val="24"/>
        </w:rPr>
        <w:lastRenderedPageBreak/>
        <w:t>in gastric cancer: molecular bases, clinical perspectives, and new treatment approaches. Cellular and Molecular Life Sciences: CMLS, 75(22), 4151–4162. https://doi.org/10.1007/s00018-018-2906-9</w:t>
      </w:r>
    </w:p>
    <w:p w14:paraId="6B8A6396" w14:textId="77777777" w:rsidR="007F0112" w:rsidRPr="007F0112" w:rsidRDefault="007F0112" w:rsidP="007F0112">
      <w:pPr>
        <w:spacing w:line="360" w:lineRule="auto"/>
        <w:jc w:val="both"/>
        <w:rPr>
          <w:sz w:val="24"/>
        </w:rPr>
      </w:pPr>
      <w:r w:rsidRPr="007F0112">
        <w:rPr>
          <w:sz w:val="24"/>
        </w:rPr>
        <w:t xml:space="preserve"> </w:t>
      </w:r>
    </w:p>
    <w:p w14:paraId="371B5A78" w14:textId="77777777" w:rsidR="007F0112" w:rsidRPr="007F0112" w:rsidRDefault="007F0112" w:rsidP="007F0112">
      <w:pPr>
        <w:spacing w:line="360" w:lineRule="auto"/>
        <w:jc w:val="both"/>
        <w:rPr>
          <w:sz w:val="24"/>
        </w:rPr>
      </w:pPr>
      <w:r w:rsidRPr="007F0112">
        <w:rPr>
          <w:sz w:val="24"/>
        </w:rPr>
        <w:t>Siegel, R. L., Miller, K. D., &amp; Jemal, A. (2017). Cancer statistics, 2017. CA: A Cancer Journal for Clinicians, 67(1), 7–30. https://doi.org/10.3322/caac.21387</w:t>
      </w:r>
    </w:p>
    <w:p w14:paraId="2F6A7381" w14:textId="77777777" w:rsidR="007F0112" w:rsidRPr="007F0112" w:rsidRDefault="007F0112" w:rsidP="007F0112">
      <w:pPr>
        <w:spacing w:line="360" w:lineRule="auto"/>
        <w:jc w:val="both"/>
        <w:rPr>
          <w:sz w:val="24"/>
        </w:rPr>
      </w:pPr>
    </w:p>
    <w:p w14:paraId="21DDE166" w14:textId="77777777" w:rsidR="007F0112" w:rsidRPr="007F0112" w:rsidRDefault="007F0112" w:rsidP="007F0112">
      <w:pPr>
        <w:spacing w:line="360" w:lineRule="auto"/>
        <w:jc w:val="both"/>
        <w:rPr>
          <w:sz w:val="24"/>
        </w:rPr>
      </w:pPr>
      <w:r w:rsidRPr="007F0112">
        <w:rPr>
          <w:sz w:val="24"/>
        </w:rPr>
        <w:t xml:space="preserve">Takahashi, Y., </w:t>
      </w:r>
      <w:proofErr w:type="spellStart"/>
      <w:r w:rsidRPr="007F0112">
        <w:rPr>
          <w:sz w:val="24"/>
        </w:rPr>
        <w:t>Yamamichi</w:t>
      </w:r>
      <w:proofErr w:type="spellEnd"/>
      <w:r w:rsidRPr="007F0112">
        <w:rPr>
          <w:sz w:val="24"/>
        </w:rPr>
        <w:t xml:space="preserve">, N., Kubota, D., Shimamoto, T., Nagao, S., Sakuma, N., Sakaguchi, Y., </w:t>
      </w:r>
      <w:proofErr w:type="spellStart"/>
      <w:r w:rsidRPr="007F0112">
        <w:rPr>
          <w:sz w:val="24"/>
        </w:rPr>
        <w:t>Yakabi</w:t>
      </w:r>
      <w:proofErr w:type="spellEnd"/>
      <w:r w:rsidRPr="007F0112">
        <w:rPr>
          <w:sz w:val="24"/>
        </w:rPr>
        <w:t xml:space="preserve">, S., Tsuji, Y., Wada, R., </w:t>
      </w:r>
      <w:proofErr w:type="spellStart"/>
      <w:r w:rsidRPr="007F0112">
        <w:rPr>
          <w:sz w:val="24"/>
        </w:rPr>
        <w:t>Mitsushima</w:t>
      </w:r>
      <w:proofErr w:type="spellEnd"/>
      <w:r w:rsidRPr="007F0112">
        <w:rPr>
          <w:sz w:val="24"/>
        </w:rPr>
        <w:t xml:space="preserve">, T., Ichinose, M., &amp; </w:t>
      </w:r>
      <w:proofErr w:type="spellStart"/>
      <w:r w:rsidRPr="007F0112">
        <w:rPr>
          <w:sz w:val="24"/>
        </w:rPr>
        <w:t>Fujishiro</w:t>
      </w:r>
      <w:proofErr w:type="spellEnd"/>
      <w:r w:rsidRPr="007F0112">
        <w:rPr>
          <w:sz w:val="24"/>
        </w:rPr>
        <w:t>, M. (2022). Risk factors for gastric cancer in Japan in the 2010s: a large, long-term observational study. Gastric Cancer: Official Journal of the International Gastric Cancer Association and the Japanese Gastric Cancer Association, 25(3), 481–489. https://doi.org/10.1007/s10120-021-01273-7</w:t>
      </w:r>
    </w:p>
    <w:p w14:paraId="581CCF1C" w14:textId="77777777" w:rsidR="007F0112" w:rsidRPr="007F0112" w:rsidRDefault="007F0112" w:rsidP="007F0112">
      <w:pPr>
        <w:spacing w:line="360" w:lineRule="auto"/>
        <w:jc w:val="both"/>
        <w:rPr>
          <w:sz w:val="24"/>
        </w:rPr>
      </w:pPr>
    </w:p>
    <w:p w14:paraId="644242D5" w14:textId="77777777" w:rsidR="007F0112" w:rsidRPr="007F0112" w:rsidRDefault="007F0112" w:rsidP="007F0112">
      <w:pPr>
        <w:spacing w:line="360" w:lineRule="auto"/>
        <w:jc w:val="both"/>
        <w:rPr>
          <w:sz w:val="24"/>
        </w:rPr>
      </w:pPr>
      <w:r w:rsidRPr="007F0112">
        <w:rPr>
          <w:sz w:val="24"/>
        </w:rPr>
        <w:t xml:space="preserve">van Velzen, M. J. M., Derks, S., van </w:t>
      </w:r>
      <w:proofErr w:type="spellStart"/>
      <w:r w:rsidRPr="007F0112">
        <w:rPr>
          <w:sz w:val="24"/>
        </w:rPr>
        <w:t>Grieken</w:t>
      </w:r>
      <w:proofErr w:type="spellEnd"/>
      <w:r w:rsidRPr="007F0112">
        <w:rPr>
          <w:sz w:val="24"/>
        </w:rPr>
        <w:t xml:space="preserve">, N. C. T., Haj Mohammad, N., &amp; van </w:t>
      </w:r>
      <w:proofErr w:type="spellStart"/>
      <w:r w:rsidRPr="007F0112">
        <w:rPr>
          <w:sz w:val="24"/>
        </w:rPr>
        <w:t>Laarhoven</w:t>
      </w:r>
      <w:proofErr w:type="spellEnd"/>
      <w:r w:rsidRPr="007F0112">
        <w:rPr>
          <w:sz w:val="24"/>
        </w:rPr>
        <w:t>, H. W. M. (2020). MSI as a predictive factor for treatment outcome of gastroesophageal adenocarcinoma. Cancer Treatment Reviews, 86(102024), 102024. https://doi.org/10.1016/j.ctrv.2020.102024</w:t>
      </w:r>
    </w:p>
    <w:p w14:paraId="5D0AC12A" w14:textId="77777777" w:rsidR="007F0112" w:rsidRPr="007F0112" w:rsidRDefault="007F0112" w:rsidP="007F0112">
      <w:pPr>
        <w:spacing w:line="360" w:lineRule="auto"/>
        <w:jc w:val="both"/>
        <w:rPr>
          <w:sz w:val="24"/>
        </w:rPr>
      </w:pPr>
    </w:p>
    <w:p w14:paraId="00A155A8" w14:textId="77777777" w:rsidR="007F0112" w:rsidRPr="007F0112" w:rsidRDefault="007F0112" w:rsidP="007F0112">
      <w:pPr>
        <w:spacing w:line="360" w:lineRule="auto"/>
        <w:jc w:val="both"/>
        <w:rPr>
          <w:sz w:val="24"/>
        </w:rPr>
      </w:pPr>
      <w:r w:rsidRPr="007F0112">
        <w:rPr>
          <w:sz w:val="24"/>
        </w:rPr>
        <w:t>Vos, E. L., Maron, S. B., Krell, R. W., Nakauchi, M., Fiasconaro, M., Capanu, M.,</w:t>
      </w:r>
    </w:p>
    <w:p w14:paraId="485FC900" w14:textId="77777777" w:rsidR="007F0112" w:rsidRPr="007F0112" w:rsidRDefault="007F0112" w:rsidP="007F0112">
      <w:pPr>
        <w:spacing w:line="360" w:lineRule="auto"/>
        <w:jc w:val="both"/>
        <w:rPr>
          <w:sz w:val="24"/>
        </w:rPr>
      </w:pPr>
      <w:r w:rsidRPr="007F0112">
        <w:rPr>
          <w:sz w:val="24"/>
        </w:rPr>
        <w:t xml:space="preserve">Walch, H. S., Chatila, W. K., Schultz, N., Ilson, D. H., </w:t>
      </w:r>
      <w:proofErr w:type="spellStart"/>
      <w:r w:rsidRPr="007F0112">
        <w:rPr>
          <w:sz w:val="24"/>
        </w:rPr>
        <w:t>Janjigian</w:t>
      </w:r>
      <w:proofErr w:type="spellEnd"/>
      <w:r w:rsidRPr="007F0112">
        <w:rPr>
          <w:sz w:val="24"/>
        </w:rPr>
        <w:t>, Y. Y., Ku, G.</w:t>
      </w:r>
    </w:p>
    <w:p w14:paraId="1DAEDCF8" w14:textId="77777777" w:rsidR="007F0112" w:rsidRPr="007F0112" w:rsidRDefault="007F0112" w:rsidP="007F0112">
      <w:pPr>
        <w:spacing w:line="360" w:lineRule="auto"/>
        <w:jc w:val="both"/>
        <w:rPr>
          <w:sz w:val="24"/>
        </w:rPr>
      </w:pPr>
      <w:r w:rsidRPr="007F0112">
        <w:rPr>
          <w:sz w:val="24"/>
        </w:rPr>
        <w:t>Y., Yoon, S. S., Coit, D. G., Vanderbilt, C. M., Tang, L. H., &amp; Strong, V. E. (2023). Survival of locally advanced MSI-high gastric cancer patients treated with perioperative chemotherapy: A retrospective cohort study. Annals of Surgery, 277(5), 798–805. https://doi.org/10.1097/sla.0000000000005501</w:t>
      </w:r>
    </w:p>
    <w:p w14:paraId="585FDE79" w14:textId="77777777" w:rsidR="00881F7C" w:rsidRPr="00881F7C" w:rsidRDefault="00881F7C" w:rsidP="00881F7C">
      <w:pPr>
        <w:spacing w:line="360" w:lineRule="auto"/>
        <w:jc w:val="both"/>
        <w:rPr>
          <w:sz w:val="24"/>
        </w:rPr>
      </w:pPr>
    </w:p>
    <w:sectPr w:rsidR="00881F7C" w:rsidRPr="00881F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D4824" w14:textId="77777777" w:rsidR="008A1BB7" w:rsidRDefault="008A1BB7" w:rsidP="00C84F19">
      <w:r>
        <w:separator/>
      </w:r>
    </w:p>
  </w:endnote>
  <w:endnote w:type="continuationSeparator" w:id="0">
    <w:p w14:paraId="0D455637" w14:textId="77777777" w:rsidR="008A1BB7" w:rsidRDefault="008A1BB7" w:rsidP="00C8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DEA57" w14:textId="77777777" w:rsidR="00C84F19" w:rsidRDefault="00C84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1FF25" w14:textId="77777777" w:rsidR="00C84F19" w:rsidRDefault="00C84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029CE" w14:textId="77777777" w:rsidR="00C84F19" w:rsidRDefault="00C84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10A13" w14:textId="77777777" w:rsidR="008A1BB7" w:rsidRDefault="008A1BB7" w:rsidP="00C84F19">
      <w:r>
        <w:separator/>
      </w:r>
    </w:p>
  </w:footnote>
  <w:footnote w:type="continuationSeparator" w:id="0">
    <w:p w14:paraId="6C49AD6B" w14:textId="77777777" w:rsidR="008A1BB7" w:rsidRDefault="008A1BB7" w:rsidP="00C8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66C57" w14:textId="1A49F845" w:rsidR="00C84F19" w:rsidRDefault="00C84F19">
    <w:pPr>
      <w:pStyle w:val="Header"/>
    </w:pPr>
    <w:r>
      <w:rPr>
        <w:noProof/>
      </w:rPr>
      <w:pict w14:anchorId="7A1F3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00217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A65B" w14:textId="7764AF32" w:rsidR="00C84F19" w:rsidRDefault="00C84F19">
    <w:pPr>
      <w:pStyle w:val="Header"/>
    </w:pPr>
    <w:r>
      <w:rPr>
        <w:noProof/>
      </w:rPr>
      <w:pict w14:anchorId="1CBF7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00217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12998" w14:textId="7F936A00" w:rsidR="00C84F19" w:rsidRDefault="00C84F19">
    <w:pPr>
      <w:pStyle w:val="Header"/>
    </w:pPr>
    <w:r>
      <w:rPr>
        <w:noProof/>
      </w:rPr>
      <w:pict w14:anchorId="106EA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00217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F36E4"/>
    <w:multiLevelType w:val="hybridMultilevel"/>
    <w:tmpl w:val="1DC45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222D3"/>
    <w:multiLevelType w:val="hybridMultilevel"/>
    <w:tmpl w:val="C352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B3"/>
    <w:rsid w:val="000B37B2"/>
    <w:rsid w:val="0036370B"/>
    <w:rsid w:val="00391E60"/>
    <w:rsid w:val="004B761B"/>
    <w:rsid w:val="004C0C63"/>
    <w:rsid w:val="00620796"/>
    <w:rsid w:val="00682FFA"/>
    <w:rsid w:val="007068B3"/>
    <w:rsid w:val="00752A35"/>
    <w:rsid w:val="007D63B3"/>
    <w:rsid w:val="007F0112"/>
    <w:rsid w:val="00881F7C"/>
    <w:rsid w:val="008A1BB7"/>
    <w:rsid w:val="00947334"/>
    <w:rsid w:val="00A554DB"/>
    <w:rsid w:val="00A64FB3"/>
    <w:rsid w:val="00AD6033"/>
    <w:rsid w:val="00C84F19"/>
    <w:rsid w:val="00CD03BF"/>
    <w:rsid w:val="00D62309"/>
    <w:rsid w:val="00DC3232"/>
    <w:rsid w:val="00F1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718256"/>
  <w15:chartTrackingRefBased/>
  <w15:docId w15:val="{97FAEB87-F06D-4F74-A90F-B91C548E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068B3"/>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68B3"/>
    <w:rPr>
      <w:sz w:val="24"/>
      <w:szCs w:val="24"/>
    </w:rPr>
  </w:style>
  <w:style w:type="character" w:customStyle="1" w:styleId="BodyTextChar">
    <w:name w:val="Body Text Char"/>
    <w:basedOn w:val="DefaultParagraphFont"/>
    <w:link w:val="BodyText"/>
    <w:uiPriority w:val="1"/>
    <w:rsid w:val="007068B3"/>
    <w:rPr>
      <w:rFonts w:ascii="Times New Roman" w:eastAsia="Times New Roman" w:hAnsi="Times New Roman" w:cs="Times New Roman"/>
      <w:sz w:val="24"/>
      <w:szCs w:val="24"/>
    </w:rPr>
  </w:style>
  <w:style w:type="paragraph" w:styleId="ListParagraph">
    <w:name w:val="List Paragraph"/>
    <w:basedOn w:val="Normal"/>
    <w:uiPriority w:val="34"/>
    <w:qFormat/>
    <w:rsid w:val="00A554DB"/>
    <w:pPr>
      <w:ind w:left="720"/>
      <w:contextualSpacing/>
    </w:pPr>
  </w:style>
  <w:style w:type="paragraph" w:customStyle="1" w:styleId="TableParagraph">
    <w:name w:val="Table Paragraph"/>
    <w:basedOn w:val="Normal"/>
    <w:uiPriority w:val="1"/>
    <w:qFormat/>
    <w:rsid w:val="000B37B2"/>
  </w:style>
  <w:style w:type="character" w:styleId="Hyperlink">
    <w:name w:val="Hyperlink"/>
    <w:basedOn w:val="DefaultParagraphFont"/>
    <w:uiPriority w:val="99"/>
    <w:unhideWhenUsed/>
    <w:rsid w:val="004B761B"/>
    <w:rPr>
      <w:color w:val="0563C1" w:themeColor="hyperlink"/>
      <w:u w:val="single"/>
    </w:rPr>
  </w:style>
  <w:style w:type="character" w:styleId="UnresolvedMention">
    <w:name w:val="Unresolved Mention"/>
    <w:basedOn w:val="DefaultParagraphFont"/>
    <w:uiPriority w:val="99"/>
    <w:semiHidden/>
    <w:unhideWhenUsed/>
    <w:rsid w:val="004B761B"/>
    <w:rPr>
      <w:color w:val="605E5C"/>
      <w:shd w:val="clear" w:color="auto" w:fill="E1DFDD"/>
    </w:rPr>
  </w:style>
  <w:style w:type="table" w:styleId="TableGrid">
    <w:name w:val="Table Grid"/>
    <w:basedOn w:val="TableNormal"/>
    <w:uiPriority w:val="39"/>
    <w:rsid w:val="004B7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F19"/>
    <w:pPr>
      <w:tabs>
        <w:tab w:val="center" w:pos="4680"/>
        <w:tab w:val="right" w:pos="9360"/>
      </w:tabs>
    </w:pPr>
  </w:style>
  <w:style w:type="character" w:customStyle="1" w:styleId="HeaderChar">
    <w:name w:val="Header Char"/>
    <w:basedOn w:val="DefaultParagraphFont"/>
    <w:link w:val="Header"/>
    <w:uiPriority w:val="99"/>
    <w:rsid w:val="00C84F19"/>
    <w:rPr>
      <w:rFonts w:ascii="Times New Roman" w:eastAsia="Times New Roman" w:hAnsi="Times New Roman" w:cs="Times New Roman"/>
    </w:rPr>
  </w:style>
  <w:style w:type="paragraph" w:styleId="Footer">
    <w:name w:val="footer"/>
    <w:basedOn w:val="Normal"/>
    <w:link w:val="FooterChar"/>
    <w:uiPriority w:val="99"/>
    <w:unhideWhenUsed/>
    <w:rsid w:val="00C84F19"/>
    <w:pPr>
      <w:tabs>
        <w:tab w:val="center" w:pos="4680"/>
        <w:tab w:val="right" w:pos="9360"/>
      </w:tabs>
    </w:pPr>
  </w:style>
  <w:style w:type="character" w:customStyle="1" w:styleId="FooterChar">
    <w:name w:val="Footer Char"/>
    <w:basedOn w:val="DefaultParagraphFont"/>
    <w:link w:val="Footer"/>
    <w:uiPriority w:val="99"/>
    <w:rsid w:val="00C84F1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15</Pages>
  <Words>3813</Words>
  <Characters>21736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25</cp:revision>
  <dcterms:created xsi:type="dcterms:W3CDTF">2026-01-16T03:44:00Z</dcterms:created>
  <dcterms:modified xsi:type="dcterms:W3CDTF">2026-01-17T11:32:00Z</dcterms:modified>
</cp:coreProperties>
</file>