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67D4F8" w14:textId="0ECC76F8" w:rsidR="00754C9A" w:rsidRDefault="001B265E" w:rsidP="00441B6F">
      <w:pPr>
        <w:pStyle w:val="Title"/>
        <w:spacing w:after="0"/>
        <w:jc w:val="both"/>
        <w:rPr>
          <w:rFonts w:ascii="Arial" w:hAnsi="Arial" w:cs="Arial"/>
          <w:u w:val="single"/>
        </w:rPr>
      </w:pPr>
      <w:r w:rsidRPr="001B265E">
        <w:rPr>
          <w:rFonts w:ascii="Arial" w:hAnsi="Arial" w:cs="Arial"/>
          <w:u w:val="single"/>
        </w:rPr>
        <w:t>Case Report</w:t>
      </w:r>
    </w:p>
    <w:p w14:paraId="603CCB9E" w14:textId="77777777" w:rsidR="001B265E" w:rsidRPr="001B265E" w:rsidRDefault="001B265E" w:rsidP="00441B6F">
      <w:pPr>
        <w:pStyle w:val="Title"/>
        <w:spacing w:after="0"/>
        <w:jc w:val="both"/>
        <w:rPr>
          <w:rFonts w:ascii="Arial" w:hAnsi="Arial" w:cs="Arial"/>
          <w:u w:val="single"/>
        </w:rPr>
      </w:pPr>
    </w:p>
    <w:p w14:paraId="3C4AF72E" w14:textId="77777777" w:rsidR="00EF2C4C" w:rsidRPr="00EF2C4C" w:rsidRDefault="00EF2C4C" w:rsidP="00EF2C4C">
      <w:pPr>
        <w:pStyle w:val="Author"/>
        <w:spacing w:line="240" w:lineRule="auto"/>
        <w:jc w:val="both"/>
        <w:rPr>
          <w:rFonts w:ascii="Arial" w:hAnsi="Arial" w:cs="Arial"/>
          <w:bCs/>
          <w:sz w:val="36"/>
        </w:rPr>
      </w:pPr>
      <w:r w:rsidRPr="00EF2C4C">
        <w:rPr>
          <w:rFonts w:ascii="Arial" w:hAnsi="Arial" w:cs="Arial"/>
          <w:sz w:val="36"/>
          <w:lang w:val="en-IN"/>
        </w:rPr>
        <w:t>A Case Report of Primary Complex Ventral Hernia with Loss of Domain in a Patient with Respiratory Compromise: Challenges and Insights</w:t>
      </w:r>
    </w:p>
    <w:p w14:paraId="5CE02420" w14:textId="77777777" w:rsidR="00A258C3" w:rsidRPr="00790ADA" w:rsidRDefault="00A258C3" w:rsidP="00441B6F">
      <w:pPr>
        <w:pStyle w:val="Author"/>
        <w:spacing w:line="240" w:lineRule="auto"/>
        <w:jc w:val="both"/>
        <w:rPr>
          <w:rFonts w:ascii="Arial" w:hAnsi="Arial" w:cs="Arial"/>
          <w:sz w:val="36"/>
        </w:rPr>
      </w:pPr>
    </w:p>
    <w:p w14:paraId="62D3A38E" w14:textId="1D6B6178" w:rsidR="00633614" w:rsidRDefault="00633614" w:rsidP="00441B6F">
      <w:pPr>
        <w:pStyle w:val="Affiliation"/>
        <w:spacing w:after="0" w:line="240" w:lineRule="auto"/>
        <w:rPr>
          <w:rFonts w:ascii="Arial" w:hAnsi="Arial" w:cs="Arial"/>
          <w:i/>
        </w:rPr>
      </w:pPr>
    </w:p>
    <w:p w14:paraId="6C365F77" w14:textId="77777777" w:rsidR="00790ADA" w:rsidRDefault="00790ADA" w:rsidP="00441B6F">
      <w:pPr>
        <w:pStyle w:val="Affiliation"/>
        <w:spacing w:after="0" w:line="240" w:lineRule="auto"/>
        <w:jc w:val="both"/>
        <w:rPr>
          <w:rFonts w:ascii="Arial" w:hAnsi="Arial" w:cs="Arial"/>
        </w:rPr>
      </w:pPr>
    </w:p>
    <w:p w14:paraId="7CF9531C" w14:textId="77777777" w:rsidR="002C57D2" w:rsidRPr="00FB3A86" w:rsidRDefault="002C57D2" w:rsidP="00441B6F">
      <w:pPr>
        <w:pStyle w:val="Affiliation"/>
        <w:spacing w:after="0" w:line="240" w:lineRule="auto"/>
        <w:jc w:val="both"/>
        <w:rPr>
          <w:rFonts w:ascii="Arial" w:hAnsi="Arial" w:cs="Arial"/>
        </w:rPr>
      </w:pPr>
    </w:p>
    <w:p w14:paraId="03F6552F" w14:textId="6FBFBC99" w:rsidR="00B01FCD" w:rsidRPr="00FB3A86" w:rsidRDefault="00D82F50" w:rsidP="00441B6F">
      <w:pPr>
        <w:pStyle w:val="Copyright"/>
        <w:spacing w:after="0" w:line="240" w:lineRule="auto"/>
        <w:jc w:val="both"/>
        <w:rPr>
          <w:rFonts w:ascii="Arial" w:hAnsi="Arial" w:cs="Arial"/>
        </w:rPr>
        <w:sectPr w:rsidR="00B01FCD" w:rsidRPr="00FB3A86" w:rsidSect="007E1341">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2D41C8F2" wp14:editId="72883E02">
                <wp:extent cx="5303520" cy="635"/>
                <wp:effectExtent l="9525" t="17780" r="11430" b="10795"/>
                <wp:docPr id="1300478406"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56329F9E"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p w14:paraId="1C2E90DE" w14:textId="6E5F7629"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41784F3E"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14:paraId="23A5C187" w14:textId="77777777" w:rsidTr="001E44FE">
        <w:tc>
          <w:tcPr>
            <w:tcW w:w="9576" w:type="dxa"/>
            <w:shd w:val="clear" w:color="auto" w:fill="F2F2F2"/>
          </w:tcPr>
          <w:p w14:paraId="0624F3AE" w14:textId="3C9C7A20" w:rsidR="00EF2C4C" w:rsidRPr="00EF2C4C" w:rsidRDefault="00EF2C4C" w:rsidP="00222F39">
            <w:pPr>
              <w:spacing w:before="100" w:beforeAutospacing="1" w:after="100" w:afterAutospacing="1" w:line="480" w:lineRule="auto"/>
              <w:rPr>
                <w:rFonts w:ascii="Arial" w:hAnsi="Arial" w:cs="Arial"/>
                <w:b/>
                <w:bCs/>
                <w:sz w:val="22"/>
                <w:szCs w:val="22"/>
                <w:lang w:eastAsia="en-IN"/>
              </w:rPr>
            </w:pPr>
            <w:r w:rsidRPr="00EF2C4C">
              <w:rPr>
                <w:rFonts w:ascii="Arial" w:hAnsi="Arial" w:cs="Arial"/>
                <w:b/>
                <w:bCs/>
                <w:sz w:val="22"/>
                <w:szCs w:val="22"/>
                <w:lang w:eastAsia="en-IN"/>
              </w:rPr>
              <w:t xml:space="preserve">Primary ventral hernias (PVH) are congenital defects resulting from weaknesses in the abdominal wall. Complex ventral hernias, typically larger than 10 cm, involve a loss of domain (LOD), reducing abdominal cavity volume. This case report discusses a 62-year-old woman with a large right anterolateral complex ventral hernia that grew over 10 years, showing a 26% loss of domain on imaging. She had a BMI of 32.  Due to her pre-existing respiratory conditions, including Interstitial Lung disease and Asthma, she was not a candidate for Botulinum toxin therapy. A multi-disciplinary team involving the Chest Physician, </w:t>
            </w:r>
            <w:proofErr w:type="spellStart"/>
            <w:r w:rsidRPr="00EF2C4C">
              <w:rPr>
                <w:rFonts w:ascii="Arial" w:hAnsi="Arial" w:cs="Arial"/>
                <w:b/>
                <w:bCs/>
                <w:sz w:val="22"/>
                <w:szCs w:val="22"/>
                <w:lang w:eastAsia="en-IN"/>
              </w:rPr>
              <w:t>Anaesthetist</w:t>
            </w:r>
            <w:proofErr w:type="spellEnd"/>
            <w:r w:rsidRPr="00EF2C4C">
              <w:rPr>
                <w:rFonts w:ascii="Arial" w:hAnsi="Arial" w:cs="Arial"/>
                <w:b/>
                <w:bCs/>
                <w:sz w:val="22"/>
                <w:szCs w:val="22"/>
                <w:lang w:eastAsia="en-IN"/>
              </w:rPr>
              <w:t xml:space="preserve">, and Surgeon decided to carry out the Surgery under Epidural </w:t>
            </w:r>
            <w:proofErr w:type="spellStart"/>
            <w:r w:rsidRPr="00EF2C4C">
              <w:rPr>
                <w:rFonts w:ascii="Arial" w:hAnsi="Arial" w:cs="Arial"/>
                <w:b/>
                <w:bCs/>
                <w:sz w:val="22"/>
                <w:szCs w:val="22"/>
                <w:lang w:eastAsia="en-IN"/>
              </w:rPr>
              <w:t>anaesthesia</w:t>
            </w:r>
            <w:proofErr w:type="spellEnd"/>
            <w:r w:rsidRPr="00EF2C4C">
              <w:rPr>
                <w:rFonts w:ascii="Arial" w:hAnsi="Arial" w:cs="Arial"/>
                <w:b/>
                <w:bCs/>
                <w:sz w:val="22"/>
                <w:szCs w:val="22"/>
                <w:lang w:eastAsia="en-IN"/>
              </w:rPr>
              <w:t xml:space="preserve">, which included Hernia reduction, </w:t>
            </w:r>
            <w:proofErr w:type="spellStart"/>
            <w:r w:rsidRPr="00EF2C4C">
              <w:rPr>
                <w:rFonts w:ascii="Arial" w:hAnsi="Arial" w:cs="Arial"/>
                <w:b/>
                <w:bCs/>
                <w:sz w:val="22"/>
                <w:szCs w:val="22"/>
                <w:lang w:eastAsia="en-IN"/>
              </w:rPr>
              <w:t>Adhesiolysis</w:t>
            </w:r>
            <w:proofErr w:type="spellEnd"/>
            <w:r w:rsidRPr="00EF2C4C">
              <w:rPr>
                <w:rFonts w:ascii="Arial" w:hAnsi="Arial" w:cs="Arial"/>
                <w:b/>
                <w:bCs/>
                <w:sz w:val="22"/>
                <w:szCs w:val="22"/>
                <w:lang w:eastAsia="en-IN"/>
              </w:rPr>
              <w:t xml:space="preserve">, Posterior component separation, and Transversus abdominis release (TAR) with mesh reinforcement. Postoperative ICU monitoring was carried out for respiratory issues. This case demonstrates the successful management of large ventral hernias in high-risk respiratory disease patients with tailored </w:t>
            </w:r>
            <w:proofErr w:type="spellStart"/>
            <w:r w:rsidRPr="00EF2C4C">
              <w:rPr>
                <w:rFonts w:ascii="Arial" w:hAnsi="Arial" w:cs="Arial"/>
                <w:b/>
                <w:bCs/>
                <w:sz w:val="22"/>
                <w:szCs w:val="22"/>
                <w:lang w:eastAsia="en-IN"/>
              </w:rPr>
              <w:t>anaesthesia</w:t>
            </w:r>
            <w:proofErr w:type="spellEnd"/>
            <w:r w:rsidRPr="00EF2C4C">
              <w:rPr>
                <w:rFonts w:ascii="Arial" w:hAnsi="Arial" w:cs="Arial"/>
                <w:b/>
                <w:bCs/>
                <w:sz w:val="22"/>
                <w:szCs w:val="22"/>
                <w:lang w:eastAsia="en-IN"/>
              </w:rPr>
              <w:t xml:space="preserve"> and surgical methods.</w:t>
            </w:r>
          </w:p>
          <w:p w14:paraId="3F84D903" w14:textId="1CB52B75" w:rsidR="00EF2C4C" w:rsidRPr="00EF2C4C" w:rsidRDefault="00EF2C4C" w:rsidP="00EF2C4C">
            <w:pPr>
              <w:pStyle w:val="Body"/>
              <w:spacing w:after="0"/>
              <w:rPr>
                <w:rFonts w:ascii="Arial" w:eastAsia="Calibri" w:hAnsi="Arial" w:cs="Arial"/>
                <w:b/>
                <w:bCs/>
                <w:sz w:val="22"/>
                <w:szCs w:val="22"/>
              </w:rPr>
            </w:pPr>
          </w:p>
          <w:p w14:paraId="63CF52BB" w14:textId="54CAB06F" w:rsidR="00505F06" w:rsidRPr="00BA1B01" w:rsidRDefault="00505F06" w:rsidP="00441B6F">
            <w:pPr>
              <w:pStyle w:val="Body"/>
              <w:spacing w:after="0"/>
              <w:rPr>
                <w:rFonts w:ascii="Arial" w:eastAsia="Calibri" w:hAnsi="Arial" w:cs="Arial"/>
                <w:szCs w:val="22"/>
              </w:rPr>
            </w:pPr>
          </w:p>
        </w:tc>
      </w:tr>
    </w:tbl>
    <w:p w14:paraId="28FE199B" w14:textId="77777777" w:rsidR="00636EB2" w:rsidRDefault="00636EB2" w:rsidP="00441B6F">
      <w:pPr>
        <w:pStyle w:val="Body"/>
        <w:spacing w:after="0"/>
        <w:rPr>
          <w:rFonts w:ascii="Arial" w:hAnsi="Arial" w:cs="Arial"/>
          <w:i/>
        </w:rPr>
      </w:pPr>
    </w:p>
    <w:p w14:paraId="372926AD" w14:textId="247D77DC" w:rsidR="00A24E7E" w:rsidRDefault="00A24E7E" w:rsidP="00441B6F">
      <w:pPr>
        <w:pStyle w:val="Body"/>
        <w:spacing w:after="0"/>
        <w:rPr>
          <w:rFonts w:ascii="Arial" w:hAnsi="Arial" w:cs="Arial"/>
          <w:i/>
          <w:lang w:val="en-GB"/>
        </w:rPr>
      </w:pPr>
      <w:r w:rsidRPr="008226DF">
        <w:rPr>
          <w:rFonts w:ascii="Arial" w:hAnsi="Arial" w:cs="Arial"/>
          <w:b/>
          <w:bCs/>
          <w:i/>
        </w:rPr>
        <w:t>Keywords:</w:t>
      </w:r>
      <w:r>
        <w:rPr>
          <w:rFonts w:ascii="Arial" w:hAnsi="Arial" w:cs="Arial"/>
          <w:i/>
        </w:rPr>
        <w:t xml:space="preserve"> </w:t>
      </w:r>
      <w:r w:rsidR="00EF2C4C" w:rsidRPr="00EF2C4C">
        <w:rPr>
          <w:rFonts w:ascii="Arial" w:hAnsi="Arial" w:cs="Arial"/>
          <w:i/>
          <w:lang w:val="en-GB"/>
        </w:rPr>
        <w:t>Primary Hernia, Loss of Domain, Complex Ventral Hernia, Hernia with Respiratory Disease</w:t>
      </w:r>
    </w:p>
    <w:p w14:paraId="6696E6AC" w14:textId="77777777" w:rsidR="00EF2C4C" w:rsidRDefault="00EF2C4C" w:rsidP="00441B6F">
      <w:pPr>
        <w:pStyle w:val="Body"/>
        <w:spacing w:after="0"/>
        <w:rPr>
          <w:rFonts w:ascii="Arial" w:hAnsi="Arial" w:cs="Arial"/>
          <w:i/>
          <w:lang w:val="en-GB"/>
        </w:rPr>
      </w:pPr>
    </w:p>
    <w:p w14:paraId="119123A6" w14:textId="77777777" w:rsidR="00EF2C4C" w:rsidRDefault="00EF2C4C" w:rsidP="00441B6F">
      <w:pPr>
        <w:pStyle w:val="Body"/>
        <w:spacing w:after="0"/>
        <w:rPr>
          <w:rFonts w:ascii="Arial" w:hAnsi="Arial" w:cs="Arial"/>
          <w:i/>
          <w:lang w:val="en-GB"/>
        </w:rPr>
      </w:pPr>
    </w:p>
    <w:p w14:paraId="1DE215FF" w14:textId="27A41E57" w:rsidR="00790ADA" w:rsidRPr="008E51E9" w:rsidRDefault="00EF2C4C" w:rsidP="008E51E9">
      <w:pPr>
        <w:pStyle w:val="Body"/>
        <w:rPr>
          <w:rFonts w:ascii="Arial" w:hAnsi="Arial" w:cs="Arial"/>
          <w:i/>
          <w:lang w:val="en-GB"/>
        </w:rPr>
      </w:pPr>
      <w:r w:rsidRPr="00EF2C4C">
        <w:rPr>
          <w:rFonts w:ascii="Arial" w:hAnsi="Arial" w:cs="Arial"/>
          <w:b/>
          <w:bCs/>
          <w:i/>
          <w:lang w:val="en-GB"/>
        </w:rPr>
        <w:t xml:space="preserve">Abbreviations: </w:t>
      </w:r>
      <w:r w:rsidRPr="00EF2C4C">
        <w:rPr>
          <w:rFonts w:ascii="Arial" w:hAnsi="Arial" w:cs="Arial"/>
          <w:i/>
          <w:lang w:val="en-GB"/>
        </w:rPr>
        <w:t xml:space="preserve">LOD Loss of domain, ICU Intensive care unit, TAR Transversus Abdominis Release, BMI Body Mass Index, PPP Pre operative Progressive Pneumoperitoneum, </w:t>
      </w:r>
    </w:p>
    <w:p w14:paraId="43B5D1E1" w14:textId="77777777" w:rsidR="00EF2C4C" w:rsidRPr="00EF2C4C" w:rsidRDefault="00EF2C4C" w:rsidP="00EF2C4C">
      <w:pPr>
        <w:pStyle w:val="AbstHead"/>
        <w:jc w:val="both"/>
        <w:rPr>
          <w:rFonts w:ascii="Arial" w:hAnsi="Arial" w:cs="Arial"/>
          <w:bCs/>
        </w:rPr>
      </w:pPr>
      <w:r w:rsidRPr="00EF2C4C">
        <w:rPr>
          <w:rFonts w:ascii="Arial" w:hAnsi="Arial" w:cs="Arial"/>
          <w:bCs/>
          <w:lang w:val="en-GB"/>
        </w:rPr>
        <w:t xml:space="preserve">Introduction: </w:t>
      </w:r>
    </w:p>
    <w:p w14:paraId="5D9EC13D" w14:textId="77777777" w:rsidR="0099226C" w:rsidRPr="0099226C" w:rsidRDefault="0099226C" w:rsidP="0099226C">
      <w:pPr>
        <w:spacing w:line="480" w:lineRule="auto"/>
        <w:rPr>
          <w:rFonts w:ascii="Arial" w:hAnsi="Arial" w:cs="Arial"/>
          <w:sz w:val="22"/>
          <w:szCs w:val="22"/>
        </w:rPr>
      </w:pPr>
      <w:r w:rsidRPr="0099226C">
        <w:rPr>
          <w:rFonts w:ascii="Arial" w:hAnsi="Arial" w:cs="Arial"/>
          <w:sz w:val="22"/>
          <w:szCs w:val="22"/>
        </w:rPr>
        <w:t>Primary ventral hernias (PVH) are congenital phenomena that can appear anytime from childhood to adulthood. They generally develop in specific anatomical locations, with a tendency for structural weaknesses and ultrastructural fragility of the aponeurosis</w:t>
      </w:r>
      <w:r w:rsidRPr="0099226C">
        <w:rPr>
          <w:rFonts w:ascii="Arial" w:hAnsi="Arial" w:cs="Arial"/>
          <w:sz w:val="22"/>
          <w:szCs w:val="22"/>
          <w:vertAlign w:val="superscript"/>
        </w:rPr>
        <w:t>1</w:t>
      </w:r>
      <w:r w:rsidRPr="0099226C">
        <w:rPr>
          <w:rFonts w:ascii="Arial" w:hAnsi="Arial" w:cs="Arial"/>
          <w:sz w:val="22"/>
          <w:szCs w:val="22"/>
        </w:rPr>
        <w:t>. Lumbar hernias constitute a relatively uncommon type of hernia, representing less than 1.5% of all abdominal hernias</w:t>
      </w:r>
      <w:r w:rsidRPr="0099226C">
        <w:rPr>
          <w:rFonts w:ascii="Arial" w:hAnsi="Arial" w:cs="Arial"/>
          <w:sz w:val="22"/>
          <w:szCs w:val="22"/>
          <w:vertAlign w:val="superscript"/>
        </w:rPr>
        <w:t>2</w:t>
      </w:r>
      <w:r w:rsidRPr="0099226C">
        <w:rPr>
          <w:rFonts w:ascii="Arial" w:hAnsi="Arial" w:cs="Arial"/>
          <w:sz w:val="22"/>
          <w:szCs w:val="22"/>
        </w:rPr>
        <w:t>. These hernias are predominantly observed in this area following surgical interventions or trauma. However, Primary Lumbar hernias may occur, but they are considered to be rare occurrences</w:t>
      </w:r>
      <w:r w:rsidRPr="0099226C">
        <w:rPr>
          <w:rFonts w:ascii="Arial" w:hAnsi="Arial" w:cs="Arial"/>
          <w:sz w:val="22"/>
          <w:szCs w:val="22"/>
          <w:vertAlign w:val="superscript"/>
        </w:rPr>
        <w:t>3</w:t>
      </w:r>
      <w:r w:rsidRPr="0099226C">
        <w:rPr>
          <w:rFonts w:ascii="Arial" w:hAnsi="Arial" w:cs="Arial"/>
          <w:sz w:val="22"/>
          <w:szCs w:val="22"/>
        </w:rPr>
        <w:t>.</w:t>
      </w:r>
    </w:p>
    <w:p w14:paraId="4C5C3D81" w14:textId="05EC0FBC" w:rsidR="00EF2C4C" w:rsidRPr="008226DF" w:rsidRDefault="0099226C" w:rsidP="008226DF">
      <w:pPr>
        <w:pStyle w:val="NormalWeb"/>
        <w:spacing w:line="480" w:lineRule="auto"/>
        <w:rPr>
          <w:rFonts w:ascii="Arial" w:hAnsi="Arial" w:cs="Arial"/>
          <w:sz w:val="22"/>
          <w:szCs w:val="22"/>
          <w:lang w:eastAsia="en-IN"/>
        </w:rPr>
      </w:pPr>
      <w:r w:rsidRPr="0099226C">
        <w:rPr>
          <w:rFonts w:ascii="Arial" w:hAnsi="Arial" w:cs="Arial"/>
          <w:sz w:val="22"/>
          <w:szCs w:val="22"/>
        </w:rPr>
        <w:t> Complex ventral hernias are classified as large abdominal wall hernias, characterised by a transverse defect with a diameter of at least 10cm</w:t>
      </w:r>
      <w:r w:rsidRPr="0099226C">
        <w:rPr>
          <w:rFonts w:ascii="Arial" w:hAnsi="Arial" w:cs="Arial"/>
          <w:sz w:val="22"/>
          <w:szCs w:val="22"/>
          <w:vertAlign w:val="superscript"/>
        </w:rPr>
        <w:t>4</w:t>
      </w:r>
      <w:r w:rsidRPr="0099226C">
        <w:rPr>
          <w:rFonts w:ascii="Arial" w:hAnsi="Arial" w:cs="Arial"/>
          <w:sz w:val="22"/>
          <w:szCs w:val="22"/>
        </w:rPr>
        <w:t>. In the context of size assessment, some researchers define complex ventral hernias as having a loss of domain (LOD) of at least 20%.</w:t>
      </w:r>
      <w:r w:rsidRPr="0099226C">
        <w:rPr>
          <w:rFonts w:ascii="Arial" w:hAnsi="Arial" w:cs="Arial"/>
          <w:color w:val="000000"/>
          <w:sz w:val="22"/>
          <w:szCs w:val="22"/>
          <w:shd w:val="clear" w:color="auto" w:fill="F4F5F6"/>
        </w:rPr>
        <w:t xml:space="preserve"> </w:t>
      </w:r>
      <w:r w:rsidRPr="0099226C">
        <w:rPr>
          <w:rFonts w:ascii="Arial" w:hAnsi="Arial" w:cs="Arial"/>
          <w:sz w:val="22"/>
          <w:szCs w:val="22"/>
        </w:rPr>
        <w:t>The increasing relevance of loss of domain is evident, as it refers to the ratio between the volume of the hernia sac and the volume of the residual abdominopelvic cavity</w:t>
      </w:r>
      <w:r w:rsidRPr="0099226C">
        <w:rPr>
          <w:rFonts w:ascii="Arial" w:hAnsi="Arial" w:cs="Arial"/>
          <w:sz w:val="22"/>
          <w:szCs w:val="22"/>
          <w:vertAlign w:val="superscript"/>
        </w:rPr>
        <w:t xml:space="preserve"> 5</w:t>
      </w:r>
      <w:r w:rsidRPr="0099226C">
        <w:rPr>
          <w:rFonts w:ascii="Arial" w:hAnsi="Arial" w:cs="Arial"/>
          <w:sz w:val="22"/>
          <w:szCs w:val="22"/>
        </w:rPr>
        <w:t xml:space="preserve">. </w:t>
      </w:r>
      <w:r w:rsidRPr="0099226C">
        <w:rPr>
          <w:rFonts w:ascii="Arial" w:hAnsi="Arial" w:cs="Arial"/>
          <w:sz w:val="22"/>
          <w:szCs w:val="22"/>
          <w:lang w:eastAsia="en-IN"/>
        </w:rPr>
        <w:t>This case highlights the effective management of a rare, large, complex primary ventral hernia with LOD in a respiratory-compromised patient.</w:t>
      </w:r>
    </w:p>
    <w:p w14:paraId="2ABC4F43" w14:textId="5B492209" w:rsidR="001B265E" w:rsidRDefault="00EF2C4C" w:rsidP="0099226C">
      <w:pPr>
        <w:spacing w:line="480" w:lineRule="auto"/>
        <w:rPr>
          <w:rFonts w:ascii="Arial" w:hAnsi="Arial" w:cs="Arial"/>
          <w:sz w:val="22"/>
          <w:szCs w:val="22"/>
          <w:lang w:val="en-GB"/>
        </w:rPr>
      </w:pPr>
      <w:r w:rsidRPr="008226DF">
        <w:rPr>
          <w:rFonts w:ascii="Arial" w:hAnsi="Arial" w:cs="Arial"/>
          <w:b/>
          <w:lang w:val="en-GB"/>
        </w:rPr>
        <w:t xml:space="preserve">Case </w:t>
      </w:r>
      <w:r w:rsidR="001B265E">
        <w:rPr>
          <w:rFonts w:ascii="Arial" w:hAnsi="Arial" w:cs="Arial"/>
          <w:b/>
          <w:lang w:val="en-GB"/>
        </w:rPr>
        <w:t>presentation</w:t>
      </w:r>
      <w:r w:rsidRPr="0099226C">
        <w:rPr>
          <w:rFonts w:ascii="Arial" w:hAnsi="Arial" w:cs="Arial"/>
          <w:sz w:val="22"/>
          <w:szCs w:val="22"/>
          <w:lang w:val="en-GB"/>
        </w:rPr>
        <w:t xml:space="preserve"> </w:t>
      </w:r>
    </w:p>
    <w:p w14:paraId="0F459E25" w14:textId="77777777" w:rsidR="001B265E" w:rsidRDefault="001B265E" w:rsidP="0099226C">
      <w:pPr>
        <w:spacing w:line="480" w:lineRule="auto"/>
        <w:rPr>
          <w:rFonts w:ascii="Arial" w:hAnsi="Arial" w:cs="Arial"/>
          <w:sz w:val="22"/>
          <w:szCs w:val="22"/>
          <w:lang w:val="en-GB"/>
        </w:rPr>
      </w:pPr>
    </w:p>
    <w:p w14:paraId="2F02DD9E" w14:textId="15C3B00D" w:rsidR="0099226C" w:rsidRDefault="0099226C" w:rsidP="0099226C">
      <w:pPr>
        <w:spacing w:line="480" w:lineRule="auto"/>
        <w:rPr>
          <w:rFonts w:ascii="Arial" w:hAnsi="Arial" w:cs="Arial"/>
          <w:sz w:val="22"/>
          <w:szCs w:val="22"/>
        </w:rPr>
      </w:pPr>
      <w:r w:rsidRPr="0099226C">
        <w:rPr>
          <w:rFonts w:ascii="Arial" w:hAnsi="Arial" w:cs="Arial"/>
          <w:sz w:val="22"/>
          <w:szCs w:val="22"/>
        </w:rPr>
        <w:t>A 62-year-old female presented with complaints of gradually increasing swelling in the right flank for the last 10 years. The patient had been experiencing discomfort for the past year due to the large swelling. She did not have a history of any previous abdominal surgery. The patient had a history of Interstitial Lung disease for 20 years and Asthma for the past 2 years.</w:t>
      </w:r>
    </w:p>
    <w:p w14:paraId="46BBB5F1" w14:textId="2277FD94" w:rsidR="0099226C" w:rsidRPr="0099226C" w:rsidRDefault="0099226C" w:rsidP="0099226C">
      <w:pPr>
        <w:spacing w:line="480" w:lineRule="auto"/>
        <w:rPr>
          <w:rFonts w:ascii="Arial" w:hAnsi="Arial" w:cs="Arial"/>
          <w:sz w:val="22"/>
          <w:szCs w:val="22"/>
        </w:rPr>
      </w:pPr>
      <w:r w:rsidRPr="0099226C">
        <w:rPr>
          <w:rFonts w:ascii="Arial" w:hAnsi="Arial" w:cs="Arial"/>
          <w:sz w:val="22"/>
          <w:szCs w:val="22"/>
        </w:rPr>
        <w:t>A thorough physical examination revealed a swelling in the right flank region, approximately 15 x 10 cm (Figure 1A &amp; 1B).</w:t>
      </w:r>
      <w:r w:rsidRPr="0099226C">
        <w:rPr>
          <w:rFonts w:ascii="Arial" w:hAnsi="Arial" w:cs="Arial"/>
          <w:sz w:val="22"/>
          <w:szCs w:val="22"/>
          <w:lang w:val="en-GB"/>
        </w:rPr>
        <w:t xml:space="preserve"> The swelling was partially reducible and increased in size during the Valsalva manoeuvre or when standing from a supine position</w:t>
      </w:r>
      <w:r w:rsidRPr="0099226C">
        <w:rPr>
          <w:rFonts w:ascii="Arial" w:hAnsi="Arial" w:cs="Arial"/>
          <w:sz w:val="22"/>
          <w:szCs w:val="22"/>
        </w:rPr>
        <w:t>.</w:t>
      </w:r>
    </w:p>
    <w:p w14:paraId="133D4E24" w14:textId="561F01A3" w:rsidR="002173BB" w:rsidRDefault="002173BB" w:rsidP="00EF2C4C">
      <w:pPr>
        <w:pStyle w:val="AbstHead"/>
        <w:jc w:val="both"/>
        <w:rPr>
          <w:rFonts w:ascii="Arial" w:hAnsi="Arial" w:cs="Arial"/>
          <w:b w:val="0"/>
          <w:bCs/>
        </w:rPr>
      </w:pPr>
      <w:r>
        <w:rPr>
          <w:noProof/>
        </w:rPr>
        <w:lastRenderedPageBreak/>
        <w:drawing>
          <wp:inline distT="0" distB="0" distL="0" distR="0" wp14:anchorId="47194874" wp14:editId="50E2F1A4">
            <wp:extent cx="2301240" cy="2179320"/>
            <wp:effectExtent l="0" t="0" r="3810" b="0"/>
            <wp:docPr id="14439838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01240" cy="2179320"/>
                    </a:xfrm>
                    <a:prstGeom prst="rect">
                      <a:avLst/>
                    </a:prstGeom>
                    <a:noFill/>
                    <a:ln>
                      <a:noFill/>
                    </a:ln>
                  </pic:spPr>
                </pic:pic>
              </a:graphicData>
            </a:graphic>
          </wp:inline>
        </w:drawing>
      </w:r>
      <w:r>
        <w:rPr>
          <w:rFonts w:ascii="Arial" w:hAnsi="Arial" w:cs="Arial"/>
          <w:b w:val="0"/>
          <w:bCs/>
        </w:rPr>
        <w:t xml:space="preserve">    </w:t>
      </w:r>
      <w:r>
        <w:rPr>
          <w:noProof/>
        </w:rPr>
        <w:drawing>
          <wp:inline distT="0" distB="0" distL="0" distR="0" wp14:anchorId="1BA781FF" wp14:editId="55BAA180">
            <wp:extent cx="2506980" cy="2140450"/>
            <wp:effectExtent l="0" t="0" r="7620" b="0"/>
            <wp:docPr id="5787604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20041" cy="2151602"/>
                    </a:xfrm>
                    <a:prstGeom prst="rect">
                      <a:avLst/>
                    </a:prstGeom>
                    <a:noFill/>
                    <a:ln>
                      <a:noFill/>
                    </a:ln>
                  </pic:spPr>
                </pic:pic>
              </a:graphicData>
            </a:graphic>
          </wp:inline>
        </w:drawing>
      </w:r>
    </w:p>
    <w:p w14:paraId="7CF7F351" w14:textId="161C94A1" w:rsidR="002173BB" w:rsidRPr="00102300" w:rsidRDefault="002173BB" w:rsidP="00EF2C4C">
      <w:pPr>
        <w:pStyle w:val="AbstHead"/>
        <w:jc w:val="both"/>
        <w:rPr>
          <w:rFonts w:ascii="Arial" w:hAnsi="Arial" w:cs="Arial"/>
        </w:rPr>
      </w:pPr>
      <w:r w:rsidRPr="00102300">
        <w:rPr>
          <w:rFonts w:ascii="Arial" w:hAnsi="Arial" w:cs="Arial"/>
        </w:rPr>
        <w:t>Figure 1A &amp; 1B: Pre-Operative Hernia Picture</w:t>
      </w:r>
    </w:p>
    <w:p w14:paraId="356BC886" w14:textId="798B1F96" w:rsidR="002173BB" w:rsidRPr="0099226C" w:rsidRDefault="00EF2C4C" w:rsidP="0099226C">
      <w:pPr>
        <w:spacing w:line="480" w:lineRule="auto"/>
        <w:rPr>
          <w:rFonts w:ascii="Arial" w:hAnsi="Arial" w:cs="Arial"/>
          <w:sz w:val="22"/>
          <w:szCs w:val="22"/>
        </w:rPr>
      </w:pPr>
      <w:r w:rsidRPr="0099226C">
        <w:rPr>
          <w:rFonts w:ascii="Arial" w:hAnsi="Arial" w:cs="Arial"/>
          <w:bCs/>
          <w:sz w:val="22"/>
          <w:szCs w:val="22"/>
        </w:rPr>
        <w:t xml:space="preserve"> </w:t>
      </w:r>
      <w:r w:rsidR="0099226C" w:rsidRPr="0099226C">
        <w:rPr>
          <w:rFonts w:ascii="Arial" w:hAnsi="Arial" w:cs="Arial"/>
          <w:sz w:val="22"/>
          <w:szCs w:val="22"/>
        </w:rPr>
        <w:t xml:space="preserve">A plain and contrast-enhanced CT scan of the abdomen and pelvis revealed a large defect in the right anterolateral abdominal wall, measuring about 11.3 cm in maximum width and 13 cm in the </w:t>
      </w:r>
      <w:proofErr w:type="spellStart"/>
      <w:r w:rsidR="0099226C" w:rsidRPr="0099226C">
        <w:rPr>
          <w:rFonts w:ascii="Arial" w:hAnsi="Arial" w:cs="Arial"/>
          <w:sz w:val="22"/>
          <w:szCs w:val="22"/>
        </w:rPr>
        <w:t>supero</w:t>
      </w:r>
      <w:proofErr w:type="spellEnd"/>
      <w:r w:rsidR="0099226C" w:rsidRPr="0099226C">
        <w:rPr>
          <w:rFonts w:ascii="Arial" w:hAnsi="Arial" w:cs="Arial"/>
          <w:sz w:val="22"/>
          <w:szCs w:val="22"/>
        </w:rPr>
        <w:t>-inferior extent (Figure 2A &amp; 2B). The hernial sac volume was about 1340.08 cc, while the abdominal cavity volume was about 3668.73 cc. The loss of domain (LOD) was calculated to be about 26%.</w:t>
      </w:r>
    </w:p>
    <w:p w14:paraId="08DBD842" w14:textId="67DEDBAA" w:rsidR="002173BB" w:rsidRDefault="002173BB" w:rsidP="00EF2C4C">
      <w:pPr>
        <w:pStyle w:val="AbstHead"/>
        <w:jc w:val="both"/>
        <w:rPr>
          <w:rFonts w:ascii="Arial" w:hAnsi="Arial" w:cs="Arial"/>
          <w:b w:val="0"/>
          <w:bCs/>
          <w:lang w:val="en-GB"/>
        </w:rPr>
      </w:pPr>
      <w:r>
        <w:rPr>
          <w:noProof/>
        </w:rPr>
        <w:drawing>
          <wp:inline distT="0" distB="0" distL="0" distR="0" wp14:anchorId="309ADD81" wp14:editId="1CB48E0F">
            <wp:extent cx="2342085" cy="3093720"/>
            <wp:effectExtent l="0" t="0" r="1270" b="0"/>
            <wp:docPr id="5506534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47878" cy="3101371"/>
                    </a:xfrm>
                    <a:prstGeom prst="rect">
                      <a:avLst/>
                    </a:prstGeom>
                    <a:noFill/>
                    <a:ln>
                      <a:noFill/>
                    </a:ln>
                  </pic:spPr>
                </pic:pic>
              </a:graphicData>
            </a:graphic>
          </wp:inline>
        </w:drawing>
      </w:r>
      <w:r>
        <w:rPr>
          <w:rFonts w:ascii="Arial" w:hAnsi="Arial" w:cs="Arial"/>
          <w:b w:val="0"/>
          <w:bCs/>
          <w:lang w:val="en-GB"/>
        </w:rPr>
        <w:t xml:space="preserve">    </w:t>
      </w:r>
      <w:r>
        <w:rPr>
          <w:noProof/>
        </w:rPr>
        <w:drawing>
          <wp:inline distT="0" distB="0" distL="0" distR="0" wp14:anchorId="44CC6872" wp14:editId="78D84AA5">
            <wp:extent cx="3158751" cy="2286000"/>
            <wp:effectExtent l="0" t="0" r="3810" b="0"/>
            <wp:docPr id="204486144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68492" cy="2293049"/>
                    </a:xfrm>
                    <a:prstGeom prst="rect">
                      <a:avLst/>
                    </a:prstGeom>
                    <a:noFill/>
                    <a:ln>
                      <a:noFill/>
                    </a:ln>
                  </pic:spPr>
                </pic:pic>
              </a:graphicData>
            </a:graphic>
          </wp:inline>
        </w:drawing>
      </w:r>
    </w:p>
    <w:p w14:paraId="4C77D0BA" w14:textId="135E05BF" w:rsidR="002173BB" w:rsidRDefault="002173BB" w:rsidP="00EF2C4C">
      <w:pPr>
        <w:pStyle w:val="AbstHead"/>
        <w:jc w:val="both"/>
        <w:rPr>
          <w:rFonts w:ascii="Arial" w:hAnsi="Arial" w:cs="Arial"/>
          <w:lang w:val="en-GB"/>
        </w:rPr>
      </w:pPr>
      <w:r w:rsidRPr="00102300">
        <w:rPr>
          <w:rFonts w:ascii="Arial" w:hAnsi="Arial" w:cs="Arial"/>
          <w:lang w:val="en-GB"/>
        </w:rPr>
        <w:t>Figure 2a &amp; 2B: CT scan Pre-Operative showing loss of domain</w:t>
      </w:r>
    </w:p>
    <w:p w14:paraId="68A7F0FC" w14:textId="77777777" w:rsidR="0099226C" w:rsidRPr="0099226C" w:rsidRDefault="0099226C" w:rsidP="0099226C">
      <w:pPr>
        <w:spacing w:line="480" w:lineRule="auto"/>
        <w:rPr>
          <w:rFonts w:ascii="Arial" w:hAnsi="Arial" w:cs="Arial"/>
          <w:sz w:val="22"/>
          <w:szCs w:val="22"/>
        </w:rPr>
      </w:pPr>
      <w:r w:rsidRPr="0099226C">
        <w:rPr>
          <w:rFonts w:ascii="Arial" w:hAnsi="Arial" w:cs="Arial"/>
          <w:sz w:val="22"/>
          <w:szCs w:val="22"/>
        </w:rPr>
        <w:t xml:space="preserve">Due to the respiratory disease, the patient was deemed unfit for Botox therapy. Preoperative progressive pneumoperitoneum (PPP). She was found to be a high risk for general </w:t>
      </w:r>
      <w:proofErr w:type="spellStart"/>
      <w:r w:rsidRPr="0099226C">
        <w:rPr>
          <w:rFonts w:ascii="Arial" w:hAnsi="Arial" w:cs="Arial"/>
          <w:sz w:val="22"/>
          <w:szCs w:val="22"/>
        </w:rPr>
        <w:t>anaesthesia</w:t>
      </w:r>
      <w:proofErr w:type="spellEnd"/>
      <w:r w:rsidRPr="0099226C">
        <w:rPr>
          <w:rFonts w:ascii="Arial" w:hAnsi="Arial" w:cs="Arial"/>
          <w:sz w:val="22"/>
          <w:szCs w:val="22"/>
        </w:rPr>
        <w:t xml:space="preserve"> by the Chest Physician and </w:t>
      </w:r>
      <w:proofErr w:type="spellStart"/>
      <w:r w:rsidRPr="0099226C">
        <w:rPr>
          <w:rFonts w:ascii="Arial" w:hAnsi="Arial" w:cs="Arial"/>
          <w:sz w:val="22"/>
          <w:szCs w:val="22"/>
        </w:rPr>
        <w:t>Anaesthetist</w:t>
      </w:r>
      <w:proofErr w:type="spellEnd"/>
      <w:r w:rsidRPr="0099226C">
        <w:rPr>
          <w:rFonts w:ascii="Arial" w:hAnsi="Arial" w:cs="Arial"/>
          <w:sz w:val="22"/>
          <w:szCs w:val="22"/>
        </w:rPr>
        <w:t xml:space="preserve">. After a Multidisciplinary discussion with the Physician, </w:t>
      </w:r>
      <w:proofErr w:type="spellStart"/>
      <w:r w:rsidRPr="0099226C">
        <w:rPr>
          <w:rFonts w:ascii="Arial" w:hAnsi="Arial" w:cs="Arial"/>
          <w:sz w:val="22"/>
          <w:szCs w:val="22"/>
        </w:rPr>
        <w:t>Anaesthetist</w:t>
      </w:r>
      <w:proofErr w:type="spellEnd"/>
      <w:r w:rsidRPr="0099226C">
        <w:rPr>
          <w:rFonts w:ascii="Arial" w:hAnsi="Arial" w:cs="Arial"/>
          <w:sz w:val="22"/>
          <w:szCs w:val="22"/>
        </w:rPr>
        <w:t xml:space="preserve">, and Chest Physician, a collective decision was made to operate on the patient under Epidural </w:t>
      </w:r>
      <w:proofErr w:type="spellStart"/>
      <w:r w:rsidRPr="0099226C">
        <w:rPr>
          <w:rFonts w:ascii="Arial" w:hAnsi="Arial" w:cs="Arial"/>
          <w:sz w:val="22"/>
          <w:szCs w:val="22"/>
        </w:rPr>
        <w:t>anaesthesia</w:t>
      </w:r>
      <w:proofErr w:type="spellEnd"/>
      <w:r w:rsidRPr="0099226C">
        <w:rPr>
          <w:rFonts w:ascii="Arial" w:hAnsi="Arial" w:cs="Arial"/>
          <w:sz w:val="22"/>
          <w:szCs w:val="22"/>
        </w:rPr>
        <w:t xml:space="preserve">. As part of the preoperative </w:t>
      </w:r>
      <w:r w:rsidRPr="0099226C">
        <w:rPr>
          <w:rFonts w:ascii="Arial" w:hAnsi="Arial" w:cs="Arial"/>
          <w:sz w:val="22"/>
          <w:szCs w:val="22"/>
        </w:rPr>
        <w:lastRenderedPageBreak/>
        <w:t>preparation, the patient was primarily advised to pursue weight reduction measures and was also administered chest physiotherapy, Spirometry to optimize respiratory function</w:t>
      </w:r>
      <w:r w:rsidRPr="0099226C">
        <w:rPr>
          <w:rFonts w:ascii="Arial" w:hAnsi="Arial" w:cs="Arial"/>
          <w:sz w:val="22"/>
          <w:szCs w:val="22"/>
          <w:vertAlign w:val="superscript"/>
        </w:rPr>
        <w:t>6</w:t>
      </w:r>
      <w:r w:rsidRPr="0099226C">
        <w:rPr>
          <w:rFonts w:ascii="Arial" w:hAnsi="Arial" w:cs="Arial"/>
          <w:sz w:val="22"/>
          <w:szCs w:val="22"/>
        </w:rPr>
        <w:t xml:space="preserve">. The patient underwent a midline laparotomy, during which the contents of the hernial sac were reduced via the intra-abdominal approach. </w:t>
      </w:r>
      <w:proofErr w:type="spellStart"/>
      <w:r w:rsidRPr="0099226C">
        <w:rPr>
          <w:rFonts w:ascii="Arial" w:hAnsi="Arial" w:cs="Arial"/>
          <w:sz w:val="22"/>
          <w:szCs w:val="22"/>
        </w:rPr>
        <w:t>Adhesiolysis</w:t>
      </w:r>
      <w:proofErr w:type="spellEnd"/>
      <w:r w:rsidRPr="0099226C">
        <w:rPr>
          <w:rFonts w:ascii="Arial" w:hAnsi="Arial" w:cs="Arial"/>
          <w:sz w:val="22"/>
          <w:szCs w:val="22"/>
        </w:rPr>
        <w:t xml:space="preserve"> was carried out with cold scissors in the standard fashion. </w:t>
      </w:r>
    </w:p>
    <w:p w14:paraId="0DD4D302" w14:textId="77777777" w:rsidR="0099226C" w:rsidRPr="0099226C" w:rsidRDefault="0099226C" w:rsidP="0099226C">
      <w:pPr>
        <w:pStyle w:val="NormalWeb"/>
        <w:spacing w:line="480" w:lineRule="auto"/>
        <w:rPr>
          <w:rFonts w:ascii="Arial" w:hAnsi="Arial" w:cs="Arial"/>
          <w:sz w:val="22"/>
          <w:szCs w:val="22"/>
          <w:lang w:eastAsia="en-IN"/>
        </w:rPr>
      </w:pPr>
      <w:r w:rsidRPr="0099226C">
        <w:rPr>
          <w:rFonts w:ascii="Arial" w:hAnsi="Arial" w:cs="Arial"/>
          <w:sz w:val="22"/>
          <w:szCs w:val="22"/>
        </w:rPr>
        <w:t>Abdominal wall reconstruction was performed through Posterior component separation, followed by Transversus abdominis release (TAR) using the 'bottom-up' approach</w:t>
      </w:r>
      <w:r w:rsidRPr="0099226C">
        <w:rPr>
          <w:rFonts w:ascii="Arial" w:hAnsi="Arial" w:cs="Arial"/>
          <w:sz w:val="22"/>
          <w:szCs w:val="22"/>
          <w:lang w:val="en-US"/>
        </w:rPr>
        <w:t xml:space="preserve">. </w:t>
      </w:r>
      <w:r w:rsidRPr="0099226C">
        <w:rPr>
          <w:rFonts w:ascii="Arial" w:hAnsi="Arial" w:cs="Arial"/>
          <w:sz w:val="22"/>
          <w:szCs w:val="22"/>
          <w:lang w:eastAsia="en-IN"/>
        </w:rPr>
        <w:t>After performing TAR, lateral dissection was carried out on the right side of the abdomen to cross the defect and ensure adequate mesh coverage, followed by lateral dissection on the left side.</w:t>
      </w:r>
    </w:p>
    <w:p w14:paraId="436C99F0" w14:textId="31386065" w:rsidR="0099226C" w:rsidRPr="0099226C" w:rsidRDefault="0099226C" w:rsidP="0099226C">
      <w:pPr>
        <w:spacing w:line="480" w:lineRule="auto"/>
        <w:rPr>
          <w:rFonts w:ascii="Arial" w:hAnsi="Arial" w:cs="Arial"/>
          <w:sz w:val="22"/>
          <w:szCs w:val="22"/>
        </w:rPr>
      </w:pPr>
      <w:r w:rsidRPr="0099226C">
        <w:rPr>
          <w:rFonts w:ascii="Arial" w:hAnsi="Arial" w:cs="Arial"/>
          <w:sz w:val="22"/>
          <w:szCs w:val="22"/>
        </w:rPr>
        <w:t xml:space="preserve">The posterior rectus sheath was closed, and a 30 cm x 30 cm medium-weight polypropylene mesh was placed in the TAR plane to provide adequate coverage (Figure 3). </w:t>
      </w:r>
    </w:p>
    <w:p w14:paraId="2F44A76D" w14:textId="1F23E46C" w:rsidR="002173BB" w:rsidRDefault="002173BB" w:rsidP="00EF2C4C">
      <w:pPr>
        <w:pStyle w:val="AbstHead"/>
        <w:jc w:val="both"/>
        <w:rPr>
          <w:rFonts w:ascii="Arial" w:hAnsi="Arial" w:cs="Arial"/>
          <w:b w:val="0"/>
          <w:bCs/>
        </w:rPr>
      </w:pPr>
      <w:r>
        <w:rPr>
          <w:noProof/>
        </w:rPr>
        <w:drawing>
          <wp:inline distT="0" distB="0" distL="0" distR="0" wp14:anchorId="1FFEA293" wp14:editId="6A796853">
            <wp:extent cx="2674620" cy="3036932"/>
            <wp:effectExtent l="0" t="0" r="0" b="0"/>
            <wp:docPr id="213576968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74620" cy="3036932"/>
                    </a:xfrm>
                    <a:prstGeom prst="rect">
                      <a:avLst/>
                    </a:prstGeom>
                    <a:noFill/>
                    <a:ln>
                      <a:noFill/>
                    </a:ln>
                  </pic:spPr>
                </pic:pic>
              </a:graphicData>
            </a:graphic>
          </wp:inline>
        </w:drawing>
      </w:r>
    </w:p>
    <w:p w14:paraId="106E515B" w14:textId="66E07DFA" w:rsidR="002173BB" w:rsidRDefault="00102300" w:rsidP="00EF2C4C">
      <w:pPr>
        <w:pStyle w:val="AbstHead"/>
        <w:jc w:val="both"/>
        <w:rPr>
          <w:rFonts w:ascii="Arial" w:hAnsi="Arial" w:cs="Arial"/>
          <w:lang w:val="en-GB"/>
        </w:rPr>
      </w:pPr>
      <w:r>
        <w:rPr>
          <w:rFonts w:ascii="Arial" w:hAnsi="Arial" w:cs="Arial"/>
          <w:lang w:val="en-GB"/>
        </w:rPr>
        <w:t>figure 3: mesh placement in tar plane</w:t>
      </w:r>
    </w:p>
    <w:p w14:paraId="008FB58C" w14:textId="649BD219" w:rsidR="0099226C" w:rsidRPr="0099226C" w:rsidRDefault="0099226C" w:rsidP="00EF2C4C">
      <w:pPr>
        <w:pStyle w:val="AbstHead"/>
        <w:jc w:val="both"/>
        <w:rPr>
          <w:rFonts w:ascii="Arial" w:hAnsi="Arial" w:cs="Arial"/>
          <w:szCs w:val="22"/>
          <w:lang w:val="en-GB"/>
        </w:rPr>
      </w:pPr>
      <w:r w:rsidRPr="0099226C">
        <w:rPr>
          <w:rFonts w:ascii="Arial" w:hAnsi="Arial" w:cs="Arial"/>
          <w:b w:val="0"/>
          <w:caps w:val="0"/>
          <w:szCs w:val="22"/>
        </w:rPr>
        <w:t>The hernia defect in the anterior rectus sheath (ARS) was closed separately as it was a lateral defect using non-absorbable suture material.</w:t>
      </w:r>
      <w:r w:rsidRPr="0099226C">
        <w:rPr>
          <w:rFonts w:ascii="Arial" w:hAnsi="Arial" w:cs="Arial"/>
          <w:b w:val="0"/>
          <w:caps w:val="0"/>
          <w:szCs w:val="22"/>
          <w:lang w:val="en-GB"/>
        </w:rPr>
        <w:t xml:space="preserve"> The ARS approximation was begun with number 1 monofilament nylon suture material in an interrupted manner. </w:t>
      </w:r>
      <w:r w:rsidRPr="0099226C">
        <w:rPr>
          <w:rFonts w:ascii="Arial" w:hAnsi="Arial" w:cs="Arial"/>
          <w:b w:val="0"/>
          <w:caps w:val="0"/>
          <w:szCs w:val="22"/>
          <w:lang w:val="en-GB" w:eastAsia="en-IN"/>
        </w:rPr>
        <w:t xml:space="preserve">Due to difficulty in approximating the ARS, a polypropylene mesh was used </w:t>
      </w:r>
      <w:r w:rsidRPr="0099226C">
        <w:rPr>
          <w:rFonts w:ascii="Arial" w:hAnsi="Arial" w:cs="Arial"/>
          <w:b w:val="0"/>
          <w:caps w:val="0"/>
          <w:szCs w:val="22"/>
          <w:lang w:val="en-GB" w:eastAsia="en-IN"/>
        </w:rPr>
        <w:lastRenderedPageBreak/>
        <w:t xml:space="preserve">to bridge the midline and secured with non-absorbable sutures to prevent respiratory compromise and abdominal compartment </w:t>
      </w:r>
      <w:proofErr w:type="gramStart"/>
      <w:r w:rsidRPr="0099226C">
        <w:rPr>
          <w:rFonts w:ascii="Arial" w:hAnsi="Arial" w:cs="Arial"/>
          <w:b w:val="0"/>
          <w:caps w:val="0"/>
          <w:szCs w:val="22"/>
          <w:lang w:val="en-GB" w:eastAsia="en-IN"/>
        </w:rPr>
        <w:t>syndrome</w:t>
      </w:r>
      <w:r>
        <w:rPr>
          <w:rFonts w:ascii="Arial" w:hAnsi="Arial" w:cs="Arial"/>
          <w:b w:val="0"/>
          <w:caps w:val="0"/>
          <w:szCs w:val="22"/>
          <w:lang w:val="en-GB" w:eastAsia="en-IN"/>
        </w:rPr>
        <w:t>(</w:t>
      </w:r>
      <w:proofErr w:type="gramEnd"/>
      <w:r>
        <w:rPr>
          <w:rFonts w:ascii="Arial" w:hAnsi="Arial" w:cs="Arial"/>
          <w:b w:val="0"/>
          <w:caps w:val="0"/>
          <w:szCs w:val="22"/>
          <w:lang w:val="en-GB" w:eastAsia="en-IN"/>
        </w:rPr>
        <w:t>Figure 4)</w:t>
      </w:r>
      <w:r w:rsidRPr="0099226C">
        <w:rPr>
          <w:rFonts w:ascii="Arial" w:hAnsi="Arial" w:cs="Arial"/>
          <w:b w:val="0"/>
          <w:caps w:val="0"/>
          <w:szCs w:val="22"/>
          <w:lang w:val="en-GB" w:eastAsia="en-IN"/>
        </w:rPr>
        <w:t>.</w:t>
      </w:r>
    </w:p>
    <w:p w14:paraId="18A425C0" w14:textId="38496AB8" w:rsidR="00102300" w:rsidRDefault="00102300" w:rsidP="00102300">
      <w:pPr>
        <w:pStyle w:val="AbstHead"/>
        <w:jc w:val="both"/>
        <w:rPr>
          <w:rFonts w:ascii="Arial" w:hAnsi="Arial" w:cs="Arial"/>
          <w:b w:val="0"/>
          <w:bCs/>
          <w:lang w:val="en-GB"/>
        </w:rPr>
      </w:pPr>
      <w:r>
        <w:rPr>
          <w:noProof/>
        </w:rPr>
        <w:drawing>
          <wp:inline distT="0" distB="0" distL="0" distR="0" wp14:anchorId="1E21FDFC" wp14:editId="18DDF28B">
            <wp:extent cx="2338485" cy="2804160"/>
            <wp:effectExtent l="0" t="0" r="5080" b="0"/>
            <wp:docPr id="207229936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47281" cy="2814707"/>
                    </a:xfrm>
                    <a:prstGeom prst="rect">
                      <a:avLst/>
                    </a:prstGeom>
                    <a:noFill/>
                    <a:ln>
                      <a:noFill/>
                    </a:ln>
                  </pic:spPr>
                </pic:pic>
              </a:graphicData>
            </a:graphic>
          </wp:inline>
        </w:drawing>
      </w:r>
    </w:p>
    <w:p w14:paraId="2582DE2D" w14:textId="717831F0" w:rsidR="00102300" w:rsidRPr="00102300" w:rsidRDefault="00102300" w:rsidP="00102300">
      <w:pPr>
        <w:pStyle w:val="AbstHead"/>
        <w:jc w:val="both"/>
        <w:rPr>
          <w:rFonts w:ascii="Arial" w:hAnsi="Arial" w:cs="Arial"/>
          <w:lang w:val="en-GB"/>
        </w:rPr>
      </w:pPr>
      <w:r>
        <w:rPr>
          <w:rFonts w:ascii="Arial" w:hAnsi="Arial" w:cs="Arial"/>
          <w:lang w:val="en-GB"/>
        </w:rPr>
        <w:t>figure 4: Bridge repair of anterior rectus sheath</w:t>
      </w:r>
    </w:p>
    <w:p w14:paraId="53B723BB" w14:textId="754A809D" w:rsidR="00EF2C4C" w:rsidRPr="0099226C" w:rsidRDefault="00EF2C4C" w:rsidP="00102300">
      <w:pPr>
        <w:pStyle w:val="AbstHead"/>
        <w:jc w:val="both"/>
        <w:rPr>
          <w:rFonts w:ascii="Arial" w:hAnsi="Arial" w:cs="Arial"/>
          <w:b w:val="0"/>
          <w:bCs/>
          <w:szCs w:val="22"/>
        </w:rPr>
      </w:pPr>
      <w:r w:rsidRPr="0099226C">
        <w:rPr>
          <w:rFonts w:ascii="Arial" w:hAnsi="Arial" w:cs="Arial"/>
          <w:b w:val="0"/>
          <w:bCs/>
          <w:szCs w:val="22"/>
          <w:lang w:val="en-GB"/>
        </w:rPr>
        <w:t xml:space="preserve"> </w:t>
      </w:r>
      <w:r w:rsidR="0099226C" w:rsidRPr="0099226C">
        <w:rPr>
          <w:rFonts w:ascii="Arial" w:hAnsi="Arial" w:cs="Arial"/>
          <w:b w:val="0"/>
          <w:caps w:val="0"/>
          <w:szCs w:val="22"/>
          <w:lang w:val="en-GB" w:eastAsia="en-IN"/>
        </w:rPr>
        <w:t xml:space="preserve">The subcutaneous drain was placed, and the incision was closed in layers. The total operative duration was 6 hrs. </w:t>
      </w:r>
      <w:r w:rsidR="0099226C" w:rsidRPr="0099226C">
        <w:rPr>
          <w:rFonts w:ascii="Arial" w:hAnsi="Arial" w:cs="Arial"/>
          <w:b w:val="0"/>
          <w:caps w:val="0"/>
          <w:szCs w:val="22"/>
        </w:rPr>
        <w:t xml:space="preserve">In the early postoperative period, she was monitored for signs of abdominal compartment syndrome by checking her urine output, arterial blood gas analysis, and respiratory pressures. The patient was kept in the ICU for a week because she required additional respiratory care and support due to a pre-existing lung condition. </w:t>
      </w:r>
      <w:r w:rsidR="0099226C" w:rsidRPr="0099226C">
        <w:rPr>
          <w:rFonts w:ascii="Arial" w:hAnsi="Arial" w:cs="Arial"/>
          <w:b w:val="0"/>
          <w:caps w:val="0"/>
          <w:szCs w:val="22"/>
          <w:lang w:val="en-GB"/>
        </w:rPr>
        <w:lastRenderedPageBreak/>
        <w:t xml:space="preserve">The patient was followed up at 2 weeks and </w:t>
      </w:r>
      <w:proofErr w:type="gramStart"/>
      <w:r w:rsidR="0099226C" w:rsidRPr="0099226C">
        <w:rPr>
          <w:rFonts w:ascii="Arial" w:hAnsi="Arial" w:cs="Arial"/>
          <w:b w:val="0"/>
          <w:caps w:val="0"/>
          <w:szCs w:val="22"/>
          <w:lang w:val="en-GB"/>
        </w:rPr>
        <w:t>1 month</w:t>
      </w:r>
      <w:proofErr w:type="gramEnd"/>
      <w:r w:rsidR="0099226C" w:rsidRPr="0099226C">
        <w:rPr>
          <w:rFonts w:ascii="Arial" w:hAnsi="Arial" w:cs="Arial"/>
          <w:b w:val="0"/>
          <w:caps w:val="0"/>
          <w:szCs w:val="22"/>
          <w:lang w:val="en-GB"/>
        </w:rPr>
        <w:t xml:space="preserve"> post-surgery, with no evidence of recurrence or complications </w:t>
      </w:r>
      <w:r w:rsidR="0099226C" w:rsidRPr="0099226C">
        <w:rPr>
          <w:rFonts w:ascii="Arial" w:hAnsi="Arial" w:cs="Arial"/>
          <w:b w:val="0"/>
          <w:caps w:val="0"/>
          <w:szCs w:val="22"/>
        </w:rPr>
        <w:t>(Figure 5).</w:t>
      </w:r>
    </w:p>
    <w:p w14:paraId="08CF4AD2" w14:textId="5DA16293" w:rsidR="00102300" w:rsidRDefault="00102300" w:rsidP="00EF2C4C">
      <w:pPr>
        <w:pStyle w:val="AbstHead"/>
        <w:jc w:val="both"/>
        <w:rPr>
          <w:rFonts w:ascii="Arial" w:hAnsi="Arial" w:cs="Arial"/>
          <w:lang w:val="en-GB"/>
        </w:rPr>
      </w:pPr>
      <w:r>
        <w:rPr>
          <w:noProof/>
        </w:rPr>
        <w:drawing>
          <wp:inline distT="0" distB="0" distL="0" distR="0" wp14:anchorId="67998CE2" wp14:editId="412A8FDD">
            <wp:extent cx="2402359" cy="2705100"/>
            <wp:effectExtent l="0" t="0" r="0" b="0"/>
            <wp:docPr id="10925483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18952" cy="2723784"/>
                    </a:xfrm>
                    <a:prstGeom prst="rect">
                      <a:avLst/>
                    </a:prstGeom>
                    <a:noFill/>
                    <a:ln>
                      <a:noFill/>
                    </a:ln>
                  </pic:spPr>
                </pic:pic>
              </a:graphicData>
            </a:graphic>
          </wp:inline>
        </w:drawing>
      </w:r>
    </w:p>
    <w:p w14:paraId="17B070BE" w14:textId="5DCA8036" w:rsidR="00EF2C4C" w:rsidRPr="00EF2C4C" w:rsidRDefault="00102300" w:rsidP="00EF2C4C">
      <w:pPr>
        <w:pStyle w:val="AbstHead"/>
        <w:jc w:val="both"/>
        <w:rPr>
          <w:rFonts w:ascii="Arial" w:hAnsi="Arial" w:cs="Arial"/>
          <w:lang w:val="en-GB"/>
        </w:rPr>
      </w:pPr>
      <w:r>
        <w:rPr>
          <w:rFonts w:ascii="Arial" w:hAnsi="Arial" w:cs="Arial"/>
          <w:lang w:val="en-GB"/>
        </w:rPr>
        <w:t>figure 5: 6 months Post</w:t>
      </w:r>
      <w:r w:rsidR="005A78E2">
        <w:rPr>
          <w:rFonts w:ascii="Arial" w:hAnsi="Arial" w:cs="Arial"/>
          <w:lang w:val="en-GB"/>
        </w:rPr>
        <w:t>-</w:t>
      </w:r>
      <w:r>
        <w:rPr>
          <w:rFonts w:ascii="Arial" w:hAnsi="Arial" w:cs="Arial"/>
          <w:lang w:val="en-GB"/>
        </w:rPr>
        <w:t>operative image of abdomen showing no recurrence</w:t>
      </w:r>
    </w:p>
    <w:p w14:paraId="1A38D64F" w14:textId="6EF5A73A" w:rsidR="008E51E9" w:rsidRDefault="00EF2C4C" w:rsidP="00EF2C4C">
      <w:pPr>
        <w:pStyle w:val="AbstHead"/>
        <w:jc w:val="both"/>
        <w:rPr>
          <w:rFonts w:ascii="Arial" w:hAnsi="Arial" w:cs="Arial"/>
          <w:lang w:val="en-GB"/>
        </w:rPr>
      </w:pPr>
      <w:r w:rsidRPr="00EF2C4C">
        <w:rPr>
          <w:rFonts w:ascii="Arial" w:hAnsi="Arial" w:cs="Arial"/>
          <w:bCs/>
          <w:lang w:val="en-GB"/>
        </w:rPr>
        <w:t>Discussion:</w:t>
      </w:r>
      <w:r w:rsidRPr="00EF2C4C">
        <w:rPr>
          <w:rFonts w:ascii="Arial" w:hAnsi="Arial" w:cs="Arial"/>
          <w:lang w:val="en-GB"/>
        </w:rPr>
        <w:t xml:space="preserve"> </w:t>
      </w:r>
    </w:p>
    <w:p w14:paraId="1252DF79" w14:textId="77777777" w:rsidR="0099226C" w:rsidRPr="0099226C" w:rsidRDefault="0099226C" w:rsidP="0099226C">
      <w:pPr>
        <w:spacing w:line="480" w:lineRule="auto"/>
        <w:rPr>
          <w:rFonts w:ascii="Arial" w:hAnsi="Arial" w:cs="Arial"/>
          <w:sz w:val="22"/>
          <w:szCs w:val="22"/>
        </w:rPr>
      </w:pPr>
      <w:r w:rsidRPr="0099226C">
        <w:rPr>
          <w:rFonts w:ascii="Arial" w:hAnsi="Arial" w:cs="Arial"/>
          <w:sz w:val="22"/>
          <w:szCs w:val="22"/>
        </w:rPr>
        <w:t>Complex giant incisional hernias present a significant challenge for Surgeons. Functionalizing the abdominal wall can only be achieved when the defect is closed without tension, which is especially challenging in larger defects.</w:t>
      </w:r>
    </w:p>
    <w:p w14:paraId="1053DB5C" w14:textId="77777777" w:rsidR="0099226C" w:rsidRPr="0099226C" w:rsidRDefault="0099226C" w:rsidP="0099226C">
      <w:pPr>
        <w:spacing w:line="480" w:lineRule="auto"/>
        <w:rPr>
          <w:rFonts w:ascii="Arial" w:hAnsi="Arial" w:cs="Arial"/>
          <w:sz w:val="22"/>
          <w:szCs w:val="22"/>
        </w:rPr>
      </w:pPr>
      <w:r w:rsidRPr="0099226C">
        <w:rPr>
          <w:rFonts w:ascii="Arial" w:hAnsi="Arial" w:cs="Arial"/>
          <w:sz w:val="22"/>
          <w:szCs w:val="22"/>
        </w:rPr>
        <w:t>In large hernias, repositioning the hernial contents into the abdominal cavity increases intra-abdominal pressure.</w:t>
      </w:r>
      <w:r w:rsidRPr="0099226C">
        <w:rPr>
          <w:rFonts w:ascii="Arial" w:hAnsi="Arial" w:cs="Arial"/>
          <w:sz w:val="22"/>
          <w:szCs w:val="22"/>
          <w:vertAlign w:val="superscript"/>
        </w:rPr>
        <w:t>7</w:t>
      </w:r>
      <w:r w:rsidRPr="0099226C">
        <w:rPr>
          <w:rFonts w:ascii="Arial" w:hAnsi="Arial" w:cs="Arial"/>
          <w:sz w:val="22"/>
          <w:szCs w:val="22"/>
        </w:rPr>
        <w:t xml:space="preserve"> This elevated pressure causes the diaphragm's cephalad displacement and impairs respiratory function. In such cases, the capacity of the abdominal cavity can be increased by Preoperative progressive pneumoperitoneum or by injecting Botulinum toxin. However, such modalities are contraindicated in patients with cardio-respiratory compromise</w:t>
      </w:r>
      <w:r w:rsidRPr="0099226C">
        <w:rPr>
          <w:rFonts w:ascii="Arial" w:hAnsi="Arial" w:cs="Arial"/>
          <w:sz w:val="22"/>
          <w:szCs w:val="22"/>
          <w:vertAlign w:val="superscript"/>
        </w:rPr>
        <w:t>8</w:t>
      </w:r>
      <w:r w:rsidRPr="0099226C">
        <w:rPr>
          <w:rFonts w:ascii="Arial" w:hAnsi="Arial" w:cs="Arial"/>
          <w:sz w:val="22"/>
          <w:szCs w:val="22"/>
        </w:rPr>
        <w:t>.</w:t>
      </w:r>
    </w:p>
    <w:p w14:paraId="7C1306F3" w14:textId="77777777" w:rsidR="0099226C" w:rsidRPr="0099226C" w:rsidRDefault="0099226C" w:rsidP="0099226C">
      <w:pPr>
        <w:spacing w:line="480" w:lineRule="auto"/>
        <w:rPr>
          <w:rFonts w:ascii="Arial" w:hAnsi="Arial" w:cs="Arial"/>
          <w:sz w:val="22"/>
          <w:szCs w:val="22"/>
        </w:rPr>
      </w:pPr>
      <w:r w:rsidRPr="0099226C">
        <w:rPr>
          <w:rFonts w:ascii="Arial" w:hAnsi="Arial" w:cs="Arial"/>
          <w:sz w:val="22"/>
          <w:szCs w:val="22"/>
        </w:rPr>
        <w:t xml:space="preserve">Generally, such large ventral hernias are to be repaired under General </w:t>
      </w:r>
      <w:proofErr w:type="spellStart"/>
      <w:r w:rsidRPr="0099226C">
        <w:rPr>
          <w:rFonts w:ascii="Arial" w:hAnsi="Arial" w:cs="Arial"/>
          <w:sz w:val="22"/>
          <w:szCs w:val="22"/>
        </w:rPr>
        <w:t>anaesthesia</w:t>
      </w:r>
      <w:proofErr w:type="spellEnd"/>
      <w:r w:rsidRPr="0099226C">
        <w:rPr>
          <w:rFonts w:ascii="Arial" w:hAnsi="Arial" w:cs="Arial"/>
          <w:sz w:val="22"/>
          <w:szCs w:val="22"/>
        </w:rPr>
        <w:t xml:space="preserve"> as they provide adequate muscle relaxation. However, the risks of general </w:t>
      </w:r>
      <w:proofErr w:type="spellStart"/>
      <w:r w:rsidRPr="0099226C">
        <w:rPr>
          <w:rFonts w:ascii="Arial" w:hAnsi="Arial" w:cs="Arial"/>
          <w:sz w:val="22"/>
          <w:szCs w:val="22"/>
        </w:rPr>
        <w:t>anaesthesia</w:t>
      </w:r>
      <w:proofErr w:type="spellEnd"/>
      <w:r w:rsidRPr="0099226C">
        <w:rPr>
          <w:rFonts w:ascii="Arial" w:hAnsi="Arial" w:cs="Arial"/>
          <w:sz w:val="22"/>
          <w:szCs w:val="22"/>
        </w:rPr>
        <w:t xml:space="preserve"> are higher in individuals with respiratory compromise or difficult airways</w:t>
      </w:r>
      <w:r w:rsidRPr="0099226C">
        <w:rPr>
          <w:rFonts w:ascii="Arial" w:hAnsi="Arial" w:cs="Arial"/>
          <w:sz w:val="22"/>
          <w:szCs w:val="22"/>
          <w:vertAlign w:val="superscript"/>
        </w:rPr>
        <w:t>7</w:t>
      </w:r>
      <w:r w:rsidRPr="0099226C">
        <w:rPr>
          <w:rFonts w:ascii="Arial" w:hAnsi="Arial" w:cs="Arial"/>
          <w:sz w:val="22"/>
          <w:szCs w:val="22"/>
        </w:rPr>
        <w:t>, making regional anesthesia an effective and feasible alternative with better outcomes in these high-risk cases</w:t>
      </w:r>
      <w:r w:rsidRPr="0099226C">
        <w:rPr>
          <w:rFonts w:ascii="Arial" w:hAnsi="Arial" w:cs="Arial"/>
          <w:sz w:val="22"/>
          <w:szCs w:val="22"/>
          <w:vertAlign w:val="superscript"/>
        </w:rPr>
        <w:t>9</w:t>
      </w:r>
      <w:r w:rsidRPr="0099226C">
        <w:rPr>
          <w:rFonts w:ascii="Arial" w:hAnsi="Arial" w:cs="Arial"/>
          <w:sz w:val="22"/>
          <w:szCs w:val="22"/>
        </w:rPr>
        <w:t>.</w:t>
      </w:r>
    </w:p>
    <w:p w14:paraId="00FE90C4" w14:textId="77777777" w:rsidR="0099226C" w:rsidRPr="0099226C" w:rsidRDefault="0099226C" w:rsidP="0099226C">
      <w:pPr>
        <w:spacing w:line="480" w:lineRule="auto"/>
        <w:rPr>
          <w:rFonts w:ascii="Arial" w:hAnsi="Arial" w:cs="Arial"/>
          <w:sz w:val="22"/>
          <w:szCs w:val="22"/>
        </w:rPr>
      </w:pPr>
      <w:r w:rsidRPr="0099226C">
        <w:rPr>
          <w:rFonts w:ascii="Arial" w:hAnsi="Arial" w:cs="Arial"/>
          <w:sz w:val="22"/>
          <w:szCs w:val="22"/>
        </w:rPr>
        <w:t>Posterior component separation is an effective technique in patients with lumbar hernia having loss of domain. The bridge repair method, which uses a polypropylene mesh to close the anterior rectus sheath, is an effective strategy for achieving a tension-free midline approximation</w:t>
      </w:r>
      <w:r w:rsidRPr="0099226C">
        <w:rPr>
          <w:rFonts w:ascii="Arial" w:hAnsi="Arial" w:cs="Arial"/>
          <w:sz w:val="22"/>
          <w:szCs w:val="22"/>
          <w:vertAlign w:val="superscript"/>
        </w:rPr>
        <w:t>10</w:t>
      </w:r>
      <w:r w:rsidRPr="0099226C">
        <w:rPr>
          <w:rFonts w:ascii="Arial" w:hAnsi="Arial" w:cs="Arial"/>
          <w:sz w:val="22"/>
          <w:szCs w:val="22"/>
        </w:rPr>
        <w:t>.</w:t>
      </w:r>
    </w:p>
    <w:p w14:paraId="410465AD" w14:textId="77777777" w:rsidR="0099226C" w:rsidRDefault="0099226C" w:rsidP="0099226C">
      <w:pPr>
        <w:spacing w:line="480" w:lineRule="auto"/>
        <w:rPr>
          <w:rFonts w:ascii="Arial" w:hAnsi="Arial" w:cs="Arial"/>
          <w:sz w:val="22"/>
          <w:szCs w:val="22"/>
        </w:rPr>
      </w:pPr>
      <w:r w:rsidRPr="0099226C">
        <w:rPr>
          <w:rFonts w:ascii="Arial" w:hAnsi="Arial" w:cs="Arial"/>
          <w:sz w:val="22"/>
          <w:szCs w:val="22"/>
        </w:rPr>
        <w:lastRenderedPageBreak/>
        <w:t>In this case, the patient underwent open hernia surgery under epidural anesthesia, with Transversus abdominis release performed to place a large mesh that provides adequate coverage of the defect and reduces the risk of recurrence. Thus, epidural anesthesia, combined with posterior component separation and bridge repair of the anterior rectus sheath, can be used to manage large primary ventral hernias in patients with respiratory diseases.</w:t>
      </w:r>
    </w:p>
    <w:p w14:paraId="143B26AC" w14:textId="77777777" w:rsidR="00B801D4" w:rsidRDefault="00B801D4" w:rsidP="0099226C">
      <w:pPr>
        <w:spacing w:line="480" w:lineRule="auto"/>
        <w:rPr>
          <w:rFonts w:ascii="Arial" w:hAnsi="Arial" w:cs="Arial"/>
          <w:sz w:val="22"/>
          <w:szCs w:val="22"/>
        </w:rPr>
      </w:pPr>
    </w:p>
    <w:p w14:paraId="5912E537" w14:textId="77777777" w:rsidR="00B801D4" w:rsidRDefault="00B801D4" w:rsidP="0099226C">
      <w:pPr>
        <w:spacing w:line="480" w:lineRule="auto"/>
        <w:rPr>
          <w:rFonts w:ascii="Arial" w:hAnsi="Arial" w:cs="Arial"/>
          <w:sz w:val="22"/>
          <w:szCs w:val="22"/>
        </w:rPr>
      </w:pPr>
    </w:p>
    <w:p w14:paraId="1572A35B" w14:textId="77777777" w:rsidR="00B801D4" w:rsidRPr="00B801D4" w:rsidRDefault="00B801D4" w:rsidP="00B801D4">
      <w:pPr>
        <w:spacing w:line="480" w:lineRule="auto"/>
        <w:rPr>
          <w:rFonts w:ascii="Arial" w:hAnsi="Arial" w:cs="Arial"/>
          <w:sz w:val="22"/>
          <w:szCs w:val="22"/>
        </w:rPr>
      </w:pPr>
      <w:r w:rsidRPr="00B801D4">
        <w:rPr>
          <w:rFonts w:ascii="Arial" w:hAnsi="Arial" w:cs="Arial"/>
          <w:sz w:val="22"/>
          <w:szCs w:val="22"/>
        </w:rPr>
        <w:t>COMPETING INTERESTS DISCLAIMER:</w:t>
      </w:r>
    </w:p>
    <w:p w14:paraId="6F61DDF2" w14:textId="69F1A0B7" w:rsidR="00B801D4" w:rsidRPr="0099226C" w:rsidRDefault="00B801D4" w:rsidP="00B801D4">
      <w:pPr>
        <w:spacing w:line="480" w:lineRule="auto"/>
        <w:rPr>
          <w:rFonts w:ascii="Arial" w:hAnsi="Arial" w:cs="Arial"/>
          <w:sz w:val="22"/>
          <w:szCs w:val="22"/>
        </w:rPr>
      </w:pPr>
      <w:r w:rsidRPr="00B801D4">
        <w:rPr>
          <w:rFonts w:ascii="Arial" w:hAnsi="Arial" w:cs="Arial"/>
          <w:sz w:val="22"/>
          <w:szCs w:val="22"/>
        </w:rPr>
        <w:t>Authors have declared that they have no known competing financial interests OR non-financial interests OR personal relationships that could have appeared to influence the work reported in this paper.</w:t>
      </w:r>
    </w:p>
    <w:p w14:paraId="7B41C837" w14:textId="77777777" w:rsidR="0099226C" w:rsidRDefault="0099226C" w:rsidP="00EF2C4C">
      <w:pPr>
        <w:pStyle w:val="AbstHead"/>
        <w:jc w:val="both"/>
        <w:rPr>
          <w:rFonts w:ascii="Arial" w:hAnsi="Arial" w:cs="Arial"/>
          <w:lang w:val="en-GB"/>
        </w:rPr>
      </w:pPr>
    </w:p>
    <w:p w14:paraId="414DFC1E" w14:textId="52CDCDF9" w:rsidR="00EF2C4C" w:rsidRPr="00EF2C4C" w:rsidRDefault="00EF2C4C" w:rsidP="00EF2C4C">
      <w:pPr>
        <w:pStyle w:val="AbstHead"/>
        <w:jc w:val="both"/>
        <w:rPr>
          <w:rFonts w:ascii="Arial" w:hAnsi="Arial" w:cs="Arial"/>
          <w:bCs/>
          <w:lang w:val="en-GB"/>
        </w:rPr>
      </w:pPr>
      <w:r w:rsidRPr="00EF2C4C">
        <w:rPr>
          <w:rFonts w:ascii="Arial" w:hAnsi="Arial" w:cs="Arial"/>
          <w:bCs/>
          <w:lang w:val="en-GB"/>
        </w:rPr>
        <w:t xml:space="preserve">References: </w:t>
      </w:r>
    </w:p>
    <w:p w14:paraId="4CE05465" w14:textId="77777777" w:rsidR="008226DF" w:rsidRPr="008226DF" w:rsidRDefault="008226DF" w:rsidP="008226DF">
      <w:pPr>
        <w:spacing w:before="60" w:line="480" w:lineRule="auto"/>
        <w:outlineLvl w:val="0"/>
        <w:rPr>
          <w:rFonts w:ascii="Arial" w:hAnsi="Arial" w:cs="Arial"/>
          <w:color w:val="000000"/>
          <w:sz w:val="22"/>
          <w:szCs w:val="22"/>
        </w:rPr>
      </w:pPr>
    </w:p>
    <w:p w14:paraId="55128CBE" w14:textId="2328A204" w:rsidR="008226DF" w:rsidRPr="008226DF" w:rsidRDefault="00953705" w:rsidP="008226DF">
      <w:pPr>
        <w:pStyle w:val="ListParagraph"/>
        <w:numPr>
          <w:ilvl w:val="0"/>
          <w:numId w:val="31"/>
        </w:numPr>
        <w:spacing w:after="160" w:line="480" w:lineRule="auto"/>
        <w:rPr>
          <w:rFonts w:ascii="Arial" w:hAnsi="Arial" w:cs="Arial"/>
          <w:sz w:val="22"/>
          <w:szCs w:val="22"/>
        </w:rPr>
      </w:pPr>
      <w:proofErr w:type="spellStart"/>
      <w:r w:rsidRPr="00953705">
        <w:rPr>
          <w:rFonts w:ascii="Arial" w:hAnsi="Arial" w:cs="Arial"/>
          <w:sz w:val="22"/>
          <w:szCs w:val="22"/>
        </w:rPr>
        <w:t>Kroese</w:t>
      </w:r>
      <w:proofErr w:type="spellEnd"/>
      <w:r w:rsidRPr="00953705">
        <w:rPr>
          <w:rFonts w:ascii="Arial" w:hAnsi="Arial" w:cs="Arial"/>
          <w:sz w:val="22"/>
          <w:szCs w:val="22"/>
        </w:rPr>
        <w:t xml:space="preserve">, L. F., Gillion, J. F., </w:t>
      </w:r>
      <w:proofErr w:type="spellStart"/>
      <w:r w:rsidRPr="00953705">
        <w:rPr>
          <w:rFonts w:ascii="Arial" w:hAnsi="Arial" w:cs="Arial"/>
          <w:sz w:val="22"/>
          <w:szCs w:val="22"/>
        </w:rPr>
        <w:t>Jeekel</w:t>
      </w:r>
      <w:proofErr w:type="spellEnd"/>
      <w:r w:rsidRPr="00953705">
        <w:rPr>
          <w:rFonts w:ascii="Arial" w:hAnsi="Arial" w:cs="Arial"/>
          <w:sz w:val="22"/>
          <w:szCs w:val="22"/>
        </w:rPr>
        <w:t xml:space="preserve">, J., </w:t>
      </w:r>
      <w:proofErr w:type="spellStart"/>
      <w:r w:rsidRPr="00953705">
        <w:rPr>
          <w:rFonts w:ascii="Arial" w:hAnsi="Arial" w:cs="Arial"/>
          <w:sz w:val="22"/>
          <w:szCs w:val="22"/>
        </w:rPr>
        <w:t>Kleinrensink</w:t>
      </w:r>
      <w:proofErr w:type="spellEnd"/>
      <w:r w:rsidRPr="00953705">
        <w:rPr>
          <w:rFonts w:ascii="Arial" w:hAnsi="Arial" w:cs="Arial"/>
          <w:sz w:val="22"/>
          <w:szCs w:val="22"/>
        </w:rPr>
        <w:t xml:space="preserve">, G. J., &amp; Lange, J. F. (2018). Primary and incisional ventral hernias are different in terms of patient characteristics and postoperative complications - A prospective cohort study of 4,565 patients. International Journal of Surgery, 51, 114-119. </w:t>
      </w:r>
      <w:hyperlink r:id="rId21" w:history="1">
        <w:r w:rsidRPr="006353C7">
          <w:rPr>
            <w:rStyle w:val="Hyperlink"/>
            <w:rFonts w:ascii="Arial" w:hAnsi="Arial" w:cs="Arial"/>
            <w:sz w:val="22"/>
            <w:szCs w:val="22"/>
          </w:rPr>
          <w:t>https://doi.org/10.1016/j.ijsu.2018.01.010</w:t>
        </w:r>
      </w:hyperlink>
      <w:r>
        <w:rPr>
          <w:rFonts w:ascii="Arial" w:hAnsi="Arial" w:cs="Arial"/>
          <w:sz w:val="22"/>
          <w:szCs w:val="22"/>
        </w:rPr>
        <w:t xml:space="preserve"> </w:t>
      </w:r>
    </w:p>
    <w:p w14:paraId="43AE3E00" w14:textId="45E7F7A6" w:rsidR="008226DF" w:rsidRPr="008226DF" w:rsidRDefault="0072364C" w:rsidP="008226DF">
      <w:pPr>
        <w:pStyle w:val="ListParagraph"/>
        <w:numPr>
          <w:ilvl w:val="0"/>
          <w:numId w:val="31"/>
        </w:numPr>
        <w:spacing w:after="160" w:line="480" w:lineRule="auto"/>
        <w:rPr>
          <w:rFonts w:ascii="Arial" w:hAnsi="Arial" w:cs="Arial"/>
          <w:sz w:val="22"/>
          <w:szCs w:val="22"/>
        </w:rPr>
      </w:pPr>
      <w:proofErr w:type="spellStart"/>
      <w:r w:rsidRPr="0072364C">
        <w:rPr>
          <w:rFonts w:ascii="Arial" w:hAnsi="Arial" w:cs="Arial"/>
          <w:sz w:val="22"/>
          <w:szCs w:val="22"/>
        </w:rPr>
        <w:t>Kalyanasundar</w:t>
      </w:r>
      <w:proofErr w:type="spellEnd"/>
      <w:r w:rsidRPr="0072364C">
        <w:rPr>
          <w:rFonts w:ascii="Arial" w:hAnsi="Arial" w:cs="Arial"/>
          <w:sz w:val="22"/>
          <w:szCs w:val="22"/>
        </w:rPr>
        <w:t xml:space="preserve">, S., Bhatnagar, A., Tiwari, M., Pandey, R., &amp; </w:t>
      </w:r>
      <w:proofErr w:type="spellStart"/>
      <w:r w:rsidRPr="0072364C">
        <w:rPr>
          <w:rFonts w:ascii="Arial" w:hAnsi="Arial" w:cs="Arial"/>
          <w:sz w:val="22"/>
          <w:szCs w:val="22"/>
        </w:rPr>
        <w:t>Shalja</w:t>
      </w:r>
      <w:proofErr w:type="spellEnd"/>
      <w:r w:rsidRPr="0072364C">
        <w:rPr>
          <w:rFonts w:ascii="Arial" w:hAnsi="Arial" w:cs="Arial"/>
          <w:sz w:val="22"/>
          <w:szCs w:val="22"/>
        </w:rPr>
        <w:t>. (2016). Giant Lumbar Hernia and Review of Literature. Indian Journal of Public Health Research &amp; Development, 7(4), 249-252.</w:t>
      </w:r>
      <w:r>
        <w:rPr>
          <w:rFonts w:ascii="Arial" w:hAnsi="Arial" w:cs="Arial"/>
          <w:sz w:val="22"/>
          <w:szCs w:val="22"/>
        </w:rPr>
        <w:t xml:space="preserve"> </w:t>
      </w:r>
    </w:p>
    <w:p w14:paraId="0E8D4BD6" w14:textId="06EEF118" w:rsidR="008226DF" w:rsidRPr="008226DF" w:rsidRDefault="000E7CE4" w:rsidP="008226DF">
      <w:pPr>
        <w:pStyle w:val="ListParagraph"/>
        <w:numPr>
          <w:ilvl w:val="0"/>
          <w:numId w:val="31"/>
        </w:numPr>
        <w:spacing w:after="160" w:line="480" w:lineRule="auto"/>
        <w:rPr>
          <w:rFonts w:ascii="Arial" w:hAnsi="Arial" w:cs="Arial"/>
          <w:sz w:val="22"/>
          <w:szCs w:val="22"/>
        </w:rPr>
      </w:pPr>
      <w:r w:rsidRPr="000E7CE4">
        <w:rPr>
          <w:rFonts w:ascii="Arial" w:hAnsi="Arial" w:cs="Arial"/>
          <w:sz w:val="22"/>
          <w:szCs w:val="22"/>
        </w:rPr>
        <w:t xml:space="preserve">Suarez, S., &amp; Hernandez, J. D. (2013). Laparoscopic repair of a lumbar hernia: report of a case and extensive review of the literature. Surg </w:t>
      </w:r>
      <w:proofErr w:type="spellStart"/>
      <w:r w:rsidRPr="000E7CE4">
        <w:rPr>
          <w:rFonts w:ascii="Arial" w:hAnsi="Arial" w:cs="Arial"/>
          <w:sz w:val="22"/>
          <w:szCs w:val="22"/>
        </w:rPr>
        <w:t>Endosc</w:t>
      </w:r>
      <w:proofErr w:type="spellEnd"/>
      <w:r w:rsidRPr="000E7CE4">
        <w:rPr>
          <w:rFonts w:ascii="Arial" w:hAnsi="Arial" w:cs="Arial"/>
          <w:sz w:val="22"/>
          <w:szCs w:val="22"/>
        </w:rPr>
        <w:t xml:space="preserve">, 27, 3421–9. </w:t>
      </w:r>
      <w:hyperlink r:id="rId22" w:history="1">
        <w:r w:rsidRPr="006353C7">
          <w:rPr>
            <w:rStyle w:val="Hyperlink"/>
            <w:rFonts w:ascii="Arial" w:hAnsi="Arial" w:cs="Arial"/>
            <w:sz w:val="22"/>
            <w:szCs w:val="22"/>
          </w:rPr>
          <w:t>https://doi.org/10.1007/s00464-013-2884-9</w:t>
        </w:r>
      </w:hyperlink>
      <w:r>
        <w:rPr>
          <w:rFonts w:ascii="Arial" w:hAnsi="Arial" w:cs="Arial"/>
          <w:sz w:val="22"/>
          <w:szCs w:val="22"/>
        </w:rPr>
        <w:t xml:space="preserve"> </w:t>
      </w:r>
      <w:r w:rsidR="008226DF" w:rsidRPr="008226DF">
        <w:rPr>
          <w:rFonts w:ascii="Arial" w:hAnsi="Arial" w:cs="Arial"/>
          <w:sz w:val="22"/>
          <w:szCs w:val="22"/>
        </w:rPr>
        <w:t xml:space="preserve">. </w:t>
      </w:r>
    </w:p>
    <w:p w14:paraId="5DA30F4E" w14:textId="3C4DC89A" w:rsidR="008226DF" w:rsidRPr="008226DF" w:rsidRDefault="008D5A0D" w:rsidP="008226DF">
      <w:pPr>
        <w:pStyle w:val="ListParagraph"/>
        <w:numPr>
          <w:ilvl w:val="0"/>
          <w:numId w:val="31"/>
        </w:numPr>
        <w:spacing w:after="160" w:line="480" w:lineRule="auto"/>
        <w:rPr>
          <w:rFonts w:ascii="Arial" w:hAnsi="Arial" w:cs="Arial"/>
          <w:sz w:val="22"/>
          <w:szCs w:val="22"/>
        </w:rPr>
      </w:pPr>
      <w:r w:rsidRPr="008D5A0D">
        <w:rPr>
          <w:rFonts w:ascii="Arial" w:hAnsi="Arial" w:cs="Arial"/>
          <w:sz w:val="22"/>
          <w:szCs w:val="22"/>
        </w:rPr>
        <w:t xml:space="preserve">Slater, N. J., Montgomery, A., </w:t>
      </w:r>
      <w:proofErr w:type="spellStart"/>
      <w:r w:rsidRPr="008D5A0D">
        <w:rPr>
          <w:rFonts w:ascii="Arial" w:hAnsi="Arial" w:cs="Arial"/>
          <w:sz w:val="22"/>
          <w:szCs w:val="22"/>
        </w:rPr>
        <w:t>Berrevoet</w:t>
      </w:r>
      <w:proofErr w:type="spellEnd"/>
      <w:r w:rsidRPr="008D5A0D">
        <w:rPr>
          <w:rFonts w:ascii="Arial" w:hAnsi="Arial" w:cs="Arial"/>
          <w:sz w:val="22"/>
          <w:szCs w:val="22"/>
        </w:rPr>
        <w:t xml:space="preserve">, F., </w:t>
      </w:r>
      <w:proofErr w:type="spellStart"/>
      <w:r w:rsidRPr="008D5A0D">
        <w:rPr>
          <w:rFonts w:ascii="Arial" w:hAnsi="Arial" w:cs="Arial"/>
          <w:sz w:val="22"/>
          <w:szCs w:val="22"/>
        </w:rPr>
        <w:t>Carbonell</w:t>
      </w:r>
      <w:proofErr w:type="spellEnd"/>
      <w:r w:rsidRPr="008D5A0D">
        <w:rPr>
          <w:rFonts w:ascii="Arial" w:hAnsi="Arial" w:cs="Arial"/>
          <w:sz w:val="22"/>
          <w:szCs w:val="22"/>
        </w:rPr>
        <w:t>, A. M., Chang, A., Franklin, M., Kercher, K. W., Lammers, B. J., Parra-</w:t>
      </w:r>
      <w:proofErr w:type="spellStart"/>
      <w:r w:rsidRPr="008D5A0D">
        <w:rPr>
          <w:rFonts w:ascii="Arial" w:hAnsi="Arial" w:cs="Arial"/>
          <w:sz w:val="22"/>
          <w:szCs w:val="22"/>
        </w:rPr>
        <w:t>Davilla</w:t>
      </w:r>
      <w:proofErr w:type="spellEnd"/>
      <w:r w:rsidRPr="008D5A0D">
        <w:rPr>
          <w:rFonts w:ascii="Arial" w:hAnsi="Arial" w:cs="Arial"/>
          <w:sz w:val="22"/>
          <w:szCs w:val="22"/>
        </w:rPr>
        <w:t xml:space="preserve">, E., Roll, S., </w:t>
      </w:r>
      <w:proofErr w:type="spellStart"/>
      <w:r w:rsidRPr="008D5A0D">
        <w:rPr>
          <w:rFonts w:ascii="Arial" w:hAnsi="Arial" w:cs="Arial"/>
          <w:sz w:val="22"/>
          <w:szCs w:val="22"/>
        </w:rPr>
        <w:t>Towfigh</w:t>
      </w:r>
      <w:proofErr w:type="spellEnd"/>
      <w:r w:rsidRPr="008D5A0D">
        <w:rPr>
          <w:rFonts w:ascii="Arial" w:hAnsi="Arial" w:cs="Arial"/>
          <w:sz w:val="22"/>
          <w:szCs w:val="22"/>
        </w:rPr>
        <w:t xml:space="preserve">, S., van Geffen, E., </w:t>
      </w:r>
      <w:proofErr w:type="spellStart"/>
      <w:r w:rsidRPr="008D5A0D">
        <w:rPr>
          <w:rFonts w:ascii="Arial" w:hAnsi="Arial" w:cs="Arial"/>
          <w:sz w:val="22"/>
          <w:szCs w:val="22"/>
        </w:rPr>
        <w:t>Conze</w:t>
      </w:r>
      <w:proofErr w:type="spellEnd"/>
      <w:r w:rsidRPr="008D5A0D">
        <w:rPr>
          <w:rFonts w:ascii="Arial" w:hAnsi="Arial" w:cs="Arial"/>
          <w:sz w:val="22"/>
          <w:szCs w:val="22"/>
        </w:rPr>
        <w:t xml:space="preserve">, J., &amp; van </w:t>
      </w:r>
      <w:proofErr w:type="spellStart"/>
      <w:r w:rsidRPr="008D5A0D">
        <w:rPr>
          <w:rFonts w:ascii="Arial" w:hAnsi="Arial" w:cs="Arial"/>
          <w:sz w:val="22"/>
          <w:szCs w:val="22"/>
        </w:rPr>
        <w:t>Goor</w:t>
      </w:r>
      <w:proofErr w:type="spellEnd"/>
      <w:r w:rsidRPr="008D5A0D">
        <w:rPr>
          <w:rFonts w:ascii="Arial" w:hAnsi="Arial" w:cs="Arial"/>
          <w:sz w:val="22"/>
          <w:szCs w:val="22"/>
        </w:rPr>
        <w:t xml:space="preserve">, H. (2014). Criteria for definition of a complex abdominal wall hernia. Hernia, 18(1), 7–17. </w:t>
      </w:r>
      <w:hyperlink r:id="rId23" w:history="1">
        <w:r w:rsidRPr="006353C7">
          <w:rPr>
            <w:rStyle w:val="Hyperlink"/>
            <w:rFonts w:ascii="Arial" w:hAnsi="Arial" w:cs="Arial"/>
            <w:sz w:val="22"/>
            <w:szCs w:val="22"/>
          </w:rPr>
          <w:t>https://doi.org/10.1007/s10029-013-1168-6</w:t>
        </w:r>
      </w:hyperlink>
      <w:r>
        <w:rPr>
          <w:rFonts w:ascii="Arial" w:hAnsi="Arial" w:cs="Arial"/>
          <w:sz w:val="22"/>
          <w:szCs w:val="22"/>
        </w:rPr>
        <w:t xml:space="preserve"> </w:t>
      </w:r>
      <w:r w:rsidR="008226DF" w:rsidRPr="008226DF">
        <w:rPr>
          <w:rFonts w:ascii="Arial" w:hAnsi="Arial" w:cs="Arial"/>
          <w:sz w:val="22"/>
          <w:szCs w:val="22"/>
        </w:rPr>
        <w:t xml:space="preserve">. </w:t>
      </w:r>
    </w:p>
    <w:p w14:paraId="538F16E0" w14:textId="5FE391C1" w:rsidR="008226DF" w:rsidRPr="008226DF" w:rsidRDefault="00C675B8" w:rsidP="008226DF">
      <w:pPr>
        <w:pStyle w:val="ListParagraph"/>
        <w:numPr>
          <w:ilvl w:val="0"/>
          <w:numId w:val="31"/>
        </w:numPr>
        <w:spacing w:after="160" w:line="480" w:lineRule="auto"/>
        <w:rPr>
          <w:rFonts w:ascii="Arial" w:hAnsi="Arial" w:cs="Arial"/>
          <w:sz w:val="22"/>
          <w:szCs w:val="22"/>
        </w:rPr>
      </w:pPr>
      <w:r w:rsidRPr="00C675B8">
        <w:rPr>
          <w:rFonts w:ascii="Arial" w:hAnsi="Arial" w:cs="Arial"/>
          <w:sz w:val="22"/>
          <w:szCs w:val="22"/>
        </w:rPr>
        <w:t xml:space="preserve">Tanaka, E. Y., </w:t>
      </w:r>
      <w:proofErr w:type="spellStart"/>
      <w:r w:rsidRPr="00C675B8">
        <w:rPr>
          <w:rFonts w:ascii="Arial" w:hAnsi="Arial" w:cs="Arial"/>
          <w:sz w:val="22"/>
          <w:szCs w:val="22"/>
        </w:rPr>
        <w:t>Yoo</w:t>
      </w:r>
      <w:proofErr w:type="spellEnd"/>
      <w:r w:rsidRPr="00C675B8">
        <w:rPr>
          <w:rFonts w:ascii="Arial" w:hAnsi="Arial" w:cs="Arial"/>
          <w:sz w:val="22"/>
          <w:szCs w:val="22"/>
        </w:rPr>
        <w:t xml:space="preserve">, J. H., Rodrigues, A. J., Jr., </w:t>
      </w:r>
      <w:proofErr w:type="spellStart"/>
      <w:r w:rsidRPr="00C675B8">
        <w:rPr>
          <w:rFonts w:ascii="Arial" w:hAnsi="Arial" w:cs="Arial"/>
          <w:sz w:val="22"/>
          <w:szCs w:val="22"/>
        </w:rPr>
        <w:t>Utiyama</w:t>
      </w:r>
      <w:proofErr w:type="spellEnd"/>
      <w:r w:rsidRPr="00C675B8">
        <w:rPr>
          <w:rFonts w:ascii="Arial" w:hAnsi="Arial" w:cs="Arial"/>
          <w:sz w:val="22"/>
          <w:szCs w:val="22"/>
        </w:rPr>
        <w:t xml:space="preserve">, E. M., </w:t>
      </w:r>
      <w:proofErr w:type="spellStart"/>
      <w:r w:rsidRPr="00C675B8">
        <w:rPr>
          <w:rFonts w:ascii="Arial" w:hAnsi="Arial" w:cs="Arial"/>
          <w:sz w:val="22"/>
          <w:szCs w:val="22"/>
        </w:rPr>
        <w:t>Birolini</w:t>
      </w:r>
      <w:proofErr w:type="spellEnd"/>
      <w:r w:rsidRPr="00C675B8">
        <w:rPr>
          <w:rFonts w:ascii="Arial" w:hAnsi="Arial" w:cs="Arial"/>
          <w:sz w:val="22"/>
          <w:szCs w:val="22"/>
        </w:rPr>
        <w:t xml:space="preserve">, D., &amp; </w:t>
      </w:r>
      <w:proofErr w:type="spellStart"/>
      <w:r w:rsidRPr="00C675B8">
        <w:rPr>
          <w:rFonts w:ascii="Arial" w:hAnsi="Arial" w:cs="Arial"/>
          <w:sz w:val="22"/>
          <w:szCs w:val="22"/>
        </w:rPr>
        <w:t>Rasslan</w:t>
      </w:r>
      <w:proofErr w:type="spellEnd"/>
      <w:r w:rsidRPr="00C675B8">
        <w:rPr>
          <w:rFonts w:ascii="Arial" w:hAnsi="Arial" w:cs="Arial"/>
          <w:sz w:val="22"/>
          <w:szCs w:val="22"/>
        </w:rPr>
        <w:t xml:space="preserve">, S. (2010). A computerized tomography scan method for calculating the hernia sac and abdominal cavity volume in </w:t>
      </w:r>
      <w:r w:rsidRPr="00C675B8">
        <w:rPr>
          <w:rFonts w:ascii="Arial" w:hAnsi="Arial" w:cs="Arial"/>
          <w:sz w:val="22"/>
          <w:szCs w:val="22"/>
        </w:rPr>
        <w:lastRenderedPageBreak/>
        <w:t xml:space="preserve">complex large incisional hernia with loss of domain. Hernia, 14(1), 63–69. </w:t>
      </w:r>
      <w:hyperlink r:id="rId24" w:history="1">
        <w:r w:rsidRPr="006353C7">
          <w:rPr>
            <w:rStyle w:val="Hyperlink"/>
            <w:rFonts w:ascii="Arial" w:hAnsi="Arial" w:cs="Arial"/>
            <w:sz w:val="22"/>
            <w:szCs w:val="22"/>
          </w:rPr>
          <w:t>https://doi.org/10.1007/s10029-009-0560-8</w:t>
        </w:r>
      </w:hyperlink>
      <w:r>
        <w:rPr>
          <w:rFonts w:ascii="Arial" w:hAnsi="Arial" w:cs="Arial"/>
          <w:sz w:val="22"/>
          <w:szCs w:val="22"/>
        </w:rPr>
        <w:t xml:space="preserve"> </w:t>
      </w:r>
      <w:r w:rsidR="008226DF" w:rsidRPr="008226DF">
        <w:rPr>
          <w:rFonts w:ascii="Arial" w:hAnsi="Arial" w:cs="Arial"/>
          <w:sz w:val="22"/>
          <w:szCs w:val="22"/>
        </w:rPr>
        <w:t>.</w:t>
      </w:r>
    </w:p>
    <w:p w14:paraId="336D6CA9" w14:textId="77777777" w:rsidR="008226DF" w:rsidRPr="008226DF" w:rsidRDefault="008226DF" w:rsidP="008226DF">
      <w:pPr>
        <w:pStyle w:val="ListParagraph"/>
        <w:numPr>
          <w:ilvl w:val="0"/>
          <w:numId w:val="31"/>
        </w:numPr>
        <w:spacing w:after="160" w:line="480" w:lineRule="auto"/>
        <w:rPr>
          <w:rFonts w:ascii="Arial" w:hAnsi="Arial" w:cs="Arial"/>
          <w:sz w:val="22"/>
          <w:szCs w:val="22"/>
        </w:rPr>
      </w:pPr>
      <w:proofErr w:type="spellStart"/>
      <w:r w:rsidRPr="008226DF">
        <w:rPr>
          <w:rFonts w:ascii="Arial" w:hAnsi="Arial" w:cs="Arial"/>
          <w:sz w:val="22"/>
          <w:szCs w:val="22"/>
        </w:rPr>
        <w:t>Berkvens</w:t>
      </w:r>
      <w:proofErr w:type="spellEnd"/>
      <w:r w:rsidRPr="008226DF">
        <w:rPr>
          <w:rFonts w:ascii="Arial" w:hAnsi="Arial" w:cs="Arial"/>
          <w:sz w:val="22"/>
          <w:szCs w:val="22"/>
        </w:rPr>
        <w:t xml:space="preserve">, </w:t>
      </w:r>
      <w:proofErr w:type="spellStart"/>
      <w:r w:rsidRPr="008226DF">
        <w:rPr>
          <w:rFonts w:ascii="Arial" w:hAnsi="Arial" w:cs="Arial"/>
          <w:sz w:val="22"/>
          <w:szCs w:val="22"/>
        </w:rPr>
        <w:t>Elske</w:t>
      </w:r>
      <w:proofErr w:type="spellEnd"/>
      <w:r w:rsidRPr="008226DF">
        <w:rPr>
          <w:rFonts w:ascii="Arial" w:hAnsi="Arial" w:cs="Arial"/>
          <w:sz w:val="22"/>
          <w:szCs w:val="22"/>
        </w:rPr>
        <w:t xml:space="preserve"> H. M.; Wegdam, Johannes A.1; Visser, Rhijn J. A.2; </w:t>
      </w:r>
      <w:proofErr w:type="spellStart"/>
      <w:r w:rsidRPr="008226DF">
        <w:rPr>
          <w:rFonts w:ascii="Arial" w:hAnsi="Arial" w:cs="Arial"/>
          <w:sz w:val="22"/>
          <w:szCs w:val="22"/>
        </w:rPr>
        <w:t>Bouvy</w:t>
      </w:r>
      <w:proofErr w:type="spellEnd"/>
      <w:r w:rsidRPr="008226DF">
        <w:rPr>
          <w:rFonts w:ascii="Arial" w:hAnsi="Arial" w:cs="Arial"/>
          <w:sz w:val="22"/>
          <w:szCs w:val="22"/>
        </w:rPr>
        <w:t xml:space="preserve">, Nicole D.3; </w:t>
      </w:r>
      <w:proofErr w:type="spellStart"/>
      <w:r w:rsidRPr="008226DF">
        <w:rPr>
          <w:rFonts w:ascii="Arial" w:hAnsi="Arial" w:cs="Arial"/>
          <w:sz w:val="22"/>
          <w:szCs w:val="22"/>
        </w:rPr>
        <w:t>Nienhuijs</w:t>
      </w:r>
      <w:proofErr w:type="spellEnd"/>
      <w:r w:rsidRPr="008226DF">
        <w:rPr>
          <w:rFonts w:ascii="Arial" w:hAnsi="Arial" w:cs="Arial"/>
          <w:sz w:val="22"/>
          <w:szCs w:val="22"/>
        </w:rPr>
        <w:t xml:space="preserve">, Simon W.4; de Vries </w:t>
      </w:r>
      <w:proofErr w:type="spellStart"/>
      <w:r w:rsidRPr="008226DF">
        <w:rPr>
          <w:rFonts w:ascii="Arial" w:hAnsi="Arial" w:cs="Arial"/>
          <w:sz w:val="22"/>
          <w:szCs w:val="22"/>
        </w:rPr>
        <w:t>Reilingh</w:t>
      </w:r>
      <w:proofErr w:type="spellEnd"/>
      <w:r w:rsidRPr="008226DF">
        <w:rPr>
          <w:rFonts w:ascii="Arial" w:hAnsi="Arial" w:cs="Arial"/>
          <w:sz w:val="22"/>
          <w:szCs w:val="22"/>
        </w:rPr>
        <w:t xml:space="preserve">, </w:t>
      </w:r>
      <w:proofErr w:type="spellStart"/>
      <w:r w:rsidRPr="008226DF">
        <w:rPr>
          <w:rFonts w:ascii="Arial" w:hAnsi="Arial" w:cs="Arial"/>
          <w:sz w:val="22"/>
          <w:szCs w:val="22"/>
        </w:rPr>
        <w:t>Tammo</w:t>
      </w:r>
      <w:proofErr w:type="spellEnd"/>
      <w:r w:rsidRPr="008226DF">
        <w:rPr>
          <w:rFonts w:ascii="Arial" w:hAnsi="Arial" w:cs="Arial"/>
          <w:sz w:val="22"/>
          <w:szCs w:val="22"/>
        </w:rPr>
        <w:t xml:space="preserve"> S.1. Preoperative exercise therapy preventing postoperative complications following complex abdominal wall reconstruction: A feasibility study. International Journal of Abdominal Wall and Hernia Surgery 4(3</w:t>
      </w:r>
      <w:proofErr w:type="gramStart"/>
      <w:r w:rsidRPr="008226DF">
        <w:rPr>
          <w:rFonts w:ascii="Arial" w:hAnsi="Arial" w:cs="Arial"/>
          <w:sz w:val="22"/>
          <w:szCs w:val="22"/>
        </w:rPr>
        <w:t>):p</w:t>
      </w:r>
      <w:proofErr w:type="gramEnd"/>
      <w:r w:rsidRPr="008226DF">
        <w:rPr>
          <w:rFonts w:ascii="Arial" w:hAnsi="Arial" w:cs="Arial"/>
          <w:sz w:val="22"/>
          <w:szCs w:val="22"/>
        </w:rPr>
        <w:t xml:space="preserve"> 103-108, Jul–Sep 2021.  </w:t>
      </w:r>
    </w:p>
    <w:p w14:paraId="07EE6EB5" w14:textId="07E0B208" w:rsidR="008226DF" w:rsidRPr="008226DF" w:rsidRDefault="00BA47C8" w:rsidP="008226DF">
      <w:pPr>
        <w:pStyle w:val="ListParagraph"/>
        <w:numPr>
          <w:ilvl w:val="0"/>
          <w:numId w:val="31"/>
        </w:numPr>
        <w:spacing w:after="160" w:line="480" w:lineRule="auto"/>
        <w:rPr>
          <w:rFonts w:ascii="Arial" w:hAnsi="Arial" w:cs="Arial"/>
          <w:sz w:val="22"/>
          <w:szCs w:val="22"/>
        </w:rPr>
      </w:pPr>
      <w:proofErr w:type="spellStart"/>
      <w:r w:rsidRPr="00BA47C8">
        <w:rPr>
          <w:rFonts w:ascii="Arial" w:hAnsi="Arial" w:cs="Arial"/>
          <w:sz w:val="22"/>
          <w:szCs w:val="22"/>
        </w:rPr>
        <w:t>Mamaniya</w:t>
      </w:r>
      <w:proofErr w:type="spellEnd"/>
      <w:r w:rsidRPr="00BA47C8">
        <w:rPr>
          <w:rFonts w:ascii="Arial" w:hAnsi="Arial" w:cs="Arial"/>
          <w:sz w:val="22"/>
          <w:szCs w:val="22"/>
        </w:rPr>
        <w:t xml:space="preserve">, U. B., Dasgupta, P., </w:t>
      </w:r>
      <w:proofErr w:type="spellStart"/>
      <w:r w:rsidRPr="00BA47C8">
        <w:rPr>
          <w:rFonts w:ascii="Arial" w:hAnsi="Arial" w:cs="Arial"/>
          <w:sz w:val="22"/>
          <w:szCs w:val="22"/>
        </w:rPr>
        <w:t>Senthilnathan</w:t>
      </w:r>
      <w:proofErr w:type="spellEnd"/>
      <w:r w:rsidRPr="00BA47C8">
        <w:rPr>
          <w:rFonts w:ascii="Arial" w:hAnsi="Arial" w:cs="Arial"/>
          <w:sz w:val="22"/>
          <w:szCs w:val="22"/>
        </w:rPr>
        <w:t xml:space="preserve">, P., &amp; </w:t>
      </w:r>
      <w:proofErr w:type="spellStart"/>
      <w:r w:rsidRPr="00BA47C8">
        <w:rPr>
          <w:rFonts w:ascii="Arial" w:hAnsi="Arial" w:cs="Arial"/>
          <w:sz w:val="22"/>
          <w:szCs w:val="22"/>
        </w:rPr>
        <w:t>Chinnusamy</w:t>
      </w:r>
      <w:proofErr w:type="spellEnd"/>
      <w:r w:rsidRPr="00BA47C8">
        <w:rPr>
          <w:rFonts w:ascii="Arial" w:hAnsi="Arial" w:cs="Arial"/>
          <w:sz w:val="22"/>
          <w:szCs w:val="22"/>
        </w:rPr>
        <w:t xml:space="preserve">, P. (2022). Giant lumbar incisional hernia with loss of domain. Journal of Minimal Access Surgery, 18(4), 606-608. </w:t>
      </w:r>
      <w:hyperlink r:id="rId25" w:history="1">
        <w:r w:rsidRPr="006353C7">
          <w:rPr>
            <w:rStyle w:val="Hyperlink"/>
            <w:rFonts w:ascii="Arial" w:hAnsi="Arial" w:cs="Arial"/>
            <w:sz w:val="22"/>
            <w:szCs w:val="22"/>
          </w:rPr>
          <w:t>https://doi.org/10.4103/jmas.jmas_274_21</w:t>
        </w:r>
      </w:hyperlink>
      <w:r>
        <w:rPr>
          <w:rFonts w:ascii="Arial" w:hAnsi="Arial" w:cs="Arial"/>
          <w:sz w:val="22"/>
          <w:szCs w:val="22"/>
        </w:rPr>
        <w:t xml:space="preserve"> </w:t>
      </w:r>
      <w:r w:rsidR="008226DF" w:rsidRPr="008226DF">
        <w:rPr>
          <w:rFonts w:ascii="Arial" w:hAnsi="Arial" w:cs="Arial"/>
          <w:sz w:val="22"/>
          <w:szCs w:val="22"/>
        </w:rPr>
        <w:t xml:space="preserve">. </w:t>
      </w:r>
    </w:p>
    <w:p w14:paraId="6119CB07" w14:textId="65F33F0C" w:rsidR="008226DF" w:rsidRPr="008226DF" w:rsidRDefault="00EE123C" w:rsidP="008226DF">
      <w:pPr>
        <w:pStyle w:val="ListParagraph"/>
        <w:numPr>
          <w:ilvl w:val="0"/>
          <w:numId w:val="31"/>
        </w:numPr>
        <w:spacing w:after="160" w:line="480" w:lineRule="auto"/>
        <w:rPr>
          <w:rFonts w:ascii="Arial" w:hAnsi="Arial" w:cs="Arial"/>
          <w:sz w:val="22"/>
          <w:szCs w:val="22"/>
        </w:rPr>
      </w:pPr>
      <w:proofErr w:type="spellStart"/>
      <w:r w:rsidRPr="00EE123C">
        <w:rPr>
          <w:rFonts w:ascii="Arial" w:hAnsi="Arial" w:cs="Arial"/>
          <w:sz w:val="22"/>
          <w:szCs w:val="22"/>
        </w:rPr>
        <w:t>Subirana</w:t>
      </w:r>
      <w:proofErr w:type="spellEnd"/>
      <w:r w:rsidRPr="00EE123C">
        <w:rPr>
          <w:rFonts w:ascii="Arial" w:hAnsi="Arial" w:cs="Arial"/>
          <w:sz w:val="22"/>
          <w:szCs w:val="22"/>
        </w:rPr>
        <w:t xml:space="preserve">, H., Comas, J., </w:t>
      </w:r>
      <w:proofErr w:type="spellStart"/>
      <w:r w:rsidRPr="00EE123C">
        <w:rPr>
          <w:rFonts w:ascii="Arial" w:hAnsi="Arial" w:cs="Arial"/>
          <w:sz w:val="22"/>
          <w:szCs w:val="22"/>
        </w:rPr>
        <w:t>Crusellas</w:t>
      </w:r>
      <w:proofErr w:type="spellEnd"/>
      <w:r w:rsidRPr="00EE123C">
        <w:rPr>
          <w:rFonts w:ascii="Arial" w:hAnsi="Arial" w:cs="Arial"/>
          <w:sz w:val="22"/>
          <w:szCs w:val="22"/>
        </w:rPr>
        <w:t xml:space="preserve">, O., </w:t>
      </w:r>
      <w:proofErr w:type="spellStart"/>
      <w:r w:rsidRPr="00EE123C">
        <w:rPr>
          <w:rFonts w:ascii="Arial" w:hAnsi="Arial" w:cs="Arial"/>
          <w:sz w:val="22"/>
          <w:szCs w:val="22"/>
        </w:rPr>
        <w:t>Robres</w:t>
      </w:r>
      <w:proofErr w:type="spellEnd"/>
      <w:r w:rsidRPr="00EE123C">
        <w:rPr>
          <w:rFonts w:ascii="Arial" w:hAnsi="Arial" w:cs="Arial"/>
          <w:sz w:val="22"/>
          <w:szCs w:val="22"/>
        </w:rPr>
        <w:t xml:space="preserve">, J., </w:t>
      </w:r>
      <w:proofErr w:type="spellStart"/>
      <w:r w:rsidRPr="00EE123C">
        <w:rPr>
          <w:rFonts w:ascii="Arial" w:hAnsi="Arial" w:cs="Arial"/>
          <w:sz w:val="22"/>
          <w:szCs w:val="22"/>
        </w:rPr>
        <w:t>Barri</w:t>
      </w:r>
      <w:proofErr w:type="spellEnd"/>
      <w:r w:rsidRPr="00EE123C">
        <w:rPr>
          <w:rFonts w:ascii="Arial" w:hAnsi="Arial" w:cs="Arial"/>
          <w:sz w:val="22"/>
          <w:szCs w:val="22"/>
        </w:rPr>
        <w:t xml:space="preserve">, J., Domenech, A., </w:t>
      </w:r>
      <w:proofErr w:type="spellStart"/>
      <w:r w:rsidRPr="00EE123C">
        <w:rPr>
          <w:rFonts w:ascii="Arial" w:hAnsi="Arial" w:cs="Arial"/>
          <w:sz w:val="22"/>
          <w:szCs w:val="22"/>
        </w:rPr>
        <w:t>Borlado</w:t>
      </w:r>
      <w:proofErr w:type="spellEnd"/>
      <w:r w:rsidRPr="00EE123C">
        <w:rPr>
          <w:rFonts w:ascii="Arial" w:hAnsi="Arial" w:cs="Arial"/>
          <w:sz w:val="22"/>
          <w:szCs w:val="22"/>
        </w:rPr>
        <w:t xml:space="preserve">, C., &amp; </w:t>
      </w:r>
      <w:proofErr w:type="spellStart"/>
      <w:r w:rsidRPr="00EE123C">
        <w:rPr>
          <w:rFonts w:ascii="Arial" w:hAnsi="Arial" w:cs="Arial"/>
          <w:sz w:val="22"/>
          <w:szCs w:val="22"/>
        </w:rPr>
        <w:t>Castellví</w:t>
      </w:r>
      <w:proofErr w:type="spellEnd"/>
      <w:r w:rsidRPr="00EE123C">
        <w:rPr>
          <w:rFonts w:ascii="Arial" w:hAnsi="Arial" w:cs="Arial"/>
          <w:sz w:val="22"/>
          <w:szCs w:val="22"/>
        </w:rPr>
        <w:t xml:space="preserve">, J. (2023). Preoperative Progressive Pneumoperitoneum in the Treatment of Hernias </w:t>
      </w:r>
      <w:proofErr w:type="gramStart"/>
      <w:r w:rsidRPr="00EE123C">
        <w:rPr>
          <w:rFonts w:ascii="Arial" w:hAnsi="Arial" w:cs="Arial"/>
          <w:sz w:val="22"/>
          <w:szCs w:val="22"/>
        </w:rPr>
        <w:t>With</w:t>
      </w:r>
      <w:proofErr w:type="gramEnd"/>
      <w:r w:rsidRPr="00EE123C">
        <w:rPr>
          <w:rFonts w:ascii="Arial" w:hAnsi="Arial" w:cs="Arial"/>
          <w:sz w:val="22"/>
          <w:szCs w:val="22"/>
        </w:rPr>
        <w:t xml:space="preserve"> Loss of Domain. Our Experience in 50 Cases. Journal of Abdominal Wall Surgery, 2, 11230. </w:t>
      </w:r>
      <w:hyperlink r:id="rId26" w:history="1">
        <w:r w:rsidRPr="006353C7">
          <w:rPr>
            <w:rStyle w:val="Hyperlink"/>
            <w:rFonts w:ascii="Arial" w:hAnsi="Arial" w:cs="Arial"/>
            <w:sz w:val="22"/>
            <w:szCs w:val="22"/>
          </w:rPr>
          <w:t>https://doi.org/10.3389/jaws.2023.11230</w:t>
        </w:r>
      </w:hyperlink>
      <w:r>
        <w:rPr>
          <w:rFonts w:ascii="Arial" w:hAnsi="Arial" w:cs="Arial"/>
          <w:sz w:val="22"/>
          <w:szCs w:val="22"/>
        </w:rPr>
        <w:t xml:space="preserve"> </w:t>
      </w:r>
      <w:r w:rsidR="008226DF" w:rsidRPr="008226DF">
        <w:rPr>
          <w:rFonts w:ascii="Arial" w:hAnsi="Arial" w:cs="Arial"/>
          <w:sz w:val="22"/>
          <w:szCs w:val="22"/>
        </w:rPr>
        <w:t xml:space="preserve">. </w:t>
      </w:r>
    </w:p>
    <w:p w14:paraId="358EAB01" w14:textId="3B2AE32F" w:rsidR="008226DF" w:rsidRPr="008226DF" w:rsidRDefault="007645C1" w:rsidP="008226DF">
      <w:pPr>
        <w:pStyle w:val="ListParagraph"/>
        <w:numPr>
          <w:ilvl w:val="0"/>
          <w:numId w:val="31"/>
        </w:numPr>
        <w:spacing w:after="160" w:line="480" w:lineRule="auto"/>
        <w:rPr>
          <w:rFonts w:ascii="Arial" w:hAnsi="Arial" w:cs="Arial"/>
          <w:sz w:val="22"/>
          <w:szCs w:val="22"/>
        </w:rPr>
      </w:pPr>
      <w:proofErr w:type="spellStart"/>
      <w:r w:rsidRPr="007645C1">
        <w:rPr>
          <w:rFonts w:ascii="Arial" w:hAnsi="Arial" w:cs="Arial"/>
          <w:sz w:val="22"/>
          <w:szCs w:val="22"/>
          <w:lang w:val="en-GB"/>
        </w:rPr>
        <w:t>Thalji</w:t>
      </w:r>
      <w:proofErr w:type="spellEnd"/>
      <w:r w:rsidRPr="007645C1">
        <w:rPr>
          <w:rFonts w:ascii="Arial" w:hAnsi="Arial" w:cs="Arial"/>
          <w:sz w:val="22"/>
          <w:szCs w:val="22"/>
          <w:lang w:val="en-GB"/>
        </w:rPr>
        <w:t xml:space="preserve">, M., </w:t>
      </w:r>
      <w:proofErr w:type="spellStart"/>
      <w:r w:rsidRPr="007645C1">
        <w:rPr>
          <w:rFonts w:ascii="Arial" w:hAnsi="Arial" w:cs="Arial"/>
          <w:sz w:val="22"/>
          <w:szCs w:val="22"/>
          <w:lang w:val="en-GB"/>
        </w:rPr>
        <w:t>Tarayrah</w:t>
      </w:r>
      <w:proofErr w:type="spellEnd"/>
      <w:r w:rsidRPr="007645C1">
        <w:rPr>
          <w:rFonts w:ascii="Arial" w:hAnsi="Arial" w:cs="Arial"/>
          <w:sz w:val="22"/>
          <w:szCs w:val="22"/>
          <w:lang w:val="en-GB"/>
        </w:rPr>
        <w:t xml:space="preserve">, R., </w:t>
      </w:r>
      <w:proofErr w:type="spellStart"/>
      <w:r w:rsidRPr="007645C1">
        <w:rPr>
          <w:rFonts w:ascii="Arial" w:hAnsi="Arial" w:cs="Arial"/>
          <w:sz w:val="22"/>
          <w:szCs w:val="22"/>
          <w:lang w:val="en-GB"/>
        </w:rPr>
        <w:t>Ruzaygat</w:t>
      </w:r>
      <w:proofErr w:type="spellEnd"/>
      <w:r w:rsidRPr="007645C1">
        <w:rPr>
          <w:rFonts w:ascii="Arial" w:hAnsi="Arial" w:cs="Arial"/>
          <w:sz w:val="22"/>
          <w:szCs w:val="22"/>
          <w:lang w:val="en-GB"/>
        </w:rPr>
        <w:t xml:space="preserve">, A., </w:t>
      </w:r>
      <w:proofErr w:type="spellStart"/>
      <w:r w:rsidRPr="007645C1">
        <w:rPr>
          <w:rFonts w:ascii="Arial" w:hAnsi="Arial" w:cs="Arial"/>
          <w:sz w:val="22"/>
          <w:szCs w:val="22"/>
          <w:lang w:val="en-GB"/>
        </w:rPr>
        <w:t>Motawe</w:t>
      </w:r>
      <w:proofErr w:type="spellEnd"/>
      <w:r w:rsidRPr="007645C1">
        <w:rPr>
          <w:rFonts w:ascii="Arial" w:hAnsi="Arial" w:cs="Arial"/>
          <w:sz w:val="22"/>
          <w:szCs w:val="22"/>
          <w:lang w:val="en-GB"/>
        </w:rPr>
        <w:t xml:space="preserve">, D., &amp; </w:t>
      </w:r>
      <w:proofErr w:type="spellStart"/>
      <w:r w:rsidRPr="007645C1">
        <w:rPr>
          <w:rFonts w:ascii="Arial" w:hAnsi="Arial" w:cs="Arial"/>
          <w:sz w:val="22"/>
          <w:szCs w:val="22"/>
          <w:lang w:val="en-GB"/>
        </w:rPr>
        <w:t>Ibedo</w:t>
      </w:r>
      <w:proofErr w:type="spellEnd"/>
      <w:r w:rsidRPr="007645C1">
        <w:rPr>
          <w:rFonts w:ascii="Arial" w:hAnsi="Arial" w:cs="Arial"/>
          <w:sz w:val="22"/>
          <w:szCs w:val="22"/>
          <w:lang w:val="en-GB"/>
        </w:rPr>
        <w:t xml:space="preserve">, F. (2024). Classic incisional hernia repair under awake thoracic combined spinal -epidural </w:t>
      </w:r>
      <w:proofErr w:type="spellStart"/>
      <w:r w:rsidRPr="007645C1">
        <w:rPr>
          <w:rFonts w:ascii="Arial" w:hAnsi="Arial" w:cs="Arial"/>
          <w:sz w:val="22"/>
          <w:szCs w:val="22"/>
          <w:lang w:val="en-GB"/>
        </w:rPr>
        <w:t>anesthesia</w:t>
      </w:r>
      <w:proofErr w:type="spellEnd"/>
      <w:r w:rsidRPr="007645C1">
        <w:rPr>
          <w:rFonts w:ascii="Arial" w:hAnsi="Arial" w:cs="Arial"/>
          <w:sz w:val="22"/>
          <w:szCs w:val="22"/>
          <w:lang w:val="en-GB"/>
        </w:rPr>
        <w:t xml:space="preserve"> in a geriatric patient with multiple co-morbidities. *International Journal of Surgery Case Reports*, *119*(1), 109744. </w:t>
      </w:r>
      <w:hyperlink r:id="rId27" w:history="1">
        <w:r w:rsidRPr="006353C7">
          <w:rPr>
            <w:rStyle w:val="Hyperlink"/>
            <w:rFonts w:ascii="Arial" w:hAnsi="Arial" w:cs="Arial"/>
            <w:sz w:val="22"/>
            <w:szCs w:val="22"/>
            <w:lang w:val="en-GB"/>
          </w:rPr>
          <w:t>https://doi.org/10.1016/j.ijscr.2024.109744</w:t>
        </w:r>
      </w:hyperlink>
      <w:r>
        <w:rPr>
          <w:rFonts w:ascii="Arial" w:hAnsi="Arial" w:cs="Arial"/>
          <w:sz w:val="22"/>
          <w:szCs w:val="22"/>
          <w:lang w:val="en-GB"/>
        </w:rPr>
        <w:t xml:space="preserve"> </w:t>
      </w:r>
      <w:r w:rsidR="008226DF" w:rsidRPr="008226DF">
        <w:rPr>
          <w:rFonts w:ascii="Arial" w:hAnsi="Arial" w:cs="Arial"/>
          <w:sz w:val="22"/>
          <w:szCs w:val="22"/>
          <w:lang w:val="en-GB"/>
        </w:rPr>
        <w:t>.</w:t>
      </w:r>
    </w:p>
    <w:p w14:paraId="3D430893" w14:textId="4710F226" w:rsidR="008226DF" w:rsidRPr="008226DF" w:rsidRDefault="00260100" w:rsidP="008226DF">
      <w:pPr>
        <w:pStyle w:val="ListParagraph"/>
        <w:numPr>
          <w:ilvl w:val="0"/>
          <w:numId w:val="31"/>
        </w:numPr>
        <w:spacing w:after="160" w:line="480" w:lineRule="auto"/>
        <w:rPr>
          <w:rFonts w:ascii="Arial" w:hAnsi="Arial" w:cs="Arial"/>
          <w:sz w:val="22"/>
          <w:szCs w:val="22"/>
        </w:rPr>
      </w:pPr>
      <w:proofErr w:type="spellStart"/>
      <w:r w:rsidRPr="00260100">
        <w:rPr>
          <w:rFonts w:ascii="Arial" w:hAnsi="Arial" w:cs="Arial"/>
          <w:sz w:val="22"/>
          <w:szCs w:val="22"/>
        </w:rPr>
        <w:t>Novitsky</w:t>
      </w:r>
      <w:proofErr w:type="spellEnd"/>
      <w:r w:rsidRPr="00260100">
        <w:rPr>
          <w:rFonts w:ascii="Arial" w:hAnsi="Arial" w:cs="Arial"/>
          <w:sz w:val="22"/>
          <w:szCs w:val="22"/>
        </w:rPr>
        <w:t xml:space="preserve">, Y. W., </w:t>
      </w:r>
      <w:proofErr w:type="spellStart"/>
      <w:r w:rsidRPr="00260100">
        <w:rPr>
          <w:rFonts w:ascii="Arial" w:hAnsi="Arial" w:cs="Arial"/>
          <w:sz w:val="22"/>
          <w:szCs w:val="22"/>
        </w:rPr>
        <w:t>Fayezizadeh</w:t>
      </w:r>
      <w:proofErr w:type="spellEnd"/>
      <w:r w:rsidRPr="00260100">
        <w:rPr>
          <w:rFonts w:ascii="Arial" w:hAnsi="Arial" w:cs="Arial"/>
          <w:sz w:val="22"/>
          <w:szCs w:val="22"/>
        </w:rPr>
        <w:t xml:space="preserve">, M., Majumder, A., Neupane, R., Elliott, H. L., &amp; Orenstein, S. B. (2016). Outcomes of Posterior Component Separation </w:t>
      </w:r>
      <w:proofErr w:type="gramStart"/>
      <w:r w:rsidRPr="00260100">
        <w:rPr>
          <w:rFonts w:ascii="Arial" w:hAnsi="Arial" w:cs="Arial"/>
          <w:sz w:val="22"/>
          <w:szCs w:val="22"/>
        </w:rPr>
        <w:t>With</w:t>
      </w:r>
      <w:proofErr w:type="gramEnd"/>
      <w:r w:rsidRPr="00260100">
        <w:rPr>
          <w:rFonts w:ascii="Arial" w:hAnsi="Arial" w:cs="Arial"/>
          <w:sz w:val="22"/>
          <w:szCs w:val="22"/>
        </w:rPr>
        <w:t xml:space="preserve"> Transversus Abdominis Muscle Release and Synthetic Mesh </w:t>
      </w:r>
      <w:proofErr w:type="spellStart"/>
      <w:r w:rsidRPr="00260100">
        <w:rPr>
          <w:rFonts w:ascii="Arial" w:hAnsi="Arial" w:cs="Arial"/>
          <w:sz w:val="22"/>
          <w:szCs w:val="22"/>
        </w:rPr>
        <w:t>Sublay</w:t>
      </w:r>
      <w:proofErr w:type="spellEnd"/>
      <w:r w:rsidRPr="00260100">
        <w:rPr>
          <w:rFonts w:ascii="Arial" w:hAnsi="Arial" w:cs="Arial"/>
          <w:sz w:val="22"/>
          <w:szCs w:val="22"/>
        </w:rPr>
        <w:t xml:space="preserve"> Reinforcement. Annals of Surgery, 264(2), 226–232. </w:t>
      </w:r>
      <w:hyperlink r:id="rId28" w:history="1">
        <w:r w:rsidRPr="006353C7">
          <w:rPr>
            <w:rStyle w:val="Hyperlink"/>
            <w:rFonts w:ascii="Arial" w:hAnsi="Arial" w:cs="Arial"/>
            <w:sz w:val="22"/>
            <w:szCs w:val="22"/>
          </w:rPr>
          <w:t>https://doi.org/10.1097/SLA.0000000000001673</w:t>
        </w:r>
      </w:hyperlink>
      <w:r>
        <w:rPr>
          <w:rFonts w:ascii="Arial" w:hAnsi="Arial" w:cs="Arial"/>
          <w:sz w:val="22"/>
          <w:szCs w:val="22"/>
        </w:rPr>
        <w:t xml:space="preserve"> </w:t>
      </w:r>
      <w:r w:rsidR="008226DF" w:rsidRPr="008226DF">
        <w:rPr>
          <w:rFonts w:ascii="Arial" w:hAnsi="Arial" w:cs="Arial"/>
          <w:sz w:val="22"/>
          <w:szCs w:val="22"/>
        </w:rPr>
        <w:t xml:space="preserve">. </w:t>
      </w:r>
    </w:p>
    <w:p w14:paraId="4DAABF7E" w14:textId="77777777" w:rsidR="00EF2C4C" w:rsidRPr="00FB3A86" w:rsidRDefault="00EF2C4C" w:rsidP="00441B6F">
      <w:pPr>
        <w:pStyle w:val="AbstHead"/>
        <w:spacing w:after="0"/>
        <w:jc w:val="both"/>
        <w:rPr>
          <w:rFonts w:ascii="Arial" w:hAnsi="Arial" w:cs="Arial"/>
        </w:rPr>
      </w:pPr>
    </w:p>
    <w:p w14:paraId="22413529" w14:textId="77777777" w:rsidR="00790ADA" w:rsidRPr="00FB3A86" w:rsidRDefault="00790ADA" w:rsidP="00441B6F">
      <w:pPr>
        <w:pStyle w:val="Body"/>
        <w:spacing w:after="0"/>
        <w:rPr>
          <w:rFonts w:ascii="Arial" w:hAnsi="Arial" w:cs="Arial"/>
        </w:rPr>
      </w:pPr>
      <w:bookmarkStart w:id="0" w:name="_GoBack"/>
      <w:bookmarkEnd w:id="0"/>
    </w:p>
    <w:sectPr w:rsidR="00790ADA" w:rsidRPr="00FB3A86" w:rsidSect="007E1341">
      <w:headerReference w:type="even" r:id="rId29"/>
      <w:headerReference w:type="default" r:id="rId30"/>
      <w:footerReference w:type="default" r:id="rId31"/>
      <w:headerReference w:type="first" r:id="rId32"/>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9B8BD1" w14:textId="77777777" w:rsidR="00745115" w:rsidRDefault="00745115" w:rsidP="00C37E61">
      <w:r>
        <w:separator/>
      </w:r>
    </w:p>
  </w:endnote>
  <w:endnote w:type="continuationSeparator" w:id="0">
    <w:p w14:paraId="5F5DB7AD" w14:textId="77777777" w:rsidR="00745115" w:rsidRDefault="00745115"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ouvenir Lt BT">
    <w:altName w:val="Georgia"/>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546F87" w14:textId="77777777" w:rsidR="007E1341" w:rsidRDefault="007E134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2D6B87" w14:textId="77777777" w:rsidR="007E1341" w:rsidRDefault="007E134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CFF173" w14:textId="77777777" w:rsidR="009E048A" w:rsidRDefault="009E048A">
    <w:pPr>
      <w:pStyle w:val="Footer"/>
      <w:rPr>
        <w:rFonts w:ascii="Arial" w:hAnsi="Arial" w:cs="Arial"/>
        <w:sz w:val="16"/>
      </w:rPr>
    </w:pPr>
  </w:p>
  <w:p w14:paraId="0A6EC3AA"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56550009" w14:textId="77777777" w:rsidR="009E048A" w:rsidRDefault="009E048A">
    <w:pPr>
      <w:pStyle w:val="Footer"/>
      <w:rPr>
        <w:rFonts w:ascii="Arial" w:hAnsi="Arial" w:cs="Arial"/>
        <w:sz w:val="16"/>
      </w:rPr>
    </w:pPr>
  </w:p>
  <w:p w14:paraId="15EF4AB7"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E7A56C"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237137" w14:textId="77777777" w:rsidR="00745115" w:rsidRDefault="00745115" w:rsidP="00C37E61">
      <w:r>
        <w:separator/>
      </w:r>
    </w:p>
  </w:footnote>
  <w:footnote w:type="continuationSeparator" w:id="0">
    <w:p w14:paraId="53F358C9" w14:textId="77777777" w:rsidR="00745115" w:rsidRDefault="00745115"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7D04CB" w14:textId="73C859E6" w:rsidR="007E1341" w:rsidRDefault="007E1341">
    <w:pPr>
      <w:pStyle w:val="Header"/>
    </w:pPr>
    <w:r>
      <w:rPr>
        <w:noProof/>
      </w:rPr>
      <w:pict w14:anchorId="05E315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4247204" o:spid="_x0000_s2050" type="#_x0000_t136" style="position:absolute;margin-left:0;margin-top:0;width:684.1pt;height:77.1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056867" w14:textId="2F0873A5" w:rsidR="007E1341" w:rsidRDefault="007E1341">
    <w:pPr>
      <w:pStyle w:val="Header"/>
    </w:pPr>
    <w:r>
      <w:rPr>
        <w:noProof/>
      </w:rPr>
      <w:pict w14:anchorId="6221355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4247205" o:spid="_x0000_s2051" type="#_x0000_t136" style="position:absolute;margin-left:0;margin-top:0;width:684.1pt;height:77.1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1C0884" w14:textId="25301ECD" w:rsidR="00296529" w:rsidRPr="00296529" w:rsidRDefault="007E1341" w:rsidP="00296529">
    <w:pPr>
      <w:ind w:left="2160"/>
      <w:jc w:val="center"/>
      <w:rPr>
        <w:rFonts w:ascii="Times New Roman" w:eastAsia="Calibri" w:hAnsi="Times New Roman"/>
        <w:i/>
        <w:sz w:val="18"/>
        <w:szCs w:val="22"/>
      </w:rPr>
    </w:pPr>
    <w:r>
      <w:rPr>
        <w:noProof/>
      </w:rPr>
      <w:pict w14:anchorId="7C5D5FC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4247203" o:spid="_x0000_s2049" type="#_x0000_t136" style="position:absolute;left:0;text-align:left;margin-left:0;margin-top:0;width:684.1pt;height:77.1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0A7FA3DF"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5DBE557C"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69E26E14"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2EA5F505"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2FB58F0B"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633D64BF"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5C6929" w14:textId="424E6DFB" w:rsidR="007E1341" w:rsidRDefault="007E1341">
    <w:pPr>
      <w:pStyle w:val="Header"/>
    </w:pPr>
    <w:r>
      <w:rPr>
        <w:noProof/>
      </w:rPr>
      <w:pict w14:anchorId="63FB7F4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4247207" o:spid="_x0000_s2053" type="#_x0000_t136" style="position:absolute;margin-left:0;margin-top:0;width:684.1pt;height:77.1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16A7FB" w14:textId="693799DE" w:rsidR="007E1341" w:rsidRDefault="007E1341">
    <w:pPr>
      <w:pStyle w:val="Header"/>
    </w:pPr>
    <w:r>
      <w:rPr>
        <w:noProof/>
      </w:rPr>
      <w:pict w14:anchorId="0689A2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4247208" o:spid="_x0000_s2054" type="#_x0000_t136" style="position:absolute;margin-left:0;margin-top:0;width:684.1pt;height:77.1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EA8AD1" w14:textId="47096928" w:rsidR="007E1341" w:rsidRDefault="007E1341">
    <w:pPr>
      <w:pStyle w:val="Header"/>
    </w:pPr>
    <w:r>
      <w:rPr>
        <w:noProof/>
      </w:rPr>
      <w:pict w14:anchorId="3AB4D98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4247206" o:spid="_x0000_s2052" type="#_x0000_t136" style="position:absolute;margin-left:0;margin-top:0;width:684.1pt;height:77.1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182D89"/>
    <w:multiLevelType w:val="hybridMultilevel"/>
    <w:tmpl w:val="5CD6065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1A25AD9"/>
    <w:multiLevelType w:val="hybridMultilevel"/>
    <w:tmpl w:val="C5D2B4E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2"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4"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6"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5"/>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7"/>
  </w:num>
  <w:num w:numId="10">
    <w:abstractNumId w:val="2"/>
  </w:num>
  <w:num w:numId="11">
    <w:abstractNumId w:val="20"/>
  </w:num>
  <w:num w:numId="12">
    <w:abstractNumId w:val="3"/>
  </w:num>
  <w:num w:numId="13">
    <w:abstractNumId w:val="18"/>
  </w:num>
  <w:num w:numId="14">
    <w:abstractNumId w:val="8"/>
  </w:num>
  <w:num w:numId="15">
    <w:abstractNumId w:val="23"/>
  </w:num>
  <w:num w:numId="16">
    <w:abstractNumId w:val="5"/>
  </w:num>
  <w:num w:numId="17">
    <w:abstractNumId w:val="24"/>
  </w:num>
  <w:num w:numId="18">
    <w:abstractNumId w:val="14"/>
  </w:num>
  <w:num w:numId="19">
    <w:abstractNumId w:val="30"/>
  </w:num>
  <w:num w:numId="20">
    <w:abstractNumId w:val="11"/>
  </w:num>
  <w:num w:numId="21">
    <w:abstractNumId w:val="9"/>
  </w:num>
  <w:num w:numId="22">
    <w:abstractNumId w:val="13"/>
  </w:num>
  <w:num w:numId="23">
    <w:abstractNumId w:val="21"/>
  </w:num>
  <w:num w:numId="24">
    <w:abstractNumId w:val="28"/>
  </w:num>
  <w:num w:numId="25">
    <w:abstractNumId w:val="4"/>
  </w:num>
  <w:num w:numId="26">
    <w:abstractNumId w:val="17"/>
  </w:num>
  <w:num w:numId="27">
    <w:abstractNumId w:val="22"/>
  </w:num>
  <w:num w:numId="28">
    <w:abstractNumId w:val="29"/>
  </w:num>
  <w:num w:numId="29">
    <w:abstractNumId w:val="26"/>
  </w:num>
  <w:num w:numId="30">
    <w:abstractNumId w:val="10"/>
  </w:num>
  <w:num w:numId="31">
    <w:abstractNumId w:val="19"/>
  </w:num>
  <w:num w:numId="3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30174"/>
    <w:rsid w:val="0004579C"/>
    <w:rsid w:val="0008619D"/>
    <w:rsid w:val="000A47FA"/>
    <w:rsid w:val="000A65D3"/>
    <w:rsid w:val="000B1E33"/>
    <w:rsid w:val="000D689F"/>
    <w:rsid w:val="000E7B7B"/>
    <w:rsid w:val="000E7CE4"/>
    <w:rsid w:val="000E7D62"/>
    <w:rsid w:val="00102300"/>
    <w:rsid w:val="00103357"/>
    <w:rsid w:val="00123C9F"/>
    <w:rsid w:val="00126190"/>
    <w:rsid w:val="00130F17"/>
    <w:rsid w:val="001320BF"/>
    <w:rsid w:val="00163BC4"/>
    <w:rsid w:val="00191062"/>
    <w:rsid w:val="00192B72"/>
    <w:rsid w:val="001A29D8"/>
    <w:rsid w:val="001A5CAA"/>
    <w:rsid w:val="001B0427"/>
    <w:rsid w:val="001B265E"/>
    <w:rsid w:val="001D3A51"/>
    <w:rsid w:val="001E10D2"/>
    <w:rsid w:val="001E25B4"/>
    <w:rsid w:val="001E44FE"/>
    <w:rsid w:val="00200595"/>
    <w:rsid w:val="00204835"/>
    <w:rsid w:val="002173BB"/>
    <w:rsid w:val="00222F39"/>
    <w:rsid w:val="00231920"/>
    <w:rsid w:val="0023195C"/>
    <w:rsid w:val="0024282C"/>
    <w:rsid w:val="002460DC"/>
    <w:rsid w:val="00250985"/>
    <w:rsid w:val="002556F6"/>
    <w:rsid w:val="00260100"/>
    <w:rsid w:val="00283105"/>
    <w:rsid w:val="00284C4C"/>
    <w:rsid w:val="00287E68"/>
    <w:rsid w:val="00296529"/>
    <w:rsid w:val="002B27FB"/>
    <w:rsid w:val="002B685A"/>
    <w:rsid w:val="002C57D2"/>
    <w:rsid w:val="002D6BB7"/>
    <w:rsid w:val="002E0D56"/>
    <w:rsid w:val="00315186"/>
    <w:rsid w:val="0033343E"/>
    <w:rsid w:val="003512C2"/>
    <w:rsid w:val="00371FB6"/>
    <w:rsid w:val="003763C1"/>
    <w:rsid w:val="00376BBE"/>
    <w:rsid w:val="0039224F"/>
    <w:rsid w:val="003A43A4"/>
    <w:rsid w:val="003A7E18"/>
    <w:rsid w:val="003C4C86"/>
    <w:rsid w:val="003C6258"/>
    <w:rsid w:val="003E2904"/>
    <w:rsid w:val="00401927"/>
    <w:rsid w:val="0041027F"/>
    <w:rsid w:val="00412475"/>
    <w:rsid w:val="00423789"/>
    <w:rsid w:val="00423834"/>
    <w:rsid w:val="00440F43"/>
    <w:rsid w:val="00441B6F"/>
    <w:rsid w:val="00446221"/>
    <w:rsid w:val="00450E62"/>
    <w:rsid w:val="004539DB"/>
    <w:rsid w:val="00471A80"/>
    <w:rsid w:val="004D305E"/>
    <w:rsid w:val="004D4277"/>
    <w:rsid w:val="00502516"/>
    <w:rsid w:val="00505F06"/>
    <w:rsid w:val="00506828"/>
    <w:rsid w:val="0053056E"/>
    <w:rsid w:val="00554FDA"/>
    <w:rsid w:val="005A70A8"/>
    <w:rsid w:val="005A78E2"/>
    <w:rsid w:val="005C784C"/>
    <w:rsid w:val="005D17F6"/>
    <w:rsid w:val="005E5539"/>
    <w:rsid w:val="00602BF5"/>
    <w:rsid w:val="00617FDD"/>
    <w:rsid w:val="00633614"/>
    <w:rsid w:val="00633F68"/>
    <w:rsid w:val="00636EB2"/>
    <w:rsid w:val="006375B8"/>
    <w:rsid w:val="0066510A"/>
    <w:rsid w:val="00673F9F"/>
    <w:rsid w:val="00686953"/>
    <w:rsid w:val="00687DEA"/>
    <w:rsid w:val="00687E67"/>
    <w:rsid w:val="006967F7"/>
    <w:rsid w:val="006A250C"/>
    <w:rsid w:val="006B21D3"/>
    <w:rsid w:val="006B57D0"/>
    <w:rsid w:val="006D30FF"/>
    <w:rsid w:val="006D6940"/>
    <w:rsid w:val="006F11EC"/>
    <w:rsid w:val="0070082C"/>
    <w:rsid w:val="0072364C"/>
    <w:rsid w:val="007369E6"/>
    <w:rsid w:val="00745115"/>
    <w:rsid w:val="00746E59"/>
    <w:rsid w:val="00754C9A"/>
    <w:rsid w:val="0075599A"/>
    <w:rsid w:val="00761D52"/>
    <w:rsid w:val="007645C1"/>
    <w:rsid w:val="0077749E"/>
    <w:rsid w:val="00787FEE"/>
    <w:rsid w:val="00790ADA"/>
    <w:rsid w:val="007D2288"/>
    <w:rsid w:val="007E088F"/>
    <w:rsid w:val="007E1341"/>
    <w:rsid w:val="007F7B32"/>
    <w:rsid w:val="00804BC2"/>
    <w:rsid w:val="0081431A"/>
    <w:rsid w:val="008226DF"/>
    <w:rsid w:val="0083216F"/>
    <w:rsid w:val="00860000"/>
    <w:rsid w:val="00863BD3"/>
    <w:rsid w:val="008641ED"/>
    <w:rsid w:val="00866D66"/>
    <w:rsid w:val="008671C6"/>
    <w:rsid w:val="00875803"/>
    <w:rsid w:val="008B459E"/>
    <w:rsid w:val="008D5A0D"/>
    <w:rsid w:val="008E13AE"/>
    <w:rsid w:val="008E1506"/>
    <w:rsid w:val="008E51E9"/>
    <w:rsid w:val="008E710C"/>
    <w:rsid w:val="008F69D6"/>
    <w:rsid w:val="00902823"/>
    <w:rsid w:val="00915CA6"/>
    <w:rsid w:val="00927834"/>
    <w:rsid w:val="009500A6"/>
    <w:rsid w:val="00953705"/>
    <w:rsid w:val="00957C18"/>
    <w:rsid w:val="009659BA"/>
    <w:rsid w:val="00983040"/>
    <w:rsid w:val="0099226C"/>
    <w:rsid w:val="009B3FB9"/>
    <w:rsid w:val="009C2465"/>
    <w:rsid w:val="009D35A0"/>
    <w:rsid w:val="009D7EB7"/>
    <w:rsid w:val="009E048A"/>
    <w:rsid w:val="009E08E9"/>
    <w:rsid w:val="009E3DB9"/>
    <w:rsid w:val="009E6E35"/>
    <w:rsid w:val="009F0EDA"/>
    <w:rsid w:val="00A03B96"/>
    <w:rsid w:val="00A05B19"/>
    <w:rsid w:val="00A110BC"/>
    <w:rsid w:val="00A1134E"/>
    <w:rsid w:val="00A24E7E"/>
    <w:rsid w:val="00A258C3"/>
    <w:rsid w:val="00A347C0"/>
    <w:rsid w:val="00A51431"/>
    <w:rsid w:val="00A539AD"/>
    <w:rsid w:val="00A6444D"/>
    <w:rsid w:val="00A94063"/>
    <w:rsid w:val="00AA6219"/>
    <w:rsid w:val="00AA74E0"/>
    <w:rsid w:val="00AB703F"/>
    <w:rsid w:val="00AC6BB8"/>
    <w:rsid w:val="00AE008F"/>
    <w:rsid w:val="00B01FCD"/>
    <w:rsid w:val="00B1776C"/>
    <w:rsid w:val="00B52583"/>
    <w:rsid w:val="00B52896"/>
    <w:rsid w:val="00B801D4"/>
    <w:rsid w:val="00B95236"/>
    <w:rsid w:val="00B96BD9"/>
    <w:rsid w:val="00BA1B01"/>
    <w:rsid w:val="00BA2641"/>
    <w:rsid w:val="00BA47C8"/>
    <w:rsid w:val="00BB37AA"/>
    <w:rsid w:val="00BC53A0"/>
    <w:rsid w:val="00BE62AD"/>
    <w:rsid w:val="00BF121F"/>
    <w:rsid w:val="00BF1F80"/>
    <w:rsid w:val="00C166EF"/>
    <w:rsid w:val="00C17EB0"/>
    <w:rsid w:val="00C27F5F"/>
    <w:rsid w:val="00C30A0F"/>
    <w:rsid w:val="00C37E61"/>
    <w:rsid w:val="00C675B8"/>
    <w:rsid w:val="00C70F1B"/>
    <w:rsid w:val="00C71A47"/>
    <w:rsid w:val="00C7464C"/>
    <w:rsid w:val="00C85588"/>
    <w:rsid w:val="00CD6755"/>
    <w:rsid w:val="00CD6856"/>
    <w:rsid w:val="00CE0089"/>
    <w:rsid w:val="00CE2EA4"/>
    <w:rsid w:val="00CE793C"/>
    <w:rsid w:val="00CF193C"/>
    <w:rsid w:val="00D173F1"/>
    <w:rsid w:val="00D74CB0"/>
    <w:rsid w:val="00D8295D"/>
    <w:rsid w:val="00D82F50"/>
    <w:rsid w:val="00DC2A65"/>
    <w:rsid w:val="00DE15F0"/>
    <w:rsid w:val="00DE5663"/>
    <w:rsid w:val="00DE78AA"/>
    <w:rsid w:val="00E053D0"/>
    <w:rsid w:val="00E15994"/>
    <w:rsid w:val="00E3114E"/>
    <w:rsid w:val="00E31A70"/>
    <w:rsid w:val="00E35B02"/>
    <w:rsid w:val="00E66496"/>
    <w:rsid w:val="00E66B35"/>
    <w:rsid w:val="00E66E10"/>
    <w:rsid w:val="00E769F6"/>
    <w:rsid w:val="00E8407C"/>
    <w:rsid w:val="00E84F3C"/>
    <w:rsid w:val="00EA012C"/>
    <w:rsid w:val="00EC6A55"/>
    <w:rsid w:val="00ED0288"/>
    <w:rsid w:val="00EE123C"/>
    <w:rsid w:val="00EE52CB"/>
    <w:rsid w:val="00EF2C4C"/>
    <w:rsid w:val="00EF581D"/>
    <w:rsid w:val="00EF7FD8"/>
    <w:rsid w:val="00F06F59"/>
    <w:rsid w:val="00F17988"/>
    <w:rsid w:val="00F469F0"/>
    <w:rsid w:val="00F53273"/>
    <w:rsid w:val="00F755E4"/>
    <w:rsid w:val="00F7737C"/>
    <w:rsid w:val="00F77D02"/>
    <w:rsid w:val="00FB3A86"/>
    <w:rsid w:val="00FD2368"/>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1DEAB53E"/>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link w:val="FooterChar"/>
    <w:uiPriority w:val="99"/>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nhideWhenUsed/>
    <w:rsid w:val="00746E59"/>
    <w:rPr>
      <w:rFonts w:ascii="Times New Roman" w:hAnsi="Times New Roman"/>
      <w:lang w:val="nb-NO" w:eastAsia="nb-NO"/>
    </w:rPr>
  </w:style>
  <w:style w:type="character" w:customStyle="1" w:styleId="CommentTextChar">
    <w:name w:val="Comment Text Char"/>
    <w:basedOn w:val="DefaultParagraphFont"/>
    <w:link w:val="CommentText"/>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ListParagraph">
    <w:name w:val="List Paragraph"/>
    <w:basedOn w:val="Normal"/>
    <w:uiPriority w:val="34"/>
    <w:qFormat/>
    <w:rsid w:val="008E51E9"/>
    <w:pPr>
      <w:ind w:left="720"/>
      <w:contextualSpacing/>
    </w:pPr>
  </w:style>
  <w:style w:type="character" w:customStyle="1" w:styleId="FooterChar">
    <w:name w:val="Footer Char"/>
    <w:basedOn w:val="DefaultParagraphFont"/>
    <w:link w:val="Footer"/>
    <w:uiPriority w:val="99"/>
    <w:rsid w:val="00222F39"/>
    <w:rPr>
      <w:rFonts w:ascii="Helvetica" w:hAnsi="Helvetica"/>
    </w:rPr>
  </w:style>
  <w:style w:type="paragraph" w:styleId="NormalWeb">
    <w:name w:val="Normal (Web)"/>
    <w:basedOn w:val="Normal"/>
    <w:uiPriority w:val="99"/>
    <w:rsid w:val="0099226C"/>
    <w:pPr>
      <w:spacing w:before="100" w:beforeAutospacing="1" w:after="100" w:afterAutospacing="1"/>
      <w:ind w:firstLine="216"/>
    </w:pPr>
    <w:rPr>
      <w:rFonts w:ascii="Souvenir Lt BT" w:hAnsi="Souvenir Lt BT"/>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hyperlink" Target="https://doi.org/10.3389/jaws.2023.11230" TargetMode="External"/><Relationship Id="rId3" Type="http://schemas.openxmlformats.org/officeDocument/2006/relationships/styles" Target="styles.xml"/><Relationship Id="rId21" Type="http://schemas.openxmlformats.org/officeDocument/2006/relationships/hyperlink" Target="https://doi.org/10.1016/j.ijsu.2018.01.010"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hyperlink" Target="https://doi.org/10.4103/jmas.jmas_274_21"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doi.org/10.1007/s10029-009-0560-8" TargetMode="External"/><Relationship Id="rId32"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hyperlink" Target="https://doi.org/10.1007/s10029-013-1168-6" TargetMode="External"/><Relationship Id="rId28" Type="http://schemas.openxmlformats.org/officeDocument/2006/relationships/hyperlink" Target="https://doi.org/10.1097/SLA.0000000000001673" TargetMode="External"/><Relationship Id="rId10" Type="http://schemas.openxmlformats.org/officeDocument/2006/relationships/footer" Target="footer1.xml"/><Relationship Id="rId19" Type="http://schemas.openxmlformats.org/officeDocument/2006/relationships/image" Target="media/image6.jpeg"/><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hyperlink" Target="https://doi.org/10.1007/s00464-013-2884-9" TargetMode="External"/><Relationship Id="rId27" Type="http://schemas.openxmlformats.org/officeDocument/2006/relationships/hyperlink" Target="https://doi.org/10.1016/j.ijscr.2024.109744" TargetMode="External"/><Relationship Id="rId30" Type="http://schemas.openxmlformats.org/officeDocument/2006/relationships/header" Target="header5.xml"/><Relationship Id="rId8"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3951BB-DCC6-4086-9C1B-32824134FC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265</TotalTime>
  <Pages>8</Pages>
  <Words>1768</Words>
  <Characters>10083</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11828</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18</cp:revision>
  <cp:lastPrinted>1999-07-06T11:00:00Z</cp:lastPrinted>
  <dcterms:created xsi:type="dcterms:W3CDTF">2025-12-07T08:42:00Z</dcterms:created>
  <dcterms:modified xsi:type="dcterms:W3CDTF">2025-12-10T11:11:00Z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65e64d89-4aa6-4720-885a-f6fd0bd84543</vt:lpwstr>
  </property>
</Properties>
</file>