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0C5" w:rsidRDefault="00503689">
      <w:pPr>
        <w:spacing w:line="360" w:lineRule="auto"/>
        <w:jc w:val="center"/>
        <w:rPr>
          <w:rFonts w:ascii="Times New Roman" w:eastAsia="Arial Narrow" w:hAnsi="Times New Roman" w:cs="Times New Roman"/>
          <w:b/>
          <w:bCs/>
          <w:kern w:val="0"/>
          <w:sz w:val="24"/>
          <w:szCs w:val="24"/>
          <w:lang w:val="en-IN"/>
          <w14:ligatures w14:val="none"/>
        </w:rPr>
      </w:pPr>
      <w:r>
        <w:rPr>
          <w:rFonts w:ascii="Times New Roman" w:eastAsia="Arial Narrow" w:hAnsi="Times New Roman" w:cs="Times New Roman"/>
          <w:b/>
          <w:bCs/>
          <w:kern w:val="0"/>
          <w:sz w:val="24"/>
          <w:szCs w:val="24"/>
          <w:lang w:val="en-IN"/>
          <w14:ligatures w14:val="none"/>
        </w:rPr>
        <w:t>Awareness and Perception of Eye Donation among the Literate Population: A Cross-Sectional Study</w:t>
      </w:r>
    </w:p>
    <w:p w:rsidR="00DF30C5" w:rsidRDefault="00DF30C5">
      <w:pPr>
        <w:spacing w:line="360" w:lineRule="auto"/>
        <w:jc w:val="center"/>
        <w:rPr>
          <w:rFonts w:ascii="Times New Roman" w:eastAsia="Arial Narrow" w:hAnsi="Times New Roman" w:cs="Times New Roman"/>
          <w:b/>
          <w:bCs/>
          <w:kern w:val="0"/>
          <w:sz w:val="24"/>
          <w:szCs w:val="24"/>
          <w:lang w:val="en-IN"/>
          <w14:ligatures w14:val="none"/>
        </w:rPr>
      </w:pPr>
    </w:p>
    <w:p w:rsidR="00325A50" w:rsidRDefault="00325A50">
      <w:pPr>
        <w:spacing w:line="360" w:lineRule="auto"/>
        <w:jc w:val="center"/>
        <w:rPr>
          <w:rFonts w:ascii="Times New Roman" w:eastAsia="Arial Narrow" w:hAnsi="Times New Roman" w:cs="Times New Roman"/>
          <w:b/>
          <w:bCs/>
          <w:kern w:val="0"/>
          <w:sz w:val="24"/>
          <w:szCs w:val="24"/>
          <w:lang w:val="en-IN"/>
          <w14:ligatures w14:val="none"/>
        </w:rPr>
      </w:pPr>
      <w:bookmarkStart w:id="0" w:name="_GoBack"/>
      <w:bookmarkEnd w:id="0"/>
    </w:p>
    <w:p w:rsidR="00DF30C5" w:rsidRDefault="00503689">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Background:</w:t>
      </w:r>
      <w:r>
        <w:rPr>
          <w:rFonts w:ascii="Times New Roman" w:hAnsi="Times New Roman" w:cs="Times New Roman"/>
          <w:sz w:val="24"/>
          <w:szCs w:val="24"/>
          <w:lang w:val="en-IN"/>
        </w:rPr>
        <w:t xml:space="preserve"> Corneal blindness is a major cause of avoidable visual impairment in India. Eye donation can restore vision, yet awareness and willingness to donate remain inadequate.</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Objective:</w:t>
      </w:r>
      <w:r>
        <w:rPr>
          <w:rFonts w:ascii="Times New Roman" w:hAnsi="Times New Roman" w:cs="Times New Roman"/>
          <w:sz w:val="24"/>
          <w:szCs w:val="24"/>
          <w:lang w:val="en-IN"/>
        </w:rPr>
        <w:t xml:space="preserve"> To assess awareness, perception, and willingness toward eye donation among literate individuals in India.</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Methods:</w:t>
      </w:r>
      <w:r>
        <w:rPr>
          <w:rFonts w:ascii="Times New Roman" w:hAnsi="Times New Roman" w:cs="Times New Roman"/>
          <w:sz w:val="24"/>
          <w:szCs w:val="24"/>
          <w:lang w:val="en-IN"/>
        </w:rPr>
        <w:t xml:space="preserve"> A descriptive cross-sectional survey was conducted among </w:t>
      </w:r>
      <w:r>
        <w:rPr>
          <w:rFonts w:ascii="Times New Roman" w:hAnsi="Times New Roman" w:cs="Times New Roman"/>
          <w:sz w:val="24"/>
          <w:szCs w:val="24"/>
        </w:rPr>
        <w:t>170</w:t>
      </w:r>
      <w:r>
        <w:rPr>
          <w:rFonts w:ascii="Times New Roman" w:hAnsi="Times New Roman" w:cs="Times New Roman"/>
          <w:sz w:val="24"/>
          <w:szCs w:val="24"/>
          <w:lang w:val="en-IN"/>
        </w:rPr>
        <w:t xml:space="preserve"> literate participants aged ≥18 years. Data were collected using a structured self-administered questionnaire assessing awareness, myths, procedural knowledge, and willingness. Descriptive statistics were applied to </w:t>
      </w:r>
      <w:proofErr w:type="spellStart"/>
      <w:r>
        <w:rPr>
          <w:rFonts w:ascii="Times New Roman" w:hAnsi="Times New Roman" w:cs="Times New Roman"/>
          <w:sz w:val="24"/>
          <w:szCs w:val="24"/>
          <w:lang w:val="en-IN"/>
        </w:rPr>
        <w:t>analyze</w:t>
      </w:r>
      <w:proofErr w:type="spellEnd"/>
      <w:r>
        <w:rPr>
          <w:rFonts w:ascii="Times New Roman" w:hAnsi="Times New Roman" w:cs="Times New Roman"/>
          <w:sz w:val="24"/>
          <w:szCs w:val="24"/>
          <w:lang w:val="en-IN"/>
        </w:rPr>
        <w:t xml:space="preserve"> responses.</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Results:</w:t>
      </w:r>
      <w:r>
        <w:rPr>
          <w:rFonts w:ascii="Times New Roman" w:hAnsi="Times New Roman" w:cs="Times New Roman"/>
          <w:sz w:val="24"/>
          <w:szCs w:val="24"/>
          <w:lang w:val="en-IN"/>
        </w:rPr>
        <w:t xml:space="preserve"> Awareness of eye donation was high (92.9%), yet knowledge of procedural details was limited. Only 62.4% correctly identified the cornea as the donated part. While 77.6% knew that eye donation does not disfigure the face, misconceptions persisted regarding living donation (42.3% incorrect) and time limits for retrieval. The majority (87.1%) were aware that family consent is required. Although 70% expressed willingness to donate, only a small proportion had pledged or discussed donation with family.</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Conclusion:</w:t>
      </w:r>
      <w:r>
        <w:rPr>
          <w:rFonts w:ascii="Times New Roman" w:hAnsi="Times New Roman" w:cs="Times New Roman"/>
          <w:sz w:val="24"/>
          <w:szCs w:val="24"/>
          <w:lang w:val="en-IN"/>
        </w:rPr>
        <w:t xml:space="preserve"> The study demonstrates satisfactory awareness but inadequate procedural understanding and limited willingness to pledge eyes. Misconceptions, cultural barriers, and lack of family dialogue remain key deterrents. Educational campaigns emphasizing factual, procedural, and emotional aspects are essential to improve eye donation rates in India.</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Keywords:</w:t>
      </w:r>
      <w:r>
        <w:rPr>
          <w:rFonts w:ascii="Times New Roman" w:hAnsi="Times New Roman" w:cs="Times New Roman"/>
          <w:sz w:val="24"/>
          <w:szCs w:val="24"/>
          <w:lang w:val="en-IN"/>
        </w:rPr>
        <w:t xml:space="preserve"> Eye donation, Awareness, Corneal blindness, Willingness.</w:t>
      </w:r>
    </w:p>
    <w:p w:rsidR="00DF30C5" w:rsidRDefault="00DF30C5">
      <w:pPr>
        <w:spacing w:line="360" w:lineRule="auto"/>
        <w:jc w:val="both"/>
        <w:rPr>
          <w:rFonts w:ascii="Times New Roman" w:hAnsi="Times New Roman" w:cs="Times New Roman"/>
          <w:sz w:val="24"/>
          <w:szCs w:val="24"/>
          <w:lang w:val="en-IN"/>
        </w:rPr>
      </w:pPr>
    </w:p>
    <w:p w:rsidR="00DF30C5" w:rsidRDefault="00503689">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1. Introduction</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Corneal blindness remains a leading cause of visual disability in India, affecting millions across all age groups. Eye donation is the only effective method to restore sight in such cases. Despite awareness campaigns, eye donation rates remain significantly lower than the annual </w:t>
      </w:r>
      <w:r>
        <w:rPr>
          <w:rFonts w:ascii="Times New Roman" w:hAnsi="Times New Roman" w:cs="Times New Roman"/>
          <w:sz w:val="24"/>
          <w:szCs w:val="24"/>
          <w:lang w:val="en-IN"/>
        </w:rPr>
        <w:lastRenderedPageBreak/>
        <w:t xml:space="preserve">requirement of approximately 250,000 corneas, largely due to misconceptions and cultural barriers </w:t>
      </w:r>
      <w:r>
        <w:rPr>
          <w:rFonts w:ascii="Times New Roman" w:hAnsi="Times New Roman" w:cs="Times New Roman"/>
          <w:sz w:val="24"/>
          <w:szCs w:val="24"/>
          <w:vertAlign w:val="superscript"/>
        </w:rPr>
        <w:t>(1)</w:t>
      </w:r>
      <w:r>
        <w:rPr>
          <w:rFonts w:ascii="Times New Roman" w:hAnsi="Times New Roman" w:cs="Times New Roman"/>
          <w:sz w:val="24"/>
          <w:szCs w:val="24"/>
          <w:vertAlign w:val="superscript"/>
          <w:lang w:val="en-IN"/>
        </w:rPr>
        <w:t>.</w:t>
      </w:r>
    </w:p>
    <w:p w:rsidR="00DF30C5" w:rsidRDefault="005036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human eye is an extraordinary organ that plays a vital role in interpreting the world around us. It serves as the window to the world, allowing individuals to experience their surroundings, perform daily activities, and lead independent, productive lives. Among all the senses, vision is regarded as one of the most crucial for quality of life and social participation. However, the loss of vision due to various ocular diseases severely impacts individuals' physical, emotional, and economic well-being (WHO, </w:t>
      </w:r>
      <w:proofErr w:type="gramStart"/>
      <w:r>
        <w:rPr>
          <w:rFonts w:ascii="Times New Roman" w:eastAsia="Times New Roman" w:hAnsi="Times New Roman" w:cs="Times New Roman"/>
          <w:sz w:val="24"/>
          <w:szCs w:val="24"/>
        </w:rPr>
        <w:t>2023)</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rsidR="00DF30C5" w:rsidRDefault="00503689">
      <w:pPr>
        <w:spacing w:line="60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Corneal transplantation, also known as keratoplasty, involves replacing the diseased or damaged cornea with healthy donor tissue from a deceased individual. This surgical procedure has restored sight to millions of people worldwide and continues to be the most effective intervention for treating corneal blindness. However, the success of corneal transplantation heavily depends on the availability of donor corneas (Sharma et al., </w:t>
      </w:r>
      <w:proofErr w:type="gramStart"/>
      <w:r>
        <w:rPr>
          <w:rFonts w:ascii="Times New Roman" w:eastAsia="Times New Roman" w:hAnsi="Times New Roman" w:cs="Times New Roman"/>
          <w:sz w:val="24"/>
          <w:szCs w:val="24"/>
        </w:rPr>
        <w:t>2022)</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p>
    <w:p w:rsidR="00DF30C5" w:rsidRDefault="005036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significant medical advancements and a well-established network of eye banks in India, the demand for corneal tissue far exceeds the supply. It is estimated that to address the backlog of corneal blindness in the country, at least 200,000 corneas need to be collected annually. Unfortunately, only about 50,000 corneas are retrieved each year, creating a substantial gap between the need and the available resources (EBAI, </w:t>
      </w:r>
      <w:proofErr w:type="gramStart"/>
      <w:r>
        <w:rPr>
          <w:rFonts w:ascii="Times New Roman" w:eastAsia="Times New Roman" w:hAnsi="Times New Roman" w:cs="Times New Roman"/>
          <w:sz w:val="24"/>
          <w:szCs w:val="24"/>
        </w:rPr>
        <w:t>2023)</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w:t>
      </w:r>
    </w:p>
    <w:p w:rsidR="00DF30C5" w:rsidRDefault="00503689">
      <w:pPr>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Preventing corneal blindness requires a multifaceted approach. Public health interventions aimed at promoting hygiene, early diagnosis, and timely treatment of corneal infections are essential. Awareness regarding the harmful effects of using unregulated eye products, the importance of protective eyewear in hazardous occupations, and access to affordable eye care services can significantly reduce the burden of corneal blindness (WHO, </w:t>
      </w:r>
      <w:proofErr w:type="gramStart"/>
      <w:r>
        <w:rPr>
          <w:rFonts w:ascii="Times New Roman" w:eastAsia="Times New Roman" w:hAnsi="Times New Roman" w:cs="Times New Roman"/>
          <w:sz w:val="24"/>
          <w:szCs w:val="24"/>
        </w:rPr>
        <w:t>2023)</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5).</w:t>
      </w:r>
    </w:p>
    <w:p w:rsidR="00DF30C5" w:rsidRDefault="005036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literate population, with access to information and the ability to comprehend health messages, can serve as catalysts for change in society. Their positive perception and proactive </w:t>
      </w:r>
      <w:r>
        <w:rPr>
          <w:rFonts w:ascii="Times New Roman" w:eastAsia="Times New Roman" w:hAnsi="Times New Roman" w:cs="Times New Roman"/>
          <w:sz w:val="24"/>
          <w:szCs w:val="24"/>
        </w:rPr>
        <w:lastRenderedPageBreak/>
        <w:t xml:space="preserve">participation in eye donation initiatives can significantly influence others in their communities. Therefore, creating targeted educational programs and fostering positive attitudes towards eye donation among this group can help address the existing gap between the demand and availability of donor corneas (Bharti et al., </w:t>
      </w:r>
      <w:proofErr w:type="gramStart"/>
      <w:r>
        <w:rPr>
          <w:rFonts w:ascii="Times New Roman" w:eastAsia="Times New Roman" w:hAnsi="Times New Roman" w:cs="Times New Roman"/>
          <w:sz w:val="24"/>
          <w:szCs w:val="24"/>
        </w:rPr>
        <w:t>2019)</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w:t>
      </w:r>
    </w:p>
    <w:p w:rsidR="00DF30C5" w:rsidRDefault="00DF30C5">
      <w:pPr>
        <w:spacing w:line="360" w:lineRule="auto"/>
        <w:jc w:val="both"/>
        <w:rPr>
          <w:rFonts w:ascii="Times New Roman" w:eastAsia="Times New Roman" w:hAnsi="Times New Roman" w:cs="Times New Roman"/>
          <w:sz w:val="24"/>
          <w:szCs w:val="24"/>
          <w:lang w:val="en-IN"/>
        </w:rPr>
      </w:pPr>
    </w:p>
    <w:p w:rsidR="00DF30C5" w:rsidRDefault="00503689">
      <w:pPr>
        <w:spacing w:line="60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Corneal transplantation, also known as keratoplasty, involves replacing the diseased or damaged cornea with healthy donor tissue from a deceased individual. This surgical procedure has restored sight to millions of people worldwide and continues to be the most effective intervention for treating corneal blindness. However, the success of corneal transplantation heavily depends on the availability of donor corneas (Sharma et al., </w:t>
      </w:r>
      <w:proofErr w:type="gramStart"/>
      <w:r>
        <w:rPr>
          <w:rFonts w:ascii="Times New Roman" w:eastAsia="Times New Roman" w:hAnsi="Times New Roman" w:cs="Times New Roman"/>
          <w:sz w:val="24"/>
          <w:szCs w:val="24"/>
        </w:rPr>
        <w:t>2022)</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This study assesses awareness and perception of eye donation among literate individuals, aiming to identify knowledge gaps and factors influencing willingness to donate.</w:t>
      </w:r>
    </w:p>
    <w:p w:rsidR="00DF30C5" w:rsidRDefault="00DF30C5">
      <w:pPr>
        <w:spacing w:line="360" w:lineRule="auto"/>
        <w:jc w:val="both"/>
        <w:rPr>
          <w:rFonts w:ascii="Times New Roman" w:hAnsi="Times New Roman" w:cs="Times New Roman"/>
          <w:b/>
          <w:bCs/>
          <w:sz w:val="24"/>
          <w:szCs w:val="24"/>
          <w:lang w:val="en-IN"/>
        </w:rPr>
      </w:pPr>
    </w:p>
    <w:p w:rsidR="00DF30C5" w:rsidRDefault="00503689">
      <w:pPr>
        <w:numPr>
          <w:ilvl w:val="0"/>
          <w:numId w:val="1"/>
        </w:numPr>
        <w:spacing w:line="360" w:lineRule="auto"/>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Materials and Methods</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Study Design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The present study employed a cross-sectional, questionnaire-based survey design to assess the level of awareness, perception, and willingness toward eye donation among literate individuals in Uttar Pradesh, India. A cross-sectional approach was chosen as it allows assessment of knowledge and attitudes at a single point in time, providing a snapshot of the prevailing status of awareness regarding eye donation without the need for follow-up of participants.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Study Setting and Location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 xml:space="preserve">The study was conducted among literate individuals residing in various districts of Uttar Pradesh, India. Uttar Pradesh is one of the most populous states in the country and exhibits wide socio-cultural, economic, and educational diversity. Inclusion of participants from urban, </w:t>
      </w:r>
      <w:r>
        <w:rPr>
          <w:rFonts w:ascii="Times New Roman" w:hAnsi="Times New Roman"/>
          <w:sz w:val="24"/>
          <w:szCs w:val="24"/>
          <w:lang w:val="en-IN"/>
        </w:rPr>
        <w:lastRenderedPageBreak/>
        <w:t>semi-urban, and rural areas ensured representation of diverse backgrounds and enhanced the generalizability of the findings to the broader literate population of the state.</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Study Population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The study population comprised literate adults aged 18 years and above who were permanent residents of Uttar Pradesh. Literate individuals were selected to ensure adequate comprehension of the self-administered questionnaire and reliable responses to knowledge-based questions.</w:t>
      </w: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Sampling Technique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A simple random sampling technique was used to select participants from the target population. This method ensured that every eligible literate individual above 18 years of age had an equal probability of being included in the study, thereby minimizing selection bias. Randomization was performed using a computer-generated random number table after preparing a list of potential participants from different districts.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Sample Size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A total of</w:t>
      </w:r>
      <w:r>
        <w:rPr>
          <w:rFonts w:ascii="Times New Roman" w:hAnsi="Times New Roman"/>
          <w:sz w:val="24"/>
          <w:szCs w:val="24"/>
        </w:rPr>
        <w:t xml:space="preserve"> </w:t>
      </w:r>
      <w:proofErr w:type="gramStart"/>
      <w:r>
        <w:rPr>
          <w:rFonts w:ascii="Times New Roman" w:hAnsi="Times New Roman"/>
          <w:sz w:val="24"/>
          <w:szCs w:val="24"/>
        </w:rPr>
        <w:t xml:space="preserve">170 </w:t>
      </w:r>
      <w:r>
        <w:rPr>
          <w:rFonts w:ascii="Times New Roman" w:hAnsi="Times New Roman"/>
          <w:sz w:val="24"/>
          <w:szCs w:val="24"/>
          <w:lang w:val="en-IN"/>
        </w:rPr>
        <w:t xml:space="preserve"> participants</w:t>
      </w:r>
      <w:proofErr w:type="gramEnd"/>
      <w:r>
        <w:rPr>
          <w:rFonts w:ascii="Times New Roman" w:hAnsi="Times New Roman"/>
          <w:sz w:val="24"/>
          <w:szCs w:val="24"/>
          <w:lang w:val="en-IN"/>
        </w:rPr>
        <w:t xml:space="preserve"> were included in the study. The sample size was determined based on feasibility, availability of participants, and time constraints. Although modest, the sample size was considered sufficient to provide meaningful preliminary insights into awareness, perceptions, and willingness toward eye donation among the literate population.</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Eligibility Criteria</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Inclusion Criteria</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Individuals aged 18 years and above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Participants of all genders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Literate individuals who were able to read and write in any recognized language</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lastRenderedPageBreak/>
        <w:t>Exclusion Criteria</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Individuals below 18 years of age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Medical professionals, including doctors, optometrists, and other eye-care personnel, to avoid bias due to prior specialized knowledge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Illiterate individuals, as the questionnaire required reading comprehension</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Study Tool</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Questionnaire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Data were collected using a structured and pre-validated questionnaire designed to assess knowledge, awareness, perception, and willingness toward eye donation. The questionnaire comprised both closed-ended and multiple-choice questions and was divided into the following sections: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Socio-demographic details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Awareness and knowledge regarding eye donation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Attitudes and perceptions toward eye donation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Willingness to donate eyes and perceived barriers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The questionnaire was developed using simple and clear language to ensure ease of understanding. It was made available in both paper-based and digital formats to improve accessibility and participation.</w:t>
      </w: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Data Collection Instruments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Laptop: Used for digital data entry, storage, and preliminary analysis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Mobile Phone: Used to contact participants and circulate the questionnaire via digital platforms such as Google Forms, WhatsApp, and email. Mobile communication was also utilized to clarify participant queries and ensure completeness of responses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lastRenderedPageBreak/>
        <w:t>Data Collection Procedure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Prior to data collection, the questionnaire was pre-tested through a pilot study on a small group of individuals to assess clarity, relevance, and time required for completion. Necessary modifications were made based on feedback.</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Participants were selected randomly from different districts of Uttar Pradesh. The purpose of the study was explained, and informed consent was obtained from all participants before administering the questionnaire. The questionnaire was either self-administered in printed</w:t>
      </w:r>
      <w:r>
        <w:rPr>
          <w:rFonts w:ascii="Times New Roman" w:hAnsi="Times New Roman"/>
          <w:sz w:val="24"/>
          <w:szCs w:val="24"/>
        </w:rPr>
        <w:t xml:space="preserve"> </w:t>
      </w:r>
      <w:r>
        <w:rPr>
          <w:rFonts w:ascii="Times New Roman" w:hAnsi="Times New Roman"/>
          <w:sz w:val="24"/>
          <w:szCs w:val="24"/>
          <w:lang w:val="en-IN"/>
        </w:rPr>
        <w:t>form or sent electronically through email or messaging applications. Participants were given adequate time to complete the questionnaire.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Follow-up was conducted via mobile phone to address incomplete responses or clarify ambiguous answers. Completed questionnaires were reviewed for completeness and accuracy before data entry.</w:t>
      </w:r>
    </w:p>
    <w:p w:rsidR="00DF30C5" w:rsidRDefault="00DF30C5">
      <w:pPr>
        <w:spacing w:line="360" w:lineRule="auto"/>
        <w:jc w:val="both"/>
        <w:rPr>
          <w:rFonts w:ascii="Times New Roman" w:hAnsi="Times New Roman"/>
          <w:sz w:val="24"/>
          <w:szCs w:val="24"/>
          <w:lang w:val="en-IN"/>
        </w:rPr>
      </w:pPr>
    </w:p>
    <w:p w:rsidR="00DF30C5" w:rsidRDefault="00DF30C5">
      <w:pPr>
        <w:spacing w:line="360" w:lineRule="auto"/>
        <w:jc w:val="both"/>
        <w:rPr>
          <w:rFonts w:ascii="Times New Roman" w:hAnsi="Times New Roman"/>
          <w:b/>
          <w:bCs/>
          <w:sz w:val="24"/>
          <w:szCs w:val="24"/>
          <w:lang w:val="en-IN"/>
        </w:rPr>
      </w:pPr>
    </w:p>
    <w:p w:rsidR="00DF30C5" w:rsidRDefault="00DF30C5">
      <w:pPr>
        <w:spacing w:line="360" w:lineRule="auto"/>
        <w:jc w:val="both"/>
        <w:rPr>
          <w:rFonts w:ascii="Times New Roman" w:hAnsi="Times New Roman"/>
          <w:b/>
          <w:bCs/>
          <w:sz w:val="24"/>
          <w:szCs w:val="24"/>
          <w:lang w:val="en-IN"/>
        </w:rPr>
      </w:pP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Data Management and Analysis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Collected data were entered systematically into Microsoft Excel and checked for consistency and errors. Data analysis was performed using descriptive statistical methods. Frequencies and percentages were calculated to summarize socio-demographic variables, levels of awareness, perceptions, misconceptions, and willingness toward eye donation.</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Ethical Considerations</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sz w:val="24"/>
          <w:szCs w:val="24"/>
          <w:lang w:val="en-IN"/>
        </w:rPr>
        <w:t>The study was conducted in accordance with accepted ethical principles. Participation was entirely voluntary, and participants were informed of their right to withdraw at any time without any consequences. Informed consent was obtained from all participants prior to data collection. Confidentiality and anonymity were strictly maintained, and no personal identifiers were included in the data analysis or final report.</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Ethical approval was obtained from the Departmental Research Committee, </w:t>
      </w:r>
      <w:proofErr w:type="spellStart"/>
      <w:r>
        <w:rPr>
          <w:rFonts w:ascii="Times New Roman" w:hAnsi="Times New Roman" w:cs="Times New Roman"/>
          <w:sz w:val="24"/>
          <w:szCs w:val="24"/>
          <w:lang w:val="en-IN"/>
        </w:rPr>
        <w:t>Galgotias</w:t>
      </w:r>
      <w:proofErr w:type="spellEnd"/>
      <w:r>
        <w:rPr>
          <w:rFonts w:ascii="Times New Roman" w:hAnsi="Times New Roman" w:cs="Times New Roman"/>
          <w:sz w:val="24"/>
          <w:szCs w:val="24"/>
          <w:lang w:val="en-IN"/>
        </w:rPr>
        <w:t xml:space="preserve"> University.</w:t>
      </w:r>
    </w:p>
    <w:p w:rsidR="00DF30C5" w:rsidRDefault="00DF30C5">
      <w:pPr>
        <w:spacing w:line="360" w:lineRule="auto"/>
        <w:jc w:val="both"/>
        <w:rPr>
          <w:rFonts w:ascii="Times New Roman" w:hAnsi="Times New Roman" w:cs="Times New Roman"/>
          <w:b/>
          <w:bCs/>
          <w:sz w:val="24"/>
          <w:szCs w:val="24"/>
          <w:lang w:val="en-IN"/>
        </w:rPr>
      </w:pPr>
    </w:p>
    <w:p w:rsidR="00DF30C5" w:rsidRDefault="00DF30C5">
      <w:pPr>
        <w:spacing w:line="360" w:lineRule="auto"/>
        <w:jc w:val="both"/>
        <w:rPr>
          <w:rFonts w:ascii="Times New Roman" w:hAnsi="Times New Roman" w:cs="Times New Roman"/>
          <w:b/>
          <w:bCs/>
          <w:sz w:val="24"/>
          <w:szCs w:val="24"/>
          <w:lang w:val="en-IN"/>
        </w:rPr>
      </w:pPr>
    </w:p>
    <w:p w:rsidR="00DF30C5" w:rsidRDefault="00503689">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 Results</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 total of </w:t>
      </w:r>
      <w:r>
        <w:rPr>
          <w:rFonts w:ascii="Times New Roman" w:hAnsi="Times New Roman" w:cs="Times New Roman"/>
          <w:sz w:val="24"/>
          <w:szCs w:val="24"/>
        </w:rPr>
        <w:t>170</w:t>
      </w:r>
      <w:r>
        <w:rPr>
          <w:rFonts w:ascii="Times New Roman" w:hAnsi="Times New Roman" w:cs="Times New Roman"/>
          <w:sz w:val="24"/>
          <w:szCs w:val="24"/>
          <w:lang w:val="en-IN"/>
        </w:rPr>
        <w:t xml:space="preserve"> literate individuals participated in the study. The findings indicated a generally high level of awareness but persistent misconceptions in certain areas.</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When asked whether a living person can donate eyes, </w:t>
      </w:r>
      <w:r>
        <w:rPr>
          <w:rFonts w:ascii="Times New Roman" w:hAnsi="Times New Roman" w:cs="Times New Roman"/>
          <w:sz w:val="24"/>
          <w:szCs w:val="24"/>
        </w:rPr>
        <w:t>72</w:t>
      </w:r>
      <w:r>
        <w:rPr>
          <w:rFonts w:ascii="Times New Roman" w:hAnsi="Times New Roman" w:cs="Times New Roman"/>
          <w:sz w:val="24"/>
          <w:szCs w:val="24"/>
          <w:lang w:val="en-IN"/>
        </w:rPr>
        <w:t xml:space="preserve"> participants (42.3%) incorrectly answered “Yes,” while </w:t>
      </w:r>
      <w:r>
        <w:rPr>
          <w:rFonts w:ascii="Times New Roman" w:hAnsi="Times New Roman" w:cs="Times New Roman"/>
          <w:sz w:val="24"/>
          <w:szCs w:val="24"/>
        </w:rPr>
        <w:t xml:space="preserve">158 </w:t>
      </w:r>
      <w:r>
        <w:rPr>
          <w:rFonts w:ascii="Times New Roman" w:hAnsi="Times New Roman" w:cs="Times New Roman"/>
          <w:sz w:val="24"/>
          <w:szCs w:val="24"/>
          <w:lang w:val="en-IN"/>
        </w:rPr>
        <w:t xml:space="preserve">(57.7%) correctly responded “No.” Regarding disfigurement, </w:t>
      </w:r>
      <w:r>
        <w:rPr>
          <w:rFonts w:ascii="Times New Roman" w:hAnsi="Times New Roman" w:cs="Times New Roman"/>
          <w:sz w:val="24"/>
          <w:szCs w:val="24"/>
        </w:rPr>
        <w:t xml:space="preserve">132 </w:t>
      </w:r>
      <w:r>
        <w:rPr>
          <w:rFonts w:ascii="Times New Roman" w:hAnsi="Times New Roman" w:cs="Times New Roman"/>
          <w:sz w:val="24"/>
          <w:szCs w:val="24"/>
          <w:lang w:val="en-IN"/>
        </w:rPr>
        <w:t xml:space="preserve">respondents (77.6%) knew that eye donation does not cause facial disfigurement, though </w:t>
      </w:r>
      <w:r>
        <w:rPr>
          <w:rFonts w:ascii="Times New Roman" w:hAnsi="Times New Roman" w:cs="Times New Roman"/>
          <w:sz w:val="24"/>
          <w:szCs w:val="24"/>
        </w:rPr>
        <w:t xml:space="preserve">38 </w:t>
      </w:r>
      <w:r>
        <w:rPr>
          <w:rFonts w:ascii="Times New Roman" w:hAnsi="Times New Roman" w:cs="Times New Roman"/>
          <w:sz w:val="24"/>
          <w:szCs w:val="24"/>
          <w:lang w:val="en-IN"/>
        </w:rPr>
        <w:t>participants (22.4%) were either unsure or misinformed.</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 response to whether there is an age limit for eye donation, </w:t>
      </w:r>
      <w:r>
        <w:rPr>
          <w:rFonts w:ascii="Times New Roman" w:hAnsi="Times New Roman" w:cs="Times New Roman"/>
          <w:sz w:val="24"/>
          <w:szCs w:val="24"/>
        </w:rPr>
        <w:t xml:space="preserve">108 </w:t>
      </w:r>
      <w:r>
        <w:rPr>
          <w:rFonts w:ascii="Times New Roman" w:hAnsi="Times New Roman" w:cs="Times New Roman"/>
          <w:sz w:val="24"/>
          <w:szCs w:val="24"/>
          <w:lang w:val="en-IN"/>
        </w:rPr>
        <w:t xml:space="preserve">(63.5%) correctly stated that there is no limit, while </w:t>
      </w:r>
      <w:r>
        <w:rPr>
          <w:rFonts w:ascii="Times New Roman" w:hAnsi="Times New Roman" w:cs="Times New Roman"/>
          <w:sz w:val="24"/>
          <w:szCs w:val="24"/>
        </w:rPr>
        <w:t xml:space="preserve">44 </w:t>
      </w:r>
      <w:r>
        <w:rPr>
          <w:rFonts w:ascii="Times New Roman" w:hAnsi="Times New Roman" w:cs="Times New Roman"/>
          <w:sz w:val="24"/>
          <w:szCs w:val="24"/>
          <w:lang w:val="en-IN"/>
        </w:rPr>
        <w:t xml:space="preserve">(25.9%) believed otherwise. Awareness about home retrieval was moderate: </w:t>
      </w:r>
      <w:r>
        <w:rPr>
          <w:rFonts w:ascii="Times New Roman" w:hAnsi="Times New Roman" w:cs="Times New Roman"/>
          <w:sz w:val="24"/>
          <w:szCs w:val="24"/>
        </w:rPr>
        <w:t xml:space="preserve">72 </w:t>
      </w:r>
      <w:r>
        <w:rPr>
          <w:rFonts w:ascii="Times New Roman" w:hAnsi="Times New Roman" w:cs="Times New Roman"/>
          <w:sz w:val="24"/>
          <w:szCs w:val="24"/>
          <w:lang w:val="en-IN"/>
        </w:rPr>
        <w:t>participants (42.4%) correctly stated that eyes can be removed at the donor’s home by trained personnel.</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Knowledge about the critical time for retrieval was low, with few participants aware that eyes must be removed within 4–6 hours post-mortem. However, </w:t>
      </w:r>
      <w:r>
        <w:rPr>
          <w:rFonts w:ascii="Times New Roman" w:hAnsi="Times New Roman" w:cs="Times New Roman"/>
          <w:sz w:val="24"/>
          <w:szCs w:val="24"/>
        </w:rPr>
        <w:t xml:space="preserve">148 </w:t>
      </w:r>
      <w:r>
        <w:rPr>
          <w:rFonts w:ascii="Times New Roman" w:hAnsi="Times New Roman" w:cs="Times New Roman"/>
          <w:sz w:val="24"/>
          <w:szCs w:val="24"/>
          <w:lang w:val="en-IN"/>
        </w:rPr>
        <w:t>respondents (87.1%) correctly recognized that consent from a first-degree relative is required before eye removal, demonstrating good awareness of legal and ethical aspects.</w:t>
      </w:r>
    </w:p>
    <w:p w:rsidR="00DF30C5" w:rsidRDefault="00503689">
      <w:pPr>
        <w:spacing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Table 1. Awareness and Perception Regarding Eye Donation (n = 85)</w:t>
      </w:r>
    </w:p>
    <w:tbl>
      <w:tblPr>
        <w:tblStyle w:val="TableGrid"/>
        <w:tblW w:w="9180" w:type="dxa"/>
        <w:tblInd w:w="-5" w:type="dxa"/>
        <w:tblLook w:val="04A0" w:firstRow="1" w:lastRow="0" w:firstColumn="1" w:lastColumn="0" w:noHBand="0" w:noVBand="1"/>
      </w:tblPr>
      <w:tblGrid>
        <w:gridCol w:w="3874"/>
        <w:gridCol w:w="2696"/>
        <w:gridCol w:w="2610"/>
      </w:tblGrid>
      <w:tr w:rsidR="00DF30C5">
        <w:trPr>
          <w:trHeight w:val="20"/>
        </w:trPr>
        <w:tc>
          <w:tcPr>
            <w:tcW w:w="3874" w:type="dxa"/>
            <w:vAlign w:val="center"/>
          </w:tcPr>
          <w:p w:rsidR="00DF30C5" w:rsidRDefault="00503689">
            <w:pPr>
              <w:spacing w:after="0" w:line="360" w:lineRule="auto"/>
              <w:rPr>
                <w:rFonts w:ascii="Times New Roman" w:hAnsi="Times New Roman" w:cs="Times New Roman"/>
                <w:b/>
                <w:bCs/>
                <w:lang w:val="en-IN"/>
              </w:rPr>
            </w:pPr>
            <w:r>
              <w:rPr>
                <w:rFonts w:ascii="Times New Roman" w:hAnsi="Times New Roman" w:cs="Times New Roman"/>
                <w:b/>
                <w:bCs/>
                <w:lang w:val="en-IN"/>
              </w:rPr>
              <w:t>Parameter</w:t>
            </w:r>
          </w:p>
        </w:tc>
        <w:tc>
          <w:tcPr>
            <w:tcW w:w="2696" w:type="dxa"/>
            <w:vAlign w:val="center"/>
          </w:tcPr>
          <w:p w:rsidR="00DF30C5" w:rsidRDefault="00503689">
            <w:pPr>
              <w:spacing w:after="0" w:line="360" w:lineRule="auto"/>
              <w:rPr>
                <w:rFonts w:ascii="Times New Roman" w:hAnsi="Times New Roman" w:cs="Times New Roman"/>
                <w:b/>
                <w:bCs/>
                <w:lang w:val="en-IN"/>
              </w:rPr>
            </w:pPr>
            <w:r>
              <w:rPr>
                <w:rFonts w:ascii="Times New Roman" w:hAnsi="Times New Roman" w:cs="Times New Roman"/>
                <w:b/>
                <w:bCs/>
                <w:lang w:val="en-IN"/>
              </w:rPr>
              <w:t>Correct Response (n, %)</w:t>
            </w:r>
          </w:p>
        </w:tc>
        <w:tc>
          <w:tcPr>
            <w:tcW w:w="2610" w:type="dxa"/>
            <w:vAlign w:val="center"/>
          </w:tcPr>
          <w:p w:rsidR="00DF30C5" w:rsidRDefault="00503689">
            <w:pPr>
              <w:spacing w:after="0" w:line="360" w:lineRule="auto"/>
              <w:rPr>
                <w:rFonts w:ascii="Times New Roman" w:hAnsi="Times New Roman" w:cs="Times New Roman"/>
                <w:b/>
                <w:bCs/>
                <w:lang w:val="en-IN"/>
              </w:rPr>
            </w:pPr>
            <w:r>
              <w:rPr>
                <w:rFonts w:ascii="Times New Roman" w:hAnsi="Times New Roman" w:cs="Times New Roman"/>
                <w:b/>
                <w:bCs/>
                <w:lang w:val="en-IN"/>
              </w:rPr>
              <w:t>Incorrect/Unsure (n, %)</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Heard about eye donation</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158 </w:t>
            </w:r>
            <w:r>
              <w:rPr>
                <w:rFonts w:ascii="Times New Roman" w:hAnsi="Times New Roman" w:cs="Times New Roman"/>
                <w:lang w:val="en-IN"/>
              </w:rPr>
              <w:t>(92.9%)</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12 </w:t>
            </w:r>
            <w:r>
              <w:rPr>
                <w:rFonts w:ascii="Times New Roman" w:hAnsi="Times New Roman" w:cs="Times New Roman"/>
                <w:lang w:val="en-IN"/>
              </w:rPr>
              <w:t>(7.1%)</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Eye donation possible from living person</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98 </w:t>
            </w:r>
            <w:r>
              <w:rPr>
                <w:rFonts w:ascii="Times New Roman" w:hAnsi="Times New Roman" w:cs="Times New Roman"/>
                <w:lang w:val="en-IN"/>
              </w:rPr>
              <w:t>(57.7%)</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72 </w:t>
            </w:r>
            <w:r>
              <w:rPr>
                <w:rFonts w:ascii="Times New Roman" w:hAnsi="Times New Roman" w:cs="Times New Roman"/>
                <w:lang w:val="en-IN"/>
              </w:rPr>
              <w:t>(42.3%)</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Eye donation disfigures face</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132 </w:t>
            </w:r>
            <w:r>
              <w:rPr>
                <w:rFonts w:ascii="Times New Roman" w:hAnsi="Times New Roman" w:cs="Times New Roman"/>
                <w:lang w:val="en-IN"/>
              </w:rPr>
              <w:t>(77.6%)</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38 </w:t>
            </w:r>
            <w:r>
              <w:rPr>
                <w:rFonts w:ascii="Times New Roman" w:hAnsi="Times New Roman" w:cs="Times New Roman"/>
                <w:lang w:val="en-IN"/>
              </w:rPr>
              <w:t>(22.4%)</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Age limit for donation</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108 </w:t>
            </w:r>
            <w:r>
              <w:rPr>
                <w:rFonts w:ascii="Times New Roman" w:hAnsi="Times New Roman" w:cs="Times New Roman"/>
                <w:lang w:val="en-IN"/>
              </w:rPr>
              <w:t>(63.5%)</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62 </w:t>
            </w:r>
            <w:r>
              <w:rPr>
                <w:rFonts w:ascii="Times New Roman" w:hAnsi="Times New Roman" w:cs="Times New Roman"/>
                <w:lang w:val="en-IN"/>
              </w:rPr>
              <w:t>(36.5%)</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Eyes can be removed at home</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72 </w:t>
            </w:r>
            <w:r>
              <w:rPr>
                <w:rFonts w:ascii="Times New Roman" w:hAnsi="Times New Roman" w:cs="Times New Roman"/>
                <w:lang w:val="en-IN"/>
              </w:rPr>
              <w:t>(42.4%)</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98 </w:t>
            </w:r>
            <w:r>
              <w:rPr>
                <w:rFonts w:ascii="Times New Roman" w:hAnsi="Times New Roman" w:cs="Times New Roman"/>
                <w:lang w:val="en-IN"/>
              </w:rPr>
              <w:t>(57.6%)</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Consent from family required</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148 </w:t>
            </w:r>
            <w:r>
              <w:rPr>
                <w:rFonts w:ascii="Times New Roman" w:hAnsi="Times New Roman" w:cs="Times New Roman"/>
                <w:lang w:val="en-IN"/>
              </w:rPr>
              <w:t>(87.1%)</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22 </w:t>
            </w:r>
            <w:r>
              <w:rPr>
                <w:rFonts w:ascii="Times New Roman" w:hAnsi="Times New Roman" w:cs="Times New Roman"/>
                <w:lang w:val="en-IN"/>
              </w:rPr>
              <w:t>(12.9%)</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Willing to donate eyes</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120 </w:t>
            </w:r>
            <w:r>
              <w:rPr>
                <w:rFonts w:ascii="Times New Roman" w:hAnsi="Times New Roman" w:cs="Times New Roman"/>
                <w:lang w:val="en-IN"/>
              </w:rPr>
              <w:t>(70.6%)</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50 </w:t>
            </w:r>
            <w:r>
              <w:rPr>
                <w:rFonts w:ascii="Times New Roman" w:hAnsi="Times New Roman" w:cs="Times New Roman"/>
                <w:lang w:val="en-IN"/>
              </w:rPr>
              <w:t>(29.4%)</w:t>
            </w:r>
          </w:p>
        </w:tc>
      </w:tr>
    </w:tbl>
    <w:p w:rsidR="00DF30C5" w:rsidRDefault="00DF30C5">
      <w:pPr>
        <w:spacing w:line="360" w:lineRule="auto"/>
        <w:jc w:val="both"/>
        <w:rPr>
          <w:rFonts w:ascii="Times New Roman" w:hAnsi="Times New Roman" w:cs="Times New Roman"/>
          <w:sz w:val="24"/>
          <w:szCs w:val="24"/>
          <w:lang w:val="en-IN"/>
        </w:rPr>
      </w:pP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study revealed the following trends among literate participants:</w:t>
      </w:r>
    </w:p>
    <w:p w:rsidR="00DF30C5" w:rsidRDefault="00503689">
      <w:pPr>
        <w:numPr>
          <w:ilvl w:val="0"/>
          <w:numId w:val="2"/>
        </w:num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General awareness about eye donation was moderate to high.</w:t>
      </w:r>
    </w:p>
    <w:p w:rsidR="00DF30C5" w:rsidRDefault="00503689">
      <w:pPr>
        <w:numPr>
          <w:ilvl w:val="0"/>
          <w:numId w:val="2"/>
        </w:num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Significant gaps existed in procedural knowledge, including eligibility criteria and timing of retrieval.</w:t>
      </w:r>
    </w:p>
    <w:p w:rsidR="00DF30C5" w:rsidRDefault="00503689">
      <w:pPr>
        <w:numPr>
          <w:ilvl w:val="0"/>
          <w:numId w:val="2"/>
        </w:num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Misconceptions regarding living donation and logistical concerns persisted.</w:t>
      </w:r>
    </w:p>
    <w:p w:rsidR="00DF30C5" w:rsidRDefault="00503689">
      <w:pPr>
        <w:numPr>
          <w:ilvl w:val="0"/>
          <w:numId w:val="2"/>
        </w:num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Legal awareness, particularly regarding the need for family consent, was strong.</w:t>
      </w:r>
    </w:p>
    <w:p w:rsidR="00DF30C5" w:rsidRDefault="00503689">
      <w:pPr>
        <w:numPr>
          <w:ilvl w:val="0"/>
          <w:numId w:val="2"/>
        </w:num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Willingness to donate was moderate, often limited by emotional and cultural hesitancy.</w:t>
      </w:r>
    </w:p>
    <w:p w:rsidR="00DF30C5" w:rsidRDefault="00503689">
      <w:pPr>
        <w:spacing w:after="0" w:line="360" w:lineRule="auto"/>
        <w:jc w:val="center"/>
        <w:rPr>
          <w:rFonts w:ascii="Times New Roman" w:hAnsi="Times New Roman" w:cs="Times New Roman"/>
          <w:b/>
          <w:bCs/>
          <w:sz w:val="24"/>
          <w:szCs w:val="24"/>
          <w:lang w:val="en-IN"/>
        </w:rPr>
      </w:pPr>
      <w:r>
        <w:rPr>
          <w:noProof/>
        </w:rPr>
        <w:drawing>
          <wp:inline distT="0" distB="0" distL="0" distR="0">
            <wp:extent cx="5467350" cy="2268855"/>
            <wp:effectExtent l="0" t="0" r="0" b="17145"/>
            <wp:docPr id="20484554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F30C5" w:rsidRDefault="00503689">
      <w:pPr>
        <w:spacing w:after="0" w:line="240" w:lineRule="auto"/>
        <w:jc w:val="both"/>
        <w:rPr>
          <w:i/>
          <w:iCs/>
          <w:lang w:val="en-IN"/>
        </w:rPr>
      </w:pPr>
      <w:r>
        <w:rPr>
          <w:rFonts w:ascii="Times New Roman" w:hAnsi="Times New Roman" w:cs="Times New Roman"/>
          <w:b/>
          <w:bCs/>
          <w:sz w:val="24"/>
          <w:szCs w:val="24"/>
          <w:lang w:val="en-IN"/>
        </w:rPr>
        <w:t>Figure 1. Awareness and willingness toward eye donation among participants</w:t>
      </w:r>
      <w:r>
        <w:rPr>
          <w:rFonts w:ascii="Times New Roman" w:hAnsi="Times New Roman" w:cs="Times New Roman"/>
          <w:sz w:val="24"/>
          <w:szCs w:val="24"/>
          <w:lang w:val="en-IN"/>
        </w:rPr>
        <w:br/>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Bar chart illustrating the percentage of participants aware of eye donation, correct knowledge of corneal donation, belief regarding disfigurement, legal consent awareness, and willingness to donate.</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Most participants were aware of eye donation; however, knowledge regarding procedural aspects—such as the critical retrieval window of 4–6 hours post-mortem—was low. While willingness to donate was moderate, few participants had taken proactive steps to pledge their eyes or discuss donation with family members, highlighting a gap between awareness and actionable commitment.</w:t>
      </w:r>
    </w:p>
    <w:p w:rsidR="00DF30C5" w:rsidRDefault="00DF30C5">
      <w:pPr>
        <w:spacing w:line="360" w:lineRule="auto"/>
        <w:jc w:val="both"/>
        <w:rPr>
          <w:rFonts w:ascii="Times New Roman" w:hAnsi="Times New Roman" w:cs="Times New Roman"/>
          <w:sz w:val="24"/>
          <w:szCs w:val="24"/>
          <w:lang w:val="en-IN"/>
        </w:rPr>
      </w:pPr>
    </w:p>
    <w:p w:rsidR="00DF30C5" w:rsidRDefault="00503689">
      <w:pPr>
        <w:numPr>
          <w:ilvl w:val="0"/>
          <w:numId w:val="1"/>
        </w:numPr>
        <w:spacing w:line="360" w:lineRule="auto"/>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Discussion</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Awareness and Knowledge Regarding Eye Donation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In the present study, 92.9% of respondents were aware that eyes can be donated. This finding is comparable to the results reported by Sharma et al. (</w:t>
      </w:r>
      <w:proofErr w:type="gramStart"/>
      <w:r>
        <w:rPr>
          <w:rFonts w:ascii="Times New Roman" w:hAnsi="Times New Roman"/>
          <w:sz w:val="24"/>
          <w:szCs w:val="24"/>
          <w:lang w:val="en-IN"/>
        </w:rPr>
        <w:t>2023)</w:t>
      </w:r>
      <w:r>
        <w:rPr>
          <w:rFonts w:ascii="Times New Roman" w:hAnsi="Times New Roman"/>
          <w:sz w:val="24"/>
          <w:szCs w:val="24"/>
          <w:vertAlign w:val="superscript"/>
        </w:rPr>
        <w:t>(</w:t>
      </w:r>
      <w:proofErr w:type="gramEnd"/>
      <w:r>
        <w:rPr>
          <w:rFonts w:ascii="Times New Roman" w:hAnsi="Times New Roman"/>
          <w:sz w:val="24"/>
          <w:szCs w:val="24"/>
          <w:vertAlign w:val="superscript"/>
        </w:rPr>
        <w:t>7)</w:t>
      </w:r>
      <w:r>
        <w:rPr>
          <w:rFonts w:ascii="Times New Roman" w:hAnsi="Times New Roman"/>
          <w:sz w:val="24"/>
          <w:szCs w:val="24"/>
          <w:vertAlign w:val="superscript"/>
          <w:lang w:val="en-IN"/>
        </w:rPr>
        <w:t xml:space="preserve"> </w:t>
      </w:r>
      <w:r>
        <w:rPr>
          <w:rFonts w:ascii="Times New Roman" w:hAnsi="Times New Roman"/>
          <w:sz w:val="24"/>
          <w:szCs w:val="24"/>
          <w:lang w:val="en-IN"/>
        </w:rPr>
        <w:t xml:space="preserve">where 88.7% of college students </w:t>
      </w:r>
      <w:r>
        <w:rPr>
          <w:rFonts w:ascii="Times New Roman" w:hAnsi="Times New Roman"/>
          <w:sz w:val="24"/>
          <w:szCs w:val="24"/>
          <w:lang w:val="en-IN"/>
        </w:rPr>
        <w:lastRenderedPageBreak/>
        <w:t>in Delhi were aware of eye donation. Similar results were noted by Singh et al. (</w:t>
      </w:r>
      <w:proofErr w:type="gramStart"/>
      <w:r>
        <w:rPr>
          <w:rFonts w:ascii="Times New Roman" w:hAnsi="Times New Roman"/>
          <w:sz w:val="24"/>
          <w:szCs w:val="24"/>
          <w:lang w:val="en-IN"/>
        </w:rPr>
        <w:t>2024)</w:t>
      </w:r>
      <w:r>
        <w:rPr>
          <w:rFonts w:ascii="Times New Roman" w:hAnsi="Times New Roman"/>
          <w:sz w:val="24"/>
          <w:szCs w:val="24"/>
          <w:vertAlign w:val="superscript"/>
        </w:rPr>
        <w:t>(</w:t>
      </w:r>
      <w:proofErr w:type="gramEnd"/>
      <w:r>
        <w:rPr>
          <w:rFonts w:ascii="Times New Roman" w:hAnsi="Times New Roman"/>
          <w:sz w:val="24"/>
          <w:szCs w:val="24"/>
          <w:vertAlign w:val="superscript"/>
        </w:rPr>
        <w:t>8)</w:t>
      </w:r>
      <w:r>
        <w:rPr>
          <w:rFonts w:ascii="Times New Roman" w:hAnsi="Times New Roman"/>
          <w:sz w:val="24"/>
          <w:szCs w:val="24"/>
          <w:lang w:val="en-IN"/>
        </w:rPr>
        <w:t xml:space="preserve"> in Uttar Pradesh, who reported 90.2% awareness among educated adults. These findings suggest that general awareness about eye donation is reasonably high among literate populations across different regions of India.</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However, despite high awareness, detailed knowledge was limited. Only 62.4% of participants correctly identified the cornea as the part removed from the donor eye. This is consistent with the findings of Kumar et al. (</w:t>
      </w:r>
      <w:proofErr w:type="gramStart"/>
      <w:r>
        <w:rPr>
          <w:rFonts w:ascii="Times New Roman" w:hAnsi="Times New Roman"/>
          <w:sz w:val="24"/>
          <w:szCs w:val="24"/>
          <w:lang w:val="en-IN"/>
        </w:rPr>
        <w:t>2022)</w:t>
      </w:r>
      <w:r>
        <w:rPr>
          <w:rFonts w:ascii="Times New Roman" w:hAnsi="Times New Roman"/>
          <w:sz w:val="24"/>
          <w:szCs w:val="24"/>
          <w:vertAlign w:val="superscript"/>
        </w:rPr>
        <w:t>(</w:t>
      </w:r>
      <w:proofErr w:type="gramEnd"/>
      <w:r>
        <w:rPr>
          <w:rFonts w:ascii="Times New Roman" w:hAnsi="Times New Roman"/>
          <w:sz w:val="24"/>
          <w:szCs w:val="24"/>
          <w:vertAlign w:val="superscript"/>
        </w:rPr>
        <w:t>9)</w:t>
      </w:r>
      <w:r>
        <w:rPr>
          <w:rFonts w:ascii="Times New Roman" w:hAnsi="Times New Roman"/>
          <w:sz w:val="24"/>
          <w:szCs w:val="24"/>
          <w:lang w:val="en-IN"/>
        </w:rPr>
        <w:t xml:space="preserve"> where only 58% correctly identified the cornea as the transplantable tissue. In the current study, 14.1% of respondents incorrectly believed that the whole eye is removed, while 16.5% admitted that they did not know, highlighting persistent knowledge gaps and the need for targeted educational interventions.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Knowledge Regarding Timing of Eye Retrieval</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The majority of participants (57.6%) correctly stated that eyes should ideally be removed within 6 hours after death, which aligns with scientific recommendations and NPCB guidelines (</w:t>
      </w:r>
      <w:proofErr w:type="gramStart"/>
      <w:r>
        <w:rPr>
          <w:rFonts w:ascii="Times New Roman" w:hAnsi="Times New Roman"/>
          <w:sz w:val="24"/>
          <w:szCs w:val="24"/>
          <w:lang w:val="en-IN"/>
        </w:rPr>
        <w:t>2024)</w:t>
      </w:r>
      <w:r>
        <w:rPr>
          <w:rFonts w:ascii="Times New Roman" w:hAnsi="Times New Roman"/>
          <w:sz w:val="24"/>
          <w:szCs w:val="24"/>
          <w:vertAlign w:val="superscript"/>
        </w:rPr>
        <w:t>(</w:t>
      </w:r>
      <w:proofErr w:type="gramEnd"/>
      <w:r>
        <w:rPr>
          <w:rFonts w:ascii="Times New Roman" w:hAnsi="Times New Roman"/>
          <w:sz w:val="24"/>
          <w:szCs w:val="24"/>
          <w:vertAlign w:val="superscript"/>
        </w:rPr>
        <w:t>10)</w:t>
      </w:r>
      <w:r>
        <w:rPr>
          <w:rFonts w:ascii="Times New Roman" w:hAnsi="Times New Roman"/>
          <w:sz w:val="24"/>
          <w:szCs w:val="24"/>
        </w:rPr>
        <w:t xml:space="preserve">. </w:t>
      </w:r>
      <w:r>
        <w:rPr>
          <w:rFonts w:ascii="Times New Roman" w:hAnsi="Times New Roman"/>
          <w:sz w:val="24"/>
          <w:szCs w:val="24"/>
          <w:lang w:val="en-IN"/>
        </w:rPr>
        <w:t>However, 17.6% of respondents reported not knowing the ideal timing for eye removal, a finding similar to that reported by Patel et al. (</w:t>
      </w:r>
      <w:proofErr w:type="gramStart"/>
      <w:r>
        <w:rPr>
          <w:rFonts w:ascii="Times New Roman" w:hAnsi="Times New Roman"/>
          <w:sz w:val="24"/>
          <w:szCs w:val="24"/>
          <w:lang w:val="en-IN"/>
        </w:rPr>
        <w:t>2022)</w:t>
      </w:r>
      <w:r>
        <w:rPr>
          <w:rFonts w:ascii="Times New Roman" w:hAnsi="Times New Roman"/>
          <w:sz w:val="24"/>
          <w:szCs w:val="24"/>
          <w:vertAlign w:val="superscript"/>
        </w:rPr>
        <w:t>(</w:t>
      </w:r>
      <w:proofErr w:type="gramEnd"/>
      <w:r>
        <w:rPr>
          <w:rFonts w:ascii="Times New Roman" w:hAnsi="Times New Roman"/>
          <w:sz w:val="24"/>
          <w:szCs w:val="24"/>
          <w:vertAlign w:val="superscript"/>
        </w:rPr>
        <w:t>11)</w:t>
      </w:r>
      <w:r>
        <w:rPr>
          <w:rFonts w:ascii="Times New Roman" w:hAnsi="Times New Roman"/>
          <w:sz w:val="24"/>
          <w:szCs w:val="24"/>
          <w:vertAlign w:val="superscript"/>
          <w:lang w:val="en-IN"/>
        </w:rPr>
        <w:t xml:space="preserve"> </w:t>
      </w:r>
      <w:r>
        <w:rPr>
          <w:rFonts w:ascii="Times New Roman" w:hAnsi="Times New Roman"/>
          <w:sz w:val="24"/>
          <w:szCs w:val="24"/>
          <w:lang w:val="en-IN"/>
        </w:rPr>
        <w:t>who observed poor public knowledge regarding post-mortem donation timelines.</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Understanding of What is Transplanted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In this study, 64.7% of participants correctly stated that only the cornea is transplanted to the recipient. Nevertheless, misconceptions persisted, with some respondents believing that the whole eye, lens, or retina is transplanted. These findings are consistent with those reported by Joseph and Nair (</w:t>
      </w:r>
      <w:proofErr w:type="gramStart"/>
      <w:r>
        <w:rPr>
          <w:rFonts w:ascii="Times New Roman" w:hAnsi="Times New Roman"/>
          <w:sz w:val="24"/>
          <w:szCs w:val="24"/>
          <w:lang w:val="en-IN"/>
        </w:rPr>
        <w:t>2023)</w:t>
      </w:r>
      <w:r>
        <w:rPr>
          <w:rFonts w:ascii="Times New Roman" w:hAnsi="Times New Roman"/>
          <w:sz w:val="24"/>
          <w:szCs w:val="24"/>
          <w:vertAlign w:val="superscript"/>
        </w:rPr>
        <w:t>(</w:t>
      </w:r>
      <w:proofErr w:type="gramEnd"/>
      <w:r>
        <w:rPr>
          <w:rFonts w:ascii="Times New Roman" w:hAnsi="Times New Roman"/>
          <w:sz w:val="24"/>
          <w:szCs w:val="24"/>
          <w:vertAlign w:val="superscript"/>
        </w:rPr>
        <w:t>12)</w:t>
      </w:r>
      <w:r>
        <w:rPr>
          <w:rFonts w:ascii="Times New Roman" w:hAnsi="Times New Roman"/>
          <w:sz w:val="24"/>
          <w:szCs w:val="24"/>
          <w:lang w:val="en-IN"/>
        </w:rPr>
        <w:t xml:space="preserve"> who emphasized that while general awareness exists, technical understanding of eye donation remains inadequate.</w:t>
      </w: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Misconceptions and Myths </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Disfigurement Concerns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lastRenderedPageBreak/>
        <w:t>Only 10.6% of respondents believed that eye donation leads to facial disfigurement. This proportion is lower than the 18.4% reported by Singh et al. (</w:t>
      </w:r>
      <w:proofErr w:type="gramStart"/>
      <w:r>
        <w:rPr>
          <w:rFonts w:ascii="Times New Roman" w:hAnsi="Times New Roman"/>
          <w:sz w:val="24"/>
          <w:szCs w:val="24"/>
          <w:lang w:val="en-IN"/>
        </w:rPr>
        <w:t>2024)</w:t>
      </w:r>
      <w:r>
        <w:rPr>
          <w:rFonts w:ascii="Times New Roman" w:hAnsi="Times New Roman"/>
          <w:sz w:val="24"/>
          <w:szCs w:val="24"/>
          <w:vertAlign w:val="superscript"/>
        </w:rPr>
        <w:t>(</w:t>
      </w:r>
      <w:proofErr w:type="gramEnd"/>
      <w:r>
        <w:rPr>
          <w:rFonts w:ascii="Times New Roman" w:hAnsi="Times New Roman"/>
          <w:sz w:val="24"/>
          <w:szCs w:val="24"/>
          <w:vertAlign w:val="superscript"/>
        </w:rPr>
        <w:t>8)</w:t>
      </w:r>
      <w:r>
        <w:rPr>
          <w:rFonts w:ascii="Times New Roman" w:hAnsi="Times New Roman"/>
          <w:sz w:val="24"/>
          <w:szCs w:val="24"/>
          <w:lang w:val="en-IN"/>
        </w:rPr>
        <w:t xml:space="preserve"> suggesting relatively better awareness and acceptance among the current study population.</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Can a Living Person Donate Eyes? </w:t>
      </w:r>
    </w:p>
    <w:p w:rsidR="00DF30C5" w:rsidRDefault="00503689">
      <w:pPr>
        <w:spacing w:line="360" w:lineRule="auto"/>
        <w:jc w:val="both"/>
        <w:rPr>
          <w:rFonts w:ascii="Times New Roman" w:hAnsi="Times New Roman"/>
          <w:sz w:val="24"/>
          <w:szCs w:val="24"/>
        </w:rPr>
      </w:pPr>
      <w:r>
        <w:rPr>
          <w:rFonts w:ascii="Times New Roman" w:hAnsi="Times New Roman"/>
          <w:sz w:val="24"/>
          <w:szCs w:val="24"/>
          <w:lang w:val="en-IN"/>
        </w:rPr>
        <w:t>A notable 42.4% of participants incorrectly believed that living persons can donate eyes, reflecting poor awareness of the fact that eye donation is possible only after death. Similar misconceptions have been reported by Bansal et al. (</w:t>
      </w:r>
      <w:proofErr w:type="gramStart"/>
      <w:r>
        <w:rPr>
          <w:rFonts w:ascii="Times New Roman" w:hAnsi="Times New Roman"/>
          <w:sz w:val="24"/>
          <w:szCs w:val="24"/>
          <w:lang w:val="en-IN"/>
        </w:rPr>
        <w:t>2023)</w:t>
      </w:r>
      <w:r>
        <w:rPr>
          <w:rFonts w:ascii="Times New Roman" w:hAnsi="Times New Roman"/>
          <w:sz w:val="24"/>
          <w:szCs w:val="24"/>
          <w:vertAlign w:val="superscript"/>
        </w:rPr>
        <w:t>(</w:t>
      </w:r>
      <w:proofErr w:type="gramEnd"/>
      <w:r>
        <w:rPr>
          <w:rFonts w:ascii="Times New Roman" w:hAnsi="Times New Roman"/>
          <w:sz w:val="24"/>
          <w:szCs w:val="24"/>
          <w:vertAlign w:val="superscript"/>
        </w:rPr>
        <w:t>13)</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Eye Removal at the Donor’s Home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In the present study, 42.4% of respondents believed that eyes can be removed at the donor’s home, while 47.1% correctly stated that this is not possible. Such confusion regarding the logistics of eye donation has also been documented by Gupta et al. (</w:t>
      </w:r>
      <w:proofErr w:type="gramStart"/>
      <w:r>
        <w:rPr>
          <w:rFonts w:ascii="Times New Roman" w:hAnsi="Times New Roman"/>
          <w:sz w:val="24"/>
          <w:szCs w:val="24"/>
          <w:lang w:val="en-IN"/>
        </w:rPr>
        <w:t>2022)</w:t>
      </w:r>
      <w:r>
        <w:rPr>
          <w:rFonts w:ascii="Times New Roman" w:hAnsi="Times New Roman"/>
          <w:sz w:val="24"/>
          <w:szCs w:val="24"/>
          <w:vertAlign w:val="superscript"/>
        </w:rPr>
        <w:t>(</w:t>
      </w:r>
      <w:proofErr w:type="gramEnd"/>
      <w:r>
        <w:rPr>
          <w:rFonts w:ascii="Times New Roman" w:hAnsi="Times New Roman"/>
          <w:sz w:val="24"/>
          <w:szCs w:val="24"/>
          <w:vertAlign w:val="superscript"/>
        </w:rPr>
        <w:t>14)</w:t>
      </w:r>
      <w:r>
        <w:rPr>
          <w:rFonts w:ascii="Times New Roman" w:hAnsi="Times New Roman"/>
          <w:sz w:val="24"/>
          <w:szCs w:val="24"/>
        </w:rPr>
        <w:t xml:space="preserve">, </w:t>
      </w:r>
      <w:r>
        <w:rPr>
          <w:rFonts w:ascii="Times New Roman" w:hAnsi="Times New Roman"/>
          <w:sz w:val="24"/>
          <w:szCs w:val="24"/>
          <w:lang w:val="en-IN"/>
        </w:rPr>
        <w:t>indicating the need for clearer public information.</w:t>
      </w: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Awareness About Legal and Ethical Aspects</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Anonymity of Donor and Recipient </w:t>
      </w:r>
    </w:p>
    <w:p w:rsidR="00DF30C5" w:rsidRDefault="00503689">
      <w:pPr>
        <w:spacing w:line="360" w:lineRule="auto"/>
        <w:jc w:val="both"/>
        <w:rPr>
          <w:rFonts w:ascii="Times New Roman" w:hAnsi="Times New Roman"/>
          <w:sz w:val="24"/>
          <w:szCs w:val="24"/>
        </w:rPr>
      </w:pPr>
      <w:r>
        <w:rPr>
          <w:rFonts w:ascii="Times New Roman" w:hAnsi="Times New Roman"/>
          <w:sz w:val="24"/>
          <w:szCs w:val="24"/>
          <w:lang w:val="en-IN"/>
        </w:rPr>
        <w:t>Approximately 61.2% of participants were aware that the identities of donors and recipients generally remain anonymous. However, 20% believed otherwise, indicating a need for greater awareness regarding confidentiality in eye donation, as emphasized by the World Health Organization (</w:t>
      </w:r>
      <w:proofErr w:type="gramStart"/>
      <w:r>
        <w:rPr>
          <w:rFonts w:ascii="Times New Roman" w:hAnsi="Times New Roman"/>
          <w:sz w:val="24"/>
          <w:szCs w:val="24"/>
          <w:lang w:val="en-IN"/>
        </w:rPr>
        <w:t>2024)</w:t>
      </w:r>
      <w:r>
        <w:rPr>
          <w:rFonts w:ascii="Times New Roman" w:hAnsi="Times New Roman"/>
          <w:sz w:val="24"/>
          <w:szCs w:val="24"/>
          <w:vertAlign w:val="superscript"/>
        </w:rPr>
        <w:t>(</w:t>
      </w:r>
      <w:proofErr w:type="gramEnd"/>
      <w:r>
        <w:rPr>
          <w:rFonts w:ascii="Times New Roman" w:hAnsi="Times New Roman"/>
          <w:sz w:val="24"/>
          <w:szCs w:val="24"/>
          <w:vertAlign w:val="superscript"/>
        </w:rPr>
        <w:t>15)</w:t>
      </w:r>
      <w:r>
        <w:rPr>
          <w:rFonts w:ascii="Times New Roman" w:hAnsi="Times New Roman"/>
          <w:sz w:val="24"/>
          <w:szCs w:val="24"/>
        </w:rPr>
        <w:t>.</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Consent from First-Degree Relatives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 xml:space="preserve">A significant majority (87.1%) of respondents were aware that consent from first-degree relatives is required for eye donation. </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Misconceptions Regarding Eligibility and Contraindications</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Age Limit for Eye Donation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Only 25.9% of respondents were aware that there is no strict age limit for eye donation, while 63.5% believed that age is a limiting factor. This misconception aligns with findings by Patel et al. (</w:t>
      </w:r>
      <w:proofErr w:type="gramStart"/>
      <w:r>
        <w:rPr>
          <w:rFonts w:ascii="Times New Roman" w:hAnsi="Times New Roman"/>
          <w:sz w:val="24"/>
          <w:szCs w:val="24"/>
          <w:lang w:val="en-IN"/>
        </w:rPr>
        <w:t>2022)</w:t>
      </w:r>
      <w:r>
        <w:rPr>
          <w:rFonts w:ascii="Times New Roman" w:hAnsi="Times New Roman"/>
          <w:sz w:val="24"/>
          <w:szCs w:val="24"/>
          <w:vertAlign w:val="superscript"/>
        </w:rPr>
        <w:t>(</w:t>
      </w:r>
      <w:proofErr w:type="gramEnd"/>
      <w:r>
        <w:rPr>
          <w:rFonts w:ascii="Times New Roman" w:hAnsi="Times New Roman"/>
          <w:sz w:val="24"/>
          <w:szCs w:val="24"/>
          <w:vertAlign w:val="superscript"/>
        </w:rPr>
        <w:t>11)</w:t>
      </w:r>
      <w:r>
        <w:rPr>
          <w:rFonts w:ascii="Times New Roman" w:hAnsi="Times New Roman"/>
          <w:sz w:val="24"/>
          <w:szCs w:val="24"/>
          <w:lang w:val="en-IN"/>
        </w:rPr>
        <w:t>, who reported widespread misunderstanding regarding age-related eligibility.</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Contraindications to Eye Donation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lastRenderedPageBreak/>
        <w:t>While some respondents correctly identified contraindications such as HIV, hepatitis, poisoning, and malignancies, misconceptions were common regarding conditions like diabetes, hypertension, and the use of spectacles. Similar trends have been reported by Bansal et al. (</w:t>
      </w:r>
      <w:proofErr w:type="gramStart"/>
      <w:r>
        <w:rPr>
          <w:rFonts w:ascii="Times New Roman" w:hAnsi="Times New Roman"/>
          <w:sz w:val="24"/>
          <w:szCs w:val="24"/>
          <w:lang w:val="en-IN"/>
        </w:rPr>
        <w:t>2023)</w:t>
      </w:r>
      <w:r>
        <w:rPr>
          <w:rFonts w:ascii="Times New Roman" w:hAnsi="Times New Roman"/>
          <w:sz w:val="24"/>
          <w:szCs w:val="24"/>
          <w:vertAlign w:val="superscript"/>
        </w:rPr>
        <w:t>(</w:t>
      </w:r>
      <w:proofErr w:type="gramEnd"/>
      <w:r>
        <w:rPr>
          <w:rFonts w:ascii="Times New Roman" w:hAnsi="Times New Roman"/>
          <w:sz w:val="24"/>
          <w:szCs w:val="24"/>
          <w:vertAlign w:val="superscript"/>
        </w:rPr>
        <w:t>13)</w:t>
      </w:r>
      <w:r>
        <w:rPr>
          <w:rFonts w:ascii="Times New Roman" w:hAnsi="Times New Roman"/>
          <w:sz w:val="24"/>
          <w:szCs w:val="24"/>
        </w:rPr>
        <w:t xml:space="preserve"> </w:t>
      </w:r>
      <w:r>
        <w:rPr>
          <w:rFonts w:ascii="Times New Roman" w:hAnsi="Times New Roman"/>
          <w:sz w:val="24"/>
          <w:szCs w:val="24"/>
          <w:lang w:val="en-IN"/>
        </w:rPr>
        <w:t>and Joseph and Nair (2023)</w:t>
      </w:r>
      <w:r>
        <w:rPr>
          <w:rFonts w:ascii="Times New Roman" w:hAnsi="Times New Roman"/>
          <w:sz w:val="24"/>
          <w:szCs w:val="24"/>
          <w:vertAlign w:val="superscript"/>
        </w:rPr>
        <w:t>(12)</w:t>
      </w:r>
      <w:r>
        <w:rPr>
          <w:rFonts w:ascii="Times New Roman" w:hAnsi="Times New Roman"/>
          <w:sz w:val="24"/>
          <w:szCs w:val="24"/>
          <w:lang w:val="en-IN"/>
        </w:rPr>
        <w:t xml:space="preserve"> indicating persistent misinformation even among educated groups.</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Implications for Practice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Despite encouraging levels of general awareness, the presence of significant knowledge gaps and misconceptions highlights the need for:</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Targeted awareness campaigns focusing on medical accuracy</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Greater involvement of healthcare professionals in public education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 xml:space="preserve">Effective use of social media platforms for information dissemination (Bansal et al., </w:t>
      </w:r>
      <w:proofErr w:type="gramStart"/>
      <w:r>
        <w:rPr>
          <w:rFonts w:ascii="Times New Roman" w:hAnsi="Times New Roman"/>
          <w:sz w:val="24"/>
          <w:szCs w:val="24"/>
          <w:lang w:val="en-IN"/>
        </w:rPr>
        <w:t>2023)</w:t>
      </w:r>
      <w:r>
        <w:rPr>
          <w:rFonts w:ascii="Times New Roman" w:hAnsi="Times New Roman"/>
          <w:sz w:val="24"/>
          <w:szCs w:val="24"/>
          <w:vertAlign w:val="superscript"/>
        </w:rPr>
        <w:t>(</w:t>
      </w:r>
      <w:proofErr w:type="gramEnd"/>
      <w:r>
        <w:rPr>
          <w:rFonts w:ascii="Times New Roman" w:hAnsi="Times New Roman"/>
          <w:sz w:val="24"/>
          <w:szCs w:val="24"/>
          <w:vertAlign w:val="superscript"/>
        </w:rPr>
        <w:t>13)</w:t>
      </w:r>
      <w:r>
        <w:rPr>
          <w:rFonts w:ascii="Times New Roman" w:hAnsi="Times New Roman"/>
          <w:sz w:val="24"/>
          <w:szCs w:val="24"/>
          <w:vertAlign w:val="superscript"/>
          <w:lang w:val="en-IN"/>
        </w:rPr>
        <w:t xml:space="preserve">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Community-based educational initiatives in collaboration with eye banks and NGOs</w:t>
      </w: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Comparison with the Global Scenario</w:t>
      </w:r>
    </w:p>
    <w:p w:rsidR="00DF30C5" w:rsidRDefault="00503689">
      <w:pPr>
        <w:spacing w:line="360" w:lineRule="auto"/>
        <w:jc w:val="both"/>
        <w:rPr>
          <w:rFonts w:ascii="Times New Roman" w:hAnsi="Times New Roman"/>
          <w:sz w:val="24"/>
          <w:szCs w:val="24"/>
        </w:rPr>
      </w:pPr>
      <w:r>
        <w:rPr>
          <w:rFonts w:ascii="Times New Roman" w:hAnsi="Times New Roman"/>
          <w:sz w:val="24"/>
          <w:szCs w:val="24"/>
          <w:lang w:val="en-IN"/>
        </w:rPr>
        <w:t xml:space="preserve">Similar knowledge gaps have been reported in other developing countries. In contrast, countries with well-established eye banking systems, such as Spain and the USA, demonstrate higher levels of accurate knowledge and eye donation pledging, attributed to structured awareness programs and strong healthcare infrastructure (WHO, </w:t>
      </w:r>
      <w:proofErr w:type="gramStart"/>
      <w:r>
        <w:rPr>
          <w:rFonts w:ascii="Times New Roman" w:hAnsi="Times New Roman"/>
          <w:sz w:val="24"/>
          <w:szCs w:val="24"/>
          <w:lang w:val="en-IN"/>
        </w:rPr>
        <w:t>2024)</w:t>
      </w:r>
      <w:r>
        <w:rPr>
          <w:rFonts w:ascii="Times New Roman" w:hAnsi="Times New Roman"/>
          <w:sz w:val="24"/>
          <w:szCs w:val="24"/>
          <w:vertAlign w:val="superscript"/>
        </w:rPr>
        <w:t>(</w:t>
      </w:r>
      <w:proofErr w:type="gramEnd"/>
      <w:r>
        <w:rPr>
          <w:rFonts w:ascii="Times New Roman" w:hAnsi="Times New Roman"/>
          <w:sz w:val="24"/>
          <w:szCs w:val="24"/>
          <w:vertAlign w:val="superscript"/>
        </w:rPr>
        <w:t>16)</w:t>
      </w:r>
      <w:r>
        <w:rPr>
          <w:rFonts w:ascii="Times New Roman" w:hAnsi="Times New Roman"/>
          <w:sz w:val="24"/>
          <w:szCs w:val="24"/>
        </w:rPr>
        <w:t>.</w:t>
      </w:r>
    </w:p>
    <w:p w:rsidR="00DF30C5" w:rsidRDefault="00DF30C5">
      <w:pPr>
        <w:spacing w:line="360" w:lineRule="auto"/>
        <w:jc w:val="both"/>
        <w:rPr>
          <w:rFonts w:ascii="Times New Roman" w:hAnsi="Times New Roman"/>
          <w:sz w:val="24"/>
          <w:szCs w:val="24"/>
        </w:rPr>
      </w:pPr>
    </w:p>
    <w:p w:rsidR="00DF30C5" w:rsidRDefault="00503689">
      <w:pPr>
        <w:spacing w:line="360" w:lineRule="auto"/>
        <w:jc w:val="both"/>
        <w:rPr>
          <w:rFonts w:ascii="Times New Roman" w:hAnsi="Times New Roman"/>
          <w:b/>
          <w:bCs/>
          <w:sz w:val="28"/>
          <w:szCs w:val="28"/>
        </w:rPr>
      </w:pPr>
      <w:r>
        <w:rPr>
          <w:rFonts w:ascii="Times New Roman" w:hAnsi="Times New Roman"/>
          <w:b/>
          <w:bCs/>
          <w:sz w:val="28"/>
          <w:szCs w:val="28"/>
        </w:rPr>
        <w:t>Conclusion</w:t>
      </w:r>
    </w:p>
    <w:p w:rsidR="00DF30C5" w:rsidRDefault="005036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Awareness and Perception of Eye Donation among the Literate Population: reveals a significant gap between knowledge and actual willingness to pledge eyes for donation. While most of the literate population is aware of the concept of eye donation, the actual commitment to donating remains low due to various influencing factors. These factors include cultural and religious beliefs, misconceptions about the donation process, family objections, and a lack of detailed knowledge about the ideal timing and procedures involved in eye donation.</w:t>
      </w:r>
    </w:p>
    <w:p w:rsidR="00DF30C5" w:rsidRDefault="005036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Despite the widespread awareness of the importance of eye donation in reducing blindness, many individuals hesitate to pledge their eyes due to perceived risks, such as concerns about disfigurement or discomfort with the idea of post-mortem procedures. Additionally, family members' objections and misunderstandings about the eye donation process often pose significant barriers.</w:t>
      </w:r>
    </w:p>
    <w:p w:rsidR="00DF30C5" w:rsidRDefault="005036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also highlights the crucial role of educational background, with those in health-related fields showing greater awareness and willingness to donate. The findings point to the need for targeted educational interventions in schools, colleges, and workplaces to enhance knowledge about eye donation and dispel common myths. Furthermore, the use of mass media—particularly television, radio, and online platforms—should be leveraged to spread accurate and comprehensive information, helping to create a more informed public.</w:t>
      </w:r>
    </w:p>
    <w:p w:rsidR="00DF30C5" w:rsidRDefault="005036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the barriers, a multi-faceted approach is necessary. Public awareness campaigns should not only focus on disseminating information but also aim to challenge and reshape negative perceptions and cultural taboos around eye donation. Collaboration with religious leaders and community influencers can help address cultural barriers and foster more positive attitudes toward eye donation.</w:t>
      </w:r>
    </w:p>
    <w:p w:rsidR="00DF30C5" w:rsidRDefault="005036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while the literate population demonstrates a basic level of awareness, there is a critical need to bridge the gap between knowledge and action. The findings of this study provide valuable insights into the factors that hinder eye donation and offer a foundation for developing more effective strategies to increase donation rates. These strategies should include education, improved communication, and community-based interventions that tackle misconceptions and promote a culture of eye donation, ultimately contributing to the reduction of corneal blindness and enhancing the quality of life for those in need of corneal transplants. </w:t>
      </w:r>
    </w:p>
    <w:p w:rsidR="00DF30C5" w:rsidRDefault="00DF30C5">
      <w:pPr>
        <w:spacing w:line="360" w:lineRule="auto"/>
        <w:jc w:val="both"/>
        <w:rPr>
          <w:rFonts w:ascii="Times New Roman" w:hAnsi="Times New Roman"/>
          <w:b/>
          <w:bCs/>
          <w:sz w:val="28"/>
          <w:szCs w:val="28"/>
        </w:rPr>
      </w:pPr>
    </w:p>
    <w:p w:rsidR="00DF30C5" w:rsidRDefault="00DF30C5">
      <w:pPr>
        <w:spacing w:line="360" w:lineRule="auto"/>
        <w:jc w:val="both"/>
        <w:rPr>
          <w:rFonts w:ascii="Times New Roman" w:hAnsi="Times New Roman" w:cs="Times New Roman"/>
          <w:b/>
          <w:bCs/>
          <w:sz w:val="24"/>
          <w:szCs w:val="24"/>
          <w:lang w:val="en-IN"/>
        </w:rPr>
      </w:pPr>
    </w:p>
    <w:p w:rsidR="00DF30C5" w:rsidRDefault="00DF30C5">
      <w:pPr>
        <w:spacing w:line="360" w:lineRule="auto"/>
        <w:jc w:val="both"/>
        <w:rPr>
          <w:rFonts w:ascii="Times New Roman" w:hAnsi="Times New Roman" w:cs="Times New Roman"/>
          <w:b/>
          <w:bCs/>
          <w:sz w:val="24"/>
          <w:szCs w:val="24"/>
          <w:lang w:val="en-IN"/>
        </w:rPr>
      </w:pPr>
    </w:p>
    <w:p w:rsidR="00DF30C5" w:rsidRDefault="00503689">
      <w:pPr>
        <w:spacing w:line="360" w:lineRule="auto"/>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References</w:t>
      </w:r>
    </w:p>
    <w:p w:rsidR="0077365A" w:rsidRDefault="0077365A">
      <w:pPr>
        <w:numPr>
          <w:ilvl w:val="0"/>
          <w:numId w:val="3"/>
        </w:numPr>
        <w:spacing w:line="360" w:lineRule="auto"/>
        <w:jc w:val="both"/>
        <w:rPr>
          <w:rFonts w:ascii="Times New Roman" w:eastAsia="SimSun" w:hAnsi="Times New Roman" w:cs="Times New Roman"/>
          <w:sz w:val="24"/>
          <w:szCs w:val="24"/>
        </w:rPr>
      </w:pPr>
      <w:r w:rsidRPr="0077365A">
        <w:rPr>
          <w:rFonts w:ascii="Times New Roman" w:eastAsia="SimSun" w:hAnsi="Times New Roman" w:cs="Times New Roman"/>
          <w:sz w:val="24"/>
          <w:szCs w:val="24"/>
        </w:rPr>
        <w:t xml:space="preserve">Sharma, B., Shrivastava, U., Kumar, K., </w:t>
      </w:r>
      <w:proofErr w:type="spellStart"/>
      <w:r w:rsidRPr="0077365A">
        <w:rPr>
          <w:rFonts w:ascii="Times New Roman" w:eastAsia="SimSun" w:hAnsi="Times New Roman" w:cs="Times New Roman"/>
          <w:sz w:val="24"/>
          <w:szCs w:val="24"/>
        </w:rPr>
        <w:t>Baghel</w:t>
      </w:r>
      <w:proofErr w:type="spellEnd"/>
      <w:r w:rsidRPr="0077365A">
        <w:rPr>
          <w:rFonts w:ascii="Times New Roman" w:eastAsia="SimSun" w:hAnsi="Times New Roman" w:cs="Times New Roman"/>
          <w:sz w:val="24"/>
          <w:szCs w:val="24"/>
        </w:rPr>
        <w:t xml:space="preserve">, R., Khan, F., &amp; Kulkarni, S. (2017). Eye donation awareness and conversion rate in hospital cornea retrieval </w:t>
      </w:r>
      <w:proofErr w:type="spellStart"/>
      <w:r w:rsidRPr="0077365A">
        <w:rPr>
          <w:rFonts w:ascii="Times New Roman" w:eastAsia="SimSun" w:hAnsi="Times New Roman" w:cs="Times New Roman"/>
          <w:sz w:val="24"/>
          <w:szCs w:val="24"/>
        </w:rPr>
        <w:t>programme</w:t>
      </w:r>
      <w:proofErr w:type="spellEnd"/>
      <w:r w:rsidRPr="0077365A">
        <w:rPr>
          <w:rFonts w:ascii="Times New Roman" w:eastAsia="SimSun" w:hAnsi="Times New Roman" w:cs="Times New Roman"/>
          <w:sz w:val="24"/>
          <w:szCs w:val="24"/>
        </w:rPr>
        <w:t xml:space="preserve"> in </w:t>
      </w:r>
      <w:r w:rsidRPr="0077365A">
        <w:rPr>
          <w:rFonts w:ascii="Times New Roman" w:eastAsia="SimSun" w:hAnsi="Times New Roman" w:cs="Times New Roman"/>
          <w:sz w:val="24"/>
          <w:szCs w:val="24"/>
        </w:rPr>
        <w:lastRenderedPageBreak/>
        <w:t xml:space="preserve">a tertiary hospital of central India. Journal of Clinical and Diagnostic Research, 11(8), NC12–NC15. </w:t>
      </w:r>
      <w:hyperlink r:id="rId8" w:history="1">
        <w:r w:rsidRPr="00CF1A7E">
          <w:rPr>
            <w:rStyle w:val="Hyperlink"/>
            <w:rFonts w:ascii="Times New Roman" w:eastAsia="SimSun" w:hAnsi="Times New Roman" w:cs="Times New Roman"/>
            <w:sz w:val="24"/>
            <w:szCs w:val="24"/>
          </w:rPr>
          <w:t>https://doi.org/10.7860/JCDR/2017/27287.10421</w:t>
        </w:r>
      </w:hyperlink>
      <w:r>
        <w:rPr>
          <w:rFonts w:ascii="Times New Roman" w:eastAsia="SimSun" w:hAnsi="Times New Roman" w:cs="Times New Roman"/>
          <w:sz w:val="24"/>
          <w:szCs w:val="24"/>
        </w:rPr>
        <w:t xml:space="preserve"> </w:t>
      </w:r>
    </w:p>
    <w:p w:rsidR="0077365A" w:rsidRDefault="0077365A">
      <w:pPr>
        <w:numPr>
          <w:ilvl w:val="0"/>
          <w:numId w:val="3"/>
        </w:numPr>
        <w:spacing w:line="360" w:lineRule="auto"/>
        <w:jc w:val="both"/>
        <w:rPr>
          <w:rFonts w:ascii="Times New Roman" w:eastAsia="SimSun" w:hAnsi="Times New Roman" w:cs="Times New Roman"/>
          <w:sz w:val="24"/>
          <w:szCs w:val="24"/>
        </w:rPr>
      </w:pPr>
      <w:r w:rsidRPr="0077365A">
        <w:rPr>
          <w:rFonts w:ascii="Times New Roman" w:eastAsia="SimSun" w:hAnsi="Times New Roman" w:cs="Times New Roman"/>
          <w:sz w:val="24"/>
          <w:szCs w:val="24"/>
        </w:rPr>
        <w:t xml:space="preserve">World Health Organization. (2023). Blindness and vision impairment. </w:t>
      </w:r>
      <w:hyperlink r:id="rId9" w:history="1">
        <w:r w:rsidRPr="00CF1A7E">
          <w:rPr>
            <w:rStyle w:val="Hyperlink"/>
            <w:rFonts w:ascii="Times New Roman" w:eastAsia="SimSun" w:hAnsi="Times New Roman" w:cs="Times New Roman"/>
            <w:sz w:val="24"/>
            <w:szCs w:val="24"/>
          </w:rPr>
          <w:t>https://www.who.int/en/news-room/fact-sheets/detail/blindness-and-visual-impairment</w:t>
        </w:r>
      </w:hyperlink>
      <w:r>
        <w:rPr>
          <w:rFonts w:ascii="Times New Roman" w:eastAsia="SimSun" w:hAnsi="Times New Roman" w:cs="Times New Roman"/>
          <w:sz w:val="24"/>
          <w:szCs w:val="24"/>
        </w:rPr>
        <w:t xml:space="preserve"> </w:t>
      </w:r>
    </w:p>
    <w:p w:rsidR="00DF30C5" w:rsidRDefault="00503689">
      <w:pPr>
        <w:numPr>
          <w:ilvl w:val="0"/>
          <w:numId w:val="3"/>
        </w:num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Sharma N, Arora T, </w:t>
      </w:r>
      <w:proofErr w:type="spellStart"/>
      <w:r>
        <w:rPr>
          <w:rFonts w:ascii="Times New Roman" w:eastAsia="SimSun" w:hAnsi="Times New Roman" w:cs="Times New Roman"/>
          <w:sz w:val="24"/>
          <w:szCs w:val="24"/>
        </w:rPr>
        <w:t>Titiyal</w:t>
      </w:r>
      <w:proofErr w:type="spellEnd"/>
      <w:r>
        <w:rPr>
          <w:rFonts w:ascii="Times New Roman" w:eastAsia="SimSun" w:hAnsi="Times New Roman" w:cs="Times New Roman"/>
          <w:sz w:val="24"/>
          <w:szCs w:val="24"/>
        </w:rPr>
        <w:t xml:space="preserve"> JS. Changing trends in eye banking and corneal transplantation in India. </w:t>
      </w:r>
      <w:r>
        <w:rPr>
          <w:rStyle w:val="Emphasis"/>
          <w:rFonts w:ascii="Times New Roman" w:eastAsia="SimSun" w:hAnsi="Times New Roman" w:cs="Times New Roman"/>
          <w:sz w:val="24"/>
          <w:szCs w:val="24"/>
        </w:rPr>
        <w:t xml:space="preserve">Indian J </w:t>
      </w:r>
      <w:proofErr w:type="spellStart"/>
      <w:r>
        <w:rPr>
          <w:rStyle w:val="Emphasis"/>
          <w:rFonts w:ascii="Times New Roman" w:eastAsia="SimSun" w:hAnsi="Times New Roman" w:cs="Times New Roman"/>
          <w:sz w:val="24"/>
          <w:szCs w:val="24"/>
        </w:rPr>
        <w:t>Ophthalmol</w:t>
      </w:r>
      <w:proofErr w:type="spellEnd"/>
      <w:r>
        <w:rPr>
          <w:rFonts w:ascii="Times New Roman" w:eastAsia="SimSun" w:hAnsi="Times New Roman" w:cs="Times New Roman"/>
          <w:sz w:val="24"/>
          <w:szCs w:val="24"/>
        </w:rPr>
        <w:t>. 2022;70(1):22–28.</w:t>
      </w:r>
    </w:p>
    <w:p w:rsidR="0077365A" w:rsidRDefault="0077365A">
      <w:pPr>
        <w:numPr>
          <w:ilvl w:val="0"/>
          <w:numId w:val="3"/>
        </w:numPr>
        <w:spacing w:line="360" w:lineRule="auto"/>
        <w:jc w:val="both"/>
        <w:rPr>
          <w:rFonts w:ascii="Times New Roman" w:eastAsia="SimSun" w:hAnsi="Times New Roman" w:cs="Times New Roman"/>
          <w:sz w:val="24"/>
          <w:szCs w:val="24"/>
        </w:rPr>
      </w:pPr>
      <w:r w:rsidRPr="0077365A">
        <w:rPr>
          <w:rFonts w:ascii="Times New Roman" w:eastAsia="SimSun" w:hAnsi="Times New Roman" w:cs="Times New Roman"/>
          <w:sz w:val="24"/>
          <w:szCs w:val="24"/>
        </w:rPr>
        <w:t xml:space="preserve">Eye Bank Association of India. (2023). Eye Bank Association of India. </w:t>
      </w:r>
      <w:hyperlink r:id="rId10" w:history="1">
        <w:r w:rsidRPr="00CF1A7E">
          <w:rPr>
            <w:rStyle w:val="Hyperlink"/>
            <w:rFonts w:ascii="Times New Roman" w:eastAsia="SimSun" w:hAnsi="Times New Roman" w:cs="Times New Roman"/>
            <w:sz w:val="24"/>
            <w:szCs w:val="24"/>
          </w:rPr>
          <w:t>https://ebai.org/</w:t>
        </w:r>
      </w:hyperlink>
      <w:r>
        <w:rPr>
          <w:rFonts w:ascii="Times New Roman" w:eastAsia="SimSun" w:hAnsi="Times New Roman" w:cs="Times New Roman"/>
          <w:sz w:val="24"/>
          <w:szCs w:val="24"/>
        </w:rPr>
        <w:t xml:space="preserve"> </w:t>
      </w:r>
    </w:p>
    <w:p w:rsidR="0077365A" w:rsidRPr="0077365A" w:rsidRDefault="0077365A">
      <w:pPr>
        <w:pStyle w:val="NormalWeb"/>
        <w:numPr>
          <w:ilvl w:val="0"/>
          <w:numId w:val="3"/>
        </w:numPr>
        <w:spacing w:beforeAutospacing="1"/>
      </w:pPr>
      <w:r w:rsidRPr="0077365A">
        <w:rPr>
          <w:rFonts w:eastAsia="SimSun"/>
        </w:rPr>
        <w:t xml:space="preserve">World Health Organization. (2023). Blindness and vision impairment. </w:t>
      </w:r>
      <w:hyperlink r:id="rId11" w:history="1">
        <w:r w:rsidRPr="00CF1A7E">
          <w:rPr>
            <w:rStyle w:val="Hyperlink"/>
            <w:rFonts w:eastAsia="SimSun"/>
          </w:rPr>
          <w:t>https://www.who.int/en/news-room/fact-sheets/detail/blindness-and-visual-impairment</w:t>
        </w:r>
      </w:hyperlink>
      <w:r>
        <w:rPr>
          <w:rFonts w:eastAsia="SimSun"/>
        </w:rPr>
        <w:t xml:space="preserve"> </w:t>
      </w:r>
    </w:p>
    <w:p w:rsidR="00DF30C5" w:rsidRDefault="00503689">
      <w:pPr>
        <w:pStyle w:val="NormalWeb"/>
        <w:numPr>
          <w:ilvl w:val="0"/>
          <w:numId w:val="3"/>
        </w:numPr>
        <w:spacing w:beforeAutospacing="1"/>
      </w:pPr>
      <w:r>
        <w:t xml:space="preserve">Bharti MK, Singh R, Kaur A. Awareness and willingness regarding eye donation among adult population in India: a systematic review. </w:t>
      </w:r>
      <w:r>
        <w:rPr>
          <w:rStyle w:val="Emphasis"/>
        </w:rPr>
        <w:t>Indian J Community Health</w:t>
      </w:r>
      <w:r>
        <w:t>. 2019;31(4):526–31.</w:t>
      </w:r>
    </w:p>
    <w:p w:rsidR="00DF30C5" w:rsidRDefault="00503689">
      <w:pPr>
        <w:numPr>
          <w:ilvl w:val="0"/>
          <w:numId w:val="3"/>
        </w:num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Sharma N, Kaur J, Yadav P. Awareness, knowledge, and attitude towards eye donation among college students in Delhi. </w:t>
      </w:r>
      <w:r>
        <w:rPr>
          <w:rStyle w:val="Emphasis"/>
          <w:rFonts w:ascii="Times New Roman" w:eastAsia="SimSun" w:hAnsi="Times New Roman" w:cs="Times New Roman"/>
          <w:sz w:val="24"/>
          <w:szCs w:val="24"/>
        </w:rPr>
        <w:t xml:space="preserve">Delhi J </w:t>
      </w:r>
      <w:proofErr w:type="spellStart"/>
      <w:r>
        <w:rPr>
          <w:rStyle w:val="Emphasis"/>
          <w:rFonts w:ascii="Times New Roman" w:eastAsia="SimSun" w:hAnsi="Times New Roman" w:cs="Times New Roman"/>
          <w:sz w:val="24"/>
          <w:szCs w:val="24"/>
        </w:rPr>
        <w:t>Ophthalmol</w:t>
      </w:r>
      <w:proofErr w:type="spellEnd"/>
      <w:r>
        <w:rPr>
          <w:rFonts w:ascii="Times New Roman" w:eastAsia="SimSun" w:hAnsi="Times New Roman" w:cs="Times New Roman"/>
          <w:sz w:val="24"/>
          <w:szCs w:val="24"/>
        </w:rPr>
        <w:t>. 2023;33(1):45–9.</w:t>
      </w:r>
    </w:p>
    <w:p w:rsidR="0077365A" w:rsidRDefault="0077365A">
      <w:pPr>
        <w:numPr>
          <w:ilvl w:val="0"/>
          <w:numId w:val="3"/>
        </w:numPr>
        <w:spacing w:line="360" w:lineRule="auto"/>
        <w:jc w:val="both"/>
        <w:rPr>
          <w:rFonts w:ascii="Times New Roman" w:eastAsia="SimSun" w:hAnsi="Times New Roman" w:cs="Times New Roman"/>
          <w:sz w:val="24"/>
          <w:szCs w:val="24"/>
        </w:rPr>
      </w:pPr>
      <w:r w:rsidRPr="0077365A">
        <w:rPr>
          <w:rFonts w:ascii="Times New Roman" w:eastAsia="SimSun" w:hAnsi="Times New Roman" w:cs="Times New Roman"/>
          <w:sz w:val="24"/>
          <w:szCs w:val="24"/>
        </w:rPr>
        <w:t xml:space="preserve">Zhang, W., </w:t>
      </w:r>
      <w:proofErr w:type="spellStart"/>
      <w:r w:rsidRPr="0077365A">
        <w:rPr>
          <w:rFonts w:ascii="Times New Roman" w:eastAsia="SimSun" w:hAnsi="Times New Roman" w:cs="Times New Roman"/>
          <w:sz w:val="24"/>
          <w:szCs w:val="24"/>
        </w:rPr>
        <w:t>Rokohl</w:t>
      </w:r>
      <w:proofErr w:type="spellEnd"/>
      <w:r w:rsidRPr="0077365A">
        <w:rPr>
          <w:rFonts w:ascii="Times New Roman" w:eastAsia="SimSun" w:hAnsi="Times New Roman" w:cs="Times New Roman"/>
          <w:sz w:val="24"/>
          <w:szCs w:val="24"/>
        </w:rPr>
        <w:t xml:space="preserve">, A. C., Guo, Y., Yao, K., Fan, W., &amp; </w:t>
      </w:r>
      <w:proofErr w:type="spellStart"/>
      <w:r w:rsidRPr="0077365A">
        <w:rPr>
          <w:rFonts w:ascii="Times New Roman" w:eastAsia="SimSun" w:hAnsi="Times New Roman" w:cs="Times New Roman"/>
          <w:sz w:val="24"/>
          <w:szCs w:val="24"/>
        </w:rPr>
        <w:t>Heindl</w:t>
      </w:r>
      <w:proofErr w:type="spellEnd"/>
      <w:r w:rsidRPr="0077365A">
        <w:rPr>
          <w:rFonts w:ascii="Times New Roman" w:eastAsia="SimSun" w:hAnsi="Times New Roman" w:cs="Times New Roman"/>
          <w:sz w:val="24"/>
          <w:szCs w:val="24"/>
        </w:rPr>
        <w:t xml:space="preserve">, L. M. (2024). Global incidence and prevalence of malignant orbital tumors. Adv </w:t>
      </w:r>
      <w:proofErr w:type="spellStart"/>
      <w:r w:rsidRPr="0077365A">
        <w:rPr>
          <w:rFonts w:ascii="Times New Roman" w:eastAsia="SimSun" w:hAnsi="Times New Roman" w:cs="Times New Roman"/>
          <w:sz w:val="24"/>
          <w:szCs w:val="24"/>
        </w:rPr>
        <w:t>Ophthalmol</w:t>
      </w:r>
      <w:proofErr w:type="spellEnd"/>
      <w:r w:rsidRPr="0077365A">
        <w:rPr>
          <w:rFonts w:ascii="Times New Roman" w:eastAsia="SimSun" w:hAnsi="Times New Roman" w:cs="Times New Roman"/>
          <w:sz w:val="24"/>
          <w:szCs w:val="24"/>
        </w:rPr>
        <w:t xml:space="preserve"> </w:t>
      </w:r>
      <w:proofErr w:type="spellStart"/>
      <w:r w:rsidRPr="0077365A">
        <w:rPr>
          <w:rFonts w:ascii="Times New Roman" w:eastAsia="SimSun" w:hAnsi="Times New Roman" w:cs="Times New Roman"/>
          <w:sz w:val="24"/>
          <w:szCs w:val="24"/>
        </w:rPr>
        <w:t>Pract</w:t>
      </w:r>
      <w:proofErr w:type="spellEnd"/>
      <w:r w:rsidRPr="0077365A">
        <w:rPr>
          <w:rFonts w:ascii="Times New Roman" w:eastAsia="SimSun" w:hAnsi="Times New Roman" w:cs="Times New Roman"/>
          <w:sz w:val="24"/>
          <w:szCs w:val="24"/>
        </w:rPr>
        <w:t xml:space="preserve"> Res. </w:t>
      </w:r>
      <w:hyperlink r:id="rId12" w:history="1">
        <w:r w:rsidRPr="00CF1A7E">
          <w:rPr>
            <w:rStyle w:val="Hyperlink"/>
            <w:rFonts w:ascii="Times New Roman" w:eastAsia="SimSun" w:hAnsi="Times New Roman" w:cs="Times New Roman"/>
            <w:sz w:val="24"/>
            <w:szCs w:val="24"/>
          </w:rPr>
          <w:t>https://doi.org/10.1016/j.aopr.2024.04.002</w:t>
        </w:r>
      </w:hyperlink>
      <w:r>
        <w:rPr>
          <w:rFonts w:ascii="Times New Roman" w:eastAsia="SimSun" w:hAnsi="Times New Roman" w:cs="Times New Roman"/>
          <w:sz w:val="24"/>
          <w:szCs w:val="24"/>
        </w:rPr>
        <w:t xml:space="preserve"> </w:t>
      </w:r>
    </w:p>
    <w:p w:rsidR="00DF30C5" w:rsidRDefault="00503689">
      <w:pPr>
        <w:numPr>
          <w:ilvl w:val="0"/>
          <w:numId w:val="3"/>
        </w:num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Kumar R, Patel D, Sharma M. Awareness and perception of eye donation among literate adults in rural Gujarat. </w:t>
      </w:r>
      <w:r>
        <w:rPr>
          <w:rStyle w:val="Emphasis"/>
          <w:rFonts w:ascii="Times New Roman" w:eastAsia="SimSun" w:hAnsi="Times New Roman" w:cs="Times New Roman"/>
          <w:sz w:val="24"/>
          <w:szCs w:val="24"/>
        </w:rPr>
        <w:t xml:space="preserve">Ophthalmic Res </w:t>
      </w:r>
      <w:proofErr w:type="spellStart"/>
      <w:r>
        <w:rPr>
          <w:rStyle w:val="Emphasis"/>
          <w:rFonts w:ascii="Times New Roman" w:eastAsia="SimSun" w:hAnsi="Times New Roman" w:cs="Times New Roman"/>
          <w:sz w:val="24"/>
          <w:szCs w:val="24"/>
        </w:rPr>
        <w:t>Pract</w:t>
      </w:r>
      <w:proofErr w:type="spellEnd"/>
      <w:r>
        <w:rPr>
          <w:rFonts w:ascii="Times New Roman" w:eastAsia="SimSun" w:hAnsi="Times New Roman" w:cs="Times New Roman"/>
          <w:sz w:val="24"/>
          <w:szCs w:val="24"/>
        </w:rPr>
        <w:t>. 2022;14(1):33–9.</w:t>
      </w:r>
    </w:p>
    <w:p w:rsidR="0077365A" w:rsidRPr="0077365A" w:rsidRDefault="0077365A">
      <w:pPr>
        <w:pStyle w:val="NormalWeb"/>
        <w:numPr>
          <w:ilvl w:val="0"/>
          <w:numId w:val="3"/>
        </w:numPr>
        <w:spacing w:beforeAutospacing="1"/>
        <w:rPr>
          <w:rFonts w:eastAsia="SimSun"/>
        </w:rPr>
      </w:pPr>
      <w:r w:rsidRPr="0077365A">
        <w:t xml:space="preserve">Ministry of Health and Family Welfare, Government of India. (2024). Annual Report 2023-24 of the Department of Health and Family Welfare. </w:t>
      </w:r>
      <w:hyperlink r:id="rId13" w:history="1">
        <w:r w:rsidRPr="00CF1A7E">
          <w:rPr>
            <w:rStyle w:val="Hyperlink"/>
          </w:rPr>
          <w:t>https://mohfw.nic.in/sites/default/files/Annual%20Report%202023-24.pdf</w:t>
        </w:r>
      </w:hyperlink>
      <w:r>
        <w:t xml:space="preserve"> </w:t>
      </w:r>
    </w:p>
    <w:p w:rsidR="00DF30C5" w:rsidRDefault="00503689">
      <w:pPr>
        <w:pStyle w:val="NormalWeb"/>
        <w:numPr>
          <w:ilvl w:val="0"/>
          <w:numId w:val="3"/>
        </w:numPr>
        <w:spacing w:beforeAutospacing="1"/>
        <w:rPr>
          <w:rFonts w:eastAsia="SimSun"/>
        </w:rPr>
      </w:pPr>
      <w:r>
        <w:rPr>
          <w:rFonts w:eastAsia="SimSun"/>
        </w:rPr>
        <w:t xml:space="preserve">Patel S, Raj A, Menon S. Barriers to eye donation in India: a qualitative review. </w:t>
      </w:r>
      <w:r>
        <w:rPr>
          <w:rStyle w:val="Emphasis"/>
          <w:rFonts w:eastAsia="SimSun"/>
        </w:rPr>
        <w:t xml:space="preserve">Asian J </w:t>
      </w:r>
      <w:proofErr w:type="spellStart"/>
      <w:r>
        <w:rPr>
          <w:rStyle w:val="Emphasis"/>
          <w:rFonts w:eastAsia="SimSun"/>
        </w:rPr>
        <w:t>Ophthalmol</w:t>
      </w:r>
      <w:proofErr w:type="spellEnd"/>
      <w:r>
        <w:rPr>
          <w:rFonts w:eastAsia="SimSun"/>
        </w:rPr>
        <w:t>. 2022;24(2):123–30.</w:t>
      </w:r>
    </w:p>
    <w:p w:rsidR="00DF30C5" w:rsidRDefault="00503689">
      <w:pPr>
        <w:pStyle w:val="NormalWeb"/>
        <w:numPr>
          <w:ilvl w:val="0"/>
          <w:numId w:val="3"/>
        </w:numPr>
        <w:spacing w:beforeAutospacing="1"/>
        <w:rPr>
          <w:rFonts w:eastAsia="SimSun"/>
        </w:rPr>
      </w:pPr>
      <w:r>
        <w:rPr>
          <w:rFonts w:eastAsia="SimSun"/>
        </w:rPr>
        <w:t xml:space="preserve">Joseph L, Nair S. Eye donation in India: a systematic review of knowledge, attitudes, and practices. </w:t>
      </w:r>
      <w:r>
        <w:rPr>
          <w:rStyle w:val="Emphasis"/>
          <w:rFonts w:eastAsia="SimSun"/>
        </w:rPr>
        <w:t xml:space="preserve">Indian J </w:t>
      </w:r>
      <w:proofErr w:type="spellStart"/>
      <w:r>
        <w:rPr>
          <w:rStyle w:val="Emphasis"/>
          <w:rFonts w:eastAsia="SimSun"/>
        </w:rPr>
        <w:t>Ophthalmol</w:t>
      </w:r>
      <w:proofErr w:type="spellEnd"/>
      <w:r>
        <w:rPr>
          <w:rFonts w:eastAsia="SimSun"/>
        </w:rPr>
        <w:t>. 2023;71(3):567–74.</w:t>
      </w:r>
    </w:p>
    <w:p w:rsidR="00DF30C5" w:rsidRDefault="00503689">
      <w:pPr>
        <w:pStyle w:val="NormalWeb"/>
        <w:numPr>
          <w:ilvl w:val="0"/>
          <w:numId w:val="3"/>
        </w:numPr>
        <w:spacing w:beforeAutospacing="1"/>
      </w:pPr>
      <w:r>
        <w:t xml:space="preserve">Bansal P, Verma R, Choudhary S. Role of social media in promoting awareness of eye donation among youth: a mixed-method study. </w:t>
      </w:r>
      <w:r>
        <w:rPr>
          <w:rStyle w:val="Emphasis"/>
        </w:rPr>
        <w:t>Indian J Community Health</w:t>
      </w:r>
      <w:r>
        <w:t>. 2023;35(1):72–7.</w:t>
      </w:r>
    </w:p>
    <w:p w:rsidR="00DF30C5" w:rsidRDefault="00503689">
      <w:pPr>
        <w:pStyle w:val="NormalWeb"/>
        <w:numPr>
          <w:ilvl w:val="0"/>
          <w:numId w:val="3"/>
        </w:numPr>
        <w:spacing w:beforeAutospacing="1"/>
      </w:pPr>
      <w:r>
        <w:t xml:space="preserve">Gupta S, Mehta A, Singh P. Impact of school-based eye donation awareness programs in North India: a pilot project. </w:t>
      </w:r>
      <w:r>
        <w:rPr>
          <w:rStyle w:val="Emphasis"/>
        </w:rPr>
        <w:t>J Public Health</w:t>
      </w:r>
      <w:r>
        <w:t>. 2022;30(4):512–9.</w:t>
      </w:r>
    </w:p>
    <w:p w:rsidR="00DF30C5" w:rsidRDefault="00503689">
      <w:pPr>
        <w:pStyle w:val="NormalWeb"/>
        <w:numPr>
          <w:ilvl w:val="0"/>
          <w:numId w:val="3"/>
        </w:numPr>
        <w:spacing w:beforeAutospacing="1"/>
        <w:rPr>
          <w:rFonts w:eastAsia="SimSun"/>
        </w:rPr>
      </w:pPr>
      <w:r>
        <w:rPr>
          <w:rFonts w:eastAsia="SimSun"/>
        </w:rPr>
        <w:lastRenderedPageBreak/>
        <w:t xml:space="preserve">World Health Organization. </w:t>
      </w:r>
      <w:r>
        <w:rPr>
          <w:rStyle w:val="Strong"/>
          <w:rFonts w:eastAsia="SimSun"/>
        </w:rPr>
        <w:t>Global status of corneal transplantation and eye banking</w:t>
      </w:r>
      <w:r>
        <w:rPr>
          <w:rFonts w:eastAsia="SimSun"/>
        </w:rPr>
        <w:t>. Geneva: WHO Press; 2024.</w:t>
      </w:r>
    </w:p>
    <w:p w:rsidR="00DF30C5" w:rsidRDefault="00503689">
      <w:pPr>
        <w:numPr>
          <w:ilvl w:val="0"/>
          <w:numId w:val="3"/>
        </w:num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World Health Organization. </w:t>
      </w:r>
      <w:r>
        <w:rPr>
          <w:rStyle w:val="Strong"/>
          <w:rFonts w:ascii="Times New Roman" w:eastAsia="SimSun" w:hAnsi="Times New Roman" w:cs="Times New Roman"/>
          <w:sz w:val="24"/>
          <w:szCs w:val="24"/>
        </w:rPr>
        <w:t>Global status of corneal transplantation and eye banking</w:t>
      </w:r>
      <w:r>
        <w:rPr>
          <w:rFonts w:ascii="Times New Roman" w:eastAsia="SimSun" w:hAnsi="Times New Roman" w:cs="Times New Roman"/>
          <w:sz w:val="24"/>
          <w:szCs w:val="24"/>
        </w:rPr>
        <w:t>. Geneva: World Health Organization; 2024.</w:t>
      </w: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SimSun" w:eastAsia="SimSun" w:hAnsi="SimSun" w:cs="SimSun"/>
          <w:sz w:val="24"/>
          <w:szCs w:val="24"/>
          <w:lang w:val="en-IN"/>
        </w:rPr>
      </w:pPr>
    </w:p>
    <w:p w:rsidR="00DF30C5" w:rsidRDefault="00DF30C5">
      <w:pPr>
        <w:spacing w:line="360" w:lineRule="auto"/>
        <w:jc w:val="both"/>
        <w:rPr>
          <w:rFonts w:ascii="Times New Roman" w:hAnsi="Times New Roman" w:cs="Times New Roman"/>
          <w:sz w:val="24"/>
          <w:szCs w:val="24"/>
          <w:lang w:val="en-IN"/>
        </w:rPr>
      </w:pPr>
    </w:p>
    <w:sectPr w:rsidR="00DF30C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8FC" w:rsidRDefault="00B278FC">
      <w:pPr>
        <w:spacing w:line="240" w:lineRule="auto"/>
      </w:pPr>
      <w:r>
        <w:separator/>
      </w:r>
    </w:p>
  </w:endnote>
  <w:endnote w:type="continuationSeparator" w:id="0">
    <w:p w:rsidR="00B278FC" w:rsidRDefault="00B27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8FC" w:rsidRDefault="00B278FC">
      <w:pPr>
        <w:spacing w:after="0"/>
      </w:pPr>
      <w:r>
        <w:separator/>
      </w:r>
    </w:p>
  </w:footnote>
  <w:footnote w:type="continuationSeparator" w:id="0">
    <w:p w:rsidR="00B278FC" w:rsidRDefault="00B278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719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719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719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C447B5"/>
    <w:multiLevelType w:val="multilevel"/>
    <w:tmpl w:val="F8C447B5"/>
    <w:lvl w:ilvl="0">
      <w:start w:val="1"/>
      <w:numFmt w:val="decimal"/>
      <w:lvlText w:val="%1."/>
      <w:lvlJc w:val="left"/>
      <w:pPr>
        <w:ind w:left="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9170D7"/>
    <w:multiLevelType w:val="multilevel"/>
    <w:tmpl w:val="379170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F0733A6"/>
    <w:multiLevelType w:val="multilevel"/>
    <w:tmpl w:val="3F0733A6"/>
    <w:lvl w:ilvl="0">
      <w:start w:val="1"/>
      <w:numFmt w:val="decimal"/>
      <w:lvlText w:val="%1."/>
      <w:lvlJc w:val="left"/>
      <w:pPr>
        <w:ind w:left="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17"/>
    <w:rsid w:val="001D455A"/>
    <w:rsid w:val="0027130E"/>
    <w:rsid w:val="00325A50"/>
    <w:rsid w:val="00503689"/>
    <w:rsid w:val="005269CE"/>
    <w:rsid w:val="005C7517"/>
    <w:rsid w:val="006933D6"/>
    <w:rsid w:val="006A570E"/>
    <w:rsid w:val="007104B9"/>
    <w:rsid w:val="00751F4A"/>
    <w:rsid w:val="0077365A"/>
    <w:rsid w:val="00810914"/>
    <w:rsid w:val="008555B9"/>
    <w:rsid w:val="009119E3"/>
    <w:rsid w:val="009A4DEB"/>
    <w:rsid w:val="009A538B"/>
    <w:rsid w:val="00AA5F46"/>
    <w:rsid w:val="00B278FC"/>
    <w:rsid w:val="00B37620"/>
    <w:rsid w:val="00BB39C7"/>
    <w:rsid w:val="00C12A86"/>
    <w:rsid w:val="00C71817"/>
    <w:rsid w:val="00C73829"/>
    <w:rsid w:val="00CE4099"/>
    <w:rsid w:val="00D51BE1"/>
    <w:rsid w:val="00DF30C5"/>
    <w:rsid w:val="00FD108F"/>
    <w:rsid w:val="036A24C5"/>
    <w:rsid w:val="0FE80928"/>
    <w:rsid w:val="18AA39C9"/>
    <w:rsid w:val="1E713FBB"/>
    <w:rsid w:val="1F5216F6"/>
    <w:rsid w:val="267C0033"/>
    <w:rsid w:val="370224BF"/>
    <w:rsid w:val="43D25CCA"/>
    <w:rsid w:val="4FF61AB0"/>
    <w:rsid w:val="50676FFB"/>
    <w:rsid w:val="67D4081C"/>
    <w:rsid w:val="6DDA46BA"/>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DBB9A"/>
  <w15:docId w15:val="{AD611211-A26E-421A-979C-5D3059CE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s-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US" w:eastAsia="en-US"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US"/>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US"/>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lang w:val="en-US"/>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UnresolvedMention">
    <w:name w:val="Unresolved Mention"/>
    <w:basedOn w:val="DefaultParagraphFont"/>
    <w:uiPriority w:val="99"/>
    <w:semiHidden/>
    <w:unhideWhenUsed/>
    <w:rsid w:val="0077365A"/>
    <w:rPr>
      <w:color w:val="605E5C"/>
      <w:shd w:val="clear" w:color="auto" w:fill="E1DFDD"/>
    </w:rPr>
  </w:style>
  <w:style w:type="paragraph" w:styleId="Header">
    <w:name w:val="header"/>
    <w:basedOn w:val="Normal"/>
    <w:link w:val="HeaderChar"/>
    <w:uiPriority w:val="99"/>
    <w:unhideWhenUsed/>
    <w:rsid w:val="00325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A50"/>
    <w:rPr>
      <w:rFonts w:asciiTheme="minorHAnsi" w:eastAsiaTheme="minorHAnsi" w:hAnsiTheme="minorHAnsi" w:cstheme="minorBidi"/>
      <w:kern w:val="2"/>
      <w:sz w:val="22"/>
      <w:szCs w:val="22"/>
      <w:lang w:val="en-US" w:eastAsia="en-US" w:bidi="ar-SA"/>
      <w14:ligatures w14:val="standardContextual"/>
    </w:rPr>
  </w:style>
  <w:style w:type="paragraph" w:styleId="Footer">
    <w:name w:val="footer"/>
    <w:basedOn w:val="Normal"/>
    <w:link w:val="FooterChar"/>
    <w:uiPriority w:val="99"/>
    <w:unhideWhenUsed/>
    <w:rsid w:val="00325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A50"/>
    <w:rPr>
      <w:rFonts w:asciiTheme="minorHAnsi" w:eastAsiaTheme="minorHAnsi" w:hAnsiTheme="minorHAnsi" w:cstheme="minorBidi"/>
      <w:kern w:val="2"/>
      <w:sz w:val="22"/>
      <w:szCs w:val="22"/>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7860/JCDR/2017/27287.10421" TargetMode="External"/><Relationship Id="rId13" Type="http://schemas.openxmlformats.org/officeDocument/2006/relationships/hyperlink" Target="https://mohfw.nic.in/sites/default/files/Annual%20Report%202023-24.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1016/j.aopr.2024.04.00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en/news-room/fact-sheets/detail/blindness-and-visual-impairmen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bai.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who.int/en/news-room/fact-sheets/detail/blindness-and-visual-impairment"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ccba53246824801/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mn-lt"/>
                <a:ea typeface="+mn-ea"/>
                <a:cs typeface="+mn-cs"/>
              </a:defRPr>
            </a:pPr>
            <a:r>
              <a:rPr lang="en-IN" sz="1100" b="1" i="0" u="none" strike="noStrike" baseline="0">
                <a:effectLst/>
              </a:rPr>
              <a:t>Awareness and willingness toward eye donation among participants</a:t>
            </a:r>
            <a:endParaRPr lang="en-IN" sz="1100"/>
          </a:p>
        </c:rich>
      </c:tx>
      <c:overlay val="0"/>
      <c:spPr>
        <a:noFill/>
        <a:ln>
          <a:noFill/>
        </a:ln>
        <a:effectLst/>
      </c:spPr>
      <c:txPr>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Sheet1!$A$2:$A$6</c:f>
              <c:strCache>
                <c:ptCount val="5"/>
                <c:pt idx="0">
                  <c:v>Awareness of eye donation</c:v>
                </c:pt>
                <c:pt idx="1">
                  <c:v>Correct knowledge (cornea identified)</c:v>
                </c:pt>
                <c:pt idx="2">
                  <c:v>Belief that donation doesn’t disfigure face</c:v>
                </c:pt>
                <c:pt idx="3">
                  <c:v>Knowledge that family consent is needed</c:v>
                </c:pt>
                <c:pt idx="4">
                  <c:v>Willingness to donate eyes</c:v>
                </c:pt>
              </c:strCache>
            </c:strRef>
          </c:cat>
          <c:val>
            <c:numRef>
              <c:f>Sheet1!$B$2:$B$6</c:f>
              <c:numCache>
                <c:formatCode>General</c:formatCode>
                <c:ptCount val="5"/>
                <c:pt idx="0">
                  <c:v>92.9</c:v>
                </c:pt>
                <c:pt idx="1">
                  <c:v>62.4</c:v>
                </c:pt>
                <c:pt idx="2">
                  <c:v>77.599999999999994</c:v>
                </c:pt>
                <c:pt idx="3">
                  <c:v>87.1</c:v>
                </c:pt>
                <c:pt idx="4">
                  <c:v>70.599999999999994</c:v>
                </c:pt>
              </c:numCache>
            </c:numRef>
          </c:val>
          <c:extLst>
            <c:ext xmlns:c16="http://schemas.microsoft.com/office/drawing/2014/chart" uri="{C3380CC4-5D6E-409C-BE32-E72D297353CC}">
              <c16:uniqueId val="{00000000-5940-4113-B6E7-FAA3444B65C0}"/>
            </c:ext>
          </c:extLst>
        </c:ser>
        <c:dLbls>
          <c:showLegendKey val="0"/>
          <c:showVal val="0"/>
          <c:showCatName val="0"/>
          <c:showSerName val="0"/>
          <c:showPercent val="0"/>
          <c:showBubbleSize val="0"/>
        </c:dLbls>
        <c:gapWidth val="219"/>
        <c:overlap val="-27"/>
        <c:axId val="506459167"/>
        <c:axId val="506461087"/>
      </c:barChart>
      <c:catAx>
        <c:axId val="506459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6461087"/>
        <c:crosses val="autoZero"/>
        <c:auto val="1"/>
        <c:lblAlgn val="ctr"/>
        <c:lblOffset val="100"/>
        <c:noMultiLvlLbl val="0"/>
      </c:catAx>
      <c:valAx>
        <c:axId val="506461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6459167"/>
        <c:crosses val="autoZero"/>
        <c:crossBetween val="between"/>
      </c:valAx>
      <c:spPr>
        <a:noFill/>
        <a:ln>
          <a:noFill/>
        </a:ln>
        <a:effectLst/>
      </c:spPr>
    </c:plotArea>
    <c:plotVisOnly val="1"/>
    <c:dispBlanksAs val="gap"/>
    <c:showDLblsOverMax val="0"/>
    <c:extLst>
      <c:ext uri="{0b15fc19-7d7d-44ad-8c2d-2c3a37ce22c3}">
        <chartProps xmlns="https://web.wps.cn/et/2018/main" chartId="{7a7677e0-2baa-40c3-a6ab-c8273579524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Ragni Kumari</dc:creator>
  <cp:lastModifiedBy>SDI 1084</cp:lastModifiedBy>
  <cp:revision>13</cp:revision>
  <dcterms:created xsi:type="dcterms:W3CDTF">2025-11-07T04:22:00Z</dcterms:created>
  <dcterms:modified xsi:type="dcterms:W3CDTF">2025-12-16T10:55:00Z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DF155C5890C6434FBBF6202AC68D1167_13</vt:lpwstr>
  </property>
</Properties>
</file>