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E752E" w14:textId="77777777" w:rsidR="00BF3F30" w:rsidRDefault="00BF3F30" w:rsidP="00BF3F30">
      <w:pPr>
        <w:pStyle w:val="s10"/>
        <w:spacing w:before="0" w:beforeAutospacing="0" w:after="120" w:afterAutospacing="0"/>
        <w:rPr>
          <w:rStyle w:val="bumpedfont15"/>
          <w:b/>
          <w:bCs/>
          <w:color w:val="000000"/>
          <w:sz w:val="28"/>
          <w:szCs w:val="28"/>
          <w:u w:val="single"/>
        </w:rPr>
      </w:pPr>
      <w:r w:rsidRPr="00BF3F30">
        <w:rPr>
          <w:rStyle w:val="bumpedfont15"/>
          <w:b/>
          <w:bCs/>
          <w:color w:val="000000"/>
          <w:sz w:val="28"/>
          <w:szCs w:val="28"/>
          <w:u w:val="single"/>
        </w:rPr>
        <w:t xml:space="preserve">Original Research Article </w:t>
      </w:r>
    </w:p>
    <w:p w14:paraId="3850BC75" w14:textId="47116C8F" w:rsidR="0068605D" w:rsidRDefault="004B0948" w:rsidP="004B0948">
      <w:pPr>
        <w:pStyle w:val="s10"/>
        <w:spacing w:before="0" w:beforeAutospacing="0" w:after="120" w:afterAutospacing="0"/>
        <w:jc w:val="center"/>
        <w:rPr>
          <w:rStyle w:val="bumpedfont15"/>
          <w:b/>
          <w:bCs/>
          <w:color w:val="000000"/>
          <w:sz w:val="28"/>
          <w:szCs w:val="28"/>
        </w:rPr>
      </w:pPr>
      <w:r w:rsidRPr="004B0948">
        <w:rPr>
          <w:rStyle w:val="bumpedfont15"/>
          <w:b/>
          <w:bCs/>
          <w:color w:val="000000"/>
          <w:sz w:val="28"/>
          <w:szCs w:val="28"/>
        </w:rPr>
        <w:t>EVALUATION OF THE KNOWLEDGE AND PRACTICAL ATTITUDES OF GENERAL PRACTITIONERS REGARDING HELICOBACTER PYLORI INFECTION IN THE BAMAKO DISTRICT</w:t>
      </w:r>
    </w:p>
    <w:p w14:paraId="436CC1C7" w14:textId="77777777" w:rsidR="009832DA" w:rsidRDefault="009832DA" w:rsidP="00045FC9">
      <w:pPr>
        <w:pStyle w:val="s10"/>
        <w:spacing w:after="120"/>
        <w:ind w:left="405"/>
        <w:rPr>
          <w:color w:val="000000"/>
          <w:sz w:val="20"/>
          <w:szCs w:val="20"/>
          <w:lang w:val="fr-FR"/>
        </w:rPr>
      </w:pPr>
    </w:p>
    <w:p w14:paraId="2834937C" w14:textId="77777777" w:rsidR="00E44805" w:rsidRDefault="00E44805" w:rsidP="00045FC9">
      <w:pPr>
        <w:pStyle w:val="s10"/>
        <w:spacing w:after="120"/>
        <w:ind w:left="405"/>
        <w:rPr>
          <w:color w:val="000000"/>
          <w:sz w:val="20"/>
          <w:szCs w:val="20"/>
          <w:lang w:val="fr-FR"/>
        </w:rPr>
      </w:pPr>
    </w:p>
    <w:p w14:paraId="2AA809D5" w14:textId="1D2C1A3F" w:rsidR="00E44805" w:rsidRPr="00045FC9" w:rsidRDefault="00E44805" w:rsidP="00E44805">
      <w:pPr>
        <w:pStyle w:val="s10"/>
        <w:spacing w:after="120"/>
        <w:rPr>
          <w:color w:val="000000"/>
          <w:sz w:val="20"/>
          <w:szCs w:val="20"/>
          <w:lang w:val="fr-FR"/>
        </w:rPr>
      </w:pPr>
      <w:r w:rsidRPr="00B51CA3">
        <w:rPr>
          <w:rStyle w:val="bumpedfont15"/>
          <w:b/>
          <w:bCs/>
          <w:color w:val="000000"/>
          <w:sz w:val="28"/>
          <w:szCs w:val="28"/>
        </w:rPr>
        <w:t>ABSTRACT</w:t>
      </w:r>
    </w:p>
    <w:p w14:paraId="0C5AAEF2" w14:textId="172E18A9" w:rsidR="0068605D" w:rsidRPr="00B51CA3" w:rsidRDefault="0068605D" w:rsidP="0068605D">
      <w:pPr>
        <w:pStyle w:val="s12"/>
        <w:spacing w:before="0" w:beforeAutospacing="0" w:after="120" w:afterAutospacing="0"/>
        <w:rPr>
          <w:color w:val="000000"/>
          <w:sz w:val="20"/>
          <w:szCs w:val="20"/>
        </w:rPr>
      </w:pPr>
      <w:r w:rsidRPr="00B51CA3">
        <w:rPr>
          <w:rStyle w:val="bumpedfont15"/>
          <w:b/>
          <w:bCs/>
          <w:color w:val="000000"/>
          <w:sz w:val="28"/>
          <w:szCs w:val="28"/>
        </w:rPr>
        <w:t>Introduction :</w:t>
      </w:r>
      <w:r w:rsidR="004B0948">
        <w:rPr>
          <w:rStyle w:val="bumpedfont15"/>
          <w:b/>
          <w:bCs/>
          <w:color w:val="000000"/>
          <w:sz w:val="28"/>
          <w:szCs w:val="28"/>
        </w:rPr>
        <w:t xml:space="preserve"> </w:t>
      </w:r>
      <w:r w:rsidRPr="004B0948">
        <w:rPr>
          <w:rStyle w:val="bumpedfont15"/>
          <w:i/>
          <w:iCs/>
          <w:color w:val="000000"/>
          <w:sz w:val="28"/>
          <w:szCs w:val="28"/>
        </w:rPr>
        <w:t>Helicobacter pylori</w:t>
      </w:r>
      <w:r w:rsidR="004B0948">
        <w:rPr>
          <w:rStyle w:val="bumpedfont15"/>
          <w:i/>
          <w:iCs/>
          <w:color w:val="000000"/>
          <w:sz w:val="28"/>
          <w:szCs w:val="28"/>
        </w:rPr>
        <w:t xml:space="preserve"> (H. pylori)</w:t>
      </w:r>
      <w:r w:rsidRPr="00B51CA3">
        <w:rPr>
          <w:rStyle w:val="bumpedfont15"/>
          <w:color w:val="000000"/>
          <w:sz w:val="28"/>
          <w:szCs w:val="28"/>
        </w:rPr>
        <w:t xml:space="preserve"> infection is one of the most widespread bacterial infections worldwide and a major public health problem in developing countries. It is implicated in the development of numerous digestive disorders, including chronic gastritis, peptic ulcers, and certain gastric cancers. In Mali, the high prevalence of the infection and the heterogeneity of medical practices justify an assessment of general practitioners' knowledge and attitudes toward this disease.</w:t>
      </w:r>
    </w:p>
    <w:p w14:paraId="0DF6369C"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b/>
          <w:bCs/>
          <w:color w:val="000000"/>
          <w:sz w:val="28"/>
          <w:szCs w:val="28"/>
        </w:rPr>
        <w:t>Objective</w:t>
      </w:r>
      <w:proofErr w:type="gramStart"/>
      <w:r w:rsidRPr="00B51CA3">
        <w:rPr>
          <w:rStyle w:val="bumpedfont15"/>
          <w:b/>
          <w:bCs/>
          <w:color w:val="000000"/>
          <w:sz w:val="28"/>
          <w:szCs w:val="28"/>
        </w:rPr>
        <w:t xml:space="preserve"> :</w:t>
      </w:r>
      <w:r w:rsidRPr="00B51CA3">
        <w:rPr>
          <w:rStyle w:val="bumpedfont15"/>
          <w:color w:val="000000"/>
          <w:sz w:val="28"/>
          <w:szCs w:val="28"/>
        </w:rPr>
        <w:t>Evaluate</w:t>
      </w:r>
      <w:proofErr w:type="gramEnd"/>
      <w:r w:rsidRPr="00B51CA3">
        <w:rPr>
          <w:rStyle w:val="bumpedfont15"/>
          <w:color w:val="000000"/>
          <w:sz w:val="28"/>
          <w:szCs w:val="28"/>
        </w:rPr>
        <w:t xml:space="preserve"> the knowledge and practical attitudes of general practitioners working in the Reference Health Centers (CSREF) of the Bamako district.</w:t>
      </w:r>
    </w:p>
    <w:p w14:paraId="3999B718" w14:textId="77777777" w:rsidR="0068605D" w:rsidRPr="00B51CA3" w:rsidRDefault="0068605D" w:rsidP="0068605D">
      <w:pPr>
        <w:pStyle w:val="s12"/>
        <w:spacing w:before="0" w:beforeAutospacing="0" w:after="120" w:afterAutospacing="0"/>
        <w:rPr>
          <w:color w:val="000000"/>
          <w:sz w:val="20"/>
          <w:szCs w:val="20"/>
        </w:rPr>
      </w:pPr>
      <w:proofErr w:type="gramStart"/>
      <w:r w:rsidRPr="00B51CA3">
        <w:rPr>
          <w:rStyle w:val="bumpedfont15"/>
          <w:b/>
          <w:bCs/>
          <w:color w:val="000000"/>
          <w:sz w:val="28"/>
          <w:szCs w:val="28"/>
        </w:rPr>
        <w:t>Methodology:</w:t>
      </w:r>
      <w:r w:rsidRPr="00B51CA3">
        <w:rPr>
          <w:rStyle w:val="bumpedfont15"/>
          <w:color w:val="000000"/>
          <w:sz w:val="28"/>
          <w:szCs w:val="28"/>
        </w:rPr>
        <w:t>This</w:t>
      </w:r>
      <w:proofErr w:type="gramEnd"/>
      <w:r w:rsidRPr="00B51CA3">
        <w:rPr>
          <w:rStyle w:val="bumpedfont15"/>
          <w:color w:val="000000"/>
          <w:sz w:val="28"/>
          <w:szCs w:val="28"/>
        </w:rPr>
        <w:t xml:space="preserve"> was a descriptive cross-sectional study conducted from March 20, 2024, to March 31, 2025, among general practitioners at community health centers (CSREFs) in the six communes of the Bamako district. Data were collected using a structured questionnaire assessing knowledge, diagnostic attitudes, and therapeutic practices. Statistical analysis was performed using SPSS software, employing the chi-square and Fisher's exact tests with a significance threshold set at p &lt; 0.05.</w:t>
      </w:r>
    </w:p>
    <w:p w14:paraId="5911E4F1"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b/>
          <w:bCs/>
          <w:color w:val="000000"/>
          <w:sz w:val="28"/>
          <w:szCs w:val="28"/>
        </w:rPr>
        <w:t>Results</w:t>
      </w:r>
      <w:proofErr w:type="gramStart"/>
      <w:r w:rsidRPr="00B51CA3">
        <w:rPr>
          <w:rStyle w:val="bumpedfont15"/>
          <w:b/>
          <w:bCs/>
          <w:color w:val="000000"/>
          <w:sz w:val="28"/>
          <w:szCs w:val="28"/>
        </w:rPr>
        <w:t xml:space="preserve"> :</w:t>
      </w:r>
      <w:r w:rsidRPr="00B51CA3">
        <w:rPr>
          <w:rStyle w:val="bumpedfont15"/>
          <w:color w:val="000000"/>
          <w:sz w:val="28"/>
          <w:szCs w:val="28"/>
        </w:rPr>
        <w:t>The</w:t>
      </w:r>
      <w:proofErr w:type="gramEnd"/>
      <w:r w:rsidRPr="00B51CA3">
        <w:rPr>
          <w:rStyle w:val="bumpedfont15"/>
          <w:color w:val="000000"/>
          <w:sz w:val="28"/>
          <w:szCs w:val="28"/>
        </w:rPr>
        <w:t xml:space="preserve"> study included 109 general practitioners, predominantly male (65.1%), with a predominance of practitioners under 30 years of age (40.4%). Almost all (92.7%) had already diagnosed a case of </w:t>
      </w:r>
      <w:r w:rsidRPr="004B0948">
        <w:rPr>
          <w:rStyle w:val="bumpedfont15"/>
          <w:i/>
          <w:iCs/>
          <w:color w:val="000000"/>
          <w:sz w:val="28"/>
          <w:szCs w:val="28"/>
        </w:rPr>
        <w:t>H. pylori</w:t>
      </w:r>
      <w:r w:rsidRPr="00B51CA3">
        <w:rPr>
          <w:rStyle w:val="bumpedfont15"/>
          <w:color w:val="000000"/>
          <w:sz w:val="28"/>
          <w:szCs w:val="28"/>
        </w:rPr>
        <w:t xml:space="preserve"> infection. Epigastric pain was the most frequently reported symptom (86.2%). The most commonly mentioned routes of transmission were oral-oral (63.3%) and fecal-oral (55.9%). Gastroduodenal ulcer (98.2%), gastric cancer (70.6%), and chronic gastritis (64.2%) were the most frequently associated pathologies. Regarding indications for screening, gastroduodenal ulcer was the most frequently cited (97.2%). Serology was the most commonly used first-line diagnostic test (68.8%), while only 19.3% used the breath test. Therapeutic practices were variable and the use of recommended protocols remained uneven.</w:t>
      </w:r>
    </w:p>
    <w:p w14:paraId="1E88C77F"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b/>
          <w:bCs/>
          <w:color w:val="000000"/>
          <w:sz w:val="28"/>
          <w:szCs w:val="28"/>
        </w:rPr>
        <w:t>Conclusion</w:t>
      </w:r>
      <w:proofErr w:type="gramStart"/>
      <w:r w:rsidRPr="00B51CA3">
        <w:rPr>
          <w:rStyle w:val="bumpedfont15"/>
          <w:b/>
          <w:bCs/>
          <w:color w:val="000000"/>
          <w:sz w:val="28"/>
          <w:szCs w:val="28"/>
        </w:rPr>
        <w:t xml:space="preserve"> :</w:t>
      </w:r>
      <w:r w:rsidRPr="00B51CA3">
        <w:rPr>
          <w:rStyle w:val="bumpedfont15"/>
          <w:color w:val="000000"/>
          <w:sz w:val="28"/>
          <w:szCs w:val="28"/>
        </w:rPr>
        <w:t>This</w:t>
      </w:r>
      <w:proofErr w:type="gramEnd"/>
      <w:r w:rsidRPr="00B51CA3">
        <w:rPr>
          <w:rStyle w:val="bumpedfont15"/>
          <w:color w:val="000000"/>
          <w:sz w:val="28"/>
          <w:szCs w:val="28"/>
        </w:rPr>
        <w:t xml:space="preserve"> study highlights significant disparities in the knowledge and practices of general practitioners regarding </w:t>
      </w:r>
      <w:r w:rsidRPr="004B0948">
        <w:rPr>
          <w:rStyle w:val="bumpedfont15"/>
          <w:i/>
          <w:iCs/>
          <w:color w:val="000000"/>
          <w:sz w:val="28"/>
          <w:szCs w:val="28"/>
        </w:rPr>
        <w:t>H. pylori</w:t>
      </w:r>
      <w:r w:rsidRPr="00B51CA3">
        <w:rPr>
          <w:rStyle w:val="bumpedfont15"/>
          <w:color w:val="000000"/>
          <w:sz w:val="28"/>
          <w:szCs w:val="28"/>
        </w:rPr>
        <w:t xml:space="preserve"> infection in the Bamako district and international guidelines. Improved continuing education and the </w:t>
      </w:r>
      <w:r w:rsidRPr="00B51CA3">
        <w:rPr>
          <w:rStyle w:val="bumpedfont15"/>
          <w:color w:val="000000"/>
          <w:sz w:val="28"/>
          <w:szCs w:val="28"/>
        </w:rPr>
        <w:lastRenderedPageBreak/>
        <w:t>dissemination of updated recommendations are necessary to optimize the management of this infection.</w:t>
      </w:r>
    </w:p>
    <w:p w14:paraId="005A13BB" w14:textId="77777777" w:rsidR="0068605D" w:rsidRPr="00B51CA3" w:rsidRDefault="0068605D" w:rsidP="0068605D">
      <w:pPr>
        <w:pStyle w:val="s12"/>
        <w:spacing w:before="0" w:beforeAutospacing="0" w:after="120" w:afterAutospacing="0"/>
        <w:rPr>
          <w:color w:val="000000"/>
          <w:sz w:val="20"/>
          <w:szCs w:val="20"/>
        </w:rPr>
      </w:pPr>
      <w:proofErr w:type="gramStart"/>
      <w:r w:rsidRPr="00B51CA3">
        <w:rPr>
          <w:rStyle w:val="bumpedfont15"/>
          <w:color w:val="000000"/>
          <w:sz w:val="28"/>
          <w:szCs w:val="28"/>
        </w:rPr>
        <w:t>Keywords:</w:t>
      </w:r>
      <w:proofErr w:type="gramEnd"/>
      <w:r w:rsidRPr="00B51CA3">
        <w:rPr>
          <w:rStyle w:val="bumpedfont15"/>
          <w:color w:val="000000"/>
          <w:sz w:val="28"/>
          <w:szCs w:val="28"/>
        </w:rPr>
        <w:t xml:space="preserve"> </w:t>
      </w:r>
      <w:r w:rsidRPr="004B0948">
        <w:rPr>
          <w:rStyle w:val="bumpedfont15"/>
          <w:i/>
          <w:iCs/>
          <w:color w:val="000000"/>
          <w:sz w:val="28"/>
          <w:szCs w:val="28"/>
        </w:rPr>
        <w:t>Helicobacter pylori</w:t>
      </w:r>
      <w:r w:rsidRPr="00B51CA3">
        <w:rPr>
          <w:rStyle w:val="bumpedfont15"/>
          <w:color w:val="000000"/>
          <w:sz w:val="28"/>
          <w:szCs w:val="28"/>
        </w:rPr>
        <w:t>, practices, knowledge</w:t>
      </w:r>
    </w:p>
    <w:p w14:paraId="006347BC" w14:textId="77777777" w:rsidR="00B51CA3" w:rsidRDefault="00B51CA3" w:rsidP="0068605D">
      <w:pPr>
        <w:pStyle w:val="s10"/>
        <w:spacing w:before="0" w:beforeAutospacing="0" w:after="120" w:afterAutospacing="0"/>
        <w:rPr>
          <w:rStyle w:val="bumpedfont15"/>
          <w:b/>
          <w:bCs/>
          <w:color w:val="000000"/>
          <w:sz w:val="28"/>
          <w:szCs w:val="28"/>
        </w:rPr>
      </w:pPr>
    </w:p>
    <w:p w14:paraId="1B30AE7A" w14:textId="77777777" w:rsidR="00B51CA3" w:rsidRDefault="00B51CA3" w:rsidP="0068605D">
      <w:pPr>
        <w:pStyle w:val="s10"/>
        <w:spacing w:before="0" w:beforeAutospacing="0" w:after="120" w:afterAutospacing="0"/>
        <w:rPr>
          <w:rStyle w:val="bumpedfont15"/>
          <w:b/>
          <w:bCs/>
          <w:color w:val="000000"/>
          <w:sz w:val="28"/>
          <w:szCs w:val="28"/>
        </w:rPr>
      </w:pPr>
    </w:p>
    <w:p w14:paraId="2E7F0131" w14:textId="77777777" w:rsidR="00B51CA3" w:rsidRDefault="00B51CA3" w:rsidP="0068605D">
      <w:pPr>
        <w:pStyle w:val="s10"/>
        <w:spacing w:before="0" w:beforeAutospacing="0" w:after="120" w:afterAutospacing="0"/>
        <w:rPr>
          <w:rStyle w:val="bumpedfont15"/>
          <w:b/>
          <w:bCs/>
          <w:color w:val="000000"/>
          <w:sz w:val="28"/>
          <w:szCs w:val="28"/>
        </w:rPr>
      </w:pPr>
    </w:p>
    <w:p w14:paraId="7216DF33" w14:textId="77777777" w:rsidR="00B51CA3" w:rsidRDefault="00B51CA3" w:rsidP="0068605D">
      <w:pPr>
        <w:pStyle w:val="s10"/>
        <w:spacing w:before="0" w:beforeAutospacing="0" w:after="120" w:afterAutospacing="0"/>
        <w:rPr>
          <w:rStyle w:val="bumpedfont15"/>
          <w:b/>
          <w:bCs/>
          <w:color w:val="000000"/>
          <w:sz w:val="28"/>
          <w:szCs w:val="28"/>
        </w:rPr>
      </w:pPr>
    </w:p>
    <w:p w14:paraId="58BE0C82" w14:textId="77777777" w:rsidR="00B51CA3" w:rsidRDefault="00B51CA3" w:rsidP="0068605D">
      <w:pPr>
        <w:pStyle w:val="s12"/>
        <w:spacing w:before="0" w:beforeAutospacing="0" w:after="120" w:afterAutospacing="0"/>
        <w:rPr>
          <w:rStyle w:val="bumpedfont15"/>
          <w:b/>
          <w:bCs/>
          <w:color w:val="000000"/>
          <w:sz w:val="28"/>
          <w:szCs w:val="28"/>
        </w:rPr>
      </w:pPr>
    </w:p>
    <w:p w14:paraId="346E149B" w14:textId="77777777" w:rsidR="00B51CA3" w:rsidRDefault="00B51CA3" w:rsidP="0068605D">
      <w:pPr>
        <w:pStyle w:val="s12"/>
        <w:spacing w:before="0" w:beforeAutospacing="0" w:after="120" w:afterAutospacing="0"/>
        <w:rPr>
          <w:rStyle w:val="bumpedfont15"/>
          <w:b/>
          <w:bCs/>
          <w:color w:val="000000"/>
          <w:sz w:val="28"/>
          <w:szCs w:val="28"/>
        </w:rPr>
      </w:pPr>
    </w:p>
    <w:p w14:paraId="2A88DBCF" w14:textId="77777777" w:rsidR="00B51CA3" w:rsidRDefault="00B51CA3" w:rsidP="0068605D">
      <w:pPr>
        <w:pStyle w:val="s12"/>
        <w:spacing w:before="0" w:beforeAutospacing="0" w:after="120" w:afterAutospacing="0"/>
        <w:rPr>
          <w:rStyle w:val="bumpedfont15"/>
          <w:b/>
          <w:bCs/>
          <w:color w:val="000000"/>
          <w:sz w:val="28"/>
          <w:szCs w:val="28"/>
        </w:rPr>
      </w:pPr>
    </w:p>
    <w:p w14:paraId="505551A6" w14:textId="77777777" w:rsidR="00B51CA3" w:rsidRDefault="00B51CA3" w:rsidP="0068605D">
      <w:pPr>
        <w:pStyle w:val="s12"/>
        <w:spacing w:before="0" w:beforeAutospacing="0" w:after="120" w:afterAutospacing="0"/>
        <w:rPr>
          <w:rStyle w:val="bumpedfont15"/>
          <w:b/>
          <w:bCs/>
          <w:color w:val="000000"/>
          <w:sz w:val="28"/>
          <w:szCs w:val="28"/>
        </w:rPr>
      </w:pPr>
    </w:p>
    <w:p w14:paraId="66A68130" w14:textId="5F65680B" w:rsidR="0068605D" w:rsidRPr="00B51CA3" w:rsidRDefault="0068605D" w:rsidP="0068605D">
      <w:pPr>
        <w:pStyle w:val="s12"/>
        <w:spacing w:before="0" w:beforeAutospacing="0" w:after="120" w:afterAutospacing="0"/>
        <w:rPr>
          <w:color w:val="000000"/>
          <w:sz w:val="20"/>
          <w:szCs w:val="20"/>
        </w:rPr>
      </w:pPr>
      <w:r w:rsidRPr="00B51CA3">
        <w:rPr>
          <w:rStyle w:val="bumpedfont15"/>
          <w:b/>
          <w:bCs/>
          <w:color w:val="000000"/>
          <w:sz w:val="28"/>
          <w:szCs w:val="28"/>
        </w:rPr>
        <w:t>Introduction</w:t>
      </w:r>
    </w:p>
    <w:p w14:paraId="1CB6EF19" w14:textId="5E74BC19" w:rsidR="0068605D" w:rsidRPr="00B51CA3" w:rsidRDefault="0068605D" w:rsidP="0068605D">
      <w:pPr>
        <w:pStyle w:val="s12"/>
        <w:spacing w:before="0" w:beforeAutospacing="0" w:after="120" w:afterAutospacing="0"/>
        <w:rPr>
          <w:color w:val="000000"/>
          <w:sz w:val="20"/>
          <w:szCs w:val="20"/>
        </w:rPr>
      </w:pPr>
      <w:r w:rsidRPr="004B0948">
        <w:rPr>
          <w:rStyle w:val="bumpedfont15"/>
          <w:i/>
          <w:iCs/>
          <w:color w:val="000000"/>
          <w:sz w:val="28"/>
          <w:szCs w:val="28"/>
        </w:rPr>
        <w:t>Helicobacter pylori</w:t>
      </w:r>
      <w:r w:rsidR="004B0948" w:rsidRPr="004B0948">
        <w:rPr>
          <w:rStyle w:val="bumpedfont15"/>
          <w:i/>
          <w:iCs/>
          <w:color w:val="000000"/>
          <w:sz w:val="28"/>
          <w:szCs w:val="28"/>
        </w:rPr>
        <w:t xml:space="preserve"> </w:t>
      </w:r>
      <w:r w:rsidRPr="004B0948">
        <w:rPr>
          <w:rStyle w:val="bumpedfont15"/>
          <w:i/>
          <w:iCs/>
          <w:color w:val="000000"/>
          <w:sz w:val="28"/>
          <w:szCs w:val="28"/>
        </w:rPr>
        <w:t>(H. pylori)</w:t>
      </w:r>
      <w:r w:rsidRPr="00B51CA3">
        <w:rPr>
          <w:rStyle w:val="bumpedfont15"/>
          <w:color w:val="000000"/>
          <w:sz w:val="28"/>
          <w:szCs w:val="28"/>
        </w:rPr>
        <w:t xml:space="preserve"> is a Gram-negative, spiral-shaped, flagellated bacillus that was first isolated and cultured in 1982 from gastric biopsies by two Australian researchers, J. Robin Warren and Barry J. </w:t>
      </w:r>
      <w:proofErr w:type="gramStart"/>
      <w:r w:rsidRPr="00B51CA3">
        <w:rPr>
          <w:rStyle w:val="bumpedfont15"/>
          <w:color w:val="000000"/>
          <w:sz w:val="28"/>
          <w:szCs w:val="28"/>
        </w:rPr>
        <w:t>Marshall.[</w:t>
      </w:r>
      <w:proofErr w:type="gramEnd"/>
      <w:r w:rsidRPr="00B51CA3">
        <w:rPr>
          <w:rStyle w:val="bumpedfont15"/>
          <w:color w:val="000000"/>
          <w:sz w:val="28"/>
          <w:szCs w:val="28"/>
        </w:rPr>
        <w:t>1].</w:t>
      </w:r>
    </w:p>
    <w:p w14:paraId="30FF51B3" w14:textId="542A1662"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Its role in the development of digestive diseases is well established. The lesions caused are primarily chronic gastritis, gastroduodenal ulcers, MALT lymphoma, and gastric </w:t>
      </w:r>
      <w:proofErr w:type="gramStart"/>
      <w:r w:rsidRPr="00B51CA3">
        <w:rPr>
          <w:rStyle w:val="bumpedfont15"/>
          <w:color w:val="000000"/>
          <w:sz w:val="28"/>
          <w:szCs w:val="28"/>
        </w:rPr>
        <w:t>adenocarcinoma.[</w:t>
      </w:r>
      <w:proofErr w:type="gramEnd"/>
      <w:r w:rsidRPr="00B51CA3">
        <w:rPr>
          <w:rStyle w:val="bumpedfont15"/>
          <w:color w:val="000000"/>
          <w:sz w:val="28"/>
          <w:szCs w:val="28"/>
        </w:rPr>
        <w:t>2]</w:t>
      </w:r>
      <w:r w:rsidR="004B0948">
        <w:rPr>
          <w:rStyle w:val="bumpedfont15"/>
          <w:color w:val="000000"/>
          <w:sz w:val="28"/>
          <w:szCs w:val="28"/>
        </w:rPr>
        <w:t xml:space="preserve">. </w:t>
      </w:r>
      <w:r w:rsidRPr="004B0948">
        <w:rPr>
          <w:rStyle w:val="bumpedfont15"/>
          <w:i/>
          <w:iCs/>
          <w:color w:val="000000"/>
          <w:sz w:val="28"/>
          <w:szCs w:val="28"/>
        </w:rPr>
        <w:t>H. pylori</w:t>
      </w:r>
      <w:r w:rsidRPr="00B51CA3">
        <w:rPr>
          <w:rStyle w:val="bumpedfont15"/>
          <w:color w:val="000000"/>
          <w:sz w:val="28"/>
          <w:szCs w:val="28"/>
        </w:rPr>
        <w:t xml:space="preserve"> is also recognized as a human carcinogen by the WHO.</w:t>
      </w:r>
    </w:p>
    <w:p w14:paraId="4DEDFBAB"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Eradication of </w:t>
      </w:r>
      <w:r w:rsidRPr="004B0948">
        <w:rPr>
          <w:rStyle w:val="bumpedfont15"/>
          <w:i/>
          <w:iCs/>
          <w:color w:val="000000"/>
          <w:sz w:val="28"/>
          <w:szCs w:val="28"/>
        </w:rPr>
        <w:t>Helicobacter pylori</w:t>
      </w:r>
      <w:r w:rsidRPr="00B51CA3">
        <w:rPr>
          <w:rStyle w:val="bumpedfont15"/>
          <w:color w:val="000000"/>
          <w:sz w:val="28"/>
          <w:szCs w:val="28"/>
        </w:rPr>
        <w:t xml:space="preserve"> makes it possible to modify the natural history of gastroduodenal pathologies related to it.</w:t>
      </w:r>
    </w:p>
    <w:p w14:paraId="3DDCBF70"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The prevalence of </w:t>
      </w:r>
      <w:r w:rsidRPr="004B0948">
        <w:rPr>
          <w:rStyle w:val="bumpedfont15"/>
          <w:i/>
          <w:iCs/>
          <w:color w:val="000000"/>
          <w:sz w:val="28"/>
          <w:szCs w:val="28"/>
        </w:rPr>
        <w:t>Helicobacter pylori</w:t>
      </w:r>
      <w:r w:rsidRPr="00B51CA3">
        <w:rPr>
          <w:rStyle w:val="bumpedfont15"/>
          <w:color w:val="000000"/>
          <w:sz w:val="28"/>
          <w:szCs w:val="28"/>
        </w:rPr>
        <w:t xml:space="preserve"> varies from one geographical location to another. The infection rate can exceed 90% in developing countries like Mali because the infection is strongly associated with socioeconomic </w:t>
      </w:r>
      <w:proofErr w:type="gramStart"/>
      <w:r w:rsidRPr="00B51CA3">
        <w:rPr>
          <w:rStyle w:val="bumpedfont15"/>
          <w:color w:val="000000"/>
          <w:sz w:val="28"/>
          <w:szCs w:val="28"/>
        </w:rPr>
        <w:t>conditions.[</w:t>
      </w:r>
      <w:proofErr w:type="gramEnd"/>
      <w:r w:rsidRPr="00B51CA3">
        <w:rPr>
          <w:rStyle w:val="bumpedfont15"/>
          <w:color w:val="000000"/>
          <w:sz w:val="28"/>
          <w:szCs w:val="28"/>
        </w:rPr>
        <w:t>3].</w:t>
      </w:r>
    </w:p>
    <w:p w14:paraId="58A9103D"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A 2014 </w:t>
      </w:r>
      <w:proofErr w:type="gramStart"/>
      <w:r w:rsidRPr="00B51CA3">
        <w:rPr>
          <w:rStyle w:val="bumpedfont15"/>
          <w:color w:val="000000"/>
          <w:sz w:val="28"/>
          <w:szCs w:val="28"/>
        </w:rPr>
        <w:t>email</w:t>
      </w:r>
      <w:proofErr w:type="gramEnd"/>
      <w:r w:rsidRPr="00B51CA3">
        <w:rPr>
          <w:rStyle w:val="bumpedfont15"/>
          <w:color w:val="000000"/>
          <w:sz w:val="28"/>
          <w:szCs w:val="28"/>
        </w:rPr>
        <w:t xml:space="preserve"> survey of 411 general practitioners revealed that their knowledge is sometimes inaccurate regarding eradication indications, diagnostic methods, and treatment modalities. A family history of gastric cancer or the use of NSAIDs were overlooked as indications by 39% and 76% of physicians, respectively. Serology was incorrectly considered a diagnostic test for detecting an ongoing infection by 38% of physicians and essential for monitoring eradication by 26%. The various treatment protocols are followed by only a minority. Sequential therapy and bismuth-based quadruple therapy were used as first-line treatment in 23% and 16% of cases, respectively. Standard triple therapy was still prescribed in 22% of cases, and numerous other treatment modalities were observed, including the prescription of single antibiotics without proton pump inhibitors (PPIs). Eradication testing using a breath test was systematically performed by only 68% of the physicians surveyed, and the </w:t>
      </w:r>
      <w:r w:rsidRPr="00B51CA3">
        <w:rPr>
          <w:rStyle w:val="bumpedfont15"/>
          <w:color w:val="000000"/>
          <w:sz w:val="28"/>
          <w:szCs w:val="28"/>
        </w:rPr>
        <w:lastRenderedPageBreak/>
        <w:t xml:space="preserve">conditions for performing this test (fasting, 4 weeks after stopping antibiotics, 2 weeks after stopping PPIs) were known by 75% of them. In the event of first-line treatment failure, 16% of general practitioners prescribed the same line of treatment, possibly with a longer </w:t>
      </w:r>
      <w:proofErr w:type="gramStart"/>
      <w:r w:rsidRPr="00B51CA3">
        <w:rPr>
          <w:rStyle w:val="bumpedfont15"/>
          <w:color w:val="000000"/>
          <w:sz w:val="28"/>
          <w:szCs w:val="28"/>
        </w:rPr>
        <w:t>duration.[</w:t>
      </w:r>
      <w:proofErr w:type="gramEnd"/>
      <w:r w:rsidRPr="00B51CA3">
        <w:rPr>
          <w:rStyle w:val="bumpedfont15"/>
          <w:color w:val="000000"/>
          <w:sz w:val="28"/>
          <w:szCs w:val="28"/>
        </w:rPr>
        <w:t>4].</w:t>
      </w:r>
    </w:p>
    <w:p w14:paraId="68E0EB38"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Recently, a new class of gastric antisecretory agents, the PCABs (Potassium-Competitive Acid Blockers), has been introduced. These molecules reversibly and competitively inhibit the H⁺/K⁺ ATPase of gastric parietal cells, ensuring faster and more stable acid suppression than PPIs. Vonoprazan, the leading representative, has demonstrated superior efficacy in certain Helicobacter pylori eradication protocols. Although their availability remains limited, PCABs represent a promising therapeutic </w:t>
      </w:r>
      <w:proofErr w:type="gramStart"/>
      <w:r w:rsidRPr="00B51CA3">
        <w:rPr>
          <w:rStyle w:val="bumpedfont15"/>
          <w:color w:val="000000"/>
          <w:sz w:val="28"/>
          <w:szCs w:val="28"/>
        </w:rPr>
        <w:t>alternative.[</w:t>
      </w:r>
      <w:proofErr w:type="gramEnd"/>
      <w:r w:rsidRPr="00B51CA3">
        <w:rPr>
          <w:rStyle w:val="bumpedfont15"/>
          <w:color w:val="000000"/>
          <w:sz w:val="28"/>
          <w:szCs w:val="28"/>
        </w:rPr>
        <w:t>5]</w:t>
      </w:r>
    </w:p>
    <w:p w14:paraId="17ACB53D"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In Africa, there are no consensus guidelines for the diagnosis and treatment of </w:t>
      </w:r>
      <w:r w:rsidRPr="004B0948">
        <w:rPr>
          <w:rStyle w:val="bumpedfont15"/>
          <w:i/>
          <w:iCs/>
          <w:color w:val="000000"/>
          <w:sz w:val="28"/>
          <w:szCs w:val="28"/>
        </w:rPr>
        <w:t>Helicobacter pylori</w:t>
      </w:r>
      <w:r w:rsidRPr="00B51CA3">
        <w:rPr>
          <w:rStyle w:val="bumpedfont15"/>
          <w:color w:val="000000"/>
          <w:sz w:val="28"/>
          <w:szCs w:val="28"/>
        </w:rPr>
        <w:t xml:space="preserve"> infection. Although several reports from the continent have used existing invasive and non-invasive methods for diagnosis and various treatment regimens for disease management and eradication, it is imperative to harmonize protocols. Inadequate health systems and the increasing number of treatment failures due to antibiotic resistance, among other challenges, are pervasive in </w:t>
      </w:r>
      <w:proofErr w:type="gramStart"/>
      <w:r w:rsidRPr="00B51CA3">
        <w:rPr>
          <w:rStyle w:val="bumpedfont15"/>
          <w:color w:val="000000"/>
          <w:sz w:val="28"/>
          <w:szCs w:val="28"/>
        </w:rPr>
        <w:t>Africa.[</w:t>
      </w:r>
      <w:proofErr w:type="gramEnd"/>
      <w:r w:rsidRPr="00B51CA3">
        <w:rPr>
          <w:rStyle w:val="bumpedfont15"/>
          <w:color w:val="000000"/>
          <w:sz w:val="28"/>
          <w:szCs w:val="28"/>
        </w:rPr>
        <w:t>6].</w:t>
      </w:r>
    </w:p>
    <w:p w14:paraId="57B19C3B"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We are therefore conducting this study in order to assess the knowledge and practical attitudes of general practitioners towards </w:t>
      </w:r>
      <w:r w:rsidRPr="004B0948">
        <w:rPr>
          <w:rStyle w:val="bumpedfont15"/>
          <w:i/>
          <w:iCs/>
          <w:color w:val="000000"/>
          <w:sz w:val="28"/>
          <w:szCs w:val="28"/>
        </w:rPr>
        <w:t>Helicobacter pylori</w:t>
      </w:r>
      <w:r w:rsidRPr="00B51CA3">
        <w:rPr>
          <w:rStyle w:val="bumpedfont15"/>
          <w:color w:val="000000"/>
          <w:sz w:val="28"/>
          <w:szCs w:val="28"/>
        </w:rPr>
        <w:t xml:space="preserve"> infection in the Bamako district.</w:t>
      </w:r>
    </w:p>
    <w:p w14:paraId="53C370AE" w14:textId="77777777" w:rsidR="0068605D" w:rsidRPr="00B51CA3" w:rsidRDefault="0068605D" w:rsidP="0068605D">
      <w:pPr>
        <w:pStyle w:val="s10"/>
        <w:spacing w:before="0" w:beforeAutospacing="0" w:after="120" w:afterAutospacing="0"/>
        <w:rPr>
          <w:b/>
          <w:bCs/>
          <w:color w:val="000000"/>
          <w:sz w:val="20"/>
          <w:szCs w:val="20"/>
        </w:rPr>
      </w:pPr>
      <w:r w:rsidRPr="00B51CA3">
        <w:rPr>
          <w:rStyle w:val="bumpedfont15"/>
          <w:b/>
          <w:bCs/>
          <w:color w:val="000000"/>
          <w:sz w:val="28"/>
          <w:szCs w:val="28"/>
        </w:rPr>
        <w:t>2. Materials and methods</w:t>
      </w:r>
    </w:p>
    <w:p w14:paraId="0BC6969C"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This was a descriptive cross-sectional observational study conducted from March 20, 2024, to March 31, 2025, among general practitioners (GPs) in the various general medicine departments of the reference health centers (CSREF) in the six communes of Bamako. Inclusion criteria were GPs practicing in the CSREFs of the Bamako district who consented to participate in the study. Excluded were GPs not practicing in CSREFs in the Bamako district, specialist physicians, and GPs practicing in CSREFs in the Bamako district who did not consent to participate. Data were collected using a structured questionnaire that included questions on GPs' knowledge, attitudes, and practices regarding </w:t>
      </w:r>
      <w:r w:rsidRPr="004B0948">
        <w:rPr>
          <w:rStyle w:val="bumpedfont15"/>
          <w:i/>
          <w:iCs/>
          <w:color w:val="000000"/>
          <w:sz w:val="28"/>
          <w:szCs w:val="28"/>
        </w:rPr>
        <w:t>Helicobacter pylori</w:t>
      </w:r>
      <w:r w:rsidRPr="00B51CA3">
        <w:rPr>
          <w:rStyle w:val="bumpedfont15"/>
          <w:color w:val="000000"/>
          <w:sz w:val="28"/>
          <w:szCs w:val="28"/>
        </w:rPr>
        <w:t xml:space="preserve"> infection and entered into SPSS software. Statistical analysis of the data was performed using SPSS software, and the Chi-square and Fisher's exact tests were used and found to be significant for p&lt;0.05. General practitioners' consent was obtained and their anonymity was preserved.</w:t>
      </w:r>
    </w:p>
    <w:p w14:paraId="5C8C9884" w14:textId="77777777" w:rsidR="0068605D" w:rsidRPr="00B51CA3" w:rsidRDefault="0068605D" w:rsidP="0068605D">
      <w:pPr>
        <w:pStyle w:val="s10"/>
        <w:spacing w:before="0" w:beforeAutospacing="0" w:after="120" w:afterAutospacing="0"/>
        <w:rPr>
          <w:b/>
          <w:bCs/>
          <w:color w:val="000000"/>
          <w:sz w:val="20"/>
          <w:szCs w:val="20"/>
        </w:rPr>
      </w:pPr>
      <w:r w:rsidRPr="00B51CA3">
        <w:rPr>
          <w:rStyle w:val="bumpedfont15"/>
          <w:b/>
          <w:bCs/>
          <w:color w:val="000000"/>
          <w:sz w:val="28"/>
          <w:szCs w:val="28"/>
        </w:rPr>
        <w:t>RESULTS</w:t>
      </w:r>
    </w:p>
    <w:p w14:paraId="18C3E27D"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In total, 109 general practitioners working in the Reference Health Centers (CSREF) of the Bamako district were included in the study.</w:t>
      </w:r>
    </w:p>
    <w:p w14:paraId="370BA3A8" w14:textId="77777777" w:rsidR="00B12B3D" w:rsidRDefault="0068605D" w:rsidP="0068605D">
      <w:pPr>
        <w:pStyle w:val="s12"/>
        <w:spacing w:before="0" w:beforeAutospacing="0" w:after="120" w:afterAutospacing="0"/>
        <w:rPr>
          <w:rStyle w:val="bumpedfont15"/>
          <w:color w:val="000000"/>
          <w:sz w:val="28"/>
          <w:szCs w:val="28"/>
        </w:rPr>
      </w:pPr>
      <w:r w:rsidRPr="00B51CA3">
        <w:rPr>
          <w:rStyle w:val="bumpedfont15"/>
          <w:color w:val="000000"/>
          <w:sz w:val="28"/>
          <w:szCs w:val="28"/>
        </w:rPr>
        <w:t xml:space="preserve">The population studied was predominantly male with 65.1% men against 34.9% women, a sex ratio of 1.87. The most represented age group was under 30 </w:t>
      </w:r>
      <w:r w:rsidRPr="00B51CA3">
        <w:rPr>
          <w:rStyle w:val="bumpedfont15"/>
          <w:color w:val="000000"/>
          <w:sz w:val="28"/>
          <w:szCs w:val="28"/>
        </w:rPr>
        <w:lastRenderedPageBreak/>
        <w:t>(40.4%), followed by 30-39 (34.9%).</w:t>
      </w:r>
      <w:r w:rsidR="00B51CA3">
        <w:rPr>
          <w:color w:val="000000"/>
          <w:sz w:val="20"/>
          <w:szCs w:val="20"/>
        </w:rPr>
        <w:t xml:space="preserve"> </w:t>
      </w:r>
      <w:r w:rsidRPr="00B51CA3">
        <w:rPr>
          <w:rStyle w:val="bumpedfont15"/>
          <w:color w:val="000000"/>
          <w:sz w:val="28"/>
          <w:szCs w:val="28"/>
        </w:rPr>
        <w:t>Doctors aged 60 and over represented 3.7% of the sample.</w:t>
      </w:r>
      <w:r w:rsidR="00B51CA3">
        <w:rPr>
          <w:color w:val="000000"/>
          <w:sz w:val="20"/>
          <w:szCs w:val="20"/>
        </w:rPr>
        <w:t xml:space="preserve"> </w:t>
      </w:r>
      <w:r w:rsidRPr="00B51CA3">
        <w:rPr>
          <w:rStyle w:val="bumpedfont15"/>
          <w:color w:val="000000"/>
          <w:sz w:val="28"/>
          <w:szCs w:val="28"/>
        </w:rPr>
        <w:t>Regarding practice location, physicians from the CSREF (Regional Health and Social Services Center) in Commune I were the most represented (21.2%), followed by those from Communes III, V, and VI (</w:t>
      </w:r>
      <w:r w:rsidR="00B12B3D">
        <w:rPr>
          <w:rStyle w:val="bumpedfont15"/>
          <w:color w:val="000000"/>
          <w:sz w:val="28"/>
          <w:szCs w:val="28"/>
        </w:rPr>
        <w:t xml:space="preserve">Figure </w:t>
      </w:r>
      <w:r w:rsidRPr="00B51CA3">
        <w:rPr>
          <w:rStyle w:val="bumpedfont15"/>
          <w:color w:val="000000"/>
          <w:sz w:val="28"/>
          <w:szCs w:val="28"/>
        </w:rPr>
        <w:t xml:space="preserve">I). In terms of professional experience, physicians with less than 5 years of experience constituted the largest group (40.4%), followed by those with 5 to 9 years of experience (24.7%). The vast majority of physicians surveyed (92.7%) had already diagnosed at least one case of </w:t>
      </w:r>
      <w:r w:rsidRPr="004B0948">
        <w:rPr>
          <w:rStyle w:val="bumpedfont15"/>
          <w:i/>
          <w:iCs/>
          <w:color w:val="000000"/>
          <w:sz w:val="28"/>
          <w:szCs w:val="28"/>
        </w:rPr>
        <w:t>Helicobacter pylori</w:t>
      </w:r>
      <w:r w:rsidRPr="00B51CA3">
        <w:rPr>
          <w:rStyle w:val="bumpedfont15"/>
          <w:color w:val="000000"/>
          <w:sz w:val="28"/>
          <w:szCs w:val="28"/>
        </w:rPr>
        <w:t xml:space="preserve"> infection. The prevalence of the infection was estimated at 40% or higher by 23.9% of physicians, while 22% reported not being aware of it. Epigastric pain was the most frequently reported symptom (86.2%), followed by gastroesophageal reflux (41.3%) and vomiting (33.9%). Nearly 30% of physicians cited nonspecific manifestations. The oral-oral (63.3%) and fecal-oral (55.9%) routes were the most frequently cited modes of transmission </w:t>
      </w:r>
      <w:bookmarkStart w:id="0" w:name="_Hlk217557912"/>
      <w:r w:rsidRPr="00B51CA3">
        <w:rPr>
          <w:rStyle w:val="bumpedfont15"/>
          <w:color w:val="000000"/>
          <w:sz w:val="28"/>
          <w:szCs w:val="28"/>
        </w:rPr>
        <w:t>(</w:t>
      </w:r>
      <w:r w:rsidR="00B12B3D">
        <w:rPr>
          <w:rStyle w:val="bumpedfont15"/>
          <w:color w:val="000000"/>
          <w:sz w:val="28"/>
          <w:szCs w:val="28"/>
        </w:rPr>
        <w:t>Figure 2</w:t>
      </w:r>
      <w:r w:rsidRPr="00B51CA3">
        <w:rPr>
          <w:rStyle w:val="bumpedfont15"/>
          <w:color w:val="000000"/>
          <w:sz w:val="28"/>
          <w:szCs w:val="28"/>
        </w:rPr>
        <w:t>)</w:t>
      </w:r>
      <w:bookmarkEnd w:id="0"/>
      <w:r w:rsidRPr="00B51CA3">
        <w:rPr>
          <w:rStyle w:val="bumpedfont15"/>
          <w:color w:val="000000"/>
          <w:sz w:val="28"/>
          <w:szCs w:val="28"/>
        </w:rPr>
        <w:t xml:space="preserve">. </w:t>
      </w:r>
    </w:p>
    <w:p w14:paraId="590C6C16" w14:textId="4DA05960"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However, some practitioners mentioned undocumented routes such as bloodborne (6.4%), hereditary (1.8%), urinary (0.9%), or respiratory (0.9%) transmission </w:t>
      </w:r>
      <w:r w:rsidRPr="00B51CA3">
        <w:rPr>
          <w:color w:val="000000"/>
          <w:sz w:val="28"/>
          <w:szCs w:val="28"/>
        </w:rPr>
        <w:t>(</w:t>
      </w:r>
      <w:r w:rsidR="00B12B3D">
        <w:rPr>
          <w:color w:val="000000"/>
          <w:sz w:val="28"/>
          <w:szCs w:val="28"/>
        </w:rPr>
        <w:t>Figure 2</w:t>
      </w:r>
      <w:r w:rsidRPr="00B51CA3">
        <w:rPr>
          <w:color w:val="000000"/>
          <w:sz w:val="28"/>
          <w:szCs w:val="28"/>
        </w:rPr>
        <w:t>)</w:t>
      </w:r>
      <w:r w:rsidRPr="00B51CA3">
        <w:rPr>
          <w:rStyle w:val="bumpedfont15"/>
          <w:color w:val="000000"/>
          <w:sz w:val="28"/>
          <w:szCs w:val="28"/>
        </w:rPr>
        <w:t>. Gastroduodenal ulcers were almost unanimously recognized as being associated with the infection (98.2%). Gastric cancer (70.6%) and chronic gastritis (64.2%) were also well identified. In contrast, MALT lymphoma and dyspepsia were less frequently cited (24.8% and 30.3%, respectively). Regarding the indications for testing, gastroduodenal ulcers (97.2%) were the most frequently cited. Physicians also mentioned non-ulcer epigastric pain and GERD (54.1%), a family history of gastric cancer (49.5%), and the presence of an infected relative (50.5%). In contrast, indications such as iron/vitamin B12 deficiency anemia (21.1%), prolonged use of proton pump inhibitors (PPIs) (26.6%), or aspirin (22.9%) were significantly less well-</w:t>
      </w:r>
      <w:proofErr w:type="gramStart"/>
      <w:r w:rsidRPr="00B51CA3">
        <w:rPr>
          <w:rStyle w:val="bumpedfont15"/>
          <w:color w:val="000000"/>
          <w:sz w:val="28"/>
          <w:szCs w:val="28"/>
        </w:rPr>
        <w:t>known</w:t>
      </w:r>
      <w:r w:rsidRPr="00B51CA3">
        <w:rPr>
          <w:color w:val="000000"/>
          <w:sz w:val="28"/>
          <w:szCs w:val="28"/>
        </w:rPr>
        <w:t>(</w:t>
      </w:r>
      <w:r w:rsidR="00B12B3D">
        <w:rPr>
          <w:color w:val="000000"/>
          <w:sz w:val="28"/>
          <w:szCs w:val="28"/>
        </w:rPr>
        <w:t xml:space="preserve"> Figure</w:t>
      </w:r>
      <w:proofErr w:type="gramEnd"/>
      <w:r w:rsidR="00B12B3D">
        <w:rPr>
          <w:color w:val="000000"/>
          <w:sz w:val="28"/>
          <w:szCs w:val="28"/>
        </w:rPr>
        <w:t xml:space="preserve"> 3</w:t>
      </w:r>
      <w:r w:rsidRPr="00B51CA3">
        <w:rPr>
          <w:color w:val="000000"/>
          <w:sz w:val="28"/>
          <w:szCs w:val="28"/>
        </w:rPr>
        <w:t>)</w:t>
      </w:r>
      <w:r w:rsidRPr="00B51CA3">
        <w:rPr>
          <w:rStyle w:val="bumpedfont15"/>
          <w:color w:val="000000"/>
          <w:sz w:val="28"/>
          <w:szCs w:val="28"/>
        </w:rPr>
        <w:t xml:space="preserve">. Serology was the most frequently prescribed first-line diagnostic test (68.8%), followed by endoscopy with biopsies (55%). Recommended tests such as the urea breath test (19.3%) or fecal antigen detection (12.8%) were used much less frequently </w:t>
      </w:r>
      <w:r w:rsidRPr="00B51CA3">
        <w:rPr>
          <w:color w:val="000000"/>
          <w:sz w:val="28"/>
          <w:szCs w:val="28"/>
        </w:rPr>
        <w:t>(</w:t>
      </w:r>
      <w:r w:rsidR="00B12B3D">
        <w:rPr>
          <w:color w:val="000000"/>
          <w:sz w:val="28"/>
          <w:szCs w:val="28"/>
        </w:rPr>
        <w:t>Figure</w:t>
      </w:r>
      <w:r w:rsidRPr="00B51CA3">
        <w:rPr>
          <w:color w:val="000000"/>
          <w:sz w:val="28"/>
          <w:szCs w:val="28"/>
        </w:rPr>
        <w:t xml:space="preserve"> </w:t>
      </w:r>
      <w:r w:rsidR="00B12B3D">
        <w:rPr>
          <w:color w:val="000000"/>
          <w:sz w:val="28"/>
          <w:szCs w:val="28"/>
        </w:rPr>
        <w:t>4</w:t>
      </w:r>
      <w:proofErr w:type="gramStart"/>
      <w:r w:rsidRPr="00B51CA3">
        <w:rPr>
          <w:color w:val="000000"/>
          <w:sz w:val="28"/>
          <w:szCs w:val="28"/>
        </w:rPr>
        <w:t>)</w:t>
      </w:r>
      <w:r w:rsidRPr="00B51CA3">
        <w:rPr>
          <w:rStyle w:val="bumpedfont15"/>
          <w:color w:val="000000"/>
          <w:sz w:val="28"/>
          <w:szCs w:val="28"/>
        </w:rPr>
        <w:t xml:space="preserve"> .</w:t>
      </w:r>
      <w:proofErr w:type="gramEnd"/>
    </w:p>
    <w:p w14:paraId="4C9B613B" w14:textId="2DBC040A" w:rsidR="0068605D" w:rsidRPr="00B51CA3" w:rsidRDefault="0068605D" w:rsidP="0068605D">
      <w:pPr>
        <w:pStyle w:val="s15"/>
        <w:spacing w:before="0" w:beforeAutospacing="0" w:after="120" w:afterAutospacing="0"/>
        <w:ind w:right="45"/>
        <w:rPr>
          <w:color w:val="000000"/>
          <w:sz w:val="20"/>
          <w:szCs w:val="20"/>
        </w:rPr>
      </w:pPr>
      <w:r w:rsidRPr="00B51CA3">
        <w:rPr>
          <w:rStyle w:val="bumpedfont15"/>
          <w:color w:val="000000"/>
          <w:sz w:val="28"/>
          <w:szCs w:val="28"/>
        </w:rPr>
        <w:t xml:space="preserve">The 14-day concomitant quadruple therapy (amoxicillin, clarithromycin, metronidazole, and a proton pump inhibitor (PPI) taken twice daily for 14 days) was the most frequently used first-line treatment (29.4%), followed by a 7-day triple therapy combining either the Zolcer Kit (omeprazole 20 mg, tinidazole 500 mg, and clarithromycin 250 mg) with a PPI or Helicocin (amoxicillin 750 mg and metronidazole 500 mg) with a PPI, which was used by 22% of the general practitioners in our study </w:t>
      </w:r>
      <w:r w:rsidRPr="00B51CA3">
        <w:rPr>
          <w:color w:val="000000"/>
          <w:sz w:val="28"/>
          <w:szCs w:val="28"/>
        </w:rPr>
        <w:t xml:space="preserve">(table </w:t>
      </w:r>
      <w:r w:rsidR="00B12B3D">
        <w:rPr>
          <w:color w:val="000000"/>
          <w:sz w:val="28"/>
          <w:szCs w:val="28"/>
        </w:rPr>
        <w:t>I</w:t>
      </w:r>
      <w:r w:rsidRPr="00B51CA3">
        <w:rPr>
          <w:color w:val="000000"/>
          <w:sz w:val="28"/>
          <w:szCs w:val="28"/>
        </w:rPr>
        <w:t>)</w:t>
      </w:r>
      <w:r w:rsidRPr="00B51CA3">
        <w:rPr>
          <w:rStyle w:val="bumpedfont15"/>
          <w:color w:val="000000"/>
          <w:sz w:val="28"/>
          <w:szCs w:val="28"/>
        </w:rPr>
        <w:t xml:space="preserve">. The majority of general practitioners (79.8%) performed eradication testing after first-line treatment, while 20.2% did not </w:t>
      </w:r>
      <w:r w:rsidRPr="00B51CA3">
        <w:rPr>
          <w:color w:val="000000"/>
          <w:sz w:val="28"/>
          <w:szCs w:val="28"/>
        </w:rPr>
        <w:t>(</w:t>
      </w:r>
      <w:r w:rsidR="00B12B3D">
        <w:rPr>
          <w:color w:val="000000"/>
          <w:sz w:val="28"/>
          <w:szCs w:val="28"/>
        </w:rPr>
        <w:t>Figure 5</w:t>
      </w:r>
      <w:r w:rsidRPr="00B51CA3">
        <w:rPr>
          <w:color w:val="000000"/>
          <w:sz w:val="28"/>
          <w:szCs w:val="28"/>
        </w:rPr>
        <w:t>)</w:t>
      </w:r>
      <w:r w:rsidRPr="00B51CA3">
        <w:rPr>
          <w:rStyle w:val="bumpedfont15"/>
          <w:color w:val="000000"/>
          <w:sz w:val="28"/>
          <w:szCs w:val="28"/>
        </w:rPr>
        <w:t xml:space="preserve">. The most frequently used follow-up test was Helicobacter pylori serology (71.3%) </w:t>
      </w:r>
      <w:r w:rsidRPr="00B51CA3">
        <w:rPr>
          <w:color w:val="000000"/>
          <w:sz w:val="28"/>
          <w:szCs w:val="28"/>
        </w:rPr>
        <w:t>(</w:t>
      </w:r>
      <w:r w:rsidR="00B12B3D">
        <w:rPr>
          <w:color w:val="000000"/>
          <w:sz w:val="28"/>
          <w:szCs w:val="28"/>
        </w:rPr>
        <w:t>Figure 6</w:t>
      </w:r>
      <w:r w:rsidRPr="00B51CA3">
        <w:rPr>
          <w:color w:val="000000"/>
          <w:sz w:val="28"/>
          <w:szCs w:val="28"/>
        </w:rPr>
        <w:t>)</w:t>
      </w:r>
      <w:r w:rsidRPr="00B51CA3">
        <w:rPr>
          <w:rStyle w:val="bumpedfont15"/>
          <w:color w:val="000000"/>
          <w:sz w:val="28"/>
          <w:szCs w:val="28"/>
        </w:rPr>
        <w:t xml:space="preserve">. In cases of first-line treatment failure, the majority of general practitioners (68.8%) referred patients to a specialist. However, </w:t>
      </w:r>
      <w:r w:rsidRPr="00B51CA3">
        <w:rPr>
          <w:rStyle w:val="bumpedfont15"/>
          <w:color w:val="000000"/>
          <w:sz w:val="28"/>
          <w:szCs w:val="28"/>
        </w:rPr>
        <w:lastRenderedPageBreak/>
        <w:t>31.2% of physicians prescribed a new treatment regimen, most commonly involving a 10-day course of bismuth-based quadruple therapy (32.4%).</w:t>
      </w:r>
    </w:p>
    <w:p w14:paraId="7FEDFB15" w14:textId="37F4168D"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Young doctors (less than 15 years of experience) reported certain pathologies associated with H. pylori (MALT lymphoma, dyspepsia, chronic gastritis) more often than their more experienced colleagues (more than 15 years of experience) with respective pvalues ​​of 0.05, 0.05 and 0.025 </w:t>
      </w:r>
      <w:r w:rsidRPr="00B51CA3">
        <w:rPr>
          <w:color w:val="000000"/>
          <w:sz w:val="28"/>
          <w:szCs w:val="28"/>
        </w:rPr>
        <w:t xml:space="preserve">(table </w:t>
      </w:r>
      <w:r w:rsidR="00B12B3D">
        <w:rPr>
          <w:color w:val="000000"/>
          <w:sz w:val="28"/>
          <w:szCs w:val="28"/>
        </w:rPr>
        <w:t>2</w:t>
      </w:r>
      <w:r w:rsidRPr="00B51CA3">
        <w:rPr>
          <w:color w:val="000000"/>
          <w:sz w:val="28"/>
          <w:szCs w:val="28"/>
        </w:rPr>
        <w:t>)</w:t>
      </w:r>
      <w:r w:rsidRPr="00B51CA3">
        <w:rPr>
          <w:rStyle w:val="bumpedfont15"/>
          <w:color w:val="000000"/>
          <w:sz w:val="28"/>
          <w:szCs w:val="28"/>
        </w:rPr>
        <w:t>.</w:t>
      </w:r>
    </w:p>
    <w:p w14:paraId="67C64EFC" w14:textId="37D61C75"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Doctors with less than 5 years of experience more often cited </w:t>
      </w:r>
      <w:r w:rsidRPr="004B0948">
        <w:rPr>
          <w:rStyle w:val="bumpedfont15"/>
          <w:i/>
          <w:iCs/>
          <w:color w:val="000000"/>
          <w:sz w:val="28"/>
          <w:szCs w:val="28"/>
        </w:rPr>
        <w:t>H. pylori</w:t>
      </w:r>
      <w:r w:rsidRPr="00B51CA3">
        <w:rPr>
          <w:rStyle w:val="bumpedfont15"/>
          <w:color w:val="000000"/>
          <w:sz w:val="28"/>
          <w:szCs w:val="28"/>
        </w:rPr>
        <w:t xml:space="preserve"> testing for prolonged PPI use (p=0.014) or for unexplained anemia due to iron or B12 deficiency (p=0.025) than their more experienced colleagues </w:t>
      </w:r>
      <w:r w:rsidRPr="00B51CA3">
        <w:rPr>
          <w:color w:val="000000"/>
          <w:sz w:val="28"/>
          <w:szCs w:val="28"/>
        </w:rPr>
        <w:t xml:space="preserve">(table </w:t>
      </w:r>
      <w:r w:rsidR="00B12B3D">
        <w:rPr>
          <w:color w:val="000000"/>
          <w:sz w:val="28"/>
          <w:szCs w:val="28"/>
        </w:rPr>
        <w:t>3</w:t>
      </w:r>
      <w:r w:rsidRPr="00B51CA3">
        <w:rPr>
          <w:color w:val="000000"/>
          <w:sz w:val="28"/>
          <w:szCs w:val="28"/>
        </w:rPr>
        <w:t>)</w:t>
      </w:r>
      <w:r w:rsidRPr="00B51CA3">
        <w:rPr>
          <w:rStyle w:val="bumpedfont15"/>
          <w:color w:val="000000"/>
          <w:sz w:val="28"/>
          <w:szCs w:val="28"/>
        </w:rPr>
        <w:t>.</w:t>
      </w:r>
    </w:p>
    <w:p w14:paraId="3DD10B37" w14:textId="42137EB2"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The least experienced physicians (&lt; 5 years) used the urea breath test significantly more often (p= 0.028) unlike the more experienced physicians who used Hp serology more often (p=0.003) (table </w:t>
      </w:r>
      <w:r w:rsidR="00B12B3D">
        <w:rPr>
          <w:rStyle w:val="bumpedfont15"/>
          <w:color w:val="000000"/>
          <w:sz w:val="28"/>
          <w:szCs w:val="28"/>
        </w:rPr>
        <w:t>4</w:t>
      </w:r>
      <w:r w:rsidRPr="00B51CA3">
        <w:rPr>
          <w:rStyle w:val="bumpedfont15"/>
          <w:color w:val="000000"/>
          <w:sz w:val="28"/>
          <w:szCs w:val="28"/>
        </w:rPr>
        <w:t>).</w:t>
      </w:r>
    </w:p>
    <w:p w14:paraId="17A80584" w14:textId="77777777" w:rsidR="0068605D" w:rsidRPr="00B51CA3" w:rsidRDefault="0068605D" w:rsidP="0068605D">
      <w:pPr>
        <w:pStyle w:val="s15"/>
        <w:spacing w:before="0" w:beforeAutospacing="0" w:after="120" w:afterAutospacing="0"/>
        <w:ind w:right="45"/>
        <w:rPr>
          <w:color w:val="000000"/>
          <w:sz w:val="20"/>
          <w:szCs w:val="20"/>
        </w:rPr>
      </w:pPr>
      <w:r w:rsidRPr="00B51CA3">
        <w:rPr>
          <w:color w:val="000000"/>
          <w:sz w:val="20"/>
          <w:szCs w:val="20"/>
        </w:rPr>
        <w:t> </w:t>
      </w:r>
    </w:p>
    <w:p w14:paraId="1F10696B" w14:textId="77777777" w:rsidR="00B12B3D" w:rsidRDefault="00B12B3D" w:rsidP="0068605D">
      <w:pPr>
        <w:pStyle w:val="s10"/>
        <w:spacing w:before="0" w:beforeAutospacing="0" w:after="120" w:afterAutospacing="0"/>
        <w:rPr>
          <w:rStyle w:val="bumpedfont15"/>
          <w:b/>
          <w:bCs/>
          <w:color w:val="000000"/>
          <w:sz w:val="28"/>
          <w:szCs w:val="28"/>
        </w:rPr>
      </w:pPr>
    </w:p>
    <w:p w14:paraId="23E845D6" w14:textId="1BC63C9F" w:rsidR="0068605D" w:rsidRPr="00B51CA3" w:rsidRDefault="0068605D" w:rsidP="0068605D">
      <w:pPr>
        <w:pStyle w:val="s10"/>
        <w:spacing w:before="0" w:beforeAutospacing="0" w:after="120" w:afterAutospacing="0"/>
        <w:rPr>
          <w:b/>
          <w:bCs/>
          <w:color w:val="000000"/>
          <w:sz w:val="20"/>
          <w:szCs w:val="20"/>
        </w:rPr>
      </w:pPr>
      <w:r w:rsidRPr="00B51CA3">
        <w:rPr>
          <w:rStyle w:val="bumpedfont15"/>
          <w:b/>
          <w:bCs/>
          <w:color w:val="000000"/>
          <w:sz w:val="28"/>
          <w:szCs w:val="28"/>
        </w:rPr>
        <w:t>DISCUSSION</w:t>
      </w:r>
    </w:p>
    <w:p w14:paraId="20CBF504"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The male predominance (65.1% men versus 34.9% women, with a sex ratio of 1.87) reflects a trend often observed in medical professions, particularly in contexts like Mali, where men have historically dominated the medical sector. This trend towards male predominance is also observed in the Guadeloupe study, where 51.28% of doctors are men versus 45.3% women, confirming a similarity in Francophone contexts, although parity is more pronounced in Guadeloupe due to more recent medical training promoting equality. [7]</w:t>
      </w:r>
    </w:p>
    <w:p w14:paraId="4B835EDD" w14:textId="63054A4E"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Physicians under 30 years of age represented 40.3% of the sample, followed by those aged 30 to 39 (34.9%). This predominance of young physicians could reflect a recent turnover in the medical workforce in Bamako, linked to an increase in graduates or staff rotation in health centers. Older physicians (50 years and over) are less represented (11% in total), which may indicate early retirement from the profession or less involvement in the centers studied. This youthful workforce may promote the adoption of modern practices, but could also reflect a lack of clinical experience, influencing diagnostic and therapeutic choices, as observed in the preceding tables. In comparison, the Guadeloupe study reveals a higher average age of 48 years, with a more balanced distribution (26.07% &lt;40 years and 17.52% &gt;60 years) [7], highlighting a younger medical population in Bamako due to faster turnover in developing countries, while also sharing the observation that younger doctors more often adopt up-to-date practices. The concentration of doctors in the CSREF (Community Health Center) of Commune I (21.2%) compared to other communes suggests an inequality in the distribution of medical resources. This predominance could be linked to a larger population, better infrastructure, or greater accessibility in this commune. This geographical disparity could limit access to care in less </w:t>
      </w:r>
      <w:r w:rsidRPr="00B51CA3">
        <w:rPr>
          <w:rStyle w:val="bumpedfont15"/>
          <w:color w:val="000000"/>
          <w:sz w:val="28"/>
          <w:szCs w:val="28"/>
        </w:rPr>
        <w:lastRenderedPageBreak/>
        <w:t xml:space="preserve">represented communes (such as Communes II and IV, with 12.8% each). A better distribution of doctors or capacity building in less well-resourced centers could improve equity in the management of infections such as </w:t>
      </w:r>
      <w:r w:rsidRPr="004B0948">
        <w:rPr>
          <w:rStyle w:val="bumpedfont15"/>
          <w:i/>
          <w:iCs/>
          <w:color w:val="000000"/>
          <w:sz w:val="28"/>
          <w:szCs w:val="28"/>
        </w:rPr>
        <w:t>H. pylori</w:t>
      </w:r>
      <w:r w:rsidRPr="00B51CA3">
        <w:rPr>
          <w:rStyle w:val="bumpedfont15"/>
          <w:color w:val="000000"/>
          <w:sz w:val="28"/>
          <w:szCs w:val="28"/>
        </w:rPr>
        <w:t xml:space="preserve">. Physicians with less than 5 years of experience predominated (40.4%), which is consistent with the predominance of younger physicians observed in Table </w:t>
      </w:r>
      <w:r w:rsidR="00607873">
        <w:rPr>
          <w:rStyle w:val="bumpedfont15"/>
          <w:color w:val="000000"/>
          <w:sz w:val="28"/>
          <w:szCs w:val="28"/>
        </w:rPr>
        <w:t>2</w:t>
      </w:r>
      <w:r w:rsidRPr="00B51CA3">
        <w:rPr>
          <w:rStyle w:val="bumpedfont15"/>
          <w:color w:val="000000"/>
          <w:sz w:val="28"/>
          <w:szCs w:val="28"/>
        </w:rPr>
        <w:t xml:space="preserve">. More experienced physicians (15 years and over) represented only 15.6% of the sample. This youthfulness of the sample contrasts with the Guadeloupe study, where the higher average age [7] implies greater overall experience, although both contexts show that recently trained physicians are better at integrating modern recommendations, such as those concerning indications for investigation. The majority of physicians (92.7%) had already diagnosed a case of </w:t>
      </w:r>
      <w:r w:rsidRPr="004B0948">
        <w:rPr>
          <w:rStyle w:val="bumpedfont15"/>
          <w:i/>
          <w:iCs/>
          <w:color w:val="000000"/>
          <w:sz w:val="28"/>
          <w:szCs w:val="28"/>
        </w:rPr>
        <w:t>H. pylori</w:t>
      </w:r>
      <w:r w:rsidRPr="00B51CA3">
        <w:rPr>
          <w:rStyle w:val="bumpedfont15"/>
          <w:color w:val="000000"/>
          <w:sz w:val="28"/>
          <w:szCs w:val="28"/>
        </w:rPr>
        <w:t xml:space="preserve"> infection, indicating significant exposure to this disease in their daily practice. This is consistent with the high prevalence of </w:t>
      </w:r>
      <w:r w:rsidRPr="004B0948">
        <w:rPr>
          <w:rStyle w:val="bumpedfont15"/>
          <w:i/>
          <w:iCs/>
          <w:color w:val="000000"/>
          <w:sz w:val="28"/>
          <w:szCs w:val="28"/>
        </w:rPr>
        <w:t>H. pylori</w:t>
      </w:r>
      <w:r w:rsidRPr="00B51CA3">
        <w:rPr>
          <w:rStyle w:val="bumpedfont15"/>
          <w:color w:val="000000"/>
          <w:sz w:val="28"/>
          <w:szCs w:val="28"/>
        </w:rPr>
        <w:t xml:space="preserve"> in developing countries, where poor hygiene conditions facilitate its transmission. This finding underscores the importance of </w:t>
      </w:r>
      <w:r w:rsidRPr="004B0948">
        <w:rPr>
          <w:rStyle w:val="bumpedfont15"/>
          <w:i/>
          <w:iCs/>
          <w:color w:val="000000"/>
          <w:sz w:val="28"/>
          <w:szCs w:val="28"/>
        </w:rPr>
        <w:t>H. pylori</w:t>
      </w:r>
      <w:r w:rsidRPr="00B51CA3">
        <w:rPr>
          <w:rStyle w:val="bumpedfont15"/>
          <w:color w:val="000000"/>
          <w:sz w:val="28"/>
          <w:szCs w:val="28"/>
        </w:rPr>
        <w:t xml:space="preserve"> as </w:t>
      </w:r>
      <w:proofErr w:type="gramStart"/>
      <w:r w:rsidRPr="00B51CA3">
        <w:rPr>
          <w:rStyle w:val="bumpedfont15"/>
          <w:color w:val="000000"/>
          <w:sz w:val="28"/>
          <w:szCs w:val="28"/>
        </w:rPr>
        <w:t>a</w:t>
      </w:r>
      <w:proofErr w:type="gramEnd"/>
      <w:r w:rsidRPr="00B51CA3">
        <w:rPr>
          <w:rStyle w:val="bumpedfont15"/>
          <w:color w:val="000000"/>
          <w:sz w:val="28"/>
          <w:szCs w:val="28"/>
        </w:rPr>
        <w:t xml:space="preserve"> public health problem in Bamako. Similarly, the Guadeloupe study reports that 97% of doctors had patients diagnosed in 2016, confirming high exposure in both tropical settings, although frequencies vary (e.g., 31% monthly in Guadeloupe) [7].</w:t>
      </w:r>
      <w:r w:rsidR="004B0948">
        <w:rPr>
          <w:rStyle w:val="bumpedfont15"/>
          <w:color w:val="000000"/>
          <w:sz w:val="28"/>
          <w:szCs w:val="28"/>
        </w:rPr>
        <w:t xml:space="preserve"> </w:t>
      </w:r>
      <w:r w:rsidRPr="00B51CA3">
        <w:rPr>
          <w:rStyle w:val="bumpedfont15"/>
          <w:color w:val="000000"/>
          <w:sz w:val="28"/>
          <w:szCs w:val="28"/>
        </w:rPr>
        <w:t xml:space="preserve">Perceived prevalence of </w:t>
      </w:r>
      <w:r w:rsidRPr="004B0948">
        <w:rPr>
          <w:rStyle w:val="bumpedfont15"/>
          <w:i/>
          <w:iCs/>
          <w:color w:val="000000"/>
          <w:sz w:val="28"/>
          <w:szCs w:val="28"/>
        </w:rPr>
        <w:t>H. pylori</w:t>
      </w:r>
      <w:r w:rsidRPr="00B51CA3">
        <w:rPr>
          <w:rStyle w:val="bumpedfont15"/>
          <w:color w:val="000000"/>
          <w:sz w:val="28"/>
          <w:szCs w:val="28"/>
        </w:rPr>
        <w:t xml:space="preserve"> varied, with 23.9% of physicians estimating it to be greater than 40%, while 22% were unsure. This uncertainty likely reflects the lack of robust local epidemiological data. In low- and middle-income countries, </w:t>
      </w:r>
      <w:r w:rsidRPr="004B0948">
        <w:rPr>
          <w:rStyle w:val="bumpedfont15"/>
          <w:i/>
          <w:iCs/>
          <w:color w:val="000000"/>
          <w:sz w:val="28"/>
          <w:szCs w:val="28"/>
        </w:rPr>
        <w:t>H. pylori</w:t>
      </w:r>
      <w:r w:rsidRPr="00B51CA3">
        <w:rPr>
          <w:rStyle w:val="bumpedfont15"/>
          <w:color w:val="000000"/>
          <w:sz w:val="28"/>
          <w:szCs w:val="28"/>
        </w:rPr>
        <w:t xml:space="preserve"> prevalence can reach 70–90%, suggesting that physicians' estimates may underestimate the true extent of the disease. This lack of consensus highlights the need for epidemiological studies to provide reliable data, enabling the adaptation of screening and treatment strategies. Epigastric pain was the most frequently reported symptom (86.2%), consistent with the classic clinical presentation of </w:t>
      </w:r>
      <w:r w:rsidRPr="004B0948">
        <w:rPr>
          <w:rStyle w:val="bumpedfont15"/>
          <w:i/>
          <w:iCs/>
          <w:color w:val="000000"/>
          <w:sz w:val="28"/>
          <w:szCs w:val="28"/>
        </w:rPr>
        <w:t>H. pylori.</w:t>
      </w:r>
      <w:r w:rsidRPr="00B51CA3">
        <w:rPr>
          <w:rStyle w:val="bumpedfont15"/>
          <w:color w:val="000000"/>
          <w:sz w:val="28"/>
          <w:szCs w:val="28"/>
        </w:rPr>
        <w:t xml:space="preserve"> However, 29.4% of physicians mentioned nonspecific symptoms, which may indicate confusion with other gastrointestinal conditions or limited knowledge of the specific manifestations of </w:t>
      </w:r>
      <w:r w:rsidRPr="004B0948">
        <w:rPr>
          <w:rStyle w:val="bumpedfont15"/>
          <w:i/>
          <w:iCs/>
          <w:color w:val="000000"/>
          <w:sz w:val="28"/>
          <w:szCs w:val="28"/>
        </w:rPr>
        <w:t>H. pylori</w:t>
      </w:r>
      <w:r w:rsidRPr="00B51CA3">
        <w:rPr>
          <w:rStyle w:val="bumpedfont15"/>
          <w:color w:val="000000"/>
          <w:sz w:val="28"/>
          <w:szCs w:val="28"/>
        </w:rPr>
        <w:t xml:space="preserve">. The low recognition of asymptomatic infection (4.6%) is concerning, as H. pylori can be present without obvious symptoms, particularly in cases of chronic gastritis or risk of gastric cancer. Targeted training on clinical presentations could improve diagnostic accuracy. The oro-oral (63.3%) and fecal-oral (55.9%) routes were the most frequently cited, which is consistent with the literature. However, 24.7% of physicians mentioned non-standard routes (bloodborne, respiratory, urinary) or were unaware of the transmission mechanisms. This lack of knowledge could reflect insufficient continuing education or inadequate dissemination of current information. In a context where hygiene is a challenge, a better understanding of transmission routes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was recognized by 98.2% of physicians as an associated condition, followed by gastric cancer (adenocarcinoma) at 70.6% and chronic gastritis at 64.2%. The low recognition of MALT lymphoma (24.8%) and dyspepsia (30.3%) could be related to a lack of awareness of less common </w:t>
      </w:r>
      <w:r w:rsidRPr="00B51CA3">
        <w:rPr>
          <w:rStyle w:val="bumpedfont15"/>
          <w:color w:val="000000"/>
          <w:sz w:val="28"/>
          <w:szCs w:val="28"/>
        </w:rPr>
        <w:lastRenderedPageBreak/>
        <w:t>associations or to a perceived lower prevalence of these conditions in local practice. Increased awareness of these associations could improve screening and management of at-risk patients. In line with this, the Guadeloupe study also prioritizes ulcer (82.05%) and gastric cancer (50.42% for family history), but mentions dyspepsia less frequently, indicating a similar focus on major conditions. [7]</w:t>
      </w:r>
      <w:r w:rsidR="004B0948">
        <w:rPr>
          <w:rStyle w:val="bumpedfont15"/>
          <w:color w:val="000000"/>
          <w:sz w:val="28"/>
          <w:szCs w:val="28"/>
        </w:rPr>
        <w:t xml:space="preserve">. </w:t>
      </w:r>
      <w:r w:rsidRPr="00B51CA3">
        <w:rPr>
          <w:rStyle w:val="bumpedfont15"/>
          <w:color w:val="000000"/>
          <w:sz w:val="28"/>
          <w:szCs w:val="28"/>
        </w:rPr>
        <w:t xml:space="preserve">This suggests that physicians' estimates may underestimate the true extent of the disease. This lack of consensus highlights the need for epidemiological studies to provide reliable data, enabling the adaptation of screening and treatment strategies. Epigastric pain was the most frequently reported symptom (86.2%), consistent with the classic clinical presentation </w:t>
      </w:r>
      <w:r w:rsidRPr="004B0948">
        <w:rPr>
          <w:rStyle w:val="bumpedfont15"/>
          <w:color w:val="000000"/>
          <w:sz w:val="28"/>
          <w:szCs w:val="28"/>
        </w:rPr>
        <w:t>of</w:t>
      </w:r>
      <w:r w:rsidRPr="004B0948">
        <w:rPr>
          <w:rStyle w:val="bumpedfont15"/>
          <w:i/>
          <w:iCs/>
          <w:color w:val="000000"/>
          <w:sz w:val="28"/>
          <w:szCs w:val="28"/>
        </w:rPr>
        <w:t xml:space="preserve"> H. pylori</w:t>
      </w:r>
      <w:r w:rsidRPr="00B51CA3">
        <w:rPr>
          <w:rStyle w:val="bumpedfont15"/>
          <w:color w:val="000000"/>
          <w:sz w:val="28"/>
          <w:szCs w:val="28"/>
        </w:rPr>
        <w:t xml:space="preserve">. However, 29.4% of physicians mentioned nonspecific symptoms, which could indicate confusion with other gastrointestinal conditions or limited knowledge of the specific manifestations of </w:t>
      </w:r>
      <w:r w:rsidRPr="004B0948">
        <w:rPr>
          <w:rStyle w:val="bumpedfont15"/>
          <w:i/>
          <w:iCs/>
          <w:color w:val="000000"/>
          <w:sz w:val="28"/>
          <w:szCs w:val="28"/>
        </w:rPr>
        <w:t>H. pylori.</w:t>
      </w:r>
      <w:r w:rsidRPr="00B51CA3">
        <w:rPr>
          <w:rStyle w:val="bumpedfont15"/>
          <w:color w:val="000000"/>
          <w:sz w:val="28"/>
          <w:szCs w:val="28"/>
        </w:rPr>
        <w:t xml:space="preserve"> The low recognition of asymptomatic infection (4.6%) is concerning, as </w:t>
      </w:r>
      <w:r w:rsidRPr="004B0948">
        <w:rPr>
          <w:rStyle w:val="bumpedfont15"/>
          <w:i/>
          <w:iCs/>
          <w:color w:val="000000"/>
          <w:sz w:val="28"/>
          <w:szCs w:val="28"/>
        </w:rPr>
        <w:t>H. pylori</w:t>
      </w:r>
      <w:r w:rsidRPr="00B51CA3">
        <w:rPr>
          <w:rStyle w:val="bumpedfont15"/>
          <w:color w:val="000000"/>
          <w:sz w:val="28"/>
          <w:szCs w:val="28"/>
        </w:rPr>
        <w:t xml:space="preserve"> can be present without obvious symptoms, particularly in cases of chronic gastritis or risk factors for gastric cancer. Targeted training on clinical presentations could improve diagnostic accuracy. The oral-oral (63.3%) and fecal-oral (55.9%) routes were the most frequently reported modes of transmission, which is consistent with the literature. However, 24.7% of physicians mentioned non-standard modes of transmission (blood, respiratory, urinary) or were unaware of the transmission mechanisms. This lack of knowledge could reflect insufficient continuing education or inadequate dissemination of updated information. In a context where hygiene is a challenge, a better understanding of transmission modes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was recognized by 98.2% of physicians as an associated condition, followed by gastric cancer (adenocarcinoma) at 70.6% and chronic gastritis at 64.2%. The low recognition of MALT lymphoma (24.8%) and dyspepsia (30.3%) could be related to a lack of awareness of less common associations or a perceived lower prevalence of these conditions in local practice. Increased awareness of these associations could improve screening and management of at-risk patients. In line with this, the Guadeloupe study also prioritizes ulcers (82.05%) and gastric cancer (50.42% for family history), but mentions dyspepsia less, indicating a similarity in the focus on major pathologies. [</w:t>
      </w:r>
      <w:proofErr w:type="gramStart"/>
      <w:r w:rsidRPr="00B51CA3">
        <w:rPr>
          <w:rStyle w:val="bumpedfont15"/>
          <w:color w:val="000000"/>
          <w:sz w:val="28"/>
          <w:szCs w:val="28"/>
        </w:rPr>
        <w:t>7]This</w:t>
      </w:r>
      <w:proofErr w:type="gramEnd"/>
      <w:r w:rsidRPr="00B51CA3">
        <w:rPr>
          <w:rStyle w:val="bumpedfont15"/>
          <w:color w:val="000000"/>
          <w:sz w:val="28"/>
          <w:szCs w:val="28"/>
        </w:rPr>
        <w:t xml:space="preserve"> suggests that physicians' estimates may underestimate the true extent of the disease. This lack of consensus highlights the need for epidemiological studies to provide reliable data, enabling the adaptation of screening and treatment strategies. Epigastric pain was the most frequently reported symptom (86.2%), consistent with the classic clinical presentation of </w:t>
      </w:r>
      <w:r w:rsidRPr="004B0948">
        <w:rPr>
          <w:rStyle w:val="bumpedfont15"/>
          <w:i/>
          <w:iCs/>
          <w:color w:val="000000"/>
          <w:sz w:val="28"/>
          <w:szCs w:val="28"/>
        </w:rPr>
        <w:t>H. pylori</w:t>
      </w:r>
      <w:r w:rsidRPr="00B51CA3">
        <w:rPr>
          <w:rStyle w:val="bumpedfont15"/>
          <w:color w:val="000000"/>
          <w:sz w:val="28"/>
          <w:szCs w:val="28"/>
        </w:rPr>
        <w:t xml:space="preserve">. However, 29.4% of physicians mentioned nonspecific symptoms, which could indicate confusion with other gastrointestinal conditions or limited knowledge of the specific manifestations of </w:t>
      </w:r>
      <w:r w:rsidRPr="004B0948">
        <w:rPr>
          <w:rStyle w:val="bumpedfont15"/>
          <w:i/>
          <w:iCs/>
          <w:color w:val="000000"/>
          <w:sz w:val="28"/>
          <w:szCs w:val="28"/>
        </w:rPr>
        <w:t>H. pylori.</w:t>
      </w:r>
      <w:r w:rsidRPr="00B51CA3">
        <w:rPr>
          <w:rStyle w:val="bumpedfont15"/>
          <w:color w:val="000000"/>
          <w:sz w:val="28"/>
          <w:szCs w:val="28"/>
        </w:rPr>
        <w:t xml:space="preserve"> The low recognition of asymptomatic infection (4.6%) is concerning, as </w:t>
      </w:r>
      <w:r w:rsidRPr="004B0948">
        <w:rPr>
          <w:rStyle w:val="bumpedfont15"/>
          <w:i/>
          <w:iCs/>
          <w:color w:val="000000"/>
          <w:sz w:val="28"/>
          <w:szCs w:val="28"/>
        </w:rPr>
        <w:t>H. pylori</w:t>
      </w:r>
      <w:r w:rsidRPr="00B51CA3">
        <w:rPr>
          <w:rStyle w:val="bumpedfont15"/>
          <w:color w:val="000000"/>
          <w:sz w:val="28"/>
          <w:szCs w:val="28"/>
        </w:rPr>
        <w:t xml:space="preserve"> can be present without obvious symptoms, particularly in cases of chronic gastritis or risk factors for gastric cancer. Targeted training </w:t>
      </w:r>
      <w:r w:rsidRPr="00B51CA3">
        <w:rPr>
          <w:rStyle w:val="bumpedfont15"/>
          <w:color w:val="000000"/>
          <w:sz w:val="28"/>
          <w:szCs w:val="28"/>
        </w:rPr>
        <w:lastRenderedPageBreak/>
        <w:t xml:space="preserve">on clinical presentations could improve diagnostic accuracy. The oral-oral (63.3%) and fecal-oral (55.9%) routes were the most frequently reported modes of transmission, which is consistent with the literature. However, 24.7% of physicians mentioned non-standard modes of transmission (blood, respiratory, urinary) or were unaware of the transmission mechanisms. This lack of knowledge could reflect insufficient continuing education or inadequate dissemination of updated information. In a context where hygiene is a challenge, a better understanding of transmission modes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was recognized by 98.2% of physicians as an associated condition, followed by gastric cancer (adenocarcinoma) at 70.6% and chronic gastritis at 64.2%. The low recognition of MALT lymphoma (24.8%) and dyspepsia (30.3%) could be related to a lack of awareness of less common associations or a perceived lower prevalence of these conditions in local practice. Increased awareness of these associations could improve screening and management of at-risk patients. In line with this, the Guadeloupe study also prioritizes ulcers (82.05%) and gastric cancer (50.42% for family history), but mentions dyspepsia less, indicating a similarity in the focus on major pathologies [7]</w:t>
      </w:r>
      <w:r w:rsidR="004B0948">
        <w:rPr>
          <w:rStyle w:val="bumpedfont15"/>
          <w:color w:val="000000"/>
          <w:sz w:val="28"/>
          <w:szCs w:val="28"/>
        </w:rPr>
        <w:t xml:space="preserve">. </w:t>
      </w:r>
      <w:proofErr w:type="gramStart"/>
      <w:r w:rsidRPr="00B51CA3">
        <w:rPr>
          <w:rStyle w:val="bumpedfont15"/>
          <w:color w:val="000000"/>
          <w:sz w:val="28"/>
          <w:szCs w:val="28"/>
        </w:rPr>
        <w:t>particularly</w:t>
      </w:r>
      <w:proofErr w:type="gramEnd"/>
      <w:r w:rsidRPr="00B51CA3">
        <w:rPr>
          <w:rStyle w:val="bumpedfont15"/>
          <w:color w:val="000000"/>
          <w:sz w:val="28"/>
          <w:szCs w:val="28"/>
        </w:rPr>
        <w:t xml:space="preserve"> in cases of chronic gastritis or risk of gastric cancer. Targeted training on clinical presentations could improve diagnostic accuracy. The oro-oral (63.3%) and fecal-oral (55.9%) routes were the most frequently cited modes of transmission, which is consistent with the literature. However, 24.7% of physicians mentioned non-standard routes (blood, respiratory, urinary) or were unaware of the transmission mechanisms. This lack of knowledge could reflect insufficient continuing education or inadequate dissemination of updated information. In a context where hygiene is a challenge, a better understanding of transmission routes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was recognized by 98.2% of physicians as an associated condition, followed by gastric cancer (adenocarcinoma) (70.6%) and chronic gastritis (64.2%). The low recognition of MALT lymphoma (24.8%) and dyspepsia (30.3%) could be linked to a lack of awareness of less common associations or to a lower perceived prevalence of these conditions in local practice. Increased awareness of these associations could improve screening and management of at-risk patients. In line with this, the Guadeloupe study also prioritizes ulcers (82.05%) and gastric cancer (50.42% for family history), but mentions dyspepsia less frequently, indicating a similar focus on major pathologies. [</w:t>
      </w:r>
      <w:proofErr w:type="gramStart"/>
      <w:r w:rsidRPr="00B51CA3">
        <w:rPr>
          <w:rStyle w:val="bumpedfont15"/>
          <w:color w:val="000000"/>
          <w:sz w:val="28"/>
          <w:szCs w:val="28"/>
        </w:rPr>
        <w:t>7]particularly</w:t>
      </w:r>
      <w:proofErr w:type="gramEnd"/>
      <w:r w:rsidRPr="00B51CA3">
        <w:rPr>
          <w:rStyle w:val="bumpedfont15"/>
          <w:color w:val="000000"/>
          <w:sz w:val="28"/>
          <w:szCs w:val="28"/>
        </w:rPr>
        <w:t xml:space="preserve"> in cases of chronic gastritis or risk of gastric cancer. Targeted training on clinical presentations could improve diagnostic accuracy. The oro-oral (63.3%) and fecal-oral (55.9%) routes were the most frequently cited modes of transmission, which is consistent with the literature. However, 24.7% of physicians mentioned non-standard routes (blood, respiratory, urinary) or were unaware of the transmission mechanisms. This lack of knowledge could reflect insufficient continuing education or inadequate dissemination of updated information. In a context where hygiene is a challenge, a better understanding of </w:t>
      </w:r>
      <w:r w:rsidRPr="00B51CA3">
        <w:rPr>
          <w:rStyle w:val="bumpedfont15"/>
          <w:color w:val="000000"/>
          <w:sz w:val="28"/>
          <w:szCs w:val="28"/>
        </w:rPr>
        <w:lastRenderedPageBreak/>
        <w:t xml:space="preserve">transmission routes is crucial to preventing the spread of </w:t>
      </w:r>
      <w:r w:rsidRPr="004B0948">
        <w:rPr>
          <w:rStyle w:val="bumpedfont15"/>
          <w:i/>
          <w:iCs/>
          <w:color w:val="000000"/>
          <w:sz w:val="28"/>
          <w:szCs w:val="28"/>
        </w:rPr>
        <w:t>H. pylori.</w:t>
      </w:r>
      <w:r w:rsidRPr="00B51CA3">
        <w:rPr>
          <w:rStyle w:val="bumpedfont15"/>
          <w:color w:val="000000"/>
          <w:sz w:val="28"/>
          <w:szCs w:val="28"/>
        </w:rPr>
        <w:t xml:space="preserve"> Gastroduodenal ulcer was recognized by 98.2% of physicians as an associated condition, followed by gastric cancer (adenocarcinoma) (70.6%) and chronic gastritis (64.2%). The low recognition of MALT lymphoma (24.8%) and dyspepsia (30.3%) could be linked to a lack of awareness of less common associations or to a lower perceived prevalence of these conditions in local practice. Increased awareness of these associations could improve screening and management of at-risk patients. In line with this, the Guadeloupe study also prioritizes ulcers (82.05%) and gastric cancer (50.42% for family history), but mentions dyspepsia less frequently, indicating a similar focus on major pathologies [7]</w:t>
      </w:r>
      <w:r w:rsidR="004B0948">
        <w:rPr>
          <w:rStyle w:val="bumpedfont15"/>
          <w:color w:val="000000"/>
          <w:sz w:val="28"/>
          <w:szCs w:val="28"/>
        </w:rPr>
        <w:t xml:space="preserve"> </w:t>
      </w:r>
      <w:r w:rsidRPr="00B51CA3">
        <w:rPr>
          <w:rStyle w:val="bumpedfont15"/>
          <w:color w:val="000000"/>
          <w:sz w:val="28"/>
          <w:szCs w:val="28"/>
        </w:rPr>
        <w:t>but mentions dyspepsia less, indicating a similarity in the focus on major pathologies [7]</w:t>
      </w:r>
      <w:r w:rsidR="004B0948">
        <w:rPr>
          <w:rStyle w:val="bumpedfont15"/>
          <w:color w:val="000000"/>
          <w:sz w:val="28"/>
          <w:szCs w:val="28"/>
        </w:rPr>
        <w:t xml:space="preserve"> </w:t>
      </w:r>
      <w:r w:rsidRPr="00B51CA3">
        <w:rPr>
          <w:rStyle w:val="bumpedfont15"/>
          <w:color w:val="000000"/>
          <w:sz w:val="28"/>
          <w:szCs w:val="28"/>
        </w:rPr>
        <w:t>but mentions dyspepsia less, indicating a similarity in the focus on major pathologies. [7]</w:t>
      </w:r>
    </w:p>
    <w:p w14:paraId="09DB17E9"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Gastroduodenal ulcer was the most frequent indication (97.2%), which is in line with international recommendations. However, less frequent indications, such as unexplained anemia (21.1%) or prolonged PPI use (26.6%), are underutilized, particularly by more experienced physicians. This could reflect slower adoption of recent recommendations or a lack of awareness of the expanded indications. Harmonizing practices through clear local protocols could improve the identification of at-risk patients. This prioritization of ulcers is also found in the Guadeloupe study (82.05%), although non-ulcer epigastric pain (82.05% vs. 54.13%) and PPI use (35.89% vs. 26.6%) are cited more frequently, with a similar influence of age (younger patients being more attuned to modern indications) [7]. The French study by Heluwaert and Lamarque, through their 2014 survey, reveals that 42% of general practitioners are unaware of a family history of gastric cancer and 35% of NSAID use, highlighting a similar underutilization of the expanded indications. [4]</w:t>
      </w:r>
    </w:p>
    <w:p w14:paraId="3530EE08" w14:textId="77777777" w:rsidR="0068605D" w:rsidRPr="00B51CA3" w:rsidRDefault="0068605D" w:rsidP="0068605D">
      <w:pPr>
        <w:pStyle w:val="s12"/>
        <w:spacing w:before="0" w:beforeAutospacing="0" w:after="120" w:afterAutospacing="0"/>
        <w:rPr>
          <w:color w:val="000000"/>
          <w:sz w:val="20"/>
          <w:szCs w:val="20"/>
        </w:rPr>
      </w:pPr>
      <w:r w:rsidRPr="00D96EBA">
        <w:rPr>
          <w:rStyle w:val="bumpedfont15"/>
          <w:i/>
          <w:iCs/>
          <w:color w:val="000000"/>
          <w:sz w:val="28"/>
          <w:szCs w:val="28"/>
        </w:rPr>
        <w:t>H. pylori</w:t>
      </w:r>
      <w:r w:rsidRPr="00B51CA3">
        <w:rPr>
          <w:rStyle w:val="bumpedfont15"/>
          <w:color w:val="000000"/>
          <w:sz w:val="28"/>
          <w:szCs w:val="28"/>
        </w:rPr>
        <w:t xml:space="preserve"> serology was the most frequently used first-line test (68.8%), followed by invasive tests (55%). The urea breath test (19.3%) and stool antigen detection (12.8%) were less frequently requested, likely due to a lack of awareness. The predominant use of serology, while convenient, is problematic in a context of high prevalence, where it lacks specificity. Non-invasive tests such as the breath test or stool antigen detection, recommended by international guidelines, should be more widely promoted. In contrast, the Guadeloupe study shows a higher adoption rate of the breath test (56.4% vs 19.26%), with lower use of serology (17.94% vs 68.8%), highlighting better awareness of the recommendations, although age negatively influences its prescription in the 56-65 age group in both cases (p=0.053 in Guadeloupe). [7]</w:t>
      </w:r>
    </w:p>
    <w:p w14:paraId="31287F13"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The 14-day concurrent four-drug regimen was the most frequently used treatment (29.4%), followed by triple therapy (22%). This reflects a partial adoption of international guidelines, which favor four-drug regimens due to increasing antibiotic resistance. However, the use of PPIs as monotherapy </w:t>
      </w:r>
      <w:r w:rsidRPr="00B51CA3">
        <w:rPr>
          <w:rStyle w:val="bumpedfont15"/>
          <w:color w:val="000000"/>
          <w:sz w:val="28"/>
          <w:szCs w:val="28"/>
        </w:rPr>
        <w:lastRenderedPageBreak/>
        <w:t xml:space="preserve">(11.9%) by some physicians is inappropriate and ineffective in eradicating </w:t>
      </w:r>
      <w:r w:rsidRPr="00D96EBA">
        <w:rPr>
          <w:rStyle w:val="bumpedfont15"/>
          <w:i/>
          <w:iCs/>
          <w:color w:val="000000"/>
          <w:sz w:val="28"/>
          <w:szCs w:val="28"/>
        </w:rPr>
        <w:t>H. pylori</w:t>
      </w:r>
      <w:r w:rsidRPr="00B51CA3">
        <w:rPr>
          <w:rStyle w:val="bumpedfont15"/>
          <w:color w:val="000000"/>
          <w:sz w:val="28"/>
          <w:szCs w:val="28"/>
        </w:rPr>
        <w:t>. This choice could be related to economic constraints or a lack of familiarity with current protocols. Standardization of treatments is necessary to optimize outcomes. This preference for four-drug therapy differs from the Guadeloupe study, where sequential therapy predominates (56.41% vs. 18.3%), while triple therapy is comparable (17.94% vs. 22.02%), with a similar influence of age and education (younger individuals favoring modern regimens, RR 4.5 for non-specification in those &gt;65 years old, p&lt;0.05) [7]. The French study by Heluwaert and Lamarque reports that general practitioners do not follow the prescribed regimens in the majority of cases, with resistance to clarithromycin increasing fivefold in 15 years, and recommends empirical quadruple therapies for &gt;85% eradication in first-line treatment. [4]</w:t>
      </w:r>
    </w:p>
    <w:p w14:paraId="799FD164"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The majority of physicians (79.8%) performed eradication testing, a positive practice aligned with international recommendations. However, 20.2% did not, which could increase the risk of persistence or undetected complications. The reasons for this non-performance (logistical constraints, cost, or lack of awareness) warrant further investigation to encourage universal adoption of this practice. This high frequency of testing is close to that observed in Guadeloupe (73.04% always after first-line treatment) [7], indicating uniformity in both contexts, with no significant link to age. The French study by Heluwaert and Lamarque indicates that testing is not performed by general practitioners in one-third of cases, despite its simplicity via a breath test, and suggests delegation by gastroenterologists with standardized forms to improve adherence. [4] Serology was used by 71.3% of physicians for eradication monitoring, which is inappropriate because it does not distinguish between an active and a past infection. Recommended tests, such as the urea breath test (8.1%) or stool antigen detection (3.4%), were underutilized, likely due to a lack of awareness of the latest guidelines. This inappropriate choice can lead to poor assessment of eradication, highlighting an urgent need for training and access to more accurate tests. In comparison, the Guadeloupe study reports lower use of serology (14.52% vs. 71.26%), with a preference for the breath test, reflecting practices more aligned with guidelines, although the inadequacy of serology is a common finding. [7]</w:t>
      </w:r>
    </w:p>
    <w:p w14:paraId="0330F333"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In cases of treatment failure, 68.8% of physicians referred patients to a specialist, which is an appropriate practice. The 31.2% who prescribed second-line treatment themselves may reflect confidence in their abilities or a lack of access to specialists. This distribution suggests good collaboration between general practitioners and specialists, but an analysis of the clinical outcomes of these choices would be necessary to assess their relevance. This referral approach after treatment failure aligns with the Guadeloupe study (52.13% after second-line treatment), although self-management is more common in Bamako, with no significant correlation to the type of initial treatment in either case </w:t>
      </w:r>
      <w:r w:rsidRPr="00B51CA3">
        <w:rPr>
          <w:rStyle w:val="bumpedfont15"/>
          <w:color w:val="000000"/>
          <w:sz w:val="28"/>
          <w:szCs w:val="28"/>
        </w:rPr>
        <w:lastRenderedPageBreak/>
        <w:t xml:space="preserve">(p&gt;0.05 in Guadeloupe). [7] Among physicians prescribing second-line treatment, the 10-day bismuth-based quadruple therapy was the most frequently used (32.4%), which is consistent with the recommendations for salvage treatments. The continued use of PPI monotherapy (17.6%) is concerning, as it is ineffective. This choice could be influenced by economic constraints or a lack of familiarity with protocols. Increased awareness of recommended treatment regimens is necessary. In perspective, the Guadeloupe study also favored bismuth (50.43% vs. 32.35%), with sequential therapy used in the second line (15.38%), indicating a similarity in salvage therapy choices, although influenced by first-line treatment [7]. The French study by Heluwaert and Lamarque recommends empirical regimens for &gt;95% eradication after two lines of therapy and offers summary sheets to help general practitioners avoid monotherapies. [4] Younger physicians (less than 15 years of experience) more frequently identified pathologies such as MALT lymphoma, dyspepsia, and chronic gastritis (significant p-values ​​of 0.05, 0.05, and 0.025, respectively). This suggests that newly trained physicians are more aware of less common </w:t>
      </w:r>
      <w:r w:rsidRPr="00D96EBA">
        <w:rPr>
          <w:rStyle w:val="bumpedfont15"/>
          <w:i/>
          <w:iCs/>
          <w:color w:val="000000"/>
          <w:sz w:val="28"/>
          <w:szCs w:val="28"/>
        </w:rPr>
        <w:t>H. pylori</w:t>
      </w:r>
      <w:r w:rsidRPr="00B51CA3">
        <w:rPr>
          <w:rStyle w:val="bumpedfont15"/>
          <w:color w:val="000000"/>
          <w:sz w:val="28"/>
          <w:szCs w:val="28"/>
        </w:rPr>
        <w:t xml:space="preserve"> associations, likely due to updated training. More experienced physicians may be less familiar with these conditions due to older training or a focus on classic complications such as peptic ulcer disease. Physicians with less than 5 years of experience more frequently cited prolonged PPI use (p=0.014) and unexplained anemia (p=0.025) as indications for </w:t>
      </w:r>
      <w:r w:rsidRPr="00D96EBA">
        <w:rPr>
          <w:rStyle w:val="bumpedfont15"/>
          <w:i/>
          <w:iCs/>
          <w:color w:val="000000"/>
          <w:sz w:val="28"/>
          <w:szCs w:val="28"/>
        </w:rPr>
        <w:t>H. pylori</w:t>
      </w:r>
      <w:r w:rsidRPr="00B51CA3">
        <w:rPr>
          <w:rStyle w:val="bumpedfont15"/>
          <w:color w:val="000000"/>
          <w:sz w:val="28"/>
          <w:szCs w:val="28"/>
        </w:rPr>
        <w:t xml:space="preserve"> testing. This reflects a greater awareness of recent guidelines among younger physicians, which incorporate broader indications. More experienced physicians may be less familiar with these indications, highlighting the importance of continuing education to harmonize practices. Similarly, in Guadeloupe, physicians aged 25–35 years more frequently cited PPI use (RR 1.24) and aspirin use (RR 3.26, p&lt;0.05</w:t>
      </w:r>
      <w:proofErr w:type="gramStart"/>
      <w:r w:rsidRPr="00B51CA3">
        <w:rPr>
          <w:rStyle w:val="bumpedfont15"/>
          <w:color w:val="000000"/>
          <w:sz w:val="28"/>
          <w:szCs w:val="28"/>
        </w:rPr>
        <w:t>).confirming</w:t>
      </w:r>
      <w:proofErr w:type="gramEnd"/>
      <w:r w:rsidRPr="00B51CA3">
        <w:rPr>
          <w:rStyle w:val="bumpedfont15"/>
          <w:color w:val="000000"/>
          <w:sz w:val="28"/>
          <w:szCs w:val="28"/>
        </w:rPr>
        <w:t xml:space="preserve"> a common trend where younger physicians favor the adoption of broader indications. [7] The least experienced physicians (less than 5 years) used the urea breath test significantly more often (p=0.028) and serology (p=0.003). This could indicate adoption of modern tests by younger physicians, although the use of serology remains problematic. More senior physicians might favor more accessible tests such as invasive tests, although the difference was not significant (p=0.180). Targeted training could encourage the use of more accurate tests. This variation according to seniority parallels that observed in Guadeloupe, where physicians aged 56–65 prescribed the breath test 36% less often (RR 0.64, p=0.053), although serology is less problematic overall [7]. The French study by Heluwaert and Lamarque, while promoting the breath test, notes that general practitioners misuse it (failure to discontinue treatment) and suggests training for more experienced physicians. [4] Physicians with 15 years or more of experience more frequently used 7-day triple therapy or treatments based on Helicocin (amoxicillin and metronidazole) alone (p=0.021 and p=0.026), while those with less than 10 years of experience favored modern regimens such as concurrent quadruple therapy. This reflects a potential </w:t>
      </w:r>
      <w:r w:rsidRPr="00B51CA3">
        <w:rPr>
          <w:rStyle w:val="bumpedfont15"/>
          <w:color w:val="000000"/>
          <w:sz w:val="28"/>
          <w:szCs w:val="28"/>
        </w:rPr>
        <w:lastRenderedPageBreak/>
        <w:t>resistance to change among more experienced physicians, who adhere to older practices. Updating local protocols could encourage the adoption of recommended treatments. Similarly, the Guadeloupe study shows that those over 65 are less informed about treatments (RR 4.5, p&lt;0.05), with an increased prescription of non-bismuth-based quadruple therapy among 56-65 year olds (p=0.08), indicating a similar influence of experience on therapeutic choices. [7][4] Physicians with 15 years or more of experience more frequently used 7-day triple therapy or Helicocin-based treatments (amoxicillin and metronidazole) alone (p=0.021 and p=0.026), while those with less than 10 years of experience favored modern regimens such as concurrent quadruple therapy. This reflects potential resistance to change among more experienced physicians, who adhere to older practices. Updating local protocols could encourage the adoption of recommended treatments. Similarly, the Guadeloupe study shows that those over 65 are less informed about treatments (RR 4.5, p&lt;0.05), with increased prescription of non-bismuth quadruple therapy among 56-65 year olds (p=0.08), indicating a similar influence of experience on treatment choices. [7][4] Physicians with 15 years or more of experience more frequently used 7-day triple therapy or Helicocin-based treatments (amoxicillin and metronidazole) alone (p=0.021 and p=0.026), while those with less than 10 years of experience favored modern regimens such as concurrent quadruple therapy. This reflects potential resistance to change among more experienced physicians, who adhere to older practices. Updating local protocols could encourage the adoption of recommended treatments. Similarly, the Guadeloupe study shows that those over 65 are less informed about treatments (RR 4.5, p&lt;0.05), with increased prescription of non-bismuth quadruple therapy among 56-65 year olds (p=0.08), indicating a similar influence of experience on treatment choices. [7]</w:t>
      </w:r>
    </w:p>
    <w:p w14:paraId="51A72AAC" w14:textId="77777777" w:rsidR="003F0E79" w:rsidRDefault="003F0E79" w:rsidP="0068605D">
      <w:pPr>
        <w:pStyle w:val="s10"/>
        <w:spacing w:before="0" w:beforeAutospacing="0" w:after="120" w:afterAutospacing="0"/>
        <w:rPr>
          <w:rStyle w:val="bumpedfont15"/>
          <w:b/>
          <w:bCs/>
          <w:color w:val="000000"/>
          <w:sz w:val="28"/>
          <w:szCs w:val="28"/>
        </w:rPr>
      </w:pPr>
    </w:p>
    <w:p w14:paraId="07EEA766" w14:textId="5F9AD340" w:rsidR="0068605D" w:rsidRPr="00B51CA3" w:rsidRDefault="0068605D" w:rsidP="0068605D">
      <w:pPr>
        <w:pStyle w:val="s10"/>
        <w:spacing w:before="0" w:beforeAutospacing="0" w:after="120" w:afterAutospacing="0"/>
        <w:rPr>
          <w:b/>
          <w:bCs/>
          <w:color w:val="000000"/>
          <w:sz w:val="20"/>
          <w:szCs w:val="20"/>
        </w:rPr>
      </w:pPr>
      <w:r w:rsidRPr="00B51CA3">
        <w:rPr>
          <w:rStyle w:val="bumpedfont15"/>
          <w:b/>
          <w:bCs/>
          <w:color w:val="000000"/>
          <w:sz w:val="28"/>
          <w:szCs w:val="28"/>
        </w:rPr>
        <w:t>CONCLUSION</w:t>
      </w:r>
    </w:p>
    <w:p w14:paraId="6998AC8D"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This study, conducted with 109 general practitioners, shows that even though the majority have already been confronted with cases of infection, their knowledge and practices remain heterogeneous.</w:t>
      </w:r>
    </w:p>
    <w:p w14:paraId="21208C69" w14:textId="77777777" w:rsidR="0068605D" w:rsidRPr="00B51CA3" w:rsidRDefault="0068605D" w:rsidP="0068605D">
      <w:pPr>
        <w:pStyle w:val="s12"/>
        <w:spacing w:before="0" w:beforeAutospacing="0" w:after="120" w:afterAutospacing="0"/>
        <w:rPr>
          <w:color w:val="000000"/>
          <w:sz w:val="20"/>
          <w:szCs w:val="20"/>
        </w:rPr>
      </w:pPr>
      <w:r w:rsidRPr="00B51CA3">
        <w:rPr>
          <w:rStyle w:val="bumpedfont15"/>
          <w:color w:val="000000"/>
          <w:sz w:val="28"/>
          <w:szCs w:val="28"/>
        </w:rPr>
        <w:t xml:space="preserve">The results reveal good identification of common symptoms and associated pathologies, but also significant shortcomings regarding modes of transmission, screening indications, the choice of diagnostic tests, and the application of recommended treatment regimens. The still predominant use of serology as </w:t>
      </w:r>
      <w:proofErr w:type="gramStart"/>
      <w:r w:rsidRPr="00B51CA3">
        <w:rPr>
          <w:rStyle w:val="bumpedfont15"/>
          <w:color w:val="000000"/>
          <w:sz w:val="28"/>
          <w:szCs w:val="28"/>
        </w:rPr>
        <w:t>a</w:t>
      </w:r>
      <w:proofErr w:type="gramEnd"/>
      <w:r w:rsidRPr="00B51CA3">
        <w:rPr>
          <w:rStyle w:val="bumpedfont15"/>
          <w:color w:val="000000"/>
          <w:sz w:val="28"/>
          <w:szCs w:val="28"/>
        </w:rPr>
        <w:t xml:space="preserve"> first-line test and the lack of awareness of certain key indications suggest a need for updated knowledge.</w:t>
      </w:r>
    </w:p>
    <w:p w14:paraId="78B7519D" w14:textId="77777777" w:rsidR="0068605D" w:rsidRDefault="0068605D" w:rsidP="0068605D">
      <w:pPr>
        <w:pStyle w:val="s10"/>
        <w:spacing w:before="0" w:beforeAutospacing="0" w:after="120" w:afterAutospacing="0"/>
        <w:rPr>
          <w:rStyle w:val="bumpedfont15"/>
          <w:color w:val="000000"/>
          <w:sz w:val="28"/>
          <w:szCs w:val="28"/>
        </w:rPr>
      </w:pPr>
      <w:r w:rsidRPr="00B51CA3">
        <w:rPr>
          <w:rStyle w:val="bumpedfont15"/>
          <w:color w:val="000000"/>
          <w:sz w:val="28"/>
          <w:szCs w:val="28"/>
        </w:rPr>
        <w:t xml:space="preserve">In light of these findings, it appears essential to strengthen continuing education for general practitioners and to disseminate standardized protocols adapted to the Malian context. Better harmonization of practices would improve early </w:t>
      </w:r>
      <w:r w:rsidRPr="00B51CA3">
        <w:rPr>
          <w:rStyle w:val="bumpedfont15"/>
          <w:color w:val="000000"/>
          <w:sz w:val="28"/>
          <w:szCs w:val="28"/>
        </w:rPr>
        <w:lastRenderedPageBreak/>
        <w:t xml:space="preserve">diagnosis, the quality of treatment, and the prevention of complications related to </w:t>
      </w:r>
      <w:r w:rsidRPr="00D96EBA">
        <w:rPr>
          <w:rStyle w:val="bumpedfont15"/>
          <w:i/>
          <w:iCs/>
          <w:color w:val="000000"/>
          <w:sz w:val="28"/>
          <w:szCs w:val="28"/>
        </w:rPr>
        <w:t>H. pylori</w:t>
      </w:r>
      <w:r w:rsidRPr="00B51CA3">
        <w:rPr>
          <w:rStyle w:val="bumpedfont15"/>
          <w:color w:val="000000"/>
          <w:sz w:val="28"/>
          <w:szCs w:val="28"/>
        </w:rPr>
        <w:t>, thus contributing to better patient care in the Bamako district.</w:t>
      </w:r>
    </w:p>
    <w:p w14:paraId="4A6BE779" w14:textId="77777777" w:rsidR="0075779F" w:rsidRPr="00B51CA3" w:rsidRDefault="0075779F" w:rsidP="0068605D">
      <w:pPr>
        <w:pStyle w:val="s10"/>
        <w:spacing w:before="0" w:beforeAutospacing="0" w:after="120" w:afterAutospacing="0"/>
        <w:rPr>
          <w:color w:val="000000"/>
          <w:sz w:val="20"/>
          <w:szCs w:val="20"/>
        </w:rPr>
      </w:pPr>
    </w:p>
    <w:p w14:paraId="3947C3B8" w14:textId="241AA284" w:rsidR="00657B0E" w:rsidRPr="008643C7" w:rsidRDefault="00657B0E">
      <w:pPr>
        <w:rPr>
          <w:rFonts w:ascii="Times New Roman" w:hAnsi="Times New Roman" w:cs="Times New Roman"/>
        </w:rPr>
      </w:pPr>
      <w:r w:rsidRPr="008643C7">
        <w:rPr>
          <w:rFonts w:ascii="Times New Roman" w:hAnsi="Times New Roman" w:cs="Times New Roman"/>
        </w:rPr>
        <w:t>Figure 1 : Distribution of General practitioners according to their place of practice in the Bamako district</w:t>
      </w:r>
    </w:p>
    <w:p w14:paraId="5FE297CC" w14:textId="62EF83BC" w:rsidR="00B40E3D" w:rsidRDefault="00B40E3D" w:rsidP="00571712">
      <w:pPr>
        <w:rPr>
          <w:noProof/>
        </w:rPr>
      </w:pPr>
      <w:r>
        <w:rPr>
          <w:noProof/>
        </w:rPr>
        <w:drawing>
          <wp:inline distT="0" distB="0" distL="0" distR="0" wp14:anchorId="3A0D1D90" wp14:editId="324F634B">
            <wp:extent cx="4572000" cy="2743200"/>
            <wp:effectExtent l="0" t="0" r="0" b="0"/>
            <wp:docPr id="1" name="Graphique 1">
              <a:extLst xmlns:a="http://schemas.openxmlformats.org/drawingml/2006/main">
                <a:ext uri="{FF2B5EF4-FFF2-40B4-BE49-F238E27FC236}">
                  <a16:creationId xmlns:a16="http://schemas.microsoft.com/office/drawing/2014/main" id="{8B8A59A9-6112-4F73-8316-7B306D4420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C9591F" w14:textId="42B447BC" w:rsidR="00657B0E" w:rsidRPr="00893683" w:rsidRDefault="00657B0E" w:rsidP="00893683">
      <w:pPr>
        <w:tabs>
          <w:tab w:val="left" w:pos="2180"/>
        </w:tabs>
        <w:rPr>
          <w:rFonts w:ascii="Times New Roman" w:hAnsi="Times New Roman" w:cs="Times New Roman"/>
          <w:sz w:val="28"/>
          <w:szCs w:val="28"/>
        </w:rPr>
      </w:pPr>
      <w:r w:rsidRPr="00893683">
        <w:rPr>
          <w:rFonts w:ascii="Times New Roman" w:hAnsi="Times New Roman" w:cs="Times New Roman"/>
        </w:rPr>
        <w:t>Figure 2 : Distribution of General practitioners depending on the modes of transmission of Hp infection</w:t>
      </w:r>
    </w:p>
    <w:p w14:paraId="6C069C37" w14:textId="0412DE87" w:rsidR="00BC6CCB" w:rsidRDefault="00571712" w:rsidP="00657B0E">
      <w:pPr>
        <w:rPr>
          <w:rFonts w:ascii="Times New Roman" w:hAnsi="Times New Roman" w:cs="Times New Roman"/>
          <w:sz w:val="28"/>
          <w:szCs w:val="28"/>
        </w:rPr>
      </w:pPr>
      <w:r>
        <w:rPr>
          <w:noProof/>
        </w:rPr>
        <w:drawing>
          <wp:inline distT="0" distB="0" distL="0" distR="0" wp14:anchorId="1350B61A" wp14:editId="3ACE66DB">
            <wp:extent cx="4572000" cy="2743200"/>
            <wp:effectExtent l="0" t="0" r="0" b="0"/>
            <wp:docPr id="3" name="Graphique 3">
              <a:extLst xmlns:a="http://schemas.openxmlformats.org/drawingml/2006/main">
                <a:ext uri="{FF2B5EF4-FFF2-40B4-BE49-F238E27FC236}">
                  <a16:creationId xmlns:a16="http://schemas.microsoft.com/office/drawing/2014/main" id="{F74D853C-325E-44AA-84E6-2F94D88A8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6517F2" w14:textId="77777777" w:rsidR="00B12B3D" w:rsidRDefault="00B12B3D">
      <w:pPr>
        <w:rPr>
          <w:rFonts w:ascii="Times New Roman" w:hAnsi="Times New Roman" w:cs="Times New Roman"/>
        </w:rPr>
      </w:pPr>
    </w:p>
    <w:p w14:paraId="76277926" w14:textId="77777777" w:rsidR="00B12B3D" w:rsidRDefault="00B12B3D">
      <w:pPr>
        <w:rPr>
          <w:rFonts w:ascii="Times New Roman" w:hAnsi="Times New Roman" w:cs="Times New Roman"/>
        </w:rPr>
      </w:pPr>
    </w:p>
    <w:p w14:paraId="63B43638" w14:textId="77777777" w:rsidR="00B12B3D" w:rsidRDefault="00B12B3D">
      <w:pPr>
        <w:rPr>
          <w:rFonts w:ascii="Times New Roman" w:hAnsi="Times New Roman" w:cs="Times New Roman"/>
        </w:rPr>
      </w:pPr>
    </w:p>
    <w:p w14:paraId="4ADC52DB" w14:textId="2A0B3102" w:rsidR="00657B0E" w:rsidRPr="00657B0E" w:rsidRDefault="00657B0E">
      <w:pPr>
        <w:rPr>
          <w:rFonts w:ascii="Times New Roman" w:hAnsi="Times New Roman" w:cs="Times New Roman"/>
        </w:rPr>
      </w:pPr>
      <w:r w:rsidRPr="00BE6E38">
        <w:rPr>
          <w:rFonts w:ascii="Times New Roman" w:hAnsi="Times New Roman" w:cs="Times New Roman"/>
        </w:rPr>
        <w:t>Figure 3 : Distribution of general practitioners according to indications for Hp infection testing.</w:t>
      </w:r>
    </w:p>
    <w:p w14:paraId="55391063" w14:textId="543FDE7C" w:rsidR="00BC6CCB" w:rsidRDefault="00697E5A">
      <w:pPr>
        <w:rPr>
          <w:rFonts w:ascii="Times New Roman" w:hAnsi="Times New Roman" w:cs="Times New Roman"/>
          <w:sz w:val="28"/>
          <w:szCs w:val="28"/>
        </w:rPr>
      </w:pPr>
      <w:r>
        <w:rPr>
          <w:noProof/>
        </w:rPr>
        <w:lastRenderedPageBreak/>
        <w:drawing>
          <wp:inline distT="0" distB="0" distL="0" distR="0" wp14:anchorId="0837BCD4" wp14:editId="22EB8797">
            <wp:extent cx="4572000" cy="2743200"/>
            <wp:effectExtent l="0" t="0" r="0" b="0"/>
            <wp:docPr id="4" name="Graphique 4">
              <a:extLst xmlns:a="http://schemas.openxmlformats.org/drawingml/2006/main">
                <a:ext uri="{FF2B5EF4-FFF2-40B4-BE49-F238E27FC236}">
                  <a16:creationId xmlns:a16="http://schemas.microsoft.com/office/drawing/2014/main" id="{5F99F5FE-6568-4F62-8463-0D37009AB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273998" w14:textId="77777777" w:rsidR="00893683" w:rsidRDefault="00893683">
      <w:pPr>
        <w:rPr>
          <w:rFonts w:ascii="Times New Roman" w:hAnsi="Times New Roman" w:cs="Times New Roman"/>
        </w:rPr>
      </w:pPr>
    </w:p>
    <w:p w14:paraId="689FEA7B" w14:textId="77777777" w:rsidR="00893683" w:rsidRDefault="00893683">
      <w:pPr>
        <w:rPr>
          <w:rFonts w:ascii="Times New Roman" w:hAnsi="Times New Roman" w:cs="Times New Roman"/>
        </w:rPr>
      </w:pPr>
    </w:p>
    <w:p w14:paraId="0F2F06D2" w14:textId="77777777" w:rsidR="003F0E79" w:rsidRDefault="003F0E79">
      <w:pPr>
        <w:rPr>
          <w:rFonts w:ascii="Times New Roman" w:hAnsi="Times New Roman" w:cs="Times New Roman"/>
        </w:rPr>
      </w:pPr>
    </w:p>
    <w:p w14:paraId="26A0DDFD" w14:textId="77777777" w:rsidR="003F0E79" w:rsidRDefault="003F0E79">
      <w:pPr>
        <w:rPr>
          <w:rFonts w:ascii="Times New Roman" w:hAnsi="Times New Roman" w:cs="Times New Roman"/>
        </w:rPr>
      </w:pPr>
    </w:p>
    <w:p w14:paraId="45E4B62D" w14:textId="1A255E57" w:rsidR="00657B0E" w:rsidRPr="00893683" w:rsidRDefault="00657B0E">
      <w:pPr>
        <w:rPr>
          <w:rFonts w:ascii="Times New Roman" w:hAnsi="Times New Roman" w:cs="Times New Roman"/>
        </w:rPr>
      </w:pPr>
      <w:r w:rsidRPr="00893683">
        <w:rPr>
          <w:rFonts w:ascii="Times New Roman" w:hAnsi="Times New Roman" w:cs="Times New Roman"/>
        </w:rPr>
        <w:t>Figure 4 : Distribution of General practitioners according to first-line tests for Hp infection</w:t>
      </w:r>
    </w:p>
    <w:p w14:paraId="4EC1EB06" w14:textId="6C25C8E9" w:rsidR="00697E5A" w:rsidRDefault="00C01748" w:rsidP="00657B0E">
      <w:pPr>
        <w:jc w:val="both"/>
        <w:rPr>
          <w:rFonts w:ascii="Times New Roman" w:hAnsi="Times New Roman" w:cs="Times New Roman"/>
          <w:sz w:val="28"/>
          <w:szCs w:val="28"/>
        </w:rPr>
      </w:pPr>
      <w:r>
        <w:rPr>
          <w:noProof/>
        </w:rPr>
        <w:drawing>
          <wp:inline distT="0" distB="0" distL="0" distR="0" wp14:anchorId="0099813E" wp14:editId="4B2E5E16">
            <wp:extent cx="4883150" cy="2794000"/>
            <wp:effectExtent l="0" t="0" r="0" b="0"/>
            <wp:docPr id="6" name="Graphique 6">
              <a:extLst xmlns:a="http://schemas.openxmlformats.org/drawingml/2006/main">
                <a:ext uri="{FF2B5EF4-FFF2-40B4-BE49-F238E27FC236}">
                  <a16:creationId xmlns:a16="http://schemas.microsoft.com/office/drawing/2014/main" id="{60C6BE3C-D2F6-43C7-BD76-891E8B7111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9EDBE9" w14:textId="2FDCFC4E" w:rsidR="00B12B3D" w:rsidRDefault="00B12B3D" w:rsidP="00BC6CCB">
      <w:pPr>
        <w:pStyle w:val="Caption"/>
        <w:keepNext/>
        <w:rPr>
          <w:rFonts w:ascii="Times New Roman" w:hAnsi="Times New Roman" w:cs="Times New Roman"/>
          <w:i w:val="0"/>
          <w:iCs w:val="0"/>
          <w:color w:val="auto"/>
          <w:sz w:val="24"/>
          <w:szCs w:val="24"/>
        </w:rPr>
      </w:pPr>
      <w:bookmarkStart w:id="1" w:name="_Toc206338566"/>
    </w:p>
    <w:p w14:paraId="4BC81221" w14:textId="556C5501" w:rsidR="00B12B3D" w:rsidRDefault="00B12B3D" w:rsidP="00B12B3D">
      <w:pPr>
        <w:rPr>
          <w:lang w:val="fr-FR"/>
        </w:rPr>
      </w:pPr>
    </w:p>
    <w:p w14:paraId="3805D91C" w14:textId="77777777" w:rsidR="00B12B3D" w:rsidRPr="00B12B3D" w:rsidRDefault="00B12B3D" w:rsidP="00B12B3D">
      <w:pPr>
        <w:rPr>
          <w:lang w:val="fr-FR"/>
        </w:rPr>
      </w:pPr>
    </w:p>
    <w:p w14:paraId="692F243B" w14:textId="202C2616" w:rsidR="00BC6CCB" w:rsidRPr="00893683" w:rsidRDefault="00BC6CCB" w:rsidP="00BC6CCB">
      <w:pPr>
        <w:pStyle w:val="Caption"/>
        <w:keepNext/>
        <w:rPr>
          <w:rFonts w:ascii="Times New Roman" w:hAnsi="Times New Roman" w:cs="Times New Roman"/>
          <w:i w:val="0"/>
          <w:iCs w:val="0"/>
          <w:color w:val="auto"/>
          <w:sz w:val="24"/>
          <w:szCs w:val="24"/>
        </w:rPr>
      </w:pPr>
      <w:r w:rsidRPr="00893683">
        <w:rPr>
          <w:rFonts w:ascii="Times New Roman" w:hAnsi="Times New Roman" w:cs="Times New Roman"/>
          <w:i w:val="0"/>
          <w:iCs w:val="0"/>
          <w:color w:val="auto"/>
          <w:sz w:val="24"/>
          <w:szCs w:val="24"/>
        </w:rPr>
        <w:lastRenderedPageBreak/>
        <w:t>Table</w:t>
      </w:r>
      <w:r w:rsidR="00BE6E38" w:rsidRPr="00893683">
        <w:rPr>
          <w:rFonts w:ascii="Times New Roman" w:hAnsi="Times New Roman" w:cs="Times New Roman"/>
          <w:i w:val="0"/>
          <w:iCs w:val="0"/>
          <w:color w:val="auto"/>
          <w:sz w:val="24"/>
          <w:szCs w:val="24"/>
        </w:rPr>
        <w:t xml:space="preserve"> </w:t>
      </w:r>
      <w:proofErr w:type="gramStart"/>
      <w:r w:rsidR="00BE6E38" w:rsidRPr="00893683">
        <w:rPr>
          <w:rFonts w:ascii="Times New Roman" w:hAnsi="Times New Roman" w:cs="Times New Roman"/>
          <w:i w:val="0"/>
          <w:iCs w:val="0"/>
          <w:color w:val="auto"/>
          <w:sz w:val="24"/>
          <w:szCs w:val="24"/>
        </w:rPr>
        <w:t>1</w:t>
      </w:r>
      <w:r w:rsidRPr="00893683">
        <w:rPr>
          <w:rFonts w:ascii="Times New Roman" w:eastAsiaTheme="minorHAnsi" w:hAnsi="Times New Roman" w:cs="Times New Roman"/>
          <w:i w:val="0"/>
          <w:iCs w:val="0"/>
          <w:color w:val="auto"/>
          <w:kern w:val="0"/>
          <w:sz w:val="24"/>
          <w:szCs w:val="24"/>
          <w:lang w:eastAsia="en-US"/>
          <w14:ligatures w14:val="none"/>
        </w:rPr>
        <w:t>:</w:t>
      </w:r>
      <w:proofErr w:type="gramEnd"/>
      <w:r w:rsidRPr="00893683">
        <w:rPr>
          <w:rFonts w:ascii="Times New Roman" w:eastAsiaTheme="minorHAnsi" w:hAnsi="Times New Roman" w:cs="Times New Roman"/>
          <w:i w:val="0"/>
          <w:iCs w:val="0"/>
          <w:color w:val="auto"/>
          <w:kern w:val="0"/>
          <w:sz w:val="24"/>
          <w:szCs w:val="24"/>
          <w:lang w:eastAsia="en-US"/>
          <w14:ligatures w14:val="none"/>
        </w:rPr>
        <w:t xml:space="preserve"> </w:t>
      </w:r>
      <w:r w:rsidR="00BE6E38" w:rsidRPr="00893683">
        <w:rPr>
          <w:rFonts w:ascii="Times New Roman" w:eastAsiaTheme="minorHAnsi" w:hAnsi="Times New Roman" w:cs="Times New Roman"/>
          <w:i w:val="0"/>
          <w:iCs w:val="0"/>
          <w:color w:val="auto"/>
          <w:kern w:val="0"/>
          <w:sz w:val="24"/>
          <w:szCs w:val="24"/>
          <w:lang w:eastAsia="en-US"/>
          <w14:ligatures w14:val="none"/>
        </w:rPr>
        <w:t>Distribution of general practitioners according to first-line treatment at diagnosis of Hp infection</w:t>
      </w:r>
      <w:r w:rsidRPr="00893683">
        <w:rPr>
          <w:rFonts w:ascii="Times New Roman" w:eastAsiaTheme="minorHAnsi" w:hAnsi="Times New Roman" w:cs="Times New Roman"/>
          <w:i w:val="0"/>
          <w:iCs w:val="0"/>
          <w:color w:val="auto"/>
          <w:kern w:val="0"/>
          <w:sz w:val="24"/>
          <w:szCs w:val="24"/>
          <w:lang w:eastAsia="en-US"/>
          <w14:ligatures w14:val="none"/>
        </w:rPr>
        <w:t>.</w:t>
      </w:r>
      <w:bookmarkEnd w:id="1"/>
    </w:p>
    <w:tbl>
      <w:tblPr>
        <w:tblStyle w:val="Style21"/>
        <w:tblW w:w="9332" w:type="dxa"/>
        <w:tblLayout w:type="fixed"/>
        <w:tblLook w:val="0020" w:firstRow="1" w:lastRow="0" w:firstColumn="0" w:lastColumn="0" w:noHBand="0" w:noVBand="0"/>
      </w:tblPr>
      <w:tblGrid>
        <w:gridCol w:w="5812"/>
        <w:gridCol w:w="1559"/>
        <w:gridCol w:w="1961"/>
      </w:tblGrid>
      <w:tr w:rsidR="00BC6CCB" w:rsidRPr="00BE6E38" w14:paraId="76D70300" w14:textId="77777777" w:rsidTr="00BE6E38">
        <w:trPr>
          <w:cnfStyle w:val="100000000000" w:firstRow="1" w:lastRow="0" w:firstColumn="0" w:lastColumn="0" w:oddVBand="0" w:evenVBand="0" w:oddHBand="0" w:evenHBand="0" w:firstRowFirstColumn="0" w:firstRowLastColumn="0" w:lastRowFirstColumn="0" w:lastRowLastColumn="0"/>
          <w:trHeight w:val="445"/>
        </w:trPr>
        <w:tc>
          <w:tcPr>
            <w:tcW w:w="5812" w:type="dxa"/>
          </w:tcPr>
          <w:p w14:paraId="508DED82" w14:textId="5FBEA3D2" w:rsidR="00BC6CCB" w:rsidRPr="00BE6E38" w:rsidRDefault="00BE6E38" w:rsidP="0077672F">
            <w:pPr>
              <w:autoSpaceDE w:val="0"/>
              <w:autoSpaceDN w:val="0"/>
              <w:adjustRightInd w:val="0"/>
              <w:spacing w:line="320" w:lineRule="atLeast"/>
              <w:ind w:right="60"/>
              <w:rPr>
                <w:rFonts w:ascii="Times New Roman" w:hAnsi="Times New Roman" w:cs="Times New Roman"/>
                <w:b/>
                <w:bCs/>
                <w:sz w:val="24"/>
                <w:szCs w:val="24"/>
              </w:rPr>
            </w:pPr>
            <w:r w:rsidRPr="00BE6E38">
              <w:rPr>
                <w:rFonts w:ascii="Times New Roman" w:hAnsi="Times New Roman" w:cs="Times New Roman"/>
                <w:b/>
                <w:bCs/>
                <w:sz w:val="24"/>
                <w:szCs w:val="24"/>
              </w:rPr>
              <w:t>First Line Treatment</w:t>
            </w:r>
          </w:p>
        </w:tc>
        <w:tc>
          <w:tcPr>
            <w:tcW w:w="1559" w:type="dxa"/>
          </w:tcPr>
          <w:p w14:paraId="6FDD7AA7" w14:textId="5147E5CB" w:rsidR="00BC6CCB" w:rsidRPr="00BE6E38" w:rsidRDefault="00BE6E38" w:rsidP="0077672F">
            <w:pPr>
              <w:autoSpaceDE w:val="0"/>
              <w:autoSpaceDN w:val="0"/>
              <w:adjustRightInd w:val="0"/>
              <w:spacing w:line="320" w:lineRule="atLeast"/>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Frequency</w:t>
            </w:r>
          </w:p>
        </w:tc>
        <w:tc>
          <w:tcPr>
            <w:tcW w:w="1961" w:type="dxa"/>
          </w:tcPr>
          <w:p w14:paraId="1EB73E20" w14:textId="77777777" w:rsidR="00BC6CCB" w:rsidRPr="00BE6E38" w:rsidRDefault="00BC6CCB" w:rsidP="0077672F">
            <w:pPr>
              <w:autoSpaceDE w:val="0"/>
              <w:autoSpaceDN w:val="0"/>
              <w:adjustRightInd w:val="0"/>
              <w:spacing w:line="320" w:lineRule="atLeast"/>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Pourcentage %</w:t>
            </w:r>
          </w:p>
        </w:tc>
      </w:tr>
      <w:tr w:rsidR="00BE6E38" w:rsidRPr="00BE6E38" w14:paraId="6C22345F" w14:textId="77777777" w:rsidTr="00BE6E38">
        <w:trPr>
          <w:trHeight w:val="386"/>
        </w:trPr>
        <w:tc>
          <w:tcPr>
            <w:tcW w:w="5812" w:type="dxa"/>
          </w:tcPr>
          <w:p w14:paraId="319B0BBD" w14:textId="2DCFA926" w:rsidR="00BE6E38" w:rsidRPr="00BE6E38" w:rsidRDefault="00BE6E38" w:rsidP="00BE6E38">
            <w:pPr>
              <w:autoSpaceDE w:val="0"/>
              <w:autoSpaceDN w:val="0"/>
              <w:adjustRightInd w:val="0"/>
              <w:spacing w:line="360" w:lineRule="auto"/>
              <w:ind w:right="60"/>
              <w:rPr>
                <w:rFonts w:ascii="Times New Roman" w:hAnsi="Times New Roman" w:cs="Times New Roman"/>
                <w:b/>
                <w:bCs/>
                <w:sz w:val="24"/>
                <w:szCs w:val="24"/>
              </w:rPr>
            </w:pPr>
            <w:bookmarkStart w:id="2" w:name="_Hlk193961850"/>
            <w:r w:rsidRPr="00BE6E38">
              <w:rPr>
                <w:rFonts w:ascii="Times New Roman" w:hAnsi="Times New Roman" w:cs="Times New Roman"/>
                <w:b/>
                <w:bCs/>
                <w:sz w:val="24"/>
                <w:szCs w:val="24"/>
              </w:rPr>
              <w:t>14-day concomitant quadruple therapy</w:t>
            </w:r>
          </w:p>
        </w:tc>
        <w:tc>
          <w:tcPr>
            <w:tcW w:w="1559" w:type="dxa"/>
          </w:tcPr>
          <w:p w14:paraId="241E2B80"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32</w:t>
            </w:r>
          </w:p>
        </w:tc>
        <w:tc>
          <w:tcPr>
            <w:tcW w:w="1961" w:type="dxa"/>
          </w:tcPr>
          <w:p w14:paraId="34779F2C"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29,4</w:t>
            </w:r>
          </w:p>
        </w:tc>
      </w:tr>
      <w:bookmarkEnd w:id="2"/>
      <w:tr w:rsidR="00BE6E38" w:rsidRPr="00BE6E38" w14:paraId="4FA027B1" w14:textId="77777777" w:rsidTr="00BE6E38">
        <w:trPr>
          <w:trHeight w:val="432"/>
        </w:trPr>
        <w:tc>
          <w:tcPr>
            <w:tcW w:w="5812" w:type="dxa"/>
          </w:tcPr>
          <w:p w14:paraId="77401519" w14:textId="0B8672F8" w:rsidR="00BE6E38" w:rsidRPr="00BE6E38" w:rsidRDefault="00BE6E38" w:rsidP="00BE6E38">
            <w:pPr>
              <w:autoSpaceDE w:val="0"/>
              <w:autoSpaceDN w:val="0"/>
              <w:adjustRightInd w:val="0"/>
              <w:spacing w:line="360" w:lineRule="auto"/>
              <w:ind w:right="60"/>
              <w:rPr>
                <w:rFonts w:ascii="Times New Roman" w:hAnsi="Times New Roman" w:cs="Times New Roman"/>
                <w:sz w:val="24"/>
                <w:szCs w:val="24"/>
              </w:rPr>
            </w:pPr>
            <w:r w:rsidRPr="00BE6E38">
              <w:rPr>
                <w:rFonts w:ascii="Times New Roman" w:hAnsi="Times New Roman" w:cs="Times New Roman"/>
                <w:sz w:val="24"/>
                <w:szCs w:val="24"/>
              </w:rPr>
              <w:t>10-day sequential therapy</w:t>
            </w:r>
          </w:p>
        </w:tc>
        <w:tc>
          <w:tcPr>
            <w:tcW w:w="1559" w:type="dxa"/>
          </w:tcPr>
          <w:p w14:paraId="70765232"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20</w:t>
            </w:r>
          </w:p>
        </w:tc>
        <w:tc>
          <w:tcPr>
            <w:tcW w:w="1961" w:type="dxa"/>
          </w:tcPr>
          <w:p w14:paraId="063C3A95"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18,4</w:t>
            </w:r>
          </w:p>
        </w:tc>
      </w:tr>
      <w:tr w:rsidR="00BE6E38" w:rsidRPr="00BE6E38" w14:paraId="7354BC9C" w14:textId="77777777" w:rsidTr="00BE6E38">
        <w:trPr>
          <w:trHeight w:val="60"/>
        </w:trPr>
        <w:tc>
          <w:tcPr>
            <w:tcW w:w="5812" w:type="dxa"/>
          </w:tcPr>
          <w:p w14:paraId="4E1F88AB" w14:textId="3F93C00A" w:rsidR="00BE6E38" w:rsidRPr="00BE6E38" w:rsidRDefault="00BE6E38" w:rsidP="00BE6E38">
            <w:pPr>
              <w:autoSpaceDE w:val="0"/>
              <w:autoSpaceDN w:val="0"/>
              <w:adjustRightInd w:val="0"/>
              <w:spacing w:line="360" w:lineRule="auto"/>
              <w:ind w:right="60"/>
              <w:rPr>
                <w:rFonts w:ascii="Times New Roman" w:hAnsi="Times New Roman" w:cs="Times New Roman"/>
                <w:sz w:val="24"/>
                <w:szCs w:val="24"/>
              </w:rPr>
            </w:pPr>
            <w:r w:rsidRPr="00BE6E38">
              <w:rPr>
                <w:rFonts w:ascii="Times New Roman" w:hAnsi="Times New Roman" w:cs="Times New Roman"/>
                <w:sz w:val="24"/>
                <w:szCs w:val="24"/>
              </w:rPr>
              <w:t>10-day bismuth-based quadruple therapy</w:t>
            </w:r>
          </w:p>
        </w:tc>
        <w:tc>
          <w:tcPr>
            <w:tcW w:w="1559" w:type="dxa"/>
          </w:tcPr>
          <w:p w14:paraId="2ACADA05"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18</w:t>
            </w:r>
          </w:p>
        </w:tc>
        <w:tc>
          <w:tcPr>
            <w:tcW w:w="1961" w:type="dxa"/>
          </w:tcPr>
          <w:p w14:paraId="431AB9BF"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16,5</w:t>
            </w:r>
          </w:p>
        </w:tc>
      </w:tr>
      <w:tr w:rsidR="00BE6E38" w:rsidRPr="00BE6E38" w14:paraId="03FE3CAF" w14:textId="77777777" w:rsidTr="00BE6E38">
        <w:trPr>
          <w:trHeight w:val="164"/>
        </w:trPr>
        <w:tc>
          <w:tcPr>
            <w:tcW w:w="5812" w:type="dxa"/>
          </w:tcPr>
          <w:p w14:paraId="14D49FEA" w14:textId="4FDA0DCD" w:rsidR="00BE6E38" w:rsidRPr="00BE6E38" w:rsidRDefault="00BE6E38" w:rsidP="00BE6E38">
            <w:pPr>
              <w:autoSpaceDE w:val="0"/>
              <w:autoSpaceDN w:val="0"/>
              <w:adjustRightInd w:val="0"/>
              <w:spacing w:line="360" w:lineRule="auto"/>
              <w:ind w:right="60"/>
              <w:rPr>
                <w:rFonts w:ascii="Times New Roman" w:hAnsi="Times New Roman" w:cs="Times New Roman"/>
                <w:b/>
                <w:bCs/>
                <w:sz w:val="24"/>
                <w:szCs w:val="24"/>
              </w:rPr>
            </w:pPr>
            <w:r w:rsidRPr="00BE6E38">
              <w:rPr>
                <w:rFonts w:ascii="Times New Roman" w:hAnsi="Times New Roman" w:cs="Times New Roman"/>
                <w:b/>
                <w:bCs/>
                <w:sz w:val="24"/>
                <w:szCs w:val="24"/>
              </w:rPr>
              <w:t>7-day triple therapy (Zolcer KIT or Helicocin + PPI)</w:t>
            </w:r>
          </w:p>
        </w:tc>
        <w:tc>
          <w:tcPr>
            <w:tcW w:w="1559" w:type="dxa"/>
          </w:tcPr>
          <w:p w14:paraId="3C079592"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24</w:t>
            </w:r>
          </w:p>
        </w:tc>
        <w:tc>
          <w:tcPr>
            <w:tcW w:w="1961" w:type="dxa"/>
          </w:tcPr>
          <w:p w14:paraId="0A01D969"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22.0</w:t>
            </w:r>
          </w:p>
        </w:tc>
      </w:tr>
      <w:tr w:rsidR="00BE6E38" w:rsidRPr="00BE6E38" w14:paraId="3D4D2065" w14:textId="77777777" w:rsidTr="00BE6E38">
        <w:trPr>
          <w:trHeight w:val="300"/>
        </w:trPr>
        <w:tc>
          <w:tcPr>
            <w:tcW w:w="5812" w:type="dxa"/>
          </w:tcPr>
          <w:p w14:paraId="4B6AA724" w14:textId="5409BADA" w:rsidR="00BE6E38" w:rsidRPr="00BE6E38" w:rsidRDefault="00BE6E38" w:rsidP="00BE6E38">
            <w:pPr>
              <w:autoSpaceDE w:val="0"/>
              <w:autoSpaceDN w:val="0"/>
              <w:adjustRightInd w:val="0"/>
              <w:spacing w:line="360" w:lineRule="auto"/>
              <w:ind w:right="60"/>
              <w:rPr>
                <w:rFonts w:ascii="Times New Roman" w:hAnsi="Times New Roman" w:cs="Times New Roman"/>
                <w:sz w:val="24"/>
                <w:szCs w:val="24"/>
              </w:rPr>
            </w:pPr>
            <w:r w:rsidRPr="00BE6E38">
              <w:rPr>
                <w:rFonts w:ascii="Times New Roman" w:hAnsi="Times New Roman" w:cs="Times New Roman"/>
                <w:sz w:val="24"/>
                <w:szCs w:val="24"/>
              </w:rPr>
              <w:t>Full-dose PPI twice daily for 7 days</w:t>
            </w:r>
          </w:p>
        </w:tc>
        <w:tc>
          <w:tcPr>
            <w:tcW w:w="1559" w:type="dxa"/>
          </w:tcPr>
          <w:p w14:paraId="559AF84D"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13</w:t>
            </w:r>
          </w:p>
        </w:tc>
        <w:tc>
          <w:tcPr>
            <w:tcW w:w="1961" w:type="dxa"/>
          </w:tcPr>
          <w:p w14:paraId="35349537"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11,9</w:t>
            </w:r>
          </w:p>
        </w:tc>
      </w:tr>
      <w:tr w:rsidR="00BE6E38" w:rsidRPr="00BE6E38" w14:paraId="00A9EDDB" w14:textId="77777777" w:rsidTr="00BE6E38">
        <w:trPr>
          <w:trHeight w:val="279"/>
        </w:trPr>
        <w:tc>
          <w:tcPr>
            <w:tcW w:w="5812" w:type="dxa"/>
          </w:tcPr>
          <w:p w14:paraId="52E08C1F" w14:textId="2E0AF1C5" w:rsidR="00BE6E38" w:rsidRPr="00BE6E38" w:rsidRDefault="00BE6E38" w:rsidP="00BE6E38">
            <w:pPr>
              <w:autoSpaceDE w:val="0"/>
              <w:autoSpaceDN w:val="0"/>
              <w:adjustRightInd w:val="0"/>
              <w:spacing w:line="360" w:lineRule="auto"/>
              <w:ind w:right="60"/>
              <w:rPr>
                <w:rFonts w:ascii="Times New Roman" w:hAnsi="Times New Roman" w:cs="Times New Roman"/>
                <w:sz w:val="24"/>
                <w:szCs w:val="24"/>
              </w:rPr>
            </w:pPr>
            <w:r w:rsidRPr="00BE6E38">
              <w:rPr>
                <w:rFonts w:ascii="Times New Roman" w:hAnsi="Times New Roman" w:cs="Times New Roman"/>
                <w:sz w:val="24"/>
                <w:szCs w:val="24"/>
              </w:rPr>
              <w:t>Other (Helicocin alone)</w:t>
            </w:r>
          </w:p>
        </w:tc>
        <w:tc>
          <w:tcPr>
            <w:tcW w:w="1559" w:type="dxa"/>
          </w:tcPr>
          <w:p w14:paraId="0B6C5B67"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2</w:t>
            </w:r>
          </w:p>
        </w:tc>
        <w:tc>
          <w:tcPr>
            <w:tcW w:w="1961" w:type="dxa"/>
          </w:tcPr>
          <w:p w14:paraId="56FB4599"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sz w:val="24"/>
                <w:szCs w:val="24"/>
              </w:rPr>
            </w:pPr>
            <w:r w:rsidRPr="00BE6E38">
              <w:rPr>
                <w:rFonts w:ascii="Times New Roman" w:hAnsi="Times New Roman" w:cs="Times New Roman"/>
                <w:sz w:val="24"/>
                <w:szCs w:val="24"/>
              </w:rPr>
              <w:t>1.8</w:t>
            </w:r>
          </w:p>
        </w:tc>
      </w:tr>
      <w:tr w:rsidR="00BE6E38" w:rsidRPr="00BE6E38" w14:paraId="4DFB4A8D" w14:textId="77777777" w:rsidTr="00BE6E38">
        <w:trPr>
          <w:trHeight w:val="328"/>
        </w:trPr>
        <w:tc>
          <w:tcPr>
            <w:tcW w:w="5812" w:type="dxa"/>
          </w:tcPr>
          <w:p w14:paraId="121693EC" w14:textId="48B29668" w:rsidR="00BE6E38" w:rsidRPr="00BE6E38" w:rsidRDefault="00BE6E38" w:rsidP="00BE6E38">
            <w:pPr>
              <w:autoSpaceDE w:val="0"/>
              <w:autoSpaceDN w:val="0"/>
              <w:adjustRightInd w:val="0"/>
              <w:spacing w:line="360" w:lineRule="auto"/>
              <w:ind w:right="60"/>
              <w:rPr>
                <w:rFonts w:ascii="Times New Roman" w:hAnsi="Times New Roman" w:cs="Times New Roman"/>
                <w:b/>
                <w:bCs/>
                <w:sz w:val="24"/>
                <w:szCs w:val="24"/>
              </w:rPr>
            </w:pPr>
            <w:r w:rsidRPr="00BE6E38">
              <w:rPr>
                <w:rFonts w:ascii="Times New Roman" w:hAnsi="Times New Roman" w:cs="Times New Roman"/>
                <w:b/>
                <w:bCs/>
                <w:sz w:val="24"/>
                <w:szCs w:val="24"/>
              </w:rPr>
              <w:t>Total</w:t>
            </w:r>
          </w:p>
        </w:tc>
        <w:tc>
          <w:tcPr>
            <w:tcW w:w="1559" w:type="dxa"/>
          </w:tcPr>
          <w:p w14:paraId="07358268"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109</w:t>
            </w:r>
          </w:p>
        </w:tc>
        <w:tc>
          <w:tcPr>
            <w:tcW w:w="1961" w:type="dxa"/>
          </w:tcPr>
          <w:p w14:paraId="2AD87B34" w14:textId="77777777" w:rsidR="00BE6E38" w:rsidRPr="00BE6E38" w:rsidRDefault="00BE6E38" w:rsidP="00BE6E38">
            <w:pPr>
              <w:autoSpaceDE w:val="0"/>
              <w:autoSpaceDN w:val="0"/>
              <w:adjustRightInd w:val="0"/>
              <w:spacing w:line="360" w:lineRule="auto"/>
              <w:ind w:right="60"/>
              <w:jc w:val="center"/>
              <w:rPr>
                <w:rFonts w:ascii="Times New Roman" w:hAnsi="Times New Roman" w:cs="Times New Roman"/>
                <w:b/>
                <w:bCs/>
                <w:sz w:val="24"/>
                <w:szCs w:val="24"/>
              </w:rPr>
            </w:pPr>
            <w:r w:rsidRPr="00BE6E38">
              <w:rPr>
                <w:rFonts w:ascii="Times New Roman" w:hAnsi="Times New Roman" w:cs="Times New Roman"/>
                <w:b/>
                <w:bCs/>
                <w:sz w:val="24"/>
                <w:szCs w:val="24"/>
              </w:rPr>
              <w:t>100</w:t>
            </w:r>
          </w:p>
        </w:tc>
      </w:tr>
    </w:tbl>
    <w:p w14:paraId="0081F66B" w14:textId="14D71242" w:rsidR="00BC6CCB" w:rsidRDefault="00BC6CCB">
      <w:pPr>
        <w:rPr>
          <w:rFonts w:ascii="Times New Roman" w:hAnsi="Times New Roman" w:cs="Times New Roman"/>
          <w:sz w:val="28"/>
          <w:szCs w:val="28"/>
        </w:rPr>
      </w:pPr>
    </w:p>
    <w:p w14:paraId="29177911" w14:textId="048C3BB3" w:rsidR="00BC6CCB" w:rsidRDefault="00BC6CCB" w:rsidP="00BC6CCB">
      <w:pPr>
        <w:pStyle w:val="Caption"/>
        <w:keepNext/>
        <w:rPr>
          <w:rFonts w:ascii="Times New Roman" w:hAnsi="Times New Roman" w:cs="Times New Roman"/>
          <w:b/>
          <w:bCs/>
          <w:sz w:val="28"/>
          <w:szCs w:val="28"/>
        </w:rPr>
      </w:pPr>
      <w:bookmarkStart w:id="3" w:name="_Toc206338567"/>
    </w:p>
    <w:p w14:paraId="7CC438CB" w14:textId="77777777" w:rsidR="003F0E79" w:rsidRDefault="003F0E79" w:rsidP="00BC6CCB">
      <w:pPr>
        <w:rPr>
          <w:rFonts w:ascii="Times New Roman" w:hAnsi="Times New Roman" w:cs="Times New Roman"/>
        </w:rPr>
      </w:pPr>
    </w:p>
    <w:p w14:paraId="0771F0C1" w14:textId="77777777" w:rsidR="003F0E79" w:rsidRDefault="003F0E79" w:rsidP="00BC6CCB">
      <w:pPr>
        <w:rPr>
          <w:rFonts w:ascii="Times New Roman" w:hAnsi="Times New Roman" w:cs="Times New Roman"/>
        </w:rPr>
      </w:pPr>
    </w:p>
    <w:p w14:paraId="2E703ACB" w14:textId="77777777" w:rsidR="003F0E79" w:rsidRDefault="003F0E79" w:rsidP="00BC6CCB">
      <w:pPr>
        <w:rPr>
          <w:rFonts w:ascii="Times New Roman" w:hAnsi="Times New Roman" w:cs="Times New Roman"/>
        </w:rPr>
      </w:pPr>
    </w:p>
    <w:p w14:paraId="7D734260" w14:textId="77777777" w:rsidR="003F0E79" w:rsidRDefault="003F0E79" w:rsidP="00BC6CCB">
      <w:pPr>
        <w:rPr>
          <w:rFonts w:ascii="Times New Roman" w:hAnsi="Times New Roman" w:cs="Times New Roman"/>
        </w:rPr>
      </w:pPr>
    </w:p>
    <w:p w14:paraId="21826D96" w14:textId="228C5A5C" w:rsidR="00657B0E" w:rsidRDefault="00657B0E" w:rsidP="00BC6CCB">
      <w:pPr>
        <w:rPr>
          <w:lang w:val="fr-FR"/>
        </w:rPr>
      </w:pPr>
      <w:r w:rsidRPr="00893683">
        <w:rPr>
          <w:rFonts w:ascii="Times New Roman" w:hAnsi="Times New Roman" w:cs="Times New Roman"/>
        </w:rPr>
        <w:t xml:space="preserve">Figure </w:t>
      </w:r>
      <w:proofErr w:type="gramStart"/>
      <w:r w:rsidRPr="00893683">
        <w:rPr>
          <w:rFonts w:ascii="Times New Roman" w:hAnsi="Times New Roman" w:cs="Times New Roman"/>
        </w:rPr>
        <w:t>5:</w:t>
      </w:r>
      <w:proofErr w:type="gramEnd"/>
      <w:r w:rsidRPr="00657B0E">
        <w:rPr>
          <w:rFonts w:ascii="Times New Roman" w:hAnsi="Times New Roman" w:cs="Times New Roman"/>
          <w:i/>
          <w:iCs/>
        </w:rPr>
        <w:t xml:space="preserve"> </w:t>
      </w:r>
      <w:r w:rsidRPr="00657B0E">
        <w:rPr>
          <w:rFonts w:ascii="Times New Roman" w:hAnsi="Times New Roman" w:cs="Times New Roman"/>
        </w:rPr>
        <w:t>Distribution of general practitioners according to whether they have undergone an eradication test</w:t>
      </w:r>
    </w:p>
    <w:p w14:paraId="5EE4FF7E" w14:textId="70487EB0" w:rsidR="00657B0E" w:rsidRDefault="00657B0E" w:rsidP="00BC6CCB">
      <w:pPr>
        <w:rPr>
          <w:lang w:val="fr-FR"/>
        </w:rPr>
      </w:pPr>
      <w:r>
        <w:rPr>
          <w:noProof/>
        </w:rPr>
        <w:drawing>
          <wp:inline distT="0" distB="0" distL="0" distR="0" wp14:anchorId="2831241E" wp14:editId="5C3AD599">
            <wp:extent cx="4572000" cy="2743200"/>
            <wp:effectExtent l="0" t="0" r="0" b="0"/>
            <wp:docPr id="2" name="Graphique 2">
              <a:extLst xmlns:a="http://schemas.openxmlformats.org/drawingml/2006/main">
                <a:ext uri="{FF2B5EF4-FFF2-40B4-BE49-F238E27FC236}">
                  <a16:creationId xmlns:a16="http://schemas.microsoft.com/office/drawing/2014/main" id="{1C54B3FB-052D-4E68-86B0-78D79C6E11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3"/>
    <w:p w14:paraId="12EFFBBB" w14:textId="77777777" w:rsidR="003F0E79" w:rsidRDefault="003F0E79" w:rsidP="0068605D">
      <w:pPr>
        <w:pStyle w:val="Caption"/>
        <w:keepNext/>
        <w:rPr>
          <w:rFonts w:ascii="Times New Roman" w:hAnsi="Times New Roman" w:cs="Times New Roman"/>
          <w:i w:val="0"/>
          <w:iCs w:val="0"/>
          <w:color w:val="auto"/>
          <w:sz w:val="24"/>
          <w:szCs w:val="24"/>
        </w:rPr>
      </w:pPr>
    </w:p>
    <w:p w14:paraId="57910DDB" w14:textId="77777777" w:rsidR="003F0E79" w:rsidRDefault="003F0E79" w:rsidP="0068605D">
      <w:pPr>
        <w:pStyle w:val="Caption"/>
        <w:keepNext/>
        <w:rPr>
          <w:rFonts w:ascii="Times New Roman" w:hAnsi="Times New Roman" w:cs="Times New Roman"/>
          <w:i w:val="0"/>
          <w:iCs w:val="0"/>
          <w:color w:val="auto"/>
          <w:sz w:val="24"/>
          <w:szCs w:val="24"/>
        </w:rPr>
      </w:pPr>
    </w:p>
    <w:p w14:paraId="4B639C4E" w14:textId="77777777" w:rsidR="003F0E79" w:rsidRDefault="003F0E79" w:rsidP="0068605D">
      <w:pPr>
        <w:pStyle w:val="Caption"/>
        <w:keepNext/>
        <w:rPr>
          <w:rFonts w:ascii="Times New Roman" w:hAnsi="Times New Roman" w:cs="Times New Roman"/>
          <w:i w:val="0"/>
          <w:iCs w:val="0"/>
          <w:color w:val="auto"/>
          <w:sz w:val="24"/>
          <w:szCs w:val="24"/>
        </w:rPr>
      </w:pPr>
    </w:p>
    <w:p w14:paraId="1C4F8FCD" w14:textId="2C6057D4" w:rsidR="0068605D" w:rsidRPr="003F0E79" w:rsidRDefault="0068605D" w:rsidP="003F0E79">
      <w:pPr>
        <w:pStyle w:val="Caption"/>
        <w:keepNext/>
        <w:rPr>
          <w:rFonts w:ascii="Times New Roman" w:hAnsi="Times New Roman" w:cs="Times New Roman"/>
          <w:i w:val="0"/>
          <w:iCs w:val="0"/>
          <w:color w:val="auto"/>
          <w:sz w:val="24"/>
          <w:szCs w:val="24"/>
        </w:rPr>
      </w:pPr>
      <w:r w:rsidRPr="00893683">
        <w:rPr>
          <w:rFonts w:ascii="Times New Roman" w:hAnsi="Times New Roman" w:cs="Times New Roman"/>
          <w:i w:val="0"/>
          <w:iCs w:val="0"/>
          <w:color w:val="auto"/>
          <w:sz w:val="24"/>
          <w:szCs w:val="24"/>
        </w:rPr>
        <w:t>Figure 6 :</w:t>
      </w:r>
      <w:r w:rsidRPr="00893683">
        <w:rPr>
          <w:color w:val="auto"/>
          <w:sz w:val="24"/>
          <w:szCs w:val="24"/>
        </w:rPr>
        <w:t xml:space="preserve"> </w:t>
      </w:r>
      <w:r w:rsidRPr="00893683">
        <w:rPr>
          <w:rFonts w:ascii="Times New Roman" w:eastAsiaTheme="minorHAnsi" w:hAnsi="Times New Roman" w:cs="Times New Roman"/>
          <w:i w:val="0"/>
          <w:iCs w:val="0"/>
          <w:color w:val="auto"/>
          <w:kern w:val="0"/>
          <w:sz w:val="24"/>
          <w:szCs w:val="24"/>
          <w:lang w:eastAsia="en-US"/>
          <w14:ligatures w14:val="none"/>
        </w:rPr>
        <w:t>Distribution of General practitioners according to the eradication control test used</w:t>
      </w:r>
    </w:p>
    <w:p w14:paraId="4BD8AD96" w14:textId="4B61889C" w:rsidR="00BC6CCB" w:rsidRDefault="0068605D">
      <w:pPr>
        <w:rPr>
          <w:rFonts w:ascii="Times New Roman" w:hAnsi="Times New Roman" w:cs="Times New Roman"/>
          <w:sz w:val="28"/>
          <w:szCs w:val="28"/>
        </w:rPr>
      </w:pPr>
      <w:r>
        <w:rPr>
          <w:noProof/>
        </w:rPr>
        <w:drawing>
          <wp:inline distT="0" distB="0" distL="0" distR="0" wp14:anchorId="3A1972FA" wp14:editId="628BEE9A">
            <wp:extent cx="4572000" cy="2743200"/>
            <wp:effectExtent l="0" t="0" r="0" b="0"/>
            <wp:docPr id="5" name="Graphique 5">
              <a:extLst xmlns:a="http://schemas.openxmlformats.org/drawingml/2006/main">
                <a:ext uri="{FF2B5EF4-FFF2-40B4-BE49-F238E27FC236}">
                  <a16:creationId xmlns:a16="http://schemas.microsoft.com/office/drawing/2014/main" id="{4236D382-5850-4BF2-8485-D680BDCAA1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C2A129" w14:textId="20A6A09D" w:rsidR="003F0E79" w:rsidRDefault="003F0E79">
      <w:pPr>
        <w:rPr>
          <w:rFonts w:ascii="Times New Roman" w:hAnsi="Times New Roman" w:cs="Times New Roman"/>
          <w:sz w:val="28"/>
          <w:szCs w:val="28"/>
        </w:rPr>
      </w:pPr>
    </w:p>
    <w:p w14:paraId="336C66F3" w14:textId="60B64FCB" w:rsidR="007364A4" w:rsidRDefault="007364A4">
      <w:pPr>
        <w:rPr>
          <w:rFonts w:ascii="Times New Roman" w:hAnsi="Times New Roman" w:cs="Times New Roman"/>
          <w:sz w:val="28"/>
          <w:szCs w:val="28"/>
        </w:rPr>
      </w:pPr>
    </w:p>
    <w:p w14:paraId="4D1FFE94" w14:textId="457D56C0" w:rsidR="007364A4" w:rsidRDefault="007364A4">
      <w:pPr>
        <w:rPr>
          <w:rFonts w:ascii="Times New Roman" w:hAnsi="Times New Roman" w:cs="Times New Roman"/>
          <w:sz w:val="28"/>
          <w:szCs w:val="28"/>
        </w:rPr>
      </w:pPr>
    </w:p>
    <w:p w14:paraId="7475E8AD" w14:textId="4CB4B7B0" w:rsidR="007364A4" w:rsidRDefault="007364A4">
      <w:pPr>
        <w:rPr>
          <w:rFonts w:ascii="Times New Roman" w:hAnsi="Times New Roman" w:cs="Times New Roman"/>
          <w:sz w:val="28"/>
          <w:szCs w:val="28"/>
        </w:rPr>
      </w:pPr>
    </w:p>
    <w:p w14:paraId="4BF7AFFB" w14:textId="3FE2B711" w:rsidR="007364A4" w:rsidRPr="007364A4" w:rsidRDefault="007364A4">
      <w:pPr>
        <w:rPr>
          <w:rFonts w:ascii="Times New Roman" w:hAnsi="Times New Roman" w:cs="Times New Roman"/>
        </w:rPr>
      </w:pPr>
      <w:r w:rsidRPr="007364A4">
        <w:rPr>
          <w:rFonts w:ascii="Times New Roman" w:hAnsi="Times New Roman" w:cs="Times New Roman"/>
        </w:rPr>
        <w:t xml:space="preserve">Figure </w:t>
      </w:r>
      <w:r w:rsidR="00D96EBA">
        <w:rPr>
          <w:rFonts w:ascii="Times New Roman" w:hAnsi="Times New Roman" w:cs="Times New Roman"/>
        </w:rPr>
        <w:t>7</w:t>
      </w:r>
      <w:r w:rsidRPr="007364A4">
        <w:rPr>
          <w:rFonts w:ascii="Times New Roman" w:hAnsi="Times New Roman" w:cs="Times New Roman"/>
        </w:rPr>
        <w:t> : Distribution of general practitioners according to seniority</w:t>
      </w:r>
    </w:p>
    <w:p w14:paraId="789F4E5D" w14:textId="5403FE86" w:rsidR="007364A4" w:rsidRDefault="007364A4">
      <w:pPr>
        <w:rPr>
          <w:rFonts w:ascii="Times New Roman" w:hAnsi="Times New Roman" w:cs="Times New Roman"/>
          <w:sz w:val="28"/>
          <w:szCs w:val="28"/>
        </w:rPr>
      </w:pPr>
      <w:r>
        <w:rPr>
          <w:noProof/>
        </w:rPr>
        <w:drawing>
          <wp:inline distT="0" distB="0" distL="0" distR="0" wp14:anchorId="3848435B" wp14:editId="7EEC277F">
            <wp:extent cx="4791919" cy="2830010"/>
            <wp:effectExtent l="0" t="0" r="0" b="0"/>
            <wp:docPr id="7" name="Graphique 7">
              <a:extLst xmlns:a="http://schemas.openxmlformats.org/drawingml/2006/main">
                <a:ext uri="{FF2B5EF4-FFF2-40B4-BE49-F238E27FC236}">
                  <a16:creationId xmlns:a16="http://schemas.microsoft.com/office/drawing/2014/main" id="{28C3F2DD-CD55-4D2C-872C-F7F599DF1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8916B0" w14:textId="77777777" w:rsidR="003F0E79" w:rsidRDefault="003F0E79" w:rsidP="00893683">
      <w:pPr>
        <w:pStyle w:val="Caption"/>
        <w:keepNext/>
        <w:rPr>
          <w:rFonts w:ascii="Times New Roman" w:hAnsi="Times New Roman" w:cs="Times New Roman"/>
          <w:i w:val="0"/>
          <w:iCs w:val="0"/>
          <w:color w:val="auto"/>
          <w:sz w:val="24"/>
          <w:szCs w:val="24"/>
        </w:rPr>
      </w:pPr>
      <w:bookmarkStart w:id="4" w:name="_Toc206338571"/>
    </w:p>
    <w:p w14:paraId="561B2C56" w14:textId="4B6A6394" w:rsidR="00893683" w:rsidRPr="00893683" w:rsidRDefault="0068605D" w:rsidP="003F0E79">
      <w:pPr>
        <w:pStyle w:val="Caption"/>
        <w:keepNext/>
        <w:rPr>
          <w:rFonts w:ascii="Times New Roman" w:hAnsi="Times New Roman" w:cs="Times New Roman"/>
          <w:i w:val="0"/>
          <w:iCs w:val="0"/>
          <w:color w:val="auto"/>
          <w:sz w:val="24"/>
          <w:szCs w:val="24"/>
        </w:rPr>
      </w:pPr>
      <w:r w:rsidRPr="00893683">
        <w:rPr>
          <w:rFonts w:ascii="Times New Roman" w:hAnsi="Times New Roman" w:cs="Times New Roman"/>
          <w:i w:val="0"/>
          <w:iCs w:val="0"/>
          <w:color w:val="auto"/>
          <w:sz w:val="24"/>
          <w:szCs w:val="24"/>
        </w:rPr>
        <w:t>Table 2</w:t>
      </w:r>
      <w:r w:rsidR="00BC6CCB" w:rsidRPr="00893683">
        <w:rPr>
          <w:rFonts w:ascii="Times New Roman" w:hAnsi="Times New Roman" w:cs="Times New Roman"/>
          <w:i w:val="0"/>
          <w:iCs w:val="0"/>
          <w:color w:val="auto"/>
          <w:sz w:val="24"/>
          <w:szCs w:val="24"/>
        </w:rPr>
        <w:t xml:space="preserve"> : </w:t>
      </w:r>
      <w:bookmarkEnd w:id="4"/>
      <w:r w:rsidR="00893683" w:rsidRPr="00893683">
        <w:rPr>
          <w:rFonts w:ascii="Times New Roman" w:hAnsi="Times New Roman" w:cs="Times New Roman"/>
          <w:i w:val="0"/>
          <w:iCs w:val="0"/>
          <w:color w:val="auto"/>
          <w:sz w:val="24"/>
          <w:szCs w:val="24"/>
        </w:rPr>
        <w:t>Relationship between physician seniority and pathologies associated with Hp</w:t>
      </w:r>
    </w:p>
    <w:tbl>
      <w:tblPr>
        <w:tblStyle w:val="Style21"/>
        <w:tblW w:w="9774" w:type="dxa"/>
        <w:jc w:val="center"/>
        <w:tblLook w:val="04A0" w:firstRow="1" w:lastRow="0" w:firstColumn="1" w:lastColumn="0" w:noHBand="0" w:noVBand="1"/>
      </w:tblPr>
      <w:tblGrid>
        <w:gridCol w:w="3025"/>
        <w:gridCol w:w="787"/>
        <w:gridCol w:w="930"/>
        <w:gridCol w:w="1199"/>
        <w:gridCol w:w="1424"/>
        <w:gridCol w:w="1424"/>
        <w:gridCol w:w="985"/>
      </w:tblGrid>
      <w:tr w:rsidR="00BC6CCB" w:rsidRPr="00893683" w14:paraId="0768149B" w14:textId="77777777" w:rsidTr="00893683">
        <w:trPr>
          <w:cnfStyle w:val="100000000000" w:firstRow="1" w:lastRow="0" w:firstColumn="0" w:lastColumn="0" w:oddVBand="0" w:evenVBand="0" w:oddHBand="0" w:evenHBand="0" w:firstRowFirstColumn="0" w:firstRowLastColumn="0" w:lastRowFirstColumn="0" w:lastRowLastColumn="0"/>
          <w:trHeight w:val="658"/>
          <w:jc w:val="center"/>
        </w:trPr>
        <w:tc>
          <w:tcPr>
            <w:tcW w:w="3025" w:type="dxa"/>
            <w:tcBorders>
              <w:top w:val="thinThickSmallGap" w:sz="18" w:space="0" w:color="auto"/>
              <w:tl2br w:val="single" w:sz="18" w:space="0" w:color="auto"/>
            </w:tcBorders>
          </w:tcPr>
          <w:p w14:paraId="6D14F37B" w14:textId="03DDE5D2" w:rsidR="00BC6CCB" w:rsidRPr="00893683" w:rsidRDefault="00893683" w:rsidP="0077672F">
            <w:pPr>
              <w:rPr>
                <w:rFonts w:ascii="Times New Roman" w:hAnsi="Times New Roman" w:cs="Times New Roman"/>
                <w:sz w:val="24"/>
                <w:szCs w:val="24"/>
              </w:rPr>
            </w:pPr>
            <w:bookmarkStart w:id="5" w:name="_Hlk217568737"/>
            <w:r>
              <w:rPr>
                <w:rFonts w:ascii="Times New Roman" w:hAnsi="Times New Roman" w:cs="Times New Roman"/>
                <w:b/>
                <w:bCs/>
                <w:noProof/>
                <w:sz w:val="24"/>
                <w:szCs w:val="24"/>
              </w:rPr>
              <w:t xml:space="preserve">                  </w:t>
            </w:r>
            <w:r w:rsidRPr="00893683">
              <w:rPr>
                <w:rFonts w:ascii="Times New Roman" w:hAnsi="Times New Roman" w:cs="Times New Roman"/>
                <w:noProof/>
                <w:sz w:val="24"/>
                <w:szCs w:val="24"/>
              </w:rPr>
              <w:t>Seniority</w:t>
            </w:r>
          </w:p>
          <w:p w14:paraId="3F40789C" w14:textId="77777777" w:rsidR="00893683" w:rsidRDefault="00893683" w:rsidP="0077672F">
            <w:pPr>
              <w:rPr>
                <w:rFonts w:ascii="Times New Roman" w:hAnsi="Times New Roman" w:cs="Times New Roman"/>
                <w:b/>
                <w:bCs/>
                <w:sz w:val="24"/>
                <w:szCs w:val="24"/>
              </w:rPr>
            </w:pPr>
          </w:p>
          <w:p w14:paraId="57CDAB9F" w14:textId="72C65F3C" w:rsidR="00BC6CCB" w:rsidRPr="00893683" w:rsidRDefault="00893683" w:rsidP="0077672F">
            <w:pPr>
              <w:rPr>
                <w:rFonts w:ascii="Times New Roman" w:hAnsi="Times New Roman" w:cs="Times New Roman"/>
                <w:sz w:val="24"/>
                <w:szCs w:val="24"/>
              </w:rPr>
            </w:pPr>
            <w:r w:rsidRPr="00893683">
              <w:rPr>
                <w:rFonts w:ascii="Times New Roman" w:hAnsi="Times New Roman" w:cs="Times New Roman"/>
                <w:sz w:val="24"/>
                <w:szCs w:val="24"/>
              </w:rPr>
              <w:t>Associated Pathologies</w:t>
            </w:r>
          </w:p>
        </w:tc>
        <w:tc>
          <w:tcPr>
            <w:tcW w:w="787" w:type="dxa"/>
          </w:tcPr>
          <w:p w14:paraId="083DC902" w14:textId="4B130D40"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 xml:space="preserve">˂5 </w:t>
            </w:r>
            <w:r w:rsidR="00893683" w:rsidRPr="00893683">
              <w:rPr>
                <w:rFonts w:ascii="Times New Roman" w:hAnsi="Times New Roman" w:cs="Times New Roman"/>
                <w:b/>
                <w:bCs/>
                <w:noProof/>
                <w:sz w:val="24"/>
                <w:szCs w:val="24"/>
              </w:rPr>
              <w:t>y</w:t>
            </w:r>
          </w:p>
          <w:p w14:paraId="455507D3"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6A1A0909" w14:textId="77777777" w:rsidR="00BC6CCB" w:rsidRPr="00893683" w:rsidRDefault="00BC6CCB" w:rsidP="0077672F">
            <w:pPr>
              <w:rPr>
                <w:rFonts w:ascii="Times New Roman" w:hAnsi="Times New Roman" w:cs="Times New Roman"/>
                <w:b/>
                <w:bCs/>
                <w:noProof/>
                <w:sz w:val="24"/>
                <w:szCs w:val="24"/>
              </w:rPr>
            </w:pPr>
          </w:p>
        </w:tc>
        <w:tc>
          <w:tcPr>
            <w:tcW w:w="930" w:type="dxa"/>
          </w:tcPr>
          <w:p w14:paraId="03D980E1"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[ 5-9 ]</w:t>
            </w:r>
          </w:p>
          <w:p w14:paraId="4A31ECB6"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7852EC10" w14:textId="77777777" w:rsidR="00BC6CCB" w:rsidRPr="00893683" w:rsidRDefault="00BC6CCB" w:rsidP="0077672F">
            <w:pPr>
              <w:jc w:val="center"/>
              <w:rPr>
                <w:rFonts w:ascii="Times New Roman" w:hAnsi="Times New Roman" w:cs="Times New Roman"/>
                <w:b/>
                <w:bCs/>
                <w:noProof/>
                <w:sz w:val="24"/>
                <w:szCs w:val="24"/>
              </w:rPr>
            </w:pPr>
          </w:p>
        </w:tc>
        <w:tc>
          <w:tcPr>
            <w:tcW w:w="1199" w:type="dxa"/>
          </w:tcPr>
          <w:p w14:paraId="20371BDF"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[10-14]</w:t>
            </w:r>
          </w:p>
          <w:p w14:paraId="7D350FCD"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77AC2AD9" w14:textId="77777777" w:rsidR="00BC6CCB" w:rsidRPr="00893683" w:rsidRDefault="00BC6CCB" w:rsidP="0077672F">
            <w:pPr>
              <w:jc w:val="center"/>
              <w:rPr>
                <w:rFonts w:ascii="Times New Roman" w:hAnsi="Times New Roman" w:cs="Times New Roman"/>
                <w:b/>
                <w:bCs/>
                <w:noProof/>
                <w:sz w:val="24"/>
                <w:szCs w:val="24"/>
              </w:rPr>
            </w:pPr>
          </w:p>
        </w:tc>
        <w:tc>
          <w:tcPr>
            <w:tcW w:w="1424" w:type="dxa"/>
          </w:tcPr>
          <w:p w14:paraId="22F4BEF2"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[15-19]</w:t>
            </w:r>
          </w:p>
          <w:p w14:paraId="224E03FC"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25FBAB9F" w14:textId="77777777" w:rsidR="00BC6CCB" w:rsidRPr="00893683" w:rsidRDefault="00BC6CCB" w:rsidP="0077672F">
            <w:pPr>
              <w:jc w:val="center"/>
              <w:rPr>
                <w:rFonts w:ascii="Times New Roman" w:hAnsi="Times New Roman" w:cs="Times New Roman"/>
                <w:b/>
                <w:bCs/>
                <w:noProof/>
                <w:sz w:val="24"/>
                <w:szCs w:val="24"/>
              </w:rPr>
            </w:pPr>
          </w:p>
        </w:tc>
        <w:tc>
          <w:tcPr>
            <w:tcW w:w="1424" w:type="dxa"/>
          </w:tcPr>
          <w:p w14:paraId="42F3BAC5"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 20 ans</w:t>
            </w:r>
          </w:p>
          <w:p w14:paraId="1B50E066" w14:textId="77777777" w:rsidR="00BC6CCB" w:rsidRPr="00893683" w:rsidRDefault="00BC6CCB" w:rsidP="0077672F">
            <w:pPr>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n/N</w:t>
            </w:r>
          </w:p>
          <w:p w14:paraId="08BD71D0" w14:textId="77777777" w:rsidR="00BC6CCB" w:rsidRPr="00893683" w:rsidRDefault="00BC6CCB" w:rsidP="0077672F">
            <w:pPr>
              <w:jc w:val="center"/>
              <w:rPr>
                <w:rFonts w:ascii="Times New Roman" w:hAnsi="Times New Roman" w:cs="Times New Roman"/>
                <w:b/>
                <w:bCs/>
                <w:noProof/>
                <w:sz w:val="24"/>
                <w:szCs w:val="24"/>
              </w:rPr>
            </w:pPr>
          </w:p>
        </w:tc>
        <w:tc>
          <w:tcPr>
            <w:tcW w:w="985" w:type="dxa"/>
          </w:tcPr>
          <w:p w14:paraId="66C3FA59" w14:textId="77777777" w:rsidR="00BC6CCB" w:rsidRPr="00893683" w:rsidRDefault="00BC6CCB" w:rsidP="0077672F">
            <w:pPr>
              <w:jc w:val="center"/>
              <w:rPr>
                <w:rFonts w:ascii="Times New Roman" w:hAnsi="Times New Roman" w:cs="Times New Roman"/>
                <w:noProof/>
                <w:sz w:val="24"/>
                <w:szCs w:val="24"/>
              </w:rPr>
            </w:pPr>
            <w:r w:rsidRPr="00893683">
              <w:rPr>
                <w:rFonts w:ascii="Times New Roman" w:hAnsi="Times New Roman" w:cs="Times New Roman"/>
                <w:noProof/>
                <w:sz w:val="24"/>
                <w:szCs w:val="24"/>
              </w:rPr>
              <w:t>P valeur</w:t>
            </w:r>
          </w:p>
        </w:tc>
      </w:tr>
      <w:bookmarkEnd w:id="5"/>
      <w:tr w:rsidR="00893683" w:rsidRPr="00893683" w14:paraId="56DA145C" w14:textId="77777777" w:rsidTr="00893683">
        <w:trPr>
          <w:trHeight w:val="211"/>
          <w:jc w:val="center"/>
        </w:trPr>
        <w:tc>
          <w:tcPr>
            <w:tcW w:w="3025" w:type="dxa"/>
          </w:tcPr>
          <w:p w14:paraId="3EEB43D8" w14:textId="7DF318E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Gastroduodenal ulcer</w:t>
            </w:r>
          </w:p>
        </w:tc>
        <w:tc>
          <w:tcPr>
            <w:tcW w:w="787" w:type="dxa"/>
          </w:tcPr>
          <w:p w14:paraId="62967E86" w14:textId="77777777" w:rsidR="00893683" w:rsidRPr="00893683" w:rsidRDefault="00893683" w:rsidP="00893683">
            <w:pPr>
              <w:spacing w:line="360" w:lineRule="auto"/>
              <w:jc w:val="center"/>
              <w:rPr>
                <w:rFonts w:ascii="Times New Roman" w:hAnsi="Times New Roman" w:cs="Times New Roman"/>
                <w:noProof/>
                <w:color w:val="FF0000"/>
                <w:sz w:val="24"/>
                <w:szCs w:val="24"/>
              </w:rPr>
            </w:pPr>
            <w:r w:rsidRPr="00893683">
              <w:rPr>
                <w:rFonts w:ascii="Times New Roman" w:hAnsi="Times New Roman" w:cs="Times New Roman"/>
                <w:noProof/>
                <w:sz w:val="24"/>
                <w:szCs w:val="24"/>
              </w:rPr>
              <w:t>44/44</w:t>
            </w:r>
          </w:p>
        </w:tc>
        <w:tc>
          <w:tcPr>
            <w:tcW w:w="930" w:type="dxa"/>
          </w:tcPr>
          <w:p w14:paraId="4280B857"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26/27</w:t>
            </w:r>
          </w:p>
        </w:tc>
        <w:tc>
          <w:tcPr>
            <w:tcW w:w="1199" w:type="dxa"/>
          </w:tcPr>
          <w:p w14:paraId="5F2CBD64"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19/21</w:t>
            </w:r>
          </w:p>
        </w:tc>
        <w:tc>
          <w:tcPr>
            <w:tcW w:w="1424" w:type="dxa"/>
          </w:tcPr>
          <w:p w14:paraId="526A92B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7/8</w:t>
            </w:r>
          </w:p>
        </w:tc>
        <w:tc>
          <w:tcPr>
            <w:tcW w:w="1424" w:type="dxa"/>
          </w:tcPr>
          <w:p w14:paraId="5D8BA48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9/9</w:t>
            </w:r>
          </w:p>
        </w:tc>
        <w:tc>
          <w:tcPr>
            <w:tcW w:w="985" w:type="dxa"/>
          </w:tcPr>
          <w:p w14:paraId="51341A19" w14:textId="7777777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noProof/>
                <w:sz w:val="24"/>
                <w:szCs w:val="24"/>
              </w:rPr>
              <w:t>0.165</w:t>
            </w:r>
          </w:p>
        </w:tc>
      </w:tr>
      <w:tr w:rsidR="00893683" w:rsidRPr="00893683" w14:paraId="6427DD5F" w14:textId="77777777" w:rsidTr="00893683">
        <w:trPr>
          <w:trHeight w:val="211"/>
          <w:jc w:val="center"/>
        </w:trPr>
        <w:tc>
          <w:tcPr>
            <w:tcW w:w="3025" w:type="dxa"/>
          </w:tcPr>
          <w:p w14:paraId="074C011D" w14:textId="5319C18E"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MALT lymphoma</w:t>
            </w:r>
          </w:p>
        </w:tc>
        <w:tc>
          <w:tcPr>
            <w:tcW w:w="787" w:type="dxa"/>
          </w:tcPr>
          <w:p w14:paraId="09D37A6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16/44</w:t>
            </w:r>
          </w:p>
        </w:tc>
        <w:tc>
          <w:tcPr>
            <w:tcW w:w="930" w:type="dxa"/>
          </w:tcPr>
          <w:p w14:paraId="110B4BC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5/27</w:t>
            </w:r>
          </w:p>
        </w:tc>
        <w:tc>
          <w:tcPr>
            <w:tcW w:w="1199" w:type="dxa"/>
          </w:tcPr>
          <w:p w14:paraId="79662DD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3/21</w:t>
            </w:r>
          </w:p>
        </w:tc>
        <w:tc>
          <w:tcPr>
            <w:tcW w:w="1424" w:type="dxa"/>
          </w:tcPr>
          <w:p w14:paraId="5FFA4FB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0/8</w:t>
            </w:r>
          </w:p>
        </w:tc>
        <w:tc>
          <w:tcPr>
            <w:tcW w:w="1424" w:type="dxa"/>
          </w:tcPr>
          <w:p w14:paraId="20D06CC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2/9</w:t>
            </w:r>
          </w:p>
        </w:tc>
        <w:tc>
          <w:tcPr>
            <w:tcW w:w="985" w:type="dxa"/>
          </w:tcPr>
          <w:p w14:paraId="76E90313" w14:textId="77777777"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noProof/>
                <w:sz w:val="24"/>
                <w:szCs w:val="24"/>
              </w:rPr>
              <w:t>0.05</w:t>
            </w:r>
          </w:p>
        </w:tc>
      </w:tr>
      <w:tr w:rsidR="00893683" w:rsidRPr="00893683" w14:paraId="631AA83D" w14:textId="77777777" w:rsidTr="00893683">
        <w:trPr>
          <w:trHeight w:val="204"/>
          <w:jc w:val="center"/>
        </w:trPr>
        <w:tc>
          <w:tcPr>
            <w:tcW w:w="3025" w:type="dxa"/>
          </w:tcPr>
          <w:p w14:paraId="68646DE2" w14:textId="49E2247A"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Gastric cancer (ADK)</w:t>
            </w:r>
          </w:p>
        </w:tc>
        <w:tc>
          <w:tcPr>
            <w:tcW w:w="787" w:type="dxa"/>
          </w:tcPr>
          <w:p w14:paraId="6FD8784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30/44</w:t>
            </w:r>
          </w:p>
        </w:tc>
        <w:tc>
          <w:tcPr>
            <w:tcW w:w="930" w:type="dxa"/>
          </w:tcPr>
          <w:p w14:paraId="5E8B1B5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20/27</w:t>
            </w:r>
          </w:p>
        </w:tc>
        <w:tc>
          <w:tcPr>
            <w:tcW w:w="1199" w:type="dxa"/>
          </w:tcPr>
          <w:p w14:paraId="19A42FC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12/21</w:t>
            </w:r>
          </w:p>
        </w:tc>
        <w:tc>
          <w:tcPr>
            <w:tcW w:w="1424" w:type="dxa"/>
          </w:tcPr>
          <w:p w14:paraId="4AC972A1"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6/8</w:t>
            </w:r>
          </w:p>
        </w:tc>
        <w:tc>
          <w:tcPr>
            <w:tcW w:w="1424" w:type="dxa"/>
          </w:tcPr>
          <w:p w14:paraId="2D3F7111"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8/9</w:t>
            </w:r>
          </w:p>
        </w:tc>
        <w:tc>
          <w:tcPr>
            <w:tcW w:w="985" w:type="dxa"/>
          </w:tcPr>
          <w:p w14:paraId="75E16633" w14:textId="7777777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noProof/>
                <w:sz w:val="24"/>
                <w:szCs w:val="24"/>
              </w:rPr>
              <w:t>0.438</w:t>
            </w:r>
          </w:p>
        </w:tc>
      </w:tr>
      <w:tr w:rsidR="00893683" w:rsidRPr="00893683" w14:paraId="08E7F543" w14:textId="77777777" w:rsidTr="00893683">
        <w:trPr>
          <w:trHeight w:val="38"/>
          <w:jc w:val="center"/>
        </w:trPr>
        <w:tc>
          <w:tcPr>
            <w:tcW w:w="3025" w:type="dxa"/>
          </w:tcPr>
          <w:p w14:paraId="10B513CA" w14:textId="65BEE984"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Dyspepsia</w:t>
            </w:r>
          </w:p>
        </w:tc>
        <w:tc>
          <w:tcPr>
            <w:tcW w:w="787" w:type="dxa"/>
          </w:tcPr>
          <w:p w14:paraId="0DC4E7E1"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17/44</w:t>
            </w:r>
          </w:p>
        </w:tc>
        <w:tc>
          <w:tcPr>
            <w:tcW w:w="930" w:type="dxa"/>
          </w:tcPr>
          <w:p w14:paraId="56005EC1"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4/27</w:t>
            </w:r>
          </w:p>
        </w:tc>
        <w:tc>
          <w:tcPr>
            <w:tcW w:w="1199" w:type="dxa"/>
          </w:tcPr>
          <w:p w14:paraId="673FFEE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5/21</w:t>
            </w:r>
          </w:p>
        </w:tc>
        <w:tc>
          <w:tcPr>
            <w:tcW w:w="1424" w:type="dxa"/>
          </w:tcPr>
          <w:p w14:paraId="1D23009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1/8</w:t>
            </w:r>
          </w:p>
        </w:tc>
        <w:tc>
          <w:tcPr>
            <w:tcW w:w="1424" w:type="dxa"/>
          </w:tcPr>
          <w:p w14:paraId="62DA99C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5/9</w:t>
            </w:r>
          </w:p>
        </w:tc>
        <w:tc>
          <w:tcPr>
            <w:tcW w:w="985" w:type="dxa"/>
          </w:tcPr>
          <w:p w14:paraId="774ABAAA" w14:textId="77777777"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noProof/>
                <w:sz w:val="24"/>
                <w:szCs w:val="24"/>
              </w:rPr>
              <w:t>0.05</w:t>
            </w:r>
          </w:p>
        </w:tc>
      </w:tr>
      <w:tr w:rsidR="00893683" w:rsidRPr="00893683" w14:paraId="5CED2727" w14:textId="77777777" w:rsidTr="00893683">
        <w:trPr>
          <w:trHeight w:val="211"/>
          <w:jc w:val="center"/>
        </w:trPr>
        <w:tc>
          <w:tcPr>
            <w:tcW w:w="3025" w:type="dxa"/>
          </w:tcPr>
          <w:p w14:paraId="45B8B53A" w14:textId="7C14918D"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Chronic gastritis</w:t>
            </w:r>
          </w:p>
        </w:tc>
        <w:tc>
          <w:tcPr>
            <w:tcW w:w="787" w:type="dxa"/>
          </w:tcPr>
          <w:p w14:paraId="5A0D3A26" w14:textId="77777777" w:rsidR="00893683" w:rsidRPr="00893683" w:rsidRDefault="00893683" w:rsidP="00893683">
            <w:pPr>
              <w:spacing w:line="360" w:lineRule="auto"/>
              <w:jc w:val="center"/>
              <w:rPr>
                <w:rFonts w:ascii="Times New Roman" w:hAnsi="Times New Roman" w:cs="Times New Roman"/>
                <w:noProof/>
                <w:color w:val="FF0000"/>
                <w:sz w:val="24"/>
                <w:szCs w:val="24"/>
              </w:rPr>
            </w:pPr>
            <w:r w:rsidRPr="00893683">
              <w:rPr>
                <w:rFonts w:ascii="Times New Roman" w:hAnsi="Times New Roman" w:cs="Times New Roman"/>
                <w:noProof/>
                <w:sz w:val="24"/>
                <w:szCs w:val="24"/>
              </w:rPr>
              <w:t>34/44</w:t>
            </w:r>
          </w:p>
        </w:tc>
        <w:tc>
          <w:tcPr>
            <w:tcW w:w="930" w:type="dxa"/>
          </w:tcPr>
          <w:p w14:paraId="487CB9F7"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17/27</w:t>
            </w:r>
          </w:p>
        </w:tc>
        <w:tc>
          <w:tcPr>
            <w:tcW w:w="1199" w:type="dxa"/>
          </w:tcPr>
          <w:p w14:paraId="73F723B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11/21</w:t>
            </w:r>
          </w:p>
        </w:tc>
        <w:tc>
          <w:tcPr>
            <w:tcW w:w="1424" w:type="dxa"/>
          </w:tcPr>
          <w:p w14:paraId="6B227F1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2/8</w:t>
            </w:r>
          </w:p>
        </w:tc>
        <w:tc>
          <w:tcPr>
            <w:tcW w:w="1424" w:type="dxa"/>
          </w:tcPr>
          <w:p w14:paraId="2572A48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4/9</w:t>
            </w:r>
          </w:p>
        </w:tc>
        <w:tc>
          <w:tcPr>
            <w:tcW w:w="985" w:type="dxa"/>
          </w:tcPr>
          <w:p w14:paraId="3A1F46D5" w14:textId="77777777"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noProof/>
                <w:sz w:val="24"/>
                <w:szCs w:val="24"/>
              </w:rPr>
              <w:t>0.025</w:t>
            </w:r>
          </w:p>
        </w:tc>
      </w:tr>
      <w:tr w:rsidR="00893683" w:rsidRPr="00893683" w14:paraId="467AB531" w14:textId="77777777" w:rsidTr="00893683">
        <w:trPr>
          <w:trHeight w:val="211"/>
          <w:jc w:val="center"/>
        </w:trPr>
        <w:tc>
          <w:tcPr>
            <w:tcW w:w="3025" w:type="dxa"/>
          </w:tcPr>
          <w:p w14:paraId="1103F1D7" w14:textId="4EC1DE31"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I don't know</w:t>
            </w:r>
          </w:p>
        </w:tc>
        <w:tc>
          <w:tcPr>
            <w:tcW w:w="787" w:type="dxa"/>
          </w:tcPr>
          <w:p w14:paraId="5F61837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0/44</w:t>
            </w:r>
          </w:p>
        </w:tc>
        <w:tc>
          <w:tcPr>
            <w:tcW w:w="930" w:type="dxa"/>
          </w:tcPr>
          <w:p w14:paraId="3AFC8B0D"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1/27</w:t>
            </w:r>
          </w:p>
        </w:tc>
        <w:tc>
          <w:tcPr>
            <w:tcW w:w="1199" w:type="dxa"/>
          </w:tcPr>
          <w:p w14:paraId="056F350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0/21</w:t>
            </w:r>
          </w:p>
        </w:tc>
        <w:tc>
          <w:tcPr>
            <w:tcW w:w="1424" w:type="dxa"/>
          </w:tcPr>
          <w:p w14:paraId="16516BE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0/8</w:t>
            </w:r>
          </w:p>
        </w:tc>
        <w:tc>
          <w:tcPr>
            <w:tcW w:w="1424" w:type="dxa"/>
          </w:tcPr>
          <w:p w14:paraId="4CA5AFD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0/9</w:t>
            </w:r>
          </w:p>
        </w:tc>
        <w:tc>
          <w:tcPr>
            <w:tcW w:w="985" w:type="dxa"/>
          </w:tcPr>
          <w:p w14:paraId="0B57E862" w14:textId="7777777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noProof/>
                <w:sz w:val="24"/>
                <w:szCs w:val="24"/>
              </w:rPr>
              <w:t>0.589</w:t>
            </w:r>
          </w:p>
        </w:tc>
      </w:tr>
    </w:tbl>
    <w:p w14:paraId="5B44D00C" w14:textId="79EE4854" w:rsidR="00BC6CCB" w:rsidRDefault="00BC6CCB">
      <w:pPr>
        <w:rPr>
          <w:rFonts w:ascii="Times New Roman" w:hAnsi="Times New Roman" w:cs="Times New Roman"/>
          <w:sz w:val="28"/>
          <w:szCs w:val="28"/>
        </w:rPr>
      </w:pPr>
    </w:p>
    <w:p w14:paraId="73704D7B" w14:textId="77777777" w:rsidR="00B07BDA" w:rsidRDefault="00B07BDA" w:rsidP="00893683">
      <w:pPr>
        <w:pStyle w:val="Caption"/>
        <w:keepNext/>
        <w:rPr>
          <w:rFonts w:ascii="Times New Roman" w:hAnsi="Times New Roman" w:cs="Times New Roman"/>
          <w:i w:val="0"/>
          <w:iCs w:val="0"/>
          <w:color w:val="auto"/>
          <w:sz w:val="24"/>
          <w:szCs w:val="24"/>
        </w:rPr>
      </w:pPr>
    </w:p>
    <w:p w14:paraId="1D697302" w14:textId="77777777" w:rsidR="00B07BDA" w:rsidRDefault="00B07BDA" w:rsidP="00893683">
      <w:pPr>
        <w:pStyle w:val="Caption"/>
        <w:keepNext/>
        <w:rPr>
          <w:rFonts w:ascii="Times New Roman" w:hAnsi="Times New Roman" w:cs="Times New Roman"/>
          <w:i w:val="0"/>
          <w:iCs w:val="0"/>
          <w:color w:val="auto"/>
          <w:sz w:val="24"/>
          <w:szCs w:val="24"/>
        </w:rPr>
      </w:pPr>
    </w:p>
    <w:p w14:paraId="01F577E4" w14:textId="410522AC" w:rsidR="00B07BDA" w:rsidRDefault="00B07BDA" w:rsidP="00893683">
      <w:pPr>
        <w:pStyle w:val="Caption"/>
        <w:keepNext/>
        <w:rPr>
          <w:rFonts w:ascii="Times New Roman" w:hAnsi="Times New Roman" w:cs="Times New Roman"/>
          <w:i w:val="0"/>
          <w:iCs w:val="0"/>
          <w:color w:val="auto"/>
          <w:sz w:val="24"/>
          <w:szCs w:val="24"/>
        </w:rPr>
      </w:pPr>
    </w:p>
    <w:p w14:paraId="7D0FE6D7" w14:textId="6617CC73" w:rsidR="00B07BDA" w:rsidRDefault="00B07BDA" w:rsidP="00B07BDA">
      <w:pPr>
        <w:rPr>
          <w:lang w:val="fr-FR"/>
        </w:rPr>
      </w:pPr>
    </w:p>
    <w:p w14:paraId="3A0B4BD8" w14:textId="5E695ECE" w:rsidR="00B07BDA" w:rsidRDefault="00B07BDA" w:rsidP="00B07BDA">
      <w:pPr>
        <w:rPr>
          <w:lang w:val="fr-FR"/>
        </w:rPr>
      </w:pPr>
    </w:p>
    <w:p w14:paraId="0B66EDAA" w14:textId="77777777" w:rsidR="00B07BDA" w:rsidRPr="00B07BDA" w:rsidRDefault="00B07BDA" w:rsidP="00B07BDA">
      <w:pPr>
        <w:rPr>
          <w:lang w:val="fr-FR"/>
        </w:rPr>
      </w:pPr>
    </w:p>
    <w:p w14:paraId="61A231B4" w14:textId="39E0D919" w:rsidR="00893683" w:rsidRPr="00893683" w:rsidRDefault="00893683" w:rsidP="00893683">
      <w:pPr>
        <w:pStyle w:val="Caption"/>
        <w:keepNext/>
        <w:rPr>
          <w:rFonts w:ascii="Times New Roman" w:hAnsi="Times New Roman" w:cs="Times New Roman"/>
          <w:i w:val="0"/>
          <w:iCs w:val="0"/>
          <w:color w:val="auto"/>
          <w:sz w:val="24"/>
          <w:szCs w:val="24"/>
        </w:rPr>
      </w:pPr>
      <w:r w:rsidRPr="00893683">
        <w:rPr>
          <w:rFonts w:ascii="Times New Roman" w:hAnsi="Times New Roman" w:cs="Times New Roman"/>
          <w:i w:val="0"/>
          <w:iCs w:val="0"/>
          <w:color w:val="auto"/>
          <w:sz w:val="24"/>
          <w:szCs w:val="24"/>
        </w:rPr>
        <w:t xml:space="preserve">Table </w:t>
      </w:r>
      <w:r w:rsidR="00B12B3D">
        <w:rPr>
          <w:rFonts w:ascii="Times New Roman" w:hAnsi="Times New Roman" w:cs="Times New Roman"/>
          <w:i w:val="0"/>
          <w:iCs w:val="0"/>
          <w:color w:val="auto"/>
          <w:sz w:val="24"/>
          <w:szCs w:val="24"/>
        </w:rPr>
        <w:t>3</w:t>
      </w:r>
      <w:r w:rsidRPr="00893683">
        <w:rPr>
          <w:rFonts w:ascii="Times New Roman" w:hAnsi="Times New Roman" w:cs="Times New Roman"/>
          <w:i w:val="0"/>
          <w:iCs w:val="0"/>
          <w:color w:val="auto"/>
          <w:sz w:val="24"/>
          <w:szCs w:val="24"/>
        </w:rPr>
        <w:t xml:space="preserve"> : </w:t>
      </w:r>
      <w:r w:rsidR="00B51CA3" w:rsidRPr="00B51CA3">
        <w:rPr>
          <w:rFonts w:ascii="Times New Roman" w:hAnsi="Times New Roman" w:cs="Times New Roman"/>
          <w:i w:val="0"/>
          <w:iCs w:val="0"/>
          <w:color w:val="auto"/>
          <w:sz w:val="24"/>
          <w:szCs w:val="24"/>
        </w:rPr>
        <w:t>Relationship between physician seniority and indications for Hp testing</w:t>
      </w:r>
    </w:p>
    <w:tbl>
      <w:tblPr>
        <w:tblStyle w:val="Style21"/>
        <w:tblW w:w="10040" w:type="dxa"/>
        <w:jc w:val="center"/>
        <w:tblLayout w:type="fixed"/>
        <w:tblLook w:val="04A0" w:firstRow="1" w:lastRow="0" w:firstColumn="1" w:lastColumn="0" w:noHBand="0" w:noVBand="1"/>
      </w:tblPr>
      <w:tblGrid>
        <w:gridCol w:w="3890"/>
        <w:gridCol w:w="1004"/>
        <w:gridCol w:w="878"/>
        <w:gridCol w:w="1004"/>
        <w:gridCol w:w="1131"/>
        <w:gridCol w:w="1129"/>
        <w:gridCol w:w="1004"/>
      </w:tblGrid>
      <w:tr w:rsidR="00893683" w:rsidRPr="00893683" w14:paraId="06026197" w14:textId="77777777" w:rsidTr="001F07FF">
        <w:trPr>
          <w:cnfStyle w:val="100000000000" w:firstRow="1" w:lastRow="0" w:firstColumn="0" w:lastColumn="0" w:oddVBand="0" w:evenVBand="0" w:oddHBand="0" w:evenHBand="0" w:firstRowFirstColumn="0" w:firstRowLastColumn="0" w:lastRowFirstColumn="0" w:lastRowLastColumn="0"/>
          <w:trHeight w:val="798"/>
          <w:jc w:val="center"/>
        </w:trPr>
        <w:tc>
          <w:tcPr>
            <w:tcW w:w="3890" w:type="dxa"/>
            <w:tcBorders>
              <w:top w:val="thinThickSmallGap" w:sz="18" w:space="0" w:color="auto"/>
              <w:tl2br w:val="single" w:sz="18" w:space="0" w:color="auto"/>
            </w:tcBorders>
          </w:tcPr>
          <w:p w14:paraId="0CCC981E" w14:textId="64542F3C" w:rsidR="00893683" w:rsidRPr="00893683" w:rsidRDefault="00893683" w:rsidP="00893683">
            <w:pPr>
              <w:rPr>
                <w:rFonts w:ascii="Times New Roman" w:hAnsi="Times New Roman" w:cs="Times New Roman"/>
                <w:sz w:val="24"/>
                <w:szCs w:val="24"/>
              </w:rPr>
            </w:pPr>
            <w:bookmarkStart w:id="6" w:name="_Hlk217569162"/>
            <w:r w:rsidRPr="00893683">
              <w:rPr>
                <w:rFonts w:ascii="Times New Roman" w:hAnsi="Times New Roman" w:cs="Times New Roman"/>
                <w:b/>
                <w:bCs/>
                <w:noProof/>
                <w:sz w:val="24"/>
                <w:szCs w:val="24"/>
              </w:rPr>
              <w:t xml:space="preserve">                            </w:t>
            </w:r>
            <w:r w:rsidRPr="00893683">
              <w:rPr>
                <w:rFonts w:ascii="Times New Roman" w:hAnsi="Times New Roman" w:cs="Times New Roman"/>
                <w:noProof/>
                <w:sz w:val="24"/>
                <w:szCs w:val="24"/>
              </w:rPr>
              <w:t>Seniority</w:t>
            </w:r>
          </w:p>
          <w:p w14:paraId="1FF4625C" w14:textId="77777777" w:rsidR="00893683" w:rsidRPr="00893683" w:rsidRDefault="00893683" w:rsidP="00893683">
            <w:pPr>
              <w:rPr>
                <w:rFonts w:ascii="Times New Roman" w:hAnsi="Times New Roman" w:cs="Times New Roman"/>
                <w:b/>
                <w:bCs/>
                <w:sz w:val="24"/>
                <w:szCs w:val="24"/>
              </w:rPr>
            </w:pPr>
          </w:p>
          <w:p w14:paraId="4D2EA210" w14:textId="34F93D25" w:rsidR="00893683" w:rsidRPr="00893683" w:rsidRDefault="00B51CA3" w:rsidP="00893683">
            <w:pPr>
              <w:rPr>
                <w:rFonts w:ascii="Times New Roman" w:hAnsi="Times New Roman" w:cs="Times New Roman"/>
                <w:b/>
                <w:bCs/>
                <w:sz w:val="24"/>
                <w:szCs w:val="24"/>
              </w:rPr>
            </w:pPr>
            <w:r>
              <w:rPr>
                <w:rFonts w:ascii="Times New Roman" w:hAnsi="Times New Roman" w:cs="Times New Roman"/>
                <w:sz w:val="24"/>
                <w:szCs w:val="24"/>
              </w:rPr>
              <w:t>Indications</w:t>
            </w:r>
          </w:p>
        </w:tc>
        <w:tc>
          <w:tcPr>
            <w:tcW w:w="1004" w:type="dxa"/>
          </w:tcPr>
          <w:p w14:paraId="3548C9EE"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˂5 y</w:t>
            </w:r>
          </w:p>
          <w:p w14:paraId="44778255"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1B3D8AF1" w14:textId="0576AFF4" w:rsidR="00893683" w:rsidRPr="00893683" w:rsidRDefault="00893683" w:rsidP="00893683">
            <w:pPr>
              <w:jc w:val="center"/>
              <w:rPr>
                <w:rFonts w:ascii="Times New Roman" w:hAnsi="Times New Roman" w:cs="Times New Roman"/>
                <w:noProof/>
                <w:sz w:val="24"/>
                <w:szCs w:val="24"/>
              </w:rPr>
            </w:pPr>
          </w:p>
        </w:tc>
        <w:tc>
          <w:tcPr>
            <w:tcW w:w="878" w:type="dxa"/>
          </w:tcPr>
          <w:p w14:paraId="37CFCCAC"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[ 5-9 ]</w:t>
            </w:r>
          </w:p>
          <w:p w14:paraId="39EBBB80"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7D073930" w14:textId="77777777" w:rsidR="00893683" w:rsidRPr="00893683" w:rsidRDefault="00893683" w:rsidP="00893683">
            <w:pPr>
              <w:rPr>
                <w:rFonts w:ascii="Times New Roman" w:hAnsi="Times New Roman" w:cs="Times New Roman"/>
                <w:noProof/>
                <w:sz w:val="24"/>
                <w:szCs w:val="24"/>
              </w:rPr>
            </w:pPr>
          </w:p>
        </w:tc>
        <w:tc>
          <w:tcPr>
            <w:tcW w:w="1004" w:type="dxa"/>
          </w:tcPr>
          <w:p w14:paraId="2384EF40"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[10-14]</w:t>
            </w:r>
          </w:p>
          <w:p w14:paraId="3DDB243F"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0CA27EA7" w14:textId="77777777" w:rsidR="00893683" w:rsidRPr="00893683" w:rsidRDefault="00893683" w:rsidP="00893683">
            <w:pPr>
              <w:rPr>
                <w:rFonts w:ascii="Times New Roman" w:hAnsi="Times New Roman" w:cs="Times New Roman"/>
                <w:noProof/>
                <w:sz w:val="24"/>
                <w:szCs w:val="24"/>
              </w:rPr>
            </w:pPr>
          </w:p>
        </w:tc>
        <w:tc>
          <w:tcPr>
            <w:tcW w:w="1131" w:type="dxa"/>
          </w:tcPr>
          <w:p w14:paraId="1B0A4EFE"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[15-19]</w:t>
            </w:r>
          </w:p>
          <w:p w14:paraId="75853266"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0B02A4C0" w14:textId="77777777" w:rsidR="00893683" w:rsidRPr="00893683" w:rsidRDefault="00893683" w:rsidP="00893683">
            <w:pPr>
              <w:rPr>
                <w:rFonts w:ascii="Times New Roman" w:hAnsi="Times New Roman" w:cs="Times New Roman"/>
                <w:noProof/>
                <w:sz w:val="24"/>
                <w:szCs w:val="24"/>
              </w:rPr>
            </w:pPr>
          </w:p>
        </w:tc>
        <w:tc>
          <w:tcPr>
            <w:tcW w:w="1129" w:type="dxa"/>
          </w:tcPr>
          <w:p w14:paraId="11EB61E0" w14:textId="20EFD162"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 xml:space="preserve">˃ 20 </w:t>
            </w:r>
            <w:r>
              <w:rPr>
                <w:rFonts w:ascii="Times New Roman" w:hAnsi="Times New Roman" w:cs="Times New Roman"/>
                <w:noProof/>
                <w:sz w:val="24"/>
                <w:szCs w:val="24"/>
              </w:rPr>
              <w:t>y</w:t>
            </w:r>
          </w:p>
          <w:p w14:paraId="0E169ABB" w14:textId="77777777" w:rsidR="00893683" w:rsidRPr="00893683" w:rsidRDefault="00893683" w:rsidP="00893683">
            <w:pPr>
              <w:jc w:val="center"/>
              <w:rPr>
                <w:rFonts w:ascii="Times New Roman" w:hAnsi="Times New Roman" w:cs="Times New Roman"/>
                <w:noProof/>
                <w:sz w:val="24"/>
                <w:szCs w:val="24"/>
              </w:rPr>
            </w:pPr>
            <w:r w:rsidRPr="00893683">
              <w:rPr>
                <w:rFonts w:ascii="Times New Roman" w:hAnsi="Times New Roman" w:cs="Times New Roman"/>
                <w:noProof/>
                <w:sz w:val="24"/>
                <w:szCs w:val="24"/>
              </w:rPr>
              <w:t>n/N</w:t>
            </w:r>
          </w:p>
          <w:p w14:paraId="52E74F53" w14:textId="77777777" w:rsidR="00893683" w:rsidRPr="00893683" w:rsidRDefault="00893683" w:rsidP="00893683">
            <w:pPr>
              <w:rPr>
                <w:rFonts w:ascii="Times New Roman" w:hAnsi="Times New Roman" w:cs="Times New Roman"/>
                <w:noProof/>
                <w:sz w:val="24"/>
                <w:szCs w:val="24"/>
              </w:rPr>
            </w:pPr>
          </w:p>
        </w:tc>
        <w:tc>
          <w:tcPr>
            <w:tcW w:w="1004" w:type="dxa"/>
          </w:tcPr>
          <w:p w14:paraId="0EDB16B2" w14:textId="2A55C6BD" w:rsidR="00893683" w:rsidRPr="00893683" w:rsidRDefault="00893683" w:rsidP="00893683">
            <w:pPr>
              <w:jc w:val="center"/>
              <w:rPr>
                <w:rFonts w:ascii="Times New Roman" w:hAnsi="Times New Roman" w:cs="Times New Roman"/>
                <w:b/>
                <w:bCs/>
                <w:noProof/>
                <w:sz w:val="24"/>
                <w:szCs w:val="24"/>
              </w:rPr>
            </w:pPr>
            <w:r w:rsidRPr="00893683">
              <w:rPr>
                <w:rFonts w:ascii="Times New Roman" w:hAnsi="Times New Roman" w:cs="Times New Roman"/>
                <w:noProof/>
                <w:sz w:val="24"/>
                <w:szCs w:val="24"/>
              </w:rPr>
              <w:t>P valeur</w:t>
            </w:r>
          </w:p>
        </w:tc>
      </w:tr>
      <w:bookmarkEnd w:id="6"/>
      <w:tr w:rsidR="00893683" w:rsidRPr="00893683" w14:paraId="2C2BA3C4" w14:textId="77777777" w:rsidTr="001F07FF">
        <w:trPr>
          <w:trHeight w:val="256"/>
          <w:jc w:val="center"/>
        </w:trPr>
        <w:tc>
          <w:tcPr>
            <w:tcW w:w="3890" w:type="dxa"/>
          </w:tcPr>
          <w:p w14:paraId="246696CE" w14:textId="0B8F8F1E"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Gastroduodenal ulcer</w:t>
            </w:r>
          </w:p>
        </w:tc>
        <w:tc>
          <w:tcPr>
            <w:tcW w:w="1004" w:type="dxa"/>
          </w:tcPr>
          <w:p w14:paraId="0EB4121D"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43/44</w:t>
            </w:r>
          </w:p>
        </w:tc>
        <w:tc>
          <w:tcPr>
            <w:tcW w:w="878" w:type="dxa"/>
          </w:tcPr>
          <w:p w14:paraId="2D279BA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25/27</w:t>
            </w:r>
          </w:p>
        </w:tc>
        <w:tc>
          <w:tcPr>
            <w:tcW w:w="1004" w:type="dxa"/>
          </w:tcPr>
          <w:p w14:paraId="638A590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20/21</w:t>
            </w:r>
          </w:p>
        </w:tc>
        <w:tc>
          <w:tcPr>
            <w:tcW w:w="1131" w:type="dxa"/>
          </w:tcPr>
          <w:p w14:paraId="4D879207"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8/8</w:t>
            </w:r>
          </w:p>
        </w:tc>
        <w:tc>
          <w:tcPr>
            <w:tcW w:w="1129" w:type="dxa"/>
          </w:tcPr>
          <w:p w14:paraId="64FA00DD"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9/9</w:t>
            </w:r>
          </w:p>
        </w:tc>
        <w:tc>
          <w:tcPr>
            <w:tcW w:w="1004" w:type="dxa"/>
          </w:tcPr>
          <w:p w14:paraId="660014D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0.654</w:t>
            </w:r>
          </w:p>
        </w:tc>
      </w:tr>
      <w:tr w:rsidR="00893683" w:rsidRPr="00893683" w14:paraId="7EA46661" w14:textId="77777777" w:rsidTr="001F07FF">
        <w:trPr>
          <w:trHeight w:val="256"/>
          <w:jc w:val="center"/>
        </w:trPr>
        <w:tc>
          <w:tcPr>
            <w:tcW w:w="3890" w:type="dxa"/>
          </w:tcPr>
          <w:p w14:paraId="21366A20" w14:textId="4160CAE8"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Non-ulcer epigastric pain and GERD</w:t>
            </w:r>
          </w:p>
        </w:tc>
        <w:tc>
          <w:tcPr>
            <w:tcW w:w="1004" w:type="dxa"/>
          </w:tcPr>
          <w:p w14:paraId="3F9211E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25/44</w:t>
            </w:r>
          </w:p>
        </w:tc>
        <w:tc>
          <w:tcPr>
            <w:tcW w:w="878" w:type="dxa"/>
          </w:tcPr>
          <w:p w14:paraId="61C4F72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16/27</w:t>
            </w:r>
          </w:p>
        </w:tc>
        <w:tc>
          <w:tcPr>
            <w:tcW w:w="1004" w:type="dxa"/>
          </w:tcPr>
          <w:p w14:paraId="5C4A43C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11/21</w:t>
            </w:r>
          </w:p>
        </w:tc>
        <w:tc>
          <w:tcPr>
            <w:tcW w:w="1131" w:type="dxa"/>
          </w:tcPr>
          <w:p w14:paraId="2817BE8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3/8</w:t>
            </w:r>
          </w:p>
        </w:tc>
        <w:tc>
          <w:tcPr>
            <w:tcW w:w="1129" w:type="dxa"/>
          </w:tcPr>
          <w:p w14:paraId="31F51D9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4/9</w:t>
            </w:r>
          </w:p>
        </w:tc>
        <w:tc>
          <w:tcPr>
            <w:tcW w:w="1004" w:type="dxa"/>
          </w:tcPr>
          <w:p w14:paraId="237C9D1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0.796</w:t>
            </w:r>
          </w:p>
        </w:tc>
      </w:tr>
      <w:tr w:rsidR="00893683" w:rsidRPr="00893683" w14:paraId="1AA65AB2" w14:textId="77777777" w:rsidTr="001F07FF">
        <w:trPr>
          <w:trHeight w:val="245"/>
          <w:jc w:val="center"/>
        </w:trPr>
        <w:tc>
          <w:tcPr>
            <w:tcW w:w="3890" w:type="dxa"/>
          </w:tcPr>
          <w:p w14:paraId="03F89951" w14:textId="0C238040"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Use of PPIs for more than 6 months</w:t>
            </w:r>
          </w:p>
        </w:tc>
        <w:tc>
          <w:tcPr>
            <w:tcW w:w="1004" w:type="dxa"/>
          </w:tcPr>
          <w:p w14:paraId="731E787D"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18/44</w:t>
            </w:r>
          </w:p>
        </w:tc>
        <w:tc>
          <w:tcPr>
            <w:tcW w:w="878" w:type="dxa"/>
          </w:tcPr>
          <w:p w14:paraId="730138D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4/27</w:t>
            </w:r>
          </w:p>
        </w:tc>
        <w:tc>
          <w:tcPr>
            <w:tcW w:w="1004" w:type="dxa"/>
          </w:tcPr>
          <w:p w14:paraId="10EF4E0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4/21</w:t>
            </w:r>
          </w:p>
        </w:tc>
        <w:tc>
          <w:tcPr>
            <w:tcW w:w="1131" w:type="dxa"/>
          </w:tcPr>
          <w:p w14:paraId="479130FE"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2/8</w:t>
            </w:r>
          </w:p>
        </w:tc>
        <w:tc>
          <w:tcPr>
            <w:tcW w:w="1129" w:type="dxa"/>
          </w:tcPr>
          <w:p w14:paraId="281160E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0/9</w:t>
            </w:r>
          </w:p>
        </w:tc>
        <w:tc>
          <w:tcPr>
            <w:tcW w:w="1004" w:type="dxa"/>
          </w:tcPr>
          <w:p w14:paraId="3DC07070" w14:textId="77777777" w:rsidR="00893683" w:rsidRPr="00893683" w:rsidRDefault="00893683" w:rsidP="00893683">
            <w:pPr>
              <w:spacing w:line="360" w:lineRule="auto"/>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0.014</w:t>
            </w:r>
          </w:p>
        </w:tc>
      </w:tr>
      <w:tr w:rsidR="00893683" w:rsidRPr="00893683" w14:paraId="008FF11B" w14:textId="77777777" w:rsidTr="001F07FF">
        <w:trPr>
          <w:trHeight w:val="256"/>
          <w:jc w:val="center"/>
        </w:trPr>
        <w:tc>
          <w:tcPr>
            <w:tcW w:w="3890" w:type="dxa"/>
          </w:tcPr>
          <w:p w14:paraId="7AF2289D" w14:textId="7D04E59A"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Long-term use of aspirin</w:t>
            </w:r>
          </w:p>
        </w:tc>
        <w:tc>
          <w:tcPr>
            <w:tcW w:w="1004" w:type="dxa"/>
          </w:tcPr>
          <w:p w14:paraId="370D19F4"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12/44</w:t>
            </w:r>
          </w:p>
        </w:tc>
        <w:tc>
          <w:tcPr>
            <w:tcW w:w="878" w:type="dxa"/>
          </w:tcPr>
          <w:p w14:paraId="0CA9767E"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4/27</w:t>
            </w:r>
          </w:p>
        </w:tc>
        <w:tc>
          <w:tcPr>
            <w:tcW w:w="1004" w:type="dxa"/>
          </w:tcPr>
          <w:p w14:paraId="5C3372E0"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5/21</w:t>
            </w:r>
          </w:p>
        </w:tc>
        <w:tc>
          <w:tcPr>
            <w:tcW w:w="1131" w:type="dxa"/>
          </w:tcPr>
          <w:p w14:paraId="3CCAD09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0/8</w:t>
            </w:r>
          </w:p>
        </w:tc>
        <w:tc>
          <w:tcPr>
            <w:tcW w:w="1129" w:type="dxa"/>
          </w:tcPr>
          <w:p w14:paraId="4BB038AC"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3/9</w:t>
            </w:r>
          </w:p>
        </w:tc>
        <w:tc>
          <w:tcPr>
            <w:tcW w:w="1004" w:type="dxa"/>
          </w:tcPr>
          <w:p w14:paraId="427AEAD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0.185</w:t>
            </w:r>
          </w:p>
        </w:tc>
      </w:tr>
      <w:tr w:rsidR="00893683" w:rsidRPr="00893683" w14:paraId="492278D2" w14:textId="77777777" w:rsidTr="001F07FF">
        <w:trPr>
          <w:trHeight w:val="256"/>
          <w:jc w:val="center"/>
        </w:trPr>
        <w:tc>
          <w:tcPr>
            <w:tcW w:w="3890" w:type="dxa"/>
          </w:tcPr>
          <w:p w14:paraId="2D2158B9" w14:textId="74730483"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History of H. pylori in a relative</w:t>
            </w:r>
          </w:p>
        </w:tc>
        <w:tc>
          <w:tcPr>
            <w:tcW w:w="1004" w:type="dxa"/>
          </w:tcPr>
          <w:p w14:paraId="735588B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22/44</w:t>
            </w:r>
          </w:p>
        </w:tc>
        <w:tc>
          <w:tcPr>
            <w:tcW w:w="878" w:type="dxa"/>
          </w:tcPr>
          <w:p w14:paraId="336B0C8B"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17/27</w:t>
            </w:r>
          </w:p>
        </w:tc>
        <w:tc>
          <w:tcPr>
            <w:tcW w:w="1004" w:type="dxa"/>
          </w:tcPr>
          <w:p w14:paraId="2CCCFEF3"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9/21</w:t>
            </w:r>
          </w:p>
        </w:tc>
        <w:tc>
          <w:tcPr>
            <w:tcW w:w="1131" w:type="dxa"/>
          </w:tcPr>
          <w:p w14:paraId="4F5D6A92"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3/8</w:t>
            </w:r>
          </w:p>
        </w:tc>
        <w:tc>
          <w:tcPr>
            <w:tcW w:w="1129" w:type="dxa"/>
          </w:tcPr>
          <w:p w14:paraId="4DCE4904"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3/9</w:t>
            </w:r>
          </w:p>
        </w:tc>
        <w:tc>
          <w:tcPr>
            <w:tcW w:w="1004" w:type="dxa"/>
          </w:tcPr>
          <w:p w14:paraId="7DD4007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0.436</w:t>
            </w:r>
          </w:p>
        </w:tc>
      </w:tr>
      <w:tr w:rsidR="00893683" w:rsidRPr="00893683" w14:paraId="26CAAD8F" w14:textId="77777777" w:rsidTr="001F07FF">
        <w:trPr>
          <w:trHeight w:val="256"/>
          <w:jc w:val="center"/>
        </w:trPr>
        <w:tc>
          <w:tcPr>
            <w:tcW w:w="3890" w:type="dxa"/>
          </w:tcPr>
          <w:p w14:paraId="4A81F4EB" w14:textId="21508887" w:rsidR="00893683" w:rsidRPr="00893683" w:rsidRDefault="00893683" w:rsidP="00893683">
            <w:pPr>
              <w:spacing w:line="360" w:lineRule="auto"/>
              <w:rPr>
                <w:rFonts w:ascii="Times New Roman" w:hAnsi="Times New Roman" w:cs="Times New Roman"/>
                <w:noProof/>
                <w:sz w:val="24"/>
                <w:szCs w:val="24"/>
              </w:rPr>
            </w:pPr>
            <w:r w:rsidRPr="00893683">
              <w:rPr>
                <w:rFonts w:ascii="Times New Roman" w:hAnsi="Times New Roman" w:cs="Times New Roman"/>
                <w:sz w:val="24"/>
                <w:szCs w:val="24"/>
              </w:rPr>
              <w:t>Family history of gastric cancer</w:t>
            </w:r>
          </w:p>
        </w:tc>
        <w:tc>
          <w:tcPr>
            <w:tcW w:w="1004" w:type="dxa"/>
          </w:tcPr>
          <w:p w14:paraId="769DB30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25/44</w:t>
            </w:r>
          </w:p>
        </w:tc>
        <w:tc>
          <w:tcPr>
            <w:tcW w:w="878" w:type="dxa"/>
          </w:tcPr>
          <w:p w14:paraId="1AEA4E0B"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15/27</w:t>
            </w:r>
          </w:p>
        </w:tc>
        <w:tc>
          <w:tcPr>
            <w:tcW w:w="1004" w:type="dxa"/>
          </w:tcPr>
          <w:p w14:paraId="29C0B38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6/21</w:t>
            </w:r>
          </w:p>
        </w:tc>
        <w:tc>
          <w:tcPr>
            <w:tcW w:w="1131" w:type="dxa"/>
          </w:tcPr>
          <w:p w14:paraId="60B3BFA5"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3/8</w:t>
            </w:r>
          </w:p>
        </w:tc>
        <w:tc>
          <w:tcPr>
            <w:tcW w:w="1129" w:type="dxa"/>
          </w:tcPr>
          <w:p w14:paraId="6ACBFDF9"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4/9</w:t>
            </w:r>
          </w:p>
        </w:tc>
        <w:tc>
          <w:tcPr>
            <w:tcW w:w="1004" w:type="dxa"/>
          </w:tcPr>
          <w:p w14:paraId="2EDB1BEA"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0.225</w:t>
            </w:r>
          </w:p>
        </w:tc>
      </w:tr>
      <w:tr w:rsidR="00893683" w:rsidRPr="00893683" w14:paraId="2846870E" w14:textId="77777777" w:rsidTr="001F07FF">
        <w:trPr>
          <w:trHeight w:val="256"/>
          <w:jc w:val="center"/>
        </w:trPr>
        <w:tc>
          <w:tcPr>
            <w:tcW w:w="3890" w:type="dxa"/>
          </w:tcPr>
          <w:p w14:paraId="487120B7" w14:textId="71A5D49A" w:rsidR="00893683" w:rsidRPr="00893683" w:rsidRDefault="00893683" w:rsidP="00893683">
            <w:pPr>
              <w:spacing w:line="360" w:lineRule="auto"/>
              <w:rPr>
                <w:rFonts w:ascii="Times New Roman" w:hAnsi="Times New Roman" w:cs="Times New Roman"/>
                <w:b/>
                <w:bCs/>
                <w:noProof/>
                <w:sz w:val="24"/>
                <w:szCs w:val="24"/>
              </w:rPr>
            </w:pPr>
            <w:r w:rsidRPr="00893683">
              <w:rPr>
                <w:rFonts w:ascii="Times New Roman" w:hAnsi="Times New Roman" w:cs="Times New Roman"/>
                <w:b/>
                <w:bCs/>
                <w:sz w:val="24"/>
                <w:szCs w:val="24"/>
              </w:rPr>
              <w:t>Anemia due to iron or vitamin B12 deficiency without identified cause</w:t>
            </w:r>
          </w:p>
        </w:tc>
        <w:tc>
          <w:tcPr>
            <w:tcW w:w="1004" w:type="dxa"/>
          </w:tcPr>
          <w:p w14:paraId="3700D72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14/44</w:t>
            </w:r>
          </w:p>
        </w:tc>
        <w:tc>
          <w:tcPr>
            <w:tcW w:w="878" w:type="dxa"/>
          </w:tcPr>
          <w:p w14:paraId="364C0396"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6/27</w:t>
            </w:r>
          </w:p>
        </w:tc>
        <w:tc>
          <w:tcPr>
            <w:tcW w:w="1004" w:type="dxa"/>
          </w:tcPr>
          <w:p w14:paraId="1D325F58"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1/21</w:t>
            </w:r>
          </w:p>
        </w:tc>
        <w:tc>
          <w:tcPr>
            <w:tcW w:w="1131" w:type="dxa"/>
          </w:tcPr>
          <w:p w14:paraId="3080823F"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0/8</w:t>
            </w:r>
          </w:p>
        </w:tc>
        <w:tc>
          <w:tcPr>
            <w:tcW w:w="1129" w:type="dxa"/>
          </w:tcPr>
          <w:p w14:paraId="4D11651B" w14:textId="77777777" w:rsidR="00893683" w:rsidRPr="00893683" w:rsidRDefault="00893683" w:rsidP="00893683">
            <w:pPr>
              <w:spacing w:line="360" w:lineRule="auto"/>
              <w:jc w:val="center"/>
              <w:rPr>
                <w:rFonts w:ascii="Times New Roman" w:hAnsi="Times New Roman" w:cs="Times New Roman"/>
                <w:noProof/>
                <w:sz w:val="24"/>
                <w:szCs w:val="24"/>
              </w:rPr>
            </w:pPr>
            <w:r w:rsidRPr="00893683">
              <w:rPr>
                <w:rFonts w:ascii="Times New Roman" w:hAnsi="Times New Roman" w:cs="Times New Roman"/>
                <w:noProof/>
                <w:sz w:val="24"/>
                <w:szCs w:val="24"/>
              </w:rPr>
              <w:t>2/9</w:t>
            </w:r>
          </w:p>
        </w:tc>
        <w:tc>
          <w:tcPr>
            <w:tcW w:w="1004" w:type="dxa"/>
          </w:tcPr>
          <w:p w14:paraId="2F609BD2" w14:textId="77777777" w:rsidR="00893683" w:rsidRPr="00893683" w:rsidRDefault="00893683" w:rsidP="00893683">
            <w:pPr>
              <w:spacing w:line="360" w:lineRule="auto"/>
              <w:jc w:val="center"/>
              <w:rPr>
                <w:rFonts w:ascii="Times New Roman" w:hAnsi="Times New Roman" w:cs="Times New Roman"/>
                <w:b/>
                <w:bCs/>
                <w:noProof/>
                <w:sz w:val="24"/>
                <w:szCs w:val="24"/>
              </w:rPr>
            </w:pPr>
            <w:r w:rsidRPr="00893683">
              <w:rPr>
                <w:rFonts w:ascii="Times New Roman" w:hAnsi="Times New Roman" w:cs="Times New Roman"/>
                <w:b/>
                <w:bCs/>
                <w:noProof/>
                <w:sz w:val="24"/>
                <w:szCs w:val="24"/>
              </w:rPr>
              <w:t>0.025</w:t>
            </w:r>
          </w:p>
        </w:tc>
      </w:tr>
    </w:tbl>
    <w:p w14:paraId="4A98F1BC" w14:textId="77777777" w:rsidR="00B51CA3" w:rsidRDefault="00B51CA3" w:rsidP="00B40E3D">
      <w:pPr>
        <w:pStyle w:val="Caption"/>
        <w:keepNext/>
        <w:rPr>
          <w:rFonts w:ascii="Times New Roman" w:hAnsi="Times New Roman" w:cs="Times New Roman"/>
          <w:b/>
          <w:bCs/>
          <w:sz w:val="28"/>
          <w:szCs w:val="28"/>
        </w:rPr>
      </w:pPr>
      <w:bookmarkStart w:id="7" w:name="_Toc206338573"/>
    </w:p>
    <w:bookmarkEnd w:id="7"/>
    <w:p w14:paraId="5B607704" w14:textId="1EC2B0D8" w:rsidR="00B51CA3" w:rsidRDefault="00B51CA3" w:rsidP="00B51CA3">
      <w:pPr>
        <w:rPr>
          <w:lang w:val="fr-FR"/>
        </w:rPr>
      </w:pPr>
    </w:p>
    <w:p w14:paraId="2E070086" w14:textId="53E316A7" w:rsidR="00B51CA3" w:rsidRPr="00B51CA3" w:rsidRDefault="00B51CA3" w:rsidP="00B51CA3">
      <w:pPr>
        <w:rPr>
          <w:rFonts w:ascii="Times New Roman" w:hAnsi="Times New Roman" w:cs="Times New Roman"/>
          <w:lang w:val="fr-FR"/>
        </w:rPr>
      </w:pPr>
      <w:r w:rsidRPr="00B51CA3">
        <w:rPr>
          <w:rFonts w:ascii="Times New Roman" w:hAnsi="Times New Roman" w:cs="Times New Roman"/>
          <w:lang w:val="fr-FR"/>
        </w:rPr>
        <w:lastRenderedPageBreak/>
        <w:t>Table 4 : Relationship between physician seniority and Hp diagnostic tests</w:t>
      </w:r>
    </w:p>
    <w:tbl>
      <w:tblPr>
        <w:tblStyle w:val="Style21"/>
        <w:tblW w:w="9771" w:type="dxa"/>
        <w:jc w:val="center"/>
        <w:tblLook w:val="04A0" w:firstRow="1" w:lastRow="0" w:firstColumn="1" w:lastColumn="0" w:noHBand="0" w:noVBand="1"/>
      </w:tblPr>
      <w:tblGrid>
        <w:gridCol w:w="3637"/>
        <w:gridCol w:w="763"/>
        <w:gridCol w:w="954"/>
        <w:gridCol w:w="954"/>
        <w:gridCol w:w="1002"/>
        <w:gridCol w:w="1210"/>
        <w:gridCol w:w="1251"/>
      </w:tblGrid>
      <w:tr w:rsidR="00B51CA3" w:rsidRPr="00B51CA3" w14:paraId="5EE57918" w14:textId="77777777" w:rsidTr="00CE1695">
        <w:trPr>
          <w:cnfStyle w:val="100000000000" w:firstRow="1" w:lastRow="0" w:firstColumn="0" w:lastColumn="0" w:oddVBand="0" w:evenVBand="0" w:oddHBand="0" w:evenHBand="0" w:firstRowFirstColumn="0" w:firstRowLastColumn="0" w:lastRowFirstColumn="0" w:lastRowLastColumn="0"/>
          <w:trHeight w:val="921"/>
          <w:jc w:val="center"/>
        </w:trPr>
        <w:tc>
          <w:tcPr>
            <w:tcW w:w="3644" w:type="dxa"/>
            <w:tcBorders>
              <w:top w:val="thinThickSmallGap" w:sz="18" w:space="0" w:color="auto"/>
              <w:tl2br w:val="single" w:sz="18" w:space="0" w:color="auto"/>
            </w:tcBorders>
          </w:tcPr>
          <w:p w14:paraId="481DC996" w14:textId="77777777" w:rsidR="00B51CA3" w:rsidRPr="00B51CA3" w:rsidRDefault="00B51CA3" w:rsidP="00B51CA3">
            <w:pPr>
              <w:rPr>
                <w:rFonts w:ascii="Times New Roman" w:hAnsi="Times New Roman" w:cs="Times New Roman"/>
                <w:sz w:val="24"/>
                <w:szCs w:val="24"/>
              </w:rPr>
            </w:pPr>
            <w:r w:rsidRPr="00B51CA3">
              <w:rPr>
                <w:rFonts w:ascii="Times New Roman" w:hAnsi="Times New Roman" w:cs="Times New Roman"/>
                <w:b/>
                <w:bCs/>
                <w:noProof/>
                <w:sz w:val="24"/>
                <w:szCs w:val="24"/>
              </w:rPr>
              <w:t xml:space="preserve">                            </w:t>
            </w:r>
            <w:r w:rsidRPr="00B51CA3">
              <w:rPr>
                <w:rFonts w:ascii="Times New Roman" w:hAnsi="Times New Roman" w:cs="Times New Roman"/>
                <w:noProof/>
                <w:sz w:val="24"/>
                <w:szCs w:val="24"/>
              </w:rPr>
              <w:t>Seniority</w:t>
            </w:r>
          </w:p>
          <w:p w14:paraId="39CB55F6" w14:textId="77777777" w:rsidR="00B51CA3" w:rsidRPr="00B51CA3" w:rsidRDefault="00B51CA3" w:rsidP="00B51CA3">
            <w:pPr>
              <w:rPr>
                <w:rFonts w:ascii="Times New Roman" w:hAnsi="Times New Roman" w:cs="Times New Roman"/>
                <w:sz w:val="24"/>
                <w:szCs w:val="24"/>
              </w:rPr>
            </w:pPr>
          </w:p>
          <w:p w14:paraId="19AD5FCA" w14:textId="134D287B" w:rsidR="00B51CA3" w:rsidRPr="00B51CA3" w:rsidRDefault="00B51CA3" w:rsidP="00B51CA3">
            <w:pPr>
              <w:rPr>
                <w:rFonts w:ascii="Times New Roman" w:hAnsi="Times New Roman" w:cs="Times New Roman"/>
                <w:b/>
                <w:bCs/>
                <w:sz w:val="24"/>
                <w:szCs w:val="24"/>
              </w:rPr>
            </w:pPr>
            <w:r w:rsidRPr="00B51CA3">
              <w:rPr>
                <w:rFonts w:ascii="Times New Roman" w:hAnsi="Times New Roman" w:cs="Times New Roman"/>
                <w:sz w:val="24"/>
                <w:szCs w:val="24"/>
              </w:rPr>
              <w:t>Diagnosis Test</w:t>
            </w:r>
          </w:p>
        </w:tc>
        <w:tc>
          <w:tcPr>
            <w:tcW w:w="745" w:type="dxa"/>
          </w:tcPr>
          <w:p w14:paraId="447BD488"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˂5 y</w:t>
            </w:r>
          </w:p>
          <w:p w14:paraId="5D954922"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7C087D31" w14:textId="77777777" w:rsidR="00B51CA3" w:rsidRPr="00B51CA3" w:rsidRDefault="00B51CA3" w:rsidP="00B51CA3">
            <w:pPr>
              <w:jc w:val="center"/>
              <w:rPr>
                <w:rFonts w:ascii="Times New Roman" w:hAnsi="Times New Roman" w:cs="Times New Roman"/>
                <w:noProof/>
                <w:sz w:val="24"/>
                <w:szCs w:val="24"/>
              </w:rPr>
            </w:pPr>
          </w:p>
        </w:tc>
        <w:tc>
          <w:tcPr>
            <w:tcW w:w="955" w:type="dxa"/>
          </w:tcPr>
          <w:p w14:paraId="4323947D"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[ 5-9 ]</w:t>
            </w:r>
          </w:p>
          <w:p w14:paraId="470451E8"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62035D74" w14:textId="77777777" w:rsidR="00B51CA3" w:rsidRPr="00B51CA3" w:rsidRDefault="00B51CA3" w:rsidP="00B51CA3">
            <w:pPr>
              <w:jc w:val="center"/>
              <w:rPr>
                <w:rFonts w:ascii="Times New Roman" w:hAnsi="Times New Roman" w:cs="Times New Roman"/>
                <w:noProof/>
                <w:sz w:val="24"/>
                <w:szCs w:val="24"/>
              </w:rPr>
            </w:pPr>
          </w:p>
        </w:tc>
        <w:tc>
          <w:tcPr>
            <w:tcW w:w="955" w:type="dxa"/>
          </w:tcPr>
          <w:p w14:paraId="0BC70A99"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[10-14]</w:t>
            </w:r>
          </w:p>
          <w:p w14:paraId="6DEE56D6"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6120E8F8" w14:textId="77777777" w:rsidR="00B51CA3" w:rsidRPr="00B51CA3" w:rsidRDefault="00B51CA3" w:rsidP="00B51CA3">
            <w:pPr>
              <w:jc w:val="center"/>
              <w:rPr>
                <w:rFonts w:ascii="Times New Roman" w:hAnsi="Times New Roman" w:cs="Times New Roman"/>
                <w:noProof/>
                <w:sz w:val="24"/>
                <w:szCs w:val="24"/>
              </w:rPr>
            </w:pPr>
          </w:p>
        </w:tc>
        <w:tc>
          <w:tcPr>
            <w:tcW w:w="1004" w:type="dxa"/>
          </w:tcPr>
          <w:p w14:paraId="6B8645FA"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[15-19]</w:t>
            </w:r>
          </w:p>
          <w:p w14:paraId="193779F0"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232E6D93" w14:textId="77777777" w:rsidR="00B51CA3" w:rsidRPr="00B51CA3" w:rsidRDefault="00B51CA3" w:rsidP="00B51CA3">
            <w:pPr>
              <w:jc w:val="center"/>
              <w:rPr>
                <w:rFonts w:ascii="Times New Roman" w:hAnsi="Times New Roman" w:cs="Times New Roman"/>
                <w:noProof/>
                <w:sz w:val="24"/>
                <w:szCs w:val="24"/>
              </w:rPr>
            </w:pPr>
          </w:p>
        </w:tc>
        <w:tc>
          <w:tcPr>
            <w:tcW w:w="1214" w:type="dxa"/>
          </w:tcPr>
          <w:p w14:paraId="004DB83E"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 20 y</w:t>
            </w:r>
          </w:p>
          <w:p w14:paraId="40A1E403" w14:textId="77777777" w:rsidR="00B51CA3" w:rsidRPr="00B51CA3" w:rsidRDefault="00B51CA3" w:rsidP="00B51CA3">
            <w:pPr>
              <w:jc w:val="center"/>
              <w:rPr>
                <w:rFonts w:ascii="Times New Roman" w:hAnsi="Times New Roman" w:cs="Times New Roman"/>
                <w:noProof/>
                <w:sz w:val="24"/>
                <w:szCs w:val="24"/>
              </w:rPr>
            </w:pPr>
            <w:r w:rsidRPr="00B51CA3">
              <w:rPr>
                <w:rFonts w:ascii="Times New Roman" w:hAnsi="Times New Roman" w:cs="Times New Roman"/>
                <w:noProof/>
                <w:sz w:val="24"/>
                <w:szCs w:val="24"/>
              </w:rPr>
              <w:t>n/N</w:t>
            </w:r>
          </w:p>
          <w:p w14:paraId="78BA1BA4" w14:textId="77777777" w:rsidR="00B51CA3" w:rsidRPr="00B51CA3" w:rsidRDefault="00B51CA3" w:rsidP="00B51CA3">
            <w:pPr>
              <w:jc w:val="center"/>
              <w:rPr>
                <w:rFonts w:ascii="Times New Roman" w:hAnsi="Times New Roman" w:cs="Times New Roman"/>
                <w:noProof/>
                <w:sz w:val="24"/>
                <w:szCs w:val="24"/>
              </w:rPr>
            </w:pPr>
          </w:p>
        </w:tc>
        <w:tc>
          <w:tcPr>
            <w:tcW w:w="1254" w:type="dxa"/>
          </w:tcPr>
          <w:p w14:paraId="16C356CB" w14:textId="4752FAD0" w:rsidR="00B51CA3" w:rsidRPr="00B51CA3" w:rsidRDefault="00B51CA3" w:rsidP="00B51CA3">
            <w:pPr>
              <w:jc w:val="center"/>
              <w:rPr>
                <w:rFonts w:ascii="Times New Roman" w:hAnsi="Times New Roman" w:cs="Times New Roman"/>
                <w:b/>
                <w:bCs/>
                <w:noProof/>
                <w:sz w:val="24"/>
                <w:szCs w:val="24"/>
              </w:rPr>
            </w:pPr>
            <w:r w:rsidRPr="00B51CA3">
              <w:rPr>
                <w:rFonts w:ascii="Times New Roman" w:hAnsi="Times New Roman" w:cs="Times New Roman"/>
                <w:noProof/>
                <w:sz w:val="24"/>
                <w:szCs w:val="24"/>
              </w:rPr>
              <w:t>P valeur</w:t>
            </w:r>
          </w:p>
        </w:tc>
      </w:tr>
      <w:tr w:rsidR="00B51CA3" w:rsidRPr="00B51CA3" w14:paraId="59C16A10" w14:textId="77777777" w:rsidTr="00CE1695">
        <w:trPr>
          <w:trHeight w:val="298"/>
          <w:jc w:val="center"/>
        </w:trPr>
        <w:tc>
          <w:tcPr>
            <w:tcW w:w="3644" w:type="dxa"/>
          </w:tcPr>
          <w:p w14:paraId="24637546" w14:textId="1FB0957B" w:rsidR="00B51CA3" w:rsidRPr="00B51CA3" w:rsidRDefault="00B51CA3" w:rsidP="00B51CA3">
            <w:pPr>
              <w:spacing w:line="360" w:lineRule="auto"/>
              <w:rPr>
                <w:rFonts w:ascii="Times New Roman" w:hAnsi="Times New Roman" w:cs="Times New Roman"/>
                <w:b/>
                <w:bCs/>
                <w:noProof/>
                <w:sz w:val="24"/>
                <w:szCs w:val="24"/>
              </w:rPr>
            </w:pPr>
            <w:r w:rsidRPr="00B51CA3">
              <w:rPr>
                <w:rFonts w:ascii="Times New Roman" w:hAnsi="Times New Roman" w:cs="Times New Roman"/>
                <w:b/>
                <w:bCs/>
                <w:sz w:val="24"/>
                <w:szCs w:val="24"/>
              </w:rPr>
              <w:t>Urea breath test</w:t>
            </w:r>
          </w:p>
        </w:tc>
        <w:tc>
          <w:tcPr>
            <w:tcW w:w="745" w:type="dxa"/>
          </w:tcPr>
          <w:p w14:paraId="1696B2F5"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11/44</w:t>
            </w:r>
          </w:p>
        </w:tc>
        <w:tc>
          <w:tcPr>
            <w:tcW w:w="955" w:type="dxa"/>
          </w:tcPr>
          <w:p w14:paraId="2E5C2125"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7/27</w:t>
            </w:r>
          </w:p>
        </w:tc>
        <w:tc>
          <w:tcPr>
            <w:tcW w:w="955" w:type="dxa"/>
          </w:tcPr>
          <w:p w14:paraId="1F704E80"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0/21</w:t>
            </w:r>
          </w:p>
        </w:tc>
        <w:tc>
          <w:tcPr>
            <w:tcW w:w="1004" w:type="dxa"/>
          </w:tcPr>
          <w:p w14:paraId="328057F9"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1/8</w:t>
            </w:r>
          </w:p>
        </w:tc>
        <w:tc>
          <w:tcPr>
            <w:tcW w:w="1214" w:type="dxa"/>
          </w:tcPr>
          <w:p w14:paraId="00BBAC46"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2/9</w:t>
            </w:r>
          </w:p>
        </w:tc>
        <w:tc>
          <w:tcPr>
            <w:tcW w:w="1254" w:type="dxa"/>
          </w:tcPr>
          <w:p w14:paraId="3ACCB17A" w14:textId="77777777" w:rsidR="00B51CA3" w:rsidRPr="00B51CA3" w:rsidRDefault="00B51CA3" w:rsidP="00B51CA3">
            <w:pPr>
              <w:spacing w:line="360" w:lineRule="auto"/>
              <w:jc w:val="center"/>
              <w:rPr>
                <w:rFonts w:ascii="Times New Roman" w:hAnsi="Times New Roman" w:cs="Times New Roman"/>
                <w:b/>
                <w:bCs/>
                <w:noProof/>
                <w:sz w:val="24"/>
                <w:szCs w:val="24"/>
              </w:rPr>
            </w:pPr>
            <w:r w:rsidRPr="00B51CA3">
              <w:rPr>
                <w:rFonts w:ascii="Times New Roman" w:hAnsi="Times New Roman" w:cs="Times New Roman"/>
                <w:b/>
                <w:bCs/>
                <w:noProof/>
                <w:sz w:val="24"/>
                <w:szCs w:val="24"/>
              </w:rPr>
              <w:t>0.028</w:t>
            </w:r>
          </w:p>
        </w:tc>
      </w:tr>
      <w:tr w:rsidR="00B51CA3" w:rsidRPr="00B51CA3" w14:paraId="273B1A02" w14:textId="77777777" w:rsidTr="00CE1695">
        <w:trPr>
          <w:trHeight w:val="298"/>
          <w:jc w:val="center"/>
        </w:trPr>
        <w:tc>
          <w:tcPr>
            <w:tcW w:w="3644" w:type="dxa"/>
          </w:tcPr>
          <w:p w14:paraId="6C0EDDD2" w14:textId="7EBE1171" w:rsidR="00B51CA3" w:rsidRPr="00B51CA3" w:rsidRDefault="00B51CA3" w:rsidP="00B51CA3">
            <w:pPr>
              <w:spacing w:line="360" w:lineRule="auto"/>
              <w:rPr>
                <w:rFonts w:ascii="Times New Roman" w:hAnsi="Times New Roman" w:cs="Times New Roman"/>
                <w:b/>
                <w:bCs/>
                <w:noProof/>
                <w:sz w:val="24"/>
                <w:szCs w:val="24"/>
              </w:rPr>
            </w:pPr>
            <w:r w:rsidRPr="00B51CA3">
              <w:rPr>
                <w:rFonts w:ascii="Times New Roman" w:hAnsi="Times New Roman" w:cs="Times New Roman"/>
                <w:b/>
                <w:bCs/>
                <w:sz w:val="24"/>
                <w:szCs w:val="24"/>
              </w:rPr>
              <w:t>Helicobacter pylori serology</w:t>
            </w:r>
          </w:p>
        </w:tc>
        <w:tc>
          <w:tcPr>
            <w:tcW w:w="745" w:type="dxa"/>
          </w:tcPr>
          <w:p w14:paraId="1160C4B7"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24/44</w:t>
            </w:r>
          </w:p>
        </w:tc>
        <w:tc>
          <w:tcPr>
            <w:tcW w:w="955" w:type="dxa"/>
          </w:tcPr>
          <w:p w14:paraId="48676B09"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17/27</w:t>
            </w:r>
          </w:p>
        </w:tc>
        <w:tc>
          <w:tcPr>
            <w:tcW w:w="955" w:type="dxa"/>
          </w:tcPr>
          <w:p w14:paraId="428207D8"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20/21</w:t>
            </w:r>
          </w:p>
        </w:tc>
        <w:tc>
          <w:tcPr>
            <w:tcW w:w="1004" w:type="dxa"/>
          </w:tcPr>
          <w:p w14:paraId="1173BF91"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6/8</w:t>
            </w:r>
          </w:p>
        </w:tc>
        <w:tc>
          <w:tcPr>
            <w:tcW w:w="1214" w:type="dxa"/>
          </w:tcPr>
          <w:p w14:paraId="2088C5D7"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8/9</w:t>
            </w:r>
          </w:p>
        </w:tc>
        <w:tc>
          <w:tcPr>
            <w:tcW w:w="1254" w:type="dxa"/>
          </w:tcPr>
          <w:p w14:paraId="3A1A8A5E" w14:textId="77777777" w:rsidR="00B51CA3" w:rsidRPr="00B51CA3" w:rsidRDefault="00B51CA3" w:rsidP="00B51CA3">
            <w:pPr>
              <w:spacing w:line="360" w:lineRule="auto"/>
              <w:jc w:val="center"/>
              <w:rPr>
                <w:rFonts w:ascii="Times New Roman" w:hAnsi="Times New Roman" w:cs="Times New Roman"/>
                <w:b/>
                <w:bCs/>
                <w:noProof/>
                <w:sz w:val="24"/>
                <w:szCs w:val="24"/>
              </w:rPr>
            </w:pPr>
            <w:r w:rsidRPr="00B51CA3">
              <w:rPr>
                <w:rFonts w:ascii="Times New Roman" w:hAnsi="Times New Roman" w:cs="Times New Roman"/>
                <w:b/>
                <w:bCs/>
                <w:noProof/>
                <w:sz w:val="24"/>
                <w:szCs w:val="24"/>
              </w:rPr>
              <w:t>0.003</w:t>
            </w:r>
          </w:p>
        </w:tc>
      </w:tr>
      <w:tr w:rsidR="00B51CA3" w:rsidRPr="00B51CA3" w14:paraId="042798E9" w14:textId="77777777" w:rsidTr="00CE1695">
        <w:trPr>
          <w:trHeight w:val="504"/>
          <w:jc w:val="center"/>
        </w:trPr>
        <w:tc>
          <w:tcPr>
            <w:tcW w:w="3644" w:type="dxa"/>
          </w:tcPr>
          <w:p w14:paraId="21617ABF" w14:textId="6C6F2D64" w:rsidR="00B51CA3" w:rsidRPr="00B51CA3" w:rsidRDefault="00B51CA3" w:rsidP="00B51CA3">
            <w:pPr>
              <w:spacing w:line="360" w:lineRule="auto"/>
              <w:rPr>
                <w:rFonts w:ascii="Times New Roman" w:hAnsi="Times New Roman" w:cs="Times New Roman"/>
                <w:noProof/>
                <w:sz w:val="24"/>
                <w:szCs w:val="24"/>
              </w:rPr>
            </w:pPr>
            <w:r w:rsidRPr="00B51CA3">
              <w:rPr>
                <w:rFonts w:ascii="Times New Roman" w:hAnsi="Times New Roman" w:cs="Times New Roman"/>
                <w:sz w:val="24"/>
                <w:szCs w:val="24"/>
              </w:rPr>
              <w:t>Endoscopy (with Helicobacter culture/histology/PCR)</w:t>
            </w:r>
          </w:p>
        </w:tc>
        <w:tc>
          <w:tcPr>
            <w:tcW w:w="745" w:type="dxa"/>
          </w:tcPr>
          <w:p w14:paraId="33AEB7D2"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27/44</w:t>
            </w:r>
          </w:p>
        </w:tc>
        <w:tc>
          <w:tcPr>
            <w:tcW w:w="955" w:type="dxa"/>
          </w:tcPr>
          <w:p w14:paraId="50CEC33D"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26/27</w:t>
            </w:r>
          </w:p>
        </w:tc>
        <w:tc>
          <w:tcPr>
            <w:tcW w:w="955" w:type="dxa"/>
          </w:tcPr>
          <w:p w14:paraId="2724CDBC"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10/21</w:t>
            </w:r>
          </w:p>
        </w:tc>
        <w:tc>
          <w:tcPr>
            <w:tcW w:w="1004" w:type="dxa"/>
          </w:tcPr>
          <w:p w14:paraId="49F55F37"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3/8</w:t>
            </w:r>
          </w:p>
        </w:tc>
        <w:tc>
          <w:tcPr>
            <w:tcW w:w="1214" w:type="dxa"/>
          </w:tcPr>
          <w:p w14:paraId="6552AA7A"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2/9</w:t>
            </w:r>
          </w:p>
        </w:tc>
        <w:tc>
          <w:tcPr>
            <w:tcW w:w="1254" w:type="dxa"/>
          </w:tcPr>
          <w:p w14:paraId="2F6300EF"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0.180</w:t>
            </w:r>
          </w:p>
        </w:tc>
      </w:tr>
      <w:tr w:rsidR="00B51CA3" w:rsidRPr="00B51CA3" w14:paraId="584C3CA9" w14:textId="77777777" w:rsidTr="00CE1695">
        <w:trPr>
          <w:trHeight w:val="298"/>
          <w:jc w:val="center"/>
        </w:trPr>
        <w:tc>
          <w:tcPr>
            <w:tcW w:w="3644" w:type="dxa"/>
          </w:tcPr>
          <w:p w14:paraId="7E21CC14" w14:textId="63BBD0CF" w:rsidR="00B51CA3" w:rsidRPr="00B51CA3" w:rsidRDefault="00B51CA3" w:rsidP="00B51CA3">
            <w:pPr>
              <w:spacing w:line="360" w:lineRule="auto"/>
              <w:rPr>
                <w:rFonts w:ascii="Times New Roman" w:hAnsi="Times New Roman" w:cs="Times New Roman"/>
                <w:noProof/>
                <w:sz w:val="24"/>
                <w:szCs w:val="24"/>
              </w:rPr>
            </w:pPr>
            <w:r w:rsidRPr="00B51CA3">
              <w:rPr>
                <w:rFonts w:ascii="Times New Roman" w:hAnsi="Times New Roman" w:cs="Times New Roman"/>
                <w:sz w:val="24"/>
                <w:szCs w:val="24"/>
              </w:rPr>
              <w:t>Stool antigen detection</w:t>
            </w:r>
          </w:p>
        </w:tc>
        <w:tc>
          <w:tcPr>
            <w:tcW w:w="745" w:type="dxa"/>
          </w:tcPr>
          <w:p w14:paraId="719F0643"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9/44</w:t>
            </w:r>
          </w:p>
        </w:tc>
        <w:tc>
          <w:tcPr>
            <w:tcW w:w="955" w:type="dxa"/>
          </w:tcPr>
          <w:p w14:paraId="7CC020DD"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3/27</w:t>
            </w:r>
          </w:p>
        </w:tc>
        <w:tc>
          <w:tcPr>
            <w:tcW w:w="955" w:type="dxa"/>
          </w:tcPr>
          <w:p w14:paraId="71B9A71B"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0/21</w:t>
            </w:r>
          </w:p>
        </w:tc>
        <w:tc>
          <w:tcPr>
            <w:tcW w:w="1004" w:type="dxa"/>
          </w:tcPr>
          <w:p w14:paraId="7A4CBB81"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1/8</w:t>
            </w:r>
          </w:p>
        </w:tc>
        <w:tc>
          <w:tcPr>
            <w:tcW w:w="1214" w:type="dxa"/>
          </w:tcPr>
          <w:p w14:paraId="6CC23813"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1/9</w:t>
            </w:r>
          </w:p>
        </w:tc>
        <w:tc>
          <w:tcPr>
            <w:tcW w:w="1254" w:type="dxa"/>
          </w:tcPr>
          <w:p w14:paraId="71EE269D" w14:textId="77777777" w:rsidR="00B51CA3" w:rsidRPr="00B51CA3" w:rsidRDefault="00B51CA3" w:rsidP="00B51CA3">
            <w:pPr>
              <w:spacing w:line="360" w:lineRule="auto"/>
              <w:jc w:val="center"/>
              <w:rPr>
                <w:rFonts w:ascii="Times New Roman" w:hAnsi="Times New Roman" w:cs="Times New Roman"/>
                <w:noProof/>
                <w:sz w:val="24"/>
                <w:szCs w:val="24"/>
              </w:rPr>
            </w:pPr>
            <w:r w:rsidRPr="00B51CA3">
              <w:rPr>
                <w:rFonts w:ascii="Times New Roman" w:hAnsi="Times New Roman" w:cs="Times New Roman"/>
                <w:noProof/>
                <w:sz w:val="24"/>
                <w:szCs w:val="24"/>
              </w:rPr>
              <w:t>0.097</w:t>
            </w:r>
          </w:p>
        </w:tc>
      </w:tr>
    </w:tbl>
    <w:p w14:paraId="6906D594" w14:textId="463C76FE" w:rsidR="00BC6CCB" w:rsidRDefault="00BC6CCB">
      <w:pPr>
        <w:rPr>
          <w:rFonts w:ascii="Times New Roman" w:hAnsi="Times New Roman" w:cs="Times New Roman"/>
          <w:sz w:val="28"/>
          <w:szCs w:val="28"/>
        </w:rPr>
      </w:pPr>
    </w:p>
    <w:p w14:paraId="0393612C" w14:textId="77777777" w:rsidR="001F07FF" w:rsidRDefault="001F07FF">
      <w:pPr>
        <w:rPr>
          <w:rFonts w:ascii="Times New Roman" w:hAnsi="Times New Roman" w:cs="Times New Roman"/>
          <w:sz w:val="28"/>
          <w:szCs w:val="28"/>
        </w:rPr>
      </w:pPr>
    </w:p>
    <w:p w14:paraId="4B715EB6" w14:textId="77777777" w:rsidR="001F07FF" w:rsidRDefault="001F07FF">
      <w:pPr>
        <w:rPr>
          <w:rFonts w:ascii="Times New Roman" w:hAnsi="Times New Roman" w:cs="Times New Roman"/>
          <w:b/>
          <w:bCs/>
          <w:sz w:val="28"/>
          <w:szCs w:val="28"/>
        </w:rPr>
      </w:pPr>
    </w:p>
    <w:p w14:paraId="7CC4E550" w14:textId="77777777" w:rsidR="001F07FF" w:rsidRDefault="001F07FF">
      <w:pPr>
        <w:rPr>
          <w:rFonts w:ascii="Times New Roman" w:hAnsi="Times New Roman" w:cs="Times New Roman"/>
          <w:b/>
          <w:bCs/>
          <w:sz w:val="28"/>
          <w:szCs w:val="28"/>
        </w:rPr>
      </w:pPr>
    </w:p>
    <w:p w14:paraId="5567CF36" w14:textId="77777777" w:rsidR="001F07FF" w:rsidRDefault="001F07FF">
      <w:pPr>
        <w:rPr>
          <w:rFonts w:ascii="Times New Roman" w:hAnsi="Times New Roman" w:cs="Times New Roman"/>
          <w:b/>
          <w:bCs/>
          <w:sz w:val="28"/>
          <w:szCs w:val="28"/>
        </w:rPr>
      </w:pPr>
    </w:p>
    <w:p w14:paraId="31448922" w14:textId="77777777" w:rsidR="001F07FF" w:rsidRDefault="001F07FF">
      <w:pPr>
        <w:rPr>
          <w:rFonts w:ascii="Times New Roman" w:hAnsi="Times New Roman" w:cs="Times New Roman"/>
          <w:b/>
          <w:bCs/>
          <w:sz w:val="28"/>
          <w:szCs w:val="28"/>
        </w:rPr>
      </w:pPr>
    </w:p>
    <w:p w14:paraId="185191CC" w14:textId="77777777" w:rsidR="001F07FF" w:rsidRDefault="001F07FF">
      <w:pPr>
        <w:rPr>
          <w:rFonts w:ascii="Times New Roman" w:hAnsi="Times New Roman" w:cs="Times New Roman"/>
          <w:b/>
          <w:bCs/>
          <w:sz w:val="28"/>
          <w:szCs w:val="28"/>
        </w:rPr>
      </w:pPr>
    </w:p>
    <w:p w14:paraId="657ED2AC" w14:textId="77777777" w:rsidR="001F07FF" w:rsidRDefault="001F07FF">
      <w:pPr>
        <w:rPr>
          <w:rFonts w:ascii="Times New Roman" w:hAnsi="Times New Roman" w:cs="Times New Roman"/>
          <w:b/>
          <w:bCs/>
          <w:sz w:val="28"/>
          <w:szCs w:val="28"/>
        </w:rPr>
      </w:pPr>
      <w:bookmarkStart w:id="8" w:name="_GoBack"/>
      <w:bookmarkEnd w:id="8"/>
    </w:p>
    <w:p w14:paraId="0C9D43D7" w14:textId="0C52F49D" w:rsidR="00B51CA3" w:rsidRPr="00B51CA3" w:rsidRDefault="00B51CA3">
      <w:pPr>
        <w:rPr>
          <w:rFonts w:ascii="Times New Roman" w:hAnsi="Times New Roman" w:cs="Times New Roman"/>
          <w:b/>
          <w:bCs/>
          <w:sz w:val="28"/>
          <w:szCs w:val="28"/>
        </w:rPr>
      </w:pPr>
      <w:r w:rsidRPr="00B51CA3">
        <w:rPr>
          <w:rFonts w:ascii="Times New Roman" w:hAnsi="Times New Roman" w:cs="Times New Roman"/>
          <w:b/>
          <w:bCs/>
          <w:sz w:val="28"/>
          <w:szCs w:val="28"/>
        </w:rPr>
        <w:t>REFERENCES</w:t>
      </w:r>
    </w:p>
    <w:p w14:paraId="211088F7" w14:textId="56DA715D" w:rsidR="00736141" w:rsidRPr="00736141" w:rsidRDefault="00736141" w:rsidP="00736141">
      <w:pPr>
        <w:rPr>
          <w:rStyle w:val="Strong"/>
          <w:rFonts w:ascii="Times New Roman" w:eastAsiaTheme="majorEastAsia" w:hAnsi="Times New Roman" w:cs="Times New Roman"/>
          <w:kern w:val="0"/>
          <w:sz w:val="28"/>
          <w:szCs w:val="28"/>
          <w:lang w:val="fr-FR"/>
          <w14:ligatures w14:val="none"/>
        </w:rPr>
      </w:pPr>
      <w:r w:rsidRPr="00736141">
        <w:rPr>
          <w:rStyle w:val="Strong"/>
          <w:rFonts w:ascii="Times New Roman" w:eastAsiaTheme="majorEastAsia" w:hAnsi="Times New Roman" w:cs="Times New Roman"/>
          <w:kern w:val="0"/>
          <w:sz w:val="28"/>
          <w:szCs w:val="28"/>
          <w:lang w:val="fr-FR"/>
          <w14:ligatures w14:val="none"/>
        </w:rPr>
        <w:t xml:space="preserve">1. Mignon M. Nobel Prize in Medicine </w:t>
      </w:r>
      <w:proofErr w:type="gramStart"/>
      <w:r w:rsidRPr="00736141">
        <w:rPr>
          <w:rStyle w:val="Strong"/>
          <w:rFonts w:ascii="Times New Roman" w:eastAsiaTheme="majorEastAsia" w:hAnsi="Times New Roman" w:cs="Times New Roman"/>
          <w:kern w:val="0"/>
          <w:sz w:val="28"/>
          <w:szCs w:val="28"/>
          <w:lang w:val="fr-FR"/>
          <w14:ligatures w14:val="none"/>
        </w:rPr>
        <w:t>2005:</w:t>
      </w:r>
      <w:proofErr w:type="gramEnd"/>
      <w:r w:rsidRPr="00736141">
        <w:rPr>
          <w:rStyle w:val="Strong"/>
          <w:rFonts w:ascii="Times New Roman" w:eastAsiaTheme="majorEastAsia" w:hAnsi="Times New Roman" w:cs="Times New Roman"/>
          <w:kern w:val="0"/>
          <w:sz w:val="28"/>
          <w:szCs w:val="28"/>
          <w:lang w:val="fr-FR"/>
          <w14:ligatures w14:val="none"/>
        </w:rPr>
        <w:t xml:space="preserve"> Barry J. Marshall and J. Robin Warren – Helicobacter pylori crowned. Clinical and Biological Gastroenterology. </w:t>
      </w:r>
      <w:proofErr w:type="gramStart"/>
      <w:r w:rsidRPr="00736141">
        <w:rPr>
          <w:rStyle w:val="Strong"/>
          <w:rFonts w:ascii="Times New Roman" w:eastAsiaTheme="majorEastAsia" w:hAnsi="Times New Roman" w:cs="Times New Roman"/>
          <w:kern w:val="0"/>
          <w:sz w:val="28"/>
          <w:szCs w:val="28"/>
          <w:lang w:val="fr-FR"/>
          <w14:ligatures w14:val="none"/>
        </w:rPr>
        <w:t>2005;</w:t>
      </w:r>
      <w:proofErr w:type="gramEnd"/>
      <w:r w:rsidRPr="00736141">
        <w:rPr>
          <w:rStyle w:val="Strong"/>
          <w:rFonts w:ascii="Times New Roman" w:eastAsiaTheme="majorEastAsia" w:hAnsi="Times New Roman" w:cs="Times New Roman"/>
          <w:kern w:val="0"/>
          <w:sz w:val="28"/>
          <w:szCs w:val="28"/>
          <w:lang w:val="fr-FR"/>
          <w14:ligatures w14:val="none"/>
        </w:rPr>
        <w:t>29(12):1235-6.</w:t>
      </w:r>
      <w:r w:rsidR="00B014DB">
        <w:rPr>
          <w:rStyle w:val="Strong"/>
          <w:rFonts w:ascii="Times New Roman" w:eastAsiaTheme="majorEastAsia" w:hAnsi="Times New Roman" w:cs="Times New Roman"/>
          <w:kern w:val="0"/>
          <w:sz w:val="28"/>
          <w:szCs w:val="28"/>
          <w:lang w:val="fr-FR"/>
          <w14:ligatures w14:val="none"/>
        </w:rPr>
        <w:t xml:space="preserve"> </w:t>
      </w:r>
      <w:hyperlink r:id="rId15" w:history="1">
        <w:r w:rsidR="00B014DB" w:rsidRPr="004761E6">
          <w:rPr>
            <w:rStyle w:val="Hyperlink"/>
            <w:rFonts w:ascii="Times New Roman" w:eastAsiaTheme="majorEastAsia" w:hAnsi="Times New Roman" w:cs="Times New Roman"/>
            <w:kern w:val="0"/>
            <w:sz w:val="28"/>
            <w:szCs w:val="28"/>
            <w:lang w:val="fr-FR"/>
            <w14:ligatures w14:val="none"/>
          </w:rPr>
          <w:t>https://doi.org/10.1051/medsci/20052111993</w:t>
        </w:r>
      </w:hyperlink>
      <w:r w:rsidR="00B014DB">
        <w:rPr>
          <w:rStyle w:val="Strong"/>
          <w:rFonts w:ascii="Times New Roman" w:eastAsiaTheme="majorEastAsia" w:hAnsi="Times New Roman" w:cs="Times New Roman"/>
          <w:kern w:val="0"/>
          <w:sz w:val="28"/>
          <w:szCs w:val="28"/>
          <w:lang w:val="fr-FR"/>
          <w14:ligatures w14:val="none"/>
        </w:rPr>
        <w:t xml:space="preserve"> </w:t>
      </w:r>
    </w:p>
    <w:p w14:paraId="12631CA9" w14:textId="77777777" w:rsidR="00736141" w:rsidRPr="00736141" w:rsidRDefault="00736141" w:rsidP="00736141">
      <w:pPr>
        <w:rPr>
          <w:rStyle w:val="Strong"/>
          <w:rFonts w:ascii="Times New Roman" w:eastAsiaTheme="majorEastAsia" w:hAnsi="Times New Roman" w:cs="Times New Roman"/>
          <w:kern w:val="0"/>
          <w:sz w:val="28"/>
          <w:szCs w:val="28"/>
          <w:lang w:val="fr-FR"/>
          <w14:ligatures w14:val="none"/>
        </w:rPr>
      </w:pPr>
      <w:r w:rsidRPr="00736141">
        <w:rPr>
          <w:rStyle w:val="Strong"/>
          <w:rFonts w:ascii="Times New Roman" w:eastAsiaTheme="majorEastAsia" w:hAnsi="Times New Roman" w:cs="Times New Roman"/>
          <w:kern w:val="0"/>
          <w:sz w:val="28"/>
          <w:szCs w:val="28"/>
          <w:lang w:val="fr-FR"/>
          <w14:ligatures w14:val="none"/>
        </w:rPr>
        <w:t xml:space="preserve">2. Katelaris P, Hunt R, Bazzoli F, Cohen H, Fock KM, Gemilyan M, et al. Helicobacter </w:t>
      </w:r>
      <w:proofErr w:type="gramStart"/>
      <w:r w:rsidRPr="00736141">
        <w:rPr>
          <w:rStyle w:val="Strong"/>
          <w:rFonts w:ascii="Times New Roman" w:eastAsiaTheme="majorEastAsia" w:hAnsi="Times New Roman" w:cs="Times New Roman"/>
          <w:kern w:val="0"/>
          <w:sz w:val="28"/>
          <w:szCs w:val="28"/>
          <w:lang w:val="fr-FR"/>
          <w14:ligatures w14:val="none"/>
        </w:rPr>
        <w:t>pylori:</w:t>
      </w:r>
      <w:proofErr w:type="gramEnd"/>
      <w:r w:rsidRPr="00736141">
        <w:rPr>
          <w:rStyle w:val="Strong"/>
          <w:rFonts w:ascii="Times New Roman" w:eastAsiaTheme="majorEastAsia" w:hAnsi="Times New Roman" w:cs="Times New Roman"/>
          <w:kern w:val="0"/>
          <w:sz w:val="28"/>
          <w:szCs w:val="28"/>
          <w:lang w:val="fr-FR"/>
          <w14:ligatures w14:val="none"/>
        </w:rPr>
        <w:t xml:space="preserve"> World Gastroenterology Organisation Global Guideline. J Clin Gastroenterol. </w:t>
      </w:r>
      <w:proofErr w:type="gramStart"/>
      <w:r w:rsidRPr="00736141">
        <w:rPr>
          <w:rStyle w:val="Strong"/>
          <w:rFonts w:ascii="Times New Roman" w:eastAsiaTheme="majorEastAsia" w:hAnsi="Times New Roman" w:cs="Times New Roman"/>
          <w:kern w:val="0"/>
          <w:sz w:val="28"/>
          <w:szCs w:val="28"/>
          <w:lang w:val="fr-FR"/>
          <w14:ligatures w14:val="none"/>
        </w:rPr>
        <w:t>2023;</w:t>
      </w:r>
      <w:proofErr w:type="gramEnd"/>
      <w:r w:rsidRPr="00736141">
        <w:rPr>
          <w:rStyle w:val="Strong"/>
          <w:rFonts w:ascii="Times New Roman" w:eastAsiaTheme="majorEastAsia" w:hAnsi="Times New Roman" w:cs="Times New Roman"/>
          <w:kern w:val="0"/>
          <w:sz w:val="28"/>
          <w:szCs w:val="28"/>
          <w:lang w:val="fr-FR"/>
          <w14:ligatures w14:val="none"/>
        </w:rPr>
        <w:t xml:space="preserve">57(2):111-26. </w:t>
      </w:r>
      <w:proofErr w:type="gramStart"/>
      <w:r w:rsidRPr="00736141">
        <w:rPr>
          <w:rStyle w:val="Strong"/>
          <w:rFonts w:ascii="Times New Roman" w:eastAsiaTheme="majorEastAsia" w:hAnsi="Times New Roman" w:cs="Times New Roman"/>
          <w:kern w:val="0"/>
          <w:sz w:val="28"/>
          <w:szCs w:val="28"/>
          <w:lang w:val="fr-FR"/>
          <w14:ligatures w14:val="none"/>
        </w:rPr>
        <w:t>doi:</w:t>
      </w:r>
      <w:proofErr w:type="gramEnd"/>
      <w:r w:rsidRPr="00736141">
        <w:rPr>
          <w:rStyle w:val="Strong"/>
          <w:rFonts w:ascii="Times New Roman" w:eastAsiaTheme="majorEastAsia" w:hAnsi="Times New Roman" w:cs="Times New Roman"/>
          <w:kern w:val="0"/>
          <w:sz w:val="28"/>
          <w:szCs w:val="28"/>
          <w:lang w:val="fr-FR"/>
          <w14:ligatures w14:val="none"/>
        </w:rPr>
        <w:t>10.1097/MCG.0000000000001802.</w:t>
      </w:r>
    </w:p>
    <w:p w14:paraId="7F4F4A52" w14:textId="7B2A444C" w:rsidR="00736141" w:rsidRPr="00736141" w:rsidRDefault="00736141" w:rsidP="00736141">
      <w:pPr>
        <w:rPr>
          <w:rStyle w:val="Strong"/>
          <w:rFonts w:ascii="Times New Roman" w:eastAsiaTheme="majorEastAsia" w:hAnsi="Times New Roman" w:cs="Times New Roman"/>
          <w:kern w:val="0"/>
          <w:sz w:val="28"/>
          <w:szCs w:val="28"/>
          <w:lang w:val="fr-FR"/>
          <w14:ligatures w14:val="none"/>
        </w:rPr>
      </w:pPr>
      <w:r w:rsidRPr="00736141">
        <w:rPr>
          <w:rStyle w:val="Strong"/>
          <w:rFonts w:ascii="Times New Roman" w:eastAsiaTheme="majorEastAsia" w:hAnsi="Times New Roman" w:cs="Times New Roman"/>
          <w:kern w:val="0"/>
          <w:sz w:val="28"/>
          <w:szCs w:val="28"/>
          <w:lang w:val="fr-FR"/>
          <w14:ligatures w14:val="none"/>
        </w:rPr>
        <w:t xml:space="preserve">3. Smith SI, Ajayi A, Jolaiya T, Onyekwere C, Setshedi M, Schulz C, et al. Helicobacter pylori infection in </w:t>
      </w:r>
      <w:proofErr w:type="gramStart"/>
      <w:r w:rsidRPr="00736141">
        <w:rPr>
          <w:rStyle w:val="Strong"/>
          <w:rFonts w:ascii="Times New Roman" w:eastAsiaTheme="majorEastAsia" w:hAnsi="Times New Roman" w:cs="Times New Roman"/>
          <w:kern w:val="0"/>
          <w:sz w:val="28"/>
          <w:szCs w:val="28"/>
          <w:lang w:val="fr-FR"/>
          <w14:ligatures w14:val="none"/>
        </w:rPr>
        <w:t>Africa:</w:t>
      </w:r>
      <w:proofErr w:type="gramEnd"/>
      <w:r w:rsidRPr="00736141">
        <w:rPr>
          <w:rStyle w:val="Strong"/>
          <w:rFonts w:ascii="Times New Roman" w:eastAsiaTheme="majorEastAsia" w:hAnsi="Times New Roman" w:cs="Times New Roman"/>
          <w:kern w:val="0"/>
          <w:sz w:val="28"/>
          <w:szCs w:val="28"/>
          <w:lang w:val="fr-FR"/>
          <w14:ligatures w14:val="none"/>
        </w:rPr>
        <w:t xml:space="preserve"> update of the current situation and challenges. Dig Dis. </w:t>
      </w:r>
      <w:proofErr w:type="gramStart"/>
      <w:r w:rsidRPr="00736141">
        <w:rPr>
          <w:rStyle w:val="Strong"/>
          <w:rFonts w:ascii="Times New Roman" w:eastAsiaTheme="majorEastAsia" w:hAnsi="Times New Roman" w:cs="Times New Roman"/>
          <w:kern w:val="0"/>
          <w:sz w:val="28"/>
          <w:szCs w:val="28"/>
          <w:lang w:val="fr-FR"/>
          <w14:ligatures w14:val="none"/>
        </w:rPr>
        <w:t>2022;</w:t>
      </w:r>
      <w:proofErr w:type="gramEnd"/>
      <w:r w:rsidRPr="00736141">
        <w:rPr>
          <w:rStyle w:val="Strong"/>
          <w:rFonts w:ascii="Times New Roman" w:eastAsiaTheme="majorEastAsia" w:hAnsi="Times New Roman" w:cs="Times New Roman"/>
          <w:kern w:val="0"/>
          <w:sz w:val="28"/>
          <w:szCs w:val="28"/>
          <w:lang w:val="fr-FR"/>
          <w14:ligatures w14:val="none"/>
        </w:rPr>
        <w:t xml:space="preserve">40(4):535-44. </w:t>
      </w:r>
      <w:hyperlink r:id="rId16" w:history="1">
        <w:r w:rsidR="00F03FFD" w:rsidRPr="004761E6">
          <w:rPr>
            <w:rStyle w:val="Hyperlink"/>
            <w:rFonts w:ascii="Times New Roman" w:eastAsiaTheme="majorEastAsia" w:hAnsi="Times New Roman" w:cs="Times New Roman"/>
            <w:kern w:val="0"/>
            <w:sz w:val="28"/>
            <w:szCs w:val="28"/>
            <w:lang w:val="fr-FR"/>
            <w14:ligatures w14:val="none"/>
          </w:rPr>
          <w:t>https://doi.org/10.1159/000518959</w:t>
        </w:r>
      </w:hyperlink>
      <w:r w:rsidR="00F03FFD">
        <w:rPr>
          <w:rStyle w:val="Strong"/>
          <w:rFonts w:ascii="Times New Roman" w:eastAsiaTheme="majorEastAsia" w:hAnsi="Times New Roman" w:cs="Times New Roman"/>
          <w:kern w:val="0"/>
          <w:sz w:val="28"/>
          <w:szCs w:val="28"/>
          <w:lang w:val="fr-FR"/>
          <w14:ligatures w14:val="none"/>
        </w:rPr>
        <w:t xml:space="preserve"> </w:t>
      </w:r>
    </w:p>
    <w:p w14:paraId="1FE31E35" w14:textId="77777777" w:rsidR="00736141" w:rsidRPr="00736141" w:rsidRDefault="00736141" w:rsidP="00736141">
      <w:pPr>
        <w:rPr>
          <w:rStyle w:val="Strong"/>
          <w:rFonts w:ascii="Times New Roman" w:eastAsiaTheme="majorEastAsia" w:hAnsi="Times New Roman" w:cs="Times New Roman"/>
          <w:kern w:val="0"/>
          <w:sz w:val="28"/>
          <w:szCs w:val="28"/>
          <w:lang w:val="fr-FR"/>
          <w14:ligatures w14:val="none"/>
        </w:rPr>
      </w:pPr>
      <w:r w:rsidRPr="00736141">
        <w:rPr>
          <w:rStyle w:val="Strong"/>
          <w:rFonts w:ascii="Times New Roman" w:eastAsiaTheme="majorEastAsia" w:hAnsi="Times New Roman" w:cs="Times New Roman"/>
          <w:kern w:val="0"/>
          <w:sz w:val="28"/>
          <w:szCs w:val="28"/>
          <w:lang w:val="fr-FR"/>
          <w14:ligatures w14:val="none"/>
        </w:rPr>
        <w:lastRenderedPageBreak/>
        <w:t xml:space="preserve">4. Heluwaert F, Lamarque D. How to improve the management of H. pylori infection between gastroenterologists and general </w:t>
      </w:r>
      <w:proofErr w:type="gramStart"/>
      <w:r w:rsidRPr="00736141">
        <w:rPr>
          <w:rStyle w:val="Strong"/>
          <w:rFonts w:ascii="Times New Roman" w:eastAsiaTheme="majorEastAsia" w:hAnsi="Times New Roman" w:cs="Times New Roman"/>
          <w:kern w:val="0"/>
          <w:sz w:val="28"/>
          <w:szCs w:val="28"/>
          <w:lang w:val="fr-FR"/>
          <w14:ligatures w14:val="none"/>
        </w:rPr>
        <w:t>practitioners?</w:t>
      </w:r>
      <w:proofErr w:type="gramEnd"/>
      <w:r w:rsidRPr="00736141">
        <w:rPr>
          <w:rStyle w:val="Strong"/>
          <w:rFonts w:ascii="Times New Roman" w:eastAsiaTheme="majorEastAsia" w:hAnsi="Times New Roman" w:cs="Times New Roman"/>
          <w:kern w:val="0"/>
          <w:sz w:val="28"/>
          <w:szCs w:val="28"/>
          <w:lang w:val="fr-FR"/>
          <w14:ligatures w14:val="none"/>
        </w:rPr>
        <w:t xml:space="preserve"> Hepato-Gastro Oncol Dig. </w:t>
      </w:r>
      <w:proofErr w:type="gramStart"/>
      <w:r w:rsidRPr="00736141">
        <w:rPr>
          <w:rStyle w:val="Strong"/>
          <w:rFonts w:ascii="Times New Roman" w:eastAsiaTheme="majorEastAsia" w:hAnsi="Times New Roman" w:cs="Times New Roman"/>
          <w:kern w:val="0"/>
          <w:sz w:val="28"/>
          <w:szCs w:val="28"/>
          <w:lang w:val="fr-FR"/>
          <w14:ligatures w14:val="none"/>
        </w:rPr>
        <w:t>2015;</w:t>
      </w:r>
      <w:proofErr w:type="gramEnd"/>
      <w:r w:rsidRPr="00736141">
        <w:rPr>
          <w:rStyle w:val="Strong"/>
          <w:rFonts w:ascii="Times New Roman" w:eastAsiaTheme="majorEastAsia" w:hAnsi="Times New Roman" w:cs="Times New Roman"/>
          <w:kern w:val="0"/>
          <w:sz w:val="28"/>
          <w:szCs w:val="28"/>
          <w:lang w:val="fr-FR"/>
          <w14:ligatures w14:val="none"/>
        </w:rPr>
        <w:t>22(7):551-8.</w:t>
      </w:r>
    </w:p>
    <w:p w14:paraId="670A98D0" w14:textId="76673F36" w:rsidR="00736141" w:rsidRPr="00736141" w:rsidRDefault="00736141" w:rsidP="00736141">
      <w:pPr>
        <w:rPr>
          <w:rStyle w:val="Strong"/>
          <w:rFonts w:ascii="Times New Roman" w:eastAsiaTheme="majorEastAsia" w:hAnsi="Times New Roman" w:cs="Times New Roman"/>
          <w:kern w:val="0"/>
          <w:sz w:val="28"/>
          <w:szCs w:val="28"/>
          <w:lang w:val="fr-FR"/>
          <w14:ligatures w14:val="none"/>
        </w:rPr>
      </w:pPr>
      <w:r w:rsidRPr="00736141">
        <w:rPr>
          <w:rStyle w:val="Strong"/>
          <w:rFonts w:ascii="Times New Roman" w:eastAsiaTheme="majorEastAsia" w:hAnsi="Times New Roman" w:cs="Times New Roman"/>
          <w:kern w:val="0"/>
          <w:sz w:val="28"/>
          <w:szCs w:val="28"/>
          <w:lang w:val="fr-FR"/>
          <w14:ligatures w14:val="none"/>
        </w:rPr>
        <w:t xml:space="preserve">5. Lyu QJ, Pu QH, Zhong XF, Zhang J. Efficacy and Safety of Vonoprazan-Based versus Proton Pump Inhibitor-Based Triple Therapy for Helicobacter pylori </w:t>
      </w:r>
      <w:proofErr w:type="gramStart"/>
      <w:r w:rsidRPr="00736141">
        <w:rPr>
          <w:rStyle w:val="Strong"/>
          <w:rFonts w:ascii="Times New Roman" w:eastAsiaTheme="majorEastAsia" w:hAnsi="Times New Roman" w:cs="Times New Roman"/>
          <w:kern w:val="0"/>
          <w:sz w:val="28"/>
          <w:szCs w:val="28"/>
          <w:lang w:val="fr-FR"/>
          <w14:ligatures w14:val="none"/>
        </w:rPr>
        <w:t>Eradication:</w:t>
      </w:r>
      <w:proofErr w:type="gramEnd"/>
      <w:r w:rsidRPr="00736141">
        <w:rPr>
          <w:rStyle w:val="Strong"/>
          <w:rFonts w:ascii="Times New Roman" w:eastAsiaTheme="majorEastAsia" w:hAnsi="Times New Roman" w:cs="Times New Roman"/>
          <w:kern w:val="0"/>
          <w:sz w:val="28"/>
          <w:szCs w:val="28"/>
          <w:lang w:val="fr-FR"/>
          <w14:ligatures w14:val="none"/>
        </w:rPr>
        <w:t xml:space="preserve"> A Meta-Analysis of Randomized Clinical Trials. Biomed Res Int. 2019 May </w:t>
      </w:r>
      <w:proofErr w:type="gramStart"/>
      <w:r w:rsidRPr="00736141">
        <w:rPr>
          <w:rStyle w:val="Strong"/>
          <w:rFonts w:ascii="Times New Roman" w:eastAsiaTheme="majorEastAsia" w:hAnsi="Times New Roman" w:cs="Times New Roman"/>
          <w:kern w:val="0"/>
          <w:sz w:val="28"/>
          <w:szCs w:val="28"/>
          <w:lang w:val="fr-FR"/>
          <w14:ligatures w14:val="none"/>
        </w:rPr>
        <w:t>9;</w:t>
      </w:r>
      <w:proofErr w:type="gramEnd"/>
      <w:r w:rsidRPr="00736141">
        <w:rPr>
          <w:rStyle w:val="Strong"/>
          <w:rFonts w:ascii="Times New Roman" w:eastAsiaTheme="majorEastAsia" w:hAnsi="Times New Roman" w:cs="Times New Roman"/>
          <w:kern w:val="0"/>
          <w:sz w:val="28"/>
          <w:szCs w:val="28"/>
          <w:lang w:val="fr-FR"/>
          <w14:ligatures w14:val="none"/>
        </w:rPr>
        <w:t xml:space="preserve">2019:9781212. </w:t>
      </w:r>
      <w:hyperlink r:id="rId17" w:history="1">
        <w:r w:rsidR="00531BD8" w:rsidRPr="004761E6">
          <w:rPr>
            <w:rStyle w:val="Hyperlink"/>
            <w:rFonts w:ascii="Times New Roman" w:eastAsiaTheme="majorEastAsia" w:hAnsi="Times New Roman" w:cs="Times New Roman"/>
            <w:kern w:val="0"/>
            <w:sz w:val="28"/>
            <w:szCs w:val="28"/>
            <w:lang w:val="fr-FR"/>
            <w14:ligatures w14:val="none"/>
          </w:rPr>
          <w:t>https://doi.org/10.1155/2019/9781212</w:t>
        </w:r>
      </w:hyperlink>
      <w:r w:rsidR="00531BD8">
        <w:rPr>
          <w:rStyle w:val="Strong"/>
          <w:rFonts w:ascii="Times New Roman" w:eastAsiaTheme="majorEastAsia" w:hAnsi="Times New Roman" w:cs="Times New Roman"/>
          <w:kern w:val="0"/>
          <w:sz w:val="28"/>
          <w:szCs w:val="28"/>
          <w:lang w:val="fr-FR"/>
          <w14:ligatures w14:val="none"/>
        </w:rPr>
        <w:t xml:space="preserve"> </w:t>
      </w:r>
      <w:r w:rsidRPr="00736141">
        <w:rPr>
          <w:rStyle w:val="Strong"/>
          <w:rFonts w:ascii="Times New Roman" w:eastAsiaTheme="majorEastAsia" w:hAnsi="Times New Roman" w:cs="Times New Roman"/>
          <w:kern w:val="0"/>
          <w:sz w:val="28"/>
          <w:szCs w:val="28"/>
          <w:lang w:val="fr-FR"/>
          <w14:ligatures w14:val="none"/>
        </w:rPr>
        <w:t xml:space="preserve"> PMID: </w:t>
      </w:r>
      <w:proofErr w:type="gramStart"/>
      <w:r w:rsidRPr="00736141">
        <w:rPr>
          <w:rStyle w:val="Strong"/>
          <w:rFonts w:ascii="Times New Roman" w:eastAsiaTheme="majorEastAsia" w:hAnsi="Times New Roman" w:cs="Times New Roman"/>
          <w:kern w:val="0"/>
          <w:sz w:val="28"/>
          <w:szCs w:val="28"/>
          <w:lang w:val="fr-FR"/>
          <w14:ligatures w14:val="none"/>
        </w:rPr>
        <w:t>31211144;</w:t>
      </w:r>
      <w:proofErr w:type="gramEnd"/>
      <w:r w:rsidRPr="00736141">
        <w:rPr>
          <w:rStyle w:val="Strong"/>
          <w:rFonts w:ascii="Times New Roman" w:eastAsiaTheme="majorEastAsia" w:hAnsi="Times New Roman" w:cs="Times New Roman"/>
          <w:kern w:val="0"/>
          <w:sz w:val="28"/>
          <w:szCs w:val="28"/>
          <w:lang w:val="fr-FR"/>
          <w14:ligatures w14:val="none"/>
        </w:rPr>
        <w:t xml:space="preserve"> PMCID: PMC6532346.</w:t>
      </w:r>
    </w:p>
    <w:p w14:paraId="1C95614B" w14:textId="3F3F32E7" w:rsidR="00736141" w:rsidRPr="00736141" w:rsidRDefault="00736141" w:rsidP="00736141">
      <w:pPr>
        <w:rPr>
          <w:rStyle w:val="Strong"/>
          <w:rFonts w:ascii="Times New Roman" w:eastAsiaTheme="majorEastAsia" w:hAnsi="Times New Roman" w:cs="Times New Roman"/>
          <w:kern w:val="0"/>
          <w:sz w:val="28"/>
          <w:szCs w:val="28"/>
          <w:lang w:val="fr-FR"/>
          <w14:ligatures w14:val="none"/>
        </w:rPr>
      </w:pPr>
      <w:r w:rsidRPr="00736141">
        <w:rPr>
          <w:rStyle w:val="Strong"/>
          <w:rFonts w:ascii="Times New Roman" w:eastAsiaTheme="majorEastAsia" w:hAnsi="Times New Roman" w:cs="Times New Roman"/>
          <w:kern w:val="0"/>
          <w:sz w:val="28"/>
          <w:szCs w:val="28"/>
          <w:lang w:val="fr-FR"/>
          <w14:ligatures w14:val="none"/>
        </w:rPr>
        <w:t xml:space="preserve">6. Warren JR, Marshall B. Unidentified curved bacilli on gastric epithelium in active chronic gastritis. Lancet. </w:t>
      </w:r>
      <w:proofErr w:type="gramStart"/>
      <w:r w:rsidRPr="00736141">
        <w:rPr>
          <w:rStyle w:val="Strong"/>
          <w:rFonts w:ascii="Times New Roman" w:eastAsiaTheme="majorEastAsia" w:hAnsi="Times New Roman" w:cs="Times New Roman"/>
          <w:kern w:val="0"/>
          <w:sz w:val="28"/>
          <w:szCs w:val="28"/>
          <w:lang w:val="fr-FR"/>
          <w14:ligatures w14:val="none"/>
        </w:rPr>
        <w:t>1983;</w:t>
      </w:r>
      <w:proofErr w:type="gramEnd"/>
      <w:r w:rsidRPr="00736141">
        <w:rPr>
          <w:rStyle w:val="Strong"/>
          <w:rFonts w:ascii="Times New Roman" w:eastAsiaTheme="majorEastAsia" w:hAnsi="Times New Roman" w:cs="Times New Roman"/>
          <w:kern w:val="0"/>
          <w:sz w:val="28"/>
          <w:szCs w:val="28"/>
          <w:lang w:val="fr-FR"/>
          <w14:ligatures w14:val="none"/>
        </w:rPr>
        <w:t xml:space="preserve">321(8336):1273-5. </w:t>
      </w:r>
      <w:hyperlink r:id="rId18" w:history="1">
        <w:r w:rsidR="005F76F4" w:rsidRPr="004761E6">
          <w:rPr>
            <w:rStyle w:val="Hyperlink"/>
            <w:rFonts w:ascii="Times New Roman" w:eastAsiaTheme="majorEastAsia" w:hAnsi="Times New Roman" w:cs="Times New Roman"/>
            <w:kern w:val="0"/>
            <w:sz w:val="28"/>
            <w:szCs w:val="28"/>
            <w:lang w:val="fr-FR"/>
            <w14:ligatures w14:val="none"/>
          </w:rPr>
          <w:t>https://doi.org/10.1016/S0140-6736(83)92719-8</w:t>
        </w:r>
      </w:hyperlink>
      <w:r w:rsidR="005F76F4">
        <w:rPr>
          <w:rStyle w:val="Strong"/>
          <w:rFonts w:ascii="Times New Roman" w:eastAsiaTheme="majorEastAsia" w:hAnsi="Times New Roman" w:cs="Times New Roman"/>
          <w:kern w:val="0"/>
          <w:sz w:val="28"/>
          <w:szCs w:val="28"/>
          <w:lang w:val="fr-FR"/>
          <w14:ligatures w14:val="none"/>
        </w:rPr>
        <w:t xml:space="preserve"> </w:t>
      </w:r>
    </w:p>
    <w:p w14:paraId="63F15E2C" w14:textId="7A7BDD39" w:rsidR="00BC6CCB" w:rsidRPr="00BC6CCB" w:rsidRDefault="00736141" w:rsidP="00736141">
      <w:pPr>
        <w:rPr>
          <w:rFonts w:ascii="Times New Roman" w:hAnsi="Times New Roman" w:cs="Times New Roman"/>
          <w:sz w:val="28"/>
          <w:szCs w:val="28"/>
        </w:rPr>
      </w:pPr>
      <w:r w:rsidRPr="00736141">
        <w:rPr>
          <w:rStyle w:val="Strong"/>
          <w:rFonts w:ascii="Times New Roman" w:eastAsiaTheme="majorEastAsia" w:hAnsi="Times New Roman" w:cs="Times New Roman"/>
          <w:kern w:val="0"/>
          <w:sz w:val="28"/>
          <w:szCs w:val="28"/>
          <w:lang w:val="fr-FR"/>
          <w14:ligatures w14:val="none"/>
        </w:rPr>
        <w:t>7. De la Guyane E, Bastaraud H. General practitioners' practices in Guadeloupe in the management of patients infected with Helicobacter pylori [medical thesis]. Pointe-à-</w:t>
      </w:r>
      <w:proofErr w:type="gramStart"/>
      <w:r w:rsidRPr="00736141">
        <w:rPr>
          <w:rStyle w:val="Strong"/>
          <w:rFonts w:ascii="Times New Roman" w:eastAsiaTheme="majorEastAsia" w:hAnsi="Times New Roman" w:cs="Times New Roman"/>
          <w:kern w:val="0"/>
          <w:sz w:val="28"/>
          <w:szCs w:val="28"/>
          <w:lang w:val="fr-FR"/>
          <w14:ligatures w14:val="none"/>
        </w:rPr>
        <w:t>Pitre:</w:t>
      </w:r>
      <w:proofErr w:type="gramEnd"/>
      <w:r w:rsidRPr="00736141">
        <w:rPr>
          <w:rStyle w:val="Strong"/>
          <w:rFonts w:ascii="Times New Roman" w:eastAsiaTheme="majorEastAsia" w:hAnsi="Times New Roman" w:cs="Times New Roman"/>
          <w:kern w:val="0"/>
          <w:sz w:val="28"/>
          <w:szCs w:val="28"/>
          <w:lang w:val="fr-FR"/>
          <w14:ligatures w14:val="none"/>
        </w:rPr>
        <w:t xml:space="preserve"> University of the French Antilles; 2015.</w:t>
      </w:r>
      <w:r w:rsidR="00B14C0F">
        <w:rPr>
          <w:rStyle w:val="Strong"/>
          <w:rFonts w:ascii="Times New Roman" w:eastAsiaTheme="majorEastAsia" w:hAnsi="Times New Roman" w:cs="Times New Roman"/>
          <w:kern w:val="0"/>
          <w:sz w:val="28"/>
          <w:szCs w:val="28"/>
          <w:lang w:val="fr-FR"/>
          <w14:ligatures w14:val="none"/>
        </w:rPr>
        <w:t xml:space="preserve"> </w:t>
      </w:r>
      <w:hyperlink r:id="rId19" w:history="1">
        <w:r w:rsidR="00B14C0F" w:rsidRPr="004761E6">
          <w:rPr>
            <w:rStyle w:val="Hyperlink"/>
            <w:rFonts w:ascii="Times New Roman" w:eastAsiaTheme="majorEastAsia" w:hAnsi="Times New Roman" w:cs="Times New Roman"/>
            <w:kern w:val="0"/>
            <w:sz w:val="28"/>
            <w:szCs w:val="28"/>
            <w:lang w:val="fr-FR"/>
            <w14:ligatures w14:val="none"/>
          </w:rPr>
          <w:t>https://www.idref.fr/278698980</w:t>
        </w:r>
      </w:hyperlink>
      <w:r w:rsidR="00B14C0F">
        <w:rPr>
          <w:rStyle w:val="Strong"/>
          <w:rFonts w:ascii="Times New Roman" w:eastAsiaTheme="majorEastAsia" w:hAnsi="Times New Roman" w:cs="Times New Roman"/>
          <w:kern w:val="0"/>
          <w:sz w:val="28"/>
          <w:szCs w:val="28"/>
          <w:lang w:val="fr-FR"/>
          <w14:ligatures w14:val="none"/>
        </w:rPr>
        <w:t xml:space="preserve"> </w:t>
      </w:r>
    </w:p>
    <w:sectPr w:rsidR="00BC6CCB" w:rsidRPr="00BC6CCB">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093B" w14:textId="77777777" w:rsidR="00C578EF" w:rsidRDefault="00C578EF" w:rsidP="00657B0E">
      <w:pPr>
        <w:spacing w:after="0" w:line="240" w:lineRule="auto"/>
      </w:pPr>
      <w:r>
        <w:separator/>
      </w:r>
    </w:p>
  </w:endnote>
  <w:endnote w:type="continuationSeparator" w:id="0">
    <w:p w14:paraId="51160325" w14:textId="77777777" w:rsidR="00C578EF" w:rsidRDefault="00C578EF" w:rsidP="0065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4D47" w14:textId="77777777" w:rsidR="008B1BC4" w:rsidRDefault="008B1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8BB7F" w14:textId="77777777" w:rsidR="008B1BC4" w:rsidRDefault="008B1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D606E" w14:textId="77777777" w:rsidR="008B1BC4" w:rsidRDefault="008B1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04DB1" w14:textId="77777777" w:rsidR="00C578EF" w:rsidRDefault="00C578EF" w:rsidP="00657B0E">
      <w:pPr>
        <w:spacing w:after="0" w:line="240" w:lineRule="auto"/>
      </w:pPr>
      <w:r>
        <w:separator/>
      </w:r>
    </w:p>
  </w:footnote>
  <w:footnote w:type="continuationSeparator" w:id="0">
    <w:p w14:paraId="7F6BED3A" w14:textId="77777777" w:rsidR="00C578EF" w:rsidRDefault="00C578EF" w:rsidP="00657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1BD0" w14:textId="518E64CB" w:rsidR="008B1BC4" w:rsidRDefault="008B1BC4">
    <w:pPr>
      <w:pStyle w:val="Header"/>
    </w:pPr>
    <w:r>
      <w:rPr>
        <w:noProof/>
      </w:rPr>
      <w:pict w14:anchorId="2A928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799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08CD" w14:textId="278D6A88" w:rsidR="008B1BC4" w:rsidRDefault="008B1BC4">
    <w:pPr>
      <w:pStyle w:val="Header"/>
    </w:pPr>
    <w:r>
      <w:rPr>
        <w:noProof/>
      </w:rPr>
      <w:pict w14:anchorId="519DA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799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9724" w14:textId="5612B35C" w:rsidR="008B1BC4" w:rsidRDefault="008B1BC4">
    <w:pPr>
      <w:pStyle w:val="Header"/>
    </w:pPr>
    <w:r>
      <w:rPr>
        <w:noProof/>
      </w:rPr>
      <w:pict w14:anchorId="05E8F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799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108D0"/>
    <w:multiLevelType w:val="hybridMultilevel"/>
    <w:tmpl w:val="3A62399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DD062FA"/>
    <w:multiLevelType w:val="hybridMultilevel"/>
    <w:tmpl w:val="969677D2"/>
    <w:lvl w:ilvl="0" w:tplc="B41C423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99"/>
    <w:rsid w:val="00042654"/>
    <w:rsid w:val="000426DA"/>
    <w:rsid w:val="00045FC9"/>
    <w:rsid w:val="000A2CA8"/>
    <w:rsid w:val="00130299"/>
    <w:rsid w:val="001F07FF"/>
    <w:rsid w:val="001F0AC0"/>
    <w:rsid w:val="003E4812"/>
    <w:rsid w:val="003F0E79"/>
    <w:rsid w:val="0043072E"/>
    <w:rsid w:val="00444D8A"/>
    <w:rsid w:val="004B0948"/>
    <w:rsid w:val="00531BD8"/>
    <w:rsid w:val="00571712"/>
    <w:rsid w:val="005F76F4"/>
    <w:rsid w:val="00607873"/>
    <w:rsid w:val="00644A62"/>
    <w:rsid w:val="00647791"/>
    <w:rsid w:val="00657B0E"/>
    <w:rsid w:val="0068605D"/>
    <w:rsid w:val="00697E5A"/>
    <w:rsid w:val="00736141"/>
    <w:rsid w:val="007364A4"/>
    <w:rsid w:val="0075779F"/>
    <w:rsid w:val="00764BB0"/>
    <w:rsid w:val="007D2F74"/>
    <w:rsid w:val="007F6984"/>
    <w:rsid w:val="00816D4F"/>
    <w:rsid w:val="008279B4"/>
    <w:rsid w:val="008643C7"/>
    <w:rsid w:val="008760E7"/>
    <w:rsid w:val="00893683"/>
    <w:rsid w:val="00895625"/>
    <w:rsid w:val="008B1BC4"/>
    <w:rsid w:val="00955487"/>
    <w:rsid w:val="00965983"/>
    <w:rsid w:val="009832DA"/>
    <w:rsid w:val="00996142"/>
    <w:rsid w:val="009D2164"/>
    <w:rsid w:val="00A75349"/>
    <w:rsid w:val="00B014DB"/>
    <w:rsid w:val="00B02E7F"/>
    <w:rsid w:val="00B07BDA"/>
    <w:rsid w:val="00B12B3D"/>
    <w:rsid w:val="00B14C0F"/>
    <w:rsid w:val="00B40E3D"/>
    <w:rsid w:val="00B51CA3"/>
    <w:rsid w:val="00B63F96"/>
    <w:rsid w:val="00BC6CCB"/>
    <w:rsid w:val="00BE6E38"/>
    <w:rsid w:val="00BF3F30"/>
    <w:rsid w:val="00C01748"/>
    <w:rsid w:val="00C578EF"/>
    <w:rsid w:val="00CB67DB"/>
    <w:rsid w:val="00CE1695"/>
    <w:rsid w:val="00D31D1A"/>
    <w:rsid w:val="00D84937"/>
    <w:rsid w:val="00D96EBA"/>
    <w:rsid w:val="00E44805"/>
    <w:rsid w:val="00E90967"/>
    <w:rsid w:val="00F03FFD"/>
    <w:rsid w:val="00FD4154"/>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DE232"/>
  <w15:chartTrackingRefBased/>
  <w15:docId w15:val="{826D789A-00F1-194F-80C0-1CE3BCE9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ML"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2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02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02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02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02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0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2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2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02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2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299"/>
    <w:rPr>
      <w:rFonts w:eastAsiaTheme="majorEastAsia" w:cstheme="majorBidi"/>
      <w:color w:val="272727" w:themeColor="text1" w:themeTint="D8"/>
    </w:rPr>
  </w:style>
  <w:style w:type="paragraph" w:styleId="Title">
    <w:name w:val="Title"/>
    <w:basedOn w:val="Normal"/>
    <w:next w:val="Normal"/>
    <w:link w:val="TitleChar"/>
    <w:uiPriority w:val="10"/>
    <w:qFormat/>
    <w:rsid w:val="0013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299"/>
    <w:pPr>
      <w:spacing w:before="160"/>
      <w:jc w:val="center"/>
    </w:pPr>
    <w:rPr>
      <w:i/>
      <w:iCs/>
      <w:color w:val="404040" w:themeColor="text1" w:themeTint="BF"/>
    </w:rPr>
  </w:style>
  <w:style w:type="character" w:customStyle="1" w:styleId="QuoteChar">
    <w:name w:val="Quote Char"/>
    <w:basedOn w:val="DefaultParagraphFont"/>
    <w:link w:val="Quote"/>
    <w:uiPriority w:val="29"/>
    <w:rsid w:val="00130299"/>
    <w:rPr>
      <w:i/>
      <w:iCs/>
      <w:color w:val="404040" w:themeColor="text1" w:themeTint="BF"/>
    </w:rPr>
  </w:style>
  <w:style w:type="paragraph" w:styleId="ListParagraph">
    <w:name w:val="List Paragraph"/>
    <w:basedOn w:val="Normal"/>
    <w:uiPriority w:val="34"/>
    <w:qFormat/>
    <w:rsid w:val="00130299"/>
    <w:pPr>
      <w:ind w:left="720"/>
      <w:contextualSpacing/>
    </w:pPr>
  </w:style>
  <w:style w:type="character" w:styleId="IntenseEmphasis">
    <w:name w:val="Intense Emphasis"/>
    <w:basedOn w:val="DefaultParagraphFont"/>
    <w:uiPriority w:val="21"/>
    <w:qFormat/>
    <w:rsid w:val="00130299"/>
    <w:rPr>
      <w:i/>
      <w:iCs/>
      <w:color w:val="2F5496" w:themeColor="accent1" w:themeShade="BF"/>
    </w:rPr>
  </w:style>
  <w:style w:type="paragraph" w:styleId="IntenseQuote">
    <w:name w:val="Intense Quote"/>
    <w:basedOn w:val="Normal"/>
    <w:next w:val="Normal"/>
    <w:link w:val="IntenseQuoteChar"/>
    <w:uiPriority w:val="30"/>
    <w:qFormat/>
    <w:rsid w:val="00130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0299"/>
    <w:rPr>
      <w:i/>
      <w:iCs/>
      <w:color w:val="2F5496" w:themeColor="accent1" w:themeShade="BF"/>
    </w:rPr>
  </w:style>
  <w:style w:type="character" w:styleId="IntenseReference">
    <w:name w:val="Intense Reference"/>
    <w:basedOn w:val="DefaultParagraphFont"/>
    <w:uiPriority w:val="32"/>
    <w:qFormat/>
    <w:rsid w:val="00130299"/>
    <w:rPr>
      <w:b/>
      <w:bCs/>
      <w:smallCaps/>
      <w:color w:val="2F5496" w:themeColor="accent1" w:themeShade="BF"/>
      <w:spacing w:val="5"/>
    </w:rPr>
  </w:style>
  <w:style w:type="paragraph" w:customStyle="1" w:styleId="s10">
    <w:name w:val="s10"/>
    <w:basedOn w:val="Normal"/>
    <w:rsid w:val="00130299"/>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130299"/>
  </w:style>
  <w:style w:type="paragraph" w:customStyle="1" w:styleId="s12">
    <w:name w:val="s12"/>
    <w:basedOn w:val="Normal"/>
    <w:rsid w:val="00130299"/>
    <w:pPr>
      <w:spacing w:before="100" w:beforeAutospacing="1" w:after="100" w:afterAutospacing="1" w:line="240" w:lineRule="auto"/>
    </w:pPr>
    <w:rPr>
      <w:rFonts w:ascii="Times New Roman" w:hAnsi="Times New Roman" w:cs="Times New Roman"/>
      <w:kern w:val="0"/>
      <w14:ligatures w14:val="none"/>
    </w:rPr>
  </w:style>
  <w:style w:type="paragraph" w:customStyle="1" w:styleId="s15">
    <w:name w:val="s15"/>
    <w:basedOn w:val="Normal"/>
    <w:rsid w:val="001302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BC6CCB"/>
    <w:rPr>
      <w:b/>
      <w:bCs/>
    </w:rPr>
  </w:style>
  <w:style w:type="paragraph" w:styleId="NormalWeb">
    <w:name w:val="Normal (Web)"/>
    <w:basedOn w:val="Normal"/>
    <w:uiPriority w:val="99"/>
    <w:unhideWhenUsed/>
    <w:rsid w:val="00BC6CCB"/>
    <w:pPr>
      <w:spacing w:before="100" w:beforeAutospacing="1" w:after="100" w:afterAutospacing="1" w:line="240" w:lineRule="auto"/>
    </w:pPr>
    <w:rPr>
      <w:rFonts w:ascii="Times New Roman" w:eastAsia="Times New Roman" w:hAnsi="Times New Roman" w:cs="Times New Roman"/>
      <w:kern w:val="0"/>
      <w:lang w:val="fr-FR"/>
      <w14:ligatures w14:val="none"/>
    </w:rPr>
  </w:style>
  <w:style w:type="character" w:styleId="Emphasis">
    <w:name w:val="Emphasis"/>
    <w:basedOn w:val="DefaultParagraphFont"/>
    <w:uiPriority w:val="20"/>
    <w:qFormat/>
    <w:rsid w:val="00BC6CCB"/>
    <w:rPr>
      <w:i/>
      <w:iCs/>
    </w:rPr>
  </w:style>
  <w:style w:type="table" w:customStyle="1" w:styleId="Style21">
    <w:name w:val="Style21"/>
    <w:basedOn w:val="TableNormal"/>
    <w:uiPriority w:val="99"/>
    <w:rsid w:val="00BE6E38"/>
    <w:pPr>
      <w:spacing w:after="0" w:line="240" w:lineRule="auto"/>
    </w:pPr>
    <w:rPr>
      <w:rFonts w:eastAsiaTheme="minorHAnsi"/>
      <w:kern w:val="0"/>
      <w:sz w:val="22"/>
      <w:szCs w:val="22"/>
      <w:lang w:val="fr-FR" w:eastAsia="en-US"/>
      <w14:ligatures w14:val="none"/>
    </w:rPr>
    <w:tblPr>
      <w:tblBorders>
        <w:top w:val="thinThickSmallGap" w:sz="18" w:space="0" w:color="auto"/>
        <w:bottom w:val="thinThickSmallGap" w:sz="18" w:space="0" w:color="auto"/>
      </w:tblBorders>
    </w:tblPr>
    <w:tblStylePr w:type="firstRow">
      <w:tblPr/>
      <w:tcPr>
        <w:tcBorders>
          <w:bottom w:val="thinThickSmallGap" w:sz="12" w:space="0" w:color="auto"/>
          <w:insideH w:val="nil"/>
          <w:insideV w:val="nil"/>
          <w:tl2br w:val="nil"/>
        </w:tcBorders>
      </w:tcPr>
    </w:tblStylePr>
  </w:style>
  <w:style w:type="paragraph" w:styleId="Caption">
    <w:name w:val="caption"/>
    <w:basedOn w:val="Normal"/>
    <w:next w:val="Normal"/>
    <w:uiPriority w:val="35"/>
    <w:unhideWhenUsed/>
    <w:qFormat/>
    <w:rsid w:val="00BC6CCB"/>
    <w:pPr>
      <w:spacing w:after="200" w:line="240" w:lineRule="auto"/>
    </w:pPr>
    <w:rPr>
      <w:i/>
      <w:iCs/>
      <w:color w:val="44546A" w:themeColor="text2"/>
      <w:sz w:val="18"/>
      <w:szCs w:val="18"/>
      <w:lang w:val="fr-FR"/>
    </w:rPr>
  </w:style>
  <w:style w:type="paragraph" w:styleId="Header">
    <w:name w:val="header"/>
    <w:basedOn w:val="Normal"/>
    <w:link w:val="HeaderChar"/>
    <w:uiPriority w:val="99"/>
    <w:unhideWhenUsed/>
    <w:rsid w:val="00657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7B0E"/>
  </w:style>
  <w:style w:type="paragraph" w:styleId="Footer">
    <w:name w:val="footer"/>
    <w:basedOn w:val="Normal"/>
    <w:link w:val="FooterChar"/>
    <w:uiPriority w:val="99"/>
    <w:unhideWhenUsed/>
    <w:rsid w:val="00657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7B0E"/>
  </w:style>
  <w:style w:type="table" w:customStyle="1" w:styleId="Style211">
    <w:name w:val="Style211"/>
    <w:basedOn w:val="TableNormal"/>
    <w:uiPriority w:val="99"/>
    <w:rsid w:val="007364A4"/>
    <w:pPr>
      <w:spacing w:after="0" w:line="240" w:lineRule="auto"/>
    </w:pPr>
    <w:rPr>
      <w:rFonts w:eastAsiaTheme="minorHAnsi"/>
      <w:kern w:val="0"/>
      <w:sz w:val="22"/>
      <w:szCs w:val="22"/>
      <w:lang w:val="fr-FR" w:eastAsia="en-US"/>
      <w14:ligatures w14:val="none"/>
    </w:rPr>
    <w:tblPr>
      <w:tblBorders>
        <w:top w:val="thinThickSmallGap" w:sz="18" w:space="0" w:color="auto"/>
        <w:bottom w:val="thinThickSmallGap" w:sz="18" w:space="0" w:color="auto"/>
      </w:tblBorders>
    </w:tblPr>
    <w:tblStylePr w:type="firstRow">
      <w:tblPr/>
      <w:tcPr>
        <w:tcBorders>
          <w:bottom w:val="thinThickSmallGap" w:sz="24" w:space="0" w:color="auto"/>
          <w:insideH w:val="nil"/>
          <w:insideV w:val="nil"/>
          <w:tl2br w:val="nil"/>
        </w:tcBorders>
      </w:tcPr>
    </w:tblStylePr>
  </w:style>
  <w:style w:type="character" w:styleId="Hyperlink">
    <w:name w:val="Hyperlink"/>
    <w:basedOn w:val="DefaultParagraphFont"/>
    <w:uiPriority w:val="99"/>
    <w:unhideWhenUsed/>
    <w:rsid w:val="00E44805"/>
    <w:rPr>
      <w:color w:val="0563C1" w:themeColor="hyperlink"/>
      <w:u w:val="single"/>
    </w:rPr>
  </w:style>
  <w:style w:type="character" w:styleId="UnresolvedMention">
    <w:name w:val="Unresolved Mention"/>
    <w:basedOn w:val="DefaultParagraphFont"/>
    <w:uiPriority w:val="99"/>
    <w:semiHidden/>
    <w:unhideWhenUsed/>
    <w:rsid w:val="00E44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1016/S0140-6736(83)92719-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155/2019/978121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59/00051895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51/medsci/20052111993" TargetMode="Externa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www.idref.fr/27869898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Feuil1!$E$4</c:f>
              <c:strCache>
                <c:ptCount val="1"/>
                <c:pt idx="0">
                  <c:v>Effectif</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Feuil1!$D$5:$D$10</c:f>
              <c:strCache>
                <c:ptCount val="6"/>
                <c:pt idx="0">
                  <c:v>CSREF Commune I</c:v>
                </c:pt>
                <c:pt idx="1">
                  <c:v>CSREF Commune III</c:v>
                </c:pt>
                <c:pt idx="2">
                  <c:v>CSREF Commune V</c:v>
                </c:pt>
                <c:pt idx="3">
                  <c:v>CSREF Commune VI</c:v>
                </c:pt>
                <c:pt idx="4">
                  <c:v>CSREF Commune II</c:v>
                </c:pt>
                <c:pt idx="5">
                  <c:v>CSREF Commune IV</c:v>
                </c:pt>
              </c:strCache>
            </c:strRef>
          </c:cat>
          <c:val>
            <c:numRef>
              <c:f>Feuil1!$E$5:$E$10</c:f>
              <c:numCache>
                <c:formatCode>General</c:formatCode>
                <c:ptCount val="6"/>
                <c:pt idx="0">
                  <c:v>23</c:v>
                </c:pt>
                <c:pt idx="1">
                  <c:v>20</c:v>
                </c:pt>
                <c:pt idx="2">
                  <c:v>19</c:v>
                </c:pt>
                <c:pt idx="3">
                  <c:v>19</c:v>
                </c:pt>
                <c:pt idx="4">
                  <c:v>14</c:v>
                </c:pt>
                <c:pt idx="5">
                  <c:v>14</c:v>
                </c:pt>
              </c:numCache>
            </c:numRef>
          </c:val>
          <c:extLst>
            <c:ext xmlns:c16="http://schemas.microsoft.com/office/drawing/2014/chart" uri="{C3380CC4-5D6E-409C-BE32-E72D297353CC}">
              <c16:uniqueId val="{00000000-121C-4EBA-9ADE-EC034B3B5ADE}"/>
            </c:ext>
          </c:extLst>
        </c:ser>
        <c:dLbls>
          <c:dLblPos val="outEnd"/>
          <c:showLegendKey val="0"/>
          <c:showVal val="1"/>
          <c:showCatName val="0"/>
          <c:showSerName val="0"/>
          <c:showPercent val="0"/>
          <c:showBubbleSize val="0"/>
        </c:dLbls>
        <c:gapWidth val="444"/>
        <c:overlap val="-90"/>
        <c:axId val="527289183"/>
        <c:axId val="527287935"/>
      </c:barChart>
      <c:catAx>
        <c:axId val="5272891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27287935"/>
        <c:crosses val="autoZero"/>
        <c:auto val="1"/>
        <c:lblAlgn val="ctr"/>
        <c:lblOffset val="100"/>
        <c:noMultiLvlLbl val="0"/>
      </c:catAx>
      <c:valAx>
        <c:axId val="527287935"/>
        <c:scaling>
          <c:orientation val="minMax"/>
        </c:scaling>
        <c:delete val="1"/>
        <c:axPos val="l"/>
        <c:numFmt formatCode="General" sourceLinked="1"/>
        <c:majorTickMark val="none"/>
        <c:minorTickMark val="none"/>
        <c:tickLblPos val="nextTo"/>
        <c:crossAx val="52728918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Feuil1!$D$5:$D$12</c:f>
              <c:strCache>
                <c:ptCount val="8"/>
                <c:pt idx="0">
                  <c:v>Oro-oral</c:v>
                </c:pt>
                <c:pt idx="1">
                  <c:v>Oro-fécal</c:v>
                </c:pt>
                <c:pt idx="2">
                  <c:v>Sanguine</c:v>
                </c:pt>
                <c:pt idx="3">
                  <c:v>Respiratoire</c:v>
                </c:pt>
                <c:pt idx="4">
                  <c:v>Urinaire</c:v>
                </c:pt>
                <c:pt idx="5">
                  <c:v>Héréditaire</c:v>
                </c:pt>
                <c:pt idx="6">
                  <c:v>Non transmissible</c:v>
                </c:pt>
                <c:pt idx="7">
                  <c:v>Je ne sais pas</c:v>
                </c:pt>
              </c:strCache>
            </c:strRef>
          </c:cat>
          <c:val>
            <c:numRef>
              <c:f>Feuil1!$E$5:$E$12</c:f>
              <c:numCache>
                <c:formatCode>General</c:formatCode>
                <c:ptCount val="8"/>
                <c:pt idx="0">
                  <c:v>69</c:v>
                </c:pt>
                <c:pt idx="1">
                  <c:v>61</c:v>
                </c:pt>
                <c:pt idx="2">
                  <c:v>7</c:v>
                </c:pt>
                <c:pt idx="3">
                  <c:v>1</c:v>
                </c:pt>
                <c:pt idx="4">
                  <c:v>1</c:v>
                </c:pt>
                <c:pt idx="5">
                  <c:v>2</c:v>
                </c:pt>
                <c:pt idx="6">
                  <c:v>5</c:v>
                </c:pt>
                <c:pt idx="7">
                  <c:v>11</c:v>
                </c:pt>
              </c:numCache>
            </c:numRef>
          </c:val>
          <c:extLst>
            <c:ext xmlns:c16="http://schemas.microsoft.com/office/drawing/2014/chart" uri="{C3380CC4-5D6E-409C-BE32-E72D297353CC}">
              <c16:uniqueId val="{00000000-B357-4053-9753-D61FB79EB296}"/>
            </c:ext>
          </c:extLst>
        </c:ser>
        <c:dLbls>
          <c:dLblPos val="inEnd"/>
          <c:showLegendKey val="0"/>
          <c:showVal val="1"/>
          <c:showCatName val="0"/>
          <c:showSerName val="0"/>
          <c:showPercent val="0"/>
          <c:showBubbleSize val="0"/>
        </c:dLbls>
        <c:gapWidth val="65"/>
        <c:axId val="522045039"/>
        <c:axId val="522045455"/>
      </c:barChart>
      <c:catAx>
        <c:axId val="52204503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22045455"/>
        <c:crosses val="autoZero"/>
        <c:auto val="1"/>
        <c:lblAlgn val="ctr"/>
        <c:lblOffset val="100"/>
        <c:noMultiLvlLbl val="0"/>
      </c:catAx>
      <c:valAx>
        <c:axId val="52204545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22045039"/>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Feuil1!$D$5:$D$11</c:f>
              <c:strCache>
                <c:ptCount val="7"/>
                <c:pt idx="0">
                  <c:v>Gastroduodenal ulcer</c:v>
                </c:pt>
                <c:pt idx="1">
                  <c:v>Non-ulcer epigastric pain and gastroesophageal reflux disease</c:v>
                </c:pt>
                <c:pt idx="2">
                  <c:v>History of H. pylori in a relative</c:v>
                </c:pt>
                <c:pt idx="3">
                  <c:v>Family history of gastric cancer</c:v>
                </c:pt>
                <c:pt idx="4">
                  <c:v>Use of proton pump inhibitors (PPIs) for more than 6 months</c:v>
                </c:pt>
                <c:pt idx="5">
                  <c:v>Long-term use of aspirin</c:v>
                </c:pt>
                <c:pt idx="6">
                  <c:v>Anemia due to iron or vitamin B12 deficiency with no identifiable cause</c:v>
                </c:pt>
              </c:strCache>
            </c:strRef>
          </c:cat>
          <c:val>
            <c:numRef>
              <c:f>Feuil1!$E$5:$E$11</c:f>
              <c:numCache>
                <c:formatCode>General</c:formatCode>
                <c:ptCount val="7"/>
                <c:pt idx="0">
                  <c:v>106</c:v>
                </c:pt>
                <c:pt idx="1">
                  <c:v>59</c:v>
                </c:pt>
                <c:pt idx="2">
                  <c:v>55</c:v>
                </c:pt>
                <c:pt idx="3">
                  <c:v>54</c:v>
                </c:pt>
                <c:pt idx="4">
                  <c:v>29</c:v>
                </c:pt>
                <c:pt idx="5">
                  <c:v>25</c:v>
                </c:pt>
                <c:pt idx="6">
                  <c:v>23</c:v>
                </c:pt>
              </c:numCache>
            </c:numRef>
          </c:val>
          <c:extLst>
            <c:ext xmlns:c16="http://schemas.microsoft.com/office/drawing/2014/chart" uri="{C3380CC4-5D6E-409C-BE32-E72D297353CC}">
              <c16:uniqueId val="{00000000-FA18-4AB0-A7AF-236723E06C4F}"/>
            </c:ext>
          </c:extLst>
        </c:ser>
        <c:dLbls>
          <c:dLblPos val="inEnd"/>
          <c:showLegendKey val="0"/>
          <c:showVal val="1"/>
          <c:showCatName val="0"/>
          <c:showSerName val="0"/>
          <c:showPercent val="0"/>
          <c:showBubbleSize val="0"/>
        </c:dLbls>
        <c:gapWidth val="65"/>
        <c:axId val="609475407"/>
        <c:axId val="609473327"/>
      </c:barChart>
      <c:catAx>
        <c:axId val="60947540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09473327"/>
        <c:crosses val="autoZero"/>
        <c:auto val="1"/>
        <c:lblAlgn val="ctr"/>
        <c:lblOffset val="100"/>
        <c:noMultiLvlLbl val="0"/>
      </c:catAx>
      <c:valAx>
        <c:axId val="60947332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09475407"/>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608582574772431E-2"/>
          <c:y val="4.6709129511677279E-2"/>
          <c:w val="0.58477970162702364"/>
          <c:h val="0.87685774946921446"/>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9B9-4075-BFB1-D431E1E39E8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9B9-4075-BFB1-D431E1E39E8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9B9-4075-BFB1-D431E1E39E8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9B9-4075-BFB1-D431E1E39E85}"/>
              </c:ext>
            </c:extLst>
          </c:dPt>
          <c:dLbls>
            <c:dLbl>
              <c:idx val="0"/>
              <c:tx>
                <c:rich>
                  <a:bodyPr/>
                  <a:lstStyle/>
                  <a:p>
                    <a:r>
                      <a:rPr lang="en-US"/>
                      <a:t>68,8%</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9B9-4075-BFB1-D431E1E39E85}"/>
                </c:ext>
              </c:extLst>
            </c:dLbl>
            <c:dLbl>
              <c:idx val="1"/>
              <c:tx>
                <c:rich>
                  <a:bodyPr/>
                  <a:lstStyle/>
                  <a:p>
                    <a:r>
                      <a:rPr lang="en-US"/>
                      <a:t>55%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9B9-4075-BFB1-D431E1E39E85}"/>
                </c:ext>
              </c:extLst>
            </c:dLbl>
            <c:dLbl>
              <c:idx val="2"/>
              <c:layout>
                <c:manualLayout>
                  <c:x val="0.11476793525809274"/>
                  <c:y val="0.11038531641878098"/>
                </c:manualLayout>
              </c:layout>
              <c:tx>
                <c:rich>
                  <a:bodyPr/>
                  <a:lstStyle/>
                  <a:p>
                    <a:r>
                      <a:rPr lang="en-US"/>
                      <a:t>19,3%</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9B9-4075-BFB1-D431E1E39E85}"/>
                </c:ext>
              </c:extLst>
            </c:dLbl>
            <c:dLbl>
              <c:idx val="3"/>
              <c:layout>
                <c:manualLayout>
                  <c:x val="6.2469816272965828E-2"/>
                  <c:y val="0.1067413969087197"/>
                </c:manualLayout>
              </c:layout>
              <c:tx>
                <c:rich>
                  <a:bodyPr/>
                  <a:lstStyle/>
                  <a:p>
                    <a:r>
                      <a:rPr lang="en-US"/>
                      <a:t>12,8%</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9B9-4075-BFB1-D431E1E39E8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Feuil1!$C$5:$C$8</c:f>
              <c:strCache>
                <c:ptCount val="4"/>
                <c:pt idx="0">
                  <c:v>Helicobacter pylori serology</c:v>
                </c:pt>
                <c:pt idx="1">
                  <c:v>Endoscopy (with Helicobacter culture/histology/PCR)</c:v>
                </c:pt>
                <c:pt idx="2">
                  <c:v>Urea breath test</c:v>
                </c:pt>
                <c:pt idx="3">
                  <c:v>Stool antigen detection</c:v>
                </c:pt>
              </c:strCache>
            </c:strRef>
          </c:cat>
          <c:val>
            <c:numRef>
              <c:f>Feuil1!$D$5:$D$8</c:f>
              <c:numCache>
                <c:formatCode>General</c:formatCode>
                <c:ptCount val="4"/>
                <c:pt idx="0">
                  <c:v>75</c:v>
                </c:pt>
                <c:pt idx="1">
                  <c:v>60</c:v>
                </c:pt>
                <c:pt idx="2">
                  <c:v>21</c:v>
                </c:pt>
                <c:pt idx="3">
                  <c:v>14</c:v>
                </c:pt>
              </c:numCache>
            </c:numRef>
          </c:val>
          <c:extLst>
            <c:ext xmlns:c16="http://schemas.microsoft.com/office/drawing/2014/chart" uri="{C3380CC4-5D6E-409C-BE32-E72D297353CC}">
              <c16:uniqueId val="{00000008-29B9-4075-BFB1-D431E1E39E8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103-4C38-A262-79A8B1740C3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103-4C38-A262-79A8B1740C3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Feuil1!$C$5:$C$6</c:f>
              <c:strCache>
                <c:ptCount val="2"/>
                <c:pt idx="0">
                  <c:v>Yes</c:v>
                </c:pt>
                <c:pt idx="1">
                  <c:v>No</c:v>
                </c:pt>
              </c:strCache>
            </c:strRef>
          </c:cat>
          <c:val>
            <c:numRef>
              <c:f>Feuil1!$D$5:$D$6</c:f>
              <c:numCache>
                <c:formatCode>General</c:formatCode>
                <c:ptCount val="2"/>
                <c:pt idx="0">
                  <c:v>87</c:v>
                </c:pt>
                <c:pt idx="1">
                  <c:v>22</c:v>
                </c:pt>
              </c:numCache>
            </c:numRef>
          </c:val>
          <c:extLst>
            <c:ext xmlns:c16="http://schemas.microsoft.com/office/drawing/2014/chart" uri="{C3380CC4-5D6E-409C-BE32-E72D297353CC}">
              <c16:uniqueId val="{00000004-5103-4C38-A262-79A8B1740C3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289982502187216"/>
          <c:y val="0.39852325750947798"/>
          <c:w val="0.12543350831146108"/>
          <c:h val="0.21221274424030329"/>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solidFill>
            <a:ln>
              <a:noFill/>
            </a:ln>
            <a:effectLst/>
          </c:spPr>
          <c:invertIfNegative val="0"/>
          <c:cat>
            <c:strRef>
              <c:f>Feuil1!$E$8:$E$11</c:f>
              <c:strCache>
                <c:ptCount val="4"/>
                <c:pt idx="0">
                  <c:v>Helicobacter pylori serology</c:v>
                </c:pt>
                <c:pt idx="1">
                  <c:v>Endoscopy (with Helicobacter culture/histology/PCR)</c:v>
                </c:pt>
                <c:pt idx="2">
                  <c:v>Urea breath test</c:v>
                </c:pt>
                <c:pt idx="3">
                  <c:v>Stool antigen detection</c:v>
                </c:pt>
              </c:strCache>
            </c:strRef>
          </c:cat>
          <c:val>
            <c:numRef>
              <c:f>Feuil1!$F$8:$F$11</c:f>
              <c:numCache>
                <c:formatCode>General</c:formatCode>
                <c:ptCount val="4"/>
                <c:pt idx="0">
                  <c:v>62</c:v>
                </c:pt>
                <c:pt idx="1">
                  <c:v>15</c:v>
                </c:pt>
                <c:pt idx="2">
                  <c:v>7</c:v>
                </c:pt>
                <c:pt idx="3">
                  <c:v>3</c:v>
                </c:pt>
              </c:numCache>
            </c:numRef>
          </c:val>
          <c:extLst>
            <c:ext xmlns:c16="http://schemas.microsoft.com/office/drawing/2014/chart" uri="{C3380CC4-5D6E-409C-BE32-E72D297353CC}">
              <c16:uniqueId val="{00000000-CCA5-440D-9763-082D414D2822}"/>
            </c:ext>
          </c:extLst>
        </c:ser>
        <c:dLbls>
          <c:showLegendKey val="0"/>
          <c:showVal val="0"/>
          <c:showCatName val="0"/>
          <c:showSerName val="0"/>
          <c:showPercent val="0"/>
          <c:showBubbleSize val="0"/>
        </c:dLbls>
        <c:gapWidth val="182"/>
        <c:axId val="520684351"/>
        <c:axId val="520681439"/>
      </c:barChart>
      <c:catAx>
        <c:axId val="5206843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681439"/>
        <c:crosses val="autoZero"/>
        <c:auto val="1"/>
        <c:lblAlgn val="ctr"/>
        <c:lblOffset val="100"/>
        <c:noMultiLvlLbl val="0"/>
      </c:catAx>
      <c:valAx>
        <c:axId val="5206814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68435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Feuil1!$D$5:$D$9</c:f>
              <c:strCache>
                <c:ptCount val="5"/>
                <c:pt idx="0">
                  <c:v>Under 5 years old</c:v>
                </c:pt>
                <c:pt idx="1">
                  <c:v>5 to 9 years old</c:v>
                </c:pt>
                <c:pt idx="2">
                  <c:v>10 to 14 years old</c:v>
                </c:pt>
                <c:pt idx="3">
                  <c:v>15 to 19 years old</c:v>
                </c:pt>
                <c:pt idx="4">
                  <c:v>20 years and older</c:v>
                </c:pt>
              </c:strCache>
            </c:strRef>
          </c:cat>
          <c:val>
            <c:numRef>
              <c:f>Feuil1!$E$5:$E$9</c:f>
              <c:numCache>
                <c:formatCode>General</c:formatCode>
                <c:ptCount val="5"/>
                <c:pt idx="0">
                  <c:v>44</c:v>
                </c:pt>
                <c:pt idx="1">
                  <c:v>27</c:v>
                </c:pt>
                <c:pt idx="2">
                  <c:v>21</c:v>
                </c:pt>
                <c:pt idx="3">
                  <c:v>9</c:v>
                </c:pt>
                <c:pt idx="4">
                  <c:v>8</c:v>
                </c:pt>
              </c:numCache>
            </c:numRef>
          </c:val>
          <c:extLst>
            <c:ext xmlns:c16="http://schemas.microsoft.com/office/drawing/2014/chart" uri="{C3380CC4-5D6E-409C-BE32-E72D297353CC}">
              <c16:uniqueId val="{00000000-EC1A-424D-8B87-57C381380ECB}"/>
            </c:ext>
          </c:extLst>
        </c:ser>
        <c:dLbls>
          <c:dLblPos val="inEnd"/>
          <c:showLegendKey val="0"/>
          <c:showVal val="1"/>
          <c:showCatName val="0"/>
          <c:showSerName val="0"/>
          <c:showPercent val="0"/>
          <c:showBubbleSize val="0"/>
        </c:dLbls>
        <c:gapWidth val="41"/>
        <c:axId val="1841518479"/>
        <c:axId val="1841517231"/>
      </c:barChart>
      <c:catAx>
        <c:axId val="1841518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effectLst/>
                <a:latin typeface="+mn-lt"/>
                <a:ea typeface="+mn-ea"/>
                <a:cs typeface="+mn-cs"/>
              </a:defRPr>
            </a:pPr>
            <a:endParaRPr lang="en-US"/>
          </a:p>
        </c:txPr>
        <c:crossAx val="1841517231"/>
        <c:crosses val="autoZero"/>
        <c:auto val="1"/>
        <c:lblAlgn val="ctr"/>
        <c:lblOffset val="100"/>
        <c:noMultiLvlLbl val="0"/>
      </c:catAx>
      <c:valAx>
        <c:axId val="1841517231"/>
        <c:scaling>
          <c:orientation val="minMax"/>
        </c:scaling>
        <c:delete val="1"/>
        <c:axPos val="l"/>
        <c:numFmt formatCode="General" sourceLinked="1"/>
        <c:majorTickMark val="none"/>
        <c:minorTickMark val="none"/>
        <c:tickLblPos val="nextTo"/>
        <c:crossAx val="1841518479"/>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50DDCF1-2E05-473D-89B6-780525AA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Pages>
  <Words>6011</Words>
  <Characters>34265</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Mamady KOUMA</dc:creator>
  <cp:keywords/>
  <dc:description/>
  <cp:lastModifiedBy>SDI 1180</cp:lastModifiedBy>
  <cp:revision>54</cp:revision>
  <dcterms:created xsi:type="dcterms:W3CDTF">2025-12-25T14:57:00Z</dcterms:created>
  <dcterms:modified xsi:type="dcterms:W3CDTF">2025-12-30T12:04:00Z</dcterms:modified>
</cp:coreProperties>
</file>