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C42EF" w14:textId="4BC34343" w:rsidR="0003583A" w:rsidRDefault="00DC180B">
      <w:pPr>
        <w:pStyle w:val="Heading1"/>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Maternal Perception and Decision-Making Factors towards Exchange Blood Transfusion </w:t>
      </w:r>
      <w:r w:rsidR="00091712">
        <w:rPr>
          <w:rFonts w:ascii="Times New Roman" w:hAnsi="Times New Roman" w:cs="Times New Roman"/>
          <w:color w:val="auto"/>
          <w:sz w:val="24"/>
          <w:szCs w:val="24"/>
        </w:rPr>
        <w:t>in</w:t>
      </w:r>
      <w:r>
        <w:rPr>
          <w:rFonts w:ascii="Times New Roman" w:hAnsi="Times New Roman" w:cs="Times New Roman"/>
          <w:color w:val="auto"/>
          <w:sz w:val="24"/>
          <w:szCs w:val="24"/>
        </w:rPr>
        <w:t xml:space="preserve"> the University of Port Harcourt Teaching Hospital, Rivers State</w:t>
      </w:r>
    </w:p>
    <w:p w14:paraId="1D60AEEE" w14:textId="77777777" w:rsidR="002A422B" w:rsidRDefault="002A422B" w:rsidP="009C4758">
      <w:pPr>
        <w:spacing w:after="0" w:line="360" w:lineRule="auto"/>
        <w:jc w:val="center"/>
        <w:rPr>
          <w:rFonts w:ascii="Times New Roman" w:hAnsi="Times New Roman" w:cs="Times New Roman"/>
          <w:b/>
          <w:sz w:val="24"/>
          <w:szCs w:val="24"/>
        </w:rPr>
      </w:pPr>
    </w:p>
    <w:p w14:paraId="64CE651D" w14:textId="77777777" w:rsidR="0003583A" w:rsidRDefault="0003583A">
      <w:pPr>
        <w:spacing w:line="240" w:lineRule="auto"/>
        <w:jc w:val="both"/>
        <w:rPr>
          <w:rFonts w:ascii="Times New Roman" w:hAnsi="Times New Roman" w:cs="Times New Roman"/>
          <w:sz w:val="24"/>
          <w:szCs w:val="24"/>
        </w:rPr>
      </w:pPr>
      <w:bookmarkStart w:id="0" w:name="_GoBack"/>
      <w:bookmarkEnd w:id="0"/>
    </w:p>
    <w:p w14:paraId="5D09EC70" w14:textId="77777777" w:rsidR="0003583A" w:rsidRPr="00074124" w:rsidRDefault="00DC180B">
      <w:pPr>
        <w:spacing w:line="240" w:lineRule="auto"/>
        <w:jc w:val="center"/>
        <w:rPr>
          <w:rFonts w:ascii="Times New Roman" w:hAnsi="Times New Roman" w:cs="Times New Roman"/>
          <w:b/>
          <w:sz w:val="24"/>
          <w:szCs w:val="24"/>
        </w:rPr>
      </w:pPr>
      <w:r w:rsidRPr="00074124">
        <w:rPr>
          <w:rFonts w:ascii="Times New Roman" w:hAnsi="Times New Roman" w:cs="Times New Roman"/>
          <w:b/>
          <w:sz w:val="24"/>
          <w:szCs w:val="24"/>
        </w:rPr>
        <w:t xml:space="preserve">Abstract </w:t>
      </w:r>
    </w:p>
    <w:p w14:paraId="60C07BE6" w14:textId="77777777" w:rsidR="000B792E" w:rsidRDefault="00074124">
      <w:pPr>
        <w:spacing w:line="240" w:lineRule="auto"/>
        <w:jc w:val="both"/>
        <w:rPr>
          <w:rFonts w:ascii="Times New Roman" w:hAnsi="Times New Roman" w:cs="Times New Roman"/>
          <w:sz w:val="24"/>
          <w:szCs w:val="24"/>
        </w:rPr>
      </w:pPr>
      <w:r w:rsidRPr="00074124">
        <w:rPr>
          <w:rFonts w:ascii="Times New Roman" w:hAnsi="Times New Roman" w:cs="Times New Roman"/>
          <w:b/>
          <w:sz w:val="24"/>
          <w:szCs w:val="24"/>
        </w:rPr>
        <w:t>Background:</w:t>
      </w:r>
      <w:r>
        <w:rPr>
          <w:rFonts w:ascii="Times New Roman" w:hAnsi="Times New Roman" w:cs="Times New Roman"/>
          <w:sz w:val="24"/>
          <w:szCs w:val="24"/>
        </w:rPr>
        <w:t xml:space="preserve"> </w:t>
      </w:r>
      <w:r w:rsidR="00DC180B">
        <w:rPr>
          <w:rFonts w:ascii="Times New Roman" w:hAnsi="Times New Roman" w:cs="Times New Roman"/>
          <w:sz w:val="24"/>
          <w:szCs w:val="24"/>
        </w:rPr>
        <w:t xml:space="preserve">The success of life-saving interventions in neonatal emergencies often depends on maternal perception and consent, particularly when procedures such as exchange blood transfusion (EBT) are required to treat conditions like neonatal sepsis and severe </w:t>
      </w:r>
      <w:proofErr w:type="spellStart"/>
      <w:r w:rsidR="00DC180B">
        <w:rPr>
          <w:rFonts w:ascii="Times New Roman" w:hAnsi="Times New Roman" w:cs="Times New Roman"/>
          <w:sz w:val="24"/>
          <w:szCs w:val="24"/>
        </w:rPr>
        <w:t>anaemia</w:t>
      </w:r>
      <w:proofErr w:type="spellEnd"/>
      <w:r w:rsidR="00DC180B">
        <w:rPr>
          <w:rFonts w:ascii="Times New Roman" w:hAnsi="Times New Roman" w:cs="Times New Roman"/>
          <w:sz w:val="24"/>
          <w:szCs w:val="24"/>
        </w:rPr>
        <w:t xml:space="preserve">. This study was designed to examine how maternal perception and decision-making factors influence the willingness of mothers to consent to EBT for their neonates at the University of Port Harcourt Teaching Hospital (UPTH). </w:t>
      </w:r>
    </w:p>
    <w:p w14:paraId="535E0005" w14:textId="77777777" w:rsidR="002B1299" w:rsidRDefault="000B792E">
      <w:pPr>
        <w:spacing w:line="240" w:lineRule="auto"/>
        <w:jc w:val="both"/>
        <w:rPr>
          <w:rFonts w:ascii="Times New Roman" w:hAnsi="Times New Roman" w:cs="Times New Roman"/>
          <w:sz w:val="24"/>
          <w:szCs w:val="24"/>
        </w:rPr>
      </w:pPr>
      <w:r w:rsidRPr="002B1299">
        <w:rPr>
          <w:rFonts w:ascii="Times New Roman" w:hAnsi="Times New Roman" w:cs="Times New Roman"/>
          <w:b/>
          <w:sz w:val="24"/>
          <w:szCs w:val="24"/>
        </w:rPr>
        <w:t>Methods:</w:t>
      </w:r>
      <w:r>
        <w:rPr>
          <w:rFonts w:ascii="Times New Roman" w:hAnsi="Times New Roman" w:cs="Times New Roman"/>
          <w:sz w:val="24"/>
          <w:szCs w:val="24"/>
        </w:rPr>
        <w:t xml:space="preserve"> </w:t>
      </w:r>
      <w:r w:rsidR="00DC180B">
        <w:rPr>
          <w:rFonts w:ascii="Times New Roman" w:hAnsi="Times New Roman" w:cs="Times New Roman"/>
          <w:sz w:val="24"/>
          <w:szCs w:val="24"/>
        </w:rPr>
        <w:t xml:space="preserve">A cross-sectional survey design </w:t>
      </w:r>
      <w:r>
        <w:rPr>
          <w:rFonts w:ascii="Times New Roman" w:hAnsi="Times New Roman" w:cs="Times New Roman"/>
          <w:sz w:val="24"/>
          <w:szCs w:val="24"/>
        </w:rPr>
        <w:t xml:space="preserve">was adopted, involving a </w:t>
      </w:r>
      <w:r w:rsidR="001763B2">
        <w:rPr>
          <w:rFonts w:ascii="Times New Roman" w:hAnsi="Times New Roman" w:cs="Times New Roman"/>
          <w:sz w:val="24"/>
          <w:szCs w:val="24"/>
        </w:rPr>
        <w:t>population of</w:t>
      </w:r>
      <w:r w:rsidR="00DC180B">
        <w:rPr>
          <w:rFonts w:ascii="Times New Roman" w:hAnsi="Times New Roman" w:cs="Times New Roman"/>
          <w:sz w:val="24"/>
          <w:szCs w:val="24"/>
        </w:rPr>
        <w:t xml:space="preserve"> 150 mothers whose babies were admitted into the Special Care Baby Unit (SCBU) of UPT</w:t>
      </w:r>
      <w:r>
        <w:rPr>
          <w:rFonts w:ascii="Times New Roman" w:hAnsi="Times New Roman" w:cs="Times New Roman"/>
          <w:sz w:val="24"/>
          <w:szCs w:val="24"/>
        </w:rPr>
        <w:t xml:space="preserve">H. Data were collected using a </w:t>
      </w:r>
      <w:r w:rsidR="00DC180B">
        <w:rPr>
          <w:rFonts w:ascii="Times New Roman" w:hAnsi="Times New Roman" w:cs="Times New Roman"/>
          <w:sz w:val="24"/>
          <w:szCs w:val="24"/>
        </w:rPr>
        <w:t xml:space="preserve">validated questionnaire, with Cronbach’s alpha coefficients of 0.81, 0.84, and 0.86 for perception, decision-making, and willingness scales, respectively. Data obtained were </w:t>
      </w:r>
      <w:r>
        <w:rPr>
          <w:rFonts w:ascii="Times New Roman" w:hAnsi="Times New Roman" w:cs="Times New Roman"/>
          <w:sz w:val="24"/>
          <w:szCs w:val="24"/>
        </w:rPr>
        <w:t>analyzed</w:t>
      </w:r>
      <w:r w:rsidR="00DC180B">
        <w:rPr>
          <w:rFonts w:ascii="Times New Roman" w:hAnsi="Times New Roman" w:cs="Times New Roman"/>
          <w:sz w:val="24"/>
          <w:szCs w:val="24"/>
        </w:rPr>
        <w:t xml:space="preserve"> using descriptive statistics, Chi-square tests, and binary logistic regression. </w:t>
      </w:r>
    </w:p>
    <w:p w14:paraId="58339502" w14:textId="77777777" w:rsidR="002B1299" w:rsidRDefault="002B1299">
      <w:pPr>
        <w:spacing w:line="240" w:lineRule="auto"/>
        <w:jc w:val="both"/>
        <w:rPr>
          <w:rFonts w:ascii="Times New Roman" w:hAnsi="Times New Roman" w:cs="Times New Roman"/>
          <w:sz w:val="24"/>
          <w:szCs w:val="24"/>
        </w:rPr>
      </w:pPr>
      <w:r w:rsidRPr="002B1299">
        <w:rPr>
          <w:rFonts w:ascii="Times New Roman" w:hAnsi="Times New Roman" w:cs="Times New Roman"/>
          <w:b/>
          <w:sz w:val="24"/>
          <w:szCs w:val="24"/>
        </w:rPr>
        <w:t>Results:</w:t>
      </w:r>
      <w:r>
        <w:rPr>
          <w:rFonts w:ascii="Times New Roman" w:hAnsi="Times New Roman" w:cs="Times New Roman"/>
          <w:sz w:val="24"/>
          <w:szCs w:val="24"/>
        </w:rPr>
        <w:t xml:space="preserve"> </w:t>
      </w:r>
      <w:r w:rsidR="00DC180B">
        <w:rPr>
          <w:rFonts w:ascii="Times New Roman" w:hAnsi="Times New Roman" w:cs="Times New Roman"/>
          <w:sz w:val="24"/>
          <w:szCs w:val="24"/>
        </w:rPr>
        <w:t xml:space="preserve">The findings showed that perception-related misconceptions such as fear of death (χ² = 21.06, p &lt; .001), belief that EBT is harmful (χ² = 20.01, p &lt; .001), and spiritual interpretations (χ² = 9.57, p = .008) significantly reduced maternal willingness to consent. Regression analysis revealed that mothers who believed EBT could kill the baby were 22.81 times less likely to give consent (OR = 22.81, p &lt; .001), while fear of fatal outcomes (OR = 17.64, p = .001) and metaphysical beliefs (OR = 10.83, p = .003) were also strong deterrents. Decision-making factors such as religious opposition (χ² = 22.77, p &lt; .001), cultural beliefs (χ² = 17.96, p &lt; .001), and lack of information (χ² = 39.04, p &lt; .001) significantly influenced maternal consent. Mothers who </w:t>
      </w:r>
      <w:r w:rsidR="00202199">
        <w:rPr>
          <w:rFonts w:ascii="Times New Roman" w:hAnsi="Times New Roman" w:cs="Times New Roman"/>
          <w:sz w:val="24"/>
          <w:szCs w:val="24"/>
        </w:rPr>
        <w:t xml:space="preserve">had cost-related for concerns </w:t>
      </w:r>
      <w:r w:rsidR="00DC180B">
        <w:rPr>
          <w:rFonts w:ascii="Times New Roman" w:hAnsi="Times New Roman" w:cs="Times New Roman"/>
          <w:sz w:val="24"/>
          <w:szCs w:val="24"/>
        </w:rPr>
        <w:t xml:space="preserve">EBT </w:t>
      </w:r>
      <w:r w:rsidR="00202199">
        <w:rPr>
          <w:rFonts w:ascii="Times New Roman" w:hAnsi="Times New Roman" w:cs="Times New Roman"/>
          <w:sz w:val="24"/>
          <w:szCs w:val="24"/>
        </w:rPr>
        <w:t>procedure were 10.75</w:t>
      </w:r>
      <w:r w:rsidR="00DC180B">
        <w:rPr>
          <w:rFonts w:ascii="Times New Roman" w:hAnsi="Times New Roman" w:cs="Times New Roman"/>
          <w:sz w:val="24"/>
          <w:szCs w:val="24"/>
        </w:rPr>
        <w:t xml:space="preserve"> times mo</w:t>
      </w:r>
      <w:r w:rsidR="00202199">
        <w:rPr>
          <w:rFonts w:ascii="Times New Roman" w:hAnsi="Times New Roman" w:cs="Times New Roman"/>
          <w:sz w:val="24"/>
          <w:szCs w:val="24"/>
        </w:rPr>
        <w:t>re likely to approve (OR = 10.75</w:t>
      </w:r>
      <w:r w:rsidR="00DC180B">
        <w:rPr>
          <w:rFonts w:ascii="Times New Roman" w:hAnsi="Times New Roman" w:cs="Times New Roman"/>
          <w:sz w:val="24"/>
          <w:szCs w:val="24"/>
        </w:rPr>
        <w:t>, p</w:t>
      </w:r>
      <w:r w:rsidR="00202199">
        <w:rPr>
          <w:rFonts w:ascii="Times New Roman" w:hAnsi="Times New Roman" w:cs="Times New Roman"/>
          <w:sz w:val="24"/>
          <w:szCs w:val="24"/>
        </w:rPr>
        <w:t xml:space="preserve"> &lt; .017</w:t>
      </w:r>
      <w:r w:rsidR="00DC180B">
        <w:rPr>
          <w:rFonts w:ascii="Times New Roman" w:hAnsi="Times New Roman" w:cs="Times New Roman"/>
          <w:sz w:val="24"/>
          <w:szCs w:val="24"/>
        </w:rPr>
        <w:t>). Additionally, education level had a strong effect: mothers with tertiary education were 17.61 times more likely to consent than those with primary education (OR = 17.61, p &lt; .001).</w:t>
      </w:r>
    </w:p>
    <w:p w14:paraId="4DE85BB9" w14:textId="77777777" w:rsidR="0003583A" w:rsidRDefault="002B1299">
      <w:pPr>
        <w:spacing w:line="240" w:lineRule="auto"/>
        <w:jc w:val="both"/>
        <w:rPr>
          <w:rFonts w:ascii="Times New Roman" w:hAnsi="Times New Roman" w:cs="Times New Roman"/>
          <w:sz w:val="24"/>
          <w:szCs w:val="24"/>
        </w:rPr>
      </w:pPr>
      <w:r w:rsidRPr="002B1299">
        <w:rPr>
          <w:rFonts w:ascii="Times New Roman" w:hAnsi="Times New Roman" w:cs="Times New Roman"/>
          <w:b/>
          <w:sz w:val="24"/>
          <w:szCs w:val="24"/>
        </w:rPr>
        <w:t>Conclusion:</w:t>
      </w:r>
      <w:r>
        <w:rPr>
          <w:rFonts w:ascii="Times New Roman" w:hAnsi="Times New Roman" w:cs="Times New Roman"/>
          <w:sz w:val="24"/>
          <w:szCs w:val="24"/>
        </w:rPr>
        <w:t xml:space="preserve"> M</w:t>
      </w:r>
      <w:r w:rsidR="00DC180B">
        <w:rPr>
          <w:rFonts w:ascii="Times New Roman" w:hAnsi="Times New Roman" w:cs="Times New Roman"/>
          <w:sz w:val="24"/>
          <w:szCs w:val="24"/>
        </w:rPr>
        <w:t>aternal willingness is shaped by a complex interaction of cognitive, cultural, spiritual, and experiential f</w:t>
      </w:r>
      <w:r w:rsidR="00202199">
        <w:rPr>
          <w:rFonts w:ascii="Times New Roman" w:hAnsi="Times New Roman" w:cs="Times New Roman"/>
          <w:sz w:val="24"/>
          <w:szCs w:val="24"/>
        </w:rPr>
        <w:t xml:space="preserve">actors. Recommendations made </w:t>
      </w:r>
      <w:r w:rsidR="000B792E">
        <w:rPr>
          <w:rFonts w:ascii="Times New Roman" w:hAnsi="Times New Roman" w:cs="Times New Roman"/>
          <w:sz w:val="24"/>
          <w:szCs w:val="24"/>
        </w:rPr>
        <w:t>include that healthcare providers</w:t>
      </w:r>
      <w:r w:rsidR="00202199">
        <w:rPr>
          <w:rFonts w:ascii="Times New Roman" w:hAnsi="Times New Roman" w:cs="Times New Roman"/>
          <w:sz w:val="24"/>
          <w:szCs w:val="24"/>
        </w:rPr>
        <w:t xml:space="preserve"> should intensify efforts on</w:t>
      </w:r>
      <w:r w:rsidR="00DC180B">
        <w:rPr>
          <w:rFonts w:ascii="Times New Roman" w:hAnsi="Times New Roman" w:cs="Times New Roman"/>
          <w:sz w:val="24"/>
          <w:szCs w:val="24"/>
        </w:rPr>
        <w:t xml:space="preserve"> antenatal health education, </w:t>
      </w:r>
      <w:r w:rsidR="00202199">
        <w:rPr>
          <w:rFonts w:ascii="Times New Roman" w:hAnsi="Times New Roman" w:cs="Times New Roman"/>
          <w:sz w:val="24"/>
          <w:szCs w:val="24"/>
        </w:rPr>
        <w:t>increase engagement with</w:t>
      </w:r>
      <w:r w:rsidR="00DC180B">
        <w:rPr>
          <w:rFonts w:ascii="Times New Roman" w:hAnsi="Times New Roman" w:cs="Times New Roman"/>
          <w:sz w:val="24"/>
          <w:szCs w:val="24"/>
        </w:rPr>
        <w:t xml:space="preserve"> re</w:t>
      </w:r>
      <w:r w:rsidR="000B792E">
        <w:rPr>
          <w:rFonts w:ascii="Times New Roman" w:hAnsi="Times New Roman" w:cs="Times New Roman"/>
          <w:sz w:val="24"/>
          <w:szCs w:val="24"/>
        </w:rPr>
        <w:t xml:space="preserve">ligious and community leaders to create </w:t>
      </w:r>
      <w:r w:rsidR="00DC180B">
        <w:rPr>
          <w:rFonts w:ascii="Times New Roman" w:hAnsi="Times New Roman" w:cs="Times New Roman"/>
          <w:sz w:val="24"/>
          <w:szCs w:val="24"/>
        </w:rPr>
        <w:t>a</w:t>
      </w:r>
      <w:r w:rsidR="00202199">
        <w:rPr>
          <w:rFonts w:ascii="Times New Roman" w:hAnsi="Times New Roman" w:cs="Times New Roman"/>
          <w:sz w:val="24"/>
          <w:szCs w:val="24"/>
        </w:rPr>
        <w:t xml:space="preserve">wareness </w:t>
      </w:r>
      <w:r w:rsidR="000B792E">
        <w:rPr>
          <w:rFonts w:ascii="Times New Roman" w:hAnsi="Times New Roman" w:cs="Times New Roman"/>
          <w:sz w:val="24"/>
          <w:szCs w:val="24"/>
        </w:rPr>
        <w:t xml:space="preserve">through </w:t>
      </w:r>
      <w:r w:rsidR="00202199">
        <w:rPr>
          <w:rFonts w:ascii="Times New Roman" w:hAnsi="Times New Roman" w:cs="Times New Roman"/>
          <w:sz w:val="24"/>
          <w:szCs w:val="24"/>
        </w:rPr>
        <w:t>campaigns, establish</w:t>
      </w:r>
      <w:r w:rsidR="00DC180B">
        <w:rPr>
          <w:rFonts w:ascii="Times New Roman" w:hAnsi="Times New Roman" w:cs="Times New Roman"/>
          <w:sz w:val="24"/>
          <w:szCs w:val="24"/>
        </w:rPr>
        <w:t xml:space="preserve"> peer-support platforms</w:t>
      </w:r>
      <w:r w:rsidR="00202199">
        <w:rPr>
          <w:rFonts w:ascii="Times New Roman" w:hAnsi="Times New Roman" w:cs="Times New Roman"/>
          <w:sz w:val="24"/>
          <w:szCs w:val="24"/>
        </w:rPr>
        <w:t xml:space="preserve"> for the mothers</w:t>
      </w:r>
      <w:r w:rsidR="00DC180B">
        <w:rPr>
          <w:rFonts w:ascii="Times New Roman" w:hAnsi="Times New Roman" w:cs="Times New Roman"/>
          <w:sz w:val="24"/>
          <w:szCs w:val="24"/>
        </w:rPr>
        <w:t xml:space="preserve">, </w:t>
      </w:r>
      <w:r w:rsidR="00202199">
        <w:rPr>
          <w:rFonts w:ascii="Times New Roman" w:hAnsi="Times New Roman" w:cs="Times New Roman"/>
          <w:sz w:val="24"/>
          <w:szCs w:val="24"/>
        </w:rPr>
        <w:t>subsidizing</w:t>
      </w:r>
      <w:r w:rsidR="00DC180B">
        <w:rPr>
          <w:rFonts w:ascii="Times New Roman" w:hAnsi="Times New Roman" w:cs="Times New Roman"/>
          <w:sz w:val="24"/>
          <w:szCs w:val="24"/>
        </w:rPr>
        <w:t xml:space="preserve"> EBT costs</w:t>
      </w:r>
      <w:r w:rsidR="000B792E">
        <w:rPr>
          <w:rFonts w:ascii="Times New Roman" w:hAnsi="Times New Roman" w:cs="Times New Roman"/>
          <w:sz w:val="24"/>
          <w:szCs w:val="24"/>
        </w:rPr>
        <w:t>, and training healthcare providers o</w:t>
      </w:r>
      <w:r w:rsidR="00DC180B">
        <w:rPr>
          <w:rFonts w:ascii="Times New Roman" w:hAnsi="Times New Roman" w:cs="Times New Roman"/>
          <w:sz w:val="24"/>
          <w:szCs w:val="24"/>
        </w:rPr>
        <w:t>n culturally sensitive communication</w:t>
      </w:r>
      <w:r w:rsidR="00202199">
        <w:rPr>
          <w:rFonts w:ascii="Times New Roman" w:hAnsi="Times New Roman" w:cs="Times New Roman"/>
          <w:sz w:val="24"/>
          <w:szCs w:val="24"/>
        </w:rPr>
        <w:t xml:space="preserve"> strategies</w:t>
      </w:r>
      <w:r w:rsidR="00DC180B">
        <w:rPr>
          <w:rFonts w:ascii="Times New Roman" w:hAnsi="Times New Roman" w:cs="Times New Roman"/>
          <w:sz w:val="24"/>
          <w:szCs w:val="24"/>
        </w:rPr>
        <w:t>.</w:t>
      </w:r>
    </w:p>
    <w:p w14:paraId="6613948F" w14:textId="77777777" w:rsidR="0003583A" w:rsidRDefault="00DC180B">
      <w:pPr>
        <w:spacing w:line="240" w:lineRule="auto"/>
        <w:jc w:val="both"/>
        <w:rPr>
          <w:rFonts w:ascii="Times New Roman" w:hAnsi="Times New Roman" w:cs="Times New Roman"/>
          <w:sz w:val="24"/>
          <w:szCs w:val="24"/>
        </w:rPr>
      </w:pPr>
      <w:r w:rsidRPr="00001334">
        <w:rPr>
          <w:rFonts w:ascii="Times New Roman" w:hAnsi="Times New Roman" w:cs="Times New Roman"/>
          <w:b/>
          <w:sz w:val="24"/>
          <w:szCs w:val="24"/>
        </w:rPr>
        <w:t>Keywords:</w:t>
      </w:r>
      <w:r>
        <w:rPr>
          <w:rFonts w:ascii="Times New Roman" w:hAnsi="Times New Roman" w:cs="Times New Roman"/>
          <w:sz w:val="24"/>
          <w:szCs w:val="24"/>
        </w:rPr>
        <w:t xml:space="preserve"> Maternal perception, decision-making, exchange blood transfusion</w:t>
      </w:r>
      <w:proofErr w:type="gramStart"/>
      <w:r>
        <w:rPr>
          <w:rFonts w:ascii="Times New Roman" w:hAnsi="Times New Roman" w:cs="Times New Roman"/>
          <w:sz w:val="24"/>
          <w:szCs w:val="24"/>
        </w:rPr>
        <w:t>, ,</w:t>
      </w:r>
      <w:r w:rsidR="000B792E">
        <w:rPr>
          <w:rFonts w:ascii="Times New Roman" w:hAnsi="Times New Roman" w:cs="Times New Roman"/>
          <w:sz w:val="24"/>
          <w:szCs w:val="24"/>
        </w:rPr>
        <w:t>UPTH</w:t>
      </w:r>
      <w:proofErr w:type="gramEnd"/>
      <w:r w:rsidR="00001334">
        <w:rPr>
          <w:rFonts w:ascii="Times New Roman" w:hAnsi="Times New Roman" w:cs="Times New Roman"/>
          <w:sz w:val="24"/>
          <w:szCs w:val="24"/>
        </w:rPr>
        <w:t>, Rivers State.</w:t>
      </w:r>
    </w:p>
    <w:p w14:paraId="18370F50" w14:textId="77777777" w:rsidR="0003583A" w:rsidRDefault="00DC180B">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Introduction </w:t>
      </w:r>
    </w:p>
    <w:p w14:paraId="13532FFB" w14:textId="7F6BC536"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Exchange blood transfusion (EBT) is one of the indispensable clinical intervention in the treatment of severe neonatal conditions such as hyperbilirubinemia, </w:t>
      </w:r>
      <w:proofErr w:type="spellStart"/>
      <w:r>
        <w:rPr>
          <w:rFonts w:ascii="Times New Roman" w:hAnsi="Times New Roman" w:cs="Times New Roman"/>
          <w:sz w:val="24"/>
          <w:szCs w:val="24"/>
        </w:rPr>
        <w:t>haemolytic</w:t>
      </w:r>
      <w:proofErr w:type="spellEnd"/>
      <w:r>
        <w:rPr>
          <w:rFonts w:ascii="Times New Roman" w:hAnsi="Times New Roman" w:cs="Times New Roman"/>
          <w:sz w:val="24"/>
          <w:szCs w:val="24"/>
        </w:rPr>
        <w:t xml:space="preserve"> disease of the newborn, glucose-6-phosphate dehydrogenase (G6PD) deficiency, and sepsis</w:t>
      </w:r>
      <w:r w:rsidR="001B00DC">
        <w:rPr>
          <w:rFonts w:ascii="Times New Roman" w:hAnsi="Times New Roman" w:cs="Times New Roman"/>
          <w:sz w:val="24"/>
          <w:szCs w:val="24"/>
        </w:rPr>
        <w:t xml:space="preserve"> </w:t>
      </w:r>
      <w:r w:rsidR="001B00DC" w:rsidRPr="007C10A9">
        <w:rPr>
          <w:rFonts w:ascii="Times New Roman" w:hAnsi="Times New Roman" w:cs="Times New Roman"/>
          <w:sz w:val="24"/>
          <w:szCs w:val="24"/>
        </w:rPr>
        <w:t>(</w:t>
      </w:r>
      <w:proofErr w:type="spellStart"/>
      <w:r w:rsidR="001B00DC" w:rsidRPr="001B00DC">
        <w:rPr>
          <w:rFonts w:ascii="Times New Roman" w:hAnsi="Times New Roman" w:cs="Times New Roman"/>
          <w:sz w:val="24"/>
          <w:szCs w:val="24"/>
        </w:rPr>
        <w:t>Okulu</w:t>
      </w:r>
      <w:proofErr w:type="spellEnd"/>
      <w:r w:rsidR="001B00DC" w:rsidRPr="001B00DC">
        <w:rPr>
          <w:rFonts w:ascii="Times New Roman" w:hAnsi="Times New Roman" w:cs="Times New Roman"/>
          <w:sz w:val="24"/>
          <w:szCs w:val="24"/>
        </w:rPr>
        <w:t xml:space="preserve"> et al., 2021</w:t>
      </w:r>
      <w:r w:rsidR="001B00DC" w:rsidRPr="007C10A9">
        <w:rPr>
          <w:rFonts w:ascii="Times New Roman" w:hAnsi="Times New Roman" w:cs="Times New Roman"/>
          <w:sz w:val="24"/>
          <w:szCs w:val="24"/>
        </w:rPr>
        <w:t>)</w:t>
      </w:r>
      <w:r w:rsidRPr="001B00DC">
        <w:rPr>
          <w:rFonts w:ascii="Times New Roman" w:hAnsi="Times New Roman" w:cs="Times New Roman"/>
          <w:sz w:val="24"/>
          <w:szCs w:val="24"/>
        </w:rPr>
        <w:t>.</w:t>
      </w:r>
      <w:r>
        <w:rPr>
          <w:rFonts w:ascii="Times New Roman" w:hAnsi="Times New Roman" w:cs="Times New Roman"/>
          <w:sz w:val="24"/>
          <w:szCs w:val="24"/>
        </w:rPr>
        <w:t xml:space="preserve"> In many resource-limited contexts, access to intensive phototherapy or immunoglobulin therapy may be inconsistent and unavailable in some cases. As a result, EBT is still highly relied upon as a first-line of clinical action in life-saving measure</w:t>
      </w:r>
      <w:r w:rsidR="001B00DC">
        <w:rPr>
          <w:rFonts w:ascii="Times New Roman" w:hAnsi="Times New Roman" w:cs="Times New Roman"/>
          <w:sz w:val="24"/>
          <w:szCs w:val="24"/>
        </w:rPr>
        <w:t xml:space="preserve"> </w:t>
      </w:r>
      <w:r w:rsidR="001B00DC" w:rsidRPr="007C10A9">
        <w:rPr>
          <w:rFonts w:ascii="Times New Roman" w:hAnsi="Times New Roman" w:cs="Times New Roman"/>
          <w:sz w:val="24"/>
          <w:szCs w:val="24"/>
        </w:rPr>
        <w:t>(Olusanya &amp; Imam, 2016)</w:t>
      </w:r>
      <w:r w:rsidRPr="001B00DC">
        <w:rPr>
          <w:rFonts w:ascii="Times New Roman" w:hAnsi="Times New Roman" w:cs="Times New Roman"/>
          <w:sz w:val="24"/>
          <w:szCs w:val="24"/>
        </w:rPr>
        <w:t>.</w:t>
      </w:r>
      <w:r>
        <w:rPr>
          <w:rFonts w:ascii="Times New Roman" w:hAnsi="Times New Roman" w:cs="Times New Roman"/>
          <w:sz w:val="24"/>
          <w:szCs w:val="24"/>
        </w:rPr>
        <w:t xml:space="preserve"> In clinical settings such as the Special Care Baby Unit (SCBU) of the University of Port Harcourt Teaching Hospital, the role of maternal per</w:t>
      </w:r>
      <w:r w:rsidR="007A6203">
        <w:rPr>
          <w:rFonts w:ascii="Times New Roman" w:hAnsi="Times New Roman" w:cs="Times New Roman"/>
          <w:sz w:val="24"/>
          <w:szCs w:val="24"/>
        </w:rPr>
        <w:t>ception has proven to be crucial</w:t>
      </w:r>
      <w:r>
        <w:rPr>
          <w:rFonts w:ascii="Times New Roman" w:hAnsi="Times New Roman" w:cs="Times New Roman"/>
          <w:sz w:val="24"/>
          <w:szCs w:val="24"/>
        </w:rPr>
        <w:t xml:space="preserve"> in shaping decision outcomes for newborns whose health condition may require EBT</w:t>
      </w:r>
      <w:r w:rsidR="00F21680">
        <w:rPr>
          <w:rFonts w:ascii="Times New Roman" w:hAnsi="Times New Roman" w:cs="Times New Roman"/>
          <w:sz w:val="24"/>
          <w:szCs w:val="24"/>
        </w:rPr>
        <w:t xml:space="preserve"> </w:t>
      </w:r>
      <w:r w:rsidR="00F21680" w:rsidRPr="007C10A9">
        <w:rPr>
          <w:rFonts w:ascii="Times New Roman" w:hAnsi="Times New Roman" w:cs="Times New Roman"/>
          <w:sz w:val="24"/>
          <w:szCs w:val="24"/>
        </w:rPr>
        <w:t>(</w:t>
      </w:r>
      <w:proofErr w:type="spellStart"/>
      <w:r w:rsidR="00F21680" w:rsidRPr="007C10A9">
        <w:rPr>
          <w:rFonts w:ascii="Times New Roman" w:hAnsi="Times New Roman" w:cs="Times New Roman"/>
          <w:sz w:val="24"/>
          <w:szCs w:val="24"/>
        </w:rPr>
        <w:t>Mabogunje</w:t>
      </w:r>
      <w:proofErr w:type="spellEnd"/>
      <w:r w:rsidR="00F21680" w:rsidRPr="007C10A9">
        <w:rPr>
          <w:rFonts w:ascii="Times New Roman" w:hAnsi="Times New Roman" w:cs="Times New Roman"/>
          <w:sz w:val="24"/>
          <w:szCs w:val="24"/>
        </w:rPr>
        <w:t xml:space="preserve"> et al., 2016).</w:t>
      </w:r>
      <w:r>
        <w:rPr>
          <w:rFonts w:ascii="Times New Roman" w:hAnsi="Times New Roman" w:cs="Times New Roman"/>
          <w:sz w:val="24"/>
          <w:szCs w:val="24"/>
        </w:rPr>
        <w:t xml:space="preserve"> In situations where urgent consent is needed, a mother who views EBT as safe and effective life-saving measures is more likely to approve the procedure without delay, thereby giving the medical team timely clearance to act and save the baby.</w:t>
      </w:r>
    </w:p>
    <w:p w14:paraId="79646155"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Maternal perception of medical procedures, such as exchange blood transfusion (EBT), is significantly influenced by cultural beliefs, religious doctrines, and personal experiences. In Nigeria, studies have shown that misconceptions about blood transfusion are prevalent among pregnant women. For example, Adesina et al. (2018) found that despite 93.0% of pregnant women having a positive belief about the practice of blood donation, many of them were reportedly hesitant to give consent to blood transfusion due to unverified fears and misconceptions</w:t>
      </w:r>
    </w:p>
    <w:p w14:paraId="1AF70014"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decision-making process regarding EBT is not solely based on individual perception but is also affected by external factors such as the influence of family members, particularly spouses, and the level of trust in healthcare providers. Baird et al. (2017) revealed that in southeastern Nigeria, the mean decision-to-transfusion interval for emergency obstetric procedures was unacceptably long. According to Pickens (2005), human thoughts and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are often framed by interactions with one’s environment. In addition, emotional distress during neonatal emergencies may in effect compound perception-based resistance to the idea of transfusion, especially in environments where strong health communication </w:t>
      </w:r>
      <w:r>
        <w:rPr>
          <w:rFonts w:ascii="Times New Roman" w:hAnsi="Times New Roman" w:cs="Times New Roman"/>
          <w:sz w:val="24"/>
          <w:szCs w:val="24"/>
        </w:rPr>
        <w:lastRenderedPageBreak/>
        <w:t xml:space="preserve">systems </w:t>
      </w:r>
      <w:r w:rsidR="006364A7">
        <w:rPr>
          <w:rFonts w:ascii="Times New Roman" w:hAnsi="Times New Roman" w:cs="Times New Roman"/>
          <w:sz w:val="24"/>
          <w:szCs w:val="24"/>
        </w:rPr>
        <w:t>are</w:t>
      </w:r>
      <w:r>
        <w:rPr>
          <w:rFonts w:ascii="Times New Roman" w:hAnsi="Times New Roman" w:cs="Times New Roman"/>
          <w:sz w:val="24"/>
          <w:szCs w:val="24"/>
        </w:rPr>
        <w:t xml:space="preserve"> lacking. Esan (2016) documented cases in which mothers at Nigerian tertiary hospitals refused EBT for their infants due to fear and spiritual concerns.</w:t>
      </w:r>
    </w:p>
    <w:p w14:paraId="10CABF08"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Decision-making in neonatal care is rarely an isolated event for mothers, particularly in sub-Saharan African settings where familial influence, communal values, and gender norms play a significant role in decision–making, including healthcare decisions. Ibekwe et al. (2012) identified these as recurrent barriers to timely EBT uptake. Other institutional barriers such as procedural ambiguity, lack of structured counselling, and inconsistent communication from healthcare providers have also been implicated as confounders complicating maternal decision-making (</w:t>
      </w:r>
      <w:r>
        <w:rPr>
          <w:rFonts w:ascii="Times New Roman" w:eastAsia="MS Gothic" w:hAnsi="Times New Roman" w:cs="Times New Roman"/>
          <w:bCs/>
          <w:sz w:val="24"/>
          <w:szCs w:val="24"/>
        </w:rPr>
        <w:t xml:space="preserve">Champion </w:t>
      </w:r>
      <w:r>
        <w:rPr>
          <w:rFonts w:ascii="Times New Roman" w:hAnsi="Times New Roman" w:cs="Times New Roman"/>
          <w:sz w:val="24"/>
          <w:szCs w:val="24"/>
        </w:rPr>
        <w:t>&amp; Skinner</w:t>
      </w:r>
      <w:r>
        <w:rPr>
          <w:rFonts w:ascii="Times New Roman" w:eastAsia="MS Gothic" w:hAnsi="Times New Roman" w:cs="Times New Roman"/>
          <w:bCs/>
          <w:sz w:val="24"/>
          <w:szCs w:val="24"/>
        </w:rPr>
        <w:t>, 2008; Yaya et al., 2018)</w:t>
      </w:r>
      <w:r>
        <w:rPr>
          <w:rFonts w:ascii="Times New Roman" w:hAnsi="Times New Roman" w:cs="Times New Roman"/>
          <w:sz w:val="24"/>
          <w:szCs w:val="24"/>
        </w:rPr>
        <w:t xml:space="preserve">. As highlighted by </w:t>
      </w:r>
      <w:proofErr w:type="spellStart"/>
      <w:r>
        <w:rPr>
          <w:rFonts w:ascii="Times New Roman" w:hAnsi="Times New Roman" w:cs="Times New Roman"/>
          <w:sz w:val="24"/>
          <w:szCs w:val="24"/>
        </w:rPr>
        <w:t>Kliegman</w:t>
      </w:r>
      <w:proofErr w:type="spellEnd"/>
      <w:r>
        <w:rPr>
          <w:rFonts w:ascii="Times New Roman" w:hAnsi="Times New Roman" w:cs="Times New Roman"/>
          <w:sz w:val="24"/>
          <w:szCs w:val="24"/>
        </w:rPr>
        <w:t xml:space="preserve"> et al. (2016), maternal cooperation is often highest when communication is empathetic and clear. Recent empirical evidence has reinforced the clinical and socio-</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dimensions surrounding maternal decision-making for exchange blood transfusion (EBT). In a three-year cross-sectional study in Kelantan, Malaysia, Wan Mohd Hanafi et al. (2021) found that 19.7% of neonates with severe jaundice underwent EBT, with statistically significant predictors including ABO incompatibility, low birth weight, and neonatal infection.</w:t>
      </w:r>
    </w:p>
    <w:p w14:paraId="4D0F5F7C"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theoretical foundation for this study draws upon the Health Belief Model (HBM), which explains how individuals’ perceptions of susceptibility to a health condition, the severity of its consequences, the perceived benefits of taking preventive action, and the perceived barriers to such action collectively influence health-related decision-making (Rosenstock, 1974; Becker et al., 21974). This implies that mothers’ beliefs about the necessity and safety of EBT procedure can significantly influence their willingness to provide timely consent, as their perceived risks and benefits may either facilitate or obstruct prompt health-seeking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(Champion &amp; Skinner, 2008).</w:t>
      </w:r>
    </w:p>
    <w:p w14:paraId="61CF001F"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have consistently shown that higher maternal education is positively correlated with informed decision-making and timely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maternal and neonatal services (Yaya et al., 2018). Similarly, religious convictions have been found to influence women’s acceptance or refusal of medical interventions, especially when perceived to conflict with spiritual values (Odeyemi et al., 2019). Prior negative encounters with healthcare providers can significantly undermine trust and discourage future engagement with hospital-based </w:t>
      </w:r>
      <w:r>
        <w:rPr>
          <w:rFonts w:ascii="Times New Roman" w:hAnsi="Times New Roman" w:cs="Times New Roman"/>
          <w:sz w:val="24"/>
          <w:szCs w:val="24"/>
        </w:rPr>
        <w:lastRenderedPageBreak/>
        <w:t>services (</w:t>
      </w:r>
      <w:proofErr w:type="spellStart"/>
      <w:r>
        <w:rPr>
          <w:rFonts w:ascii="Times New Roman" w:hAnsi="Times New Roman" w:cs="Times New Roman"/>
          <w:sz w:val="24"/>
          <w:szCs w:val="24"/>
        </w:rPr>
        <w:t>Okonofua</w:t>
      </w:r>
      <w:proofErr w:type="spellEnd"/>
      <w:r>
        <w:rPr>
          <w:rFonts w:ascii="Times New Roman" w:hAnsi="Times New Roman" w:cs="Times New Roman"/>
          <w:sz w:val="24"/>
          <w:szCs w:val="24"/>
        </w:rPr>
        <w:t xml:space="preserve"> et al., 2020). Moreover, fears surrounding transfusion complications, including infection risks or perceived impurity, have been documented as deterrents to voluntary consent (Adediran et al., 2022). Exposure to antenatal counselling, on the other hand, has been shown to reduce anxiety and foster informed consent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in emergency situations (Fekadu et al., 2021).</w:t>
      </w:r>
    </w:p>
    <w:p w14:paraId="5D448A90" w14:textId="2C1BC8E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critical factor influencing maternal decisions is previous exposure to healthcare settings. Mothers who encountered long waits, miscommunication, or poor treatment may develop distrust. According to </w:t>
      </w:r>
      <w:proofErr w:type="spellStart"/>
      <w:r>
        <w:rPr>
          <w:rFonts w:ascii="Times New Roman" w:hAnsi="Times New Roman" w:cs="Times New Roman"/>
          <w:sz w:val="24"/>
          <w:szCs w:val="24"/>
        </w:rPr>
        <w:t>Murki</w:t>
      </w:r>
      <w:proofErr w:type="spellEnd"/>
      <w:r>
        <w:rPr>
          <w:rFonts w:ascii="Times New Roman" w:hAnsi="Times New Roman" w:cs="Times New Roman"/>
          <w:sz w:val="24"/>
          <w:szCs w:val="24"/>
        </w:rPr>
        <w:t xml:space="preserve"> and Kumar (2011), negative encounters often deter timely acceptance of medical procedures. Spiritual interpretations have also been reported as a notable factor shaping how mothers perceive EBT. </w:t>
      </w:r>
      <w:proofErr w:type="spellStart"/>
      <w:r>
        <w:rPr>
          <w:rFonts w:ascii="Times New Roman" w:hAnsi="Times New Roman" w:cs="Times New Roman"/>
          <w:sz w:val="24"/>
          <w:szCs w:val="24"/>
        </w:rPr>
        <w:t>Oriyomi</w:t>
      </w:r>
      <w:proofErr w:type="spellEnd"/>
      <w:r>
        <w:rPr>
          <w:rFonts w:ascii="Times New Roman" w:hAnsi="Times New Roman" w:cs="Times New Roman"/>
          <w:sz w:val="24"/>
          <w:szCs w:val="24"/>
        </w:rPr>
        <w:t xml:space="preserve"> et al. (2015) reported that in some Nigerian communities, transfusion is rejected not on medical grounds, but because prayer is seen</w:t>
      </w:r>
      <w:r w:rsidR="007E0201">
        <w:rPr>
          <w:rFonts w:ascii="Times New Roman" w:hAnsi="Times New Roman" w:cs="Times New Roman"/>
          <w:sz w:val="24"/>
          <w:szCs w:val="24"/>
        </w:rPr>
        <w:t xml:space="preserve"> as the sole acceptable remedy</w:t>
      </w:r>
      <w:r>
        <w:rPr>
          <w:rFonts w:ascii="Times New Roman" w:hAnsi="Times New Roman" w:cs="Times New Roman"/>
          <w:sz w:val="24"/>
          <w:szCs w:val="24"/>
        </w:rPr>
        <w:t>. Frigo et al. (2021) observed that, in the absence of timely and reliable access to screened blood, some families are often left with no option but to seek informal or unregulated blood sources, thereby increasing the risk of transfusion-related complications and infectious disease transmission. This study, therefore, examined how mothers understand, perceive, and respond to the clinical procedure of exchange blood transfusion, with the aim of generating evidence to inform policy and clinical practice guidelines that promote safer, timel</w:t>
      </w:r>
      <w:r w:rsidR="00F21680">
        <w:rPr>
          <w:rFonts w:ascii="Times New Roman" w:hAnsi="Times New Roman" w:cs="Times New Roman"/>
          <w:sz w:val="24"/>
          <w:szCs w:val="24"/>
        </w:rPr>
        <w:t>y</w:t>
      </w:r>
      <w:r>
        <w:rPr>
          <w:rFonts w:ascii="Times New Roman" w:hAnsi="Times New Roman" w:cs="Times New Roman"/>
          <w:sz w:val="24"/>
          <w:szCs w:val="24"/>
        </w:rPr>
        <w:t>, and more culturally acceptable neonatal interventions, particularly in high-risk cases</w:t>
      </w:r>
    </w:p>
    <w:p w14:paraId="2984A655" w14:textId="77777777" w:rsidR="0003583A" w:rsidRDefault="00DC180B" w:rsidP="007E0201">
      <w:pPr>
        <w:pStyle w:val="Heading1"/>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3.0 Methodology</w:t>
      </w:r>
    </w:p>
    <w:p w14:paraId="60EDD38F" w14:textId="1B9BA804" w:rsidR="0003583A" w:rsidRPr="006B390D" w:rsidRDefault="00DC180B">
      <w:pPr>
        <w:spacing w:line="360"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This study adopted a cross-sectional survey design.</w:t>
      </w:r>
      <w:r w:rsidR="007A6203" w:rsidRPr="007A6203">
        <w:rPr>
          <w:rFonts w:ascii="Times New Roman" w:hAnsi="Times New Roman" w:cs="Times New Roman"/>
          <w:sz w:val="24"/>
          <w:szCs w:val="24"/>
        </w:rPr>
        <w:t xml:space="preserve"> </w:t>
      </w:r>
      <w:r w:rsidR="007A6203">
        <w:rPr>
          <w:rFonts w:ascii="Times New Roman" w:hAnsi="Times New Roman" w:cs="Times New Roman"/>
          <w:sz w:val="24"/>
          <w:szCs w:val="24"/>
        </w:rPr>
        <w:t xml:space="preserve">A sample size of 150 mothers </w:t>
      </w:r>
      <w:r>
        <w:rPr>
          <w:rFonts w:ascii="Times New Roman" w:hAnsi="Times New Roman" w:cs="Times New Roman"/>
          <w:sz w:val="24"/>
          <w:szCs w:val="24"/>
        </w:rPr>
        <w:t xml:space="preserve">whose babies were admitted into the SCBU of UPTH during the two months period of data collection... Data were collected using a structured, self-administered questionnaire developed by the researcher. The instrument was divided into four sections as follows: Section A was used to obtain Socio-Demographic Characteristics, while Section B contained items used to measure Perception of Exchange Blood Transfusion. The Section C measured Decision-Making Factors, while Section D was used to measure the mothers' Willingness to Consent to EBT. Each item in section B to D required a binary response, and was scrutinized and pretested for clarity and validity reliability before administration. The instrument was pilot tested with 10 mothers at Rivers State University Teaching </w:t>
      </w:r>
      <w:r>
        <w:rPr>
          <w:rFonts w:ascii="Times New Roman" w:hAnsi="Times New Roman" w:cs="Times New Roman"/>
          <w:sz w:val="24"/>
          <w:szCs w:val="24"/>
        </w:rPr>
        <w:lastRenderedPageBreak/>
        <w:t xml:space="preserve">Hospital to assess its internal consistency. Reliability analysis was conducted separately for each construct. The Cronbach’s alpha values obtained were 0.81 for the perception scale, 0.84 for the decision-making scale, and 0.86 for the willingness scale. These results confirmed that each section of the instrument measured up to acceptable internal consistency level and was suitable for measuring the respective variables in the main study. </w:t>
      </w:r>
      <w:r w:rsidR="006B390D">
        <w:t xml:space="preserve">Data collection was conducted over a </w:t>
      </w:r>
      <w:r w:rsidR="003B3782">
        <w:t>two-month</w:t>
      </w:r>
      <w:r w:rsidR="006B390D">
        <w:t xml:space="preserve"> period, following formal ethical clearance obtained from the University of Port Harcourt Research Ethics Committee. An introductory letter from the School of Post Basic Paediatric Studies supported the ethics application and facilitated institutional access. Permission to conduct the study was granted by the Assistant Director of Nursing Services at the University of Port Harcourt Teaching Hospital, and approval was also received from the Chief Nursing Officer of the Special Care Baby Unit.</w:t>
      </w:r>
      <w:r w:rsidR="006B390D">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The study was introduced to prospective participants, and verbal informed consent was obtained after explaining the purpose and procedures of the study. Participation was voluntary, and respondents were assured of strict confidentiality and anonymity. Questionnaires were administered and retrieved only from consenting individuals, with the researcher providing guidance as needed. Collected data were analysed using descriptive statistics (frequencies and percentages) and inferential statistics, specifically chi-square test and binary logistic regression. </w:t>
      </w:r>
      <w:r>
        <w:rPr>
          <w:rFonts w:ascii="Times New Roman" w:hAnsi="Times New Roman" w:cs="Times New Roman"/>
          <w:sz w:val="24"/>
          <w:szCs w:val="24"/>
        </w:rPr>
        <w:t xml:space="preserve">The </w:t>
      </w:r>
      <w:r>
        <w:rPr>
          <w:rStyle w:val="Strong"/>
          <w:rFonts w:ascii="Times New Roman" w:hAnsi="Times New Roman" w:cs="Times New Roman"/>
          <w:b w:val="0"/>
          <w:sz w:val="24"/>
          <w:szCs w:val="24"/>
        </w:rPr>
        <w:t>Chi-square test</w:t>
      </w:r>
      <w:r>
        <w:rPr>
          <w:rFonts w:ascii="Times New Roman" w:hAnsi="Times New Roman" w:cs="Times New Roman"/>
          <w:sz w:val="24"/>
          <w:szCs w:val="24"/>
        </w:rPr>
        <w:t xml:space="preserve"> was used to examine the association between categorical variables such as maternal perception, decision-making factors, and willingness to consent to exchange blood transfusion, while </w:t>
      </w:r>
      <w:r>
        <w:rPr>
          <w:rStyle w:val="Strong"/>
          <w:rFonts w:ascii="Times New Roman" w:hAnsi="Times New Roman" w:cs="Times New Roman"/>
          <w:b w:val="0"/>
          <w:sz w:val="24"/>
          <w:szCs w:val="24"/>
        </w:rPr>
        <w:t>binary logistic regression</w:t>
      </w:r>
      <w:r>
        <w:rPr>
          <w:rFonts w:ascii="Times New Roman" w:hAnsi="Times New Roman" w:cs="Times New Roman"/>
          <w:sz w:val="24"/>
          <w:szCs w:val="24"/>
        </w:rPr>
        <w:t xml:space="preserve"> was applied to predict the likelihood of consent based on significant variables identified in the Chi-square analysis.</w:t>
      </w:r>
    </w:p>
    <w:p w14:paraId="1ED9F622" w14:textId="77777777" w:rsidR="0003583A" w:rsidRDefault="00DC180B">
      <w:pPr>
        <w:rPr>
          <w:rFonts w:ascii="Times New Roman" w:hAnsi="Times New Roman" w:cs="Times New Roman"/>
          <w:b/>
          <w:sz w:val="24"/>
          <w:szCs w:val="24"/>
          <w:lang w:val="en-GB"/>
        </w:rPr>
      </w:pPr>
      <w:r>
        <w:rPr>
          <w:rFonts w:ascii="Times New Roman" w:hAnsi="Times New Roman" w:cs="Times New Roman"/>
          <w:b/>
          <w:sz w:val="24"/>
          <w:szCs w:val="24"/>
          <w:lang w:val="en-GB"/>
        </w:rPr>
        <w:t>Results and Discussion</w:t>
      </w:r>
    </w:p>
    <w:p w14:paraId="2AC44062" w14:textId="78955335" w:rsidR="0003583A" w:rsidRDefault="00DC180B">
      <w:pPr>
        <w:jc w:val="both"/>
        <w:rPr>
          <w:rFonts w:ascii="Times New Roman" w:hAnsi="Times New Roman" w:cs="Times New Roman"/>
          <w:b/>
          <w:sz w:val="24"/>
          <w:szCs w:val="24"/>
          <w:lang w:val="en-GB"/>
        </w:rPr>
      </w:pPr>
      <w:r>
        <w:rPr>
          <w:rFonts w:ascii="Times New Roman" w:hAnsi="Times New Roman" w:cs="Times New Roman"/>
          <w:sz w:val="24"/>
          <w:szCs w:val="24"/>
        </w:rPr>
        <w:t xml:space="preserve">Table 1 presents the socio-demographic distribution of 150 mothers whose infants were admitted to the </w:t>
      </w:r>
      <w:r>
        <w:rPr>
          <w:rFonts w:ascii="Times New Roman" w:eastAsia="Times New Roman" w:hAnsi="Times New Roman" w:cs="Times New Roman"/>
          <w:sz w:val="24"/>
          <w:szCs w:val="24"/>
          <w:lang w:val="en-GB" w:eastAsia="en-GB"/>
        </w:rPr>
        <w:t>SCBU</w:t>
      </w:r>
      <w:r>
        <w:rPr>
          <w:rFonts w:ascii="Times New Roman" w:hAnsi="Times New Roman" w:cs="Times New Roman"/>
          <w:sz w:val="24"/>
          <w:szCs w:val="24"/>
        </w:rPr>
        <w:t xml:space="preserve"> of UPTH All participants</w:t>
      </w:r>
      <w:r w:rsidR="006364A7">
        <w:rPr>
          <w:rFonts w:ascii="Times New Roman" w:hAnsi="Times New Roman" w:cs="Times New Roman"/>
          <w:sz w:val="24"/>
          <w:szCs w:val="24"/>
        </w:rPr>
        <w:t xml:space="preserve"> were female and married, </w:t>
      </w:r>
      <w:r w:rsidR="00183321">
        <w:rPr>
          <w:rFonts w:ascii="Times New Roman" w:hAnsi="Times New Roman" w:cs="Times New Roman"/>
          <w:sz w:val="24"/>
          <w:szCs w:val="24"/>
        </w:rPr>
        <w:t>with majority</w:t>
      </w:r>
      <w:r>
        <w:rPr>
          <w:rFonts w:ascii="Times New Roman" w:hAnsi="Times New Roman" w:cs="Times New Roman"/>
          <w:sz w:val="24"/>
          <w:szCs w:val="24"/>
        </w:rPr>
        <w:t xml:space="preserve"> (34%) aged between 30 and 34 years. Most of the respondents (96.7%) were in monogamous marriages. In terms of education, 52% had attained tertiary education, indicating a relatively educated respondent pool.</w:t>
      </w:r>
    </w:p>
    <w:p w14:paraId="45E6B4C3" w14:textId="77777777" w:rsidR="0003583A" w:rsidRDefault="00DC180B">
      <w:pPr>
        <w:keepNext/>
        <w:keepLines/>
        <w:spacing w:after="0"/>
        <w:outlineLvl w:val="0"/>
        <w:rPr>
          <w:rFonts w:ascii="Times New Roman" w:hAnsi="Times New Roman" w:cs="Times New Roman"/>
          <w:sz w:val="24"/>
          <w:szCs w:val="24"/>
        </w:rPr>
      </w:pPr>
      <w:r>
        <w:rPr>
          <w:rFonts w:ascii="Times New Roman" w:eastAsia="MS Gothic" w:hAnsi="Times New Roman" w:cs="Times New Roman"/>
          <w:b/>
          <w:bCs/>
          <w:sz w:val="24"/>
          <w:szCs w:val="24"/>
        </w:rPr>
        <w:t>Table 1: Socio-Demographic Characteristics of Respondents (N = 150)</w:t>
      </w:r>
    </w:p>
    <w:tbl>
      <w:tblPr>
        <w:tblW w:w="0" w:type="auto"/>
        <w:tblInd w:w="288" w:type="dxa"/>
        <w:tblLook w:val="04A0" w:firstRow="1" w:lastRow="0" w:firstColumn="1" w:lastColumn="0" w:noHBand="0" w:noVBand="1"/>
      </w:tblPr>
      <w:tblGrid>
        <w:gridCol w:w="1687"/>
        <w:gridCol w:w="2236"/>
        <w:gridCol w:w="2175"/>
        <w:gridCol w:w="2244"/>
      </w:tblGrid>
      <w:tr w:rsidR="0003583A" w14:paraId="6603091B" w14:textId="77777777">
        <w:tc>
          <w:tcPr>
            <w:tcW w:w="40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696B"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Variable</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5F9C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Frequency (N=150)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BFAD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03583A" w14:paraId="140C55A4"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D814C71"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Age: </w:t>
            </w:r>
          </w:p>
        </w:tc>
        <w:tc>
          <w:tcPr>
            <w:tcW w:w="2290" w:type="dxa"/>
            <w:tcBorders>
              <w:top w:val="single" w:sz="4" w:space="0" w:color="auto"/>
              <w:left w:val="single" w:sz="4" w:space="0" w:color="auto"/>
              <w:bottom w:val="single" w:sz="4" w:space="0" w:color="auto"/>
              <w:right w:val="single" w:sz="4" w:space="0" w:color="auto"/>
            </w:tcBorders>
          </w:tcPr>
          <w:p w14:paraId="045E59A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20–24</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223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C4B"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03583A" w14:paraId="3B5DF224" w14:textId="77777777">
        <w:tc>
          <w:tcPr>
            <w:tcW w:w="1710" w:type="dxa"/>
            <w:vMerge/>
            <w:tcBorders>
              <w:left w:val="single" w:sz="4" w:space="0" w:color="auto"/>
              <w:right w:val="single" w:sz="4" w:space="0" w:color="auto"/>
            </w:tcBorders>
            <w:tcMar>
              <w:top w:w="0" w:type="dxa"/>
              <w:left w:w="108" w:type="dxa"/>
              <w:bottom w:w="0" w:type="dxa"/>
              <w:right w:w="108" w:type="dxa"/>
            </w:tcMar>
          </w:tcPr>
          <w:p w14:paraId="383E377D"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45E3981E"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25–29</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8B5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17DA5"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r>
      <w:tr w:rsidR="0003583A" w14:paraId="4838BD72" w14:textId="77777777">
        <w:tc>
          <w:tcPr>
            <w:tcW w:w="1710" w:type="dxa"/>
            <w:vMerge/>
            <w:tcBorders>
              <w:left w:val="single" w:sz="4" w:space="0" w:color="auto"/>
              <w:right w:val="single" w:sz="4" w:space="0" w:color="auto"/>
            </w:tcBorders>
            <w:tcMar>
              <w:top w:w="0" w:type="dxa"/>
              <w:left w:w="108" w:type="dxa"/>
              <w:bottom w:w="0" w:type="dxa"/>
              <w:right w:w="108" w:type="dxa"/>
            </w:tcMar>
          </w:tcPr>
          <w:p w14:paraId="1E1F28B2"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C68F16F"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30–34</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2EEB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CAF94"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r>
      <w:tr w:rsidR="0003583A" w14:paraId="3D668900" w14:textId="77777777">
        <w:tc>
          <w:tcPr>
            <w:tcW w:w="1710" w:type="dxa"/>
            <w:vMerge/>
            <w:tcBorders>
              <w:left w:val="single" w:sz="4" w:space="0" w:color="auto"/>
              <w:right w:val="single" w:sz="4" w:space="0" w:color="auto"/>
            </w:tcBorders>
            <w:tcMar>
              <w:top w:w="0" w:type="dxa"/>
              <w:left w:w="108" w:type="dxa"/>
              <w:bottom w:w="0" w:type="dxa"/>
              <w:right w:w="108" w:type="dxa"/>
            </w:tcMar>
          </w:tcPr>
          <w:p w14:paraId="43C8A1D8"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2F5B6BC"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35–39</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06E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16D4"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03583A" w14:paraId="568D9D6A"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1A29181"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74B4C6CB"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B5E25"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89C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3583A" w14:paraId="08931F57"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1DCCA9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Marital</w:t>
            </w:r>
          </w:p>
        </w:tc>
        <w:tc>
          <w:tcPr>
            <w:tcW w:w="2290" w:type="dxa"/>
            <w:tcBorders>
              <w:top w:val="single" w:sz="4" w:space="0" w:color="auto"/>
              <w:left w:val="single" w:sz="4" w:space="0" w:color="auto"/>
              <w:bottom w:val="single" w:sz="4" w:space="0" w:color="auto"/>
              <w:right w:val="single" w:sz="4" w:space="0" w:color="auto"/>
            </w:tcBorders>
          </w:tcPr>
          <w:p w14:paraId="5E54EFF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Married</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6291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8C8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03583A" w14:paraId="2990F84D"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F260F98"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4230FC8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Single </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BDB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F7DFD"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583A" w14:paraId="28807053"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9926DF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Marriage Type</w:t>
            </w:r>
          </w:p>
        </w:tc>
        <w:tc>
          <w:tcPr>
            <w:tcW w:w="2290" w:type="dxa"/>
            <w:tcBorders>
              <w:top w:val="single" w:sz="4" w:space="0" w:color="auto"/>
              <w:left w:val="single" w:sz="4" w:space="0" w:color="auto"/>
              <w:bottom w:val="single" w:sz="4" w:space="0" w:color="auto"/>
              <w:right w:val="single" w:sz="4" w:space="0" w:color="auto"/>
            </w:tcBorders>
          </w:tcPr>
          <w:p w14:paraId="4190E429"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Monogamous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DCD6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312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96.7</w:t>
            </w:r>
          </w:p>
        </w:tc>
      </w:tr>
      <w:tr w:rsidR="0003583A" w14:paraId="20A7C832"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61DAB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5F11ACDF"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Polygamous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1DE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E901"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3583A" w14:paraId="45C62374"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FB7F12A"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Education</w:t>
            </w:r>
          </w:p>
        </w:tc>
        <w:tc>
          <w:tcPr>
            <w:tcW w:w="2290" w:type="dxa"/>
            <w:tcBorders>
              <w:top w:val="single" w:sz="4" w:space="0" w:color="auto"/>
              <w:left w:val="single" w:sz="4" w:space="0" w:color="auto"/>
              <w:bottom w:val="single" w:sz="4" w:space="0" w:color="auto"/>
              <w:right w:val="single" w:sz="4" w:space="0" w:color="auto"/>
            </w:tcBorders>
          </w:tcPr>
          <w:p w14:paraId="2EABD1A5"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Primary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6450"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2FB7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03583A" w14:paraId="2F629E67" w14:textId="77777777">
        <w:tc>
          <w:tcPr>
            <w:tcW w:w="1710" w:type="dxa"/>
            <w:vMerge/>
            <w:tcBorders>
              <w:left w:val="single" w:sz="4" w:space="0" w:color="auto"/>
              <w:right w:val="single" w:sz="4" w:space="0" w:color="auto"/>
            </w:tcBorders>
            <w:tcMar>
              <w:top w:w="0" w:type="dxa"/>
              <w:left w:w="108" w:type="dxa"/>
              <w:bottom w:w="0" w:type="dxa"/>
              <w:right w:w="108" w:type="dxa"/>
            </w:tcMar>
          </w:tcPr>
          <w:p w14:paraId="5D4AF287"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1F4719A2"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Secondary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279C"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314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w:t>
            </w:r>
          </w:p>
        </w:tc>
      </w:tr>
      <w:tr w:rsidR="0003583A" w14:paraId="6324A045"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563A9E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B7B31D6"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Tertiary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838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9D95E"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r>
      <w:tr w:rsidR="0003583A" w14:paraId="344A0F13"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F256EF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Occupation: </w:t>
            </w:r>
          </w:p>
        </w:tc>
        <w:tc>
          <w:tcPr>
            <w:tcW w:w="2290" w:type="dxa"/>
            <w:tcBorders>
              <w:top w:val="single" w:sz="4" w:space="0" w:color="auto"/>
              <w:left w:val="single" w:sz="4" w:space="0" w:color="auto"/>
              <w:bottom w:val="single" w:sz="4" w:space="0" w:color="auto"/>
              <w:right w:val="single" w:sz="4" w:space="0" w:color="auto"/>
            </w:tcBorders>
          </w:tcPr>
          <w:p w14:paraId="2A1E521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Housewife</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392F"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EB172"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r>
      <w:tr w:rsidR="0003583A" w14:paraId="2B280ED9" w14:textId="77777777">
        <w:tc>
          <w:tcPr>
            <w:tcW w:w="1710" w:type="dxa"/>
            <w:vMerge/>
            <w:tcBorders>
              <w:left w:val="single" w:sz="4" w:space="0" w:color="auto"/>
              <w:right w:val="single" w:sz="4" w:space="0" w:color="auto"/>
            </w:tcBorders>
            <w:tcMar>
              <w:top w:w="0" w:type="dxa"/>
              <w:left w:w="108" w:type="dxa"/>
              <w:bottom w:w="0" w:type="dxa"/>
              <w:right w:w="108" w:type="dxa"/>
            </w:tcMar>
          </w:tcPr>
          <w:p w14:paraId="18310946"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C3D83D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Civil Servant</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7BE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57B2"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03583A" w14:paraId="6554A1E0" w14:textId="77777777">
        <w:tc>
          <w:tcPr>
            <w:tcW w:w="1710" w:type="dxa"/>
            <w:vMerge/>
            <w:tcBorders>
              <w:left w:val="single" w:sz="4" w:space="0" w:color="auto"/>
              <w:right w:val="single" w:sz="4" w:space="0" w:color="auto"/>
            </w:tcBorders>
            <w:tcMar>
              <w:top w:w="0" w:type="dxa"/>
              <w:left w:w="108" w:type="dxa"/>
              <w:bottom w:w="0" w:type="dxa"/>
              <w:right w:w="108" w:type="dxa"/>
            </w:tcMar>
          </w:tcPr>
          <w:p w14:paraId="3ACE63BD"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1AD5196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Business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A8A1"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11523"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43.3</w:t>
            </w:r>
          </w:p>
        </w:tc>
      </w:tr>
      <w:tr w:rsidR="0003583A" w14:paraId="219FD8EC"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AD2F71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A5F5DEC"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Others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2CB61"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F4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3583A" w14:paraId="6E82FF0F"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C51A68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Religion: </w:t>
            </w:r>
          </w:p>
        </w:tc>
        <w:tc>
          <w:tcPr>
            <w:tcW w:w="2290" w:type="dxa"/>
            <w:tcBorders>
              <w:top w:val="single" w:sz="4" w:space="0" w:color="auto"/>
              <w:left w:val="single" w:sz="4" w:space="0" w:color="auto"/>
              <w:bottom w:val="single" w:sz="4" w:space="0" w:color="auto"/>
              <w:right w:val="single" w:sz="4" w:space="0" w:color="auto"/>
            </w:tcBorders>
          </w:tcPr>
          <w:p w14:paraId="336D9BB9"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Christianity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BE18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798EF"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86.6</w:t>
            </w:r>
          </w:p>
        </w:tc>
      </w:tr>
      <w:tr w:rsidR="0003583A" w14:paraId="4481709C"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27FD491"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6D0A8ABA"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Muslim</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8E96C"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FA4C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03583A" w14:paraId="67AC6519"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4C9F65A"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Ethnicity</w:t>
            </w:r>
          </w:p>
        </w:tc>
        <w:tc>
          <w:tcPr>
            <w:tcW w:w="2290" w:type="dxa"/>
            <w:tcBorders>
              <w:top w:val="single" w:sz="4" w:space="0" w:color="auto"/>
              <w:left w:val="single" w:sz="4" w:space="0" w:color="auto"/>
              <w:bottom w:val="single" w:sz="4" w:space="0" w:color="auto"/>
              <w:right w:val="single" w:sz="4" w:space="0" w:color="auto"/>
            </w:tcBorders>
          </w:tcPr>
          <w:p w14:paraId="42FCA0D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Yoruba</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2BF74"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7A833"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3583A" w14:paraId="2B495792" w14:textId="77777777">
        <w:tc>
          <w:tcPr>
            <w:tcW w:w="1710" w:type="dxa"/>
            <w:vMerge/>
            <w:tcBorders>
              <w:left w:val="single" w:sz="4" w:space="0" w:color="auto"/>
              <w:right w:val="single" w:sz="4" w:space="0" w:color="auto"/>
            </w:tcBorders>
            <w:tcMar>
              <w:top w:w="0" w:type="dxa"/>
              <w:left w:w="108" w:type="dxa"/>
              <w:bottom w:w="0" w:type="dxa"/>
              <w:right w:w="108" w:type="dxa"/>
            </w:tcMar>
          </w:tcPr>
          <w:p w14:paraId="5BAF4F3D"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6F7FCB39"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Ibo</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4316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84B9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03583A" w14:paraId="2FF4F167" w14:textId="77777777">
        <w:tc>
          <w:tcPr>
            <w:tcW w:w="1710" w:type="dxa"/>
            <w:vMerge/>
            <w:tcBorders>
              <w:left w:val="single" w:sz="4" w:space="0" w:color="auto"/>
              <w:right w:val="single" w:sz="4" w:space="0" w:color="auto"/>
            </w:tcBorders>
            <w:tcMar>
              <w:top w:w="0" w:type="dxa"/>
              <w:left w:w="108" w:type="dxa"/>
              <w:bottom w:w="0" w:type="dxa"/>
              <w:right w:w="108" w:type="dxa"/>
            </w:tcMar>
          </w:tcPr>
          <w:p w14:paraId="37B142F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6640B01"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Hausa</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DB1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FBDE7"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03583A" w14:paraId="10C093BD"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DDD5E1"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7363144B"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Others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6F3E"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E69E0"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r>
    </w:tbl>
    <w:p w14:paraId="46F07993" w14:textId="77777777" w:rsidR="0003583A" w:rsidRDefault="00DC180B">
      <w:pPr>
        <w:spacing w:line="480" w:lineRule="auto"/>
        <w:jc w:val="both"/>
        <w:rPr>
          <w:rFonts w:ascii="Times New Roman" w:hAnsi="Times New Roman" w:cs="Times New Roman"/>
          <w:sz w:val="24"/>
          <w:szCs w:val="24"/>
        </w:rPr>
      </w:pPr>
      <w:r>
        <w:rPr>
          <w:rFonts w:ascii="Times New Roman" w:hAnsi="Times New Roman" w:cs="Times New Roman"/>
          <w:sz w:val="24"/>
          <w:szCs w:val="24"/>
        </w:rPr>
        <w:t>The occupational distribution shows that 43.3% were engaged in business, followed by 30% civil servants and 16.7% were housewives. Regarding religious affiliation, Christianity was predominant at 88.6%, while 13.3% each identified themselves as Muslim. In terms of ethnicity, half (50%) were Ibo, followed by 33.3% from other ethnicities, 10% Yoruba, and 6.7% Hausa. These data provide context for interpreting maternal perception and decision-making towards exchange blood transfusion in this clinical setting.</w:t>
      </w:r>
    </w:p>
    <w:p w14:paraId="1274D3EC" w14:textId="77777777" w:rsidR="0003583A" w:rsidRDefault="00DC180B">
      <w:pPr>
        <w:keepNext/>
        <w:keepLines/>
        <w:spacing w:after="0"/>
        <w:jc w:val="center"/>
        <w:outlineLvl w:val="0"/>
        <w:rPr>
          <w:rFonts w:ascii="Times New Roman" w:hAnsi="Times New Roman" w:cs="Times New Roman"/>
          <w:b/>
          <w:sz w:val="24"/>
          <w:szCs w:val="24"/>
        </w:rPr>
      </w:pPr>
      <w:r>
        <w:rPr>
          <w:rFonts w:ascii="Times New Roman" w:hAnsi="Times New Roman" w:cs="Times New Roman"/>
          <w:b/>
          <w:sz w:val="24"/>
          <w:szCs w:val="24"/>
        </w:rPr>
        <w:t>Table 2: Chi-Square Test of Association between Mothers’ Perception and Willingness to Consent to Exchange Blood Transfusion (N = 150)</w:t>
      </w:r>
    </w:p>
    <w:tbl>
      <w:tblPr>
        <w:tblStyle w:val="TableGrid"/>
        <w:tblW w:w="865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
        <w:gridCol w:w="3150"/>
        <w:gridCol w:w="810"/>
        <w:gridCol w:w="900"/>
        <w:gridCol w:w="810"/>
        <w:gridCol w:w="428"/>
        <w:gridCol w:w="1012"/>
        <w:gridCol w:w="1080"/>
      </w:tblGrid>
      <w:tr w:rsidR="0003583A" w14:paraId="1D843D14" w14:textId="77777777">
        <w:trPr>
          <w:trHeight w:val="276"/>
        </w:trPr>
        <w:tc>
          <w:tcPr>
            <w:tcW w:w="3618" w:type="dxa"/>
            <w:gridSpan w:val="2"/>
            <w:vMerge w:val="restart"/>
            <w:vAlign w:val="center"/>
          </w:tcPr>
          <w:p w14:paraId="26F2BE35" w14:textId="77777777" w:rsidR="0003583A" w:rsidRDefault="00DC18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Questionnaire Items</w:t>
            </w:r>
          </w:p>
        </w:tc>
        <w:tc>
          <w:tcPr>
            <w:tcW w:w="810" w:type="dxa"/>
            <w:vMerge w:val="restart"/>
            <w:vAlign w:val="center"/>
          </w:tcPr>
          <w:p w14:paraId="4977B6F1" w14:textId="77777777" w:rsidR="0003583A" w:rsidRDefault="00DC180B">
            <w:pPr>
              <w:ind w:left="-108" w:right="-108"/>
              <w:jc w:val="center"/>
              <w:rPr>
                <w:rFonts w:ascii="Times New Roman" w:hAnsi="Times New Roman" w:cs="Times New Roman"/>
                <w:sz w:val="24"/>
                <w:szCs w:val="24"/>
              </w:rPr>
            </w:pPr>
            <w:r>
              <w:rPr>
                <w:rFonts w:ascii="Times New Roman" w:hAnsi="Times New Roman" w:cs="Times New Roman"/>
                <w:sz w:val="24"/>
                <w:szCs w:val="24"/>
              </w:rPr>
              <w:t xml:space="preserve">Positive </w:t>
            </w:r>
          </w:p>
          <w:p w14:paraId="10B22487" w14:textId="77777777" w:rsidR="0003583A" w:rsidRDefault="00DC180B">
            <w:pPr>
              <w:ind w:left="-108" w:right="-108"/>
              <w:jc w:val="center"/>
              <w:rPr>
                <w:rFonts w:ascii="Times New Roman" w:hAnsi="Times New Roman" w:cs="Times New Roman"/>
                <w:sz w:val="24"/>
                <w:szCs w:val="24"/>
              </w:rPr>
            </w:pPr>
            <w:r>
              <w:rPr>
                <w:rFonts w:ascii="Times New Roman" w:hAnsi="Times New Roman" w:cs="Times New Roman"/>
                <w:sz w:val="24"/>
                <w:szCs w:val="24"/>
              </w:rPr>
              <w:t>n (%)</w:t>
            </w:r>
          </w:p>
        </w:tc>
        <w:tc>
          <w:tcPr>
            <w:tcW w:w="900" w:type="dxa"/>
            <w:vMerge w:val="restart"/>
            <w:vAlign w:val="center"/>
          </w:tcPr>
          <w:p w14:paraId="1D3014E1" w14:textId="77777777" w:rsidR="0003583A" w:rsidRDefault="00DC180B">
            <w:pPr>
              <w:ind w:left="-124" w:right="-108"/>
              <w:jc w:val="center"/>
              <w:rPr>
                <w:rFonts w:ascii="Times New Roman" w:hAnsi="Times New Roman" w:cs="Times New Roman"/>
                <w:sz w:val="24"/>
                <w:szCs w:val="24"/>
              </w:rPr>
            </w:pPr>
            <w:r>
              <w:rPr>
                <w:rFonts w:ascii="Times New Roman" w:hAnsi="Times New Roman" w:cs="Times New Roman"/>
                <w:sz w:val="24"/>
                <w:szCs w:val="24"/>
              </w:rPr>
              <w:t xml:space="preserve">Negative </w:t>
            </w:r>
          </w:p>
          <w:p w14:paraId="589DBA4D" w14:textId="77777777" w:rsidR="0003583A" w:rsidRDefault="00DC180B">
            <w:pPr>
              <w:ind w:left="-124" w:right="-108"/>
              <w:jc w:val="center"/>
              <w:rPr>
                <w:rFonts w:ascii="Times New Roman" w:hAnsi="Times New Roman" w:cs="Times New Roman"/>
                <w:sz w:val="24"/>
                <w:szCs w:val="24"/>
              </w:rPr>
            </w:pPr>
            <w:r>
              <w:rPr>
                <w:rFonts w:ascii="Times New Roman" w:hAnsi="Times New Roman" w:cs="Times New Roman"/>
                <w:sz w:val="24"/>
                <w:szCs w:val="24"/>
              </w:rPr>
              <w:t>n (%)</w:t>
            </w:r>
          </w:p>
        </w:tc>
        <w:tc>
          <w:tcPr>
            <w:tcW w:w="810" w:type="dxa"/>
            <w:vMerge w:val="restart"/>
            <w:vAlign w:val="center"/>
          </w:tcPr>
          <w:p w14:paraId="36010F83"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Total</w:t>
            </w:r>
          </w:p>
        </w:tc>
        <w:tc>
          <w:tcPr>
            <w:tcW w:w="428" w:type="dxa"/>
            <w:vMerge w:val="restart"/>
            <w:vAlign w:val="center"/>
          </w:tcPr>
          <w:p w14:paraId="61BCF1E0"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df</w:t>
            </w:r>
          </w:p>
        </w:tc>
        <w:tc>
          <w:tcPr>
            <w:tcW w:w="1012" w:type="dxa"/>
            <w:vMerge w:val="restart"/>
            <w:vAlign w:val="center"/>
          </w:tcPr>
          <w:p w14:paraId="2897FDAF"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χ²</w:t>
            </w:r>
          </w:p>
        </w:tc>
        <w:tc>
          <w:tcPr>
            <w:tcW w:w="1080" w:type="dxa"/>
            <w:vMerge w:val="restart"/>
            <w:vAlign w:val="center"/>
          </w:tcPr>
          <w:p w14:paraId="69EBFE36"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P-value</w:t>
            </w:r>
          </w:p>
        </w:tc>
      </w:tr>
      <w:tr w:rsidR="0003583A" w14:paraId="112719BD" w14:textId="77777777">
        <w:trPr>
          <w:trHeight w:val="276"/>
        </w:trPr>
        <w:tc>
          <w:tcPr>
            <w:tcW w:w="3618" w:type="dxa"/>
            <w:gridSpan w:val="2"/>
            <w:vMerge/>
          </w:tcPr>
          <w:p w14:paraId="7527EB79" w14:textId="77777777" w:rsidR="0003583A" w:rsidRDefault="0003583A">
            <w:pPr>
              <w:autoSpaceDE w:val="0"/>
              <w:autoSpaceDN w:val="0"/>
              <w:adjustRightInd w:val="0"/>
              <w:rPr>
                <w:rFonts w:ascii="Times New Roman" w:hAnsi="Times New Roman" w:cs="Times New Roman"/>
                <w:sz w:val="24"/>
                <w:szCs w:val="24"/>
              </w:rPr>
            </w:pPr>
          </w:p>
        </w:tc>
        <w:tc>
          <w:tcPr>
            <w:tcW w:w="810" w:type="dxa"/>
            <w:vMerge/>
            <w:vAlign w:val="center"/>
          </w:tcPr>
          <w:p w14:paraId="17817E8A" w14:textId="77777777" w:rsidR="0003583A" w:rsidRDefault="0003583A">
            <w:pPr>
              <w:autoSpaceDE w:val="0"/>
              <w:autoSpaceDN w:val="0"/>
              <w:adjustRightInd w:val="0"/>
              <w:ind w:left="-108" w:right="-108"/>
              <w:jc w:val="center"/>
              <w:rPr>
                <w:rFonts w:ascii="Times New Roman" w:hAnsi="Times New Roman" w:cs="Times New Roman"/>
                <w:sz w:val="24"/>
                <w:szCs w:val="24"/>
              </w:rPr>
            </w:pPr>
          </w:p>
        </w:tc>
        <w:tc>
          <w:tcPr>
            <w:tcW w:w="900" w:type="dxa"/>
            <w:vMerge/>
            <w:vAlign w:val="center"/>
          </w:tcPr>
          <w:p w14:paraId="5DE03817" w14:textId="77777777" w:rsidR="0003583A" w:rsidRDefault="0003583A">
            <w:pPr>
              <w:autoSpaceDE w:val="0"/>
              <w:autoSpaceDN w:val="0"/>
              <w:adjustRightInd w:val="0"/>
              <w:ind w:left="-124" w:right="-108"/>
              <w:jc w:val="center"/>
              <w:rPr>
                <w:rFonts w:ascii="Times New Roman" w:hAnsi="Times New Roman" w:cs="Times New Roman"/>
                <w:sz w:val="24"/>
                <w:szCs w:val="24"/>
              </w:rPr>
            </w:pPr>
          </w:p>
        </w:tc>
        <w:tc>
          <w:tcPr>
            <w:tcW w:w="810" w:type="dxa"/>
            <w:vMerge/>
            <w:vAlign w:val="center"/>
          </w:tcPr>
          <w:p w14:paraId="7DD4C0E3" w14:textId="77777777" w:rsidR="0003583A" w:rsidRDefault="0003583A">
            <w:pPr>
              <w:autoSpaceDE w:val="0"/>
              <w:autoSpaceDN w:val="0"/>
              <w:adjustRightInd w:val="0"/>
              <w:ind w:right="-41"/>
              <w:jc w:val="center"/>
              <w:rPr>
                <w:rFonts w:ascii="Times New Roman" w:hAnsi="Times New Roman" w:cs="Times New Roman"/>
                <w:sz w:val="24"/>
                <w:szCs w:val="24"/>
              </w:rPr>
            </w:pPr>
          </w:p>
        </w:tc>
        <w:tc>
          <w:tcPr>
            <w:tcW w:w="428" w:type="dxa"/>
            <w:vMerge/>
            <w:vAlign w:val="center"/>
          </w:tcPr>
          <w:p w14:paraId="65F8D24D" w14:textId="77777777" w:rsidR="0003583A" w:rsidRDefault="0003583A">
            <w:pPr>
              <w:autoSpaceDE w:val="0"/>
              <w:autoSpaceDN w:val="0"/>
              <w:adjustRightInd w:val="0"/>
              <w:ind w:right="-41"/>
              <w:jc w:val="center"/>
              <w:rPr>
                <w:rFonts w:ascii="Times New Roman" w:hAnsi="Times New Roman" w:cs="Times New Roman"/>
                <w:sz w:val="24"/>
                <w:szCs w:val="24"/>
              </w:rPr>
            </w:pPr>
          </w:p>
        </w:tc>
        <w:tc>
          <w:tcPr>
            <w:tcW w:w="1012" w:type="dxa"/>
            <w:vMerge/>
            <w:vAlign w:val="center"/>
          </w:tcPr>
          <w:p w14:paraId="15A8CE55" w14:textId="77777777" w:rsidR="0003583A" w:rsidRDefault="0003583A">
            <w:pPr>
              <w:autoSpaceDE w:val="0"/>
              <w:autoSpaceDN w:val="0"/>
              <w:adjustRightInd w:val="0"/>
              <w:ind w:right="-41"/>
              <w:jc w:val="center"/>
              <w:rPr>
                <w:rFonts w:ascii="Times New Roman" w:hAnsi="Times New Roman" w:cs="Times New Roman"/>
                <w:sz w:val="24"/>
                <w:szCs w:val="24"/>
              </w:rPr>
            </w:pPr>
          </w:p>
        </w:tc>
        <w:tc>
          <w:tcPr>
            <w:tcW w:w="1080" w:type="dxa"/>
            <w:vMerge/>
            <w:vAlign w:val="center"/>
          </w:tcPr>
          <w:p w14:paraId="08005E1C" w14:textId="77777777" w:rsidR="0003583A" w:rsidRDefault="0003583A">
            <w:pPr>
              <w:autoSpaceDE w:val="0"/>
              <w:autoSpaceDN w:val="0"/>
              <w:adjustRightInd w:val="0"/>
              <w:ind w:right="-41"/>
              <w:jc w:val="center"/>
              <w:rPr>
                <w:rFonts w:ascii="Times New Roman" w:hAnsi="Times New Roman" w:cs="Times New Roman"/>
                <w:sz w:val="24"/>
                <w:szCs w:val="24"/>
              </w:rPr>
            </w:pPr>
          </w:p>
        </w:tc>
      </w:tr>
      <w:tr w:rsidR="0003583A" w14:paraId="4BC6957A" w14:textId="77777777">
        <w:tc>
          <w:tcPr>
            <w:tcW w:w="468" w:type="dxa"/>
          </w:tcPr>
          <w:p w14:paraId="241318AA"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1</w:t>
            </w:r>
          </w:p>
        </w:tc>
        <w:tc>
          <w:tcPr>
            <w:tcW w:w="3150" w:type="dxa"/>
          </w:tcPr>
          <w:p w14:paraId="0BA603A8"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transfer of someone’s life to the baby.</w:t>
            </w:r>
          </w:p>
        </w:tc>
        <w:tc>
          <w:tcPr>
            <w:tcW w:w="810" w:type="dxa"/>
            <w:vAlign w:val="center"/>
          </w:tcPr>
          <w:p w14:paraId="7AE70BF6"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25 (16.7)</w:t>
            </w:r>
          </w:p>
        </w:tc>
        <w:tc>
          <w:tcPr>
            <w:tcW w:w="900" w:type="dxa"/>
            <w:vAlign w:val="center"/>
          </w:tcPr>
          <w:p w14:paraId="0CC2C499"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125 (83.3)</w:t>
            </w:r>
          </w:p>
        </w:tc>
        <w:tc>
          <w:tcPr>
            <w:tcW w:w="810" w:type="dxa"/>
            <w:vAlign w:val="center"/>
          </w:tcPr>
          <w:p w14:paraId="26FCC82C"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4A98085D"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4585C375"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9.570</w:t>
            </w:r>
            <w:r>
              <w:rPr>
                <w:rFonts w:ascii="Times New Roman" w:hAnsi="Times New Roman" w:cs="Times New Roman"/>
                <w:sz w:val="24"/>
                <w:szCs w:val="24"/>
                <w:vertAlign w:val="superscript"/>
              </w:rPr>
              <w:t>a</w:t>
            </w:r>
          </w:p>
        </w:tc>
        <w:tc>
          <w:tcPr>
            <w:tcW w:w="1080" w:type="dxa"/>
            <w:vAlign w:val="center"/>
          </w:tcPr>
          <w:p w14:paraId="37A83A05"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0.008</w:t>
            </w:r>
          </w:p>
        </w:tc>
      </w:tr>
      <w:tr w:rsidR="0003583A" w14:paraId="341F78FD" w14:textId="77777777">
        <w:tc>
          <w:tcPr>
            <w:tcW w:w="468" w:type="dxa"/>
          </w:tcPr>
          <w:p w14:paraId="1C6143FC"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2</w:t>
            </w:r>
          </w:p>
        </w:tc>
        <w:tc>
          <w:tcPr>
            <w:tcW w:w="3150" w:type="dxa"/>
          </w:tcPr>
          <w:p w14:paraId="5A79EC24"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The baby will die if exchange blood is given.</w:t>
            </w:r>
          </w:p>
        </w:tc>
        <w:tc>
          <w:tcPr>
            <w:tcW w:w="810" w:type="dxa"/>
            <w:vAlign w:val="center"/>
          </w:tcPr>
          <w:p w14:paraId="126519DE"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15 (10.0)</w:t>
            </w:r>
          </w:p>
        </w:tc>
        <w:tc>
          <w:tcPr>
            <w:tcW w:w="900" w:type="dxa"/>
            <w:vAlign w:val="center"/>
          </w:tcPr>
          <w:p w14:paraId="4B9E05A2"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135 (90.0)</w:t>
            </w:r>
          </w:p>
        </w:tc>
        <w:tc>
          <w:tcPr>
            <w:tcW w:w="810" w:type="dxa"/>
            <w:vAlign w:val="center"/>
          </w:tcPr>
          <w:p w14:paraId="084AE33C"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3BFC1DEF" w14:textId="77777777" w:rsidR="0003583A" w:rsidRDefault="0003583A">
            <w:pPr>
              <w:autoSpaceDE w:val="0"/>
              <w:autoSpaceDN w:val="0"/>
              <w:adjustRightInd w:val="0"/>
              <w:spacing w:line="320" w:lineRule="atLeast"/>
              <w:ind w:right="-108"/>
              <w:jc w:val="center"/>
              <w:rPr>
                <w:rFonts w:ascii="Times New Roman" w:hAnsi="Times New Roman" w:cs="Times New Roman"/>
                <w:sz w:val="24"/>
                <w:szCs w:val="24"/>
              </w:rPr>
            </w:pPr>
          </w:p>
        </w:tc>
        <w:tc>
          <w:tcPr>
            <w:tcW w:w="1012" w:type="dxa"/>
            <w:vAlign w:val="center"/>
          </w:tcPr>
          <w:p w14:paraId="521528F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21.060</w:t>
            </w:r>
            <w:r>
              <w:rPr>
                <w:rFonts w:ascii="Times New Roman" w:hAnsi="Times New Roman" w:cs="Times New Roman"/>
                <w:sz w:val="24"/>
                <w:szCs w:val="24"/>
                <w:vertAlign w:val="superscript"/>
              </w:rPr>
              <w:t>a</w:t>
            </w:r>
          </w:p>
        </w:tc>
        <w:tc>
          <w:tcPr>
            <w:tcW w:w="1080" w:type="dxa"/>
            <w:vAlign w:val="center"/>
          </w:tcPr>
          <w:p w14:paraId="10D0C4ED"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67E26CC1" w14:textId="77777777">
        <w:tc>
          <w:tcPr>
            <w:tcW w:w="468" w:type="dxa"/>
          </w:tcPr>
          <w:p w14:paraId="367140ED"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3150" w:type="dxa"/>
          </w:tcPr>
          <w:p w14:paraId="31D494B9"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only necessary when all other treatments have failed.</w:t>
            </w:r>
          </w:p>
        </w:tc>
        <w:tc>
          <w:tcPr>
            <w:tcW w:w="810" w:type="dxa"/>
            <w:vAlign w:val="center"/>
          </w:tcPr>
          <w:p w14:paraId="435A41C4"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38 (25.3)</w:t>
            </w:r>
          </w:p>
        </w:tc>
        <w:tc>
          <w:tcPr>
            <w:tcW w:w="900" w:type="dxa"/>
            <w:vAlign w:val="center"/>
          </w:tcPr>
          <w:p w14:paraId="7899DDC2"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112 (74.7)</w:t>
            </w:r>
          </w:p>
        </w:tc>
        <w:tc>
          <w:tcPr>
            <w:tcW w:w="810" w:type="dxa"/>
            <w:vAlign w:val="center"/>
          </w:tcPr>
          <w:p w14:paraId="41DD4859"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612D5552"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232F269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7.013</w:t>
            </w:r>
            <w:r>
              <w:rPr>
                <w:rFonts w:ascii="Times New Roman" w:hAnsi="Times New Roman" w:cs="Times New Roman"/>
                <w:sz w:val="24"/>
                <w:szCs w:val="24"/>
                <w:vertAlign w:val="superscript"/>
              </w:rPr>
              <w:t>a</w:t>
            </w:r>
          </w:p>
        </w:tc>
        <w:tc>
          <w:tcPr>
            <w:tcW w:w="1080" w:type="dxa"/>
            <w:vAlign w:val="center"/>
          </w:tcPr>
          <w:p w14:paraId="62E78B9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0.030</w:t>
            </w:r>
          </w:p>
        </w:tc>
      </w:tr>
      <w:tr w:rsidR="0003583A" w14:paraId="1CBEC940" w14:textId="77777777">
        <w:tc>
          <w:tcPr>
            <w:tcW w:w="468" w:type="dxa"/>
          </w:tcPr>
          <w:p w14:paraId="74730698"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4</w:t>
            </w:r>
          </w:p>
        </w:tc>
        <w:tc>
          <w:tcPr>
            <w:tcW w:w="3150" w:type="dxa"/>
          </w:tcPr>
          <w:p w14:paraId="7BD0F74A"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will kill the baby</w:t>
            </w:r>
          </w:p>
        </w:tc>
        <w:tc>
          <w:tcPr>
            <w:tcW w:w="810" w:type="dxa"/>
            <w:vAlign w:val="center"/>
          </w:tcPr>
          <w:p w14:paraId="1AABDEAD"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18 (12.0)</w:t>
            </w:r>
          </w:p>
        </w:tc>
        <w:tc>
          <w:tcPr>
            <w:tcW w:w="900" w:type="dxa"/>
            <w:vAlign w:val="center"/>
          </w:tcPr>
          <w:p w14:paraId="4E8A5203"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132 (88.0)</w:t>
            </w:r>
          </w:p>
        </w:tc>
        <w:tc>
          <w:tcPr>
            <w:tcW w:w="810" w:type="dxa"/>
            <w:vAlign w:val="center"/>
          </w:tcPr>
          <w:p w14:paraId="2B791BA7"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602691FC"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42BB52DA"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20.011</w:t>
            </w:r>
            <w:r>
              <w:rPr>
                <w:rFonts w:ascii="Times New Roman" w:hAnsi="Times New Roman" w:cs="Times New Roman"/>
                <w:sz w:val="24"/>
                <w:szCs w:val="24"/>
                <w:vertAlign w:val="superscript"/>
              </w:rPr>
              <w:t>a</w:t>
            </w:r>
          </w:p>
        </w:tc>
        <w:tc>
          <w:tcPr>
            <w:tcW w:w="1080" w:type="dxa"/>
            <w:vAlign w:val="center"/>
          </w:tcPr>
          <w:p w14:paraId="27665B06"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7F0EE182" w14:textId="77777777">
        <w:tc>
          <w:tcPr>
            <w:tcW w:w="468" w:type="dxa"/>
          </w:tcPr>
          <w:p w14:paraId="5E3B6E72"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3150" w:type="dxa"/>
          </w:tcPr>
          <w:p w14:paraId="2908EF38"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a painful and dangerous procedure for babies.</w:t>
            </w:r>
          </w:p>
        </w:tc>
        <w:tc>
          <w:tcPr>
            <w:tcW w:w="810" w:type="dxa"/>
            <w:vAlign w:val="center"/>
          </w:tcPr>
          <w:p w14:paraId="56CE0F15"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28 (18.7)</w:t>
            </w:r>
          </w:p>
        </w:tc>
        <w:tc>
          <w:tcPr>
            <w:tcW w:w="900" w:type="dxa"/>
            <w:vAlign w:val="center"/>
          </w:tcPr>
          <w:p w14:paraId="3A258D5E"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122 (81.3)</w:t>
            </w:r>
          </w:p>
        </w:tc>
        <w:tc>
          <w:tcPr>
            <w:tcW w:w="810" w:type="dxa"/>
            <w:vAlign w:val="center"/>
          </w:tcPr>
          <w:p w14:paraId="4DAD28D6"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070483D8"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5342B0BC"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16.312</w:t>
            </w:r>
            <w:r>
              <w:rPr>
                <w:rFonts w:ascii="Times New Roman" w:hAnsi="Times New Roman" w:cs="Times New Roman"/>
                <w:sz w:val="24"/>
                <w:szCs w:val="24"/>
                <w:vertAlign w:val="superscript"/>
              </w:rPr>
              <w:t>a</w:t>
            </w:r>
          </w:p>
        </w:tc>
        <w:tc>
          <w:tcPr>
            <w:tcW w:w="1080" w:type="dxa"/>
            <w:vAlign w:val="center"/>
          </w:tcPr>
          <w:p w14:paraId="4083102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6976BD59" w14:textId="77777777">
        <w:tc>
          <w:tcPr>
            <w:tcW w:w="468" w:type="dxa"/>
          </w:tcPr>
          <w:p w14:paraId="78EE2D69"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3150" w:type="dxa"/>
          </w:tcPr>
          <w:p w14:paraId="645118A4"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I do not trust the safety of donor blood used in exchange transfusion.</w:t>
            </w:r>
          </w:p>
        </w:tc>
        <w:tc>
          <w:tcPr>
            <w:tcW w:w="810" w:type="dxa"/>
            <w:vAlign w:val="center"/>
          </w:tcPr>
          <w:p w14:paraId="162B4364"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40 (26.7)</w:t>
            </w:r>
          </w:p>
        </w:tc>
        <w:tc>
          <w:tcPr>
            <w:tcW w:w="900" w:type="dxa"/>
            <w:vAlign w:val="center"/>
          </w:tcPr>
          <w:p w14:paraId="14C517D1"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110 (73.3)</w:t>
            </w:r>
          </w:p>
        </w:tc>
        <w:tc>
          <w:tcPr>
            <w:tcW w:w="810" w:type="dxa"/>
            <w:vAlign w:val="center"/>
          </w:tcPr>
          <w:p w14:paraId="682F6126"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7CAEDFCB"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5BCC6BA6"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6.361</w:t>
            </w:r>
            <w:r>
              <w:rPr>
                <w:rFonts w:ascii="Times New Roman" w:hAnsi="Times New Roman" w:cs="Times New Roman"/>
                <w:sz w:val="24"/>
                <w:szCs w:val="24"/>
                <w:vertAlign w:val="superscript"/>
              </w:rPr>
              <w:t>a</w:t>
            </w:r>
          </w:p>
        </w:tc>
        <w:tc>
          <w:tcPr>
            <w:tcW w:w="1080" w:type="dxa"/>
            <w:vAlign w:val="center"/>
          </w:tcPr>
          <w:p w14:paraId="4C4AB7B7"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0.420</w:t>
            </w:r>
          </w:p>
        </w:tc>
      </w:tr>
    </w:tbl>
    <w:p w14:paraId="0B4ADF52"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 xml:space="preserve">The results in Table 2, most notable associations were observed in items, where most of the women expressed fear-based beliefs regarding EBT. In particular, only 10.0% of the respondents agreed with the statement that “the baby will die if exchange blood is given” (Item 2), while 90.0% disagreed, and this association was statistically significant (p &lt; 0.001). A similar pattern was observed in Item 4, where only 12.0% agreed that “exchange transfusion will kill the baby,” while 88.0% disagreed (p &lt; 0.001). In addition, 18.7% of the mothers agreed that exchange transfusion is a painful and dangerous procedure (Item 5), while 81.3% disagreed, and this too showed a strong association with willingness (p &lt; 0.001). However, mistrust in donor blood safety (Item 6) did not show a statistically significant association, as 26.7% agreed and 73.3% disagreed (p = 0.420). These findings confirm that maternal perception driven by fear, cultural myths, or misinformation can indeed dictate the willingness of a mother to give her consent for newborn exchange blood transfusion. </w:t>
      </w:r>
    </w:p>
    <w:p w14:paraId="5265F40D" w14:textId="77777777" w:rsidR="0003583A" w:rsidRDefault="0003583A">
      <w:pPr>
        <w:autoSpaceDE w:val="0"/>
        <w:autoSpaceDN w:val="0"/>
        <w:adjustRightInd w:val="0"/>
        <w:spacing w:after="0" w:line="240" w:lineRule="auto"/>
        <w:rPr>
          <w:rFonts w:ascii="Times New Roman" w:hAnsi="Times New Roman" w:cs="Times New Roman"/>
          <w:sz w:val="24"/>
          <w:szCs w:val="24"/>
        </w:rPr>
      </w:pPr>
    </w:p>
    <w:p w14:paraId="2C507775" w14:textId="77777777" w:rsidR="0003583A" w:rsidRDefault="00DC180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 Binary Logistic Regression Predicting Willingness to Consent to Exchange Blood Transfusion from Maternal Perception Variables (N = 150)</w:t>
      </w:r>
    </w:p>
    <w:tbl>
      <w:tblPr>
        <w:tblStyle w:val="TableGrid"/>
        <w:tblW w:w="865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
        <w:gridCol w:w="3060"/>
        <w:gridCol w:w="630"/>
        <w:gridCol w:w="630"/>
        <w:gridCol w:w="720"/>
        <w:gridCol w:w="360"/>
        <w:gridCol w:w="450"/>
        <w:gridCol w:w="720"/>
        <w:gridCol w:w="720"/>
        <w:gridCol w:w="900"/>
      </w:tblGrid>
      <w:tr w:rsidR="0003583A" w14:paraId="5C32C118" w14:textId="77777777">
        <w:tc>
          <w:tcPr>
            <w:tcW w:w="3528" w:type="dxa"/>
            <w:gridSpan w:val="2"/>
            <w:vMerge w:val="restart"/>
          </w:tcPr>
          <w:p w14:paraId="26038A17" w14:textId="77777777" w:rsidR="0003583A" w:rsidRDefault="0003583A">
            <w:pPr>
              <w:autoSpaceDE w:val="0"/>
              <w:autoSpaceDN w:val="0"/>
              <w:adjustRightInd w:val="0"/>
              <w:rPr>
                <w:rFonts w:ascii="Times New Roman" w:hAnsi="Times New Roman" w:cs="Times New Roman"/>
                <w:sz w:val="24"/>
                <w:szCs w:val="24"/>
              </w:rPr>
            </w:pPr>
          </w:p>
        </w:tc>
        <w:tc>
          <w:tcPr>
            <w:tcW w:w="630" w:type="dxa"/>
            <w:vMerge w:val="restart"/>
            <w:vAlign w:val="center"/>
          </w:tcPr>
          <w:p w14:paraId="70D54BE0"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B</w:t>
            </w:r>
          </w:p>
        </w:tc>
        <w:tc>
          <w:tcPr>
            <w:tcW w:w="630" w:type="dxa"/>
            <w:vMerge w:val="restart"/>
            <w:vAlign w:val="center"/>
          </w:tcPr>
          <w:p w14:paraId="41CCC111" w14:textId="77777777" w:rsidR="0003583A" w:rsidRDefault="00DC180B">
            <w:pPr>
              <w:autoSpaceDE w:val="0"/>
              <w:autoSpaceDN w:val="0"/>
              <w:adjustRightInd w:val="0"/>
              <w:spacing w:line="320" w:lineRule="atLeast"/>
              <w:ind w:left="-288" w:right="-198"/>
              <w:jc w:val="center"/>
              <w:rPr>
                <w:rFonts w:ascii="Times New Roman" w:hAnsi="Times New Roman" w:cs="Times New Roman"/>
                <w:sz w:val="24"/>
                <w:szCs w:val="24"/>
              </w:rPr>
            </w:pPr>
            <w:r>
              <w:rPr>
                <w:rFonts w:ascii="Times New Roman" w:hAnsi="Times New Roman" w:cs="Times New Roman"/>
                <w:sz w:val="24"/>
                <w:szCs w:val="24"/>
              </w:rPr>
              <w:t>S.E.</w:t>
            </w:r>
          </w:p>
        </w:tc>
        <w:tc>
          <w:tcPr>
            <w:tcW w:w="720" w:type="dxa"/>
            <w:vMerge w:val="restart"/>
            <w:vAlign w:val="center"/>
          </w:tcPr>
          <w:p w14:paraId="67178A35" w14:textId="77777777" w:rsidR="0003583A" w:rsidRDefault="00DC180B">
            <w:pPr>
              <w:autoSpaceDE w:val="0"/>
              <w:autoSpaceDN w:val="0"/>
              <w:adjustRightInd w:val="0"/>
              <w:spacing w:line="320" w:lineRule="atLeast"/>
              <w:ind w:left="-90" w:right="-126"/>
              <w:jc w:val="center"/>
              <w:rPr>
                <w:rFonts w:ascii="Times New Roman" w:hAnsi="Times New Roman" w:cs="Times New Roman"/>
                <w:sz w:val="24"/>
                <w:szCs w:val="24"/>
              </w:rPr>
            </w:pPr>
            <w:r>
              <w:rPr>
                <w:rFonts w:ascii="Times New Roman" w:hAnsi="Times New Roman" w:cs="Times New Roman"/>
                <w:sz w:val="24"/>
                <w:szCs w:val="24"/>
              </w:rPr>
              <w:t>Wald</w:t>
            </w:r>
          </w:p>
        </w:tc>
        <w:tc>
          <w:tcPr>
            <w:tcW w:w="360" w:type="dxa"/>
            <w:vMerge w:val="restart"/>
            <w:vAlign w:val="center"/>
          </w:tcPr>
          <w:p w14:paraId="0D1DF5B7"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df</w:t>
            </w:r>
          </w:p>
        </w:tc>
        <w:tc>
          <w:tcPr>
            <w:tcW w:w="450" w:type="dxa"/>
            <w:vMerge w:val="restart"/>
            <w:vAlign w:val="center"/>
          </w:tcPr>
          <w:p w14:paraId="51681484"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Sig.</w:t>
            </w:r>
          </w:p>
          <w:p w14:paraId="20E7FE25" w14:textId="77777777" w:rsidR="0003583A" w:rsidRDefault="0003583A">
            <w:pPr>
              <w:ind w:left="-108" w:right="-108"/>
              <w:jc w:val="center"/>
              <w:rPr>
                <w:rFonts w:ascii="Times New Roman" w:hAnsi="Times New Roman" w:cs="Times New Roman"/>
                <w:sz w:val="24"/>
                <w:szCs w:val="24"/>
              </w:rPr>
            </w:pPr>
          </w:p>
        </w:tc>
        <w:tc>
          <w:tcPr>
            <w:tcW w:w="720" w:type="dxa"/>
            <w:vMerge w:val="restart"/>
            <w:vAlign w:val="center"/>
          </w:tcPr>
          <w:p w14:paraId="7F0DA462" w14:textId="77777777" w:rsidR="0003583A" w:rsidRDefault="00DC180B">
            <w:pPr>
              <w:tabs>
                <w:tab w:val="left" w:pos="72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Exp</w:t>
            </w:r>
          </w:p>
          <w:p w14:paraId="496846BA" w14:textId="77777777" w:rsidR="0003583A" w:rsidRDefault="00DC180B">
            <w:pPr>
              <w:tabs>
                <w:tab w:val="left" w:pos="72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(B)</w:t>
            </w:r>
          </w:p>
        </w:tc>
        <w:tc>
          <w:tcPr>
            <w:tcW w:w="1620" w:type="dxa"/>
            <w:gridSpan w:val="2"/>
            <w:vAlign w:val="center"/>
          </w:tcPr>
          <w:p w14:paraId="406E229D" w14:textId="77777777" w:rsidR="0003583A" w:rsidRDefault="00DC180B">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 xml:space="preserve">95% </w:t>
            </w:r>
            <w:proofErr w:type="spellStart"/>
            <w:r>
              <w:rPr>
                <w:rFonts w:ascii="Times New Roman" w:hAnsi="Times New Roman" w:cs="Times New Roman"/>
                <w:sz w:val="24"/>
                <w:szCs w:val="24"/>
              </w:rPr>
              <w:t>C.I.for</w:t>
            </w:r>
            <w:proofErr w:type="spellEnd"/>
            <w:r>
              <w:rPr>
                <w:rFonts w:ascii="Times New Roman" w:hAnsi="Times New Roman" w:cs="Times New Roman"/>
                <w:sz w:val="24"/>
                <w:szCs w:val="24"/>
              </w:rPr>
              <w:t xml:space="preserve"> EXP(B)</w:t>
            </w:r>
          </w:p>
        </w:tc>
      </w:tr>
      <w:tr w:rsidR="0003583A" w14:paraId="1F7A6C39" w14:textId="77777777">
        <w:tc>
          <w:tcPr>
            <w:tcW w:w="3528" w:type="dxa"/>
            <w:gridSpan w:val="2"/>
            <w:vMerge/>
          </w:tcPr>
          <w:p w14:paraId="22268A51" w14:textId="77777777" w:rsidR="0003583A" w:rsidRDefault="0003583A">
            <w:pPr>
              <w:autoSpaceDE w:val="0"/>
              <w:autoSpaceDN w:val="0"/>
              <w:adjustRightInd w:val="0"/>
              <w:rPr>
                <w:rFonts w:ascii="Times New Roman" w:hAnsi="Times New Roman" w:cs="Times New Roman"/>
                <w:sz w:val="24"/>
                <w:szCs w:val="24"/>
              </w:rPr>
            </w:pPr>
          </w:p>
        </w:tc>
        <w:tc>
          <w:tcPr>
            <w:tcW w:w="630" w:type="dxa"/>
            <w:vMerge/>
            <w:vAlign w:val="center"/>
          </w:tcPr>
          <w:p w14:paraId="3B94FBAD" w14:textId="77777777" w:rsidR="0003583A" w:rsidRDefault="0003583A">
            <w:pPr>
              <w:autoSpaceDE w:val="0"/>
              <w:autoSpaceDN w:val="0"/>
              <w:adjustRightInd w:val="0"/>
              <w:ind w:left="-108" w:right="-41"/>
              <w:jc w:val="center"/>
              <w:rPr>
                <w:rFonts w:ascii="Times New Roman" w:hAnsi="Times New Roman" w:cs="Times New Roman"/>
                <w:sz w:val="24"/>
                <w:szCs w:val="24"/>
              </w:rPr>
            </w:pPr>
          </w:p>
        </w:tc>
        <w:tc>
          <w:tcPr>
            <w:tcW w:w="630" w:type="dxa"/>
            <w:vMerge/>
            <w:vAlign w:val="center"/>
          </w:tcPr>
          <w:p w14:paraId="5D87E2CE" w14:textId="77777777" w:rsidR="0003583A" w:rsidRDefault="0003583A">
            <w:pPr>
              <w:autoSpaceDE w:val="0"/>
              <w:autoSpaceDN w:val="0"/>
              <w:adjustRightInd w:val="0"/>
              <w:ind w:left="-288" w:right="-118"/>
              <w:jc w:val="center"/>
              <w:rPr>
                <w:rFonts w:ascii="Times New Roman" w:hAnsi="Times New Roman" w:cs="Times New Roman"/>
                <w:sz w:val="24"/>
                <w:szCs w:val="24"/>
              </w:rPr>
            </w:pPr>
          </w:p>
        </w:tc>
        <w:tc>
          <w:tcPr>
            <w:tcW w:w="720" w:type="dxa"/>
            <w:vMerge/>
            <w:vAlign w:val="center"/>
          </w:tcPr>
          <w:p w14:paraId="4114D333" w14:textId="77777777" w:rsidR="0003583A" w:rsidRDefault="0003583A">
            <w:pPr>
              <w:autoSpaceDE w:val="0"/>
              <w:autoSpaceDN w:val="0"/>
              <w:adjustRightInd w:val="0"/>
              <w:ind w:left="-90" w:right="-126"/>
              <w:jc w:val="center"/>
              <w:rPr>
                <w:rFonts w:ascii="Times New Roman" w:hAnsi="Times New Roman" w:cs="Times New Roman"/>
                <w:sz w:val="24"/>
                <w:szCs w:val="24"/>
              </w:rPr>
            </w:pPr>
          </w:p>
        </w:tc>
        <w:tc>
          <w:tcPr>
            <w:tcW w:w="360" w:type="dxa"/>
            <w:vMerge/>
            <w:vAlign w:val="center"/>
          </w:tcPr>
          <w:p w14:paraId="56F7279D" w14:textId="77777777" w:rsidR="0003583A" w:rsidRDefault="0003583A">
            <w:pPr>
              <w:autoSpaceDE w:val="0"/>
              <w:autoSpaceDN w:val="0"/>
              <w:adjustRightInd w:val="0"/>
              <w:ind w:left="-90" w:right="-108"/>
              <w:jc w:val="center"/>
              <w:rPr>
                <w:rFonts w:ascii="Times New Roman" w:hAnsi="Times New Roman" w:cs="Times New Roman"/>
                <w:sz w:val="24"/>
                <w:szCs w:val="24"/>
              </w:rPr>
            </w:pPr>
          </w:p>
        </w:tc>
        <w:tc>
          <w:tcPr>
            <w:tcW w:w="450" w:type="dxa"/>
            <w:vMerge/>
            <w:vAlign w:val="center"/>
          </w:tcPr>
          <w:p w14:paraId="62B794F0" w14:textId="77777777" w:rsidR="0003583A" w:rsidRDefault="0003583A">
            <w:pPr>
              <w:autoSpaceDE w:val="0"/>
              <w:autoSpaceDN w:val="0"/>
              <w:adjustRightInd w:val="0"/>
              <w:ind w:left="-108" w:right="-108"/>
              <w:jc w:val="center"/>
              <w:rPr>
                <w:rFonts w:ascii="Times New Roman" w:hAnsi="Times New Roman" w:cs="Times New Roman"/>
                <w:sz w:val="24"/>
                <w:szCs w:val="24"/>
              </w:rPr>
            </w:pPr>
          </w:p>
        </w:tc>
        <w:tc>
          <w:tcPr>
            <w:tcW w:w="720" w:type="dxa"/>
            <w:vMerge/>
            <w:vAlign w:val="center"/>
          </w:tcPr>
          <w:p w14:paraId="37D9B266" w14:textId="77777777" w:rsidR="0003583A" w:rsidRDefault="0003583A">
            <w:pPr>
              <w:tabs>
                <w:tab w:val="left" w:pos="720"/>
              </w:tabs>
              <w:autoSpaceDE w:val="0"/>
              <w:autoSpaceDN w:val="0"/>
              <w:adjustRightInd w:val="0"/>
              <w:ind w:left="-90"/>
              <w:jc w:val="center"/>
              <w:rPr>
                <w:rFonts w:ascii="Times New Roman" w:hAnsi="Times New Roman" w:cs="Times New Roman"/>
                <w:sz w:val="24"/>
                <w:szCs w:val="24"/>
              </w:rPr>
            </w:pPr>
          </w:p>
        </w:tc>
        <w:tc>
          <w:tcPr>
            <w:tcW w:w="720" w:type="dxa"/>
            <w:vAlign w:val="center"/>
          </w:tcPr>
          <w:p w14:paraId="359DCC85"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Lower</w:t>
            </w:r>
          </w:p>
        </w:tc>
        <w:tc>
          <w:tcPr>
            <w:tcW w:w="900" w:type="dxa"/>
            <w:vAlign w:val="center"/>
          </w:tcPr>
          <w:p w14:paraId="01BBDF84"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Upper</w:t>
            </w:r>
          </w:p>
        </w:tc>
      </w:tr>
      <w:tr w:rsidR="0003583A" w14:paraId="126BA91C" w14:textId="77777777">
        <w:tc>
          <w:tcPr>
            <w:tcW w:w="468" w:type="dxa"/>
          </w:tcPr>
          <w:p w14:paraId="36969310"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1</w:t>
            </w:r>
          </w:p>
        </w:tc>
        <w:tc>
          <w:tcPr>
            <w:tcW w:w="3060" w:type="dxa"/>
          </w:tcPr>
          <w:p w14:paraId="49949AD0"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transfer of someone’s life to the baby.</w:t>
            </w:r>
          </w:p>
        </w:tc>
        <w:tc>
          <w:tcPr>
            <w:tcW w:w="630" w:type="dxa"/>
            <w:vAlign w:val="center"/>
          </w:tcPr>
          <w:p w14:paraId="6503FAC5"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2.38</w:t>
            </w:r>
          </w:p>
        </w:tc>
        <w:tc>
          <w:tcPr>
            <w:tcW w:w="630" w:type="dxa"/>
            <w:vAlign w:val="center"/>
          </w:tcPr>
          <w:p w14:paraId="64B85645"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.79</w:t>
            </w:r>
          </w:p>
        </w:tc>
        <w:tc>
          <w:tcPr>
            <w:tcW w:w="720" w:type="dxa"/>
            <w:vAlign w:val="center"/>
          </w:tcPr>
          <w:p w14:paraId="0ED274D4"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9.09</w:t>
            </w:r>
          </w:p>
        </w:tc>
        <w:tc>
          <w:tcPr>
            <w:tcW w:w="360" w:type="dxa"/>
            <w:vAlign w:val="center"/>
          </w:tcPr>
          <w:p w14:paraId="3AD8A1BD"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23C19665"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.003</w:t>
            </w:r>
          </w:p>
        </w:tc>
        <w:tc>
          <w:tcPr>
            <w:tcW w:w="720" w:type="dxa"/>
            <w:vAlign w:val="center"/>
          </w:tcPr>
          <w:p w14:paraId="54B36626"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10.83</w:t>
            </w:r>
          </w:p>
        </w:tc>
        <w:tc>
          <w:tcPr>
            <w:tcW w:w="720" w:type="dxa"/>
            <w:vAlign w:val="center"/>
          </w:tcPr>
          <w:p w14:paraId="0162A842"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2.30</w:t>
            </w:r>
          </w:p>
        </w:tc>
        <w:tc>
          <w:tcPr>
            <w:tcW w:w="900" w:type="dxa"/>
            <w:vAlign w:val="center"/>
          </w:tcPr>
          <w:p w14:paraId="40DDA765"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50.92</w:t>
            </w:r>
          </w:p>
        </w:tc>
      </w:tr>
      <w:tr w:rsidR="0003583A" w14:paraId="7E081C83" w14:textId="77777777">
        <w:tc>
          <w:tcPr>
            <w:tcW w:w="468" w:type="dxa"/>
          </w:tcPr>
          <w:p w14:paraId="474346D3"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2</w:t>
            </w:r>
          </w:p>
        </w:tc>
        <w:tc>
          <w:tcPr>
            <w:tcW w:w="3060" w:type="dxa"/>
          </w:tcPr>
          <w:p w14:paraId="7B00FA92"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The baby will die if exchange blood is given.</w:t>
            </w:r>
          </w:p>
        </w:tc>
        <w:tc>
          <w:tcPr>
            <w:tcW w:w="630" w:type="dxa"/>
            <w:vAlign w:val="center"/>
          </w:tcPr>
          <w:p w14:paraId="6F999EC9"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2.87</w:t>
            </w:r>
          </w:p>
        </w:tc>
        <w:tc>
          <w:tcPr>
            <w:tcW w:w="630" w:type="dxa"/>
            <w:vAlign w:val="center"/>
          </w:tcPr>
          <w:p w14:paraId="736D66A6"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.89</w:t>
            </w:r>
          </w:p>
        </w:tc>
        <w:tc>
          <w:tcPr>
            <w:tcW w:w="720" w:type="dxa"/>
            <w:vAlign w:val="center"/>
          </w:tcPr>
          <w:p w14:paraId="4707E238"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10.45</w:t>
            </w:r>
          </w:p>
        </w:tc>
        <w:tc>
          <w:tcPr>
            <w:tcW w:w="360" w:type="dxa"/>
            <w:vAlign w:val="center"/>
          </w:tcPr>
          <w:p w14:paraId="147E5830"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4E09D4BF"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.001</w:t>
            </w:r>
          </w:p>
        </w:tc>
        <w:tc>
          <w:tcPr>
            <w:tcW w:w="720" w:type="dxa"/>
            <w:vAlign w:val="center"/>
          </w:tcPr>
          <w:p w14:paraId="6A337CC6"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17.64</w:t>
            </w:r>
          </w:p>
        </w:tc>
        <w:tc>
          <w:tcPr>
            <w:tcW w:w="720" w:type="dxa"/>
            <w:vAlign w:val="center"/>
          </w:tcPr>
          <w:p w14:paraId="5446AC84"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3.10</w:t>
            </w:r>
          </w:p>
        </w:tc>
        <w:tc>
          <w:tcPr>
            <w:tcW w:w="900" w:type="dxa"/>
            <w:vAlign w:val="center"/>
          </w:tcPr>
          <w:p w14:paraId="36553612"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100.50</w:t>
            </w:r>
          </w:p>
        </w:tc>
      </w:tr>
      <w:tr w:rsidR="0003583A" w14:paraId="32CBBB75" w14:textId="77777777">
        <w:tc>
          <w:tcPr>
            <w:tcW w:w="468" w:type="dxa"/>
          </w:tcPr>
          <w:p w14:paraId="183AD4D7"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3060" w:type="dxa"/>
          </w:tcPr>
          <w:p w14:paraId="2403EA57"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only necessary when all other treatments have failed.</w:t>
            </w:r>
          </w:p>
        </w:tc>
        <w:tc>
          <w:tcPr>
            <w:tcW w:w="630" w:type="dxa"/>
            <w:vAlign w:val="center"/>
          </w:tcPr>
          <w:p w14:paraId="4541C1DB"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1.27</w:t>
            </w:r>
          </w:p>
        </w:tc>
        <w:tc>
          <w:tcPr>
            <w:tcW w:w="630" w:type="dxa"/>
            <w:vAlign w:val="center"/>
          </w:tcPr>
          <w:p w14:paraId="06B6B585"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.63</w:t>
            </w:r>
          </w:p>
        </w:tc>
        <w:tc>
          <w:tcPr>
            <w:tcW w:w="720" w:type="dxa"/>
            <w:vAlign w:val="center"/>
          </w:tcPr>
          <w:p w14:paraId="2A5E6351"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4.05</w:t>
            </w:r>
          </w:p>
        </w:tc>
        <w:tc>
          <w:tcPr>
            <w:tcW w:w="360" w:type="dxa"/>
            <w:vAlign w:val="center"/>
          </w:tcPr>
          <w:p w14:paraId="0214F684"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7941E27E"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.044</w:t>
            </w:r>
          </w:p>
        </w:tc>
        <w:tc>
          <w:tcPr>
            <w:tcW w:w="720" w:type="dxa"/>
            <w:vAlign w:val="center"/>
          </w:tcPr>
          <w:p w14:paraId="6F9AF2FC"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3.57</w:t>
            </w:r>
          </w:p>
        </w:tc>
        <w:tc>
          <w:tcPr>
            <w:tcW w:w="720" w:type="dxa"/>
            <w:vAlign w:val="center"/>
          </w:tcPr>
          <w:p w14:paraId="26689E04"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1.03</w:t>
            </w:r>
          </w:p>
        </w:tc>
        <w:tc>
          <w:tcPr>
            <w:tcW w:w="900" w:type="dxa"/>
            <w:vAlign w:val="center"/>
          </w:tcPr>
          <w:p w14:paraId="1682CBA8"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12.30</w:t>
            </w:r>
          </w:p>
        </w:tc>
      </w:tr>
      <w:tr w:rsidR="0003583A" w14:paraId="3D00227B" w14:textId="77777777">
        <w:tc>
          <w:tcPr>
            <w:tcW w:w="468" w:type="dxa"/>
          </w:tcPr>
          <w:p w14:paraId="4CE33FA9"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c>
          <w:tcPr>
            <w:tcW w:w="3060" w:type="dxa"/>
          </w:tcPr>
          <w:p w14:paraId="450E0D29"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will kill the baby</w:t>
            </w:r>
          </w:p>
        </w:tc>
        <w:tc>
          <w:tcPr>
            <w:tcW w:w="630" w:type="dxa"/>
            <w:vAlign w:val="center"/>
          </w:tcPr>
          <w:p w14:paraId="471BC4C5"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3.12</w:t>
            </w:r>
          </w:p>
        </w:tc>
        <w:tc>
          <w:tcPr>
            <w:tcW w:w="630" w:type="dxa"/>
            <w:vAlign w:val="center"/>
          </w:tcPr>
          <w:p w14:paraId="0F58A278"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.86</w:t>
            </w:r>
          </w:p>
        </w:tc>
        <w:tc>
          <w:tcPr>
            <w:tcW w:w="720" w:type="dxa"/>
            <w:vAlign w:val="center"/>
          </w:tcPr>
          <w:p w14:paraId="565D9475"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13.12</w:t>
            </w:r>
          </w:p>
        </w:tc>
        <w:tc>
          <w:tcPr>
            <w:tcW w:w="360" w:type="dxa"/>
            <w:vAlign w:val="center"/>
          </w:tcPr>
          <w:p w14:paraId="5F15358D"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4BB45563"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.000</w:t>
            </w:r>
          </w:p>
        </w:tc>
        <w:tc>
          <w:tcPr>
            <w:tcW w:w="720" w:type="dxa"/>
            <w:vAlign w:val="center"/>
          </w:tcPr>
          <w:p w14:paraId="603C97C5"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22.81</w:t>
            </w:r>
          </w:p>
        </w:tc>
        <w:tc>
          <w:tcPr>
            <w:tcW w:w="720" w:type="dxa"/>
            <w:vAlign w:val="center"/>
          </w:tcPr>
          <w:p w14:paraId="0F97547C"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4.20</w:t>
            </w:r>
          </w:p>
        </w:tc>
        <w:tc>
          <w:tcPr>
            <w:tcW w:w="900" w:type="dxa"/>
            <w:vAlign w:val="center"/>
          </w:tcPr>
          <w:p w14:paraId="3B90CC73"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123.88</w:t>
            </w:r>
          </w:p>
        </w:tc>
      </w:tr>
      <w:tr w:rsidR="0003583A" w14:paraId="143D88F3" w14:textId="77777777">
        <w:tc>
          <w:tcPr>
            <w:tcW w:w="468" w:type="dxa"/>
          </w:tcPr>
          <w:p w14:paraId="4937A632"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3060" w:type="dxa"/>
          </w:tcPr>
          <w:p w14:paraId="76EF9A03"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a painful and dangerous procedure for babies.</w:t>
            </w:r>
          </w:p>
        </w:tc>
        <w:tc>
          <w:tcPr>
            <w:tcW w:w="630" w:type="dxa"/>
            <w:vAlign w:val="center"/>
          </w:tcPr>
          <w:p w14:paraId="60F45ABA"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1.87</w:t>
            </w:r>
          </w:p>
        </w:tc>
        <w:tc>
          <w:tcPr>
            <w:tcW w:w="630" w:type="dxa"/>
            <w:vAlign w:val="center"/>
          </w:tcPr>
          <w:p w14:paraId="1949724E"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.90</w:t>
            </w:r>
          </w:p>
        </w:tc>
        <w:tc>
          <w:tcPr>
            <w:tcW w:w="720" w:type="dxa"/>
            <w:vAlign w:val="center"/>
          </w:tcPr>
          <w:p w14:paraId="31B2E0EB"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4.293</w:t>
            </w:r>
          </w:p>
        </w:tc>
        <w:tc>
          <w:tcPr>
            <w:tcW w:w="360" w:type="dxa"/>
            <w:vAlign w:val="center"/>
          </w:tcPr>
          <w:p w14:paraId="366B7542"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537E2F4E"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.038</w:t>
            </w:r>
          </w:p>
        </w:tc>
        <w:tc>
          <w:tcPr>
            <w:tcW w:w="720" w:type="dxa"/>
            <w:vAlign w:val="center"/>
          </w:tcPr>
          <w:p w14:paraId="2AE9A45F"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6.54</w:t>
            </w:r>
          </w:p>
        </w:tc>
        <w:tc>
          <w:tcPr>
            <w:tcW w:w="720" w:type="dxa"/>
            <w:vAlign w:val="center"/>
          </w:tcPr>
          <w:p w14:paraId="60538C9A"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1.10</w:t>
            </w:r>
          </w:p>
        </w:tc>
        <w:tc>
          <w:tcPr>
            <w:tcW w:w="900" w:type="dxa"/>
            <w:vAlign w:val="center"/>
          </w:tcPr>
          <w:p w14:paraId="0045E3B7"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38.67</w:t>
            </w:r>
          </w:p>
        </w:tc>
      </w:tr>
      <w:tr w:rsidR="0003583A" w14:paraId="1D29B79C" w14:textId="77777777">
        <w:tc>
          <w:tcPr>
            <w:tcW w:w="468" w:type="dxa"/>
          </w:tcPr>
          <w:p w14:paraId="17BB7EDD"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3060" w:type="dxa"/>
          </w:tcPr>
          <w:p w14:paraId="0EFEA90E"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I do not trust the safety of donor blood used in exchange transfusion.</w:t>
            </w:r>
          </w:p>
        </w:tc>
        <w:tc>
          <w:tcPr>
            <w:tcW w:w="630" w:type="dxa"/>
            <w:vAlign w:val="center"/>
          </w:tcPr>
          <w:p w14:paraId="5AA82FAB"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.171</w:t>
            </w:r>
          </w:p>
        </w:tc>
        <w:tc>
          <w:tcPr>
            <w:tcW w:w="630" w:type="dxa"/>
            <w:vAlign w:val="center"/>
          </w:tcPr>
          <w:p w14:paraId="01399E41"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.66</w:t>
            </w:r>
          </w:p>
        </w:tc>
        <w:tc>
          <w:tcPr>
            <w:tcW w:w="720" w:type="dxa"/>
            <w:vAlign w:val="center"/>
          </w:tcPr>
          <w:p w14:paraId="1A78D538"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.07</w:t>
            </w:r>
          </w:p>
        </w:tc>
        <w:tc>
          <w:tcPr>
            <w:tcW w:w="360" w:type="dxa"/>
            <w:vAlign w:val="center"/>
          </w:tcPr>
          <w:p w14:paraId="28988243"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7DCA1D2A"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.796</w:t>
            </w:r>
          </w:p>
        </w:tc>
        <w:tc>
          <w:tcPr>
            <w:tcW w:w="720" w:type="dxa"/>
            <w:vAlign w:val="center"/>
          </w:tcPr>
          <w:p w14:paraId="4DCDCE21"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1.19</w:t>
            </w:r>
          </w:p>
        </w:tc>
        <w:tc>
          <w:tcPr>
            <w:tcW w:w="720" w:type="dxa"/>
            <w:vAlign w:val="center"/>
          </w:tcPr>
          <w:p w14:paraId="6B699F94"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.33</w:t>
            </w:r>
          </w:p>
        </w:tc>
        <w:tc>
          <w:tcPr>
            <w:tcW w:w="900" w:type="dxa"/>
            <w:vAlign w:val="center"/>
          </w:tcPr>
          <w:p w14:paraId="4E1BD791"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4.32</w:t>
            </w:r>
          </w:p>
        </w:tc>
      </w:tr>
      <w:tr w:rsidR="0003583A" w14:paraId="02D10BB3" w14:textId="77777777">
        <w:tc>
          <w:tcPr>
            <w:tcW w:w="468" w:type="dxa"/>
          </w:tcPr>
          <w:p w14:paraId="64759EA8" w14:textId="77777777" w:rsidR="0003583A" w:rsidRDefault="0003583A">
            <w:pPr>
              <w:autoSpaceDE w:val="0"/>
              <w:autoSpaceDN w:val="0"/>
              <w:adjustRightInd w:val="0"/>
              <w:rPr>
                <w:rFonts w:ascii="Times New Roman" w:hAnsi="Times New Roman" w:cs="Times New Roman"/>
                <w:sz w:val="24"/>
                <w:szCs w:val="24"/>
              </w:rPr>
            </w:pPr>
          </w:p>
        </w:tc>
        <w:tc>
          <w:tcPr>
            <w:tcW w:w="3060" w:type="dxa"/>
          </w:tcPr>
          <w:p w14:paraId="0F547BB6"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630" w:type="dxa"/>
            <w:vAlign w:val="center"/>
          </w:tcPr>
          <w:p w14:paraId="371A9F14" w14:textId="77777777" w:rsidR="0003583A" w:rsidRDefault="00DC180B">
            <w:pPr>
              <w:autoSpaceDE w:val="0"/>
              <w:autoSpaceDN w:val="0"/>
              <w:adjustRightInd w:val="0"/>
              <w:spacing w:line="320" w:lineRule="atLeast"/>
              <w:ind w:left="-85" w:right="-108"/>
              <w:jc w:val="right"/>
              <w:rPr>
                <w:rFonts w:ascii="Times New Roman" w:hAnsi="Times New Roman" w:cs="Times New Roman"/>
                <w:sz w:val="24"/>
                <w:szCs w:val="24"/>
              </w:rPr>
            </w:pPr>
            <w:r>
              <w:rPr>
                <w:rFonts w:ascii="Times New Roman" w:hAnsi="Times New Roman" w:cs="Times New Roman"/>
                <w:sz w:val="24"/>
                <w:szCs w:val="24"/>
              </w:rPr>
              <w:t>-7.99</w:t>
            </w:r>
          </w:p>
        </w:tc>
        <w:tc>
          <w:tcPr>
            <w:tcW w:w="630" w:type="dxa"/>
            <w:vAlign w:val="center"/>
          </w:tcPr>
          <w:p w14:paraId="13559151" w14:textId="77777777" w:rsidR="0003583A" w:rsidRDefault="00DC180B">
            <w:pPr>
              <w:autoSpaceDE w:val="0"/>
              <w:autoSpaceDN w:val="0"/>
              <w:adjustRightInd w:val="0"/>
              <w:spacing w:line="320" w:lineRule="atLeast"/>
              <w:ind w:left="-288" w:right="-118"/>
              <w:jc w:val="right"/>
              <w:rPr>
                <w:rFonts w:ascii="Times New Roman" w:hAnsi="Times New Roman" w:cs="Times New Roman"/>
                <w:sz w:val="24"/>
                <w:szCs w:val="24"/>
              </w:rPr>
            </w:pPr>
            <w:r>
              <w:rPr>
                <w:rFonts w:ascii="Times New Roman" w:hAnsi="Times New Roman" w:cs="Times New Roman"/>
                <w:sz w:val="24"/>
                <w:szCs w:val="24"/>
              </w:rPr>
              <w:t>1.78</w:t>
            </w:r>
          </w:p>
        </w:tc>
        <w:tc>
          <w:tcPr>
            <w:tcW w:w="720" w:type="dxa"/>
            <w:vAlign w:val="center"/>
          </w:tcPr>
          <w:p w14:paraId="54B49C1A" w14:textId="77777777" w:rsidR="0003583A" w:rsidRDefault="00DC180B">
            <w:pPr>
              <w:autoSpaceDE w:val="0"/>
              <w:autoSpaceDN w:val="0"/>
              <w:adjustRightInd w:val="0"/>
              <w:spacing w:line="320" w:lineRule="atLeast"/>
              <w:ind w:left="-90" w:right="-28"/>
              <w:jc w:val="right"/>
              <w:rPr>
                <w:rFonts w:ascii="Times New Roman" w:hAnsi="Times New Roman" w:cs="Times New Roman"/>
                <w:sz w:val="24"/>
                <w:szCs w:val="24"/>
              </w:rPr>
            </w:pPr>
            <w:r>
              <w:rPr>
                <w:rFonts w:ascii="Times New Roman" w:hAnsi="Times New Roman" w:cs="Times New Roman"/>
                <w:sz w:val="24"/>
                <w:szCs w:val="24"/>
              </w:rPr>
              <w:t>20.08</w:t>
            </w:r>
          </w:p>
        </w:tc>
        <w:tc>
          <w:tcPr>
            <w:tcW w:w="360" w:type="dxa"/>
            <w:vAlign w:val="center"/>
          </w:tcPr>
          <w:p w14:paraId="2FD57CD2"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2C2242EE" w14:textId="77777777" w:rsidR="0003583A" w:rsidRDefault="00DC180B">
            <w:pPr>
              <w:autoSpaceDE w:val="0"/>
              <w:autoSpaceDN w:val="0"/>
              <w:adjustRightInd w:val="0"/>
              <w:spacing w:line="320" w:lineRule="atLeast"/>
              <w:ind w:left="-108" w:right="-108"/>
              <w:jc w:val="right"/>
              <w:rPr>
                <w:rFonts w:ascii="Times New Roman" w:hAnsi="Times New Roman" w:cs="Times New Roman"/>
                <w:sz w:val="24"/>
                <w:szCs w:val="24"/>
              </w:rPr>
            </w:pPr>
            <w:r>
              <w:rPr>
                <w:rFonts w:ascii="Times New Roman" w:hAnsi="Times New Roman" w:cs="Times New Roman"/>
                <w:sz w:val="24"/>
                <w:szCs w:val="24"/>
              </w:rPr>
              <w:t>.000</w:t>
            </w:r>
          </w:p>
        </w:tc>
        <w:tc>
          <w:tcPr>
            <w:tcW w:w="720" w:type="dxa"/>
            <w:vAlign w:val="center"/>
          </w:tcPr>
          <w:p w14:paraId="396E789B" w14:textId="77777777" w:rsidR="0003583A" w:rsidRDefault="00DC180B">
            <w:pPr>
              <w:tabs>
                <w:tab w:val="left" w:pos="684"/>
                <w:tab w:val="left" w:pos="720"/>
              </w:tabs>
              <w:autoSpaceDE w:val="0"/>
              <w:autoSpaceDN w:val="0"/>
              <w:adjustRightInd w:val="0"/>
              <w:spacing w:line="320" w:lineRule="atLeast"/>
              <w:ind w:left="-90" w:right="-36"/>
              <w:jc w:val="right"/>
              <w:rPr>
                <w:rFonts w:ascii="Times New Roman" w:hAnsi="Times New Roman" w:cs="Times New Roman"/>
                <w:sz w:val="24"/>
                <w:szCs w:val="24"/>
              </w:rPr>
            </w:pPr>
            <w:r>
              <w:rPr>
                <w:rFonts w:ascii="Times New Roman" w:hAnsi="Times New Roman" w:cs="Times New Roman"/>
                <w:sz w:val="24"/>
                <w:szCs w:val="24"/>
              </w:rPr>
              <w:t>.000</w:t>
            </w:r>
          </w:p>
        </w:tc>
        <w:tc>
          <w:tcPr>
            <w:tcW w:w="720" w:type="dxa"/>
            <w:vAlign w:val="center"/>
          </w:tcPr>
          <w:p w14:paraId="5E15AB79" w14:textId="77777777" w:rsidR="0003583A" w:rsidRDefault="0003583A">
            <w:pPr>
              <w:autoSpaceDE w:val="0"/>
              <w:autoSpaceDN w:val="0"/>
              <w:adjustRightInd w:val="0"/>
              <w:ind w:left="-90" w:right="-126"/>
              <w:jc w:val="right"/>
              <w:rPr>
                <w:rFonts w:ascii="Times New Roman" w:hAnsi="Times New Roman" w:cs="Times New Roman"/>
                <w:sz w:val="24"/>
                <w:szCs w:val="24"/>
              </w:rPr>
            </w:pPr>
          </w:p>
        </w:tc>
        <w:tc>
          <w:tcPr>
            <w:tcW w:w="900" w:type="dxa"/>
            <w:vAlign w:val="center"/>
          </w:tcPr>
          <w:p w14:paraId="006020A5" w14:textId="77777777" w:rsidR="0003583A" w:rsidRDefault="0003583A">
            <w:pPr>
              <w:tabs>
                <w:tab w:val="left" w:pos="810"/>
              </w:tabs>
              <w:autoSpaceDE w:val="0"/>
              <w:autoSpaceDN w:val="0"/>
              <w:adjustRightInd w:val="0"/>
              <w:ind w:left="-90"/>
              <w:jc w:val="right"/>
              <w:rPr>
                <w:rFonts w:ascii="Times New Roman" w:hAnsi="Times New Roman" w:cs="Times New Roman"/>
                <w:sz w:val="24"/>
                <w:szCs w:val="24"/>
              </w:rPr>
            </w:pPr>
          </w:p>
        </w:tc>
      </w:tr>
    </w:tbl>
    <w:p w14:paraId="28BA7685"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in Table 3 showed that among the six predictors, Item 4, which examined fear of harm resulting from the procedure, produced the highest odds ratio (OR = 22.81, p &lt; .001), indicating a strong negative influence on consent. Similarly, Item 2, which assessed fatalistic beliefs about the outcome of EBT, also showed a high predictive value (OR = 17.64, p = .001). Item 1, which focused on spiritual or metaphysical beliefs, significantly lowered the odds of consent (OR = 10.83, p = .003). However, Item 6, which explored mistrust in donor blood, was not a significant predictor (p = .796), and its negligible odds ratio of 1.19 suggests that it has a minimal impact on maternal willingness to endorse her consent.</w:t>
      </w:r>
    </w:p>
    <w:p w14:paraId="14619FC7" w14:textId="77777777" w:rsidR="0003583A" w:rsidRDefault="00DC180B">
      <w:pPr>
        <w:keepNext/>
        <w:keepLines/>
        <w:spacing w:after="0"/>
        <w:outlineLvl w:val="1"/>
        <w:rPr>
          <w:rFonts w:ascii="Times New Roman" w:hAnsi="Times New Roman" w:cs="Times New Roman"/>
          <w:sz w:val="24"/>
          <w:szCs w:val="24"/>
        </w:rPr>
      </w:pPr>
      <w:r>
        <w:rPr>
          <w:rFonts w:ascii="Times New Roman" w:eastAsia="MS Gothic" w:hAnsi="Times New Roman" w:cs="Times New Roman"/>
          <w:b/>
          <w:bCs/>
          <w:sz w:val="24"/>
          <w:szCs w:val="24"/>
        </w:rPr>
        <w:t>Table 4: Chi-Square Test of Association between Maternal Decision-Making Factors and Willingness to Consent to Exchange Blood Transfusion (N = 150)</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58"/>
        <w:gridCol w:w="4140"/>
        <w:gridCol w:w="900"/>
        <w:gridCol w:w="900"/>
        <w:gridCol w:w="630"/>
        <w:gridCol w:w="900"/>
        <w:gridCol w:w="828"/>
      </w:tblGrid>
      <w:tr w:rsidR="0003583A" w14:paraId="5A5F4DF2" w14:textId="77777777">
        <w:tc>
          <w:tcPr>
            <w:tcW w:w="558" w:type="dxa"/>
            <w:tcMar>
              <w:top w:w="0" w:type="dxa"/>
              <w:left w:w="108" w:type="dxa"/>
              <w:bottom w:w="0" w:type="dxa"/>
              <w:right w:w="108" w:type="dxa"/>
            </w:tcMar>
          </w:tcPr>
          <w:p w14:paraId="003B5639"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S/ No.</w:t>
            </w:r>
          </w:p>
        </w:tc>
        <w:tc>
          <w:tcPr>
            <w:tcW w:w="4140" w:type="dxa"/>
            <w:tcMar>
              <w:top w:w="0" w:type="dxa"/>
              <w:left w:w="108" w:type="dxa"/>
              <w:bottom w:w="0" w:type="dxa"/>
              <w:right w:w="108" w:type="dxa"/>
            </w:tcMar>
            <w:vAlign w:val="center"/>
          </w:tcPr>
          <w:p w14:paraId="7F677805"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Item Description</w:t>
            </w:r>
          </w:p>
        </w:tc>
        <w:tc>
          <w:tcPr>
            <w:tcW w:w="900" w:type="dxa"/>
            <w:tcMar>
              <w:top w:w="0" w:type="dxa"/>
              <w:left w:w="108" w:type="dxa"/>
              <w:bottom w:w="0" w:type="dxa"/>
              <w:right w:w="108" w:type="dxa"/>
            </w:tcMar>
          </w:tcPr>
          <w:p w14:paraId="3F745FED"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Positive n (%)</w:t>
            </w:r>
          </w:p>
        </w:tc>
        <w:tc>
          <w:tcPr>
            <w:tcW w:w="900" w:type="dxa"/>
            <w:tcMar>
              <w:top w:w="0" w:type="dxa"/>
              <w:left w:w="108" w:type="dxa"/>
              <w:bottom w:w="0" w:type="dxa"/>
              <w:right w:w="108" w:type="dxa"/>
            </w:tcMar>
          </w:tcPr>
          <w:p w14:paraId="6E90DA57"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Negative n (%)</w:t>
            </w:r>
          </w:p>
        </w:tc>
        <w:tc>
          <w:tcPr>
            <w:tcW w:w="630" w:type="dxa"/>
            <w:tcMar>
              <w:top w:w="0" w:type="dxa"/>
              <w:left w:w="108" w:type="dxa"/>
              <w:bottom w:w="0" w:type="dxa"/>
              <w:right w:w="108" w:type="dxa"/>
            </w:tcMar>
            <w:vAlign w:val="center"/>
          </w:tcPr>
          <w:p w14:paraId="4615343D"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Total</w:t>
            </w:r>
          </w:p>
        </w:tc>
        <w:tc>
          <w:tcPr>
            <w:tcW w:w="900" w:type="dxa"/>
            <w:tcMar>
              <w:top w:w="0" w:type="dxa"/>
              <w:left w:w="108" w:type="dxa"/>
              <w:bottom w:w="0" w:type="dxa"/>
              <w:right w:w="108" w:type="dxa"/>
            </w:tcMar>
            <w:vAlign w:val="center"/>
          </w:tcPr>
          <w:p w14:paraId="3681F31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χ²</w:t>
            </w:r>
          </w:p>
        </w:tc>
        <w:tc>
          <w:tcPr>
            <w:tcW w:w="828" w:type="dxa"/>
            <w:tcMar>
              <w:top w:w="0" w:type="dxa"/>
              <w:left w:w="108" w:type="dxa"/>
              <w:bottom w:w="0" w:type="dxa"/>
              <w:right w:w="108" w:type="dxa"/>
            </w:tcMar>
          </w:tcPr>
          <w:p w14:paraId="32574E30"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p-value</w:t>
            </w:r>
          </w:p>
        </w:tc>
      </w:tr>
      <w:tr w:rsidR="0003583A" w14:paraId="1B2A423D" w14:textId="77777777">
        <w:tc>
          <w:tcPr>
            <w:tcW w:w="558" w:type="dxa"/>
            <w:tcMar>
              <w:top w:w="0" w:type="dxa"/>
              <w:left w:w="108" w:type="dxa"/>
              <w:bottom w:w="0" w:type="dxa"/>
              <w:right w:w="108" w:type="dxa"/>
            </w:tcMar>
          </w:tcPr>
          <w:p w14:paraId="153E13D5"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7</w:t>
            </w:r>
          </w:p>
        </w:tc>
        <w:tc>
          <w:tcPr>
            <w:tcW w:w="4140" w:type="dxa"/>
            <w:tcMar>
              <w:top w:w="0" w:type="dxa"/>
              <w:left w:w="108" w:type="dxa"/>
              <w:bottom w:w="0" w:type="dxa"/>
              <w:right w:w="108" w:type="dxa"/>
            </w:tcMar>
          </w:tcPr>
          <w:p w14:paraId="098BA0D5"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not accepted in my religion</w:t>
            </w:r>
          </w:p>
        </w:tc>
        <w:tc>
          <w:tcPr>
            <w:tcW w:w="900" w:type="dxa"/>
            <w:tcMar>
              <w:top w:w="0" w:type="dxa"/>
              <w:left w:w="108" w:type="dxa"/>
              <w:bottom w:w="0" w:type="dxa"/>
              <w:right w:w="108" w:type="dxa"/>
            </w:tcMar>
            <w:vAlign w:val="center"/>
          </w:tcPr>
          <w:p w14:paraId="4CA5C5AC"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26 (17.3)</w:t>
            </w:r>
          </w:p>
        </w:tc>
        <w:tc>
          <w:tcPr>
            <w:tcW w:w="900" w:type="dxa"/>
            <w:tcMar>
              <w:top w:w="0" w:type="dxa"/>
              <w:left w:w="108" w:type="dxa"/>
              <w:bottom w:w="0" w:type="dxa"/>
              <w:right w:w="108" w:type="dxa"/>
            </w:tcMar>
            <w:vAlign w:val="center"/>
          </w:tcPr>
          <w:p w14:paraId="0E9D3D77"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124 (82.7)</w:t>
            </w:r>
          </w:p>
        </w:tc>
        <w:tc>
          <w:tcPr>
            <w:tcW w:w="630" w:type="dxa"/>
            <w:tcMar>
              <w:top w:w="0" w:type="dxa"/>
              <w:left w:w="108" w:type="dxa"/>
              <w:bottom w:w="0" w:type="dxa"/>
              <w:right w:w="108" w:type="dxa"/>
            </w:tcMar>
            <w:vAlign w:val="center"/>
          </w:tcPr>
          <w:p w14:paraId="414BB9E0"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1126905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22.768</w:t>
            </w:r>
          </w:p>
        </w:tc>
        <w:tc>
          <w:tcPr>
            <w:tcW w:w="828" w:type="dxa"/>
            <w:tcMar>
              <w:top w:w="0" w:type="dxa"/>
              <w:left w:w="108" w:type="dxa"/>
              <w:bottom w:w="0" w:type="dxa"/>
              <w:right w:w="108" w:type="dxa"/>
            </w:tcMar>
            <w:vAlign w:val="center"/>
          </w:tcPr>
          <w:p w14:paraId="0F7BCB13"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17F60FB4" w14:textId="77777777">
        <w:tc>
          <w:tcPr>
            <w:tcW w:w="558" w:type="dxa"/>
            <w:tcMar>
              <w:top w:w="0" w:type="dxa"/>
              <w:left w:w="108" w:type="dxa"/>
              <w:bottom w:w="0" w:type="dxa"/>
              <w:right w:w="108" w:type="dxa"/>
            </w:tcMar>
          </w:tcPr>
          <w:p w14:paraId="3F3BE9B0"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8</w:t>
            </w:r>
          </w:p>
        </w:tc>
        <w:tc>
          <w:tcPr>
            <w:tcW w:w="4140" w:type="dxa"/>
            <w:tcMar>
              <w:top w:w="0" w:type="dxa"/>
              <w:left w:w="108" w:type="dxa"/>
              <w:bottom w:w="0" w:type="dxa"/>
              <w:right w:w="108" w:type="dxa"/>
            </w:tcMar>
          </w:tcPr>
          <w:p w14:paraId="7880E25F"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an abomination in my village</w:t>
            </w:r>
          </w:p>
        </w:tc>
        <w:tc>
          <w:tcPr>
            <w:tcW w:w="900" w:type="dxa"/>
            <w:tcMar>
              <w:top w:w="0" w:type="dxa"/>
              <w:left w:w="108" w:type="dxa"/>
              <w:bottom w:w="0" w:type="dxa"/>
              <w:right w:w="108" w:type="dxa"/>
            </w:tcMar>
            <w:vAlign w:val="center"/>
          </w:tcPr>
          <w:p w14:paraId="037943C3"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21 (14.0)</w:t>
            </w:r>
          </w:p>
        </w:tc>
        <w:tc>
          <w:tcPr>
            <w:tcW w:w="900" w:type="dxa"/>
            <w:tcMar>
              <w:top w:w="0" w:type="dxa"/>
              <w:left w:w="108" w:type="dxa"/>
              <w:bottom w:w="0" w:type="dxa"/>
              <w:right w:w="108" w:type="dxa"/>
            </w:tcMar>
            <w:vAlign w:val="center"/>
          </w:tcPr>
          <w:p w14:paraId="5E293D0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129 (86.0)</w:t>
            </w:r>
          </w:p>
        </w:tc>
        <w:tc>
          <w:tcPr>
            <w:tcW w:w="630" w:type="dxa"/>
            <w:tcMar>
              <w:top w:w="0" w:type="dxa"/>
              <w:left w:w="108" w:type="dxa"/>
              <w:bottom w:w="0" w:type="dxa"/>
              <w:right w:w="108" w:type="dxa"/>
            </w:tcMar>
            <w:vAlign w:val="center"/>
          </w:tcPr>
          <w:p w14:paraId="6F16D6F5"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5A4175A8"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17.958</w:t>
            </w:r>
          </w:p>
        </w:tc>
        <w:tc>
          <w:tcPr>
            <w:tcW w:w="828" w:type="dxa"/>
            <w:tcMar>
              <w:top w:w="0" w:type="dxa"/>
              <w:left w:w="108" w:type="dxa"/>
              <w:bottom w:w="0" w:type="dxa"/>
              <w:right w:w="108" w:type="dxa"/>
            </w:tcMar>
            <w:vAlign w:val="center"/>
          </w:tcPr>
          <w:p w14:paraId="1C4B833A"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7B8BF920" w14:textId="77777777">
        <w:tc>
          <w:tcPr>
            <w:tcW w:w="558" w:type="dxa"/>
            <w:tcMar>
              <w:top w:w="0" w:type="dxa"/>
              <w:left w:w="108" w:type="dxa"/>
              <w:bottom w:w="0" w:type="dxa"/>
              <w:right w:w="108" w:type="dxa"/>
            </w:tcMar>
          </w:tcPr>
          <w:p w14:paraId="55C538BE"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9</w:t>
            </w:r>
          </w:p>
        </w:tc>
        <w:tc>
          <w:tcPr>
            <w:tcW w:w="4140" w:type="dxa"/>
            <w:tcMar>
              <w:top w:w="0" w:type="dxa"/>
              <w:left w:w="108" w:type="dxa"/>
              <w:bottom w:w="0" w:type="dxa"/>
              <w:right w:w="108" w:type="dxa"/>
            </w:tcMar>
          </w:tcPr>
          <w:p w14:paraId="0A1EAE63"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pastors and husband will not accept exchange blood transfusion</w:t>
            </w:r>
          </w:p>
        </w:tc>
        <w:tc>
          <w:tcPr>
            <w:tcW w:w="900" w:type="dxa"/>
            <w:tcMar>
              <w:top w:w="0" w:type="dxa"/>
              <w:left w:w="108" w:type="dxa"/>
              <w:bottom w:w="0" w:type="dxa"/>
              <w:right w:w="108" w:type="dxa"/>
            </w:tcMar>
            <w:vAlign w:val="center"/>
          </w:tcPr>
          <w:p w14:paraId="5614CBE1"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25 (16.7)</w:t>
            </w:r>
          </w:p>
        </w:tc>
        <w:tc>
          <w:tcPr>
            <w:tcW w:w="900" w:type="dxa"/>
            <w:tcMar>
              <w:top w:w="0" w:type="dxa"/>
              <w:left w:w="108" w:type="dxa"/>
              <w:bottom w:w="0" w:type="dxa"/>
              <w:right w:w="108" w:type="dxa"/>
            </w:tcMar>
            <w:vAlign w:val="center"/>
          </w:tcPr>
          <w:p w14:paraId="76DE4E4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125 (83.3)</w:t>
            </w:r>
          </w:p>
        </w:tc>
        <w:tc>
          <w:tcPr>
            <w:tcW w:w="630" w:type="dxa"/>
            <w:tcMar>
              <w:top w:w="0" w:type="dxa"/>
              <w:left w:w="108" w:type="dxa"/>
              <w:bottom w:w="0" w:type="dxa"/>
              <w:right w:w="108" w:type="dxa"/>
            </w:tcMar>
            <w:vAlign w:val="center"/>
          </w:tcPr>
          <w:p w14:paraId="496CF372"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73C4428A"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11.032</w:t>
            </w:r>
          </w:p>
        </w:tc>
        <w:tc>
          <w:tcPr>
            <w:tcW w:w="828" w:type="dxa"/>
            <w:tcMar>
              <w:top w:w="0" w:type="dxa"/>
              <w:left w:w="108" w:type="dxa"/>
              <w:bottom w:w="0" w:type="dxa"/>
              <w:right w:w="108" w:type="dxa"/>
            </w:tcMar>
            <w:vAlign w:val="center"/>
          </w:tcPr>
          <w:p w14:paraId="4B399813"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0.001</w:t>
            </w:r>
          </w:p>
        </w:tc>
      </w:tr>
      <w:tr w:rsidR="0003583A" w14:paraId="0C49DF9D" w14:textId="77777777">
        <w:tc>
          <w:tcPr>
            <w:tcW w:w="558" w:type="dxa"/>
            <w:tcMar>
              <w:top w:w="0" w:type="dxa"/>
              <w:left w:w="108" w:type="dxa"/>
              <w:bottom w:w="0" w:type="dxa"/>
              <w:right w:w="108" w:type="dxa"/>
            </w:tcMar>
          </w:tcPr>
          <w:p w14:paraId="43E133DD"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10</w:t>
            </w:r>
          </w:p>
        </w:tc>
        <w:tc>
          <w:tcPr>
            <w:tcW w:w="4140" w:type="dxa"/>
            <w:tcMar>
              <w:top w:w="0" w:type="dxa"/>
              <w:left w:w="108" w:type="dxa"/>
              <w:bottom w:w="0" w:type="dxa"/>
              <w:right w:w="108" w:type="dxa"/>
            </w:tcMar>
          </w:tcPr>
          <w:p w14:paraId="318F8D36"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of exchange blood transfusion is expensive</w:t>
            </w:r>
          </w:p>
        </w:tc>
        <w:tc>
          <w:tcPr>
            <w:tcW w:w="900" w:type="dxa"/>
            <w:tcMar>
              <w:top w:w="0" w:type="dxa"/>
              <w:left w:w="108" w:type="dxa"/>
              <w:bottom w:w="0" w:type="dxa"/>
              <w:right w:w="108" w:type="dxa"/>
            </w:tcMar>
            <w:vAlign w:val="center"/>
          </w:tcPr>
          <w:p w14:paraId="6B2927FB"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72 (48.0)</w:t>
            </w:r>
          </w:p>
        </w:tc>
        <w:tc>
          <w:tcPr>
            <w:tcW w:w="900" w:type="dxa"/>
            <w:tcMar>
              <w:top w:w="0" w:type="dxa"/>
              <w:left w:w="108" w:type="dxa"/>
              <w:bottom w:w="0" w:type="dxa"/>
              <w:right w:w="108" w:type="dxa"/>
            </w:tcMar>
            <w:vAlign w:val="center"/>
          </w:tcPr>
          <w:p w14:paraId="24EFC072"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78 (52.0)</w:t>
            </w:r>
          </w:p>
        </w:tc>
        <w:tc>
          <w:tcPr>
            <w:tcW w:w="630" w:type="dxa"/>
            <w:tcMar>
              <w:top w:w="0" w:type="dxa"/>
              <w:left w:w="108" w:type="dxa"/>
              <w:bottom w:w="0" w:type="dxa"/>
              <w:right w:w="108" w:type="dxa"/>
            </w:tcMar>
            <w:vAlign w:val="center"/>
          </w:tcPr>
          <w:p w14:paraId="1CB69D6C"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24C20111"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7.657</w:t>
            </w:r>
          </w:p>
        </w:tc>
        <w:tc>
          <w:tcPr>
            <w:tcW w:w="828" w:type="dxa"/>
            <w:tcMar>
              <w:top w:w="0" w:type="dxa"/>
              <w:left w:w="108" w:type="dxa"/>
              <w:bottom w:w="0" w:type="dxa"/>
              <w:right w:w="108" w:type="dxa"/>
            </w:tcMar>
            <w:vAlign w:val="center"/>
          </w:tcPr>
          <w:p w14:paraId="41AFB1EE"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0.006</w:t>
            </w:r>
          </w:p>
        </w:tc>
      </w:tr>
      <w:tr w:rsidR="0003583A" w14:paraId="3BC5A89B" w14:textId="77777777">
        <w:tc>
          <w:tcPr>
            <w:tcW w:w="558" w:type="dxa"/>
            <w:tcMar>
              <w:top w:w="0" w:type="dxa"/>
              <w:left w:w="108" w:type="dxa"/>
              <w:bottom w:w="0" w:type="dxa"/>
              <w:right w:w="108" w:type="dxa"/>
            </w:tcMar>
          </w:tcPr>
          <w:p w14:paraId="09144FF2"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11</w:t>
            </w:r>
          </w:p>
        </w:tc>
        <w:tc>
          <w:tcPr>
            <w:tcW w:w="4140" w:type="dxa"/>
            <w:tcMar>
              <w:top w:w="0" w:type="dxa"/>
              <w:left w:w="108" w:type="dxa"/>
              <w:bottom w:w="0" w:type="dxa"/>
              <w:right w:w="108" w:type="dxa"/>
            </w:tcMar>
          </w:tcPr>
          <w:p w14:paraId="6B4BBC72"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information about exchange transfusion affects my decision</w:t>
            </w:r>
          </w:p>
        </w:tc>
        <w:tc>
          <w:tcPr>
            <w:tcW w:w="900" w:type="dxa"/>
            <w:tcMar>
              <w:top w:w="0" w:type="dxa"/>
              <w:left w:w="108" w:type="dxa"/>
              <w:bottom w:w="0" w:type="dxa"/>
              <w:right w:w="108" w:type="dxa"/>
            </w:tcMar>
            <w:vAlign w:val="center"/>
          </w:tcPr>
          <w:p w14:paraId="538950D5"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53 (35.3)</w:t>
            </w:r>
          </w:p>
        </w:tc>
        <w:tc>
          <w:tcPr>
            <w:tcW w:w="900" w:type="dxa"/>
            <w:tcMar>
              <w:top w:w="0" w:type="dxa"/>
              <w:left w:w="108" w:type="dxa"/>
              <w:bottom w:w="0" w:type="dxa"/>
              <w:right w:w="108" w:type="dxa"/>
            </w:tcMar>
            <w:vAlign w:val="center"/>
          </w:tcPr>
          <w:p w14:paraId="55EED91D" w14:textId="77777777" w:rsidR="0003583A" w:rsidRDefault="00DC180B">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97 (64.7)</w:t>
            </w:r>
          </w:p>
        </w:tc>
        <w:tc>
          <w:tcPr>
            <w:tcW w:w="630" w:type="dxa"/>
            <w:tcMar>
              <w:top w:w="0" w:type="dxa"/>
              <w:left w:w="108" w:type="dxa"/>
              <w:bottom w:w="0" w:type="dxa"/>
              <w:right w:w="108" w:type="dxa"/>
            </w:tcMar>
            <w:vAlign w:val="center"/>
          </w:tcPr>
          <w:p w14:paraId="470C104A"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34D9D028"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39.038</w:t>
            </w:r>
          </w:p>
        </w:tc>
        <w:tc>
          <w:tcPr>
            <w:tcW w:w="828" w:type="dxa"/>
            <w:tcMar>
              <w:top w:w="0" w:type="dxa"/>
              <w:left w:w="108" w:type="dxa"/>
              <w:bottom w:w="0" w:type="dxa"/>
              <w:right w:w="108" w:type="dxa"/>
            </w:tcMar>
            <w:vAlign w:val="center"/>
          </w:tcPr>
          <w:p w14:paraId="2313703D"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7758E12E" w14:textId="77777777">
        <w:tc>
          <w:tcPr>
            <w:tcW w:w="558" w:type="dxa"/>
            <w:tcMar>
              <w:top w:w="0" w:type="dxa"/>
              <w:left w:w="108" w:type="dxa"/>
              <w:bottom w:w="0" w:type="dxa"/>
              <w:right w:w="108" w:type="dxa"/>
            </w:tcMar>
          </w:tcPr>
          <w:p w14:paraId="28E210FC"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12</w:t>
            </w:r>
          </w:p>
        </w:tc>
        <w:tc>
          <w:tcPr>
            <w:tcW w:w="4140" w:type="dxa"/>
            <w:tcMar>
              <w:top w:w="0" w:type="dxa"/>
              <w:left w:w="108" w:type="dxa"/>
              <w:bottom w:w="0" w:type="dxa"/>
              <w:right w:w="108" w:type="dxa"/>
            </w:tcMar>
          </w:tcPr>
          <w:p w14:paraId="03B262C0"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only accept exchange transfusion if I see another baby survive it first</w:t>
            </w:r>
          </w:p>
        </w:tc>
        <w:tc>
          <w:tcPr>
            <w:tcW w:w="900" w:type="dxa"/>
            <w:tcMar>
              <w:top w:w="0" w:type="dxa"/>
              <w:left w:w="108" w:type="dxa"/>
              <w:bottom w:w="0" w:type="dxa"/>
              <w:right w:w="108" w:type="dxa"/>
            </w:tcMar>
            <w:vAlign w:val="center"/>
          </w:tcPr>
          <w:p w14:paraId="6D831300"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60 (40.0)</w:t>
            </w:r>
          </w:p>
        </w:tc>
        <w:tc>
          <w:tcPr>
            <w:tcW w:w="900" w:type="dxa"/>
            <w:tcMar>
              <w:top w:w="0" w:type="dxa"/>
              <w:left w:w="108" w:type="dxa"/>
              <w:bottom w:w="0" w:type="dxa"/>
              <w:right w:w="108" w:type="dxa"/>
            </w:tcMar>
            <w:vAlign w:val="center"/>
          </w:tcPr>
          <w:p w14:paraId="587CCA21"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90 (60.0)</w:t>
            </w:r>
          </w:p>
        </w:tc>
        <w:tc>
          <w:tcPr>
            <w:tcW w:w="630" w:type="dxa"/>
            <w:tcMar>
              <w:top w:w="0" w:type="dxa"/>
              <w:left w:w="108" w:type="dxa"/>
              <w:bottom w:w="0" w:type="dxa"/>
              <w:right w:w="108" w:type="dxa"/>
            </w:tcMar>
            <w:vAlign w:val="center"/>
          </w:tcPr>
          <w:p w14:paraId="466339D1"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67ADDAFE"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30.714</w:t>
            </w:r>
          </w:p>
        </w:tc>
        <w:tc>
          <w:tcPr>
            <w:tcW w:w="828" w:type="dxa"/>
            <w:tcMar>
              <w:top w:w="0" w:type="dxa"/>
              <w:left w:w="108" w:type="dxa"/>
              <w:bottom w:w="0" w:type="dxa"/>
              <w:right w:w="108" w:type="dxa"/>
            </w:tcMar>
            <w:vAlign w:val="center"/>
          </w:tcPr>
          <w:p w14:paraId="13B73AD6"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bl>
    <w:p w14:paraId="27C39FD1" w14:textId="77777777" w:rsidR="0003583A" w:rsidRDefault="00DC18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presented in Table 4 indicate that all the six items assessing maternal decision-making were significantly associated with mothers’ willingness to consent to exchange blood transfusion. In terms of religious beliefs in item 7, 17.3% of the mothers agreed that exchange blood transfusion is not accepted in their religion, while 14.0% perceived it as an abomination within their cultural setting. With regard to economic concerns, 48.0% of the mothers agreed that the cost of the procedure is expensive, and this perception showed a statistically significant relationship with willingness to consent (p = 0.006). Also, 40.0% of the mothers expressed readiness to consent for transfusion for their newborn, only after </w:t>
      </w:r>
      <w:r>
        <w:rPr>
          <w:rFonts w:ascii="Times New Roman" w:hAnsi="Times New Roman" w:cs="Times New Roman"/>
          <w:sz w:val="24"/>
          <w:szCs w:val="24"/>
        </w:rPr>
        <w:lastRenderedPageBreak/>
        <w:t>seeing another baby survive the procedure (item 12). This highlight the role of reassurance through observed outcomes (p = 0.000). These findings confirm that maternal decision-making factors particularly those related to religion, culture, authority, cost, information, and trust significantly influence willingness to consent.</w:t>
      </w:r>
    </w:p>
    <w:p w14:paraId="16D6E361" w14:textId="77777777" w:rsidR="0003583A" w:rsidRDefault="00DC180B">
      <w:pPr>
        <w:keepNext/>
        <w:keepLines/>
        <w:spacing w:after="0" w:line="240" w:lineRule="auto"/>
        <w:jc w:val="center"/>
        <w:outlineLvl w:val="1"/>
        <w:rPr>
          <w:rFonts w:ascii="Times New Roman" w:hAnsi="Times New Roman" w:cs="Times New Roman"/>
          <w:sz w:val="24"/>
          <w:szCs w:val="24"/>
        </w:rPr>
      </w:pPr>
      <w:r>
        <w:rPr>
          <w:rFonts w:ascii="Times New Roman" w:eastAsia="MS Gothic" w:hAnsi="Times New Roman" w:cs="Times New Roman"/>
          <w:b/>
          <w:bCs/>
          <w:sz w:val="24"/>
          <w:szCs w:val="24"/>
        </w:rPr>
        <w:t xml:space="preserve">Table 5: Binary Logistic Regression Predicting Willingness to Consent to Exchange Blood Transfusion </w:t>
      </w:r>
      <w:proofErr w:type="gramStart"/>
      <w:r>
        <w:rPr>
          <w:rFonts w:ascii="Times New Roman" w:eastAsia="MS Gothic" w:hAnsi="Times New Roman" w:cs="Times New Roman"/>
          <w:b/>
          <w:bCs/>
          <w:sz w:val="24"/>
          <w:szCs w:val="24"/>
        </w:rPr>
        <w:t>From</w:t>
      </w:r>
      <w:proofErr w:type="gramEnd"/>
      <w:r>
        <w:rPr>
          <w:rFonts w:ascii="Times New Roman" w:eastAsia="MS Gothic" w:hAnsi="Times New Roman" w:cs="Times New Roman"/>
          <w:b/>
          <w:bCs/>
          <w:sz w:val="24"/>
          <w:szCs w:val="24"/>
        </w:rPr>
        <w:t xml:space="preserve"> Maternal Decision-Making Factors (N = 150)</w:t>
      </w:r>
    </w:p>
    <w:tbl>
      <w:tblPr>
        <w:tblW w:w="8928" w:type="dxa"/>
        <w:tblBorders>
          <w:top w:val="single" w:sz="4" w:space="0" w:color="auto"/>
          <w:bottom w:val="single" w:sz="4" w:space="0" w:color="auto"/>
        </w:tblBorders>
        <w:tblLayout w:type="fixed"/>
        <w:tblLook w:val="04A0" w:firstRow="1" w:lastRow="0" w:firstColumn="1" w:lastColumn="0" w:noHBand="0" w:noVBand="1"/>
      </w:tblPr>
      <w:tblGrid>
        <w:gridCol w:w="378"/>
        <w:gridCol w:w="3600"/>
        <w:gridCol w:w="630"/>
        <w:gridCol w:w="630"/>
        <w:gridCol w:w="630"/>
        <w:gridCol w:w="630"/>
        <w:gridCol w:w="810"/>
        <w:gridCol w:w="810"/>
        <w:gridCol w:w="810"/>
      </w:tblGrid>
      <w:tr w:rsidR="0003583A" w14:paraId="66941B08" w14:textId="77777777">
        <w:trPr>
          <w:trHeight w:val="262"/>
        </w:trPr>
        <w:tc>
          <w:tcPr>
            <w:tcW w:w="378" w:type="dxa"/>
            <w:vMerge w:val="restart"/>
            <w:tcMar>
              <w:top w:w="0" w:type="dxa"/>
              <w:left w:w="108" w:type="dxa"/>
              <w:bottom w:w="0" w:type="dxa"/>
              <w:right w:w="108" w:type="dxa"/>
            </w:tcMar>
          </w:tcPr>
          <w:p w14:paraId="4CDDBA88"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S/ No.</w:t>
            </w:r>
          </w:p>
        </w:tc>
        <w:tc>
          <w:tcPr>
            <w:tcW w:w="3600" w:type="dxa"/>
            <w:vMerge w:val="restart"/>
            <w:tcMar>
              <w:top w:w="0" w:type="dxa"/>
              <w:left w:w="108" w:type="dxa"/>
              <w:bottom w:w="0" w:type="dxa"/>
              <w:right w:w="108" w:type="dxa"/>
            </w:tcMar>
          </w:tcPr>
          <w:p w14:paraId="7149D962"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Item Description</w:t>
            </w:r>
          </w:p>
        </w:tc>
        <w:tc>
          <w:tcPr>
            <w:tcW w:w="630" w:type="dxa"/>
            <w:vMerge w:val="restart"/>
            <w:tcMar>
              <w:top w:w="0" w:type="dxa"/>
              <w:left w:w="108" w:type="dxa"/>
              <w:bottom w:w="0" w:type="dxa"/>
              <w:right w:w="108" w:type="dxa"/>
            </w:tcMar>
            <w:vAlign w:val="center"/>
          </w:tcPr>
          <w:p w14:paraId="3925669C"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B</w:t>
            </w:r>
          </w:p>
        </w:tc>
        <w:tc>
          <w:tcPr>
            <w:tcW w:w="630" w:type="dxa"/>
            <w:vMerge w:val="restart"/>
            <w:tcMar>
              <w:top w:w="0" w:type="dxa"/>
              <w:left w:w="108" w:type="dxa"/>
              <w:bottom w:w="0" w:type="dxa"/>
              <w:right w:w="108" w:type="dxa"/>
            </w:tcMar>
            <w:vAlign w:val="center"/>
          </w:tcPr>
          <w:p w14:paraId="6ADE38A0"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S.E.</w:t>
            </w:r>
          </w:p>
        </w:tc>
        <w:tc>
          <w:tcPr>
            <w:tcW w:w="630" w:type="dxa"/>
            <w:vMerge w:val="restart"/>
            <w:tcMar>
              <w:top w:w="0" w:type="dxa"/>
              <w:left w:w="108" w:type="dxa"/>
              <w:bottom w:w="0" w:type="dxa"/>
              <w:right w:w="108" w:type="dxa"/>
            </w:tcMar>
            <w:vAlign w:val="center"/>
          </w:tcPr>
          <w:p w14:paraId="6A2F36AD"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Wald</w:t>
            </w:r>
          </w:p>
        </w:tc>
        <w:tc>
          <w:tcPr>
            <w:tcW w:w="630" w:type="dxa"/>
            <w:vMerge w:val="restart"/>
            <w:tcMar>
              <w:top w:w="0" w:type="dxa"/>
              <w:left w:w="108" w:type="dxa"/>
              <w:bottom w:w="0" w:type="dxa"/>
              <w:right w:w="108" w:type="dxa"/>
            </w:tcMar>
            <w:vAlign w:val="center"/>
          </w:tcPr>
          <w:p w14:paraId="3051820F"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Sig.</w:t>
            </w:r>
          </w:p>
        </w:tc>
        <w:tc>
          <w:tcPr>
            <w:tcW w:w="810" w:type="dxa"/>
            <w:vMerge w:val="restart"/>
            <w:tcMar>
              <w:top w:w="0" w:type="dxa"/>
              <w:left w:w="108" w:type="dxa"/>
              <w:bottom w:w="0" w:type="dxa"/>
              <w:right w:w="108" w:type="dxa"/>
            </w:tcMar>
            <w:vAlign w:val="center"/>
          </w:tcPr>
          <w:p w14:paraId="41F752EA"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Exp</w:t>
            </w:r>
          </w:p>
          <w:p w14:paraId="4834B033"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 xml:space="preserve">(B) </w:t>
            </w:r>
          </w:p>
        </w:tc>
        <w:tc>
          <w:tcPr>
            <w:tcW w:w="1620" w:type="dxa"/>
            <w:gridSpan w:val="2"/>
            <w:tcMar>
              <w:top w:w="0" w:type="dxa"/>
              <w:left w:w="108" w:type="dxa"/>
              <w:bottom w:w="0" w:type="dxa"/>
              <w:right w:w="108" w:type="dxa"/>
            </w:tcMar>
            <w:vAlign w:val="center"/>
          </w:tcPr>
          <w:p w14:paraId="28588286" w14:textId="77777777" w:rsidR="0003583A" w:rsidRDefault="00DC180B">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 xml:space="preserve">95% </w:t>
            </w:r>
            <w:proofErr w:type="spellStart"/>
            <w:r>
              <w:rPr>
                <w:rFonts w:ascii="Times New Roman" w:hAnsi="Times New Roman" w:cs="Times New Roman"/>
                <w:sz w:val="24"/>
                <w:szCs w:val="24"/>
              </w:rPr>
              <w:t>C.I.for</w:t>
            </w:r>
            <w:proofErr w:type="spellEnd"/>
            <w:r>
              <w:rPr>
                <w:rFonts w:ascii="Times New Roman" w:hAnsi="Times New Roman" w:cs="Times New Roman"/>
                <w:sz w:val="24"/>
                <w:szCs w:val="24"/>
              </w:rPr>
              <w:t xml:space="preserve"> EXP(B)</w:t>
            </w:r>
          </w:p>
        </w:tc>
      </w:tr>
      <w:tr w:rsidR="0003583A" w14:paraId="23BB9349" w14:textId="77777777">
        <w:trPr>
          <w:trHeight w:val="85"/>
        </w:trPr>
        <w:tc>
          <w:tcPr>
            <w:tcW w:w="378" w:type="dxa"/>
            <w:vMerge/>
            <w:tcMar>
              <w:top w:w="0" w:type="dxa"/>
              <w:left w:w="108" w:type="dxa"/>
              <w:bottom w:w="0" w:type="dxa"/>
              <w:right w:w="108" w:type="dxa"/>
            </w:tcMar>
          </w:tcPr>
          <w:p w14:paraId="5ADDDF44" w14:textId="77777777" w:rsidR="0003583A" w:rsidRDefault="0003583A">
            <w:pPr>
              <w:spacing w:after="0" w:line="240" w:lineRule="auto"/>
              <w:ind w:left="-90" w:right="-100"/>
              <w:rPr>
                <w:rFonts w:ascii="Times New Roman" w:hAnsi="Times New Roman" w:cs="Times New Roman"/>
                <w:sz w:val="24"/>
                <w:szCs w:val="24"/>
              </w:rPr>
            </w:pPr>
          </w:p>
        </w:tc>
        <w:tc>
          <w:tcPr>
            <w:tcW w:w="3600" w:type="dxa"/>
            <w:vMerge/>
            <w:tcMar>
              <w:top w:w="0" w:type="dxa"/>
              <w:left w:w="108" w:type="dxa"/>
              <w:bottom w:w="0" w:type="dxa"/>
              <w:right w:w="108" w:type="dxa"/>
            </w:tcMar>
          </w:tcPr>
          <w:p w14:paraId="0CCB19FC" w14:textId="77777777" w:rsidR="0003583A" w:rsidRDefault="0003583A">
            <w:pPr>
              <w:spacing w:after="0" w:line="240" w:lineRule="auto"/>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66B089B3" w14:textId="77777777" w:rsidR="0003583A" w:rsidRDefault="0003583A">
            <w:pPr>
              <w:spacing w:after="0" w:line="240" w:lineRule="auto"/>
              <w:ind w:left="-116" w:right="-182"/>
              <w:jc w:val="center"/>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1D9F77DD" w14:textId="77777777" w:rsidR="0003583A" w:rsidRDefault="0003583A">
            <w:pPr>
              <w:tabs>
                <w:tab w:val="left" w:pos="686"/>
              </w:tabs>
              <w:spacing w:after="0" w:line="240" w:lineRule="auto"/>
              <w:ind w:left="-124"/>
              <w:jc w:val="center"/>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09C618FA" w14:textId="77777777" w:rsidR="0003583A" w:rsidRDefault="0003583A">
            <w:pPr>
              <w:spacing w:after="0" w:line="240" w:lineRule="auto"/>
              <w:ind w:left="-132" w:right="-111"/>
              <w:jc w:val="center"/>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0FB8F16F" w14:textId="77777777" w:rsidR="0003583A" w:rsidRDefault="0003583A">
            <w:pPr>
              <w:spacing w:after="0" w:line="240" w:lineRule="auto"/>
              <w:ind w:left="-105" w:right="-138"/>
              <w:jc w:val="center"/>
              <w:rPr>
                <w:rFonts w:ascii="Times New Roman" w:hAnsi="Times New Roman" w:cs="Times New Roman"/>
                <w:sz w:val="24"/>
                <w:szCs w:val="24"/>
              </w:rPr>
            </w:pPr>
          </w:p>
        </w:tc>
        <w:tc>
          <w:tcPr>
            <w:tcW w:w="810" w:type="dxa"/>
            <w:vMerge/>
            <w:tcMar>
              <w:top w:w="0" w:type="dxa"/>
              <w:left w:w="108" w:type="dxa"/>
              <w:bottom w:w="0" w:type="dxa"/>
              <w:right w:w="108" w:type="dxa"/>
            </w:tcMar>
            <w:vAlign w:val="center"/>
          </w:tcPr>
          <w:p w14:paraId="4512F528" w14:textId="77777777" w:rsidR="0003583A" w:rsidRDefault="0003583A">
            <w:pPr>
              <w:spacing w:after="0" w:line="240" w:lineRule="auto"/>
              <w:ind w:left="-78" w:right="-115"/>
              <w:jc w:val="center"/>
              <w:rPr>
                <w:rFonts w:ascii="Times New Roman" w:hAnsi="Times New Roman" w:cs="Times New Roman"/>
                <w:sz w:val="24"/>
                <w:szCs w:val="24"/>
              </w:rPr>
            </w:pPr>
          </w:p>
        </w:tc>
        <w:tc>
          <w:tcPr>
            <w:tcW w:w="810" w:type="dxa"/>
            <w:tcMar>
              <w:top w:w="0" w:type="dxa"/>
              <w:left w:w="108" w:type="dxa"/>
              <w:bottom w:w="0" w:type="dxa"/>
              <w:right w:w="108" w:type="dxa"/>
            </w:tcMar>
            <w:vAlign w:val="center"/>
          </w:tcPr>
          <w:p w14:paraId="0353E477"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Lower</w:t>
            </w:r>
          </w:p>
        </w:tc>
        <w:tc>
          <w:tcPr>
            <w:tcW w:w="810" w:type="dxa"/>
            <w:tcMar>
              <w:top w:w="0" w:type="dxa"/>
              <w:left w:w="108" w:type="dxa"/>
              <w:bottom w:w="0" w:type="dxa"/>
              <w:right w:w="108" w:type="dxa"/>
            </w:tcMar>
            <w:vAlign w:val="center"/>
          </w:tcPr>
          <w:p w14:paraId="4470500B"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Upper</w:t>
            </w:r>
          </w:p>
        </w:tc>
      </w:tr>
      <w:tr w:rsidR="0003583A" w14:paraId="21E57F81" w14:textId="77777777">
        <w:trPr>
          <w:trHeight w:val="116"/>
        </w:trPr>
        <w:tc>
          <w:tcPr>
            <w:tcW w:w="378" w:type="dxa"/>
            <w:tcMar>
              <w:top w:w="0" w:type="dxa"/>
              <w:left w:w="108" w:type="dxa"/>
              <w:bottom w:w="0" w:type="dxa"/>
              <w:right w:w="108" w:type="dxa"/>
            </w:tcMar>
          </w:tcPr>
          <w:p w14:paraId="6E0E2777"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7</w:t>
            </w:r>
          </w:p>
        </w:tc>
        <w:tc>
          <w:tcPr>
            <w:tcW w:w="3600" w:type="dxa"/>
            <w:tcMar>
              <w:top w:w="0" w:type="dxa"/>
              <w:left w:w="108" w:type="dxa"/>
              <w:bottom w:w="0" w:type="dxa"/>
              <w:right w:w="108" w:type="dxa"/>
            </w:tcMar>
          </w:tcPr>
          <w:p w14:paraId="300CF92B"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not accepted in my religion</w:t>
            </w:r>
          </w:p>
        </w:tc>
        <w:tc>
          <w:tcPr>
            <w:tcW w:w="630" w:type="dxa"/>
            <w:tcMar>
              <w:top w:w="0" w:type="dxa"/>
              <w:left w:w="108" w:type="dxa"/>
              <w:bottom w:w="0" w:type="dxa"/>
              <w:right w:w="108" w:type="dxa"/>
            </w:tcMar>
            <w:vAlign w:val="center"/>
          </w:tcPr>
          <w:p w14:paraId="7CBFA0B0"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2.25</w:t>
            </w:r>
          </w:p>
        </w:tc>
        <w:tc>
          <w:tcPr>
            <w:tcW w:w="630" w:type="dxa"/>
            <w:tcMar>
              <w:top w:w="0" w:type="dxa"/>
              <w:left w:w="108" w:type="dxa"/>
              <w:bottom w:w="0" w:type="dxa"/>
              <w:right w:w="108" w:type="dxa"/>
            </w:tcMar>
            <w:vAlign w:val="center"/>
          </w:tcPr>
          <w:p w14:paraId="5E84775F"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1.02</w:t>
            </w:r>
          </w:p>
        </w:tc>
        <w:tc>
          <w:tcPr>
            <w:tcW w:w="630" w:type="dxa"/>
            <w:tcMar>
              <w:top w:w="0" w:type="dxa"/>
              <w:left w:w="108" w:type="dxa"/>
              <w:bottom w:w="0" w:type="dxa"/>
              <w:right w:w="108" w:type="dxa"/>
            </w:tcMar>
            <w:vAlign w:val="center"/>
          </w:tcPr>
          <w:p w14:paraId="1AE46609"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4.88</w:t>
            </w:r>
          </w:p>
        </w:tc>
        <w:tc>
          <w:tcPr>
            <w:tcW w:w="630" w:type="dxa"/>
            <w:tcMar>
              <w:top w:w="0" w:type="dxa"/>
              <w:left w:w="108" w:type="dxa"/>
              <w:bottom w:w="0" w:type="dxa"/>
              <w:right w:w="108" w:type="dxa"/>
            </w:tcMar>
            <w:vAlign w:val="center"/>
          </w:tcPr>
          <w:p w14:paraId="472B17AC"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0.030</w:t>
            </w:r>
          </w:p>
        </w:tc>
        <w:tc>
          <w:tcPr>
            <w:tcW w:w="810" w:type="dxa"/>
            <w:tcMar>
              <w:top w:w="0" w:type="dxa"/>
              <w:left w:w="108" w:type="dxa"/>
              <w:bottom w:w="0" w:type="dxa"/>
              <w:right w:w="108" w:type="dxa"/>
            </w:tcMar>
            <w:vAlign w:val="center"/>
          </w:tcPr>
          <w:p w14:paraId="5B38085C"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9.45</w:t>
            </w:r>
          </w:p>
        </w:tc>
        <w:tc>
          <w:tcPr>
            <w:tcW w:w="810" w:type="dxa"/>
            <w:tcMar>
              <w:top w:w="0" w:type="dxa"/>
              <w:left w:w="108" w:type="dxa"/>
              <w:bottom w:w="0" w:type="dxa"/>
              <w:right w:w="108" w:type="dxa"/>
            </w:tcMar>
            <w:vAlign w:val="center"/>
          </w:tcPr>
          <w:p w14:paraId="0FA59A53"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1.29</w:t>
            </w:r>
          </w:p>
        </w:tc>
        <w:tc>
          <w:tcPr>
            <w:tcW w:w="810" w:type="dxa"/>
            <w:tcMar>
              <w:top w:w="0" w:type="dxa"/>
              <w:left w:w="108" w:type="dxa"/>
              <w:bottom w:w="0" w:type="dxa"/>
              <w:right w:w="108" w:type="dxa"/>
            </w:tcMar>
            <w:vAlign w:val="center"/>
          </w:tcPr>
          <w:p w14:paraId="5F1E2104"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69.38</w:t>
            </w:r>
          </w:p>
        </w:tc>
      </w:tr>
      <w:tr w:rsidR="0003583A" w14:paraId="7D61A4A8" w14:textId="77777777">
        <w:tc>
          <w:tcPr>
            <w:tcW w:w="378" w:type="dxa"/>
            <w:tcMar>
              <w:top w:w="0" w:type="dxa"/>
              <w:left w:w="108" w:type="dxa"/>
              <w:bottom w:w="0" w:type="dxa"/>
              <w:right w:w="108" w:type="dxa"/>
            </w:tcMar>
          </w:tcPr>
          <w:p w14:paraId="7C5944A9"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8</w:t>
            </w:r>
          </w:p>
        </w:tc>
        <w:tc>
          <w:tcPr>
            <w:tcW w:w="3600" w:type="dxa"/>
            <w:tcMar>
              <w:top w:w="0" w:type="dxa"/>
              <w:left w:w="108" w:type="dxa"/>
              <w:bottom w:w="0" w:type="dxa"/>
              <w:right w:w="108" w:type="dxa"/>
            </w:tcMar>
          </w:tcPr>
          <w:p w14:paraId="07AC0E92"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an abomination in my village</w:t>
            </w:r>
          </w:p>
        </w:tc>
        <w:tc>
          <w:tcPr>
            <w:tcW w:w="630" w:type="dxa"/>
            <w:tcMar>
              <w:top w:w="0" w:type="dxa"/>
              <w:left w:w="108" w:type="dxa"/>
              <w:bottom w:w="0" w:type="dxa"/>
              <w:right w:w="108" w:type="dxa"/>
            </w:tcMar>
            <w:vAlign w:val="center"/>
          </w:tcPr>
          <w:p w14:paraId="6EB79E39"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1.89</w:t>
            </w:r>
          </w:p>
        </w:tc>
        <w:tc>
          <w:tcPr>
            <w:tcW w:w="630" w:type="dxa"/>
            <w:tcMar>
              <w:top w:w="0" w:type="dxa"/>
              <w:left w:w="108" w:type="dxa"/>
              <w:bottom w:w="0" w:type="dxa"/>
              <w:right w:w="108" w:type="dxa"/>
            </w:tcMar>
            <w:vAlign w:val="center"/>
          </w:tcPr>
          <w:p w14:paraId="153DF0D6"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0.90</w:t>
            </w:r>
          </w:p>
        </w:tc>
        <w:tc>
          <w:tcPr>
            <w:tcW w:w="630" w:type="dxa"/>
            <w:tcMar>
              <w:top w:w="0" w:type="dxa"/>
              <w:left w:w="108" w:type="dxa"/>
              <w:bottom w:w="0" w:type="dxa"/>
              <w:right w:w="108" w:type="dxa"/>
            </w:tcMar>
            <w:vAlign w:val="center"/>
          </w:tcPr>
          <w:p w14:paraId="044D0C99"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4.42</w:t>
            </w:r>
          </w:p>
        </w:tc>
        <w:tc>
          <w:tcPr>
            <w:tcW w:w="630" w:type="dxa"/>
            <w:tcMar>
              <w:top w:w="0" w:type="dxa"/>
              <w:left w:w="108" w:type="dxa"/>
              <w:bottom w:w="0" w:type="dxa"/>
              <w:right w:w="108" w:type="dxa"/>
            </w:tcMar>
            <w:vAlign w:val="center"/>
          </w:tcPr>
          <w:p w14:paraId="1AE90EAB"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0.040</w:t>
            </w:r>
          </w:p>
        </w:tc>
        <w:tc>
          <w:tcPr>
            <w:tcW w:w="810" w:type="dxa"/>
            <w:tcMar>
              <w:top w:w="0" w:type="dxa"/>
              <w:left w:w="108" w:type="dxa"/>
              <w:bottom w:w="0" w:type="dxa"/>
              <w:right w:w="108" w:type="dxa"/>
            </w:tcMar>
            <w:vAlign w:val="center"/>
          </w:tcPr>
          <w:p w14:paraId="79E47BBA"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6.66</w:t>
            </w:r>
          </w:p>
        </w:tc>
        <w:tc>
          <w:tcPr>
            <w:tcW w:w="810" w:type="dxa"/>
            <w:tcMar>
              <w:top w:w="0" w:type="dxa"/>
              <w:left w:w="108" w:type="dxa"/>
              <w:bottom w:w="0" w:type="dxa"/>
              <w:right w:w="108" w:type="dxa"/>
            </w:tcMar>
            <w:vAlign w:val="center"/>
          </w:tcPr>
          <w:p w14:paraId="4D6B84F5"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1.14</w:t>
            </w:r>
          </w:p>
        </w:tc>
        <w:tc>
          <w:tcPr>
            <w:tcW w:w="810" w:type="dxa"/>
            <w:tcMar>
              <w:top w:w="0" w:type="dxa"/>
              <w:left w:w="108" w:type="dxa"/>
              <w:bottom w:w="0" w:type="dxa"/>
              <w:right w:w="108" w:type="dxa"/>
            </w:tcMar>
            <w:vAlign w:val="center"/>
          </w:tcPr>
          <w:p w14:paraId="30D8848B"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39.02</w:t>
            </w:r>
          </w:p>
        </w:tc>
      </w:tr>
      <w:tr w:rsidR="0003583A" w14:paraId="7E0D6B5F" w14:textId="77777777">
        <w:tc>
          <w:tcPr>
            <w:tcW w:w="378" w:type="dxa"/>
            <w:tcMar>
              <w:top w:w="0" w:type="dxa"/>
              <w:left w:w="108" w:type="dxa"/>
              <w:bottom w:w="0" w:type="dxa"/>
              <w:right w:w="108" w:type="dxa"/>
            </w:tcMar>
          </w:tcPr>
          <w:p w14:paraId="25F6AAE8"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9</w:t>
            </w:r>
          </w:p>
        </w:tc>
        <w:tc>
          <w:tcPr>
            <w:tcW w:w="3600" w:type="dxa"/>
            <w:tcMar>
              <w:top w:w="0" w:type="dxa"/>
              <w:left w:w="108" w:type="dxa"/>
              <w:bottom w:w="0" w:type="dxa"/>
              <w:right w:w="108" w:type="dxa"/>
            </w:tcMar>
          </w:tcPr>
          <w:p w14:paraId="03075316"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pastors and husband will not accept exchange blood transfusion</w:t>
            </w:r>
          </w:p>
        </w:tc>
        <w:tc>
          <w:tcPr>
            <w:tcW w:w="630" w:type="dxa"/>
            <w:tcMar>
              <w:top w:w="0" w:type="dxa"/>
              <w:left w:w="108" w:type="dxa"/>
              <w:bottom w:w="0" w:type="dxa"/>
              <w:right w:w="108" w:type="dxa"/>
            </w:tcMar>
            <w:vAlign w:val="center"/>
          </w:tcPr>
          <w:p w14:paraId="4B0B2D70"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1.87</w:t>
            </w:r>
          </w:p>
        </w:tc>
        <w:tc>
          <w:tcPr>
            <w:tcW w:w="630" w:type="dxa"/>
            <w:tcMar>
              <w:top w:w="0" w:type="dxa"/>
              <w:left w:w="108" w:type="dxa"/>
              <w:bottom w:w="0" w:type="dxa"/>
              <w:right w:w="108" w:type="dxa"/>
            </w:tcMar>
            <w:vAlign w:val="center"/>
          </w:tcPr>
          <w:p w14:paraId="06DAEF3F"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0.91</w:t>
            </w:r>
          </w:p>
        </w:tc>
        <w:tc>
          <w:tcPr>
            <w:tcW w:w="630" w:type="dxa"/>
            <w:tcMar>
              <w:top w:w="0" w:type="dxa"/>
              <w:left w:w="108" w:type="dxa"/>
              <w:bottom w:w="0" w:type="dxa"/>
              <w:right w:w="108" w:type="dxa"/>
            </w:tcMar>
            <w:vAlign w:val="center"/>
          </w:tcPr>
          <w:p w14:paraId="1818E7EE"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4.26</w:t>
            </w:r>
          </w:p>
        </w:tc>
        <w:tc>
          <w:tcPr>
            <w:tcW w:w="630" w:type="dxa"/>
            <w:tcMar>
              <w:top w:w="0" w:type="dxa"/>
              <w:left w:w="108" w:type="dxa"/>
              <w:bottom w:w="0" w:type="dxa"/>
              <w:right w:w="108" w:type="dxa"/>
            </w:tcMar>
            <w:vAlign w:val="center"/>
          </w:tcPr>
          <w:p w14:paraId="0E86571A"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0.039</w:t>
            </w:r>
          </w:p>
        </w:tc>
        <w:tc>
          <w:tcPr>
            <w:tcW w:w="810" w:type="dxa"/>
            <w:tcMar>
              <w:top w:w="0" w:type="dxa"/>
              <w:left w:w="108" w:type="dxa"/>
              <w:bottom w:w="0" w:type="dxa"/>
              <w:right w:w="108" w:type="dxa"/>
            </w:tcMar>
            <w:vAlign w:val="center"/>
          </w:tcPr>
          <w:p w14:paraId="52C8386A"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6.48</w:t>
            </w:r>
          </w:p>
        </w:tc>
        <w:tc>
          <w:tcPr>
            <w:tcW w:w="810" w:type="dxa"/>
            <w:tcMar>
              <w:top w:w="0" w:type="dxa"/>
              <w:left w:w="108" w:type="dxa"/>
              <w:bottom w:w="0" w:type="dxa"/>
              <w:right w:w="108" w:type="dxa"/>
            </w:tcMar>
            <w:vAlign w:val="center"/>
          </w:tcPr>
          <w:p w14:paraId="66292EA5"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1.10</w:t>
            </w:r>
          </w:p>
        </w:tc>
        <w:tc>
          <w:tcPr>
            <w:tcW w:w="810" w:type="dxa"/>
            <w:tcMar>
              <w:top w:w="0" w:type="dxa"/>
              <w:left w:w="108" w:type="dxa"/>
              <w:bottom w:w="0" w:type="dxa"/>
              <w:right w:w="108" w:type="dxa"/>
            </w:tcMar>
            <w:vAlign w:val="center"/>
          </w:tcPr>
          <w:p w14:paraId="54EF5E9C"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38.28</w:t>
            </w:r>
          </w:p>
        </w:tc>
      </w:tr>
      <w:tr w:rsidR="0003583A" w14:paraId="01F68942" w14:textId="77777777">
        <w:tc>
          <w:tcPr>
            <w:tcW w:w="378" w:type="dxa"/>
            <w:tcMar>
              <w:top w:w="0" w:type="dxa"/>
              <w:left w:w="108" w:type="dxa"/>
              <w:bottom w:w="0" w:type="dxa"/>
              <w:right w:w="108" w:type="dxa"/>
            </w:tcMar>
          </w:tcPr>
          <w:p w14:paraId="63DD2082"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10</w:t>
            </w:r>
          </w:p>
        </w:tc>
        <w:tc>
          <w:tcPr>
            <w:tcW w:w="3600" w:type="dxa"/>
            <w:tcMar>
              <w:top w:w="0" w:type="dxa"/>
              <w:left w:w="108" w:type="dxa"/>
              <w:bottom w:w="0" w:type="dxa"/>
              <w:right w:w="108" w:type="dxa"/>
            </w:tcMar>
          </w:tcPr>
          <w:p w14:paraId="353504F4"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of exchange blood transfusion is expensive</w:t>
            </w:r>
          </w:p>
        </w:tc>
        <w:tc>
          <w:tcPr>
            <w:tcW w:w="630" w:type="dxa"/>
            <w:tcMar>
              <w:top w:w="0" w:type="dxa"/>
              <w:left w:w="108" w:type="dxa"/>
              <w:bottom w:w="0" w:type="dxa"/>
              <w:right w:w="108" w:type="dxa"/>
            </w:tcMar>
            <w:vAlign w:val="center"/>
          </w:tcPr>
          <w:p w14:paraId="4E0BC36E"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2.38</w:t>
            </w:r>
          </w:p>
        </w:tc>
        <w:tc>
          <w:tcPr>
            <w:tcW w:w="630" w:type="dxa"/>
            <w:tcMar>
              <w:top w:w="0" w:type="dxa"/>
              <w:left w:w="108" w:type="dxa"/>
              <w:bottom w:w="0" w:type="dxa"/>
              <w:right w:w="108" w:type="dxa"/>
            </w:tcMar>
            <w:vAlign w:val="center"/>
          </w:tcPr>
          <w:p w14:paraId="3455350B"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0.99</w:t>
            </w:r>
          </w:p>
        </w:tc>
        <w:tc>
          <w:tcPr>
            <w:tcW w:w="630" w:type="dxa"/>
            <w:tcMar>
              <w:top w:w="0" w:type="dxa"/>
              <w:left w:w="108" w:type="dxa"/>
              <w:bottom w:w="0" w:type="dxa"/>
              <w:right w:w="108" w:type="dxa"/>
            </w:tcMar>
            <w:vAlign w:val="center"/>
          </w:tcPr>
          <w:p w14:paraId="43E0B7EB"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5.69</w:t>
            </w:r>
          </w:p>
        </w:tc>
        <w:tc>
          <w:tcPr>
            <w:tcW w:w="630" w:type="dxa"/>
            <w:tcMar>
              <w:top w:w="0" w:type="dxa"/>
              <w:left w:w="108" w:type="dxa"/>
              <w:bottom w:w="0" w:type="dxa"/>
              <w:right w:w="108" w:type="dxa"/>
            </w:tcMar>
            <w:vAlign w:val="center"/>
          </w:tcPr>
          <w:p w14:paraId="1EFC92CE"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0.017</w:t>
            </w:r>
          </w:p>
        </w:tc>
        <w:tc>
          <w:tcPr>
            <w:tcW w:w="810" w:type="dxa"/>
            <w:tcMar>
              <w:top w:w="0" w:type="dxa"/>
              <w:left w:w="108" w:type="dxa"/>
              <w:bottom w:w="0" w:type="dxa"/>
              <w:right w:w="108" w:type="dxa"/>
            </w:tcMar>
            <w:vAlign w:val="center"/>
          </w:tcPr>
          <w:p w14:paraId="5A98B9E8"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10.75</w:t>
            </w:r>
          </w:p>
        </w:tc>
        <w:tc>
          <w:tcPr>
            <w:tcW w:w="810" w:type="dxa"/>
            <w:tcMar>
              <w:top w:w="0" w:type="dxa"/>
              <w:left w:w="108" w:type="dxa"/>
              <w:bottom w:w="0" w:type="dxa"/>
              <w:right w:w="108" w:type="dxa"/>
            </w:tcMar>
            <w:vAlign w:val="center"/>
          </w:tcPr>
          <w:p w14:paraId="3020E7A7"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1.53</w:t>
            </w:r>
          </w:p>
        </w:tc>
        <w:tc>
          <w:tcPr>
            <w:tcW w:w="810" w:type="dxa"/>
            <w:tcMar>
              <w:top w:w="0" w:type="dxa"/>
              <w:left w:w="108" w:type="dxa"/>
              <w:bottom w:w="0" w:type="dxa"/>
              <w:right w:w="108" w:type="dxa"/>
            </w:tcMar>
            <w:vAlign w:val="center"/>
          </w:tcPr>
          <w:p w14:paraId="7963BA7F"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75.66</w:t>
            </w:r>
          </w:p>
        </w:tc>
      </w:tr>
      <w:tr w:rsidR="0003583A" w14:paraId="51DE13FD" w14:textId="77777777">
        <w:tc>
          <w:tcPr>
            <w:tcW w:w="378" w:type="dxa"/>
            <w:tcMar>
              <w:top w:w="0" w:type="dxa"/>
              <w:left w:w="108" w:type="dxa"/>
              <w:bottom w:w="0" w:type="dxa"/>
              <w:right w:w="108" w:type="dxa"/>
            </w:tcMar>
          </w:tcPr>
          <w:p w14:paraId="69FC6AD6"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11</w:t>
            </w:r>
          </w:p>
        </w:tc>
        <w:tc>
          <w:tcPr>
            <w:tcW w:w="3600" w:type="dxa"/>
            <w:tcMar>
              <w:top w:w="0" w:type="dxa"/>
              <w:left w:w="108" w:type="dxa"/>
              <w:bottom w:w="0" w:type="dxa"/>
              <w:right w:w="108" w:type="dxa"/>
            </w:tcMar>
          </w:tcPr>
          <w:p w14:paraId="139B86FD"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information about exchange transfusion affects my decision</w:t>
            </w:r>
          </w:p>
        </w:tc>
        <w:tc>
          <w:tcPr>
            <w:tcW w:w="630" w:type="dxa"/>
            <w:tcMar>
              <w:top w:w="0" w:type="dxa"/>
              <w:left w:w="108" w:type="dxa"/>
              <w:bottom w:w="0" w:type="dxa"/>
              <w:right w:w="108" w:type="dxa"/>
            </w:tcMar>
            <w:vAlign w:val="center"/>
          </w:tcPr>
          <w:p w14:paraId="509649F6"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1.93</w:t>
            </w:r>
          </w:p>
        </w:tc>
        <w:tc>
          <w:tcPr>
            <w:tcW w:w="630" w:type="dxa"/>
            <w:tcMar>
              <w:top w:w="0" w:type="dxa"/>
              <w:left w:w="108" w:type="dxa"/>
              <w:bottom w:w="0" w:type="dxa"/>
              <w:right w:w="108" w:type="dxa"/>
            </w:tcMar>
            <w:vAlign w:val="center"/>
          </w:tcPr>
          <w:p w14:paraId="30A04918"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0.92</w:t>
            </w:r>
          </w:p>
        </w:tc>
        <w:tc>
          <w:tcPr>
            <w:tcW w:w="630" w:type="dxa"/>
            <w:tcMar>
              <w:top w:w="0" w:type="dxa"/>
              <w:left w:w="108" w:type="dxa"/>
              <w:bottom w:w="0" w:type="dxa"/>
              <w:right w:w="108" w:type="dxa"/>
            </w:tcMar>
            <w:vAlign w:val="center"/>
          </w:tcPr>
          <w:p w14:paraId="1020F8AF"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4.41</w:t>
            </w:r>
          </w:p>
        </w:tc>
        <w:tc>
          <w:tcPr>
            <w:tcW w:w="630" w:type="dxa"/>
            <w:tcMar>
              <w:top w:w="0" w:type="dxa"/>
              <w:left w:w="108" w:type="dxa"/>
              <w:bottom w:w="0" w:type="dxa"/>
              <w:right w:w="108" w:type="dxa"/>
            </w:tcMar>
            <w:vAlign w:val="center"/>
          </w:tcPr>
          <w:p w14:paraId="5BF118AE"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0.040</w:t>
            </w:r>
          </w:p>
        </w:tc>
        <w:tc>
          <w:tcPr>
            <w:tcW w:w="810" w:type="dxa"/>
            <w:tcMar>
              <w:top w:w="0" w:type="dxa"/>
              <w:left w:w="108" w:type="dxa"/>
              <w:bottom w:w="0" w:type="dxa"/>
              <w:right w:w="108" w:type="dxa"/>
            </w:tcMar>
            <w:vAlign w:val="center"/>
          </w:tcPr>
          <w:p w14:paraId="4B4CB383"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6.92</w:t>
            </w:r>
          </w:p>
        </w:tc>
        <w:tc>
          <w:tcPr>
            <w:tcW w:w="810" w:type="dxa"/>
            <w:tcMar>
              <w:top w:w="0" w:type="dxa"/>
              <w:left w:w="108" w:type="dxa"/>
              <w:bottom w:w="0" w:type="dxa"/>
              <w:right w:w="108" w:type="dxa"/>
            </w:tcMar>
            <w:vAlign w:val="center"/>
          </w:tcPr>
          <w:p w14:paraId="588F7C6F"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1.14</w:t>
            </w:r>
          </w:p>
        </w:tc>
        <w:tc>
          <w:tcPr>
            <w:tcW w:w="810" w:type="dxa"/>
            <w:tcMar>
              <w:top w:w="0" w:type="dxa"/>
              <w:left w:w="108" w:type="dxa"/>
              <w:bottom w:w="0" w:type="dxa"/>
              <w:right w:w="108" w:type="dxa"/>
            </w:tcMar>
            <w:vAlign w:val="center"/>
          </w:tcPr>
          <w:p w14:paraId="13A591FB"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42.03</w:t>
            </w:r>
          </w:p>
        </w:tc>
      </w:tr>
      <w:tr w:rsidR="009D0D86" w14:paraId="2BBEDC4B" w14:textId="77777777">
        <w:tc>
          <w:tcPr>
            <w:tcW w:w="378" w:type="dxa"/>
            <w:tcMar>
              <w:top w:w="0" w:type="dxa"/>
              <w:left w:w="108" w:type="dxa"/>
              <w:bottom w:w="0" w:type="dxa"/>
              <w:right w:w="108" w:type="dxa"/>
            </w:tcMar>
          </w:tcPr>
          <w:p w14:paraId="4FB1A787" w14:textId="77777777" w:rsidR="009D0D86" w:rsidRDefault="009D0D86">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12</w:t>
            </w:r>
          </w:p>
        </w:tc>
        <w:tc>
          <w:tcPr>
            <w:tcW w:w="3600" w:type="dxa"/>
            <w:tcMar>
              <w:top w:w="0" w:type="dxa"/>
              <w:left w:w="108" w:type="dxa"/>
              <w:bottom w:w="0" w:type="dxa"/>
              <w:right w:w="108" w:type="dxa"/>
            </w:tcMar>
          </w:tcPr>
          <w:p w14:paraId="6D74BEFB" w14:textId="77777777" w:rsidR="009D0D86" w:rsidRDefault="009D0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only accept exchange transfusion if I see another baby survive it first</w:t>
            </w:r>
          </w:p>
        </w:tc>
        <w:tc>
          <w:tcPr>
            <w:tcW w:w="630" w:type="dxa"/>
            <w:tcMar>
              <w:top w:w="0" w:type="dxa"/>
              <w:left w:w="108" w:type="dxa"/>
              <w:bottom w:w="0" w:type="dxa"/>
              <w:right w:w="108" w:type="dxa"/>
            </w:tcMar>
            <w:vAlign w:val="center"/>
          </w:tcPr>
          <w:p w14:paraId="32CF9454" w14:textId="77777777" w:rsidR="009D0D86" w:rsidRDefault="009D0D86" w:rsidP="006364A7">
            <w:pPr>
              <w:spacing w:line="240" w:lineRule="auto"/>
              <w:ind w:left="-116" w:right="-182"/>
              <w:jc w:val="center"/>
            </w:pPr>
            <w:r>
              <w:rPr>
                <w:rFonts w:ascii="Times New Roman" w:hAnsi="Times New Roman" w:cs="Times New Roman"/>
                <w:sz w:val="24"/>
                <w:szCs w:val="24"/>
              </w:rPr>
              <w:t>0.06</w:t>
            </w:r>
          </w:p>
        </w:tc>
        <w:tc>
          <w:tcPr>
            <w:tcW w:w="630" w:type="dxa"/>
            <w:tcMar>
              <w:top w:w="0" w:type="dxa"/>
              <w:left w:w="108" w:type="dxa"/>
              <w:bottom w:w="0" w:type="dxa"/>
              <w:right w:w="108" w:type="dxa"/>
            </w:tcMar>
            <w:vAlign w:val="center"/>
          </w:tcPr>
          <w:p w14:paraId="607A18C8" w14:textId="77777777" w:rsidR="009D0D86" w:rsidRDefault="009D0D86" w:rsidP="006364A7">
            <w:pPr>
              <w:tabs>
                <w:tab w:val="left" w:pos="680"/>
              </w:tabs>
              <w:spacing w:line="240" w:lineRule="auto"/>
              <w:ind w:left="-124"/>
              <w:jc w:val="center"/>
            </w:pPr>
            <w:r>
              <w:rPr>
                <w:rFonts w:ascii="Times New Roman" w:hAnsi="Times New Roman" w:cs="Times New Roman"/>
                <w:sz w:val="24"/>
                <w:szCs w:val="24"/>
              </w:rPr>
              <w:t>0.90</w:t>
            </w:r>
          </w:p>
        </w:tc>
        <w:tc>
          <w:tcPr>
            <w:tcW w:w="630" w:type="dxa"/>
            <w:tcMar>
              <w:top w:w="0" w:type="dxa"/>
              <w:left w:w="108" w:type="dxa"/>
              <w:bottom w:w="0" w:type="dxa"/>
              <w:right w:w="108" w:type="dxa"/>
            </w:tcMar>
            <w:vAlign w:val="center"/>
          </w:tcPr>
          <w:p w14:paraId="47158852" w14:textId="77777777" w:rsidR="009D0D86" w:rsidRDefault="009D0D86" w:rsidP="006364A7">
            <w:pPr>
              <w:spacing w:line="240" w:lineRule="auto"/>
              <w:ind w:left="-132" w:right="-111"/>
              <w:jc w:val="center"/>
            </w:pPr>
            <w:r>
              <w:rPr>
                <w:rFonts w:ascii="Times New Roman" w:hAnsi="Times New Roman" w:cs="Times New Roman"/>
                <w:sz w:val="24"/>
                <w:szCs w:val="24"/>
              </w:rPr>
              <w:t>0.17</w:t>
            </w:r>
          </w:p>
        </w:tc>
        <w:tc>
          <w:tcPr>
            <w:tcW w:w="630" w:type="dxa"/>
            <w:tcMar>
              <w:top w:w="0" w:type="dxa"/>
              <w:left w:w="108" w:type="dxa"/>
              <w:bottom w:w="0" w:type="dxa"/>
              <w:right w:w="108" w:type="dxa"/>
            </w:tcMar>
            <w:vAlign w:val="center"/>
          </w:tcPr>
          <w:p w14:paraId="201B9F90" w14:textId="77777777" w:rsidR="009D0D86" w:rsidRDefault="009D0D86" w:rsidP="006364A7">
            <w:pPr>
              <w:spacing w:line="240" w:lineRule="auto"/>
              <w:ind w:left="-105" w:right="-138"/>
              <w:jc w:val="center"/>
            </w:pPr>
            <w:r>
              <w:rPr>
                <w:rFonts w:ascii="Times New Roman" w:hAnsi="Times New Roman" w:cs="Times New Roman"/>
                <w:sz w:val="24"/>
                <w:szCs w:val="24"/>
              </w:rPr>
              <w:t>0.910</w:t>
            </w:r>
          </w:p>
        </w:tc>
        <w:tc>
          <w:tcPr>
            <w:tcW w:w="810" w:type="dxa"/>
            <w:tcMar>
              <w:top w:w="0" w:type="dxa"/>
              <w:left w:w="108" w:type="dxa"/>
              <w:bottom w:w="0" w:type="dxa"/>
              <w:right w:w="108" w:type="dxa"/>
            </w:tcMar>
            <w:vAlign w:val="center"/>
          </w:tcPr>
          <w:p w14:paraId="5EC50EC2" w14:textId="77777777" w:rsidR="009D0D86" w:rsidRDefault="009D0D86" w:rsidP="006364A7">
            <w:pPr>
              <w:spacing w:line="240" w:lineRule="auto"/>
              <w:ind w:left="-78" w:right="-115"/>
              <w:jc w:val="center"/>
            </w:pPr>
            <w:r>
              <w:rPr>
                <w:rFonts w:ascii="Times New Roman" w:hAnsi="Times New Roman" w:cs="Times New Roman"/>
                <w:sz w:val="24"/>
                <w:szCs w:val="24"/>
              </w:rPr>
              <w:t>0.96</w:t>
            </w:r>
          </w:p>
        </w:tc>
        <w:tc>
          <w:tcPr>
            <w:tcW w:w="810" w:type="dxa"/>
            <w:tcMar>
              <w:top w:w="0" w:type="dxa"/>
              <w:left w:w="108" w:type="dxa"/>
              <w:bottom w:w="0" w:type="dxa"/>
              <w:right w:w="108" w:type="dxa"/>
            </w:tcMar>
            <w:vAlign w:val="center"/>
          </w:tcPr>
          <w:p w14:paraId="48D41233" w14:textId="77777777" w:rsidR="009D0D86" w:rsidRDefault="009D0D86" w:rsidP="006364A7">
            <w:pPr>
              <w:spacing w:line="240" w:lineRule="auto"/>
              <w:ind w:left="-101" w:right="-119"/>
              <w:jc w:val="center"/>
            </w:pPr>
            <w:r>
              <w:rPr>
                <w:rFonts w:ascii="Times New Roman" w:hAnsi="Times New Roman" w:cs="Times New Roman"/>
                <w:sz w:val="24"/>
                <w:szCs w:val="24"/>
              </w:rPr>
              <w:t>0.22</w:t>
            </w:r>
          </w:p>
        </w:tc>
        <w:tc>
          <w:tcPr>
            <w:tcW w:w="810" w:type="dxa"/>
            <w:tcMar>
              <w:top w:w="0" w:type="dxa"/>
              <w:left w:w="108" w:type="dxa"/>
              <w:bottom w:w="0" w:type="dxa"/>
              <w:right w:w="108" w:type="dxa"/>
            </w:tcMar>
            <w:vAlign w:val="center"/>
          </w:tcPr>
          <w:p w14:paraId="0ACB13AF" w14:textId="77777777" w:rsidR="009D0D86" w:rsidRDefault="009D0D86" w:rsidP="009D0D86">
            <w:pPr>
              <w:tabs>
                <w:tab w:val="left" w:pos="800"/>
              </w:tabs>
              <w:spacing w:line="240" w:lineRule="auto"/>
            </w:pPr>
            <w:r>
              <w:rPr>
                <w:rFonts w:ascii="Times New Roman" w:hAnsi="Times New Roman" w:cs="Times New Roman"/>
                <w:sz w:val="24"/>
                <w:szCs w:val="24"/>
              </w:rPr>
              <w:t>2.11</w:t>
            </w:r>
          </w:p>
        </w:tc>
      </w:tr>
    </w:tbl>
    <w:p w14:paraId="5415FA2B"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in </w:t>
      </w:r>
      <w:r w:rsidR="009D0D86">
        <w:rPr>
          <w:rFonts w:ascii="Times New Roman" w:hAnsi="Times New Roman" w:cs="Times New Roman"/>
          <w:sz w:val="24"/>
          <w:szCs w:val="24"/>
        </w:rPr>
        <w:t>Table 5 shows that c</w:t>
      </w:r>
      <w:r>
        <w:rPr>
          <w:rFonts w:ascii="Times New Roman" w:hAnsi="Times New Roman" w:cs="Times New Roman"/>
          <w:sz w:val="24"/>
          <w:szCs w:val="24"/>
        </w:rPr>
        <w:t>ost</w:t>
      </w:r>
      <w:r w:rsidR="009D0D86">
        <w:rPr>
          <w:rFonts w:ascii="Times New Roman" w:hAnsi="Times New Roman" w:cs="Times New Roman"/>
          <w:sz w:val="24"/>
          <w:szCs w:val="24"/>
        </w:rPr>
        <w:t>-related concerns (Item 10) had</w:t>
      </w:r>
      <w:r>
        <w:rPr>
          <w:rFonts w:ascii="Times New Roman" w:hAnsi="Times New Roman" w:cs="Times New Roman"/>
          <w:sz w:val="24"/>
          <w:szCs w:val="24"/>
        </w:rPr>
        <w:t xml:space="preserve"> significantly influenced willingness, with a coefficient of B = 2.38 and an odds ratio of 10.75 (p &lt; 0.05), suggesting that economic factors play an important role in maternal decision-making. Similarly, religious objection to exchange transfusion (Item 7) recorded B = 2.25 and an odds ratio of 9.45 (p &lt; 0.05), confirming the strong influence of faith-based values on consent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Cultural beliefs that EBT is an abomination (Item 8), external influence from husbands or pastors (Item 9), and lack of adequate information (Item 11) were also statistically significant, with odds ratios ranging between 6.48 and 6.92. Since all the decision-making variables</w:t>
      </w:r>
      <w:r w:rsidR="009D0D86">
        <w:rPr>
          <w:rFonts w:ascii="Times New Roman" w:hAnsi="Times New Roman" w:cs="Times New Roman"/>
          <w:sz w:val="24"/>
          <w:szCs w:val="24"/>
        </w:rPr>
        <w:t xml:space="preserve"> except item 12</w:t>
      </w:r>
      <w:r w:rsidR="00724DD4">
        <w:rPr>
          <w:rFonts w:ascii="Times New Roman" w:hAnsi="Times New Roman" w:cs="Times New Roman"/>
          <w:sz w:val="24"/>
          <w:szCs w:val="24"/>
        </w:rPr>
        <w:t>,</w:t>
      </w:r>
      <w:r>
        <w:rPr>
          <w:rFonts w:ascii="Times New Roman" w:hAnsi="Times New Roman" w:cs="Times New Roman"/>
          <w:sz w:val="24"/>
          <w:szCs w:val="24"/>
        </w:rPr>
        <w:t xml:space="preserve"> produced p-values below the 0.05 threshold, </w:t>
      </w:r>
      <w:r w:rsidR="00724DD4">
        <w:rPr>
          <w:rFonts w:ascii="Times New Roman" w:hAnsi="Times New Roman" w:cs="Times New Roman"/>
          <w:sz w:val="24"/>
          <w:szCs w:val="24"/>
        </w:rPr>
        <w:t xml:space="preserve">hence </w:t>
      </w:r>
      <w:r>
        <w:rPr>
          <w:rFonts w:ascii="Times New Roman" w:hAnsi="Times New Roman" w:cs="Times New Roman"/>
          <w:sz w:val="24"/>
          <w:szCs w:val="24"/>
        </w:rPr>
        <w:t>the</w:t>
      </w:r>
      <w:r w:rsidR="00724DD4">
        <w:rPr>
          <w:rFonts w:ascii="Times New Roman" w:hAnsi="Times New Roman" w:cs="Times New Roman"/>
          <w:sz w:val="24"/>
          <w:szCs w:val="24"/>
        </w:rPr>
        <w:t xml:space="preserve"> null hypothesis two is considered rejected</w:t>
      </w:r>
      <w:r>
        <w:rPr>
          <w:rFonts w:ascii="Times New Roman" w:hAnsi="Times New Roman" w:cs="Times New Roman"/>
          <w:sz w:val="24"/>
          <w:szCs w:val="24"/>
        </w:rPr>
        <w:t>.</w:t>
      </w:r>
    </w:p>
    <w:p w14:paraId="6A2B240D" w14:textId="77777777" w:rsidR="0003583A" w:rsidRDefault="00DC180B">
      <w:pPr>
        <w:spacing w:after="0" w:line="240" w:lineRule="auto"/>
        <w:rPr>
          <w:rFonts w:ascii="Times New Roman" w:hAnsi="Times New Roman" w:cs="Times New Roman"/>
          <w:b/>
          <w:sz w:val="24"/>
          <w:szCs w:val="24"/>
        </w:rPr>
      </w:pPr>
      <w:r>
        <w:rPr>
          <w:rFonts w:ascii="Times New Roman" w:hAnsi="Times New Roman" w:cs="Times New Roman"/>
          <w:b/>
          <w:sz w:val="24"/>
          <w:szCs w:val="24"/>
        </w:rPr>
        <w:t>Table 6: Chi-Square Test of Association between Educational Qualification and Mothers’ Willingness to Consent to Exchange Blood Transfusion (N = 150)</w:t>
      </w:r>
    </w:p>
    <w:tbl>
      <w:tblPr>
        <w:tblW w:w="9108" w:type="dxa"/>
        <w:tblBorders>
          <w:top w:val="single" w:sz="4" w:space="0" w:color="auto"/>
          <w:bottom w:val="single" w:sz="4" w:space="0" w:color="auto"/>
        </w:tblBorders>
        <w:tblLayout w:type="fixed"/>
        <w:tblLook w:val="04A0" w:firstRow="1" w:lastRow="0" w:firstColumn="1" w:lastColumn="0" w:noHBand="0" w:noVBand="1"/>
      </w:tblPr>
      <w:tblGrid>
        <w:gridCol w:w="590"/>
        <w:gridCol w:w="4108"/>
        <w:gridCol w:w="810"/>
        <w:gridCol w:w="810"/>
        <w:gridCol w:w="630"/>
        <w:gridCol w:w="450"/>
        <w:gridCol w:w="900"/>
        <w:gridCol w:w="810"/>
      </w:tblGrid>
      <w:tr w:rsidR="0003583A" w14:paraId="454A2B11" w14:textId="77777777">
        <w:tc>
          <w:tcPr>
            <w:tcW w:w="590" w:type="dxa"/>
            <w:tcMar>
              <w:top w:w="0" w:type="dxa"/>
              <w:left w:w="108" w:type="dxa"/>
              <w:bottom w:w="0" w:type="dxa"/>
              <w:right w:w="108" w:type="dxa"/>
            </w:tcMar>
          </w:tcPr>
          <w:p w14:paraId="1412FE2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S/N</w:t>
            </w:r>
          </w:p>
        </w:tc>
        <w:tc>
          <w:tcPr>
            <w:tcW w:w="4108" w:type="dxa"/>
            <w:tcMar>
              <w:top w:w="0" w:type="dxa"/>
              <w:left w:w="108" w:type="dxa"/>
              <w:bottom w:w="0" w:type="dxa"/>
              <w:right w:w="108" w:type="dxa"/>
            </w:tcMar>
          </w:tcPr>
          <w:p w14:paraId="37AD32E7"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Item Statement</w:t>
            </w:r>
          </w:p>
        </w:tc>
        <w:tc>
          <w:tcPr>
            <w:tcW w:w="810" w:type="dxa"/>
            <w:tcMar>
              <w:top w:w="0" w:type="dxa"/>
              <w:left w:w="108" w:type="dxa"/>
              <w:bottom w:w="0" w:type="dxa"/>
              <w:right w:w="108" w:type="dxa"/>
            </w:tcMar>
            <w:vAlign w:val="center"/>
          </w:tcPr>
          <w:p w14:paraId="0A8690C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Willing </w:t>
            </w:r>
          </w:p>
          <w:p w14:paraId="676BDE81"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b/>
                <w:bCs/>
                <w:sz w:val="24"/>
                <w:szCs w:val="24"/>
              </w:rPr>
              <w:t>n (%)</w:t>
            </w:r>
          </w:p>
        </w:tc>
        <w:tc>
          <w:tcPr>
            <w:tcW w:w="810" w:type="dxa"/>
            <w:tcMar>
              <w:top w:w="0" w:type="dxa"/>
              <w:left w:w="108" w:type="dxa"/>
              <w:bottom w:w="0" w:type="dxa"/>
              <w:right w:w="108" w:type="dxa"/>
            </w:tcMar>
            <w:vAlign w:val="center"/>
          </w:tcPr>
          <w:p w14:paraId="3043E304"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Not willing </w:t>
            </w:r>
          </w:p>
          <w:p w14:paraId="3768D65D"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b/>
                <w:bCs/>
                <w:sz w:val="24"/>
                <w:szCs w:val="24"/>
              </w:rPr>
              <w:t>n (%)</w:t>
            </w:r>
          </w:p>
        </w:tc>
        <w:tc>
          <w:tcPr>
            <w:tcW w:w="630" w:type="dxa"/>
            <w:tcMar>
              <w:top w:w="0" w:type="dxa"/>
              <w:left w:w="108" w:type="dxa"/>
              <w:bottom w:w="0" w:type="dxa"/>
              <w:right w:w="108" w:type="dxa"/>
            </w:tcMar>
            <w:vAlign w:val="center"/>
          </w:tcPr>
          <w:p w14:paraId="4BF47351"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Total</w:t>
            </w:r>
          </w:p>
        </w:tc>
        <w:tc>
          <w:tcPr>
            <w:tcW w:w="450" w:type="dxa"/>
            <w:tcMar>
              <w:top w:w="0" w:type="dxa"/>
              <w:left w:w="108" w:type="dxa"/>
              <w:bottom w:w="0" w:type="dxa"/>
              <w:right w:w="108" w:type="dxa"/>
            </w:tcMar>
            <w:vAlign w:val="center"/>
          </w:tcPr>
          <w:p w14:paraId="7BF8D9D7"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df</w:t>
            </w:r>
          </w:p>
        </w:tc>
        <w:tc>
          <w:tcPr>
            <w:tcW w:w="900" w:type="dxa"/>
            <w:tcMar>
              <w:top w:w="0" w:type="dxa"/>
              <w:left w:w="108" w:type="dxa"/>
              <w:bottom w:w="0" w:type="dxa"/>
              <w:right w:w="108" w:type="dxa"/>
            </w:tcMar>
            <w:vAlign w:val="center"/>
          </w:tcPr>
          <w:p w14:paraId="14CA1122"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χ²</w:t>
            </w:r>
          </w:p>
        </w:tc>
        <w:tc>
          <w:tcPr>
            <w:tcW w:w="810" w:type="dxa"/>
            <w:tcMar>
              <w:top w:w="0" w:type="dxa"/>
              <w:left w:w="108" w:type="dxa"/>
              <w:bottom w:w="0" w:type="dxa"/>
              <w:right w:w="108" w:type="dxa"/>
            </w:tcMar>
            <w:vAlign w:val="center"/>
          </w:tcPr>
          <w:p w14:paraId="26FFFAED"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P-value</w:t>
            </w:r>
          </w:p>
        </w:tc>
      </w:tr>
      <w:tr w:rsidR="0003583A" w14:paraId="30B594DF" w14:textId="77777777">
        <w:tc>
          <w:tcPr>
            <w:tcW w:w="590" w:type="dxa"/>
            <w:tcMar>
              <w:top w:w="0" w:type="dxa"/>
              <w:left w:w="108" w:type="dxa"/>
              <w:bottom w:w="0" w:type="dxa"/>
              <w:right w:w="108" w:type="dxa"/>
            </w:tcMar>
          </w:tcPr>
          <w:p w14:paraId="4963044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4108" w:type="dxa"/>
            <w:tcMar>
              <w:top w:w="0" w:type="dxa"/>
              <w:left w:w="108" w:type="dxa"/>
              <w:bottom w:w="0" w:type="dxa"/>
              <w:right w:w="108" w:type="dxa"/>
            </w:tcMar>
          </w:tcPr>
          <w:p w14:paraId="76A77D6A"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willing to approve exchange blood transfusion for my baby if recommended by a medical doctor.</w:t>
            </w:r>
          </w:p>
        </w:tc>
        <w:tc>
          <w:tcPr>
            <w:tcW w:w="810" w:type="dxa"/>
            <w:tcMar>
              <w:top w:w="0" w:type="dxa"/>
              <w:left w:w="108" w:type="dxa"/>
              <w:bottom w:w="0" w:type="dxa"/>
              <w:right w:w="108" w:type="dxa"/>
            </w:tcMar>
            <w:vAlign w:val="center"/>
          </w:tcPr>
          <w:p w14:paraId="12834E1C"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85 (56.7)</w:t>
            </w:r>
          </w:p>
        </w:tc>
        <w:tc>
          <w:tcPr>
            <w:tcW w:w="810" w:type="dxa"/>
            <w:tcMar>
              <w:top w:w="0" w:type="dxa"/>
              <w:left w:w="108" w:type="dxa"/>
              <w:bottom w:w="0" w:type="dxa"/>
              <w:right w:w="108" w:type="dxa"/>
            </w:tcMar>
            <w:vAlign w:val="center"/>
          </w:tcPr>
          <w:p w14:paraId="525852BA"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65 (43.3)</w:t>
            </w:r>
          </w:p>
        </w:tc>
        <w:tc>
          <w:tcPr>
            <w:tcW w:w="630" w:type="dxa"/>
            <w:tcMar>
              <w:top w:w="0" w:type="dxa"/>
              <w:left w:w="108" w:type="dxa"/>
              <w:bottom w:w="0" w:type="dxa"/>
              <w:right w:w="108" w:type="dxa"/>
            </w:tcMar>
            <w:vAlign w:val="center"/>
          </w:tcPr>
          <w:p w14:paraId="216A7925"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0CB6568A" w14:textId="77777777" w:rsidR="0003583A" w:rsidRDefault="00DC180B">
            <w:pPr>
              <w:autoSpaceDE w:val="0"/>
              <w:autoSpaceDN w:val="0"/>
              <w:adjustRightInd w:val="0"/>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4A22944B"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12.454</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2B9FE8E0"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468E79CE" w14:textId="77777777">
        <w:tc>
          <w:tcPr>
            <w:tcW w:w="590" w:type="dxa"/>
            <w:tcMar>
              <w:top w:w="0" w:type="dxa"/>
              <w:left w:w="108" w:type="dxa"/>
              <w:bottom w:w="0" w:type="dxa"/>
              <w:right w:w="108" w:type="dxa"/>
            </w:tcMar>
          </w:tcPr>
          <w:p w14:paraId="411CEB0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108" w:type="dxa"/>
            <w:tcMar>
              <w:top w:w="0" w:type="dxa"/>
              <w:left w:w="108" w:type="dxa"/>
              <w:bottom w:w="0" w:type="dxa"/>
              <w:right w:w="108" w:type="dxa"/>
            </w:tcMar>
          </w:tcPr>
          <w:p w14:paraId="0D715858"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only approve exchange transfusion after trying all other options.</w:t>
            </w:r>
          </w:p>
        </w:tc>
        <w:tc>
          <w:tcPr>
            <w:tcW w:w="810" w:type="dxa"/>
            <w:tcMar>
              <w:top w:w="0" w:type="dxa"/>
              <w:left w:w="108" w:type="dxa"/>
              <w:bottom w:w="0" w:type="dxa"/>
              <w:right w:w="108" w:type="dxa"/>
            </w:tcMar>
            <w:vAlign w:val="center"/>
          </w:tcPr>
          <w:p w14:paraId="5056D18E"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48 (32.0)</w:t>
            </w:r>
          </w:p>
        </w:tc>
        <w:tc>
          <w:tcPr>
            <w:tcW w:w="810" w:type="dxa"/>
            <w:tcMar>
              <w:top w:w="0" w:type="dxa"/>
              <w:left w:w="108" w:type="dxa"/>
              <w:bottom w:w="0" w:type="dxa"/>
              <w:right w:w="108" w:type="dxa"/>
            </w:tcMar>
            <w:vAlign w:val="center"/>
          </w:tcPr>
          <w:p w14:paraId="2DB20729"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102 (68.0)</w:t>
            </w:r>
          </w:p>
        </w:tc>
        <w:tc>
          <w:tcPr>
            <w:tcW w:w="630" w:type="dxa"/>
            <w:tcMar>
              <w:top w:w="0" w:type="dxa"/>
              <w:left w:w="108" w:type="dxa"/>
              <w:bottom w:w="0" w:type="dxa"/>
              <w:right w:w="108" w:type="dxa"/>
            </w:tcMar>
            <w:vAlign w:val="center"/>
          </w:tcPr>
          <w:p w14:paraId="21C969D1"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46ED3A10" w14:textId="77777777" w:rsidR="0003583A" w:rsidRDefault="00DC180B">
            <w:pPr>
              <w:autoSpaceDE w:val="0"/>
              <w:autoSpaceDN w:val="0"/>
              <w:adjustRightInd w:val="0"/>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15D9481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20.125</w:t>
            </w:r>
            <w:r>
              <w:rPr>
                <w:rFonts w:ascii="Times New Roman" w:hAnsi="Times New Roman" w:cs="Times New Roman"/>
                <w:sz w:val="24"/>
                <w:szCs w:val="24"/>
                <w:vertAlign w:val="superscript"/>
              </w:rPr>
              <w:t>a</w:t>
            </w:r>
          </w:p>
          <w:p w14:paraId="4BAE55E5" w14:textId="77777777" w:rsidR="0003583A" w:rsidRDefault="0003583A">
            <w:pPr>
              <w:spacing w:after="0" w:line="240" w:lineRule="auto"/>
              <w:ind w:left="-108" w:right="-108"/>
              <w:jc w:val="center"/>
              <w:rPr>
                <w:rFonts w:ascii="Times New Roman" w:hAnsi="Times New Roman" w:cs="Times New Roman"/>
                <w:sz w:val="24"/>
                <w:szCs w:val="24"/>
              </w:rPr>
            </w:pPr>
          </w:p>
        </w:tc>
        <w:tc>
          <w:tcPr>
            <w:tcW w:w="810" w:type="dxa"/>
            <w:tcMar>
              <w:top w:w="0" w:type="dxa"/>
              <w:left w:w="108" w:type="dxa"/>
              <w:bottom w:w="0" w:type="dxa"/>
              <w:right w:w="108" w:type="dxa"/>
            </w:tcMar>
            <w:vAlign w:val="center"/>
          </w:tcPr>
          <w:p w14:paraId="7A2201FD"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05B331E9"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r w:rsidR="0003583A" w14:paraId="50B57B7E" w14:textId="77777777">
        <w:tc>
          <w:tcPr>
            <w:tcW w:w="590" w:type="dxa"/>
            <w:tcMar>
              <w:top w:w="0" w:type="dxa"/>
              <w:left w:w="108" w:type="dxa"/>
              <w:bottom w:w="0" w:type="dxa"/>
              <w:right w:w="108" w:type="dxa"/>
            </w:tcMar>
          </w:tcPr>
          <w:p w14:paraId="62E3BC95"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108" w:type="dxa"/>
            <w:tcMar>
              <w:top w:w="0" w:type="dxa"/>
              <w:left w:w="108" w:type="dxa"/>
              <w:bottom w:w="0" w:type="dxa"/>
              <w:right w:w="108" w:type="dxa"/>
            </w:tcMar>
          </w:tcPr>
          <w:p w14:paraId="55C69DC8"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would never give consent for exchange transfusion, no matter the condition.</w:t>
            </w:r>
          </w:p>
        </w:tc>
        <w:tc>
          <w:tcPr>
            <w:tcW w:w="810" w:type="dxa"/>
            <w:tcMar>
              <w:top w:w="0" w:type="dxa"/>
              <w:left w:w="108" w:type="dxa"/>
              <w:bottom w:w="0" w:type="dxa"/>
              <w:right w:w="108" w:type="dxa"/>
            </w:tcMar>
            <w:vAlign w:val="center"/>
          </w:tcPr>
          <w:p w14:paraId="3F9FF2F3"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28 (18.7)</w:t>
            </w:r>
          </w:p>
        </w:tc>
        <w:tc>
          <w:tcPr>
            <w:tcW w:w="810" w:type="dxa"/>
            <w:tcMar>
              <w:top w:w="0" w:type="dxa"/>
              <w:left w:w="108" w:type="dxa"/>
              <w:bottom w:w="0" w:type="dxa"/>
              <w:right w:w="108" w:type="dxa"/>
            </w:tcMar>
            <w:vAlign w:val="center"/>
          </w:tcPr>
          <w:p w14:paraId="76382054"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122 (81.3)</w:t>
            </w:r>
          </w:p>
        </w:tc>
        <w:tc>
          <w:tcPr>
            <w:tcW w:w="630" w:type="dxa"/>
            <w:tcMar>
              <w:top w:w="0" w:type="dxa"/>
              <w:left w:w="108" w:type="dxa"/>
              <w:bottom w:w="0" w:type="dxa"/>
              <w:right w:w="108" w:type="dxa"/>
            </w:tcMar>
            <w:vAlign w:val="center"/>
          </w:tcPr>
          <w:p w14:paraId="623D1E5D"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5DC2CCB2"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1533AC9F"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15.301</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7A720F13"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04B93867"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r w:rsidR="0003583A" w14:paraId="6728B25E" w14:textId="77777777">
        <w:tc>
          <w:tcPr>
            <w:tcW w:w="590" w:type="dxa"/>
            <w:tcMar>
              <w:top w:w="0" w:type="dxa"/>
              <w:left w:w="108" w:type="dxa"/>
              <w:bottom w:w="0" w:type="dxa"/>
              <w:right w:w="108" w:type="dxa"/>
            </w:tcMar>
          </w:tcPr>
          <w:p w14:paraId="5D4F73D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108" w:type="dxa"/>
            <w:tcMar>
              <w:top w:w="0" w:type="dxa"/>
              <w:left w:w="108" w:type="dxa"/>
              <w:bottom w:w="0" w:type="dxa"/>
              <w:right w:w="108" w:type="dxa"/>
            </w:tcMar>
          </w:tcPr>
          <w:p w14:paraId="4C1B6ACD"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 trusted health worker explains it to me, I would approve exchange blood transfusion.</w:t>
            </w:r>
          </w:p>
        </w:tc>
        <w:tc>
          <w:tcPr>
            <w:tcW w:w="810" w:type="dxa"/>
            <w:tcMar>
              <w:top w:w="0" w:type="dxa"/>
              <w:left w:w="108" w:type="dxa"/>
              <w:bottom w:w="0" w:type="dxa"/>
              <w:right w:w="108" w:type="dxa"/>
            </w:tcMar>
            <w:vAlign w:val="center"/>
          </w:tcPr>
          <w:p w14:paraId="52DD0BB2"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75 (50.0)</w:t>
            </w:r>
          </w:p>
        </w:tc>
        <w:tc>
          <w:tcPr>
            <w:tcW w:w="810" w:type="dxa"/>
            <w:tcMar>
              <w:top w:w="0" w:type="dxa"/>
              <w:left w:w="108" w:type="dxa"/>
              <w:bottom w:w="0" w:type="dxa"/>
              <w:right w:w="108" w:type="dxa"/>
            </w:tcMar>
            <w:vAlign w:val="center"/>
          </w:tcPr>
          <w:p w14:paraId="0516819C"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75 (50.0)</w:t>
            </w:r>
          </w:p>
        </w:tc>
        <w:tc>
          <w:tcPr>
            <w:tcW w:w="630" w:type="dxa"/>
            <w:tcMar>
              <w:top w:w="0" w:type="dxa"/>
              <w:left w:w="108" w:type="dxa"/>
              <w:bottom w:w="0" w:type="dxa"/>
              <w:right w:w="108" w:type="dxa"/>
            </w:tcMar>
            <w:vAlign w:val="center"/>
          </w:tcPr>
          <w:p w14:paraId="4B76FE42"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2F0519D9"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71BD5493"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8.976</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076274D5"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0.009</w:t>
            </w:r>
          </w:p>
        </w:tc>
      </w:tr>
      <w:tr w:rsidR="0003583A" w14:paraId="6C389A4F" w14:textId="77777777">
        <w:tc>
          <w:tcPr>
            <w:tcW w:w="590" w:type="dxa"/>
            <w:tcMar>
              <w:top w:w="0" w:type="dxa"/>
              <w:left w:w="108" w:type="dxa"/>
              <w:bottom w:w="0" w:type="dxa"/>
              <w:right w:w="108" w:type="dxa"/>
            </w:tcMar>
          </w:tcPr>
          <w:p w14:paraId="1F4FB9AF"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108" w:type="dxa"/>
            <w:tcMar>
              <w:top w:w="0" w:type="dxa"/>
              <w:left w:w="108" w:type="dxa"/>
              <w:bottom w:w="0" w:type="dxa"/>
              <w:right w:w="108" w:type="dxa"/>
            </w:tcMar>
          </w:tcPr>
          <w:p w14:paraId="509339E0"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would approve exchange blood transfusion only if I see another baby survive it.</w:t>
            </w:r>
          </w:p>
        </w:tc>
        <w:tc>
          <w:tcPr>
            <w:tcW w:w="810" w:type="dxa"/>
            <w:tcMar>
              <w:top w:w="0" w:type="dxa"/>
              <w:left w:w="108" w:type="dxa"/>
              <w:bottom w:w="0" w:type="dxa"/>
              <w:right w:w="108" w:type="dxa"/>
            </w:tcMar>
            <w:vAlign w:val="center"/>
          </w:tcPr>
          <w:p w14:paraId="3B20354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61 (40.7)</w:t>
            </w:r>
          </w:p>
        </w:tc>
        <w:tc>
          <w:tcPr>
            <w:tcW w:w="810" w:type="dxa"/>
            <w:tcMar>
              <w:top w:w="0" w:type="dxa"/>
              <w:left w:w="108" w:type="dxa"/>
              <w:bottom w:w="0" w:type="dxa"/>
              <w:right w:w="108" w:type="dxa"/>
            </w:tcMar>
            <w:vAlign w:val="center"/>
          </w:tcPr>
          <w:p w14:paraId="5DA86B4F"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89 (59.3)</w:t>
            </w:r>
          </w:p>
        </w:tc>
        <w:tc>
          <w:tcPr>
            <w:tcW w:w="630" w:type="dxa"/>
            <w:tcMar>
              <w:top w:w="0" w:type="dxa"/>
              <w:left w:w="108" w:type="dxa"/>
              <w:bottom w:w="0" w:type="dxa"/>
              <w:right w:w="108" w:type="dxa"/>
            </w:tcMar>
            <w:vAlign w:val="center"/>
          </w:tcPr>
          <w:p w14:paraId="2129AE56"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5711DDA7"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63712349"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17.652</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06639CA3"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367CC905"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r w:rsidR="0003583A" w14:paraId="68968B41" w14:textId="77777777">
        <w:tc>
          <w:tcPr>
            <w:tcW w:w="590" w:type="dxa"/>
            <w:tcMar>
              <w:top w:w="0" w:type="dxa"/>
              <w:left w:w="108" w:type="dxa"/>
              <w:bottom w:w="0" w:type="dxa"/>
              <w:right w:w="108" w:type="dxa"/>
            </w:tcMar>
          </w:tcPr>
          <w:p w14:paraId="5284AC3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4108" w:type="dxa"/>
            <w:tcMar>
              <w:top w:w="0" w:type="dxa"/>
              <w:left w:w="108" w:type="dxa"/>
              <w:bottom w:w="0" w:type="dxa"/>
              <w:right w:w="108" w:type="dxa"/>
            </w:tcMar>
          </w:tcPr>
          <w:p w14:paraId="46CF291F"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afraid to give consent for exchange transfusion even if it may save my baby’s life.</w:t>
            </w:r>
          </w:p>
        </w:tc>
        <w:tc>
          <w:tcPr>
            <w:tcW w:w="810" w:type="dxa"/>
            <w:tcMar>
              <w:top w:w="0" w:type="dxa"/>
              <w:left w:w="108" w:type="dxa"/>
              <w:bottom w:w="0" w:type="dxa"/>
              <w:right w:w="108" w:type="dxa"/>
            </w:tcMar>
            <w:vAlign w:val="center"/>
          </w:tcPr>
          <w:p w14:paraId="1469692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42 (28.0)</w:t>
            </w:r>
          </w:p>
        </w:tc>
        <w:tc>
          <w:tcPr>
            <w:tcW w:w="810" w:type="dxa"/>
            <w:tcMar>
              <w:top w:w="0" w:type="dxa"/>
              <w:left w:w="108" w:type="dxa"/>
              <w:bottom w:w="0" w:type="dxa"/>
              <w:right w:w="108" w:type="dxa"/>
            </w:tcMar>
            <w:vAlign w:val="center"/>
          </w:tcPr>
          <w:p w14:paraId="2AF2A274"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108 (72.0)</w:t>
            </w:r>
          </w:p>
        </w:tc>
        <w:tc>
          <w:tcPr>
            <w:tcW w:w="630" w:type="dxa"/>
            <w:tcMar>
              <w:top w:w="0" w:type="dxa"/>
              <w:left w:w="108" w:type="dxa"/>
              <w:bottom w:w="0" w:type="dxa"/>
              <w:right w:w="108" w:type="dxa"/>
            </w:tcMar>
            <w:vAlign w:val="center"/>
          </w:tcPr>
          <w:p w14:paraId="394F0DF7"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28D77DB2"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6DFDDBA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32.067</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3EE03BCF"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3B633935"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bl>
    <w:p w14:paraId="7269371E"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Table 6 presents the Chi-square test results examining the association between mothers’ educational qualification and their willingness to consent to exchange blood transfusion. The analysis revealed statistically significant associations for all items at the 5% level of significance. A total of 56.7% of mothers agreed to approve exchange blood transfusion if such request is recommended by a medical doctor, while 43.3% disagreed (χ² = 12.454, p = 0.000). For the item measuring conditional approval after trying other options, 32.0% agreed and 68.0% disagreed (χ² = 20.125, p = 0.000). In response to the statement “I would never give consent no matter the condition,” only 18.7% agreed while 81.3% disagreed (χ² = 15.301, p = 0.000). An equal split was observed for the item measuring reliance on a trusted health worker’s explanation, with 50.0% agreeing and 50.0% disagreeing (χ² = 8.976, p = 0.009). These results demonstrate that mothers’ responses to all six willingness items varied significantly with their educational background. Since all the p-values were less than 0.05, the null hypothesis three is rejected.</w:t>
      </w:r>
    </w:p>
    <w:p w14:paraId="4974796D" w14:textId="77777777" w:rsidR="0003583A" w:rsidRDefault="0003583A">
      <w:pPr>
        <w:rPr>
          <w:rFonts w:ascii="Times New Roman" w:hAnsi="Times New Roman" w:cs="Times New Roman"/>
          <w:sz w:val="24"/>
          <w:szCs w:val="24"/>
        </w:rPr>
      </w:pPr>
    </w:p>
    <w:p w14:paraId="14632A6F" w14:textId="77777777" w:rsidR="0003583A" w:rsidRDefault="00DC180B">
      <w:pPr>
        <w:keepNext/>
        <w:keepLines/>
        <w:spacing w:after="0" w:line="240" w:lineRule="auto"/>
        <w:jc w:val="center"/>
        <w:outlineLvl w:val="0"/>
        <w:rPr>
          <w:rFonts w:ascii="Times New Roman" w:eastAsia="MS Gothic" w:hAnsi="Times New Roman" w:cs="Times New Roman"/>
          <w:b/>
          <w:bCs/>
          <w:sz w:val="24"/>
          <w:szCs w:val="24"/>
        </w:rPr>
      </w:pPr>
      <w:r>
        <w:rPr>
          <w:rFonts w:ascii="Times New Roman" w:hAnsi="Times New Roman" w:cs="Times New Roman"/>
          <w:b/>
          <w:sz w:val="24"/>
          <w:szCs w:val="24"/>
        </w:rPr>
        <w:t>Table 7:</w:t>
      </w:r>
      <w:r>
        <w:rPr>
          <w:rFonts w:ascii="Times New Roman" w:hAnsi="Times New Roman" w:cs="Times New Roman"/>
          <w:sz w:val="24"/>
          <w:szCs w:val="24"/>
        </w:rPr>
        <w:t xml:space="preserve"> </w:t>
      </w:r>
      <w:r>
        <w:rPr>
          <w:rFonts w:ascii="Times New Roman" w:eastAsia="MS Gothic" w:hAnsi="Times New Roman" w:cs="Times New Roman"/>
          <w:b/>
          <w:bCs/>
          <w:sz w:val="24"/>
          <w:szCs w:val="24"/>
        </w:rPr>
        <w:t>Logistic Regression of Educational Qualification and Willingness to Consent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243"/>
        <w:gridCol w:w="951"/>
        <w:gridCol w:w="1694"/>
        <w:gridCol w:w="900"/>
        <w:gridCol w:w="450"/>
        <w:gridCol w:w="810"/>
        <w:gridCol w:w="990"/>
        <w:gridCol w:w="860"/>
        <w:gridCol w:w="850"/>
      </w:tblGrid>
      <w:tr w:rsidR="0003583A" w14:paraId="3C9DD508" w14:textId="77777777">
        <w:trPr>
          <w:trHeight w:val="188"/>
        </w:trPr>
        <w:tc>
          <w:tcPr>
            <w:tcW w:w="1243" w:type="dxa"/>
            <w:vMerge w:val="restart"/>
            <w:tcMar>
              <w:top w:w="0" w:type="dxa"/>
              <w:left w:w="108" w:type="dxa"/>
              <w:bottom w:w="0" w:type="dxa"/>
              <w:right w:w="108" w:type="dxa"/>
            </w:tcMar>
          </w:tcPr>
          <w:p w14:paraId="3B5FA404"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Variable</w:t>
            </w:r>
          </w:p>
        </w:tc>
        <w:tc>
          <w:tcPr>
            <w:tcW w:w="951" w:type="dxa"/>
            <w:vMerge w:val="restart"/>
            <w:tcMar>
              <w:top w:w="0" w:type="dxa"/>
              <w:left w:w="108" w:type="dxa"/>
              <w:bottom w:w="0" w:type="dxa"/>
              <w:right w:w="108" w:type="dxa"/>
            </w:tcMar>
          </w:tcPr>
          <w:p w14:paraId="5F23F010"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B</w:t>
            </w:r>
          </w:p>
        </w:tc>
        <w:tc>
          <w:tcPr>
            <w:tcW w:w="1694" w:type="dxa"/>
            <w:vMerge w:val="restart"/>
            <w:tcMar>
              <w:top w:w="0" w:type="dxa"/>
              <w:left w:w="108" w:type="dxa"/>
              <w:bottom w:w="0" w:type="dxa"/>
              <w:right w:w="108" w:type="dxa"/>
            </w:tcMar>
          </w:tcPr>
          <w:p w14:paraId="00BD8203"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S.E.</w:t>
            </w:r>
          </w:p>
        </w:tc>
        <w:tc>
          <w:tcPr>
            <w:tcW w:w="900" w:type="dxa"/>
            <w:vMerge w:val="restart"/>
            <w:tcMar>
              <w:top w:w="0" w:type="dxa"/>
              <w:left w:w="108" w:type="dxa"/>
              <w:bottom w:w="0" w:type="dxa"/>
              <w:right w:w="108" w:type="dxa"/>
            </w:tcMar>
          </w:tcPr>
          <w:p w14:paraId="01316BA9"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Wald</w:t>
            </w:r>
          </w:p>
        </w:tc>
        <w:tc>
          <w:tcPr>
            <w:tcW w:w="450" w:type="dxa"/>
            <w:vMerge w:val="restart"/>
            <w:tcMar>
              <w:top w:w="0" w:type="dxa"/>
              <w:left w:w="108" w:type="dxa"/>
              <w:bottom w:w="0" w:type="dxa"/>
              <w:right w:w="108" w:type="dxa"/>
            </w:tcMar>
          </w:tcPr>
          <w:p w14:paraId="5FFBD935"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df</w:t>
            </w:r>
          </w:p>
        </w:tc>
        <w:tc>
          <w:tcPr>
            <w:tcW w:w="810" w:type="dxa"/>
            <w:vMerge w:val="restart"/>
            <w:tcMar>
              <w:top w:w="0" w:type="dxa"/>
              <w:left w:w="108" w:type="dxa"/>
              <w:bottom w:w="0" w:type="dxa"/>
              <w:right w:w="108" w:type="dxa"/>
            </w:tcMar>
          </w:tcPr>
          <w:p w14:paraId="5BC8AF0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Sig.</w:t>
            </w:r>
          </w:p>
        </w:tc>
        <w:tc>
          <w:tcPr>
            <w:tcW w:w="990" w:type="dxa"/>
            <w:vMerge w:val="restart"/>
            <w:tcMar>
              <w:top w:w="0" w:type="dxa"/>
              <w:left w:w="108" w:type="dxa"/>
              <w:bottom w:w="0" w:type="dxa"/>
              <w:right w:w="108" w:type="dxa"/>
            </w:tcMar>
          </w:tcPr>
          <w:p w14:paraId="3CEFE9A0"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Exp(B)</w:t>
            </w:r>
          </w:p>
        </w:tc>
        <w:tc>
          <w:tcPr>
            <w:tcW w:w="1710" w:type="dxa"/>
            <w:gridSpan w:val="2"/>
            <w:tcMar>
              <w:top w:w="0" w:type="dxa"/>
              <w:left w:w="108" w:type="dxa"/>
              <w:bottom w:w="0" w:type="dxa"/>
              <w:right w:w="108" w:type="dxa"/>
            </w:tcMar>
          </w:tcPr>
          <w:p w14:paraId="5AE2748B" w14:textId="77777777" w:rsidR="0003583A" w:rsidRDefault="00DC180B">
            <w:pPr>
              <w:spacing w:after="0" w:line="240" w:lineRule="auto"/>
              <w:jc w:val="center"/>
              <w:rPr>
                <w:rFonts w:ascii="Times New Roman" w:eastAsia="MS Gothic" w:hAnsi="Times New Roman" w:cs="Times New Roman"/>
                <w:b/>
                <w:bCs/>
                <w:sz w:val="24"/>
                <w:szCs w:val="24"/>
              </w:rPr>
            </w:pPr>
            <w:r>
              <w:rPr>
                <w:rFonts w:ascii="Times New Roman" w:hAnsi="Times New Roman" w:cs="Times New Roman"/>
                <w:sz w:val="24"/>
                <w:szCs w:val="24"/>
              </w:rPr>
              <w:t xml:space="preserve">95% CI for </w:t>
            </w:r>
            <w:r>
              <w:rPr>
                <w:rFonts w:ascii="Times New Roman" w:eastAsia="Calibri" w:hAnsi="Times New Roman" w:cs="Times New Roman"/>
                <w:color w:val="264A60"/>
                <w:sz w:val="24"/>
                <w:szCs w:val="24"/>
                <w:lang w:val="en-GB"/>
              </w:rPr>
              <w:t>EXP(B)</w:t>
            </w:r>
          </w:p>
        </w:tc>
      </w:tr>
      <w:tr w:rsidR="0003583A" w14:paraId="684EB654" w14:textId="77777777">
        <w:trPr>
          <w:trHeight w:val="85"/>
        </w:trPr>
        <w:tc>
          <w:tcPr>
            <w:tcW w:w="1243" w:type="dxa"/>
            <w:vMerge/>
            <w:tcMar>
              <w:top w:w="0" w:type="dxa"/>
              <w:left w:w="108" w:type="dxa"/>
              <w:bottom w:w="0" w:type="dxa"/>
              <w:right w:w="108" w:type="dxa"/>
            </w:tcMar>
          </w:tcPr>
          <w:p w14:paraId="0E027A43" w14:textId="77777777" w:rsidR="0003583A" w:rsidRDefault="0003583A">
            <w:pPr>
              <w:spacing w:after="0" w:line="240" w:lineRule="auto"/>
              <w:rPr>
                <w:rFonts w:ascii="Times New Roman" w:hAnsi="Times New Roman" w:cs="Times New Roman"/>
                <w:sz w:val="24"/>
                <w:szCs w:val="24"/>
              </w:rPr>
            </w:pPr>
          </w:p>
        </w:tc>
        <w:tc>
          <w:tcPr>
            <w:tcW w:w="951" w:type="dxa"/>
            <w:vMerge/>
            <w:tcMar>
              <w:top w:w="0" w:type="dxa"/>
              <w:left w:w="108" w:type="dxa"/>
              <w:bottom w:w="0" w:type="dxa"/>
              <w:right w:w="108" w:type="dxa"/>
            </w:tcMar>
          </w:tcPr>
          <w:p w14:paraId="10191477" w14:textId="77777777" w:rsidR="0003583A" w:rsidRDefault="0003583A">
            <w:pPr>
              <w:spacing w:after="0" w:line="240" w:lineRule="auto"/>
              <w:rPr>
                <w:rFonts w:ascii="Times New Roman" w:hAnsi="Times New Roman" w:cs="Times New Roman"/>
                <w:sz w:val="24"/>
                <w:szCs w:val="24"/>
              </w:rPr>
            </w:pPr>
          </w:p>
        </w:tc>
        <w:tc>
          <w:tcPr>
            <w:tcW w:w="1694" w:type="dxa"/>
            <w:vMerge/>
            <w:tcMar>
              <w:top w:w="0" w:type="dxa"/>
              <w:left w:w="108" w:type="dxa"/>
              <w:bottom w:w="0" w:type="dxa"/>
              <w:right w:w="108" w:type="dxa"/>
            </w:tcMar>
          </w:tcPr>
          <w:p w14:paraId="2D32CE95" w14:textId="77777777" w:rsidR="0003583A" w:rsidRDefault="0003583A">
            <w:pPr>
              <w:spacing w:after="0" w:line="240" w:lineRule="auto"/>
              <w:rPr>
                <w:rFonts w:ascii="Times New Roman" w:hAnsi="Times New Roman" w:cs="Times New Roman"/>
                <w:sz w:val="24"/>
                <w:szCs w:val="24"/>
              </w:rPr>
            </w:pPr>
          </w:p>
        </w:tc>
        <w:tc>
          <w:tcPr>
            <w:tcW w:w="900" w:type="dxa"/>
            <w:vMerge/>
            <w:tcMar>
              <w:top w:w="0" w:type="dxa"/>
              <w:left w:w="108" w:type="dxa"/>
              <w:bottom w:w="0" w:type="dxa"/>
              <w:right w:w="108" w:type="dxa"/>
            </w:tcMar>
          </w:tcPr>
          <w:p w14:paraId="112BEA32" w14:textId="77777777" w:rsidR="0003583A" w:rsidRDefault="0003583A">
            <w:pPr>
              <w:spacing w:after="0" w:line="240" w:lineRule="auto"/>
              <w:rPr>
                <w:rFonts w:ascii="Times New Roman" w:hAnsi="Times New Roman" w:cs="Times New Roman"/>
                <w:sz w:val="24"/>
                <w:szCs w:val="24"/>
              </w:rPr>
            </w:pPr>
          </w:p>
        </w:tc>
        <w:tc>
          <w:tcPr>
            <w:tcW w:w="450" w:type="dxa"/>
            <w:vMerge/>
            <w:tcMar>
              <w:top w:w="0" w:type="dxa"/>
              <w:left w:w="108" w:type="dxa"/>
              <w:bottom w:w="0" w:type="dxa"/>
              <w:right w:w="108" w:type="dxa"/>
            </w:tcMar>
          </w:tcPr>
          <w:p w14:paraId="5CC43F41" w14:textId="77777777" w:rsidR="0003583A" w:rsidRDefault="0003583A">
            <w:pPr>
              <w:spacing w:after="0" w:line="240" w:lineRule="auto"/>
              <w:rPr>
                <w:rFonts w:ascii="Times New Roman" w:hAnsi="Times New Roman" w:cs="Times New Roman"/>
                <w:sz w:val="24"/>
                <w:szCs w:val="24"/>
              </w:rPr>
            </w:pPr>
          </w:p>
        </w:tc>
        <w:tc>
          <w:tcPr>
            <w:tcW w:w="810" w:type="dxa"/>
            <w:vMerge/>
            <w:tcMar>
              <w:top w:w="0" w:type="dxa"/>
              <w:left w:w="108" w:type="dxa"/>
              <w:bottom w:w="0" w:type="dxa"/>
              <w:right w:w="108" w:type="dxa"/>
            </w:tcMar>
          </w:tcPr>
          <w:p w14:paraId="6FBB7834" w14:textId="77777777" w:rsidR="0003583A" w:rsidRDefault="0003583A">
            <w:pPr>
              <w:spacing w:after="0" w:line="240" w:lineRule="auto"/>
              <w:rPr>
                <w:rFonts w:ascii="Times New Roman" w:hAnsi="Times New Roman" w:cs="Times New Roman"/>
                <w:sz w:val="24"/>
                <w:szCs w:val="24"/>
              </w:rPr>
            </w:pPr>
          </w:p>
        </w:tc>
        <w:tc>
          <w:tcPr>
            <w:tcW w:w="990" w:type="dxa"/>
            <w:vMerge/>
            <w:tcMar>
              <w:top w:w="0" w:type="dxa"/>
              <w:left w:w="108" w:type="dxa"/>
              <w:bottom w:w="0" w:type="dxa"/>
              <w:right w:w="108" w:type="dxa"/>
            </w:tcMar>
          </w:tcPr>
          <w:p w14:paraId="05FF49B2" w14:textId="77777777" w:rsidR="0003583A" w:rsidRDefault="0003583A">
            <w:pPr>
              <w:spacing w:after="0" w:line="240" w:lineRule="auto"/>
              <w:rPr>
                <w:rFonts w:ascii="Times New Roman" w:hAnsi="Times New Roman" w:cs="Times New Roman"/>
                <w:sz w:val="24"/>
                <w:szCs w:val="24"/>
              </w:rPr>
            </w:pPr>
          </w:p>
        </w:tc>
        <w:tc>
          <w:tcPr>
            <w:tcW w:w="860" w:type="dxa"/>
            <w:tcMar>
              <w:top w:w="0" w:type="dxa"/>
              <w:left w:w="108" w:type="dxa"/>
              <w:bottom w:w="0" w:type="dxa"/>
              <w:right w:w="108" w:type="dxa"/>
            </w:tcMar>
          </w:tcPr>
          <w:p w14:paraId="2DBAED3C"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Lower</w:t>
            </w:r>
          </w:p>
        </w:tc>
        <w:tc>
          <w:tcPr>
            <w:tcW w:w="850" w:type="dxa"/>
            <w:tcMar>
              <w:top w:w="0" w:type="dxa"/>
              <w:left w:w="108" w:type="dxa"/>
              <w:bottom w:w="0" w:type="dxa"/>
              <w:right w:w="108" w:type="dxa"/>
            </w:tcMar>
          </w:tcPr>
          <w:p w14:paraId="772BD9C8" w14:textId="77777777" w:rsidR="0003583A" w:rsidRDefault="00DC180B">
            <w:pPr>
              <w:spacing w:after="0" w:line="240" w:lineRule="auto"/>
              <w:ind w:left="-68" w:right="-108"/>
              <w:rPr>
                <w:rFonts w:ascii="Times New Roman" w:hAnsi="Times New Roman" w:cs="Times New Roman"/>
                <w:sz w:val="24"/>
                <w:szCs w:val="24"/>
              </w:rPr>
            </w:pPr>
            <w:r>
              <w:rPr>
                <w:rFonts w:ascii="Times New Roman" w:hAnsi="Times New Roman" w:cs="Times New Roman"/>
                <w:sz w:val="24"/>
                <w:szCs w:val="24"/>
              </w:rPr>
              <w:t>Upper</w:t>
            </w:r>
          </w:p>
        </w:tc>
      </w:tr>
      <w:tr w:rsidR="0003583A" w14:paraId="6E249882" w14:textId="77777777">
        <w:tc>
          <w:tcPr>
            <w:tcW w:w="1243" w:type="dxa"/>
            <w:tcMar>
              <w:top w:w="0" w:type="dxa"/>
              <w:left w:w="108" w:type="dxa"/>
              <w:bottom w:w="0" w:type="dxa"/>
              <w:right w:w="108" w:type="dxa"/>
            </w:tcMar>
          </w:tcPr>
          <w:p w14:paraId="2EB5AB47"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lastRenderedPageBreak/>
              <w:t>Secondary Education</w:t>
            </w:r>
          </w:p>
        </w:tc>
        <w:tc>
          <w:tcPr>
            <w:tcW w:w="951" w:type="dxa"/>
            <w:tcMar>
              <w:top w:w="0" w:type="dxa"/>
              <w:left w:w="108" w:type="dxa"/>
              <w:bottom w:w="0" w:type="dxa"/>
              <w:right w:w="108" w:type="dxa"/>
            </w:tcMar>
          </w:tcPr>
          <w:p w14:paraId="0A7898D0"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1.346</w:t>
            </w:r>
          </w:p>
        </w:tc>
        <w:tc>
          <w:tcPr>
            <w:tcW w:w="1694" w:type="dxa"/>
            <w:tcMar>
              <w:top w:w="0" w:type="dxa"/>
              <w:left w:w="108" w:type="dxa"/>
              <w:bottom w:w="0" w:type="dxa"/>
              <w:right w:w="108" w:type="dxa"/>
            </w:tcMar>
          </w:tcPr>
          <w:p w14:paraId="4F8B2B1E"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0.431</w:t>
            </w:r>
          </w:p>
        </w:tc>
        <w:tc>
          <w:tcPr>
            <w:tcW w:w="900" w:type="dxa"/>
            <w:tcMar>
              <w:top w:w="0" w:type="dxa"/>
              <w:left w:w="108" w:type="dxa"/>
              <w:bottom w:w="0" w:type="dxa"/>
              <w:right w:w="108" w:type="dxa"/>
            </w:tcMar>
          </w:tcPr>
          <w:p w14:paraId="290209A6"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9.744</w:t>
            </w:r>
          </w:p>
        </w:tc>
        <w:tc>
          <w:tcPr>
            <w:tcW w:w="450" w:type="dxa"/>
            <w:tcMar>
              <w:top w:w="0" w:type="dxa"/>
              <w:left w:w="108" w:type="dxa"/>
              <w:bottom w:w="0" w:type="dxa"/>
              <w:right w:w="108" w:type="dxa"/>
            </w:tcMar>
          </w:tcPr>
          <w:p w14:paraId="4E38E06C"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w:t>
            </w:r>
          </w:p>
        </w:tc>
        <w:tc>
          <w:tcPr>
            <w:tcW w:w="810" w:type="dxa"/>
            <w:tcMar>
              <w:top w:w="0" w:type="dxa"/>
              <w:left w:w="108" w:type="dxa"/>
              <w:bottom w:w="0" w:type="dxa"/>
              <w:right w:w="108" w:type="dxa"/>
            </w:tcMar>
          </w:tcPr>
          <w:p w14:paraId="77067522"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.002</w:t>
            </w:r>
          </w:p>
        </w:tc>
        <w:tc>
          <w:tcPr>
            <w:tcW w:w="990" w:type="dxa"/>
            <w:tcMar>
              <w:top w:w="0" w:type="dxa"/>
              <w:left w:w="108" w:type="dxa"/>
              <w:bottom w:w="0" w:type="dxa"/>
              <w:right w:w="108" w:type="dxa"/>
            </w:tcMar>
          </w:tcPr>
          <w:p w14:paraId="4DC89AC1"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3.840</w:t>
            </w:r>
          </w:p>
        </w:tc>
        <w:tc>
          <w:tcPr>
            <w:tcW w:w="860" w:type="dxa"/>
            <w:tcMar>
              <w:top w:w="0" w:type="dxa"/>
              <w:left w:w="108" w:type="dxa"/>
              <w:bottom w:w="0" w:type="dxa"/>
              <w:right w:w="108" w:type="dxa"/>
            </w:tcMar>
          </w:tcPr>
          <w:p w14:paraId="23E5AC44"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1.650</w:t>
            </w:r>
          </w:p>
        </w:tc>
        <w:tc>
          <w:tcPr>
            <w:tcW w:w="850" w:type="dxa"/>
            <w:tcMar>
              <w:top w:w="0" w:type="dxa"/>
              <w:left w:w="108" w:type="dxa"/>
              <w:bottom w:w="0" w:type="dxa"/>
              <w:right w:w="108" w:type="dxa"/>
            </w:tcMar>
          </w:tcPr>
          <w:p w14:paraId="3D0E717D" w14:textId="77777777" w:rsidR="0003583A" w:rsidRDefault="00DC180B">
            <w:pPr>
              <w:spacing w:after="0" w:line="240" w:lineRule="auto"/>
              <w:ind w:left="-68" w:right="-108"/>
              <w:rPr>
                <w:rFonts w:ascii="Times New Roman" w:eastAsia="MS Gothic" w:hAnsi="Times New Roman" w:cs="Times New Roman"/>
                <w:b/>
                <w:bCs/>
                <w:sz w:val="24"/>
                <w:szCs w:val="24"/>
              </w:rPr>
            </w:pPr>
            <w:r>
              <w:rPr>
                <w:rFonts w:ascii="Times New Roman" w:hAnsi="Times New Roman" w:cs="Times New Roman"/>
                <w:sz w:val="24"/>
                <w:szCs w:val="24"/>
              </w:rPr>
              <w:t>8.938</w:t>
            </w:r>
          </w:p>
        </w:tc>
      </w:tr>
      <w:tr w:rsidR="0003583A" w14:paraId="6F2EFE40" w14:textId="77777777">
        <w:tc>
          <w:tcPr>
            <w:tcW w:w="1243" w:type="dxa"/>
            <w:tcMar>
              <w:top w:w="0" w:type="dxa"/>
              <w:left w:w="108" w:type="dxa"/>
              <w:bottom w:w="0" w:type="dxa"/>
              <w:right w:w="108" w:type="dxa"/>
            </w:tcMar>
          </w:tcPr>
          <w:p w14:paraId="0CFB93BD"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Tertiary Education</w:t>
            </w:r>
          </w:p>
        </w:tc>
        <w:tc>
          <w:tcPr>
            <w:tcW w:w="951" w:type="dxa"/>
            <w:tcMar>
              <w:top w:w="0" w:type="dxa"/>
              <w:left w:w="108" w:type="dxa"/>
              <w:bottom w:w="0" w:type="dxa"/>
              <w:right w:w="108" w:type="dxa"/>
            </w:tcMar>
          </w:tcPr>
          <w:p w14:paraId="2A5F6B57"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2.869</w:t>
            </w:r>
          </w:p>
        </w:tc>
        <w:tc>
          <w:tcPr>
            <w:tcW w:w="1694" w:type="dxa"/>
            <w:tcMar>
              <w:top w:w="0" w:type="dxa"/>
              <w:left w:w="108" w:type="dxa"/>
              <w:bottom w:w="0" w:type="dxa"/>
              <w:right w:w="108" w:type="dxa"/>
            </w:tcMar>
          </w:tcPr>
          <w:p w14:paraId="29A5AC7E"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0.643</w:t>
            </w:r>
          </w:p>
        </w:tc>
        <w:tc>
          <w:tcPr>
            <w:tcW w:w="900" w:type="dxa"/>
            <w:tcMar>
              <w:top w:w="0" w:type="dxa"/>
              <w:left w:w="108" w:type="dxa"/>
              <w:bottom w:w="0" w:type="dxa"/>
              <w:right w:w="108" w:type="dxa"/>
            </w:tcMar>
          </w:tcPr>
          <w:p w14:paraId="53D726F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19.918</w:t>
            </w:r>
          </w:p>
        </w:tc>
        <w:tc>
          <w:tcPr>
            <w:tcW w:w="450" w:type="dxa"/>
            <w:tcMar>
              <w:top w:w="0" w:type="dxa"/>
              <w:left w:w="108" w:type="dxa"/>
              <w:bottom w:w="0" w:type="dxa"/>
              <w:right w:w="108" w:type="dxa"/>
            </w:tcMar>
          </w:tcPr>
          <w:p w14:paraId="7FFF306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w:t>
            </w:r>
          </w:p>
        </w:tc>
        <w:tc>
          <w:tcPr>
            <w:tcW w:w="810" w:type="dxa"/>
            <w:tcMar>
              <w:top w:w="0" w:type="dxa"/>
              <w:left w:w="108" w:type="dxa"/>
              <w:bottom w:w="0" w:type="dxa"/>
              <w:right w:w="108" w:type="dxa"/>
            </w:tcMar>
          </w:tcPr>
          <w:p w14:paraId="7BF14C6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.000</w:t>
            </w:r>
          </w:p>
        </w:tc>
        <w:tc>
          <w:tcPr>
            <w:tcW w:w="990" w:type="dxa"/>
            <w:tcMar>
              <w:top w:w="0" w:type="dxa"/>
              <w:left w:w="108" w:type="dxa"/>
              <w:bottom w:w="0" w:type="dxa"/>
              <w:right w:w="108" w:type="dxa"/>
            </w:tcMar>
          </w:tcPr>
          <w:p w14:paraId="730D6CB9"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17.614</w:t>
            </w:r>
          </w:p>
        </w:tc>
        <w:tc>
          <w:tcPr>
            <w:tcW w:w="860" w:type="dxa"/>
            <w:tcMar>
              <w:top w:w="0" w:type="dxa"/>
              <w:left w:w="108" w:type="dxa"/>
              <w:bottom w:w="0" w:type="dxa"/>
              <w:right w:w="108" w:type="dxa"/>
            </w:tcMar>
          </w:tcPr>
          <w:p w14:paraId="6510FCE6"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4.997</w:t>
            </w:r>
          </w:p>
        </w:tc>
        <w:tc>
          <w:tcPr>
            <w:tcW w:w="850" w:type="dxa"/>
            <w:tcMar>
              <w:top w:w="0" w:type="dxa"/>
              <w:left w:w="108" w:type="dxa"/>
              <w:bottom w:w="0" w:type="dxa"/>
              <w:right w:w="108" w:type="dxa"/>
            </w:tcMar>
          </w:tcPr>
          <w:p w14:paraId="57C301F5" w14:textId="77777777" w:rsidR="0003583A" w:rsidRDefault="00DC180B">
            <w:pPr>
              <w:spacing w:after="0" w:line="240" w:lineRule="auto"/>
              <w:ind w:left="-68" w:right="-108"/>
              <w:rPr>
                <w:rFonts w:ascii="Times New Roman" w:eastAsia="MS Gothic" w:hAnsi="Times New Roman" w:cs="Times New Roman"/>
                <w:b/>
                <w:bCs/>
                <w:sz w:val="24"/>
                <w:szCs w:val="24"/>
              </w:rPr>
            </w:pPr>
            <w:r>
              <w:rPr>
                <w:rFonts w:ascii="Times New Roman" w:hAnsi="Times New Roman" w:cs="Times New Roman"/>
                <w:sz w:val="24"/>
                <w:szCs w:val="24"/>
              </w:rPr>
              <w:t>62.085</w:t>
            </w:r>
          </w:p>
        </w:tc>
      </w:tr>
      <w:tr w:rsidR="0003583A" w14:paraId="0F409780" w14:textId="77777777">
        <w:tc>
          <w:tcPr>
            <w:tcW w:w="1243" w:type="dxa"/>
            <w:tcMar>
              <w:top w:w="0" w:type="dxa"/>
              <w:left w:w="108" w:type="dxa"/>
              <w:bottom w:w="0" w:type="dxa"/>
              <w:right w:w="108" w:type="dxa"/>
            </w:tcMar>
          </w:tcPr>
          <w:p w14:paraId="78DCCCD1"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Constant</w:t>
            </w:r>
          </w:p>
        </w:tc>
        <w:tc>
          <w:tcPr>
            <w:tcW w:w="951" w:type="dxa"/>
            <w:tcMar>
              <w:top w:w="0" w:type="dxa"/>
              <w:left w:w="108" w:type="dxa"/>
              <w:bottom w:w="0" w:type="dxa"/>
              <w:right w:w="108" w:type="dxa"/>
            </w:tcMar>
          </w:tcPr>
          <w:p w14:paraId="49AA5999"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-0.821</w:t>
            </w:r>
          </w:p>
        </w:tc>
        <w:tc>
          <w:tcPr>
            <w:tcW w:w="1694" w:type="dxa"/>
            <w:tcMar>
              <w:top w:w="0" w:type="dxa"/>
              <w:left w:w="108" w:type="dxa"/>
              <w:bottom w:w="0" w:type="dxa"/>
              <w:right w:w="108" w:type="dxa"/>
            </w:tcMar>
          </w:tcPr>
          <w:p w14:paraId="273C1D2C"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0.362</w:t>
            </w:r>
          </w:p>
        </w:tc>
        <w:tc>
          <w:tcPr>
            <w:tcW w:w="900" w:type="dxa"/>
            <w:tcMar>
              <w:top w:w="0" w:type="dxa"/>
              <w:left w:w="108" w:type="dxa"/>
              <w:bottom w:w="0" w:type="dxa"/>
              <w:right w:w="108" w:type="dxa"/>
            </w:tcMar>
          </w:tcPr>
          <w:p w14:paraId="4837EB9D"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5.149</w:t>
            </w:r>
          </w:p>
        </w:tc>
        <w:tc>
          <w:tcPr>
            <w:tcW w:w="450" w:type="dxa"/>
            <w:tcMar>
              <w:top w:w="0" w:type="dxa"/>
              <w:left w:w="108" w:type="dxa"/>
              <w:bottom w:w="0" w:type="dxa"/>
              <w:right w:w="108" w:type="dxa"/>
            </w:tcMar>
          </w:tcPr>
          <w:p w14:paraId="2456BC94"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w:t>
            </w:r>
          </w:p>
        </w:tc>
        <w:tc>
          <w:tcPr>
            <w:tcW w:w="810" w:type="dxa"/>
            <w:tcMar>
              <w:top w:w="0" w:type="dxa"/>
              <w:left w:w="108" w:type="dxa"/>
              <w:bottom w:w="0" w:type="dxa"/>
              <w:right w:w="108" w:type="dxa"/>
            </w:tcMar>
          </w:tcPr>
          <w:p w14:paraId="2E8D4BBD"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.023</w:t>
            </w:r>
          </w:p>
        </w:tc>
        <w:tc>
          <w:tcPr>
            <w:tcW w:w="990" w:type="dxa"/>
            <w:tcMar>
              <w:top w:w="0" w:type="dxa"/>
              <w:left w:w="108" w:type="dxa"/>
              <w:bottom w:w="0" w:type="dxa"/>
              <w:right w:w="108" w:type="dxa"/>
            </w:tcMar>
          </w:tcPr>
          <w:p w14:paraId="7D9F608E"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0.440</w:t>
            </w:r>
          </w:p>
        </w:tc>
        <w:tc>
          <w:tcPr>
            <w:tcW w:w="860" w:type="dxa"/>
            <w:tcMar>
              <w:top w:w="0" w:type="dxa"/>
              <w:left w:w="108" w:type="dxa"/>
              <w:bottom w:w="0" w:type="dxa"/>
              <w:right w:w="108" w:type="dxa"/>
            </w:tcMar>
          </w:tcPr>
          <w:p w14:paraId="6648320D" w14:textId="77777777" w:rsidR="0003583A" w:rsidRDefault="0003583A">
            <w:pPr>
              <w:spacing w:after="0" w:line="240" w:lineRule="auto"/>
              <w:rPr>
                <w:rFonts w:ascii="Times New Roman" w:eastAsia="MS Gothic" w:hAnsi="Times New Roman" w:cs="Times New Roman"/>
                <w:b/>
                <w:bCs/>
                <w:sz w:val="24"/>
                <w:szCs w:val="24"/>
              </w:rPr>
            </w:pPr>
          </w:p>
        </w:tc>
        <w:tc>
          <w:tcPr>
            <w:tcW w:w="850" w:type="dxa"/>
            <w:tcMar>
              <w:top w:w="0" w:type="dxa"/>
              <w:left w:w="108" w:type="dxa"/>
              <w:bottom w:w="0" w:type="dxa"/>
              <w:right w:w="108" w:type="dxa"/>
            </w:tcMar>
          </w:tcPr>
          <w:p w14:paraId="7AB51055" w14:textId="77777777" w:rsidR="0003583A" w:rsidRDefault="0003583A">
            <w:pPr>
              <w:spacing w:after="0" w:line="240" w:lineRule="auto"/>
              <w:ind w:left="-68" w:right="-108"/>
              <w:rPr>
                <w:rFonts w:ascii="Times New Roman" w:eastAsia="MS Gothic" w:hAnsi="Times New Roman" w:cs="Times New Roman"/>
                <w:b/>
                <w:bCs/>
                <w:sz w:val="24"/>
                <w:szCs w:val="24"/>
              </w:rPr>
            </w:pPr>
          </w:p>
        </w:tc>
      </w:tr>
    </w:tbl>
    <w:p w14:paraId="3C00BE7A" w14:textId="77777777" w:rsidR="0003583A" w:rsidRDefault="00DC180B" w:rsidP="002A422B">
      <w:pPr>
        <w:jc w:val="both"/>
        <w:rPr>
          <w:rFonts w:ascii="Times New Roman" w:eastAsia="MS Gothic" w:hAnsi="Times New Roman" w:cs="Times New Roman"/>
          <w:b/>
          <w:bCs/>
          <w:sz w:val="24"/>
          <w:szCs w:val="24"/>
        </w:rPr>
      </w:pPr>
      <w:r>
        <w:rPr>
          <w:rFonts w:ascii="Times New Roman" w:hAnsi="Times New Roman" w:cs="Times New Roman"/>
          <w:sz w:val="24"/>
          <w:szCs w:val="24"/>
        </w:rPr>
        <w:t>The results presented in Table 7 show that both secondary and tertiary education levels significantly increased the likelihood of maternal consent when compared to primary education. Mothers with secondary education were nearly four times more likely to consent (Exp(B) = 3.840, p = .002), while those with tertiary education were over seventeen times more likely to consent (Exp(B) = 17.614, p &lt; .001). These effects were both statistically significant, as indicated by confidence intervals that excluded 1. The intercept was also significant, and indicates that the baseline probability of consent was relatively low among the reference group.</w:t>
      </w:r>
    </w:p>
    <w:p w14:paraId="039811E9" w14:textId="77777777" w:rsidR="0003583A" w:rsidRDefault="00DC180B">
      <w:pPr>
        <w:rPr>
          <w:rFonts w:ascii="Times New Roman" w:eastAsia="MS Gothic" w:hAnsi="Times New Roman" w:cs="Times New Roman"/>
          <w:b/>
          <w:bCs/>
          <w:sz w:val="24"/>
          <w:szCs w:val="24"/>
        </w:rPr>
      </w:pPr>
      <w:r>
        <w:rPr>
          <w:rFonts w:ascii="Times New Roman" w:eastAsia="MS Gothic" w:hAnsi="Times New Roman" w:cs="Times New Roman"/>
          <w:b/>
          <w:bCs/>
          <w:sz w:val="24"/>
          <w:szCs w:val="24"/>
        </w:rPr>
        <w:t xml:space="preserve">Discussion of Findings </w:t>
      </w:r>
    </w:p>
    <w:p w14:paraId="7BF3C4F9"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The findings from this study showed that maternal perception significantly influences the willingness to consent to exchange blood transfusion for the newborn. Constructs measuring fear, such as the belief that the baby would die from the procedure or that it is painful and dangerous, were strongly associated with reduced consent. These findings are consistent with </w:t>
      </w:r>
      <w:proofErr w:type="spellStart"/>
      <w:r>
        <w:rPr>
          <w:rFonts w:ascii="Times New Roman" w:eastAsia="SimSun" w:hAnsi="Times New Roman" w:cs="Times New Roman"/>
          <w:sz w:val="24"/>
          <w:szCs w:val="24"/>
          <w:lang w:eastAsia="zh-CN"/>
        </w:rPr>
        <w:t>Alomair</w:t>
      </w:r>
      <w:proofErr w:type="spellEnd"/>
      <w:r>
        <w:rPr>
          <w:rFonts w:ascii="Times New Roman" w:eastAsia="SimSun" w:hAnsi="Times New Roman" w:cs="Times New Roman"/>
          <w:sz w:val="24"/>
          <w:szCs w:val="24"/>
          <w:lang w:eastAsia="zh-CN"/>
        </w:rPr>
        <w:t xml:space="preserve"> et al. (2020), who established that deeply held cultural and religious misconceptions about reproductive procedures significantly constrained women’s decisions across several Muslim-majority settings. In the present study, fear-based interpretations, especially among mothers viewing transfusion as metaphysically dangerous, resulted in substantial number of the respondents demonstrating low willingness to sanction exchange blood transfusion for their baby. This mirrors Al-Mujtaba et al. (2016), who found that many Nigerian women’s decisions in respect to neonatal care were largely determined by certain religious doctrines and household gender norms, which often displaced individual medical judgment. Such beliefs appear to transform transfusion from a medical procedure into a spiritual dilemma, where the risks are not just physical but also moral and existential in nature.</w:t>
      </w:r>
    </w:p>
    <w:p w14:paraId="51D8808A"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In addition to fear and spirituality, the study showed that the mothers’ perception was shaped by conditional acceptance also of transfusion procedure. A notable proportion of mothers stated that EBT should only be considered after other treatment options fail, indicating a hierarchical nature of care acceptance by the mothers. This belief pattern </w:t>
      </w:r>
      <w:r>
        <w:rPr>
          <w:rFonts w:ascii="Times New Roman" w:eastAsia="SimSun" w:hAnsi="Times New Roman" w:cs="Times New Roman"/>
          <w:sz w:val="24"/>
          <w:szCs w:val="24"/>
          <w:lang w:eastAsia="zh-CN"/>
        </w:rPr>
        <w:lastRenderedPageBreak/>
        <w:t>demonstrates a lack of familiarity with the urgency that severe neonatal jaundice often requires.</w:t>
      </w:r>
      <w:r w:rsidR="00C9444C">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It also accentuates what </w:t>
      </w:r>
      <w:proofErr w:type="spellStart"/>
      <w:r>
        <w:rPr>
          <w:rFonts w:ascii="Times New Roman" w:eastAsia="SimSun" w:hAnsi="Times New Roman" w:cs="Times New Roman"/>
          <w:sz w:val="24"/>
          <w:szCs w:val="24"/>
          <w:lang w:eastAsia="zh-CN"/>
        </w:rPr>
        <w:t>Okonofua</w:t>
      </w:r>
      <w:proofErr w:type="spellEnd"/>
      <w:r>
        <w:rPr>
          <w:rFonts w:ascii="Times New Roman" w:eastAsia="SimSun" w:hAnsi="Times New Roman" w:cs="Times New Roman"/>
          <w:sz w:val="24"/>
          <w:szCs w:val="24"/>
          <w:lang w:eastAsia="zh-CN"/>
        </w:rPr>
        <w:t xml:space="preserve"> et al. (2017) reported concerning some Nigerian referral hospitals, in which the mothers reportedly described a lack of adequate information from the caregivers and expressed strong reservations about approving high-risk procedures when not given thorough and reassuring explanations. Apparently, such beliefs are reinforced by low exposure to clinical education and a general distrust in procedural necessity. The implication is that interventions like EBT are perceived not as routine medical responses, but as desperate last resorts, which undermines their timely administration. This finding calls for earlier and better-targeted health education, particularly during antenatal visits.</w:t>
      </w:r>
    </w:p>
    <w:p w14:paraId="79C8002D"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Maternal decision-making variables further reinforced the complexity of consent </w:t>
      </w:r>
      <w:proofErr w:type="spellStart"/>
      <w:r>
        <w:rPr>
          <w:rFonts w:ascii="Times New Roman" w:eastAsia="SimSun" w:hAnsi="Times New Roman" w:cs="Times New Roman"/>
          <w:sz w:val="24"/>
          <w:szCs w:val="24"/>
          <w:lang w:eastAsia="zh-CN"/>
        </w:rPr>
        <w:t>behaviour</w:t>
      </w:r>
      <w:proofErr w:type="spellEnd"/>
      <w:r>
        <w:rPr>
          <w:rFonts w:ascii="Times New Roman" w:eastAsia="SimSun" w:hAnsi="Times New Roman" w:cs="Times New Roman"/>
          <w:sz w:val="24"/>
          <w:szCs w:val="24"/>
          <w:lang w:eastAsia="zh-CN"/>
        </w:rPr>
        <w:t xml:space="preserve">. All six decision-related items ranging from religious beliefs to economic and informational concerns were significantly associated with willingness to consent. Among these, the strongest predictor was </w:t>
      </w:r>
      <w:r w:rsidR="00601A57">
        <w:rPr>
          <w:rFonts w:ascii="Times New Roman" w:eastAsia="SimSun" w:hAnsi="Times New Roman" w:cs="Times New Roman"/>
          <w:sz w:val="24"/>
          <w:szCs w:val="24"/>
          <w:lang w:eastAsia="zh-CN"/>
        </w:rPr>
        <w:t xml:space="preserve">cost-related concerns </w:t>
      </w:r>
      <w:r>
        <w:rPr>
          <w:rFonts w:ascii="Times New Roman" w:eastAsia="SimSun" w:hAnsi="Times New Roman" w:cs="Times New Roman"/>
          <w:sz w:val="24"/>
          <w:szCs w:val="24"/>
          <w:lang w:eastAsia="zh-CN"/>
        </w:rPr>
        <w:t xml:space="preserve">for exchange blood transfusion. This reliance on visual proof reveals how trust in health interventions is often built through observation and community experience rather than abstract assurance. </w:t>
      </w:r>
      <w:proofErr w:type="spellStart"/>
      <w:r>
        <w:rPr>
          <w:rFonts w:ascii="Times New Roman" w:eastAsia="SimSun" w:hAnsi="Times New Roman" w:cs="Times New Roman"/>
          <w:sz w:val="24"/>
          <w:szCs w:val="24"/>
          <w:lang w:eastAsia="zh-CN"/>
        </w:rPr>
        <w:t>Ezeaka</w:t>
      </w:r>
      <w:proofErr w:type="spellEnd"/>
      <w:r>
        <w:rPr>
          <w:rFonts w:ascii="Times New Roman" w:eastAsia="SimSun" w:hAnsi="Times New Roman" w:cs="Times New Roman"/>
          <w:sz w:val="24"/>
          <w:szCs w:val="24"/>
          <w:lang w:eastAsia="zh-CN"/>
        </w:rPr>
        <w:t xml:space="preserve"> et al. (2014) highlighted a similar theme in their multi-</w:t>
      </w:r>
      <w:proofErr w:type="spellStart"/>
      <w:r>
        <w:rPr>
          <w:rFonts w:ascii="Times New Roman" w:eastAsia="SimSun" w:hAnsi="Times New Roman" w:cs="Times New Roman"/>
          <w:sz w:val="24"/>
          <w:szCs w:val="24"/>
          <w:lang w:eastAsia="zh-CN"/>
        </w:rPr>
        <w:t>centre</w:t>
      </w:r>
      <w:proofErr w:type="spellEnd"/>
      <w:r>
        <w:rPr>
          <w:rFonts w:ascii="Times New Roman" w:eastAsia="SimSun" w:hAnsi="Times New Roman" w:cs="Times New Roman"/>
          <w:sz w:val="24"/>
          <w:szCs w:val="24"/>
          <w:lang w:eastAsia="zh-CN"/>
        </w:rPr>
        <w:t xml:space="preserve"> study, where prior awareness and correct recognition of neonatal jaundice were more common among educated and urban-based mothers who had previously encountered such conditions. In both cases, observational reassurance is a key to building trust among the mothers. Moreover, this indicates that personal testimony and peer modelling could serve as powerful tools in promoting acceptance of EBT within communities with </w:t>
      </w:r>
      <w:proofErr w:type="spellStart"/>
      <w:r>
        <w:rPr>
          <w:rFonts w:ascii="Times New Roman" w:eastAsia="SimSun" w:hAnsi="Times New Roman" w:cs="Times New Roman"/>
          <w:sz w:val="24"/>
          <w:szCs w:val="24"/>
          <w:lang w:eastAsia="zh-CN"/>
        </w:rPr>
        <w:t>sceptical</w:t>
      </w:r>
      <w:proofErr w:type="spellEnd"/>
      <w:r>
        <w:rPr>
          <w:rFonts w:ascii="Times New Roman" w:eastAsia="SimSun" w:hAnsi="Times New Roman" w:cs="Times New Roman"/>
          <w:sz w:val="24"/>
          <w:szCs w:val="24"/>
          <w:lang w:eastAsia="zh-CN"/>
        </w:rPr>
        <w:t xml:space="preserve"> view to such medical procedures.</w:t>
      </w:r>
    </w:p>
    <w:p w14:paraId="08BBBA95"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Economic constraints also significantly influenced consent among the mothers, with nearly half of the mothers identifying cost as a barrier. This corroborates Yaya et al. (2018), who established that maternal healthcare </w:t>
      </w:r>
      <w:proofErr w:type="spellStart"/>
      <w:r>
        <w:rPr>
          <w:rFonts w:ascii="Times New Roman" w:eastAsia="SimSun" w:hAnsi="Times New Roman" w:cs="Times New Roman"/>
          <w:sz w:val="24"/>
          <w:szCs w:val="24"/>
          <w:lang w:eastAsia="zh-CN"/>
        </w:rPr>
        <w:t>utilisation</w:t>
      </w:r>
      <w:proofErr w:type="spellEnd"/>
      <w:r>
        <w:rPr>
          <w:rFonts w:ascii="Times New Roman" w:eastAsia="SimSun" w:hAnsi="Times New Roman" w:cs="Times New Roman"/>
          <w:sz w:val="24"/>
          <w:szCs w:val="24"/>
          <w:lang w:eastAsia="zh-CN"/>
        </w:rPr>
        <w:t xml:space="preserve"> was consistently higher among women from wealthier households. The association between poverty and reduced service uptake, as shown in this study, suggests that financial perceptions are not just about affordability but about value and risk. When a procedure like EBT is framed as expensive, mothers may question whether it is worth the potential risk, especially if they lack confidence in the outcome. This is particularly concerning because it implies that even when the procedure </w:t>
      </w:r>
      <w:r>
        <w:rPr>
          <w:rFonts w:ascii="Times New Roman" w:eastAsia="SimSun" w:hAnsi="Times New Roman" w:cs="Times New Roman"/>
          <w:sz w:val="24"/>
          <w:szCs w:val="24"/>
          <w:lang w:eastAsia="zh-CN"/>
        </w:rPr>
        <w:lastRenderedPageBreak/>
        <w:t xml:space="preserve">is medically necessary and potentially life-saving, cost-related anxiety can deter mothers from consenting. Hence, improving transparency about hospital subsidies and implementing counselling on the urgency of EBT may help to </w:t>
      </w:r>
      <w:proofErr w:type="spellStart"/>
      <w:r>
        <w:rPr>
          <w:rFonts w:ascii="Times New Roman" w:eastAsia="SimSun" w:hAnsi="Times New Roman" w:cs="Times New Roman"/>
          <w:sz w:val="24"/>
          <w:szCs w:val="24"/>
          <w:lang w:eastAsia="zh-CN"/>
        </w:rPr>
        <w:t>neutralise</w:t>
      </w:r>
      <w:proofErr w:type="spellEnd"/>
      <w:r>
        <w:rPr>
          <w:rFonts w:ascii="Times New Roman" w:eastAsia="SimSun" w:hAnsi="Times New Roman" w:cs="Times New Roman"/>
          <w:sz w:val="24"/>
          <w:szCs w:val="24"/>
          <w:lang w:eastAsia="zh-CN"/>
        </w:rPr>
        <w:t xml:space="preserve"> this form of resistance.</w:t>
      </w:r>
    </w:p>
    <w:p w14:paraId="24F19FE7"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Another layer of influence emerged from religious and cultural values, which were shown to significantly reduce the likelihood of consent. The study found that mothers who believed EBT was unacceptable in their religion or considered it as an abomination within their cultural setting were markedly less willing to give consent for exchange blood transfusion. This finding aligns with the conclusions drawn by Umar (2017), who demonstrated that religious and ethnic affiliations strongly influenced maternal health service uptake in Nigeria, particularly among women in northern regions. While religious belief alone was not always a direct deterrent, when such belief was fused with rigid gender roles or communal norms, it shaped decisions more profoundly than medical advice (Umar, 2017; </w:t>
      </w:r>
      <w:r>
        <w:rPr>
          <w:rFonts w:ascii="Times New Roman" w:hAnsi="Times New Roman" w:cs="Times New Roman"/>
          <w:sz w:val="24"/>
          <w:szCs w:val="24"/>
        </w:rPr>
        <w:t>Odeyemi et al., 2019</w:t>
      </w:r>
      <w:r>
        <w:rPr>
          <w:rFonts w:ascii="Times New Roman" w:eastAsia="SimSun" w:hAnsi="Times New Roman" w:cs="Times New Roman"/>
          <w:sz w:val="24"/>
          <w:szCs w:val="24"/>
          <w:lang w:eastAsia="zh-CN"/>
        </w:rPr>
        <w:t>).  Similarly, Al-Mujtaba et al. (2016) found that some women avoided maternal health services when religious practices conflicted with exposure to perceived invasive medical procedures. This suggests that improving the acceptance of exchange blood transfusion may require close and deliberate engagement with religious leaders and community heads, who can serve as bridges between clinical explanations and cultural values in a way that facilitates acceptance and ultimately helps to save lives.</w:t>
      </w:r>
    </w:p>
    <w:p w14:paraId="6490161D"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Chi-square and logistic regression results showed that education was a powerful determinant of consent among the mothers. Mothers with secondary and tertiary education were significantly more willing to approve exchange transfusion than those with only primary education. This directly supports the findings of Yaya et al. (2018), who showed that higher education improves awareness, enhances maternal autonomy, and facilitated health service </w:t>
      </w:r>
      <w:proofErr w:type="spellStart"/>
      <w:r>
        <w:rPr>
          <w:rFonts w:ascii="Times New Roman" w:eastAsia="SimSun" w:hAnsi="Times New Roman" w:cs="Times New Roman"/>
          <w:sz w:val="24"/>
          <w:szCs w:val="24"/>
          <w:lang w:eastAsia="zh-CN"/>
        </w:rPr>
        <w:t>utilisation</w:t>
      </w:r>
      <w:proofErr w:type="spellEnd"/>
      <w:r>
        <w:rPr>
          <w:rFonts w:ascii="Times New Roman" w:eastAsia="SimSun" w:hAnsi="Times New Roman" w:cs="Times New Roman"/>
          <w:sz w:val="24"/>
          <w:szCs w:val="24"/>
          <w:lang w:eastAsia="zh-CN"/>
        </w:rPr>
        <w:t xml:space="preserve">. In the current study, educated mothers may have better understood the clinical urgency of EBT in respect to saving their baby's life. Such enhanced understanding leads to greater trust in medical recommendations. This group was also less influenced by metaphysical fears or patriarchal gatekeeping, likely because education had fostered independent judgment and exposure to health information. </w:t>
      </w:r>
      <w:proofErr w:type="spellStart"/>
      <w:r>
        <w:rPr>
          <w:rFonts w:ascii="Times New Roman" w:eastAsia="SimSun" w:hAnsi="Times New Roman" w:cs="Times New Roman"/>
          <w:sz w:val="24"/>
          <w:szCs w:val="24"/>
          <w:lang w:eastAsia="zh-CN"/>
        </w:rPr>
        <w:t>Ezeaka</w:t>
      </w:r>
      <w:proofErr w:type="spellEnd"/>
      <w:r>
        <w:rPr>
          <w:rFonts w:ascii="Times New Roman" w:eastAsia="SimSun" w:hAnsi="Times New Roman" w:cs="Times New Roman"/>
          <w:sz w:val="24"/>
          <w:szCs w:val="24"/>
          <w:lang w:eastAsia="zh-CN"/>
        </w:rPr>
        <w:t xml:space="preserve"> et al. (2014) similarly noted that maternal education was among the strongest predictors of appropriate </w:t>
      </w:r>
      <w:r>
        <w:rPr>
          <w:rFonts w:ascii="Times New Roman" w:eastAsia="SimSun" w:hAnsi="Times New Roman" w:cs="Times New Roman"/>
          <w:sz w:val="24"/>
          <w:szCs w:val="24"/>
          <w:lang w:eastAsia="zh-CN"/>
        </w:rPr>
        <w:lastRenderedPageBreak/>
        <w:t xml:space="preserve">care-seeking </w:t>
      </w:r>
      <w:proofErr w:type="spellStart"/>
      <w:r>
        <w:rPr>
          <w:rFonts w:ascii="Times New Roman" w:eastAsia="SimSun" w:hAnsi="Times New Roman" w:cs="Times New Roman"/>
          <w:sz w:val="24"/>
          <w:szCs w:val="24"/>
          <w:lang w:eastAsia="zh-CN"/>
        </w:rPr>
        <w:t>behaviour</w:t>
      </w:r>
      <w:proofErr w:type="spellEnd"/>
      <w:r>
        <w:rPr>
          <w:rFonts w:ascii="Times New Roman" w:eastAsia="SimSun" w:hAnsi="Times New Roman" w:cs="Times New Roman"/>
          <w:sz w:val="24"/>
          <w:szCs w:val="24"/>
          <w:lang w:eastAsia="zh-CN"/>
        </w:rPr>
        <w:t xml:space="preserve"> for neonatal jaundice. Thus, investment in girl-child education has the potential to not only improve literacy but also have the capacity to build future maternal generations who are more responsive to life-saving interventions.</w:t>
      </w:r>
    </w:p>
    <w:p w14:paraId="06AD5564"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Trust in healthcare providers also played a role in shaping maternal consent. The finding that an equal proportion of mothers agreed and disagreed with consenting to exchange blood transfusion for their newborns only after receiving an explanation from a trusted health worker highlights a pivotal opportunity for intervention. This aligns with </w:t>
      </w:r>
      <w:proofErr w:type="spellStart"/>
      <w:r>
        <w:rPr>
          <w:rFonts w:ascii="Times New Roman" w:eastAsia="SimSun" w:hAnsi="Times New Roman" w:cs="Times New Roman"/>
          <w:sz w:val="24"/>
          <w:szCs w:val="24"/>
          <w:lang w:eastAsia="zh-CN"/>
        </w:rPr>
        <w:t>Okonofua</w:t>
      </w:r>
      <w:proofErr w:type="spellEnd"/>
      <w:r>
        <w:rPr>
          <w:rFonts w:ascii="Times New Roman" w:eastAsia="SimSun" w:hAnsi="Times New Roman" w:cs="Times New Roman"/>
          <w:sz w:val="24"/>
          <w:szCs w:val="24"/>
          <w:lang w:eastAsia="zh-CN"/>
        </w:rPr>
        <w:t xml:space="preserve"> et al. (2017), who noted that respectful and informative communication was often lacking in referral hospitals, leading to maternal dissatisfaction and avoidance. In the current study, the split response to this item suggests that some mothers already place trust in professional guidance, whereas others were hesitant due to previous experiences or a lack of understanding. This gap reveals the importance of strengthening provider-client communication, particularly during antenatal and early postnatal encounters. When explanations are delivered with empathy, cultural sensitivity, and clarity, the mother’s confidence in medical recommendations is enhanced, and misconceptions are more likely to be corrected before time-sensitive medical procedures requiring patients consent emerges. </w:t>
      </w:r>
    </w:p>
    <w:p w14:paraId="42B1A4A9" w14:textId="77777777" w:rsidR="0003583A" w:rsidRDefault="00DC180B">
      <w:pPr>
        <w:rPr>
          <w:rFonts w:ascii="Times New Roman" w:eastAsia="MS Gothic" w:hAnsi="Times New Roman" w:cs="Times New Roman"/>
          <w:b/>
          <w:bCs/>
          <w:sz w:val="24"/>
          <w:szCs w:val="24"/>
        </w:rPr>
      </w:pPr>
      <w:r>
        <w:rPr>
          <w:rFonts w:ascii="Times New Roman" w:eastAsia="SimSun" w:hAnsi="Times New Roman" w:cs="Times New Roman"/>
          <w:b/>
          <w:bCs/>
          <w:sz w:val="24"/>
          <w:szCs w:val="24"/>
          <w:lang w:eastAsia="zh-CN"/>
        </w:rPr>
        <w:t>Conclusion</w:t>
      </w:r>
    </w:p>
    <w:p w14:paraId="3406BE3D" w14:textId="77777777" w:rsidR="0003583A" w:rsidRDefault="009F38E9">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This study finding</w:t>
      </w:r>
      <w:r w:rsidR="00DC180B">
        <w:rPr>
          <w:rFonts w:ascii="Times New Roman" w:eastAsia="SimSun" w:hAnsi="Times New Roman" w:cs="Times New Roman"/>
          <w:sz w:val="24"/>
          <w:szCs w:val="24"/>
          <w:lang w:eastAsia="zh-CN"/>
        </w:rPr>
        <w:t xml:space="preserve"> revealed that maternal perception and decision-making factors significantly affect maternal willingness to consent to exchange blood transfusion (EBT) for newborns. Misconceptions driven by fear, cultural beliefs, and religious interpretations were factors discouraging maternal consent, while financial concerns and limited access to accurate health information further reduced the willingness of mothers to approve exchange blood transfusion for their newborns. Conversely, mothers with higher educational attainment and prior exposure to reliable health guidance demonstrated greater openness to acceptance of EBT. These findings necessitate an urgent need for structured antenatal counselling and community-based health education for families. They also call for the active involvement of religious and family decision-makers in educational campaigns aimed at enlightening the public and building their confidence in the healthcare </w:t>
      </w:r>
      <w:r w:rsidR="00DC180B">
        <w:rPr>
          <w:rFonts w:ascii="Times New Roman" w:eastAsia="SimSun" w:hAnsi="Times New Roman" w:cs="Times New Roman"/>
          <w:sz w:val="24"/>
          <w:szCs w:val="24"/>
          <w:lang w:eastAsia="zh-CN"/>
        </w:rPr>
        <w:lastRenderedPageBreak/>
        <w:t>system. This approach can serve as a pathway to improving maternal consent and ensuring prompt life-saving interventions for neonates requiring exchange transfusion.</w:t>
      </w:r>
    </w:p>
    <w:p w14:paraId="01BCF1A5" w14:textId="77777777" w:rsidR="0003583A" w:rsidRDefault="00DC180B">
      <w:pPr>
        <w:rPr>
          <w:rFonts w:ascii="Times New Roman" w:eastAsia="MS Gothic" w:hAnsi="Times New Roman" w:cs="Times New Roman"/>
          <w:b/>
          <w:bCs/>
          <w:sz w:val="24"/>
          <w:szCs w:val="24"/>
        </w:rPr>
      </w:pPr>
      <w:r>
        <w:rPr>
          <w:rFonts w:ascii="Times New Roman" w:eastAsia="SimSun" w:hAnsi="Times New Roman" w:cs="Times New Roman"/>
          <w:b/>
          <w:sz w:val="24"/>
          <w:szCs w:val="24"/>
          <w:lang w:eastAsia="zh-CN"/>
        </w:rPr>
        <w:t>Recommendations</w:t>
      </w:r>
    </w:p>
    <w:p w14:paraId="488F055B" w14:textId="77777777" w:rsidR="0003583A" w:rsidRDefault="00DC180B">
      <w:pPr>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Based on the findings, the following recommendations are provided;</w:t>
      </w:r>
    </w:p>
    <w:p w14:paraId="31CD59AA"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Health facilities should ensure that all antenatal clinics include structured health talks on exchange blood transfusion, with nurses and midwives tasked with simplifying the procedure and addressing common fears among expectant mothers.</w:t>
      </w:r>
    </w:p>
    <w:p w14:paraId="2DF5A4ED"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Religious and community leaders should be </w:t>
      </w:r>
      <w:r w:rsidR="00C9444C">
        <w:rPr>
          <w:rFonts w:ascii="Times New Roman" w:eastAsia="SimSun" w:hAnsi="Times New Roman" w:cs="Times New Roman"/>
          <w:sz w:val="24"/>
          <w:szCs w:val="24"/>
          <w:lang w:eastAsia="zh-CN"/>
        </w:rPr>
        <w:t>sensitized</w:t>
      </w:r>
      <w:r>
        <w:rPr>
          <w:rFonts w:ascii="Times New Roman" w:eastAsia="SimSun" w:hAnsi="Times New Roman" w:cs="Times New Roman"/>
          <w:sz w:val="24"/>
          <w:szCs w:val="24"/>
          <w:lang w:eastAsia="zh-CN"/>
        </w:rPr>
        <w:t xml:space="preserve"> by public health educators to openly support exchange blood transfusion during community meetings and worship gatherings, so as to influence cultural perceptions positively.</w:t>
      </w:r>
    </w:p>
    <w:p w14:paraId="43C4ED97"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The Ministry of Health should implement financial support policies to </w:t>
      </w:r>
      <w:r w:rsidR="00C9444C">
        <w:rPr>
          <w:rFonts w:ascii="Times New Roman" w:eastAsia="SimSun" w:hAnsi="Times New Roman" w:cs="Times New Roman"/>
          <w:sz w:val="24"/>
          <w:szCs w:val="24"/>
          <w:lang w:eastAsia="zh-CN"/>
        </w:rPr>
        <w:t>subsidize</w:t>
      </w:r>
      <w:r>
        <w:rPr>
          <w:rFonts w:ascii="Times New Roman" w:eastAsia="SimSun" w:hAnsi="Times New Roman" w:cs="Times New Roman"/>
          <w:sz w:val="24"/>
          <w:szCs w:val="24"/>
          <w:lang w:eastAsia="zh-CN"/>
        </w:rPr>
        <w:t xml:space="preserve"> the cost of exchange blood transfusion, particularly for low-income families accessing care in public hospitals.</w:t>
      </w:r>
    </w:p>
    <w:p w14:paraId="74DB9D5B"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Hospitals should create mother-to-mother support platforms where women who have approved exchange transfusion can share their testimonies and encourage others to give timely consent for the procedure. </w:t>
      </w:r>
    </w:p>
    <w:p w14:paraId="2830B4A8"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Medical professionals should undergo regular training in culturally sensitive communication, with hospital administrators to ensure that such training is mandatory for all staff interacting with mothers in neonatal units.</w:t>
      </w:r>
    </w:p>
    <w:p w14:paraId="6F8F4999" w14:textId="77777777" w:rsidR="0003583A" w:rsidRDefault="0003583A">
      <w:pPr>
        <w:rPr>
          <w:rFonts w:ascii="Times New Roman" w:eastAsia="MS Gothic" w:hAnsi="Times New Roman" w:cs="Times New Roman"/>
          <w:b/>
          <w:bCs/>
          <w:sz w:val="24"/>
          <w:szCs w:val="24"/>
        </w:rPr>
      </w:pPr>
    </w:p>
    <w:p w14:paraId="6707781A" w14:textId="77777777" w:rsidR="0003583A" w:rsidRDefault="00DC180B">
      <w:pPr>
        <w:rPr>
          <w:rFonts w:ascii="Times New Roman" w:eastAsia="MS Gothic" w:hAnsi="Times New Roman" w:cs="Times New Roman"/>
          <w:b/>
          <w:bCs/>
          <w:sz w:val="24"/>
          <w:szCs w:val="24"/>
        </w:rPr>
      </w:pPr>
      <w:r>
        <w:rPr>
          <w:rFonts w:ascii="Times New Roman" w:eastAsia="MS Gothic" w:hAnsi="Times New Roman" w:cs="Times New Roman"/>
          <w:b/>
          <w:bCs/>
          <w:sz w:val="24"/>
          <w:szCs w:val="24"/>
        </w:rPr>
        <w:t>References</w:t>
      </w:r>
    </w:p>
    <w:p w14:paraId="249771A9"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Adediran, A., </w:t>
      </w:r>
      <w:proofErr w:type="spellStart"/>
      <w:r>
        <w:rPr>
          <w:rFonts w:ascii="Times New Roman" w:hAnsi="Times New Roman" w:cs="Times New Roman"/>
          <w:sz w:val="24"/>
          <w:szCs w:val="24"/>
        </w:rPr>
        <w:t>Akinbami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Oshinaike</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Akanmu</w:t>
      </w:r>
      <w:proofErr w:type="spellEnd"/>
      <w:r>
        <w:rPr>
          <w:rFonts w:ascii="Times New Roman" w:hAnsi="Times New Roman" w:cs="Times New Roman"/>
          <w:sz w:val="24"/>
          <w:szCs w:val="24"/>
        </w:rPr>
        <w:t xml:space="preserve">, A. (2022). Knowledge and attitudes towards blood donation among antenatal clinic attendees in Lagos, Nigeria. </w:t>
      </w:r>
      <w:r>
        <w:rPr>
          <w:rFonts w:ascii="Times New Roman" w:hAnsi="Times New Roman" w:cs="Times New Roman"/>
          <w:i/>
          <w:sz w:val="24"/>
          <w:szCs w:val="24"/>
        </w:rPr>
        <w:t>African Health Sciences, 22</w:t>
      </w:r>
      <w:r>
        <w:rPr>
          <w:rFonts w:ascii="Times New Roman" w:hAnsi="Times New Roman" w:cs="Times New Roman"/>
          <w:sz w:val="24"/>
          <w:szCs w:val="24"/>
        </w:rPr>
        <w:t>(2), 98–107. https://doi.org/10.4314/ahs.v22i2.14</w:t>
      </w:r>
    </w:p>
    <w:p w14:paraId="60F02FAB"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Adesina, O. A., Abo-Briggs, T. W., &amp; Fasola, F. A. (2018). Blood donation and transfusion: Perception of pregnant women at the University College Hospital, Ibadan. </w:t>
      </w:r>
      <w:r>
        <w:rPr>
          <w:rFonts w:ascii="Times New Roman" w:hAnsi="Times New Roman" w:cs="Times New Roman"/>
          <w:i/>
          <w:sz w:val="24"/>
          <w:szCs w:val="24"/>
        </w:rPr>
        <w:t xml:space="preserve">Trop J </w:t>
      </w:r>
      <w:proofErr w:type="spellStart"/>
      <w:r>
        <w:rPr>
          <w:rFonts w:ascii="Times New Roman" w:hAnsi="Times New Roman" w:cs="Times New Roman"/>
          <w:i/>
          <w:sz w:val="24"/>
          <w:szCs w:val="24"/>
        </w:rPr>
        <w:t>Obstet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Gynaecol</w:t>
      </w:r>
      <w:proofErr w:type="spellEnd"/>
      <w:r>
        <w:rPr>
          <w:rFonts w:ascii="Times New Roman" w:hAnsi="Times New Roman" w:cs="Times New Roman"/>
          <w:i/>
          <w:sz w:val="24"/>
          <w:szCs w:val="24"/>
        </w:rPr>
        <w:t>, 35</w:t>
      </w:r>
      <w:r>
        <w:rPr>
          <w:rFonts w:ascii="Times New Roman" w:hAnsi="Times New Roman" w:cs="Times New Roman"/>
          <w:sz w:val="24"/>
          <w:szCs w:val="24"/>
        </w:rPr>
        <w:t>(3), 358–363. https://www.tjogonline.com/article.asp?issn=0189-5117;year=2018;v=35;issue=3;spage=358;epage=363;aulast=Adesina</w:t>
      </w:r>
    </w:p>
    <w:p w14:paraId="796193B3"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Al-Mujtaba, M., Cornelius, L. J., </w:t>
      </w:r>
      <w:proofErr w:type="spellStart"/>
      <w:r>
        <w:rPr>
          <w:rFonts w:ascii="Times New Roman" w:hAnsi="Times New Roman" w:cs="Times New Roman"/>
          <w:sz w:val="24"/>
          <w:szCs w:val="24"/>
        </w:rPr>
        <w:t>Galadanci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Erekaha</w:t>
      </w:r>
      <w:proofErr w:type="spellEnd"/>
      <w:r>
        <w:rPr>
          <w:rFonts w:ascii="Times New Roman" w:hAnsi="Times New Roman" w:cs="Times New Roman"/>
          <w:sz w:val="24"/>
          <w:szCs w:val="24"/>
        </w:rPr>
        <w:t xml:space="preserve">, S., Okundaye, J. N., Adeyemi, O. A., &amp; Sam-Agudu, N. A. (2016). Evaluating religious influences on the </w:t>
      </w:r>
      <w:r>
        <w:rPr>
          <w:rFonts w:ascii="Times New Roman" w:hAnsi="Times New Roman" w:cs="Times New Roman"/>
          <w:sz w:val="24"/>
          <w:szCs w:val="24"/>
        </w:rPr>
        <w:lastRenderedPageBreak/>
        <w:t xml:space="preserve">utilization of maternal health services among Muslim and Christian women in North-Central Nigeria. </w:t>
      </w:r>
      <w:r>
        <w:rPr>
          <w:rFonts w:ascii="Times New Roman" w:hAnsi="Times New Roman" w:cs="Times New Roman"/>
          <w:i/>
          <w:sz w:val="24"/>
          <w:szCs w:val="24"/>
        </w:rPr>
        <w:t>BioMed Research International</w:t>
      </w:r>
      <w:r>
        <w:rPr>
          <w:rFonts w:ascii="Times New Roman" w:hAnsi="Times New Roman" w:cs="Times New Roman"/>
          <w:sz w:val="24"/>
          <w:szCs w:val="24"/>
        </w:rPr>
        <w:t>, 3645415. https://doi.org/10.1155/2016/3645415</w:t>
      </w:r>
    </w:p>
    <w:p w14:paraId="2F6C3F67" w14:textId="77777777"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Alomair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Alageel</w:t>
      </w:r>
      <w:proofErr w:type="spellEnd"/>
      <w:r>
        <w:rPr>
          <w:rFonts w:ascii="Times New Roman" w:hAnsi="Times New Roman" w:cs="Times New Roman"/>
          <w:sz w:val="24"/>
          <w:szCs w:val="24"/>
        </w:rPr>
        <w:t xml:space="preserve">, S., Davies, N., &amp; Bailey, J. V. (2020). Factors influencing sexual and reproductive health of Muslim women: A systematic review. </w:t>
      </w:r>
      <w:r>
        <w:rPr>
          <w:rFonts w:ascii="Times New Roman" w:hAnsi="Times New Roman" w:cs="Times New Roman"/>
          <w:i/>
          <w:sz w:val="24"/>
          <w:szCs w:val="24"/>
        </w:rPr>
        <w:t>Reproductive Health, 17</w:t>
      </w:r>
      <w:r>
        <w:rPr>
          <w:rFonts w:ascii="Times New Roman" w:hAnsi="Times New Roman" w:cs="Times New Roman"/>
          <w:sz w:val="24"/>
          <w:szCs w:val="24"/>
        </w:rPr>
        <w:t>(1), 1–15. https://doi.org/10.1186/s12978-020-0882-1</w:t>
      </w:r>
    </w:p>
    <w:p w14:paraId="66C9122E"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Baird, E. J. (2017). Identification and management of obstetric hemorrhage. </w:t>
      </w:r>
      <w:r>
        <w:rPr>
          <w:rFonts w:ascii="Times New Roman" w:hAnsi="Times New Roman" w:cs="Times New Roman"/>
          <w:i/>
          <w:sz w:val="24"/>
          <w:szCs w:val="24"/>
        </w:rPr>
        <w:t>Anesthesiology Clinics, 35</w:t>
      </w:r>
      <w:r>
        <w:rPr>
          <w:rFonts w:ascii="Times New Roman" w:hAnsi="Times New Roman" w:cs="Times New Roman"/>
          <w:sz w:val="24"/>
          <w:szCs w:val="24"/>
        </w:rPr>
        <w:t>(1), 15–34. https://doi.org/10.1016/j.anclin.2016.09.004</w:t>
      </w:r>
    </w:p>
    <w:p w14:paraId="4ACB5EA7"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Becker, M. H. (1974). The Health Belief Model and personal health behavior. </w:t>
      </w:r>
      <w:r>
        <w:rPr>
          <w:rFonts w:ascii="Times New Roman" w:hAnsi="Times New Roman" w:cs="Times New Roman"/>
          <w:i/>
          <w:sz w:val="24"/>
          <w:szCs w:val="24"/>
        </w:rPr>
        <w:t>Health Education Monographs, 2</w:t>
      </w:r>
      <w:r>
        <w:rPr>
          <w:rFonts w:ascii="Times New Roman" w:hAnsi="Times New Roman" w:cs="Times New Roman"/>
          <w:sz w:val="24"/>
          <w:szCs w:val="24"/>
        </w:rPr>
        <w:t>(4), 324–473.</w:t>
      </w:r>
    </w:p>
    <w:p w14:paraId="76FB14BE"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Champion, V. L., &amp; Skinner, C. S. (2008). The Health Belief Model. In K. Glanz, B. K. Rimer, &amp; K. Viswanath (Eds.), </w:t>
      </w:r>
      <w:r>
        <w:rPr>
          <w:rFonts w:ascii="Times New Roman" w:hAnsi="Times New Roman" w:cs="Times New Roman"/>
          <w:i/>
          <w:sz w:val="24"/>
          <w:szCs w:val="24"/>
        </w:rPr>
        <w:t>Health behavior and health education: Theory, research, and practice</w:t>
      </w:r>
      <w:r>
        <w:rPr>
          <w:rFonts w:ascii="Times New Roman" w:hAnsi="Times New Roman" w:cs="Times New Roman"/>
          <w:sz w:val="24"/>
          <w:szCs w:val="24"/>
        </w:rPr>
        <w:t xml:space="preserve"> (4th ed., pp. 45–65). Jossey-Bass.</w:t>
      </w:r>
    </w:p>
    <w:p w14:paraId="1957A254"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Chawla, S., Bal, M. H. K., Vardhan, B. S., et al. (2018). Blood transfusion practices in obstetrics: Our experience.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Obstet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Gynaecol</w:t>
      </w:r>
      <w:proofErr w:type="spellEnd"/>
      <w:r>
        <w:rPr>
          <w:rFonts w:ascii="Times New Roman" w:hAnsi="Times New Roman" w:cs="Times New Roman"/>
          <w:i/>
          <w:sz w:val="24"/>
          <w:szCs w:val="24"/>
        </w:rPr>
        <w:t xml:space="preserve"> India, 68</w:t>
      </w:r>
      <w:r>
        <w:rPr>
          <w:rFonts w:ascii="Times New Roman" w:hAnsi="Times New Roman" w:cs="Times New Roman"/>
          <w:sz w:val="24"/>
          <w:szCs w:val="24"/>
        </w:rPr>
        <w:t>(3), 204–207. https://doi.org/10.1007/s13224-018-1092-x</w:t>
      </w:r>
    </w:p>
    <w:p w14:paraId="51FB3A2B"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Esan, A. J. (2016). Hemolytic disorders of the newborn, current methods of diagnosis and treatment.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Hematol</w:t>
      </w:r>
      <w:proofErr w:type="spellEnd"/>
      <w:r>
        <w:rPr>
          <w:rFonts w:ascii="Times New Roman" w:hAnsi="Times New Roman" w:cs="Times New Roman"/>
          <w:i/>
          <w:sz w:val="24"/>
          <w:szCs w:val="24"/>
        </w:rPr>
        <w:t xml:space="preserve"> Blood </w:t>
      </w:r>
      <w:proofErr w:type="spellStart"/>
      <w:r>
        <w:rPr>
          <w:rFonts w:ascii="Times New Roman" w:hAnsi="Times New Roman" w:cs="Times New Roman"/>
          <w:i/>
          <w:sz w:val="24"/>
          <w:szCs w:val="24"/>
        </w:rPr>
        <w:t>Transfus</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Disord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3), 008. https://doi.org/10.24966/HBTD2999/100008</w:t>
      </w:r>
    </w:p>
    <w:p w14:paraId="2DF372AB" w14:textId="77777777"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Ezeaka</w:t>
      </w:r>
      <w:proofErr w:type="spellEnd"/>
      <w:r>
        <w:rPr>
          <w:rFonts w:ascii="Times New Roman" w:hAnsi="Times New Roman" w:cs="Times New Roman"/>
          <w:sz w:val="24"/>
          <w:szCs w:val="24"/>
        </w:rPr>
        <w:t xml:space="preserve">, C. V., Ugwu, R. O., Mukhtar-Yola, M., </w:t>
      </w:r>
      <w:proofErr w:type="spellStart"/>
      <w:r>
        <w:rPr>
          <w:rFonts w:ascii="Times New Roman" w:hAnsi="Times New Roman" w:cs="Times New Roman"/>
          <w:sz w:val="24"/>
          <w:szCs w:val="24"/>
        </w:rPr>
        <w:t>Ekure</w:t>
      </w:r>
      <w:proofErr w:type="spellEnd"/>
      <w:r>
        <w:rPr>
          <w:rFonts w:ascii="Times New Roman" w:hAnsi="Times New Roman" w:cs="Times New Roman"/>
          <w:sz w:val="24"/>
          <w:szCs w:val="24"/>
        </w:rPr>
        <w:t>, E. N., &amp; Olusanya, B. O. (2014). Pattern and predictors of maternal care-seeking practices for severe neonatal jaundice in Nigeria: A multi-</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survey. </w:t>
      </w:r>
      <w:r>
        <w:rPr>
          <w:rFonts w:ascii="Times New Roman" w:hAnsi="Times New Roman" w:cs="Times New Roman"/>
          <w:i/>
          <w:sz w:val="24"/>
          <w:szCs w:val="24"/>
        </w:rPr>
        <w:t>BMC Health Services Research, 14</w:t>
      </w:r>
      <w:r>
        <w:rPr>
          <w:rFonts w:ascii="Times New Roman" w:hAnsi="Times New Roman" w:cs="Times New Roman"/>
          <w:sz w:val="24"/>
          <w:szCs w:val="24"/>
        </w:rPr>
        <w:t>(1), 192. https://doi.org/10.1186/1472-6963-14-192</w:t>
      </w:r>
    </w:p>
    <w:p w14:paraId="6F82C4F0"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Fekadu, G. A., Omer, M. O., &amp; Bekele, D. A. (2021). Effect of antenatal counselling on maternal decisions towards skilled birth attendance and emergency obstetric care in Ethiopia. </w:t>
      </w:r>
      <w:r>
        <w:rPr>
          <w:rFonts w:ascii="Times New Roman" w:hAnsi="Times New Roman" w:cs="Times New Roman"/>
          <w:i/>
          <w:sz w:val="24"/>
          <w:szCs w:val="24"/>
        </w:rPr>
        <w:t>BMC Pregnancy and Childbirth, 21</w:t>
      </w:r>
      <w:r>
        <w:rPr>
          <w:rFonts w:ascii="Times New Roman" w:hAnsi="Times New Roman" w:cs="Times New Roman"/>
          <w:sz w:val="24"/>
          <w:szCs w:val="24"/>
        </w:rPr>
        <w:t>(1), 421. https://doi.org/10.1186/s12884-021-03903-5</w:t>
      </w:r>
    </w:p>
    <w:p w14:paraId="06CA1B95"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Frigo, M. G., Agostini, V., Brizzi, A., et al. (2021). Practical approach to transfusion management of post-partum </w:t>
      </w:r>
      <w:proofErr w:type="spellStart"/>
      <w:r>
        <w:rPr>
          <w:rFonts w:ascii="Times New Roman" w:hAnsi="Times New Roman" w:cs="Times New Roman"/>
          <w:sz w:val="24"/>
          <w:szCs w:val="24"/>
        </w:rPr>
        <w:t>haemorrhage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Transfus</w:t>
      </w:r>
      <w:proofErr w:type="spellEnd"/>
      <w:r>
        <w:rPr>
          <w:rFonts w:ascii="Times New Roman" w:hAnsi="Times New Roman" w:cs="Times New Roman"/>
          <w:i/>
          <w:sz w:val="24"/>
          <w:szCs w:val="24"/>
        </w:rPr>
        <w:t xml:space="preserve"> Med, 31</w:t>
      </w:r>
      <w:r>
        <w:rPr>
          <w:rFonts w:ascii="Times New Roman" w:hAnsi="Times New Roman" w:cs="Times New Roman"/>
          <w:sz w:val="24"/>
          <w:szCs w:val="24"/>
        </w:rPr>
        <w:t>(1), 11–15. https://doi.org/10.1111/tme.12755</w:t>
      </w:r>
    </w:p>
    <w:p w14:paraId="1290E84A"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Ibekwe, R. C., Ibekwe, M. U., &amp; </w:t>
      </w:r>
      <w:proofErr w:type="spellStart"/>
      <w:r>
        <w:rPr>
          <w:rFonts w:ascii="Times New Roman" w:hAnsi="Times New Roman" w:cs="Times New Roman"/>
          <w:sz w:val="24"/>
          <w:szCs w:val="24"/>
        </w:rPr>
        <w:t>Muoneke</w:t>
      </w:r>
      <w:proofErr w:type="spellEnd"/>
      <w:r>
        <w:rPr>
          <w:rFonts w:ascii="Times New Roman" w:hAnsi="Times New Roman" w:cs="Times New Roman"/>
          <w:sz w:val="24"/>
          <w:szCs w:val="24"/>
        </w:rPr>
        <w:t xml:space="preserve">, V. U. (2012). Outcome of exchange blood transfusions done for neonatal jaundice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South Eastern Nigeria. </w:t>
      </w:r>
      <w:r>
        <w:rPr>
          <w:rFonts w:ascii="Times New Roman" w:hAnsi="Times New Roman" w:cs="Times New Roman"/>
          <w:i/>
          <w:sz w:val="24"/>
          <w:szCs w:val="24"/>
        </w:rPr>
        <w:t xml:space="preserve">Journal Clinical </w:t>
      </w:r>
      <w:proofErr w:type="spellStart"/>
      <w:r>
        <w:rPr>
          <w:rFonts w:ascii="Times New Roman" w:hAnsi="Times New Roman" w:cs="Times New Roman"/>
          <w:i/>
          <w:sz w:val="24"/>
          <w:szCs w:val="24"/>
        </w:rPr>
        <w:t>Neonatol</w:t>
      </w:r>
      <w:proofErr w:type="spellEnd"/>
      <w:r>
        <w:rPr>
          <w:rFonts w:ascii="Times New Roman" w:hAnsi="Times New Roman" w:cs="Times New Roman"/>
          <w:i/>
          <w:sz w:val="24"/>
          <w:szCs w:val="24"/>
        </w:rPr>
        <w:t>, 1</w:t>
      </w:r>
      <w:r>
        <w:rPr>
          <w:rFonts w:ascii="Times New Roman" w:hAnsi="Times New Roman" w:cs="Times New Roman"/>
          <w:sz w:val="24"/>
          <w:szCs w:val="24"/>
        </w:rPr>
        <w:t>(1), 34–43.</w:t>
      </w:r>
    </w:p>
    <w:p w14:paraId="5C2C2B75"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Kliegman, R. M., Stanton, B. F., </w:t>
      </w:r>
      <w:proofErr w:type="spellStart"/>
      <w:r>
        <w:rPr>
          <w:rFonts w:ascii="Times New Roman" w:hAnsi="Times New Roman" w:cs="Times New Roman"/>
          <w:sz w:val="24"/>
          <w:szCs w:val="24"/>
        </w:rPr>
        <w:t>Geme</w:t>
      </w:r>
      <w:proofErr w:type="spellEnd"/>
      <w:r>
        <w:rPr>
          <w:rFonts w:ascii="Times New Roman" w:hAnsi="Times New Roman" w:cs="Times New Roman"/>
          <w:sz w:val="24"/>
          <w:szCs w:val="24"/>
        </w:rPr>
        <w:t xml:space="preserve">, J. W., &amp; Schor, N. F. (2016). </w:t>
      </w:r>
      <w:r>
        <w:rPr>
          <w:rFonts w:ascii="Times New Roman" w:hAnsi="Times New Roman" w:cs="Times New Roman"/>
          <w:i/>
          <w:sz w:val="24"/>
          <w:szCs w:val="24"/>
        </w:rPr>
        <w:t>Nelson Textbook of Pediatrics</w:t>
      </w:r>
      <w:r>
        <w:rPr>
          <w:rFonts w:ascii="Times New Roman" w:hAnsi="Times New Roman" w:cs="Times New Roman"/>
          <w:sz w:val="24"/>
          <w:szCs w:val="24"/>
        </w:rPr>
        <w:t xml:space="preserve"> (24th ed.). Elsevier.</w:t>
      </w:r>
    </w:p>
    <w:p w14:paraId="755FFF44" w14:textId="202A7802" w:rsidR="005E321E" w:rsidRDefault="005E321E">
      <w:pPr>
        <w:spacing w:after="120"/>
        <w:ind w:left="630" w:hanging="630"/>
        <w:jc w:val="both"/>
        <w:rPr>
          <w:rFonts w:ascii="Times New Roman" w:hAnsi="Times New Roman" w:cs="Times New Roman"/>
          <w:sz w:val="24"/>
          <w:szCs w:val="24"/>
        </w:rPr>
      </w:pPr>
      <w:proofErr w:type="spellStart"/>
      <w:r w:rsidRPr="005E321E">
        <w:rPr>
          <w:rFonts w:ascii="Times New Roman" w:hAnsi="Times New Roman" w:cs="Times New Roman"/>
          <w:sz w:val="24"/>
          <w:szCs w:val="24"/>
        </w:rPr>
        <w:lastRenderedPageBreak/>
        <w:t>Mabogunje</w:t>
      </w:r>
      <w:proofErr w:type="spellEnd"/>
      <w:r>
        <w:rPr>
          <w:rFonts w:ascii="Times New Roman" w:hAnsi="Times New Roman" w:cs="Times New Roman"/>
          <w:sz w:val="24"/>
          <w:szCs w:val="24"/>
        </w:rPr>
        <w:t>,</w:t>
      </w:r>
      <w:r w:rsidRPr="005E321E">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5E321E">
        <w:rPr>
          <w:rFonts w:ascii="Times New Roman" w:hAnsi="Times New Roman" w:cs="Times New Roman"/>
          <w:sz w:val="24"/>
          <w:szCs w:val="24"/>
        </w:rPr>
        <w:t>A</w:t>
      </w:r>
      <w:r>
        <w:rPr>
          <w:rFonts w:ascii="Times New Roman" w:hAnsi="Times New Roman" w:cs="Times New Roman"/>
          <w:sz w:val="24"/>
          <w:szCs w:val="24"/>
        </w:rPr>
        <w:t>.</w:t>
      </w:r>
      <w:r w:rsidRPr="005E321E">
        <w:rPr>
          <w:rFonts w:ascii="Times New Roman" w:hAnsi="Times New Roman" w:cs="Times New Roman"/>
          <w:sz w:val="24"/>
          <w:szCs w:val="24"/>
        </w:rPr>
        <w:t xml:space="preserve">, </w:t>
      </w:r>
      <w:proofErr w:type="spellStart"/>
      <w:r w:rsidRPr="005E321E">
        <w:rPr>
          <w:rFonts w:ascii="Times New Roman" w:hAnsi="Times New Roman" w:cs="Times New Roman"/>
          <w:sz w:val="24"/>
          <w:szCs w:val="24"/>
        </w:rPr>
        <w:t>Olaifa</w:t>
      </w:r>
      <w:proofErr w:type="spellEnd"/>
      <w:r>
        <w:rPr>
          <w:rFonts w:ascii="Times New Roman" w:hAnsi="Times New Roman" w:cs="Times New Roman"/>
          <w:sz w:val="24"/>
          <w:szCs w:val="24"/>
        </w:rPr>
        <w:t>,</w:t>
      </w:r>
      <w:r w:rsidRPr="005E321E">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5E321E">
        <w:rPr>
          <w:rFonts w:ascii="Times New Roman" w:hAnsi="Times New Roman" w:cs="Times New Roman"/>
          <w:sz w:val="24"/>
          <w:szCs w:val="24"/>
        </w:rPr>
        <w:t>M</w:t>
      </w:r>
      <w:r w:rsidR="00C81997">
        <w:rPr>
          <w:rFonts w:ascii="Times New Roman" w:hAnsi="Times New Roman" w:cs="Times New Roman"/>
          <w:sz w:val="24"/>
          <w:szCs w:val="24"/>
        </w:rPr>
        <w:t>.</w:t>
      </w:r>
      <w:r w:rsidRPr="005E321E">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E321E">
        <w:rPr>
          <w:rFonts w:ascii="Times New Roman" w:hAnsi="Times New Roman" w:cs="Times New Roman"/>
          <w:sz w:val="24"/>
          <w:szCs w:val="24"/>
        </w:rPr>
        <w:t>Olusanya</w:t>
      </w:r>
      <w:r w:rsidR="00C81997">
        <w:rPr>
          <w:rFonts w:ascii="Times New Roman" w:hAnsi="Times New Roman" w:cs="Times New Roman"/>
          <w:sz w:val="24"/>
          <w:szCs w:val="24"/>
        </w:rPr>
        <w:t>,</w:t>
      </w:r>
      <w:r w:rsidRPr="005E321E">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5E321E">
        <w:rPr>
          <w:rFonts w:ascii="Times New Roman" w:hAnsi="Times New Roman" w:cs="Times New Roman"/>
          <w:sz w:val="24"/>
          <w:szCs w:val="24"/>
        </w:rPr>
        <w:t>O.</w:t>
      </w:r>
      <w:r>
        <w:rPr>
          <w:rFonts w:ascii="Times New Roman" w:hAnsi="Times New Roman" w:cs="Times New Roman"/>
          <w:sz w:val="24"/>
          <w:szCs w:val="24"/>
        </w:rPr>
        <w:t xml:space="preserve"> (2016).</w:t>
      </w:r>
      <w:r w:rsidRPr="005E321E">
        <w:rPr>
          <w:rFonts w:ascii="Times New Roman" w:hAnsi="Times New Roman" w:cs="Times New Roman"/>
          <w:sz w:val="24"/>
          <w:szCs w:val="24"/>
        </w:rPr>
        <w:t xml:space="preserve"> Facility-based constraints to exchange transfusions for neonatal hyperbilirubinemia in resource-limited settings. </w:t>
      </w:r>
      <w:r w:rsidRPr="005E321E">
        <w:rPr>
          <w:rFonts w:ascii="Times New Roman" w:hAnsi="Times New Roman" w:cs="Times New Roman"/>
          <w:i/>
          <w:iCs/>
          <w:sz w:val="24"/>
          <w:szCs w:val="24"/>
        </w:rPr>
        <w:t>World J Clin Pediatr</w:t>
      </w:r>
      <w:r>
        <w:rPr>
          <w:rFonts w:ascii="Times New Roman" w:hAnsi="Times New Roman" w:cs="Times New Roman"/>
          <w:i/>
          <w:iCs/>
          <w:sz w:val="24"/>
          <w:szCs w:val="24"/>
        </w:rPr>
        <w:t xml:space="preserve">, </w:t>
      </w:r>
      <w:r w:rsidRPr="005E321E">
        <w:rPr>
          <w:rFonts w:ascii="Times New Roman" w:hAnsi="Times New Roman" w:cs="Times New Roman"/>
          <w:sz w:val="24"/>
          <w:szCs w:val="24"/>
        </w:rPr>
        <w:t>5(2)</w:t>
      </w:r>
      <w:r>
        <w:rPr>
          <w:rFonts w:ascii="Times New Roman" w:hAnsi="Times New Roman" w:cs="Times New Roman"/>
          <w:sz w:val="24"/>
          <w:szCs w:val="24"/>
        </w:rPr>
        <w:t>.</w:t>
      </w:r>
      <w:r w:rsidRPr="005E321E">
        <w:rPr>
          <w:rFonts w:ascii="Times New Roman" w:hAnsi="Times New Roman" w:cs="Times New Roman"/>
          <w:sz w:val="24"/>
          <w:szCs w:val="24"/>
        </w:rPr>
        <w:t>182-90. https://doi.org/10.5409/wjcp.v5.i2.182.</w:t>
      </w:r>
    </w:p>
    <w:p w14:paraId="258C19C6" w14:textId="799FCD7A"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Murki</w:t>
      </w:r>
      <w:proofErr w:type="spellEnd"/>
      <w:r>
        <w:rPr>
          <w:rFonts w:ascii="Times New Roman" w:hAnsi="Times New Roman" w:cs="Times New Roman"/>
          <w:sz w:val="24"/>
          <w:szCs w:val="24"/>
        </w:rPr>
        <w:t xml:space="preserve">, S., &amp; Kumar, P. (2011). Blood exchange transfusion for infants with severe neonatal hyperbilirubinemia. </w:t>
      </w:r>
      <w:r>
        <w:rPr>
          <w:rFonts w:ascii="Times New Roman" w:hAnsi="Times New Roman" w:cs="Times New Roman"/>
          <w:i/>
          <w:sz w:val="24"/>
          <w:szCs w:val="24"/>
        </w:rPr>
        <w:t>Seminars in Perinatology, 35</w:t>
      </w:r>
      <w:r>
        <w:rPr>
          <w:rFonts w:ascii="Times New Roman" w:hAnsi="Times New Roman" w:cs="Times New Roman"/>
          <w:sz w:val="24"/>
          <w:szCs w:val="24"/>
        </w:rPr>
        <w:t>(3), 175–184. https://doi.org/10.1053/j.semperi.2011.02.013</w:t>
      </w:r>
      <w:r w:rsidR="005E321E">
        <w:rPr>
          <w:rFonts w:ascii="Times New Roman" w:hAnsi="Times New Roman" w:cs="Times New Roman"/>
          <w:sz w:val="24"/>
          <w:szCs w:val="24"/>
        </w:rPr>
        <w:t>.</w:t>
      </w:r>
    </w:p>
    <w:p w14:paraId="0AC5747C" w14:textId="2D5AC173"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Odeyemi, K., Akanbi, A., &amp; </w:t>
      </w:r>
      <w:proofErr w:type="spellStart"/>
      <w:r>
        <w:rPr>
          <w:rFonts w:ascii="Times New Roman" w:hAnsi="Times New Roman" w:cs="Times New Roman"/>
          <w:sz w:val="24"/>
          <w:szCs w:val="24"/>
        </w:rPr>
        <w:t>Fatiregun</w:t>
      </w:r>
      <w:proofErr w:type="spellEnd"/>
      <w:r>
        <w:rPr>
          <w:rFonts w:ascii="Times New Roman" w:hAnsi="Times New Roman" w:cs="Times New Roman"/>
          <w:sz w:val="24"/>
          <w:szCs w:val="24"/>
        </w:rPr>
        <w:t xml:space="preserve">, A. (2019). Religious belief as a barrier to the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maternal healthcare services among Muslim women in southwest Nigeria. </w:t>
      </w:r>
      <w:r>
        <w:rPr>
          <w:rFonts w:ascii="Times New Roman" w:hAnsi="Times New Roman" w:cs="Times New Roman"/>
          <w:i/>
          <w:sz w:val="24"/>
          <w:szCs w:val="24"/>
        </w:rPr>
        <w:t>Journal of Religion and Health, 58</w:t>
      </w:r>
      <w:r>
        <w:rPr>
          <w:rFonts w:ascii="Times New Roman" w:hAnsi="Times New Roman" w:cs="Times New Roman"/>
          <w:sz w:val="24"/>
          <w:szCs w:val="24"/>
        </w:rPr>
        <w:t xml:space="preserve">(5), 1601–1613. </w:t>
      </w:r>
      <w:hyperlink r:id="rId8" w:history="1">
        <w:r w:rsidR="00017E8C" w:rsidRPr="006B0A1D">
          <w:rPr>
            <w:rStyle w:val="Hyperlink"/>
            <w:rFonts w:ascii="Times New Roman" w:hAnsi="Times New Roman" w:cs="Times New Roman"/>
            <w:color w:val="auto"/>
            <w:sz w:val="24"/>
            <w:szCs w:val="24"/>
            <w:u w:val="none"/>
          </w:rPr>
          <w:t>https://doi.org/10.1007/s10943-018-0674-z</w:t>
        </w:r>
      </w:hyperlink>
    </w:p>
    <w:p w14:paraId="20C41CA6" w14:textId="31DBCA90" w:rsidR="00017E8C" w:rsidRDefault="00017E8C">
      <w:pPr>
        <w:spacing w:after="120"/>
        <w:ind w:left="630" w:hanging="630"/>
        <w:jc w:val="both"/>
        <w:rPr>
          <w:rFonts w:ascii="Times New Roman" w:hAnsi="Times New Roman" w:cs="Times New Roman"/>
          <w:sz w:val="24"/>
          <w:szCs w:val="24"/>
        </w:rPr>
      </w:pPr>
      <w:proofErr w:type="spellStart"/>
      <w:r w:rsidRPr="007C10A9">
        <w:t>Okulu</w:t>
      </w:r>
      <w:proofErr w:type="spellEnd"/>
      <w:r>
        <w:t>,</w:t>
      </w:r>
      <w:r w:rsidRPr="007C10A9">
        <w:t xml:space="preserve"> E</w:t>
      </w:r>
      <w:r>
        <w:t>.,</w:t>
      </w:r>
      <w:r w:rsidRPr="007C10A9">
        <w:t xml:space="preserve"> </w:t>
      </w:r>
      <w:proofErr w:type="spellStart"/>
      <w:r w:rsidRPr="007C10A9">
        <w:t>Erdeve</w:t>
      </w:r>
      <w:proofErr w:type="spellEnd"/>
      <w:r>
        <w:t>,</w:t>
      </w:r>
      <w:r w:rsidRPr="007C10A9">
        <w:t xml:space="preserve"> Ö</w:t>
      </w:r>
      <w:r>
        <w:t>.</w:t>
      </w:r>
      <w:r w:rsidRPr="007C10A9">
        <w:t>, Tuncer</w:t>
      </w:r>
      <w:r>
        <w:t>,</w:t>
      </w:r>
      <w:r w:rsidRPr="007C10A9">
        <w:t xml:space="preserve"> O</w:t>
      </w:r>
      <w:r>
        <w:t>.</w:t>
      </w:r>
      <w:r w:rsidRPr="007C10A9">
        <w:t>, Ertuğrul</w:t>
      </w:r>
      <w:r>
        <w:t>,</w:t>
      </w:r>
      <w:r w:rsidRPr="007C10A9">
        <w:t xml:space="preserve"> S</w:t>
      </w:r>
      <w:r>
        <w:t>.</w:t>
      </w:r>
      <w:r w:rsidRPr="007C10A9">
        <w:t>, Özdemir</w:t>
      </w:r>
      <w:r>
        <w:t>,</w:t>
      </w:r>
      <w:r w:rsidRPr="007C10A9">
        <w:t xml:space="preserve"> H</w:t>
      </w:r>
      <w:r>
        <w:t>.</w:t>
      </w:r>
      <w:r w:rsidRPr="007C10A9">
        <w:t xml:space="preserve">, </w:t>
      </w:r>
      <w:proofErr w:type="spellStart"/>
      <w:r w:rsidRPr="007C10A9">
        <w:t>Çiftdemir</w:t>
      </w:r>
      <w:proofErr w:type="spellEnd"/>
      <w:r>
        <w:t>,</w:t>
      </w:r>
      <w:r w:rsidRPr="007C10A9">
        <w:t xml:space="preserve"> N</w:t>
      </w:r>
      <w:r>
        <w:t xml:space="preserve">. </w:t>
      </w:r>
      <w:r w:rsidRPr="007C10A9">
        <w:t>A</w:t>
      </w:r>
      <w:r>
        <w:t>.</w:t>
      </w:r>
      <w:r w:rsidRPr="007C10A9">
        <w:t xml:space="preserve">, </w:t>
      </w:r>
      <w:proofErr w:type="spellStart"/>
      <w:r w:rsidRPr="007C10A9">
        <w:t>Zenciroğlu</w:t>
      </w:r>
      <w:proofErr w:type="spellEnd"/>
      <w:r>
        <w:t>,</w:t>
      </w:r>
      <w:r w:rsidRPr="007C10A9">
        <w:t xml:space="preserve"> A</w:t>
      </w:r>
      <w:r>
        <w:t>. &amp;</w:t>
      </w:r>
      <w:r w:rsidRPr="007C10A9">
        <w:t xml:space="preserve"> </w:t>
      </w:r>
      <w:proofErr w:type="spellStart"/>
      <w:r w:rsidRPr="007C10A9">
        <w:t>Atasay</w:t>
      </w:r>
      <w:proofErr w:type="spellEnd"/>
      <w:r w:rsidRPr="007C10A9">
        <w:t xml:space="preserve"> B</w:t>
      </w:r>
      <w:r>
        <w:t>. (2021).</w:t>
      </w:r>
      <w:r w:rsidRPr="007C10A9">
        <w:t xml:space="preserve"> Exchange transfusion for neonatal hyperbilirubinemia: A multicenter, prospective study of Turkish Neonatal Society. </w:t>
      </w:r>
      <w:r w:rsidRPr="00017E8C">
        <w:rPr>
          <w:i/>
          <w:iCs/>
        </w:rPr>
        <w:t>Turk Arch Pediatr</w:t>
      </w:r>
      <w:r w:rsidRPr="007C10A9">
        <w:t>. 56(2)</w:t>
      </w:r>
      <w:r>
        <w:t>,</w:t>
      </w:r>
      <w:r w:rsidRPr="007C10A9">
        <w:t xml:space="preserve">121-126. </w:t>
      </w:r>
      <w:r>
        <w:rPr>
          <w:rFonts w:ascii="Times New Roman" w:hAnsi="Times New Roman" w:cs="Times New Roman"/>
          <w:sz w:val="24"/>
          <w:szCs w:val="24"/>
        </w:rPr>
        <w:t>https://doi.org/</w:t>
      </w:r>
      <w:r w:rsidRPr="007C10A9">
        <w:t>10.14744/TurkPediatriArs.2020.65983</w:t>
      </w:r>
    </w:p>
    <w:p w14:paraId="54126B53" w14:textId="6688FB3B"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Okonofua</w:t>
      </w:r>
      <w:proofErr w:type="spellEnd"/>
      <w:r>
        <w:rPr>
          <w:rFonts w:ascii="Times New Roman" w:hAnsi="Times New Roman" w:cs="Times New Roman"/>
          <w:sz w:val="24"/>
          <w:szCs w:val="24"/>
        </w:rPr>
        <w:t xml:space="preserve">, F., Ogu, R., Agholor, K., </w:t>
      </w:r>
      <w:proofErr w:type="spellStart"/>
      <w:r>
        <w:rPr>
          <w:rFonts w:ascii="Times New Roman" w:hAnsi="Times New Roman" w:cs="Times New Roman"/>
          <w:sz w:val="24"/>
          <w:szCs w:val="24"/>
        </w:rPr>
        <w:t>Okike</w:t>
      </w:r>
      <w:proofErr w:type="spellEnd"/>
      <w:r>
        <w:rPr>
          <w:rFonts w:ascii="Times New Roman" w:hAnsi="Times New Roman" w:cs="Times New Roman"/>
          <w:sz w:val="24"/>
          <w:szCs w:val="24"/>
        </w:rPr>
        <w:t xml:space="preserve">, O., Abdus-Salam, R., Gana, M., ... &amp; </w:t>
      </w:r>
      <w:proofErr w:type="spellStart"/>
      <w:r>
        <w:rPr>
          <w:rFonts w:ascii="Times New Roman" w:hAnsi="Times New Roman" w:cs="Times New Roman"/>
          <w:sz w:val="24"/>
          <w:szCs w:val="24"/>
        </w:rPr>
        <w:t>Imongan</w:t>
      </w:r>
      <w:proofErr w:type="spellEnd"/>
      <w:r>
        <w:rPr>
          <w:rFonts w:ascii="Times New Roman" w:hAnsi="Times New Roman" w:cs="Times New Roman"/>
          <w:sz w:val="24"/>
          <w:szCs w:val="24"/>
        </w:rPr>
        <w:t xml:space="preserve">, W. (2017). Qualitative assessment of women's satisfaction with maternal health care in referral hospitals in Nigeria. </w:t>
      </w:r>
      <w:r>
        <w:rPr>
          <w:rFonts w:ascii="Times New Roman" w:hAnsi="Times New Roman" w:cs="Times New Roman"/>
          <w:i/>
          <w:sz w:val="24"/>
          <w:szCs w:val="24"/>
        </w:rPr>
        <w:t>Reproductive Health, 14</w:t>
      </w:r>
      <w:r>
        <w:rPr>
          <w:rFonts w:ascii="Times New Roman" w:hAnsi="Times New Roman" w:cs="Times New Roman"/>
          <w:sz w:val="24"/>
          <w:szCs w:val="24"/>
        </w:rPr>
        <w:t xml:space="preserve">(1), 44. </w:t>
      </w:r>
      <w:hyperlink r:id="rId9" w:history="1">
        <w:r w:rsidR="006B0A1D" w:rsidRPr="006B0A1D">
          <w:rPr>
            <w:rStyle w:val="Hyperlink"/>
            <w:rFonts w:ascii="Times New Roman" w:hAnsi="Times New Roman" w:cs="Times New Roman"/>
            <w:color w:val="auto"/>
            <w:sz w:val="24"/>
            <w:szCs w:val="24"/>
            <w:u w:val="none"/>
          </w:rPr>
          <w:t>https://doi.org/10.1186/s12978-017-0305-6</w:t>
        </w:r>
      </w:hyperlink>
    </w:p>
    <w:p w14:paraId="4270BBB7" w14:textId="32D1D555" w:rsidR="006B0A1D" w:rsidRPr="006B0A1D" w:rsidRDefault="006B0A1D">
      <w:pPr>
        <w:spacing w:after="120"/>
        <w:ind w:left="630" w:hanging="630"/>
        <w:jc w:val="both"/>
        <w:rPr>
          <w:rFonts w:ascii="Times New Roman" w:hAnsi="Times New Roman" w:cs="Times New Roman"/>
          <w:sz w:val="24"/>
          <w:szCs w:val="24"/>
        </w:rPr>
      </w:pPr>
      <w:r w:rsidRPr="006B0A1D">
        <w:rPr>
          <w:rFonts w:ascii="Times New Roman" w:hAnsi="Times New Roman" w:cs="Times New Roman"/>
          <w:sz w:val="24"/>
          <w:szCs w:val="24"/>
        </w:rPr>
        <w:t xml:space="preserve">Olusanya BO, Imam ZO, </w:t>
      </w:r>
      <w:proofErr w:type="spellStart"/>
      <w:r w:rsidRPr="006B0A1D">
        <w:rPr>
          <w:rFonts w:ascii="Times New Roman" w:hAnsi="Times New Roman" w:cs="Times New Roman"/>
          <w:sz w:val="24"/>
          <w:szCs w:val="24"/>
        </w:rPr>
        <w:t>Emokpae</w:t>
      </w:r>
      <w:proofErr w:type="spellEnd"/>
      <w:r w:rsidRPr="006B0A1D">
        <w:rPr>
          <w:rFonts w:ascii="Times New Roman" w:hAnsi="Times New Roman" w:cs="Times New Roman"/>
          <w:sz w:val="24"/>
          <w:szCs w:val="24"/>
        </w:rPr>
        <w:t xml:space="preserve"> AA, </w:t>
      </w:r>
      <w:proofErr w:type="spellStart"/>
      <w:r w:rsidRPr="006B0A1D">
        <w:rPr>
          <w:rFonts w:ascii="Times New Roman" w:hAnsi="Times New Roman" w:cs="Times New Roman"/>
          <w:sz w:val="24"/>
          <w:szCs w:val="24"/>
        </w:rPr>
        <w:t>Iskander</w:t>
      </w:r>
      <w:proofErr w:type="spellEnd"/>
      <w:r w:rsidRPr="006B0A1D">
        <w:rPr>
          <w:rFonts w:ascii="Times New Roman" w:hAnsi="Times New Roman" w:cs="Times New Roman"/>
          <w:sz w:val="24"/>
          <w:szCs w:val="24"/>
        </w:rPr>
        <w:t xml:space="preserve"> IF. (2016). Revisiting the Criteria for Exchange Transfusion for Severe Neonatal Hyperbilirubinemia in Resource-Limited Settings</w:t>
      </w:r>
      <w:r w:rsidRPr="006B0A1D">
        <w:rPr>
          <w:rFonts w:ascii="Times New Roman" w:hAnsi="Times New Roman" w:cs="Times New Roman"/>
          <w:i/>
          <w:iCs/>
          <w:sz w:val="24"/>
          <w:szCs w:val="24"/>
        </w:rPr>
        <w:t>. Neonatology</w:t>
      </w:r>
      <w:r>
        <w:rPr>
          <w:rFonts w:ascii="Times New Roman" w:hAnsi="Times New Roman" w:cs="Times New Roman"/>
          <w:sz w:val="24"/>
          <w:szCs w:val="24"/>
        </w:rPr>
        <w:t xml:space="preserve">, </w:t>
      </w:r>
      <w:r w:rsidRPr="006B0A1D">
        <w:rPr>
          <w:rFonts w:ascii="Times New Roman" w:hAnsi="Times New Roman" w:cs="Times New Roman"/>
          <w:sz w:val="24"/>
          <w:szCs w:val="24"/>
        </w:rPr>
        <w:t>109(2)</w:t>
      </w:r>
      <w:r>
        <w:rPr>
          <w:rFonts w:ascii="Times New Roman" w:hAnsi="Times New Roman" w:cs="Times New Roman"/>
          <w:sz w:val="24"/>
          <w:szCs w:val="24"/>
        </w:rPr>
        <w:t>.</w:t>
      </w:r>
      <w:r w:rsidRPr="006B0A1D">
        <w:rPr>
          <w:rFonts w:ascii="Times New Roman" w:hAnsi="Times New Roman" w:cs="Times New Roman"/>
          <w:sz w:val="24"/>
          <w:szCs w:val="24"/>
        </w:rPr>
        <w:t>97-104.</w:t>
      </w:r>
      <w:r>
        <w:rPr>
          <w:rFonts w:ascii="Times New Roman" w:hAnsi="Times New Roman" w:cs="Times New Roman"/>
          <w:sz w:val="24"/>
          <w:szCs w:val="24"/>
        </w:rPr>
        <w:t xml:space="preserve"> </w:t>
      </w:r>
      <w:r w:rsidRPr="006B0A1D">
        <w:rPr>
          <w:rFonts w:ascii="Times New Roman" w:hAnsi="Times New Roman" w:cs="Times New Roman"/>
          <w:sz w:val="24"/>
          <w:szCs w:val="24"/>
        </w:rPr>
        <w:t>https://doi.org/10.1159/000441324</w:t>
      </w:r>
      <w:r>
        <w:rPr>
          <w:rFonts w:ascii="Times New Roman" w:hAnsi="Times New Roman" w:cs="Times New Roman"/>
          <w:sz w:val="24"/>
          <w:szCs w:val="24"/>
        </w:rPr>
        <w:t>.</w:t>
      </w:r>
    </w:p>
    <w:p w14:paraId="61AC246B" w14:textId="77777777"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Oriyomi</w:t>
      </w:r>
      <w:proofErr w:type="spellEnd"/>
      <w:r>
        <w:rPr>
          <w:rFonts w:ascii="Times New Roman" w:hAnsi="Times New Roman" w:cs="Times New Roman"/>
          <w:sz w:val="24"/>
          <w:szCs w:val="24"/>
        </w:rPr>
        <w:t xml:space="preserve">, A., Ayodeji, A. S., Shittu, O., </w:t>
      </w:r>
      <w:proofErr w:type="spellStart"/>
      <w:r>
        <w:rPr>
          <w:rFonts w:ascii="Times New Roman" w:hAnsi="Times New Roman" w:cs="Times New Roman"/>
          <w:sz w:val="24"/>
          <w:szCs w:val="24"/>
        </w:rPr>
        <w:t>Odelana</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Akinbami</w:t>
      </w:r>
      <w:proofErr w:type="spellEnd"/>
      <w:r>
        <w:rPr>
          <w:rFonts w:ascii="Times New Roman" w:hAnsi="Times New Roman" w:cs="Times New Roman"/>
          <w:sz w:val="24"/>
          <w:szCs w:val="24"/>
        </w:rPr>
        <w:t>, N. (2015). Attitude, beliefs and knowledge of patients towards blood transfusion practice in Osogbo, Southwestern Nigeria. https://doi.org/10.9790/0853-141057479</w:t>
      </w:r>
    </w:p>
    <w:p w14:paraId="1E6E3C3A" w14:textId="77777777" w:rsidR="00C81997" w:rsidRDefault="00DC180B" w:rsidP="00C81997">
      <w:pPr>
        <w:pStyle w:val="NoSpacing"/>
        <w:spacing w:line="276" w:lineRule="auto"/>
        <w:rPr>
          <w:rFonts w:ascii="Times New Roman" w:hAnsi="Times New Roman" w:cs="Times New Roman"/>
          <w:sz w:val="24"/>
          <w:szCs w:val="24"/>
        </w:rPr>
      </w:pPr>
      <w:r w:rsidRPr="00C81997">
        <w:rPr>
          <w:rFonts w:ascii="Times New Roman" w:hAnsi="Times New Roman" w:cs="Times New Roman"/>
          <w:sz w:val="24"/>
          <w:szCs w:val="24"/>
        </w:rPr>
        <w:t xml:space="preserve">Pickens, J. (January, 2005). Attitudes and perceptions. </w:t>
      </w:r>
    </w:p>
    <w:p w14:paraId="27A8B3A4" w14:textId="5ADB715B" w:rsidR="00C81997" w:rsidRPr="00C81997" w:rsidRDefault="00FD573A" w:rsidP="00C81997">
      <w:pPr>
        <w:pStyle w:val="NoSpacing"/>
        <w:spacing w:line="276" w:lineRule="auto"/>
        <w:ind w:firstLine="630"/>
        <w:rPr>
          <w:rFonts w:ascii="Times New Roman" w:hAnsi="Times New Roman" w:cs="Times New Roman"/>
          <w:sz w:val="24"/>
          <w:szCs w:val="24"/>
        </w:rPr>
      </w:pPr>
      <w:hyperlink r:id="rId10" w:history="1">
        <w:r w:rsidR="00C81997" w:rsidRPr="00C81997">
          <w:rPr>
            <w:rStyle w:val="Hyperlink"/>
            <w:rFonts w:ascii="Times New Roman" w:hAnsi="Times New Roman" w:cs="Times New Roman"/>
            <w:color w:val="auto"/>
            <w:sz w:val="24"/>
            <w:szCs w:val="24"/>
            <w:u w:val="none"/>
          </w:rPr>
          <w:t>https://www.researchgate.net/publication/267362543_Attitudes_and_Perceptions</w:t>
        </w:r>
      </w:hyperlink>
    </w:p>
    <w:p w14:paraId="6CDB6D54" w14:textId="77777777" w:rsidR="00C81997" w:rsidRPr="00C81997" w:rsidRDefault="00C81997" w:rsidP="00C81997">
      <w:pPr>
        <w:pStyle w:val="NoSpacing"/>
        <w:spacing w:line="276" w:lineRule="auto"/>
        <w:ind w:firstLine="630"/>
        <w:rPr>
          <w:rFonts w:ascii="Times New Roman" w:hAnsi="Times New Roman" w:cs="Times New Roman"/>
          <w:sz w:val="24"/>
          <w:szCs w:val="24"/>
        </w:rPr>
      </w:pPr>
    </w:p>
    <w:p w14:paraId="2D27FD41" w14:textId="77777777" w:rsidR="00C81997" w:rsidRPr="00C81997" w:rsidRDefault="00C81997" w:rsidP="00C81997">
      <w:pPr>
        <w:spacing w:after="0"/>
        <w:jc w:val="both"/>
        <w:rPr>
          <w:rFonts w:ascii="Times New Roman" w:hAnsi="Times New Roman" w:cs="Times New Roman"/>
          <w:sz w:val="24"/>
          <w:szCs w:val="24"/>
        </w:rPr>
      </w:pPr>
      <w:r w:rsidRPr="00C81997">
        <w:rPr>
          <w:rFonts w:ascii="Times New Roman" w:hAnsi="Times New Roman" w:cs="Times New Roman"/>
          <w:sz w:val="24"/>
          <w:szCs w:val="24"/>
        </w:rPr>
        <w:t xml:space="preserve">Robitaille, N., Hillyer, C., Strauss, R., Luban, N., Heather, A., &amp; Hume, M. D. (2004). </w:t>
      </w:r>
    </w:p>
    <w:p w14:paraId="31CD4CE1" w14:textId="30702F83" w:rsidR="00C81997" w:rsidRPr="00C81997" w:rsidRDefault="00C81997" w:rsidP="00C81997">
      <w:pPr>
        <w:spacing w:after="0"/>
        <w:ind w:left="630"/>
        <w:jc w:val="both"/>
      </w:pPr>
      <w:r w:rsidRPr="00D24657">
        <w:t>Exchange Transfusion in the Infant</w:t>
      </w:r>
      <w:r w:rsidRPr="00C81997">
        <w:rPr>
          <w:rFonts w:ascii="Roboto" w:eastAsia="Times New Roman" w:hAnsi="Roboto" w:cs="Times New Roman"/>
          <w:sz w:val="18"/>
          <w:szCs w:val="18"/>
        </w:rPr>
        <w:t xml:space="preserve"> </w:t>
      </w:r>
      <w:r w:rsidRPr="00D24657">
        <w:t>Handbook of Pediatric Transfusion Medicine (pp.159-165)</w:t>
      </w:r>
      <w:r w:rsidRPr="00C81997">
        <w:t xml:space="preserve"> DOI:</w:t>
      </w:r>
      <w:hyperlink r:id="rId11" w:tgtFrame="_blank" w:history="1">
        <w:r w:rsidRPr="00C81997">
          <w:rPr>
            <w:rStyle w:val="Hyperlink"/>
            <w:color w:val="auto"/>
            <w:u w:val="none"/>
          </w:rPr>
          <w:t>10.1016/B978-012348776-6/50018-2</w:t>
        </w:r>
      </w:hyperlink>
    </w:p>
    <w:p w14:paraId="0BB819AB" w14:textId="77777777" w:rsidR="00C81997" w:rsidRDefault="00C81997" w:rsidP="00C81997">
      <w:pPr>
        <w:spacing w:after="0"/>
        <w:ind w:left="630"/>
        <w:jc w:val="both"/>
        <w:rPr>
          <w:rFonts w:ascii="Times New Roman" w:hAnsi="Times New Roman" w:cs="Times New Roman"/>
          <w:sz w:val="24"/>
          <w:szCs w:val="24"/>
        </w:rPr>
      </w:pPr>
    </w:p>
    <w:p w14:paraId="7CCCA68E" w14:textId="4D957856"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Wan Mohd Hanafi, W. S., Wan Ibrahim, W. N., &amp; Hashim, N. (2021). Factors associated with exchange transfusion among severe neonatal jaundice in Malaysia. </w:t>
      </w:r>
      <w:r>
        <w:rPr>
          <w:rFonts w:ascii="Times New Roman" w:hAnsi="Times New Roman" w:cs="Times New Roman"/>
          <w:i/>
          <w:sz w:val="24"/>
          <w:szCs w:val="24"/>
        </w:rPr>
        <w:t>Iranian Journal of Neonatology, 12</w:t>
      </w:r>
      <w:r>
        <w:rPr>
          <w:rFonts w:ascii="Times New Roman" w:hAnsi="Times New Roman" w:cs="Times New Roman"/>
          <w:sz w:val="24"/>
          <w:szCs w:val="24"/>
        </w:rPr>
        <w:t>(3), 7–10. https://doi.org/10.22038/ijn.2021.50304.1880</w:t>
      </w:r>
    </w:p>
    <w:p w14:paraId="40588464" w14:textId="10C76BDE" w:rsidR="0003583A" w:rsidRDefault="00DC180B" w:rsidP="00FE276C">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Yaya, S., Bishwajit, G., Shah, V., &amp; </w:t>
      </w:r>
      <w:proofErr w:type="spellStart"/>
      <w:r>
        <w:rPr>
          <w:rFonts w:ascii="Times New Roman" w:hAnsi="Times New Roman" w:cs="Times New Roman"/>
          <w:sz w:val="24"/>
          <w:szCs w:val="24"/>
        </w:rPr>
        <w:t>Ekholuenetale</w:t>
      </w:r>
      <w:proofErr w:type="spellEnd"/>
      <w:r>
        <w:rPr>
          <w:rFonts w:ascii="Times New Roman" w:hAnsi="Times New Roman" w:cs="Times New Roman"/>
          <w:sz w:val="24"/>
          <w:szCs w:val="24"/>
        </w:rPr>
        <w:t xml:space="preserve">, M. (2018). Wealth, education and urban–rural inequality and maternal healthcare service usage in Nigeria. </w:t>
      </w:r>
      <w:r>
        <w:rPr>
          <w:rFonts w:ascii="Times New Roman" w:hAnsi="Times New Roman" w:cs="Times New Roman"/>
          <w:i/>
          <w:sz w:val="24"/>
          <w:szCs w:val="24"/>
        </w:rPr>
        <w:t>BMJ Global Health, 3</w:t>
      </w:r>
      <w:r>
        <w:rPr>
          <w:rFonts w:ascii="Times New Roman" w:hAnsi="Times New Roman" w:cs="Times New Roman"/>
          <w:sz w:val="24"/>
          <w:szCs w:val="24"/>
        </w:rPr>
        <w:t>(5), e000914</w:t>
      </w:r>
      <w:r w:rsidRPr="00C81997">
        <w:rPr>
          <w:rFonts w:ascii="Times New Roman" w:hAnsi="Times New Roman" w:cs="Times New Roman"/>
          <w:sz w:val="24"/>
          <w:szCs w:val="24"/>
          <w:u w:val="single"/>
        </w:rPr>
        <w:t xml:space="preserve">. </w:t>
      </w:r>
      <w:hyperlink r:id="rId12" w:history="1">
        <w:r w:rsidRPr="00C81997">
          <w:rPr>
            <w:rStyle w:val="Hyperlink"/>
            <w:rFonts w:ascii="Times New Roman" w:hAnsi="Times New Roman" w:cs="Times New Roman"/>
            <w:color w:val="auto"/>
            <w:sz w:val="24"/>
            <w:szCs w:val="24"/>
          </w:rPr>
          <w:t>https://doi.org/10.1136/bmjgh-2018-000914</w:t>
        </w:r>
      </w:hyperlink>
    </w:p>
    <w:sectPr w:rsidR="0003583A">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8F327" w14:textId="77777777" w:rsidR="00FD573A" w:rsidRDefault="00FD573A" w:rsidP="00601A57">
      <w:pPr>
        <w:spacing w:after="0" w:line="240" w:lineRule="auto"/>
      </w:pPr>
      <w:r>
        <w:separator/>
      </w:r>
    </w:p>
  </w:endnote>
  <w:endnote w:type="continuationSeparator" w:id="0">
    <w:p w14:paraId="613ACA58" w14:textId="77777777" w:rsidR="00FD573A" w:rsidRDefault="00FD573A" w:rsidP="0060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BE6D" w14:textId="77777777" w:rsidR="009457D9" w:rsidRDefault="0094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224469"/>
      <w:docPartObj>
        <w:docPartGallery w:val="Page Numbers (Bottom of Page)"/>
        <w:docPartUnique/>
      </w:docPartObj>
    </w:sdtPr>
    <w:sdtEndPr>
      <w:rPr>
        <w:noProof/>
      </w:rPr>
    </w:sdtEndPr>
    <w:sdtContent>
      <w:p w14:paraId="289ED357" w14:textId="77777777" w:rsidR="00573E1E" w:rsidRDefault="00573E1E">
        <w:pPr>
          <w:pStyle w:val="Footer"/>
          <w:jc w:val="center"/>
        </w:pPr>
        <w:r>
          <w:fldChar w:fldCharType="begin"/>
        </w:r>
        <w:r>
          <w:instrText xml:space="preserve"> PAGE   \* MERGEFORMAT </w:instrText>
        </w:r>
        <w:r>
          <w:fldChar w:fldCharType="separate"/>
        </w:r>
        <w:r w:rsidR="002A422B">
          <w:rPr>
            <w:noProof/>
          </w:rPr>
          <w:t>10</w:t>
        </w:r>
        <w:r>
          <w:rPr>
            <w:noProof/>
          </w:rPr>
          <w:fldChar w:fldCharType="end"/>
        </w:r>
      </w:p>
    </w:sdtContent>
  </w:sdt>
  <w:p w14:paraId="701E75FD" w14:textId="77777777" w:rsidR="00573E1E" w:rsidRDefault="00573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9FC48" w14:textId="77777777" w:rsidR="009457D9" w:rsidRDefault="00945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5C7AE" w14:textId="77777777" w:rsidR="00FD573A" w:rsidRDefault="00FD573A" w:rsidP="00601A57">
      <w:pPr>
        <w:spacing w:after="0" w:line="240" w:lineRule="auto"/>
      </w:pPr>
      <w:r>
        <w:separator/>
      </w:r>
    </w:p>
  </w:footnote>
  <w:footnote w:type="continuationSeparator" w:id="0">
    <w:p w14:paraId="1283207B" w14:textId="77777777" w:rsidR="00FD573A" w:rsidRDefault="00FD573A" w:rsidP="00601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9F3F" w14:textId="7DCBE43F" w:rsidR="009457D9" w:rsidRDefault="009457D9">
    <w:pPr>
      <w:pStyle w:val="Header"/>
    </w:pPr>
    <w:r>
      <w:rPr>
        <w:noProof/>
      </w:rPr>
      <w:pict w14:anchorId="415BE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86688"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A131" w14:textId="4DE4D5CC" w:rsidR="009457D9" w:rsidRDefault="009457D9">
    <w:pPr>
      <w:pStyle w:val="Header"/>
    </w:pPr>
    <w:r>
      <w:rPr>
        <w:noProof/>
      </w:rPr>
      <w:pict w14:anchorId="20148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86689"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8DA6" w14:textId="1104082C" w:rsidR="009457D9" w:rsidRDefault="009457D9">
    <w:pPr>
      <w:pStyle w:val="Header"/>
    </w:pPr>
    <w:r>
      <w:rPr>
        <w:noProof/>
      </w:rPr>
      <w:pict w14:anchorId="05546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86687"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1" w15:restartNumberingAfterBreak="0">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2" w15:restartNumberingAfterBreak="0">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3" w15:restartNumberingAfterBreak="0">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6" w15:restartNumberingAfterBreak="0">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00000008"/>
    <w:multiLevelType w:val="hybridMultilevel"/>
    <w:tmpl w:val="D4FEAD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hybridMultilevel"/>
    <w:tmpl w:val="BE9283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D4FEAD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D4FEAD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F2566F48"/>
    <w:lvl w:ilvl="0" w:tplc="080AEBC8">
      <w:start w:val="1"/>
      <w:numFmt w:val="decimal"/>
      <w:lvlText w:val="%1."/>
      <w:lvlJc w:val="left"/>
      <w:pPr>
        <w:ind w:left="720" w:hanging="360"/>
      </w:pPr>
      <w:rPr>
        <w:rFonts w:eastAsia="SimSu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0000D"/>
    <w:multiLevelType w:val="singleLevel"/>
    <w:tmpl w:val="C310EC42"/>
    <w:lvl w:ilvl="0">
      <w:start w:val="1"/>
      <w:numFmt w:val="decimal"/>
      <w:lvlText w:val="%1."/>
      <w:lvlJc w:val="left"/>
      <w:pPr>
        <w:tabs>
          <w:tab w:val="left" w:pos="1800"/>
        </w:tabs>
        <w:ind w:left="1800" w:hanging="360"/>
      </w:pPr>
    </w:lvl>
  </w:abstractNum>
  <w:abstractNum w:abstractNumId="13" w15:restartNumberingAfterBreak="0">
    <w:nsid w:val="0000000E"/>
    <w:multiLevelType w:val="hybridMultilevel"/>
    <w:tmpl w:val="93F2225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44BA8"/>
    <w:multiLevelType w:val="singleLevel"/>
    <w:tmpl w:val="E4089024"/>
    <w:lvl w:ilvl="0">
      <w:start w:val="1"/>
      <w:numFmt w:val="decimal"/>
      <w:lvlText w:val="%1."/>
      <w:lvlJc w:val="left"/>
      <w:pPr>
        <w:tabs>
          <w:tab w:val="left" w:pos="1440"/>
        </w:tabs>
        <w:ind w:left="1440" w:hanging="360"/>
      </w:pPr>
    </w:lvl>
  </w:abstractNum>
  <w:abstractNum w:abstractNumId="15" w15:restartNumberingAfterBreak="0">
    <w:nsid w:val="5BCC6BBD"/>
    <w:multiLevelType w:val="hybridMultilevel"/>
    <w:tmpl w:val="A0D6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7"/>
  </w:num>
  <w:num w:numId="8">
    <w:abstractNumId w:val="2"/>
  </w:num>
  <w:num w:numId="9">
    <w:abstractNumId w:val="14"/>
  </w:num>
  <w:num w:numId="10">
    <w:abstractNumId w:val="12"/>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3A"/>
    <w:rsid w:val="00001334"/>
    <w:rsid w:val="00017E8C"/>
    <w:rsid w:val="00025E09"/>
    <w:rsid w:val="0003583A"/>
    <w:rsid w:val="00074124"/>
    <w:rsid w:val="00091712"/>
    <w:rsid w:val="000B792E"/>
    <w:rsid w:val="000C3135"/>
    <w:rsid w:val="001763B2"/>
    <w:rsid w:val="00183321"/>
    <w:rsid w:val="001B00DC"/>
    <w:rsid w:val="00202199"/>
    <w:rsid w:val="00203C9D"/>
    <w:rsid w:val="002A20C3"/>
    <w:rsid w:val="002A422B"/>
    <w:rsid w:val="002B1299"/>
    <w:rsid w:val="002C3D33"/>
    <w:rsid w:val="002D0B0E"/>
    <w:rsid w:val="002E5ADD"/>
    <w:rsid w:val="00331884"/>
    <w:rsid w:val="00337121"/>
    <w:rsid w:val="003B0591"/>
    <w:rsid w:val="003B3782"/>
    <w:rsid w:val="003C10FB"/>
    <w:rsid w:val="0047473C"/>
    <w:rsid w:val="004863C4"/>
    <w:rsid w:val="004D1271"/>
    <w:rsid w:val="00520FAC"/>
    <w:rsid w:val="00532441"/>
    <w:rsid w:val="00573E1E"/>
    <w:rsid w:val="005E321E"/>
    <w:rsid w:val="00601A57"/>
    <w:rsid w:val="0061653E"/>
    <w:rsid w:val="006364A7"/>
    <w:rsid w:val="006B0A1D"/>
    <w:rsid w:val="006B390D"/>
    <w:rsid w:val="00724DD4"/>
    <w:rsid w:val="0074784F"/>
    <w:rsid w:val="007A6203"/>
    <w:rsid w:val="007D437B"/>
    <w:rsid w:val="007E0201"/>
    <w:rsid w:val="008E053B"/>
    <w:rsid w:val="00917968"/>
    <w:rsid w:val="009328EA"/>
    <w:rsid w:val="009457D9"/>
    <w:rsid w:val="009C4758"/>
    <w:rsid w:val="009D0D86"/>
    <w:rsid w:val="009F38E9"/>
    <w:rsid w:val="009F758D"/>
    <w:rsid w:val="00AB4002"/>
    <w:rsid w:val="00AD5786"/>
    <w:rsid w:val="00B1434F"/>
    <w:rsid w:val="00B91022"/>
    <w:rsid w:val="00C329ED"/>
    <w:rsid w:val="00C81997"/>
    <w:rsid w:val="00C83711"/>
    <w:rsid w:val="00C9444C"/>
    <w:rsid w:val="00DC180B"/>
    <w:rsid w:val="00E24A80"/>
    <w:rsid w:val="00F21680"/>
    <w:rsid w:val="00F940F5"/>
    <w:rsid w:val="00FD441B"/>
    <w:rsid w:val="00FD573A"/>
    <w:rsid w:val="00FE2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6F7F1ED"/>
  <w15:docId w15:val="{A601A4A7-044C-42DF-B2FC-7B9F57B2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017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7/s10943-018-0674-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36/bmjgh-2018-0009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B978-012348776-6/50018-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publication/267362543_Attitudes_and_Percep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978-017-0305-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DA7AC-E846-4A77-B873-EF60FBB9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6011</Words>
  <Characters>34267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9</cp:revision>
  <dcterms:created xsi:type="dcterms:W3CDTF">2025-12-31T16:32:00Z</dcterms:created>
  <dcterms:modified xsi:type="dcterms:W3CDTF">2026-01-09T08:30:00Z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38c94e9cfeb14d75a85af582136a0e01</vt:lpwstr>
  </property>
</Properties>
</file>