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F666" w14:textId="77777777" w:rsidR="0062302F" w:rsidRPr="00711C17" w:rsidRDefault="0062302F" w:rsidP="00711C17">
      <w:pPr>
        <w:spacing w:after="120" w:line="360" w:lineRule="auto"/>
        <w:ind w:left="10" w:hanging="10"/>
        <w:jc w:val="center"/>
        <w:rPr>
          <w:rFonts w:ascii="Arial" w:eastAsia="Times New Roman" w:hAnsi="Arial" w:cs="Arial"/>
          <w:b/>
          <w:bCs/>
          <w:iCs/>
          <w:kern w:val="28"/>
          <w:sz w:val="36"/>
          <w:szCs w:val="20"/>
          <w:lang w:val="fr"/>
          <w14:ligatures w14:val="none"/>
        </w:rPr>
      </w:pPr>
      <w:r w:rsidRPr="00711C17">
        <w:rPr>
          <w:rFonts w:ascii="Arial" w:eastAsia="Times New Roman" w:hAnsi="Arial" w:cs="Arial"/>
          <w:b/>
          <w:bCs/>
          <w:iCs/>
          <w:kern w:val="28"/>
          <w:sz w:val="36"/>
          <w:szCs w:val="20"/>
          <w:lang w:val="fr"/>
          <w14:ligatures w14:val="none"/>
        </w:rPr>
        <w:t>ORIGINAL RESEARCH ARTICLE</w:t>
      </w:r>
    </w:p>
    <w:p w14:paraId="612B7B2B" w14:textId="77777777" w:rsidR="0062302F" w:rsidRDefault="0062302F" w:rsidP="004D1045">
      <w:pPr>
        <w:spacing w:line="480" w:lineRule="auto"/>
        <w:jc w:val="both"/>
        <w:rPr>
          <w:rFonts w:ascii="Times New Roman" w:hAnsi="Times New Roman" w:cs="Times New Roman"/>
          <w:b/>
          <w:bCs/>
        </w:rPr>
      </w:pPr>
    </w:p>
    <w:p w14:paraId="31C471E9" w14:textId="4B8C51D0" w:rsidR="0062302F" w:rsidRPr="00373799" w:rsidRDefault="0062302F" w:rsidP="00373799">
      <w:pPr>
        <w:spacing w:after="120" w:line="364" w:lineRule="auto"/>
        <w:ind w:left="10" w:hanging="10"/>
        <w:rPr>
          <w:rFonts w:ascii="Arial" w:eastAsia="Times New Roman" w:hAnsi="Arial" w:cs="Arial"/>
          <w:b/>
          <w:bCs/>
          <w:iCs/>
          <w:kern w:val="28"/>
          <w:sz w:val="36"/>
          <w:szCs w:val="20"/>
          <w:lang w:val="fr"/>
          <w14:ligatures w14:val="none"/>
        </w:rPr>
      </w:pPr>
      <w:r w:rsidRPr="00373799">
        <w:rPr>
          <w:rFonts w:ascii="Arial" w:eastAsia="Times New Roman" w:hAnsi="Arial" w:cs="Arial"/>
          <w:b/>
          <w:bCs/>
          <w:iCs/>
          <w:kern w:val="28"/>
          <w:sz w:val="36"/>
          <w:szCs w:val="20"/>
          <w:lang w:val="fr"/>
          <w14:ligatures w14:val="none"/>
        </w:rPr>
        <w:t>ANTIBIOTIC THERAPY DURING INFLUENZA-LIKE ILLNESSES IN CONAKRY (GUINEA)</w:t>
      </w:r>
    </w:p>
    <w:p w14:paraId="5BA9685D" w14:textId="77777777" w:rsidR="00447640" w:rsidRDefault="00447640" w:rsidP="00D16E5B">
      <w:pPr>
        <w:spacing w:after="0" w:line="240" w:lineRule="auto"/>
        <w:ind w:left="10" w:hanging="10"/>
        <w:jc w:val="both"/>
        <w:rPr>
          <w:rFonts w:ascii="Arial" w:eastAsia="Times New Roman" w:hAnsi="Arial" w:cs="Arial"/>
          <w:b/>
          <w:caps/>
          <w:kern w:val="0"/>
          <w:sz w:val="22"/>
          <w:szCs w:val="20"/>
          <w:lang w:val="fr"/>
          <w14:ligatures w14:val="none"/>
        </w:rPr>
      </w:pPr>
    </w:p>
    <w:p w14:paraId="6786BFF6" w14:textId="5C664D1E" w:rsidR="00C87868" w:rsidRPr="00D16E5B" w:rsidRDefault="0062302F" w:rsidP="00D16E5B">
      <w:pPr>
        <w:spacing w:after="0" w:line="240" w:lineRule="auto"/>
        <w:ind w:left="10" w:hanging="10"/>
        <w:jc w:val="both"/>
        <w:rPr>
          <w:rFonts w:ascii="Arial" w:eastAsia="Times New Roman" w:hAnsi="Arial" w:cs="Arial"/>
          <w:b/>
          <w:caps/>
          <w:kern w:val="0"/>
          <w:sz w:val="22"/>
          <w:szCs w:val="20"/>
          <w:lang w:val="fr"/>
          <w14:ligatures w14:val="none"/>
        </w:rPr>
      </w:pPr>
      <w:r w:rsidRPr="00D16E5B">
        <w:rPr>
          <w:rFonts w:ascii="Arial" w:eastAsia="Times New Roman" w:hAnsi="Arial" w:cs="Arial"/>
          <w:b/>
          <w:caps/>
          <w:kern w:val="0"/>
          <w:sz w:val="22"/>
          <w:szCs w:val="20"/>
          <w:lang w:val="fr"/>
          <w14:ligatures w14:val="none"/>
        </w:rPr>
        <w:t>ABSTRACT</w:t>
      </w:r>
    </w:p>
    <w:p w14:paraId="5B9B1595" w14:textId="484DB0DC" w:rsidR="0062302F" w:rsidRPr="00C87868" w:rsidRDefault="0062302F" w:rsidP="003110A1">
      <w:pPr>
        <w:spacing w:line="240" w:lineRule="auto"/>
        <w:jc w:val="both"/>
        <w:rPr>
          <w:rFonts w:ascii="Times New Roman" w:hAnsi="Times New Roman" w:cs="Times New Roman"/>
          <w:b/>
          <w:bCs/>
        </w:rPr>
      </w:pPr>
      <w:proofErr w:type="gramStart"/>
      <w:r w:rsidRPr="0088625C">
        <w:rPr>
          <w:rFonts w:ascii="Arial" w:eastAsia="Calibri" w:hAnsi="Arial" w:cs="Arial"/>
          <w:b/>
          <w:kern w:val="0"/>
          <w:sz w:val="20"/>
          <w:szCs w:val="20"/>
          <w:lang w:val="fr"/>
          <w14:ligatures w14:val="none"/>
        </w:rPr>
        <w:t>Introduction:</w:t>
      </w:r>
      <w:proofErr w:type="gramEnd"/>
      <w:r w:rsidRPr="0088625C">
        <w:rPr>
          <w:rFonts w:ascii="Arial" w:eastAsia="Calibri" w:hAnsi="Arial" w:cs="Arial"/>
          <w:b/>
          <w:kern w:val="0"/>
          <w:sz w:val="20"/>
          <w:szCs w:val="20"/>
          <w:lang w:val="fr"/>
          <w14:ligatures w14:val="none"/>
        </w:rPr>
        <w:t xml:space="preserve"> </w:t>
      </w:r>
      <w:r w:rsidRPr="003110A1">
        <w:rPr>
          <w:rFonts w:ascii="Arial" w:eastAsia="Calibri" w:hAnsi="Arial" w:cs="Arial"/>
          <w:color w:val="000000"/>
          <w:kern w:val="0"/>
          <w:sz w:val="20"/>
          <w:szCs w:val="20"/>
          <w:lang w:val="fr-FR" w:eastAsia="fr-FR"/>
          <w14:ligatures w14:val="none"/>
        </w:rPr>
        <w:t>Despite the viral etiology of influenza, antibiotics are most often inappropriately prescribed. The objective of this study was to determine the frequency of antibiotic prescription during influenza-like illnesses</w:t>
      </w:r>
      <w:r w:rsidRPr="0062302F">
        <w:rPr>
          <w:rFonts w:ascii="Times New Roman" w:hAnsi="Times New Roman" w:cs="Times New Roman"/>
        </w:rPr>
        <w:t>.</w:t>
      </w:r>
    </w:p>
    <w:p w14:paraId="4880F405" w14:textId="77777777" w:rsidR="0062302F" w:rsidRPr="003110A1" w:rsidRDefault="0062302F" w:rsidP="003110A1">
      <w:pPr>
        <w:spacing w:line="240" w:lineRule="auto"/>
        <w:jc w:val="both"/>
        <w:rPr>
          <w:rFonts w:ascii="Arial" w:eastAsia="Calibri" w:hAnsi="Arial" w:cs="Arial"/>
          <w:color w:val="000000"/>
          <w:kern w:val="0"/>
          <w:sz w:val="20"/>
          <w:szCs w:val="20"/>
          <w:lang w:val="fr-FR" w:eastAsia="fr-FR"/>
          <w14:ligatures w14:val="none"/>
        </w:rPr>
      </w:pPr>
      <w:r w:rsidRPr="003110A1">
        <w:rPr>
          <w:rFonts w:ascii="Arial" w:eastAsia="Calibri" w:hAnsi="Arial" w:cs="Arial"/>
          <w:b/>
          <w:kern w:val="0"/>
          <w:sz w:val="20"/>
          <w:szCs w:val="20"/>
          <w:lang w:val="fr"/>
          <w14:ligatures w14:val="none"/>
        </w:rPr>
        <w:t xml:space="preserve">Materials and </w:t>
      </w:r>
      <w:proofErr w:type="gramStart"/>
      <w:r w:rsidRPr="003110A1">
        <w:rPr>
          <w:rFonts w:ascii="Arial" w:eastAsia="Calibri" w:hAnsi="Arial" w:cs="Arial"/>
          <w:b/>
          <w:kern w:val="0"/>
          <w:sz w:val="20"/>
          <w:szCs w:val="20"/>
          <w:lang w:val="fr"/>
          <w14:ligatures w14:val="none"/>
        </w:rPr>
        <w:t>Methods:</w:t>
      </w:r>
      <w:proofErr w:type="gramEnd"/>
      <w:r w:rsidRPr="0062302F">
        <w:rPr>
          <w:rFonts w:ascii="Times New Roman" w:hAnsi="Times New Roman" w:cs="Times New Roman"/>
        </w:rPr>
        <w:t xml:space="preserve"> </w:t>
      </w:r>
      <w:r w:rsidRPr="003110A1">
        <w:rPr>
          <w:rFonts w:ascii="Arial" w:eastAsia="Calibri" w:hAnsi="Arial" w:cs="Arial"/>
          <w:color w:val="000000"/>
          <w:kern w:val="0"/>
          <w:sz w:val="20"/>
          <w:szCs w:val="20"/>
          <w:lang w:val="fr-FR" w:eastAsia="fr-FR"/>
          <w14:ligatures w14:val="none"/>
        </w:rPr>
        <w:t>We conducted a prospective descriptive study over a six-month period at the influenza sentinel surveillance site of Gbéssia Port I in Conakry. Patients presenting with influenza-like illness were included. Epidemiological, clinical, and therapeutic data were collected.</w:t>
      </w:r>
    </w:p>
    <w:p w14:paraId="22CE1515" w14:textId="77777777" w:rsidR="0062302F" w:rsidRPr="003110A1" w:rsidRDefault="0062302F" w:rsidP="003110A1">
      <w:pPr>
        <w:spacing w:line="240" w:lineRule="auto"/>
        <w:jc w:val="both"/>
        <w:rPr>
          <w:rFonts w:ascii="Arial" w:eastAsia="Calibri" w:hAnsi="Arial" w:cs="Arial"/>
          <w:color w:val="000000"/>
          <w:kern w:val="0"/>
          <w:sz w:val="20"/>
          <w:szCs w:val="20"/>
          <w:lang w:val="fr-FR" w:eastAsia="fr-FR"/>
          <w14:ligatures w14:val="none"/>
        </w:rPr>
      </w:pPr>
      <w:proofErr w:type="gramStart"/>
      <w:r w:rsidRPr="003110A1">
        <w:rPr>
          <w:rFonts w:ascii="Arial" w:eastAsia="Calibri" w:hAnsi="Arial" w:cs="Arial"/>
          <w:b/>
          <w:kern w:val="0"/>
          <w:sz w:val="20"/>
          <w:szCs w:val="20"/>
          <w:lang w:val="fr"/>
          <w14:ligatures w14:val="none"/>
        </w:rPr>
        <w:t>Results</w:t>
      </w:r>
      <w:r w:rsidRPr="004D1045">
        <w:rPr>
          <w:rFonts w:ascii="Times New Roman" w:hAnsi="Times New Roman" w:cs="Times New Roman"/>
          <w:b/>
          <w:bCs/>
        </w:rPr>
        <w:t>:</w:t>
      </w:r>
      <w:proofErr w:type="gramEnd"/>
      <w:r w:rsidRPr="0062302F">
        <w:rPr>
          <w:rFonts w:ascii="Times New Roman" w:hAnsi="Times New Roman" w:cs="Times New Roman"/>
        </w:rPr>
        <w:t xml:space="preserve"> </w:t>
      </w:r>
      <w:r w:rsidRPr="003110A1">
        <w:rPr>
          <w:rFonts w:ascii="Arial" w:eastAsia="Calibri" w:hAnsi="Arial" w:cs="Arial"/>
          <w:color w:val="000000"/>
          <w:kern w:val="0"/>
          <w:sz w:val="20"/>
          <w:szCs w:val="20"/>
          <w:lang w:val="fr-FR" w:eastAsia="fr-FR"/>
          <w14:ligatures w14:val="none"/>
        </w:rPr>
        <w:t>During the study period, a total of 1,823 consultations were conducted at the health facility, among which 368 cases of influenza-like illness were diagnosed. The mean age was 14.10 ± 16.20 years. A female predominance was observed (52.72%), and 60.60% of patients were not attending school. No patient had been vaccinated against influenza. Prior self-medication with antibiotics was reported in 21.20% of cases. Clinically, the main symptoms were cough (96.20%), fever (92.66%), and rhinorrhea (81.79%). Influenza RT-PCR was positive for H3N2 in three cases. Antibiotic therapy was prescribed in 92.11% of patients at the end of the consultation. Cotrimoxazole was the most frequently prescribed antibiotic (69.02%), followed by amoxicillin (30.38%).</w:t>
      </w:r>
    </w:p>
    <w:p w14:paraId="7154CD14" w14:textId="77777777" w:rsidR="0062302F" w:rsidRPr="00286E3C" w:rsidRDefault="0062302F" w:rsidP="00286E3C">
      <w:pPr>
        <w:spacing w:line="240" w:lineRule="auto"/>
        <w:jc w:val="both"/>
        <w:rPr>
          <w:rFonts w:ascii="Arial" w:eastAsia="Calibri" w:hAnsi="Arial" w:cs="Arial"/>
          <w:color w:val="000000"/>
          <w:kern w:val="0"/>
          <w:sz w:val="20"/>
          <w:szCs w:val="20"/>
          <w:lang w:val="fr-FR" w:eastAsia="fr-FR"/>
          <w14:ligatures w14:val="none"/>
        </w:rPr>
      </w:pPr>
      <w:proofErr w:type="gramStart"/>
      <w:r w:rsidRPr="00286E3C">
        <w:rPr>
          <w:rFonts w:ascii="Arial" w:eastAsia="Calibri" w:hAnsi="Arial" w:cs="Arial"/>
          <w:b/>
          <w:kern w:val="0"/>
          <w:sz w:val="20"/>
          <w:szCs w:val="20"/>
          <w:lang w:val="fr"/>
          <w14:ligatures w14:val="none"/>
        </w:rPr>
        <w:t>Conclusion</w:t>
      </w:r>
      <w:r w:rsidRPr="00286E3C">
        <w:rPr>
          <w:rFonts w:ascii="Arial" w:eastAsia="Calibri" w:hAnsi="Arial" w:cs="Arial"/>
          <w:color w:val="000000"/>
          <w:kern w:val="0"/>
          <w:sz w:val="20"/>
          <w:szCs w:val="20"/>
          <w:lang w:val="fr-FR" w:eastAsia="fr-FR"/>
          <w14:ligatures w14:val="none"/>
        </w:rPr>
        <w:t>:</w:t>
      </w:r>
      <w:proofErr w:type="gramEnd"/>
      <w:r w:rsidRPr="00286E3C">
        <w:rPr>
          <w:rFonts w:ascii="Arial" w:eastAsia="Calibri" w:hAnsi="Arial" w:cs="Arial"/>
          <w:color w:val="000000"/>
          <w:kern w:val="0"/>
          <w:sz w:val="20"/>
          <w:szCs w:val="20"/>
          <w:lang w:val="fr-FR" w:eastAsia="fr-FR"/>
          <w14:ligatures w14:val="none"/>
        </w:rPr>
        <w:t xml:space="preserve"> Information dissemination and continuous training of healthcare workers on the viral etiology of influenza are necessary to improve case management and promote rational antibiotic use.</w:t>
      </w:r>
    </w:p>
    <w:p w14:paraId="56580C23" w14:textId="77777777" w:rsidR="0062302F" w:rsidRDefault="0062302F" w:rsidP="004D1045">
      <w:pPr>
        <w:spacing w:line="480" w:lineRule="auto"/>
        <w:jc w:val="both"/>
        <w:rPr>
          <w:rFonts w:ascii="Times New Roman" w:hAnsi="Times New Roman" w:cs="Times New Roman"/>
        </w:rPr>
      </w:pPr>
      <w:proofErr w:type="gramStart"/>
      <w:r w:rsidRPr="00286E3C">
        <w:rPr>
          <w:rFonts w:ascii="Arial" w:eastAsia="Calibri" w:hAnsi="Arial" w:cs="Arial"/>
          <w:b/>
          <w:kern w:val="0"/>
          <w:sz w:val="20"/>
          <w:szCs w:val="20"/>
          <w:lang w:val="fr"/>
          <w14:ligatures w14:val="none"/>
        </w:rPr>
        <w:t>Keywords:</w:t>
      </w:r>
      <w:proofErr w:type="gramEnd"/>
      <w:r w:rsidRPr="0062302F">
        <w:rPr>
          <w:rFonts w:ascii="Times New Roman" w:hAnsi="Times New Roman" w:cs="Times New Roman"/>
        </w:rPr>
        <w:t xml:space="preserve"> </w:t>
      </w:r>
      <w:r w:rsidRPr="00286E3C">
        <w:rPr>
          <w:rFonts w:ascii="Arial" w:eastAsia="Calibri" w:hAnsi="Arial" w:cs="Arial"/>
          <w:color w:val="000000"/>
          <w:kern w:val="0"/>
          <w:sz w:val="20"/>
          <w:szCs w:val="20"/>
          <w:lang w:val="fr-FR" w:eastAsia="fr-FR"/>
          <w14:ligatures w14:val="none"/>
        </w:rPr>
        <w:t>Influenza-like illness, Antibiotics, Prescription, Conakry</w:t>
      </w:r>
      <w:r w:rsidRPr="0062302F">
        <w:rPr>
          <w:rFonts w:ascii="Times New Roman" w:hAnsi="Times New Roman" w:cs="Times New Roman"/>
        </w:rPr>
        <w:t>.</w:t>
      </w:r>
    </w:p>
    <w:p w14:paraId="7A49AB9A" w14:textId="77777777" w:rsidR="00CD50D2" w:rsidRDefault="00CD50D2" w:rsidP="004D1045">
      <w:pPr>
        <w:spacing w:line="480" w:lineRule="auto"/>
        <w:jc w:val="both"/>
        <w:rPr>
          <w:rFonts w:ascii="Times New Roman" w:hAnsi="Times New Roman" w:cs="Times New Roman"/>
        </w:rPr>
      </w:pPr>
    </w:p>
    <w:p w14:paraId="4FF99695" w14:textId="77777777" w:rsidR="00CD50D2" w:rsidRDefault="00CD50D2" w:rsidP="004D1045">
      <w:pPr>
        <w:spacing w:line="480" w:lineRule="auto"/>
        <w:jc w:val="both"/>
        <w:rPr>
          <w:rFonts w:ascii="Times New Roman" w:hAnsi="Times New Roman" w:cs="Times New Roman"/>
        </w:rPr>
      </w:pPr>
    </w:p>
    <w:p w14:paraId="26A72E6D" w14:textId="77777777" w:rsidR="00CD50D2" w:rsidRDefault="00CD50D2" w:rsidP="004D1045">
      <w:pPr>
        <w:spacing w:line="480" w:lineRule="auto"/>
        <w:jc w:val="both"/>
        <w:rPr>
          <w:rFonts w:ascii="Times New Roman" w:hAnsi="Times New Roman" w:cs="Times New Roman"/>
        </w:rPr>
      </w:pPr>
    </w:p>
    <w:p w14:paraId="5DFCB89F" w14:textId="77777777" w:rsidR="00CD50D2" w:rsidRDefault="00CD50D2" w:rsidP="004D1045">
      <w:pPr>
        <w:spacing w:line="480" w:lineRule="auto"/>
        <w:jc w:val="both"/>
        <w:rPr>
          <w:rFonts w:ascii="Times New Roman" w:hAnsi="Times New Roman" w:cs="Times New Roman"/>
        </w:rPr>
      </w:pPr>
    </w:p>
    <w:p w14:paraId="13C78FD3" w14:textId="77777777" w:rsidR="00CD50D2" w:rsidRDefault="00CD50D2" w:rsidP="004D1045">
      <w:pPr>
        <w:spacing w:line="480" w:lineRule="auto"/>
        <w:jc w:val="both"/>
        <w:rPr>
          <w:rFonts w:ascii="Times New Roman" w:hAnsi="Times New Roman" w:cs="Times New Roman"/>
        </w:rPr>
      </w:pPr>
    </w:p>
    <w:p w14:paraId="1A3B2471" w14:textId="77777777" w:rsidR="00CD50D2" w:rsidRDefault="00CD50D2" w:rsidP="004D1045">
      <w:pPr>
        <w:spacing w:line="480" w:lineRule="auto"/>
        <w:jc w:val="both"/>
        <w:rPr>
          <w:rFonts w:ascii="Times New Roman" w:hAnsi="Times New Roman" w:cs="Times New Roman"/>
        </w:rPr>
      </w:pPr>
    </w:p>
    <w:p w14:paraId="6289C301" w14:textId="11E43E7E" w:rsidR="0062302F" w:rsidRPr="00986354" w:rsidRDefault="004D1045" w:rsidP="00986354">
      <w:pPr>
        <w:spacing w:after="120" w:line="364" w:lineRule="auto"/>
        <w:ind w:left="10" w:hanging="10"/>
        <w:rPr>
          <w:rFonts w:eastAsia="Calibri" w:cstheme="minorHAnsi"/>
          <w:b/>
          <w:color w:val="000000"/>
          <w:kern w:val="0"/>
          <w:lang w:val="fr-FR" w:eastAsia="fr-FR"/>
          <w14:ligatures w14:val="none"/>
        </w:rPr>
      </w:pPr>
      <w:bookmarkStart w:id="0" w:name="_GoBack"/>
      <w:bookmarkEnd w:id="0"/>
      <w:r w:rsidRPr="00986354">
        <w:rPr>
          <w:rFonts w:eastAsia="Calibri" w:cstheme="minorHAnsi"/>
          <w:b/>
          <w:color w:val="000000"/>
          <w:kern w:val="0"/>
          <w:lang w:val="fr-FR" w:eastAsia="fr-FR"/>
          <w14:ligatures w14:val="none"/>
        </w:rPr>
        <w:lastRenderedPageBreak/>
        <w:t xml:space="preserve">1- </w:t>
      </w:r>
      <w:r w:rsidR="0062302F" w:rsidRPr="00986354">
        <w:rPr>
          <w:rFonts w:eastAsia="Calibri" w:cstheme="minorHAnsi"/>
          <w:b/>
          <w:color w:val="000000"/>
          <w:kern w:val="0"/>
          <w:lang w:val="fr-FR" w:eastAsia="fr-FR"/>
          <w14:ligatures w14:val="none"/>
        </w:rPr>
        <w:t>INTRODUCTION</w:t>
      </w:r>
    </w:p>
    <w:p w14:paraId="6DFA0B88"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 xml:space="preserve">Influenza is an acute viral infection of the respiratory tract that is highly contagious and characterized by fever, headache, myalgia, sore throat, and cough. It is caused by influenza viruses, which are classified into three </w:t>
      </w:r>
      <w:proofErr w:type="gramStart"/>
      <w:r w:rsidRPr="0014738D">
        <w:rPr>
          <w:rFonts w:ascii="Arial" w:eastAsia="Calibri" w:hAnsi="Arial" w:cs="Arial"/>
          <w:color w:val="000000"/>
          <w:kern w:val="0"/>
          <w:sz w:val="20"/>
          <w:szCs w:val="20"/>
          <w:lang w:val="fr-FR" w:eastAsia="fr-FR"/>
          <w14:ligatures w14:val="none"/>
        </w:rPr>
        <w:t>types:</w:t>
      </w:r>
      <w:proofErr w:type="gramEnd"/>
      <w:r w:rsidRPr="0014738D">
        <w:rPr>
          <w:rFonts w:ascii="Arial" w:eastAsia="Calibri" w:hAnsi="Arial" w:cs="Arial"/>
          <w:color w:val="000000"/>
          <w:kern w:val="0"/>
          <w:sz w:val="20"/>
          <w:szCs w:val="20"/>
          <w:lang w:val="fr-FR" w:eastAsia="fr-FR"/>
          <w14:ligatures w14:val="none"/>
        </w:rPr>
        <w:t xml:space="preserve"> A, B, and C [1,2]. Often trivialized as a mild upper respiratory infection, seasonal influenza is nevertheless responsible for approximately 3 to 5 million cases of severe illness and 290,000 to 650,000 deaths annually worldwide [3,4]. Children, older adults, pregnant women, and individuals with chronic diseases or immunosuppression are at the highest risk of morbidity and mortality related to influenza-like illness [5,6].</w:t>
      </w:r>
    </w:p>
    <w:p w14:paraId="131932A0"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Due to the constant genetic mutations of influenza viruses, vaccine effectiveness depends on continuous global surveillance of circulating strains [7]. Until recently, little was known about the epidemiology of influenza in sub-Saharan Africa [8]. Since 2006, several West African countries have established influenza surveillance systems. Although the number of sentinel sites and collected samples varies considerably between countries, all have demonstrated the capacity to establish and maintain sentinel surveillance or respond to periodic outbreaks of severe respiratory diseases [9].</w:t>
      </w:r>
    </w:p>
    <w:p w14:paraId="527A823A"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overuse and misuse of antibiotics are major drivers of the emergence and spread of antibiotic resistance [10–12], with serious public health consequences [13]. One of the most concerning aspects of antibiotic use in this context is their continued prescription for viral respiratory infections [14,15], despite recommendations and evidence showing that they neither shorten the duration of acute illness nor prevent secondary bacterial infections [16,17]. Reducing inappropriate antibiotic use is therefore essential to decrease antibiotic resistance and adverse drug effects. However, the proportion of inappropriate antibiotic use that is preventable remains unknown [18].</w:t>
      </w:r>
    </w:p>
    <w:p w14:paraId="55306142"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In Guinea, to characterize the circulation of influenza viruses, the first two sentinel surveillance sites were established by the National Institute of Public Health (NIPH) in 2018. The network was later expanded to ten sites, including surveillance of severe acute respiratory infections. This surveillance is part of pandemic influenza preparedness.</w:t>
      </w:r>
    </w:p>
    <w:p w14:paraId="4C6F1197"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objective of this study was to determine the frequency of antibiotic prescription during influenza-like illnesses.</w:t>
      </w:r>
    </w:p>
    <w:p w14:paraId="6AF11FF7" w14:textId="13EA2409" w:rsidR="0062302F" w:rsidRPr="00847469" w:rsidRDefault="004D1045" w:rsidP="00847469">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847469">
        <w:rPr>
          <w:rFonts w:ascii="Arial" w:eastAsia="Calibri" w:hAnsi="Arial" w:cs="Arial"/>
          <w:b/>
          <w:bCs/>
          <w:color w:val="000000"/>
          <w:kern w:val="0"/>
          <w:sz w:val="22"/>
          <w:szCs w:val="22"/>
          <w:lang w:val="fr-FR" w:eastAsia="fr-FR"/>
          <w14:ligatures w14:val="none"/>
        </w:rPr>
        <w:t xml:space="preserve">2- </w:t>
      </w:r>
      <w:r w:rsidR="0062302F" w:rsidRPr="00847469">
        <w:rPr>
          <w:rFonts w:ascii="Arial" w:eastAsia="Calibri" w:hAnsi="Arial" w:cs="Arial"/>
          <w:b/>
          <w:bCs/>
          <w:color w:val="000000"/>
          <w:kern w:val="0"/>
          <w:sz w:val="22"/>
          <w:szCs w:val="22"/>
          <w:lang w:val="fr-FR" w:eastAsia="fr-FR"/>
          <w14:ligatures w14:val="none"/>
        </w:rPr>
        <w:t>MATERIALS AND METHODS</w:t>
      </w:r>
    </w:p>
    <w:p w14:paraId="3F643EC4" w14:textId="063ACBF6" w:rsidR="0062302F" w:rsidRPr="00582DBC" w:rsidRDefault="004D1045" w:rsidP="00582DBC">
      <w:pPr>
        <w:spacing w:after="0" w:line="240" w:lineRule="auto"/>
        <w:ind w:left="10" w:hanging="10"/>
        <w:jc w:val="both"/>
        <w:rPr>
          <w:rFonts w:ascii="Arial" w:eastAsia="Calibri" w:hAnsi="Arial" w:cs="Arial"/>
          <w:b/>
          <w:bCs/>
          <w:color w:val="000000"/>
          <w:kern w:val="0"/>
          <w:sz w:val="22"/>
          <w:szCs w:val="22"/>
          <w:lang w:val="fr-FR" w:eastAsia="fr-FR"/>
          <w14:ligatures w14:val="none"/>
        </w:rPr>
      </w:pPr>
      <w:bookmarkStart w:id="1" w:name="_Hlk217976845"/>
      <w:r w:rsidRPr="00582DBC">
        <w:rPr>
          <w:rFonts w:ascii="Arial" w:eastAsia="Calibri" w:hAnsi="Arial" w:cs="Arial"/>
          <w:b/>
          <w:bCs/>
          <w:color w:val="000000"/>
          <w:kern w:val="0"/>
          <w:sz w:val="22"/>
          <w:szCs w:val="22"/>
          <w:lang w:val="fr-FR" w:eastAsia="fr-FR"/>
          <w14:ligatures w14:val="none"/>
        </w:rPr>
        <w:t xml:space="preserve">2-1 </w:t>
      </w:r>
      <w:bookmarkEnd w:id="1"/>
      <w:r w:rsidR="0062302F" w:rsidRPr="00582DBC">
        <w:rPr>
          <w:rFonts w:ascii="Arial" w:eastAsia="Calibri" w:hAnsi="Arial" w:cs="Arial"/>
          <w:b/>
          <w:bCs/>
          <w:color w:val="000000"/>
          <w:kern w:val="0"/>
          <w:sz w:val="22"/>
          <w:szCs w:val="22"/>
          <w:lang w:val="fr-FR" w:eastAsia="fr-FR"/>
          <w14:ligatures w14:val="none"/>
        </w:rPr>
        <w:t>Study population and site</w:t>
      </w:r>
    </w:p>
    <w:p w14:paraId="474A5B2F"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study included patients presenting with influenza-like illness at the influenza syndromic sentinel surveillance site of the Gbéssia Port I health center, located in Conakry, Guinea. This health center serves a population of 302,939 inhabitants over an area of 7.5 km², with a population density of 40,391 inhabitants per km². It conducts approximately 14,018 consultations annually and corresponds to level two of the national healthcare pyramid.</w:t>
      </w:r>
    </w:p>
    <w:p w14:paraId="2B394E01"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Influenza cases were diagnosed among patients presenting with influenza-like illness, defined as fever ≥38 °C associated with cough and/or sore throat, with onset within the previous 10 days, in children or adults.</w:t>
      </w:r>
    </w:p>
    <w:p w14:paraId="4D61DA90" w14:textId="6D70F093" w:rsidR="0062302F" w:rsidRPr="00582DBC" w:rsidRDefault="00164DC0" w:rsidP="0014738D">
      <w:pPr>
        <w:spacing w:after="0" w:line="240" w:lineRule="auto"/>
        <w:ind w:left="10" w:hanging="10"/>
        <w:jc w:val="both"/>
        <w:rPr>
          <w:rFonts w:ascii="Arial" w:eastAsia="Calibri" w:hAnsi="Arial" w:cs="Arial"/>
          <w:b/>
          <w:bCs/>
          <w:color w:val="000000"/>
          <w:kern w:val="0"/>
          <w:sz w:val="22"/>
          <w:szCs w:val="22"/>
          <w:lang w:val="fr-FR" w:eastAsia="fr-FR"/>
          <w14:ligatures w14:val="none"/>
        </w:rPr>
      </w:pPr>
      <w:r w:rsidRPr="00582DBC">
        <w:rPr>
          <w:rFonts w:ascii="Arial" w:eastAsia="Calibri" w:hAnsi="Arial" w:cs="Arial"/>
          <w:b/>
          <w:bCs/>
          <w:color w:val="000000"/>
          <w:kern w:val="0"/>
          <w:sz w:val="22"/>
          <w:szCs w:val="22"/>
          <w:lang w:val="fr-FR" w:eastAsia="fr-FR"/>
          <w14:ligatures w14:val="none"/>
        </w:rPr>
        <w:t xml:space="preserve">2-2 </w:t>
      </w:r>
      <w:r w:rsidR="0062302F" w:rsidRPr="00582DBC">
        <w:rPr>
          <w:rFonts w:ascii="Arial" w:eastAsia="Calibri" w:hAnsi="Arial" w:cs="Arial"/>
          <w:b/>
          <w:bCs/>
          <w:color w:val="000000"/>
          <w:kern w:val="0"/>
          <w:sz w:val="22"/>
          <w:szCs w:val="22"/>
          <w:lang w:val="fr-FR" w:eastAsia="fr-FR"/>
          <w14:ligatures w14:val="none"/>
        </w:rPr>
        <w:t>Data collection</w:t>
      </w:r>
    </w:p>
    <w:p w14:paraId="389D8A9E"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Data were collected prospectively from March 2 to August 31, 2020. Variables included age, sex, occupation, residence, educational level, consultation delay, mode of onset, marital status, medical history, vaccination status, clinical manifestations, treatment, and PCR results.</w:t>
      </w:r>
    </w:p>
    <w:p w14:paraId="0EDB9B27"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informal sector included patients engaged in income-generating activities without a fixed salary.</w:t>
      </w:r>
    </w:p>
    <w:p w14:paraId="260BB353" w14:textId="7BD54F62" w:rsidR="0062302F" w:rsidRPr="00582DBC" w:rsidRDefault="00164DC0" w:rsidP="0014738D">
      <w:pPr>
        <w:spacing w:after="0" w:line="240" w:lineRule="auto"/>
        <w:ind w:left="10" w:hanging="10"/>
        <w:jc w:val="both"/>
        <w:rPr>
          <w:rFonts w:ascii="Arial" w:eastAsia="Calibri" w:hAnsi="Arial" w:cs="Arial"/>
          <w:b/>
          <w:bCs/>
          <w:color w:val="000000"/>
          <w:kern w:val="0"/>
          <w:sz w:val="22"/>
          <w:szCs w:val="22"/>
          <w:lang w:val="fr-FR" w:eastAsia="fr-FR"/>
          <w14:ligatures w14:val="none"/>
        </w:rPr>
      </w:pPr>
      <w:r w:rsidRPr="00582DBC">
        <w:rPr>
          <w:rFonts w:ascii="Arial" w:eastAsia="Calibri" w:hAnsi="Arial" w:cs="Arial"/>
          <w:b/>
          <w:bCs/>
          <w:color w:val="000000"/>
          <w:kern w:val="0"/>
          <w:sz w:val="22"/>
          <w:szCs w:val="22"/>
          <w:lang w:val="fr-FR" w:eastAsia="fr-FR"/>
          <w14:ligatures w14:val="none"/>
        </w:rPr>
        <w:t xml:space="preserve">2-3 </w:t>
      </w:r>
      <w:r w:rsidR="0062302F" w:rsidRPr="00582DBC">
        <w:rPr>
          <w:rFonts w:ascii="Arial" w:eastAsia="Calibri" w:hAnsi="Arial" w:cs="Arial"/>
          <w:b/>
          <w:bCs/>
          <w:color w:val="000000"/>
          <w:kern w:val="0"/>
          <w:sz w:val="22"/>
          <w:szCs w:val="22"/>
          <w:lang w:val="fr-FR" w:eastAsia="fr-FR"/>
          <w14:ligatures w14:val="none"/>
        </w:rPr>
        <w:t>Diagnosis of infection</w:t>
      </w:r>
    </w:p>
    <w:p w14:paraId="42C2DB21" w14:textId="77777777" w:rsidR="0062302F" w:rsidRPr="0062302F" w:rsidRDefault="0062302F" w:rsidP="0014738D">
      <w:pPr>
        <w:spacing w:after="0" w:line="240" w:lineRule="auto"/>
        <w:ind w:left="10" w:hanging="10"/>
        <w:jc w:val="both"/>
        <w:rPr>
          <w:rFonts w:ascii="Times New Roman" w:hAnsi="Times New Roman" w:cs="Times New Roman"/>
        </w:rPr>
      </w:pPr>
      <w:r w:rsidRPr="0014738D">
        <w:rPr>
          <w:rFonts w:ascii="Arial" w:eastAsia="Calibri" w:hAnsi="Arial" w:cs="Arial"/>
          <w:color w:val="000000"/>
          <w:kern w:val="0"/>
          <w:sz w:val="20"/>
          <w:szCs w:val="20"/>
          <w:lang w:val="fr-FR" w:eastAsia="fr-FR"/>
          <w14:ligatures w14:val="none"/>
        </w:rPr>
        <w:t>A nasopharyngeal swab was collected from each patient using sterile swabs and immediately placed in viral transport medium. Samples were transported from the sentinel site to the National Public Health Laboratory of the NIPH for testing. Viral detection and identification were performed by RT-PCR. RNA extraction was carried out using the QIAGEN RNA® kit, and amplification was performed using the ABI 7500® PCR system</w:t>
      </w:r>
      <w:r w:rsidRPr="0062302F">
        <w:rPr>
          <w:rFonts w:ascii="Times New Roman" w:hAnsi="Times New Roman" w:cs="Times New Roman"/>
        </w:rPr>
        <w:t>.</w:t>
      </w:r>
    </w:p>
    <w:p w14:paraId="3E3C022A" w14:textId="0CBBDC24" w:rsidR="0062302F" w:rsidRPr="00582DBC" w:rsidRDefault="00164DC0" w:rsidP="0014738D">
      <w:pPr>
        <w:spacing w:after="0" w:line="240" w:lineRule="auto"/>
        <w:ind w:left="10" w:hanging="10"/>
        <w:jc w:val="both"/>
        <w:rPr>
          <w:rFonts w:ascii="Arial" w:eastAsia="Calibri" w:hAnsi="Arial" w:cs="Arial"/>
          <w:b/>
          <w:bCs/>
          <w:color w:val="000000"/>
          <w:kern w:val="0"/>
          <w:sz w:val="22"/>
          <w:szCs w:val="22"/>
          <w:lang w:val="fr-FR" w:eastAsia="fr-FR"/>
          <w14:ligatures w14:val="none"/>
        </w:rPr>
      </w:pPr>
      <w:r w:rsidRPr="00582DBC">
        <w:rPr>
          <w:rFonts w:ascii="Arial" w:eastAsia="Calibri" w:hAnsi="Arial" w:cs="Arial"/>
          <w:b/>
          <w:bCs/>
          <w:color w:val="000000"/>
          <w:kern w:val="0"/>
          <w:sz w:val="22"/>
          <w:szCs w:val="22"/>
          <w:lang w:val="fr-FR" w:eastAsia="fr-FR"/>
          <w14:ligatures w14:val="none"/>
        </w:rPr>
        <w:t xml:space="preserve">2-4 </w:t>
      </w:r>
      <w:r w:rsidR="0062302F" w:rsidRPr="00582DBC">
        <w:rPr>
          <w:rFonts w:ascii="Arial" w:eastAsia="Calibri" w:hAnsi="Arial" w:cs="Arial"/>
          <w:b/>
          <w:bCs/>
          <w:color w:val="000000"/>
          <w:kern w:val="0"/>
          <w:sz w:val="22"/>
          <w:szCs w:val="22"/>
          <w:lang w:val="fr-FR" w:eastAsia="fr-FR"/>
          <w14:ligatures w14:val="none"/>
        </w:rPr>
        <w:t>Statistical analysis</w:t>
      </w:r>
    </w:p>
    <w:p w14:paraId="71F7E9CB" w14:textId="77777777" w:rsidR="0062302F" w:rsidRPr="0062302F" w:rsidRDefault="0062302F" w:rsidP="0014738D">
      <w:pPr>
        <w:spacing w:after="0" w:line="240" w:lineRule="auto"/>
        <w:ind w:left="10" w:hanging="10"/>
        <w:jc w:val="both"/>
        <w:rPr>
          <w:rFonts w:ascii="Times New Roman" w:hAnsi="Times New Roman" w:cs="Times New Roman"/>
        </w:rPr>
      </w:pPr>
      <w:r w:rsidRPr="0014738D">
        <w:rPr>
          <w:rFonts w:ascii="Arial" w:eastAsia="Calibri" w:hAnsi="Arial" w:cs="Arial"/>
          <w:color w:val="000000"/>
          <w:kern w:val="0"/>
          <w:sz w:val="20"/>
          <w:szCs w:val="20"/>
          <w:lang w:val="fr-FR" w:eastAsia="fr-FR"/>
          <w14:ligatures w14:val="none"/>
        </w:rPr>
        <w:t>A descriptive analysis of the dataset was performed. Qualitative variables were expressed as proportions, and quantitative variables as means and medians</w:t>
      </w:r>
      <w:r w:rsidRPr="0062302F">
        <w:rPr>
          <w:rFonts w:ascii="Times New Roman" w:hAnsi="Times New Roman" w:cs="Times New Roman"/>
        </w:rPr>
        <w:t>.</w:t>
      </w:r>
    </w:p>
    <w:p w14:paraId="43E33EDA" w14:textId="50CF4326" w:rsidR="0062302F" w:rsidRPr="00BE54E5" w:rsidRDefault="00164DC0"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 xml:space="preserve">3- </w:t>
      </w:r>
      <w:r w:rsidR="0062302F" w:rsidRPr="00BE54E5">
        <w:rPr>
          <w:rFonts w:ascii="Arial" w:eastAsia="Calibri" w:hAnsi="Arial" w:cs="Arial"/>
          <w:b/>
          <w:bCs/>
          <w:color w:val="000000"/>
          <w:kern w:val="0"/>
          <w:sz w:val="22"/>
          <w:szCs w:val="22"/>
          <w:lang w:val="fr-FR" w:eastAsia="fr-FR"/>
          <w14:ligatures w14:val="none"/>
        </w:rPr>
        <w:t>RESULTS</w:t>
      </w:r>
    </w:p>
    <w:p w14:paraId="101CCEBB" w14:textId="38C8C912" w:rsidR="0062302F"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lastRenderedPageBreak/>
        <w:t xml:space="preserve">During the study period, a total of 1,823 consultations were conducted, among which 368 cases of influenza-like illness were diagnosed, corresponding to a prevalence of 20.18%. Females were more represented (52.72%), with a mean age of 14.10 ± 16.20 years. Most patients resided in the Matoto municipality (82.1%) and were mainly unemployed or students (45.11% and 23.91%, respectively) (Table </w:t>
      </w:r>
      <w:r w:rsidR="00D05750">
        <w:rPr>
          <w:rFonts w:ascii="Arial" w:eastAsia="Calibri" w:hAnsi="Arial" w:cs="Arial"/>
          <w:color w:val="000000"/>
          <w:kern w:val="0"/>
          <w:sz w:val="20"/>
          <w:szCs w:val="20"/>
          <w:lang w:val="fr-FR" w:eastAsia="fr-FR"/>
          <w14:ligatures w14:val="none"/>
        </w:rPr>
        <w:t>1</w:t>
      </w:r>
      <w:r w:rsidRPr="0014738D">
        <w:rPr>
          <w:rFonts w:ascii="Arial" w:eastAsia="Calibri" w:hAnsi="Arial" w:cs="Arial"/>
          <w:color w:val="000000"/>
          <w:kern w:val="0"/>
          <w:sz w:val="20"/>
          <w:szCs w:val="20"/>
          <w:lang w:val="fr-FR" w:eastAsia="fr-FR"/>
          <w14:ligatures w14:val="none"/>
        </w:rPr>
        <w:t>).</w:t>
      </w:r>
    </w:p>
    <w:p w14:paraId="4598AFDB" w14:textId="243BB525" w:rsidR="00D05750" w:rsidRPr="00C15FFE" w:rsidRDefault="00D05750" w:rsidP="00D05750">
      <w:pPr>
        <w:spacing w:line="480" w:lineRule="auto"/>
        <w:jc w:val="both"/>
        <w:rPr>
          <w:rFonts w:ascii="Arial" w:eastAsia="Calibri" w:hAnsi="Arial" w:cs="Arial"/>
          <w:bCs/>
          <w:color w:val="000000" w:themeColor="text1"/>
          <w:kern w:val="0"/>
          <w:sz w:val="20"/>
          <w:szCs w:val="20"/>
          <w:lang w:val="fr-FR" w:eastAsia="fr-FR"/>
          <w14:ligatures w14:val="none"/>
        </w:rPr>
      </w:pPr>
      <w:bookmarkStart w:id="2" w:name="_Hlk217973372"/>
      <w:r w:rsidRPr="000E03F7">
        <w:rPr>
          <w:rFonts w:ascii="Arial" w:eastAsia="Calibri" w:hAnsi="Arial" w:cs="Arial"/>
          <w:b/>
          <w:color w:val="000000" w:themeColor="text1"/>
          <w:kern w:val="0"/>
          <w:sz w:val="20"/>
          <w:szCs w:val="20"/>
          <w:lang w:val="fr-FR" w:eastAsia="fr-FR"/>
          <w14:ligatures w14:val="none"/>
        </w:rPr>
        <w:t xml:space="preserve">Table </w:t>
      </w:r>
      <w:r>
        <w:rPr>
          <w:rFonts w:ascii="Arial" w:eastAsia="Calibri" w:hAnsi="Arial" w:cs="Arial"/>
          <w:b/>
          <w:color w:val="000000" w:themeColor="text1"/>
          <w:kern w:val="0"/>
          <w:sz w:val="20"/>
          <w:szCs w:val="20"/>
          <w:lang w:val="fr-FR" w:eastAsia="fr-FR"/>
          <w14:ligatures w14:val="none"/>
        </w:rPr>
        <w:t xml:space="preserve">1 </w:t>
      </w:r>
      <w:r w:rsidRPr="000E03F7">
        <w:rPr>
          <w:rFonts w:ascii="Arial" w:eastAsia="Calibri" w:hAnsi="Arial" w:cs="Arial"/>
          <w:b/>
          <w:color w:val="000000" w:themeColor="text1"/>
          <w:kern w:val="0"/>
          <w:sz w:val="20"/>
          <w:szCs w:val="20"/>
          <w:lang w:val="fr-FR" w:eastAsia="fr-FR"/>
          <w14:ligatures w14:val="none"/>
        </w:rPr>
        <w:t>:</w:t>
      </w:r>
      <w:r w:rsidRPr="00035A5A">
        <w:rPr>
          <w:rFonts w:ascii="Times New Roman" w:hAnsi="Times New Roman" w:cs="Times New Roman"/>
          <w:b/>
        </w:rPr>
        <w:t xml:space="preserve"> </w:t>
      </w:r>
      <w:r w:rsidRPr="00C15FFE">
        <w:rPr>
          <w:rFonts w:ascii="Arial" w:eastAsia="Calibri" w:hAnsi="Arial" w:cs="Arial"/>
          <w:bCs/>
          <w:color w:val="000000" w:themeColor="text1"/>
          <w:kern w:val="0"/>
          <w:sz w:val="20"/>
          <w:szCs w:val="20"/>
          <w:lang w:val="fr-FR" w:eastAsia="fr-FR"/>
          <w14:ligatures w14:val="none"/>
        </w:rPr>
        <w:t>Distribution of the 368 influenza-like illness cases seen at the Gbéssia Port I sentinel site according to sociodemographic characteristics, March–August 2020, Conakry (Guinea)</w:t>
      </w:r>
    </w:p>
    <w:tbl>
      <w:tblPr>
        <w:tblStyle w:val="TableGrid"/>
        <w:tblW w:w="0" w:type="auto"/>
        <w:tblLook w:val="04A0" w:firstRow="1" w:lastRow="0" w:firstColumn="1" w:lastColumn="0" w:noHBand="0" w:noVBand="1"/>
      </w:tblPr>
      <w:tblGrid>
        <w:gridCol w:w="5983"/>
        <w:gridCol w:w="3099"/>
      </w:tblGrid>
      <w:tr w:rsidR="00D05750" w:rsidRPr="005A1CE9" w14:paraId="2B38F995" w14:textId="77777777" w:rsidTr="007B71FA">
        <w:trPr>
          <w:trHeight w:val="454"/>
        </w:trPr>
        <w:tc>
          <w:tcPr>
            <w:tcW w:w="5983" w:type="dxa"/>
            <w:tcBorders>
              <w:left w:val="nil"/>
              <w:bottom w:val="single" w:sz="4" w:space="0" w:color="auto"/>
              <w:right w:val="nil"/>
            </w:tcBorders>
          </w:tcPr>
          <w:p w14:paraId="0D9F3303" w14:textId="77777777" w:rsidR="00D05750" w:rsidRPr="005A1CE9" w:rsidRDefault="00D05750" w:rsidP="007B71FA">
            <w:pPr>
              <w:spacing w:line="480" w:lineRule="auto"/>
              <w:ind w:left="122"/>
              <w:contextualSpacing/>
              <w:rPr>
                <w:rFonts w:ascii="Arial" w:eastAsia="Calibri" w:hAnsi="Arial" w:cs="Arial"/>
                <w:b/>
                <w:color w:val="000000" w:themeColor="text1"/>
                <w:kern w:val="0"/>
                <w:sz w:val="20"/>
                <w:szCs w:val="20"/>
                <w:lang w:val="fr-FR" w:eastAsia="fr-FR"/>
                <w14:ligatures w14:val="none"/>
              </w:rPr>
            </w:pPr>
            <w:bookmarkStart w:id="3" w:name="_Hlk217973870"/>
            <w:bookmarkEnd w:id="2"/>
            <w:r w:rsidRPr="00D80CA9">
              <w:rPr>
                <w:rFonts w:ascii="Arial" w:eastAsia="Calibri" w:hAnsi="Arial" w:cs="Arial"/>
                <w:b/>
                <w:color w:val="000000" w:themeColor="text1"/>
                <w:kern w:val="0"/>
                <w:sz w:val="20"/>
                <w:szCs w:val="20"/>
                <w:lang w:val="fr-FR" w:eastAsia="fr-FR"/>
                <w14:ligatures w14:val="none"/>
              </w:rPr>
              <w:t>Sociodemographic</w:t>
            </w:r>
            <w:r w:rsidRPr="005A1CE9">
              <w:rPr>
                <w:rFonts w:ascii="Arial" w:eastAsia="Calibri" w:hAnsi="Arial" w:cs="Arial"/>
                <w:b/>
                <w:color w:val="000000" w:themeColor="text1"/>
                <w:kern w:val="0"/>
                <w:sz w:val="20"/>
                <w:szCs w:val="20"/>
                <w:lang w:val="fr-FR" w:eastAsia="fr-FR"/>
                <w14:ligatures w14:val="none"/>
              </w:rPr>
              <w:t xml:space="preserve"> data</w:t>
            </w:r>
          </w:p>
        </w:tc>
        <w:tc>
          <w:tcPr>
            <w:tcW w:w="3099" w:type="dxa"/>
            <w:tcBorders>
              <w:left w:val="nil"/>
              <w:bottom w:val="single" w:sz="4" w:space="0" w:color="auto"/>
              <w:right w:val="nil"/>
            </w:tcBorders>
          </w:tcPr>
          <w:p w14:paraId="2F74B463" w14:textId="77777777" w:rsidR="00D05750" w:rsidRPr="005A1CE9" w:rsidRDefault="00D05750" w:rsidP="007B71FA">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r w:rsidRPr="005A1CE9">
              <w:rPr>
                <w:rFonts w:ascii="Arial" w:eastAsia="Calibri" w:hAnsi="Arial" w:cs="Arial"/>
                <w:b/>
                <w:color w:val="000000" w:themeColor="text1"/>
                <w:kern w:val="0"/>
                <w:sz w:val="20"/>
                <w:szCs w:val="20"/>
                <w:lang w:val="fr-FR" w:eastAsia="fr-FR"/>
                <w14:ligatures w14:val="none"/>
              </w:rPr>
              <w:t>Proportion</w:t>
            </w:r>
          </w:p>
        </w:tc>
      </w:tr>
      <w:tr w:rsidR="00D05750" w:rsidRPr="00F829C3" w14:paraId="3E37E7A8" w14:textId="77777777" w:rsidTr="007B71FA">
        <w:trPr>
          <w:trHeight w:val="465"/>
        </w:trPr>
        <w:tc>
          <w:tcPr>
            <w:tcW w:w="5983" w:type="dxa"/>
            <w:tcBorders>
              <w:left w:val="nil"/>
              <w:bottom w:val="nil"/>
              <w:right w:val="nil"/>
            </w:tcBorders>
          </w:tcPr>
          <w:p w14:paraId="43CB84C6"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Résidence</w:t>
            </w:r>
          </w:p>
        </w:tc>
        <w:tc>
          <w:tcPr>
            <w:tcW w:w="3099" w:type="dxa"/>
            <w:tcBorders>
              <w:left w:val="nil"/>
              <w:bottom w:val="nil"/>
              <w:right w:val="nil"/>
            </w:tcBorders>
          </w:tcPr>
          <w:p w14:paraId="71B169E2"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4CB17516" w14:textId="77777777" w:rsidTr="007B71FA">
        <w:trPr>
          <w:trHeight w:val="454"/>
        </w:trPr>
        <w:tc>
          <w:tcPr>
            <w:tcW w:w="5983" w:type="dxa"/>
            <w:tcBorders>
              <w:top w:val="nil"/>
              <w:left w:val="nil"/>
              <w:bottom w:val="nil"/>
              <w:right w:val="nil"/>
            </w:tcBorders>
          </w:tcPr>
          <w:p w14:paraId="01BEE8E2"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Matam</w:t>
            </w:r>
          </w:p>
        </w:tc>
        <w:tc>
          <w:tcPr>
            <w:tcW w:w="3099" w:type="dxa"/>
            <w:tcBorders>
              <w:top w:val="nil"/>
              <w:left w:val="nil"/>
              <w:bottom w:val="nil"/>
              <w:right w:val="nil"/>
            </w:tcBorders>
          </w:tcPr>
          <w:p w14:paraId="13F8D935"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6,5</w:t>
            </w:r>
          </w:p>
        </w:tc>
      </w:tr>
      <w:tr w:rsidR="00D05750" w:rsidRPr="00F829C3" w14:paraId="07D5441E" w14:textId="77777777" w:rsidTr="007B71FA">
        <w:trPr>
          <w:trHeight w:val="465"/>
        </w:trPr>
        <w:tc>
          <w:tcPr>
            <w:tcW w:w="5983" w:type="dxa"/>
            <w:tcBorders>
              <w:top w:val="nil"/>
              <w:left w:val="nil"/>
              <w:bottom w:val="nil"/>
              <w:right w:val="nil"/>
            </w:tcBorders>
          </w:tcPr>
          <w:p w14:paraId="4EE5ABA0"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Dixinn</w:t>
            </w:r>
          </w:p>
        </w:tc>
        <w:tc>
          <w:tcPr>
            <w:tcW w:w="3099" w:type="dxa"/>
            <w:tcBorders>
              <w:top w:val="nil"/>
              <w:left w:val="nil"/>
              <w:bottom w:val="nil"/>
              <w:right w:val="nil"/>
            </w:tcBorders>
          </w:tcPr>
          <w:p w14:paraId="5BF602C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0,8</w:t>
            </w:r>
          </w:p>
        </w:tc>
      </w:tr>
      <w:tr w:rsidR="00D05750" w:rsidRPr="00F829C3" w14:paraId="21D28E36" w14:textId="77777777" w:rsidTr="007B71FA">
        <w:trPr>
          <w:trHeight w:val="454"/>
        </w:trPr>
        <w:tc>
          <w:tcPr>
            <w:tcW w:w="5983" w:type="dxa"/>
            <w:tcBorders>
              <w:top w:val="nil"/>
              <w:left w:val="nil"/>
              <w:bottom w:val="nil"/>
              <w:right w:val="nil"/>
            </w:tcBorders>
          </w:tcPr>
          <w:p w14:paraId="1BA2F2BD"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Ratoma</w:t>
            </w:r>
          </w:p>
        </w:tc>
        <w:tc>
          <w:tcPr>
            <w:tcW w:w="3099" w:type="dxa"/>
            <w:tcBorders>
              <w:top w:val="nil"/>
              <w:left w:val="nil"/>
              <w:bottom w:val="nil"/>
              <w:right w:val="nil"/>
            </w:tcBorders>
          </w:tcPr>
          <w:p w14:paraId="55470D35"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7,1</w:t>
            </w:r>
          </w:p>
        </w:tc>
      </w:tr>
      <w:tr w:rsidR="00D05750" w:rsidRPr="00F829C3" w14:paraId="3382DB72" w14:textId="77777777" w:rsidTr="007B71FA">
        <w:trPr>
          <w:trHeight w:val="465"/>
        </w:trPr>
        <w:tc>
          <w:tcPr>
            <w:tcW w:w="5983" w:type="dxa"/>
            <w:tcBorders>
              <w:top w:val="nil"/>
              <w:left w:val="nil"/>
              <w:bottom w:val="nil"/>
              <w:right w:val="nil"/>
            </w:tcBorders>
          </w:tcPr>
          <w:p w14:paraId="25A66CE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Matoto</w:t>
            </w:r>
          </w:p>
        </w:tc>
        <w:tc>
          <w:tcPr>
            <w:tcW w:w="3099" w:type="dxa"/>
            <w:tcBorders>
              <w:top w:val="nil"/>
              <w:left w:val="nil"/>
              <w:bottom w:val="nil"/>
              <w:right w:val="nil"/>
            </w:tcBorders>
          </w:tcPr>
          <w:p w14:paraId="7CADD2F4"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82,1</w:t>
            </w:r>
          </w:p>
        </w:tc>
      </w:tr>
      <w:tr w:rsidR="00D05750" w:rsidRPr="00F829C3" w14:paraId="1B652D56" w14:textId="77777777" w:rsidTr="007B71FA">
        <w:trPr>
          <w:trHeight w:val="454"/>
        </w:trPr>
        <w:tc>
          <w:tcPr>
            <w:tcW w:w="5983" w:type="dxa"/>
            <w:tcBorders>
              <w:top w:val="nil"/>
              <w:left w:val="nil"/>
              <w:bottom w:val="nil"/>
              <w:right w:val="nil"/>
            </w:tcBorders>
          </w:tcPr>
          <w:p w14:paraId="3E29612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Hors Conakry</w:t>
            </w:r>
          </w:p>
        </w:tc>
        <w:tc>
          <w:tcPr>
            <w:tcW w:w="3099" w:type="dxa"/>
            <w:tcBorders>
              <w:top w:val="nil"/>
              <w:left w:val="nil"/>
              <w:bottom w:val="nil"/>
              <w:right w:val="nil"/>
            </w:tcBorders>
          </w:tcPr>
          <w:p w14:paraId="5482077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3,5</w:t>
            </w:r>
          </w:p>
        </w:tc>
      </w:tr>
      <w:tr w:rsidR="00D05750" w:rsidRPr="00F829C3" w14:paraId="78AE2B7A" w14:textId="77777777" w:rsidTr="007B71FA">
        <w:trPr>
          <w:trHeight w:val="465"/>
        </w:trPr>
        <w:tc>
          <w:tcPr>
            <w:tcW w:w="5983" w:type="dxa"/>
            <w:tcBorders>
              <w:top w:val="nil"/>
              <w:left w:val="nil"/>
              <w:bottom w:val="nil"/>
              <w:right w:val="nil"/>
            </w:tcBorders>
          </w:tcPr>
          <w:p w14:paraId="1388EC33"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Marital status</w:t>
            </w:r>
          </w:p>
        </w:tc>
        <w:tc>
          <w:tcPr>
            <w:tcW w:w="3099" w:type="dxa"/>
            <w:tcBorders>
              <w:top w:val="nil"/>
              <w:left w:val="nil"/>
              <w:bottom w:val="nil"/>
              <w:right w:val="nil"/>
            </w:tcBorders>
          </w:tcPr>
          <w:p w14:paraId="06DA1D99"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5F79999D" w14:textId="77777777" w:rsidTr="007B71FA">
        <w:trPr>
          <w:trHeight w:val="465"/>
        </w:trPr>
        <w:tc>
          <w:tcPr>
            <w:tcW w:w="5983" w:type="dxa"/>
            <w:tcBorders>
              <w:top w:val="nil"/>
              <w:left w:val="nil"/>
              <w:bottom w:val="nil"/>
              <w:right w:val="nil"/>
            </w:tcBorders>
          </w:tcPr>
          <w:p w14:paraId="4CC6F0AA"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Célibataire</w:t>
            </w:r>
          </w:p>
        </w:tc>
        <w:tc>
          <w:tcPr>
            <w:tcW w:w="3099" w:type="dxa"/>
            <w:tcBorders>
              <w:top w:val="nil"/>
              <w:left w:val="nil"/>
              <w:bottom w:val="nil"/>
              <w:right w:val="nil"/>
            </w:tcBorders>
          </w:tcPr>
          <w:p w14:paraId="070B81A7"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75,54</w:t>
            </w:r>
          </w:p>
        </w:tc>
      </w:tr>
      <w:tr w:rsidR="00D05750" w:rsidRPr="00F829C3" w14:paraId="6DF76E03" w14:textId="77777777" w:rsidTr="007B71FA">
        <w:trPr>
          <w:trHeight w:val="454"/>
        </w:trPr>
        <w:tc>
          <w:tcPr>
            <w:tcW w:w="5983" w:type="dxa"/>
            <w:tcBorders>
              <w:top w:val="nil"/>
              <w:left w:val="nil"/>
              <w:bottom w:val="nil"/>
              <w:right w:val="nil"/>
            </w:tcBorders>
          </w:tcPr>
          <w:p w14:paraId="570713D8"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Maried</w:t>
            </w:r>
          </w:p>
        </w:tc>
        <w:tc>
          <w:tcPr>
            <w:tcW w:w="3099" w:type="dxa"/>
            <w:tcBorders>
              <w:top w:val="nil"/>
              <w:left w:val="nil"/>
              <w:bottom w:val="nil"/>
              <w:right w:val="nil"/>
            </w:tcBorders>
          </w:tcPr>
          <w:p w14:paraId="45913051"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23,64</w:t>
            </w:r>
          </w:p>
        </w:tc>
      </w:tr>
      <w:tr w:rsidR="00D05750" w:rsidRPr="00F829C3" w14:paraId="29669FF5" w14:textId="77777777" w:rsidTr="007B71FA">
        <w:trPr>
          <w:trHeight w:val="465"/>
        </w:trPr>
        <w:tc>
          <w:tcPr>
            <w:tcW w:w="5983" w:type="dxa"/>
            <w:tcBorders>
              <w:top w:val="nil"/>
              <w:left w:val="nil"/>
              <w:bottom w:val="nil"/>
              <w:right w:val="nil"/>
            </w:tcBorders>
          </w:tcPr>
          <w:p w14:paraId="48445A15"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Divorced</w:t>
            </w:r>
          </w:p>
        </w:tc>
        <w:tc>
          <w:tcPr>
            <w:tcW w:w="3099" w:type="dxa"/>
            <w:tcBorders>
              <w:top w:val="nil"/>
              <w:left w:val="nil"/>
              <w:bottom w:val="nil"/>
              <w:right w:val="nil"/>
            </w:tcBorders>
          </w:tcPr>
          <w:p w14:paraId="0140AE2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0,27</w:t>
            </w:r>
          </w:p>
        </w:tc>
      </w:tr>
      <w:tr w:rsidR="00D05750" w:rsidRPr="00F829C3" w14:paraId="36A0B18B" w14:textId="77777777" w:rsidTr="007B71FA">
        <w:trPr>
          <w:trHeight w:val="465"/>
        </w:trPr>
        <w:tc>
          <w:tcPr>
            <w:tcW w:w="5983" w:type="dxa"/>
            <w:tcBorders>
              <w:top w:val="nil"/>
              <w:left w:val="nil"/>
              <w:bottom w:val="nil"/>
              <w:right w:val="nil"/>
            </w:tcBorders>
          </w:tcPr>
          <w:p w14:paraId="611348E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Widowed</w:t>
            </w:r>
          </w:p>
        </w:tc>
        <w:tc>
          <w:tcPr>
            <w:tcW w:w="3099" w:type="dxa"/>
            <w:tcBorders>
              <w:top w:val="nil"/>
              <w:left w:val="nil"/>
              <w:bottom w:val="nil"/>
              <w:right w:val="nil"/>
            </w:tcBorders>
          </w:tcPr>
          <w:p w14:paraId="3BE0B58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0,54</w:t>
            </w:r>
          </w:p>
        </w:tc>
      </w:tr>
      <w:tr w:rsidR="00D05750" w:rsidRPr="00F829C3" w14:paraId="301C06AC" w14:textId="77777777" w:rsidTr="007B71FA">
        <w:trPr>
          <w:trHeight w:val="454"/>
        </w:trPr>
        <w:tc>
          <w:tcPr>
            <w:tcW w:w="5983" w:type="dxa"/>
            <w:tcBorders>
              <w:top w:val="nil"/>
              <w:left w:val="nil"/>
              <w:bottom w:val="nil"/>
              <w:right w:val="nil"/>
            </w:tcBorders>
          </w:tcPr>
          <w:p w14:paraId="4DC7EF7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Educational level</w:t>
            </w:r>
          </w:p>
        </w:tc>
        <w:tc>
          <w:tcPr>
            <w:tcW w:w="3099" w:type="dxa"/>
            <w:tcBorders>
              <w:top w:val="nil"/>
              <w:left w:val="nil"/>
              <w:bottom w:val="nil"/>
              <w:right w:val="nil"/>
            </w:tcBorders>
          </w:tcPr>
          <w:p w14:paraId="0A3BB85A"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37698068" w14:textId="77777777" w:rsidTr="007B71FA">
        <w:trPr>
          <w:trHeight w:val="465"/>
        </w:trPr>
        <w:tc>
          <w:tcPr>
            <w:tcW w:w="5983" w:type="dxa"/>
            <w:tcBorders>
              <w:top w:val="nil"/>
              <w:left w:val="nil"/>
              <w:bottom w:val="nil"/>
              <w:right w:val="nil"/>
            </w:tcBorders>
          </w:tcPr>
          <w:p w14:paraId="3E38D43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Not educated</w:t>
            </w:r>
          </w:p>
        </w:tc>
        <w:tc>
          <w:tcPr>
            <w:tcW w:w="3099" w:type="dxa"/>
            <w:tcBorders>
              <w:top w:val="nil"/>
              <w:left w:val="nil"/>
              <w:bottom w:val="nil"/>
              <w:right w:val="nil"/>
            </w:tcBorders>
          </w:tcPr>
          <w:p w14:paraId="25332D9C"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60,60</w:t>
            </w:r>
          </w:p>
        </w:tc>
      </w:tr>
      <w:tr w:rsidR="00D05750" w:rsidRPr="00F829C3" w14:paraId="56709174" w14:textId="77777777" w:rsidTr="007B71FA">
        <w:trPr>
          <w:trHeight w:val="454"/>
        </w:trPr>
        <w:tc>
          <w:tcPr>
            <w:tcW w:w="5983" w:type="dxa"/>
            <w:tcBorders>
              <w:top w:val="nil"/>
              <w:left w:val="nil"/>
              <w:bottom w:val="nil"/>
              <w:right w:val="nil"/>
            </w:tcBorders>
          </w:tcPr>
          <w:p w14:paraId="656FDB3D"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Primary</w:t>
            </w:r>
          </w:p>
        </w:tc>
        <w:tc>
          <w:tcPr>
            <w:tcW w:w="3099" w:type="dxa"/>
            <w:tcBorders>
              <w:top w:val="nil"/>
              <w:left w:val="nil"/>
              <w:bottom w:val="nil"/>
              <w:right w:val="nil"/>
            </w:tcBorders>
          </w:tcPr>
          <w:p w14:paraId="0F3A9B9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22,28</w:t>
            </w:r>
          </w:p>
        </w:tc>
      </w:tr>
      <w:tr w:rsidR="00D05750" w:rsidRPr="00F829C3" w14:paraId="4A6078A7" w14:textId="77777777" w:rsidTr="007B71FA">
        <w:trPr>
          <w:trHeight w:val="465"/>
        </w:trPr>
        <w:tc>
          <w:tcPr>
            <w:tcW w:w="5983" w:type="dxa"/>
            <w:tcBorders>
              <w:top w:val="nil"/>
              <w:left w:val="nil"/>
              <w:bottom w:val="nil"/>
              <w:right w:val="nil"/>
            </w:tcBorders>
          </w:tcPr>
          <w:p w14:paraId="3788EA8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Secondary</w:t>
            </w:r>
          </w:p>
        </w:tc>
        <w:tc>
          <w:tcPr>
            <w:tcW w:w="3099" w:type="dxa"/>
            <w:tcBorders>
              <w:top w:val="nil"/>
              <w:left w:val="nil"/>
              <w:bottom w:val="nil"/>
              <w:right w:val="nil"/>
            </w:tcBorders>
          </w:tcPr>
          <w:p w14:paraId="1A9B1424"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10,05</w:t>
            </w:r>
          </w:p>
        </w:tc>
      </w:tr>
      <w:tr w:rsidR="00D05750" w:rsidRPr="00F829C3" w14:paraId="58317669" w14:textId="77777777" w:rsidTr="007B71FA">
        <w:trPr>
          <w:trHeight w:val="454"/>
        </w:trPr>
        <w:tc>
          <w:tcPr>
            <w:tcW w:w="5983" w:type="dxa"/>
            <w:tcBorders>
              <w:top w:val="nil"/>
              <w:left w:val="nil"/>
              <w:bottom w:val="nil"/>
              <w:right w:val="nil"/>
            </w:tcBorders>
          </w:tcPr>
          <w:p w14:paraId="720174C2"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Higher education</w:t>
            </w:r>
          </w:p>
        </w:tc>
        <w:tc>
          <w:tcPr>
            <w:tcW w:w="3099" w:type="dxa"/>
            <w:tcBorders>
              <w:top w:val="nil"/>
              <w:left w:val="nil"/>
              <w:bottom w:val="nil"/>
              <w:right w:val="nil"/>
            </w:tcBorders>
          </w:tcPr>
          <w:p w14:paraId="3CE92B5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7,07</w:t>
            </w:r>
          </w:p>
        </w:tc>
      </w:tr>
      <w:tr w:rsidR="00D05750" w:rsidRPr="00F829C3" w14:paraId="439AEC1C" w14:textId="77777777" w:rsidTr="007B71FA">
        <w:trPr>
          <w:trHeight w:val="465"/>
        </w:trPr>
        <w:tc>
          <w:tcPr>
            <w:tcW w:w="5983" w:type="dxa"/>
            <w:tcBorders>
              <w:top w:val="nil"/>
              <w:left w:val="nil"/>
              <w:bottom w:val="nil"/>
              <w:right w:val="nil"/>
            </w:tcBorders>
          </w:tcPr>
          <w:p w14:paraId="7C987BF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Occupation</w:t>
            </w:r>
          </w:p>
        </w:tc>
        <w:tc>
          <w:tcPr>
            <w:tcW w:w="3099" w:type="dxa"/>
            <w:tcBorders>
              <w:top w:val="nil"/>
              <w:left w:val="nil"/>
              <w:bottom w:val="nil"/>
              <w:right w:val="nil"/>
            </w:tcBorders>
          </w:tcPr>
          <w:p w14:paraId="00D9EE63"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44B678B5" w14:textId="77777777" w:rsidTr="007B71FA">
        <w:trPr>
          <w:trHeight w:val="454"/>
        </w:trPr>
        <w:tc>
          <w:tcPr>
            <w:tcW w:w="5983" w:type="dxa"/>
            <w:tcBorders>
              <w:top w:val="nil"/>
              <w:left w:val="nil"/>
              <w:bottom w:val="nil"/>
              <w:right w:val="nil"/>
            </w:tcBorders>
          </w:tcPr>
          <w:p w14:paraId="2960C51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Formal sector</w:t>
            </w:r>
          </w:p>
        </w:tc>
        <w:tc>
          <w:tcPr>
            <w:tcW w:w="3099" w:type="dxa"/>
            <w:tcBorders>
              <w:top w:val="nil"/>
              <w:left w:val="nil"/>
              <w:bottom w:val="nil"/>
              <w:right w:val="nil"/>
            </w:tcBorders>
          </w:tcPr>
          <w:p w14:paraId="0075DD4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5,71</w:t>
            </w:r>
          </w:p>
        </w:tc>
      </w:tr>
      <w:tr w:rsidR="00D05750" w:rsidRPr="00F829C3" w14:paraId="6425A619" w14:textId="77777777" w:rsidTr="007B71FA">
        <w:trPr>
          <w:trHeight w:val="465"/>
        </w:trPr>
        <w:tc>
          <w:tcPr>
            <w:tcW w:w="5983" w:type="dxa"/>
            <w:tcBorders>
              <w:top w:val="nil"/>
              <w:left w:val="nil"/>
              <w:bottom w:val="nil"/>
              <w:right w:val="nil"/>
            </w:tcBorders>
          </w:tcPr>
          <w:p w14:paraId="27418D06"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Informal sector</w:t>
            </w:r>
          </w:p>
        </w:tc>
        <w:tc>
          <w:tcPr>
            <w:tcW w:w="3099" w:type="dxa"/>
            <w:tcBorders>
              <w:top w:val="nil"/>
              <w:left w:val="nil"/>
              <w:bottom w:val="nil"/>
              <w:right w:val="nil"/>
            </w:tcBorders>
          </w:tcPr>
          <w:p w14:paraId="18CBF93F"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12,50</w:t>
            </w:r>
          </w:p>
        </w:tc>
      </w:tr>
      <w:tr w:rsidR="00D05750" w:rsidRPr="00F829C3" w14:paraId="1F0E24E4" w14:textId="77777777" w:rsidTr="007B71FA">
        <w:trPr>
          <w:trHeight w:val="454"/>
        </w:trPr>
        <w:tc>
          <w:tcPr>
            <w:tcW w:w="5983" w:type="dxa"/>
            <w:tcBorders>
              <w:top w:val="nil"/>
              <w:left w:val="nil"/>
              <w:bottom w:val="nil"/>
              <w:right w:val="nil"/>
            </w:tcBorders>
          </w:tcPr>
          <w:p w14:paraId="1362007A"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Housewife</w:t>
            </w:r>
          </w:p>
        </w:tc>
        <w:tc>
          <w:tcPr>
            <w:tcW w:w="3099" w:type="dxa"/>
            <w:tcBorders>
              <w:top w:val="nil"/>
              <w:left w:val="nil"/>
              <w:bottom w:val="nil"/>
              <w:right w:val="nil"/>
            </w:tcBorders>
          </w:tcPr>
          <w:p w14:paraId="31B8F14F"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8,42</w:t>
            </w:r>
          </w:p>
        </w:tc>
      </w:tr>
      <w:tr w:rsidR="00D05750" w:rsidRPr="00F829C3" w14:paraId="05332C97" w14:textId="77777777" w:rsidTr="007B71FA">
        <w:trPr>
          <w:trHeight w:val="465"/>
        </w:trPr>
        <w:tc>
          <w:tcPr>
            <w:tcW w:w="5983" w:type="dxa"/>
            <w:tcBorders>
              <w:top w:val="nil"/>
              <w:left w:val="nil"/>
              <w:bottom w:val="nil"/>
              <w:right w:val="nil"/>
            </w:tcBorders>
          </w:tcPr>
          <w:p w14:paraId="7CA9F359"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Student</w:t>
            </w:r>
          </w:p>
        </w:tc>
        <w:tc>
          <w:tcPr>
            <w:tcW w:w="3099" w:type="dxa"/>
            <w:tcBorders>
              <w:top w:val="nil"/>
              <w:left w:val="nil"/>
              <w:bottom w:val="nil"/>
              <w:right w:val="nil"/>
            </w:tcBorders>
          </w:tcPr>
          <w:p w14:paraId="1EE9AA33"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28,26</w:t>
            </w:r>
          </w:p>
        </w:tc>
      </w:tr>
      <w:tr w:rsidR="00D05750" w:rsidRPr="00F829C3" w14:paraId="093E37E9" w14:textId="77777777" w:rsidTr="007B71FA">
        <w:trPr>
          <w:trHeight w:val="454"/>
        </w:trPr>
        <w:tc>
          <w:tcPr>
            <w:tcW w:w="5983" w:type="dxa"/>
            <w:tcBorders>
              <w:top w:val="nil"/>
              <w:left w:val="nil"/>
              <w:right w:val="nil"/>
            </w:tcBorders>
          </w:tcPr>
          <w:p w14:paraId="174249F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Unemployed</w:t>
            </w:r>
          </w:p>
        </w:tc>
        <w:tc>
          <w:tcPr>
            <w:tcW w:w="3099" w:type="dxa"/>
            <w:tcBorders>
              <w:top w:val="nil"/>
              <w:left w:val="nil"/>
              <w:right w:val="nil"/>
            </w:tcBorders>
          </w:tcPr>
          <w:p w14:paraId="651C498B"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45,11</w:t>
            </w:r>
          </w:p>
        </w:tc>
      </w:tr>
      <w:bookmarkEnd w:id="3"/>
    </w:tbl>
    <w:p w14:paraId="637DB3DB" w14:textId="77777777" w:rsidR="00D05750" w:rsidRPr="0014738D" w:rsidRDefault="00D05750" w:rsidP="00D05750">
      <w:pPr>
        <w:spacing w:after="0" w:line="240" w:lineRule="auto"/>
        <w:jc w:val="both"/>
        <w:rPr>
          <w:rFonts w:ascii="Arial" w:eastAsia="Calibri" w:hAnsi="Arial" w:cs="Arial"/>
          <w:color w:val="000000"/>
          <w:kern w:val="0"/>
          <w:sz w:val="20"/>
          <w:szCs w:val="20"/>
          <w:lang w:val="fr-FR" w:eastAsia="fr-FR"/>
          <w14:ligatures w14:val="none"/>
        </w:rPr>
      </w:pPr>
    </w:p>
    <w:p w14:paraId="20DDC325" w14:textId="77777777" w:rsidR="0062302F"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No patient had received influenza vaccination. A history of contact with an influenza case was reported in 41% of patients. Prior self-medication with antibiotics before consultation was reported in 21.20% of cases, with cotrimoxazole being the most commonly used antibiotic (91.03%), usually for a duration of 1 to 3 days (42.30%).</w:t>
      </w:r>
    </w:p>
    <w:p w14:paraId="341DCCD9" w14:textId="77777777" w:rsidR="00A76AD4" w:rsidRDefault="00A76AD4"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4EF2BF5F" w14:textId="77777777" w:rsidR="00055171" w:rsidRPr="0014738D" w:rsidRDefault="00055171"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2C5A942E" w14:textId="4DD4314D" w:rsidR="00055171"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 xml:space="preserve">Clinically, the most frequent symptoms were cough (96.20%), fever (92.66%), and rhinorrhea (81.79%) (Table </w:t>
      </w:r>
      <w:r w:rsidR="00F01741">
        <w:rPr>
          <w:rFonts w:ascii="Arial" w:eastAsia="Calibri" w:hAnsi="Arial" w:cs="Arial"/>
          <w:color w:val="000000"/>
          <w:kern w:val="0"/>
          <w:sz w:val="20"/>
          <w:szCs w:val="20"/>
          <w:lang w:val="fr-FR" w:eastAsia="fr-FR"/>
          <w14:ligatures w14:val="none"/>
        </w:rPr>
        <w:t>2</w:t>
      </w:r>
      <w:r w:rsidRPr="0014738D">
        <w:rPr>
          <w:rFonts w:ascii="Arial" w:eastAsia="Calibri" w:hAnsi="Arial" w:cs="Arial"/>
          <w:color w:val="000000"/>
          <w:kern w:val="0"/>
          <w:sz w:val="20"/>
          <w:szCs w:val="20"/>
          <w:lang w:val="fr-FR" w:eastAsia="fr-FR"/>
          <w14:ligatures w14:val="none"/>
        </w:rPr>
        <w:t xml:space="preserve">). </w:t>
      </w:r>
    </w:p>
    <w:p w14:paraId="7D9F2FFF" w14:textId="77777777" w:rsidR="00055171" w:rsidRDefault="00055171"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0AB74DD4" w14:textId="695BE5FC" w:rsidR="00055171" w:rsidRPr="00F829C3" w:rsidRDefault="00055171" w:rsidP="00055171">
      <w:pPr>
        <w:spacing w:line="480" w:lineRule="auto"/>
        <w:jc w:val="both"/>
        <w:rPr>
          <w:rFonts w:ascii="Times New Roman" w:hAnsi="Times New Roman" w:cs="Times New Roman"/>
          <w:bCs/>
        </w:rPr>
      </w:pPr>
      <w:bookmarkStart w:id="4" w:name="_Hlk217973821"/>
      <w:r w:rsidRPr="000E03F7">
        <w:rPr>
          <w:rFonts w:ascii="Arial" w:eastAsia="Calibri" w:hAnsi="Arial" w:cs="Arial"/>
          <w:b/>
          <w:color w:val="000000" w:themeColor="text1"/>
          <w:kern w:val="0"/>
          <w:sz w:val="20"/>
          <w:szCs w:val="20"/>
          <w:lang w:val="fr-FR" w:eastAsia="fr-FR"/>
          <w14:ligatures w14:val="none"/>
        </w:rPr>
        <w:t xml:space="preserve">Table </w:t>
      </w:r>
      <w:r w:rsidR="00F01741">
        <w:rPr>
          <w:rFonts w:ascii="Arial" w:eastAsia="Calibri" w:hAnsi="Arial" w:cs="Arial"/>
          <w:b/>
          <w:color w:val="000000" w:themeColor="text1"/>
          <w:kern w:val="0"/>
          <w:sz w:val="20"/>
          <w:szCs w:val="20"/>
          <w:lang w:val="fr-FR" w:eastAsia="fr-FR"/>
          <w14:ligatures w14:val="none"/>
        </w:rPr>
        <w:t xml:space="preserve">2 </w:t>
      </w:r>
      <w:r w:rsidRPr="000E03F7">
        <w:rPr>
          <w:rFonts w:ascii="Arial" w:eastAsia="Calibri" w:hAnsi="Arial" w:cs="Arial"/>
          <w:b/>
          <w:color w:val="000000" w:themeColor="text1"/>
          <w:kern w:val="0"/>
          <w:sz w:val="20"/>
          <w:szCs w:val="20"/>
          <w:lang w:val="fr-FR" w:eastAsia="fr-FR"/>
          <w14:ligatures w14:val="none"/>
        </w:rPr>
        <w:t>:</w:t>
      </w:r>
      <w:r w:rsidRPr="00F829C3">
        <w:rPr>
          <w:rFonts w:ascii="Times New Roman" w:hAnsi="Times New Roman" w:cs="Times New Roman"/>
          <w:b/>
        </w:rPr>
        <w:t xml:space="preserve"> </w:t>
      </w:r>
      <w:r w:rsidRPr="00E81699">
        <w:rPr>
          <w:rFonts w:ascii="Arial" w:eastAsia="Calibri" w:hAnsi="Arial" w:cs="Arial"/>
          <w:bCs/>
          <w:color w:val="000000" w:themeColor="text1"/>
          <w:kern w:val="0"/>
          <w:sz w:val="20"/>
          <w:szCs w:val="20"/>
          <w:lang w:val="fr-FR" w:eastAsia="fr-FR"/>
          <w14:ligatures w14:val="none"/>
        </w:rPr>
        <w:t>Distribution of the 368 influenza-like illness cases seen at the Gbéssia Port I sentinel site according to reasons for consultation, March–August 2020, Conakry (Guinea)</w:t>
      </w:r>
    </w:p>
    <w:tbl>
      <w:tblPr>
        <w:tblW w:w="8999" w:type="dxa"/>
        <w:tblInd w:w="70" w:type="dxa"/>
        <w:tblCellMar>
          <w:left w:w="70" w:type="dxa"/>
          <w:right w:w="70" w:type="dxa"/>
        </w:tblCellMar>
        <w:tblLook w:val="04A0" w:firstRow="1" w:lastRow="0" w:firstColumn="1" w:lastColumn="0" w:noHBand="0" w:noVBand="1"/>
      </w:tblPr>
      <w:tblGrid>
        <w:gridCol w:w="4442"/>
        <w:gridCol w:w="4557"/>
      </w:tblGrid>
      <w:tr w:rsidR="00055171" w:rsidRPr="008E4186" w14:paraId="48DC0730" w14:textId="77777777" w:rsidTr="00F01741">
        <w:trPr>
          <w:trHeight w:val="376"/>
        </w:trPr>
        <w:tc>
          <w:tcPr>
            <w:tcW w:w="4442" w:type="dxa"/>
            <w:tcBorders>
              <w:top w:val="single" w:sz="4" w:space="0" w:color="auto"/>
              <w:left w:val="nil"/>
              <w:bottom w:val="single" w:sz="4" w:space="0" w:color="auto"/>
              <w:right w:val="nil"/>
            </w:tcBorders>
            <w:noWrap/>
            <w:vAlign w:val="bottom"/>
            <w:hideMark/>
          </w:tcPr>
          <w:bookmarkEnd w:id="4"/>
          <w:p w14:paraId="353181AD" w14:textId="77777777" w:rsidR="00055171" w:rsidRPr="008E4186" w:rsidRDefault="00055171" w:rsidP="00F01741">
            <w:pPr>
              <w:spacing w:after="0" w:line="480" w:lineRule="auto"/>
              <w:ind w:left="122"/>
              <w:contextualSpacing/>
              <w:rPr>
                <w:rFonts w:ascii="Arial" w:eastAsia="Calibri" w:hAnsi="Arial" w:cs="Arial"/>
                <w:b/>
                <w:color w:val="000000" w:themeColor="text1"/>
                <w:kern w:val="0"/>
                <w:sz w:val="20"/>
                <w:szCs w:val="20"/>
                <w:lang w:val="fr-FR" w:eastAsia="fr-FR"/>
                <w14:ligatures w14:val="none"/>
              </w:rPr>
            </w:pPr>
            <w:r w:rsidRPr="008E4186">
              <w:rPr>
                <w:rFonts w:ascii="Arial" w:eastAsia="Calibri" w:hAnsi="Arial" w:cs="Arial"/>
                <w:b/>
                <w:color w:val="000000" w:themeColor="text1"/>
                <w:kern w:val="0"/>
                <w:sz w:val="20"/>
                <w:szCs w:val="20"/>
                <w:lang w:val="fr-FR" w:eastAsia="fr-FR"/>
                <w14:ligatures w14:val="none"/>
              </w:rPr>
              <w:t>Reasons for consultation</w:t>
            </w:r>
          </w:p>
        </w:tc>
        <w:tc>
          <w:tcPr>
            <w:tcW w:w="4557" w:type="dxa"/>
            <w:tcBorders>
              <w:top w:val="single" w:sz="4" w:space="0" w:color="auto"/>
              <w:left w:val="nil"/>
              <w:bottom w:val="single" w:sz="4" w:space="0" w:color="auto"/>
              <w:right w:val="nil"/>
            </w:tcBorders>
            <w:noWrap/>
            <w:vAlign w:val="bottom"/>
            <w:hideMark/>
          </w:tcPr>
          <w:p w14:paraId="4748A483" w14:textId="77777777" w:rsidR="00055171" w:rsidRPr="008E4186" w:rsidRDefault="00055171" w:rsidP="00F01741">
            <w:pPr>
              <w:spacing w:after="0" w:line="480" w:lineRule="auto"/>
              <w:ind w:left="122"/>
              <w:contextualSpacing/>
              <w:rPr>
                <w:rFonts w:ascii="Arial" w:eastAsia="Calibri" w:hAnsi="Arial" w:cs="Arial"/>
                <w:b/>
                <w:color w:val="000000" w:themeColor="text1"/>
                <w:kern w:val="0"/>
                <w:sz w:val="20"/>
                <w:szCs w:val="20"/>
                <w:lang w:val="fr-FR" w:eastAsia="fr-FR"/>
                <w14:ligatures w14:val="none"/>
              </w:rPr>
            </w:pPr>
            <w:r w:rsidRPr="008E4186">
              <w:rPr>
                <w:rFonts w:ascii="Arial" w:eastAsia="Calibri" w:hAnsi="Arial" w:cs="Arial"/>
                <w:b/>
                <w:color w:val="000000" w:themeColor="text1"/>
                <w:kern w:val="0"/>
                <w:sz w:val="20"/>
                <w:szCs w:val="20"/>
                <w:lang w:val="fr-FR" w:eastAsia="fr-FR"/>
                <w14:ligatures w14:val="none"/>
              </w:rPr>
              <w:t>Proportion</w:t>
            </w:r>
          </w:p>
        </w:tc>
      </w:tr>
      <w:tr w:rsidR="00055171" w:rsidRPr="00DD2BE5" w14:paraId="23670272" w14:textId="77777777" w:rsidTr="00F01741">
        <w:trPr>
          <w:trHeight w:val="376"/>
        </w:trPr>
        <w:tc>
          <w:tcPr>
            <w:tcW w:w="4442" w:type="dxa"/>
            <w:tcBorders>
              <w:top w:val="nil"/>
              <w:left w:val="nil"/>
              <w:bottom w:val="nil"/>
              <w:right w:val="nil"/>
            </w:tcBorders>
            <w:noWrap/>
            <w:vAlign w:val="bottom"/>
            <w:hideMark/>
          </w:tcPr>
          <w:p w14:paraId="3C0C8EDC"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Sneezing</w:t>
            </w:r>
          </w:p>
        </w:tc>
        <w:tc>
          <w:tcPr>
            <w:tcW w:w="4557" w:type="dxa"/>
            <w:tcBorders>
              <w:top w:val="nil"/>
              <w:left w:val="nil"/>
              <w:bottom w:val="nil"/>
              <w:right w:val="nil"/>
            </w:tcBorders>
            <w:noWrap/>
            <w:vAlign w:val="center"/>
            <w:hideMark/>
          </w:tcPr>
          <w:p w14:paraId="48D1604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23,10</w:t>
            </w:r>
          </w:p>
        </w:tc>
      </w:tr>
      <w:tr w:rsidR="00055171" w:rsidRPr="00DD2BE5" w14:paraId="5F1558FF" w14:textId="77777777" w:rsidTr="00F01741">
        <w:trPr>
          <w:trHeight w:val="376"/>
        </w:trPr>
        <w:tc>
          <w:tcPr>
            <w:tcW w:w="4442" w:type="dxa"/>
            <w:tcBorders>
              <w:top w:val="nil"/>
              <w:left w:val="nil"/>
              <w:bottom w:val="nil"/>
              <w:right w:val="nil"/>
            </w:tcBorders>
            <w:noWrap/>
            <w:vAlign w:val="bottom"/>
          </w:tcPr>
          <w:p w14:paraId="41D59EEA"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Cough</w:t>
            </w:r>
          </w:p>
        </w:tc>
        <w:tc>
          <w:tcPr>
            <w:tcW w:w="4557" w:type="dxa"/>
            <w:tcBorders>
              <w:top w:val="nil"/>
              <w:left w:val="nil"/>
              <w:bottom w:val="nil"/>
              <w:right w:val="nil"/>
            </w:tcBorders>
            <w:noWrap/>
            <w:vAlign w:val="center"/>
          </w:tcPr>
          <w:p w14:paraId="3B3E462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96,20</w:t>
            </w:r>
          </w:p>
        </w:tc>
      </w:tr>
      <w:tr w:rsidR="00055171" w:rsidRPr="00DD2BE5" w14:paraId="3C835118" w14:textId="77777777" w:rsidTr="00F01741">
        <w:trPr>
          <w:trHeight w:val="376"/>
        </w:trPr>
        <w:tc>
          <w:tcPr>
            <w:tcW w:w="4442" w:type="dxa"/>
            <w:tcBorders>
              <w:top w:val="nil"/>
              <w:left w:val="nil"/>
              <w:bottom w:val="nil"/>
              <w:right w:val="nil"/>
            </w:tcBorders>
            <w:noWrap/>
            <w:vAlign w:val="bottom"/>
            <w:hideMark/>
          </w:tcPr>
          <w:p w14:paraId="510415E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Headache</w:t>
            </w:r>
          </w:p>
        </w:tc>
        <w:tc>
          <w:tcPr>
            <w:tcW w:w="4557" w:type="dxa"/>
            <w:tcBorders>
              <w:top w:val="nil"/>
              <w:left w:val="nil"/>
              <w:bottom w:val="nil"/>
              <w:right w:val="nil"/>
            </w:tcBorders>
            <w:noWrap/>
            <w:vAlign w:val="center"/>
            <w:hideMark/>
          </w:tcPr>
          <w:p w14:paraId="24C88AD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26,90</w:t>
            </w:r>
          </w:p>
        </w:tc>
      </w:tr>
      <w:tr w:rsidR="00055171" w:rsidRPr="00DD2BE5" w14:paraId="30BE2E34" w14:textId="77777777" w:rsidTr="00F01741">
        <w:trPr>
          <w:trHeight w:val="376"/>
        </w:trPr>
        <w:tc>
          <w:tcPr>
            <w:tcW w:w="4442" w:type="dxa"/>
            <w:tcBorders>
              <w:top w:val="nil"/>
              <w:left w:val="nil"/>
              <w:bottom w:val="nil"/>
              <w:right w:val="nil"/>
            </w:tcBorders>
            <w:noWrap/>
            <w:vAlign w:val="bottom"/>
          </w:tcPr>
          <w:p w14:paraId="14CACA4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Fever</w:t>
            </w:r>
          </w:p>
        </w:tc>
        <w:tc>
          <w:tcPr>
            <w:tcW w:w="4557" w:type="dxa"/>
            <w:tcBorders>
              <w:top w:val="nil"/>
              <w:left w:val="nil"/>
              <w:bottom w:val="nil"/>
              <w:right w:val="nil"/>
            </w:tcBorders>
            <w:noWrap/>
            <w:vAlign w:val="center"/>
          </w:tcPr>
          <w:p w14:paraId="42BEE75A"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92,66</w:t>
            </w:r>
          </w:p>
        </w:tc>
      </w:tr>
      <w:tr w:rsidR="00055171" w:rsidRPr="00DD2BE5" w14:paraId="0A19B6F7" w14:textId="77777777" w:rsidTr="00F01741">
        <w:trPr>
          <w:trHeight w:val="376"/>
        </w:trPr>
        <w:tc>
          <w:tcPr>
            <w:tcW w:w="4442" w:type="dxa"/>
            <w:tcBorders>
              <w:top w:val="nil"/>
              <w:left w:val="nil"/>
              <w:bottom w:val="nil"/>
              <w:right w:val="nil"/>
            </w:tcBorders>
            <w:noWrap/>
            <w:vAlign w:val="bottom"/>
            <w:hideMark/>
          </w:tcPr>
          <w:p w14:paraId="0AFF57D0"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Malaise</w:t>
            </w:r>
          </w:p>
        </w:tc>
        <w:tc>
          <w:tcPr>
            <w:tcW w:w="4557" w:type="dxa"/>
            <w:tcBorders>
              <w:top w:val="nil"/>
              <w:left w:val="nil"/>
              <w:bottom w:val="nil"/>
              <w:right w:val="nil"/>
            </w:tcBorders>
            <w:noWrap/>
            <w:vAlign w:val="center"/>
            <w:hideMark/>
          </w:tcPr>
          <w:p w14:paraId="00D86EA7"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0,82</w:t>
            </w:r>
          </w:p>
        </w:tc>
      </w:tr>
      <w:tr w:rsidR="00055171" w:rsidRPr="00DD2BE5" w14:paraId="32A352ED" w14:textId="77777777" w:rsidTr="00F01741">
        <w:trPr>
          <w:trHeight w:val="376"/>
        </w:trPr>
        <w:tc>
          <w:tcPr>
            <w:tcW w:w="4442" w:type="dxa"/>
            <w:tcBorders>
              <w:top w:val="nil"/>
              <w:left w:val="nil"/>
              <w:bottom w:val="nil"/>
              <w:right w:val="nil"/>
            </w:tcBorders>
            <w:noWrap/>
            <w:vAlign w:val="bottom"/>
            <w:hideMark/>
          </w:tcPr>
          <w:p w14:paraId="178CE159"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Chills</w:t>
            </w:r>
          </w:p>
        </w:tc>
        <w:tc>
          <w:tcPr>
            <w:tcW w:w="4557" w:type="dxa"/>
            <w:tcBorders>
              <w:top w:val="nil"/>
              <w:left w:val="nil"/>
              <w:bottom w:val="nil"/>
              <w:right w:val="nil"/>
            </w:tcBorders>
            <w:noWrap/>
            <w:vAlign w:val="center"/>
            <w:hideMark/>
          </w:tcPr>
          <w:p w14:paraId="12ADDA7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8,70</w:t>
            </w:r>
          </w:p>
        </w:tc>
      </w:tr>
      <w:tr w:rsidR="00055171" w:rsidRPr="00DD2BE5" w14:paraId="407DBD18" w14:textId="77777777" w:rsidTr="00F01741">
        <w:trPr>
          <w:trHeight w:val="376"/>
        </w:trPr>
        <w:tc>
          <w:tcPr>
            <w:tcW w:w="4442" w:type="dxa"/>
            <w:tcBorders>
              <w:top w:val="nil"/>
              <w:left w:val="nil"/>
              <w:bottom w:val="nil"/>
              <w:right w:val="nil"/>
            </w:tcBorders>
            <w:noWrap/>
            <w:vAlign w:val="bottom"/>
            <w:hideMark/>
          </w:tcPr>
          <w:p w14:paraId="3EB10CB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Sore throat</w:t>
            </w:r>
          </w:p>
        </w:tc>
        <w:tc>
          <w:tcPr>
            <w:tcW w:w="4557" w:type="dxa"/>
            <w:tcBorders>
              <w:top w:val="nil"/>
              <w:left w:val="nil"/>
              <w:bottom w:val="nil"/>
              <w:right w:val="nil"/>
            </w:tcBorders>
            <w:noWrap/>
            <w:vAlign w:val="center"/>
            <w:hideMark/>
          </w:tcPr>
          <w:p w14:paraId="294112DF"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9,78</w:t>
            </w:r>
          </w:p>
        </w:tc>
      </w:tr>
      <w:tr w:rsidR="00055171" w:rsidRPr="00DD2BE5" w14:paraId="0A4455CE" w14:textId="77777777" w:rsidTr="00F01741">
        <w:trPr>
          <w:trHeight w:val="376"/>
        </w:trPr>
        <w:tc>
          <w:tcPr>
            <w:tcW w:w="4442" w:type="dxa"/>
            <w:tcBorders>
              <w:top w:val="nil"/>
              <w:left w:val="nil"/>
              <w:bottom w:val="nil"/>
              <w:right w:val="nil"/>
            </w:tcBorders>
            <w:noWrap/>
            <w:vAlign w:val="bottom"/>
            <w:hideMark/>
          </w:tcPr>
          <w:p w14:paraId="32CC118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Myalgia</w:t>
            </w:r>
          </w:p>
        </w:tc>
        <w:tc>
          <w:tcPr>
            <w:tcW w:w="4557" w:type="dxa"/>
            <w:tcBorders>
              <w:top w:val="nil"/>
              <w:left w:val="nil"/>
              <w:bottom w:val="nil"/>
              <w:right w:val="nil"/>
            </w:tcBorders>
            <w:noWrap/>
            <w:vAlign w:val="center"/>
            <w:hideMark/>
          </w:tcPr>
          <w:p w14:paraId="59C8DFF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3,53</w:t>
            </w:r>
          </w:p>
        </w:tc>
      </w:tr>
      <w:tr w:rsidR="00055171" w:rsidRPr="00DD2BE5" w14:paraId="6D397700" w14:textId="77777777" w:rsidTr="00F01741">
        <w:trPr>
          <w:trHeight w:val="376"/>
        </w:trPr>
        <w:tc>
          <w:tcPr>
            <w:tcW w:w="4442" w:type="dxa"/>
            <w:tcBorders>
              <w:top w:val="nil"/>
              <w:left w:val="nil"/>
              <w:bottom w:val="nil"/>
              <w:right w:val="nil"/>
            </w:tcBorders>
            <w:noWrap/>
            <w:vAlign w:val="bottom"/>
            <w:hideMark/>
          </w:tcPr>
          <w:p w14:paraId="7A9C823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Arthralgia</w:t>
            </w:r>
          </w:p>
        </w:tc>
        <w:tc>
          <w:tcPr>
            <w:tcW w:w="4557" w:type="dxa"/>
            <w:tcBorders>
              <w:top w:val="nil"/>
              <w:left w:val="nil"/>
              <w:bottom w:val="nil"/>
              <w:right w:val="nil"/>
            </w:tcBorders>
            <w:noWrap/>
            <w:vAlign w:val="center"/>
            <w:hideMark/>
          </w:tcPr>
          <w:p w14:paraId="613C9BFF"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23,91</w:t>
            </w:r>
          </w:p>
        </w:tc>
      </w:tr>
      <w:tr w:rsidR="00055171" w:rsidRPr="00DD2BE5" w14:paraId="400BC8A7" w14:textId="77777777" w:rsidTr="00F01741">
        <w:trPr>
          <w:trHeight w:val="376"/>
        </w:trPr>
        <w:tc>
          <w:tcPr>
            <w:tcW w:w="4442" w:type="dxa"/>
            <w:tcBorders>
              <w:top w:val="nil"/>
              <w:left w:val="nil"/>
              <w:bottom w:val="nil"/>
              <w:right w:val="nil"/>
            </w:tcBorders>
            <w:noWrap/>
            <w:vAlign w:val="bottom"/>
          </w:tcPr>
          <w:p w14:paraId="5097346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Rhinorrhea</w:t>
            </w:r>
          </w:p>
        </w:tc>
        <w:tc>
          <w:tcPr>
            <w:tcW w:w="4557" w:type="dxa"/>
            <w:tcBorders>
              <w:top w:val="nil"/>
              <w:left w:val="nil"/>
              <w:bottom w:val="nil"/>
              <w:right w:val="nil"/>
            </w:tcBorders>
            <w:noWrap/>
            <w:vAlign w:val="center"/>
          </w:tcPr>
          <w:p w14:paraId="53C1775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81,79</w:t>
            </w:r>
          </w:p>
        </w:tc>
      </w:tr>
      <w:tr w:rsidR="00055171" w:rsidRPr="00DD2BE5" w14:paraId="3DD62BA9" w14:textId="77777777" w:rsidTr="00F01741">
        <w:trPr>
          <w:trHeight w:val="376"/>
        </w:trPr>
        <w:tc>
          <w:tcPr>
            <w:tcW w:w="4442" w:type="dxa"/>
            <w:tcBorders>
              <w:top w:val="nil"/>
              <w:left w:val="nil"/>
              <w:bottom w:val="nil"/>
              <w:right w:val="nil"/>
            </w:tcBorders>
            <w:noWrap/>
            <w:vAlign w:val="bottom"/>
            <w:hideMark/>
          </w:tcPr>
          <w:p w14:paraId="1F1D812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Anorexia</w:t>
            </w:r>
          </w:p>
        </w:tc>
        <w:tc>
          <w:tcPr>
            <w:tcW w:w="4557" w:type="dxa"/>
            <w:tcBorders>
              <w:top w:val="nil"/>
              <w:left w:val="nil"/>
              <w:bottom w:val="nil"/>
              <w:right w:val="nil"/>
            </w:tcBorders>
            <w:noWrap/>
            <w:vAlign w:val="center"/>
            <w:hideMark/>
          </w:tcPr>
          <w:p w14:paraId="49F1019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38,86</w:t>
            </w:r>
          </w:p>
        </w:tc>
      </w:tr>
      <w:tr w:rsidR="00055171" w:rsidRPr="00DD2BE5" w14:paraId="6F293086" w14:textId="77777777" w:rsidTr="00F01741">
        <w:trPr>
          <w:trHeight w:val="376"/>
        </w:trPr>
        <w:tc>
          <w:tcPr>
            <w:tcW w:w="4442" w:type="dxa"/>
            <w:tcBorders>
              <w:top w:val="nil"/>
              <w:left w:val="nil"/>
              <w:bottom w:val="single" w:sz="8" w:space="0" w:color="auto"/>
              <w:right w:val="nil"/>
            </w:tcBorders>
            <w:noWrap/>
            <w:vAlign w:val="bottom"/>
            <w:hideMark/>
          </w:tcPr>
          <w:p w14:paraId="5C55C244"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Physical asthenia</w:t>
            </w:r>
          </w:p>
        </w:tc>
        <w:tc>
          <w:tcPr>
            <w:tcW w:w="4557" w:type="dxa"/>
            <w:tcBorders>
              <w:top w:val="nil"/>
              <w:left w:val="nil"/>
              <w:bottom w:val="single" w:sz="8" w:space="0" w:color="auto"/>
              <w:right w:val="nil"/>
            </w:tcBorders>
            <w:noWrap/>
            <w:vAlign w:val="center"/>
            <w:hideMark/>
          </w:tcPr>
          <w:p w14:paraId="610A9CA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19,57</w:t>
            </w:r>
          </w:p>
        </w:tc>
      </w:tr>
    </w:tbl>
    <w:p w14:paraId="4CFC6B90" w14:textId="77777777" w:rsidR="00055171" w:rsidRDefault="00055171"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0E4257ED" w14:textId="77777777" w:rsidR="00E73D9A" w:rsidRDefault="00E73D9A"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2F666D01" w14:textId="5F013934"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Consultation delay exceeded 72 hours in 54.35% of cases, with abrupt onset in 91%. A total of 68 patients (18.47%) underwent RT-PCR testing, among whom 3 (4.41%) tested positive for influenza A(H3N2).</w:t>
      </w:r>
    </w:p>
    <w:p w14:paraId="3B38CB05" w14:textId="77777777" w:rsidR="00E73D9A" w:rsidRDefault="00E73D9A"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1F8CAA89" w14:textId="11F2F0E6" w:rsidR="00840AC1" w:rsidRDefault="0062302F" w:rsidP="00840AC1">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 xml:space="preserve">Antibiotic therapy was prescribed in 92.11% of patients at the end of the consultation. Cotrimoxazole was the most frequently prescribed antibiotic (69.02%), followed by amoxicillin (30.38%) and erythromycin (0.60%) (Table </w:t>
      </w:r>
      <w:r w:rsidR="00E769B6">
        <w:rPr>
          <w:rFonts w:ascii="Arial" w:eastAsia="Calibri" w:hAnsi="Arial" w:cs="Arial"/>
          <w:color w:val="000000"/>
          <w:kern w:val="0"/>
          <w:sz w:val="20"/>
          <w:szCs w:val="20"/>
          <w:lang w:val="fr-FR" w:eastAsia="fr-FR"/>
          <w14:ligatures w14:val="none"/>
        </w:rPr>
        <w:t>3</w:t>
      </w:r>
      <w:r w:rsidRPr="0014738D">
        <w:rPr>
          <w:rFonts w:ascii="Arial" w:eastAsia="Calibri" w:hAnsi="Arial" w:cs="Arial"/>
          <w:color w:val="000000"/>
          <w:kern w:val="0"/>
          <w:sz w:val="20"/>
          <w:szCs w:val="20"/>
          <w:lang w:val="fr-FR" w:eastAsia="fr-FR"/>
          <w14:ligatures w14:val="none"/>
        </w:rPr>
        <w:t xml:space="preserve">). </w:t>
      </w:r>
    </w:p>
    <w:p w14:paraId="591A2F81" w14:textId="77777777" w:rsidR="00294DBC" w:rsidRDefault="00294DBC" w:rsidP="00840AC1">
      <w:pPr>
        <w:spacing w:after="0" w:line="240" w:lineRule="auto"/>
        <w:ind w:left="10" w:hanging="10"/>
        <w:jc w:val="both"/>
        <w:rPr>
          <w:rFonts w:ascii="Arial" w:eastAsia="Calibri" w:hAnsi="Arial" w:cs="Arial"/>
          <w:color w:val="000000"/>
          <w:kern w:val="0"/>
          <w:sz w:val="20"/>
          <w:szCs w:val="20"/>
          <w:lang w:val="fr-FR" w:eastAsia="fr-FR"/>
          <w14:ligatures w14:val="none"/>
        </w:rPr>
      </w:pPr>
    </w:p>
    <w:p w14:paraId="1A7DCA94" w14:textId="77777777" w:rsidR="00294DBC" w:rsidRDefault="00294DBC" w:rsidP="00840AC1">
      <w:pPr>
        <w:spacing w:after="0" w:line="240" w:lineRule="auto"/>
        <w:ind w:left="10" w:hanging="10"/>
        <w:jc w:val="both"/>
        <w:rPr>
          <w:rFonts w:ascii="Arial" w:eastAsia="Calibri" w:hAnsi="Arial" w:cs="Arial"/>
          <w:color w:val="000000"/>
          <w:kern w:val="0"/>
          <w:sz w:val="20"/>
          <w:szCs w:val="20"/>
          <w:lang w:val="fr-FR" w:eastAsia="fr-FR"/>
          <w14:ligatures w14:val="none"/>
        </w:rPr>
      </w:pPr>
    </w:p>
    <w:p w14:paraId="76D11ED4" w14:textId="1BF0B816" w:rsidR="00E769B6" w:rsidRPr="00E81699" w:rsidRDefault="00E769B6" w:rsidP="00E769B6">
      <w:pPr>
        <w:spacing w:line="480" w:lineRule="auto"/>
        <w:jc w:val="both"/>
        <w:rPr>
          <w:rFonts w:ascii="Arial" w:eastAsia="Calibri" w:hAnsi="Arial" w:cs="Arial"/>
          <w:bCs/>
          <w:color w:val="000000" w:themeColor="text1"/>
          <w:kern w:val="0"/>
          <w:sz w:val="20"/>
          <w:szCs w:val="20"/>
          <w:lang w:val="fr-FR" w:eastAsia="fr-FR"/>
          <w14:ligatures w14:val="none"/>
        </w:rPr>
      </w:pPr>
      <w:r w:rsidRPr="000E03F7">
        <w:rPr>
          <w:rFonts w:ascii="Arial" w:eastAsia="Calibri" w:hAnsi="Arial" w:cs="Arial"/>
          <w:b/>
          <w:color w:val="000000" w:themeColor="text1"/>
          <w:kern w:val="0"/>
          <w:sz w:val="20"/>
          <w:szCs w:val="20"/>
          <w:lang w:val="fr-FR" w:eastAsia="fr-FR"/>
          <w14:ligatures w14:val="none"/>
        </w:rPr>
        <w:t xml:space="preserve">Table </w:t>
      </w:r>
      <w:r>
        <w:rPr>
          <w:rFonts w:ascii="Arial" w:eastAsia="Calibri" w:hAnsi="Arial" w:cs="Arial"/>
          <w:b/>
          <w:color w:val="000000" w:themeColor="text1"/>
          <w:kern w:val="0"/>
          <w:sz w:val="20"/>
          <w:szCs w:val="20"/>
          <w:lang w:val="fr-FR" w:eastAsia="fr-FR"/>
          <w14:ligatures w14:val="none"/>
        </w:rPr>
        <w:t>3</w:t>
      </w:r>
      <w:r w:rsidRPr="000E03F7">
        <w:rPr>
          <w:rFonts w:ascii="Arial" w:eastAsia="Calibri" w:hAnsi="Arial" w:cs="Arial"/>
          <w:b/>
          <w:color w:val="000000" w:themeColor="text1"/>
          <w:kern w:val="0"/>
          <w:sz w:val="20"/>
          <w:szCs w:val="20"/>
          <w:lang w:val="fr-FR" w:eastAsia="fr-FR"/>
          <w14:ligatures w14:val="none"/>
        </w:rPr>
        <w:t xml:space="preserve"> :</w:t>
      </w:r>
      <w:r w:rsidRPr="00F829C3">
        <w:rPr>
          <w:rFonts w:ascii="Times New Roman" w:hAnsi="Times New Roman" w:cs="Times New Roman"/>
          <w:lang w:val="fr-FR"/>
        </w:rPr>
        <w:t xml:space="preserve"> </w:t>
      </w:r>
      <w:r w:rsidR="00032BC5" w:rsidRPr="00032BC5">
        <w:rPr>
          <w:rFonts w:ascii="Arial" w:eastAsia="Calibri" w:hAnsi="Arial" w:cs="Arial"/>
          <w:bCs/>
          <w:color w:val="000000" w:themeColor="text1"/>
          <w:kern w:val="0"/>
          <w:sz w:val="20"/>
          <w:szCs w:val="20"/>
          <w:lang w:val="fr-FR" w:eastAsia="fr-FR"/>
          <w14:ligatures w14:val="none"/>
        </w:rPr>
        <w:t>Distribution of the 368 influenza-like illness cases received at the Gbéssia Port I sentinel site according to the main antibiotics prescribed, March - August 2020, Conakry (Guinea)</w:t>
      </w:r>
    </w:p>
    <w:tbl>
      <w:tblPr>
        <w:tblStyle w:val="TableGrid"/>
        <w:tblW w:w="0" w:type="auto"/>
        <w:tblLook w:val="04A0" w:firstRow="1" w:lastRow="0" w:firstColumn="1" w:lastColumn="0" w:noHBand="0" w:noVBand="1"/>
      </w:tblPr>
      <w:tblGrid>
        <w:gridCol w:w="6151"/>
        <w:gridCol w:w="3186"/>
      </w:tblGrid>
      <w:tr w:rsidR="00E769B6" w:rsidRPr="00DE62A6" w14:paraId="113F2CBF" w14:textId="77777777" w:rsidTr="00E769B6">
        <w:trPr>
          <w:trHeight w:val="493"/>
        </w:trPr>
        <w:tc>
          <w:tcPr>
            <w:tcW w:w="6151" w:type="dxa"/>
            <w:tcBorders>
              <w:left w:val="nil"/>
              <w:bottom w:val="single" w:sz="4" w:space="0" w:color="auto"/>
              <w:right w:val="nil"/>
            </w:tcBorders>
          </w:tcPr>
          <w:p w14:paraId="4F98A7C5" w14:textId="77777777" w:rsidR="00E769B6" w:rsidRPr="00DE62A6" w:rsidRDefault="00E769B6" w:rsidP="001320F1">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r w:rsidRPr="00DE62A6">
              <w:rPr>
                <w:rFonts w:ascii="Arial" w:eastAsia="Calibri" w:hAnsi="Arial" w:cs="Arial"/>
                <w:b/>
                <w:color w:val="000000" w:themeColor="text1"/>
                <w:kern w:val="0"/>
                <w:sz w:val="20"/>
                <w:szCs w:val="20"/>
                <w:lang w:val="fr-FR" w:eastAsia="fr-FR"/>
                <w14:ligatures w14:val="none"/>
              </w:rPr>
              <w:lastRenderedPageBreak/>
              <w:t>Prescribed antibiotics</w:t>
            </w:r>
          </w:p>
        </w:tc>
        <w:tc>
          <w:tcPr>
            <w:tcW w:w="3186" w:type="dxa"/>
            <w:tcBorders>
              <w:left w:val="nil"/>
              <w:bottom w:val="single" w:sz="4" w:space="0" w:color="auto"/>
              <w:right w:val="nil"/>
            </w:tcBorders>
          </w:tcPr>
          <w:p w14:paraId="2E691B0A" w14:textId="77777777" w:rsidR="00E769B6" w:rsidRPr="00DE62A6" w:rsidRDefault="00E769B6" w:rsidP="001320F1">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r w:rsidRPr="00DE62A6">
              <w:rPr>
                <w:rFonts w:ascii="Arial" w:eastAsia="Calibri" w:hAnsi="Arial" w:cs="Arial"/>
                <w:b/>
                <w:color w:val="000000" w:themeColor="text1"/>
                <w:kern w:val="0"/>
                <w:sz w:val="20"/>
                <w:szCs w:val="20"/>
                <w:lang w:val="fr-FR" w:eastAsia="fr-FR"/>
                <w14:ligatures w14:val="none"/>
              </w:rPr>
              <w:t>Proportion</w:t>
            </w:r>
          </w:p>
        </w:tc>
      </w:tr>
      <w:tr w:rsidR="00E769B6" w:rsidRPr="00DD2BE5" w14:paraId="47C06985" w14:textId="77777777" w:rsidTr="00E769B6">
        <w:trPr>
          <w:trHeight w:val="504"/>
        </w:trPr>
        <w:tc>
          <w:tcPr>
            <w:tcW w:w="6151" w:type="dxa"/>
            <w:tcBorders>
              <w:top w:val="nil"/>
              <w:left w:val="nil"/>
              <w:bottom w:val="nil"/>
              <w:right w:val="nil"/>
            </w:tcBorders>
          </w:tcPr>
          <w:p w14:paraId="3FA45442"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125 mg</w:t>
            </w:r>
          </w:p>
        </w:tc>
        <w:tc>
          <w:tcPr>
            <w:tcW w:w="3186" w:type="dxa"/>
            <w:tcBorders>
              <w:top w:val="nil"/>
              <w:left w:val="nil"/>
              <w:bottom w:val="nil"/>
              <w:right w:val="nil"/>
            </w:tcBorders>
          </w:tcPr>
          <w:p w14:paraId="1E413CA6"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6,49</w:t>
            </w:r>
          </w:p>
        </w:tc>
      </w:tr>
      <w:tr w:rsidR="00E769B6" w:rsidRPr="00DD2BE5" w14:paraId="065C14DF" w14:textId="77777777" w:rsidTr="00E769B6">
        <w:trPr>
          <w:trHeight w:val="493"/>
        </w:trPr>
        <w:tc>
          <w:tcPr>
            <w:tcW w:w="6151" w:type="dxa"/>
            <w:tcBorders>
              <w:top w:val="nil"/>
              <w:left w:val="nil"/>
              <w:bottom w:val="nil"/>
              <w:right w:val="nil"/>
            </w:tcBorders>
          </w:tcPr>
          <w:p w14:paraId="3B9CFC84"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250 mg</w:t>
            </w:r>
          </w:p>
        </w:tc>
        <w:tc>
          <w:tcPr>
            <w:tcW w:w="3186" w:type="dxa"/>
            <w:tcBorders>
              <w:top w:val="nil"/>
              <w:left w:val="nil"/>
              <w:bottom w:val="nil"/>
              <w:right w:val="nil"/>
            </w:tcBorders>
          </w:tcPr>
          <w:p w14:paraId="10902EB2"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12,68</w:t>
            </w:r>
          </w:p>
        </w:tc>
      </w:tr>
      <w:tr w:rsidR="00E769B6" w:rsidRPr="00DD2BE5" w14:paraId="1EE076DC" w14:textId="77777777" w:rsidTr="00E769B6">
        <w:trPr>
          <w:trHeight w:val="504"/>
        </w:trPr>
        <w:tc>
          <w:tcPr>
            <w:tcW w:w="6151" w:type="dxa"/>
            <w:tcBorders>
              <w:top w:val="nil"/>
              <w:left w:val="nil"/>
              <w:bottom w:val="nil"/>
              <w:right w:val="nil"/>
            </w:tcBorders>
          </w:tcPr>
          <w:p w14:paraId="159956F4"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500 mg</w:t>
            </w:r>
          </w:p>
        </w:tc>
        <w:tc>
          <w:tcPr>
            <w:tcW w:w="3186" w:type="dxa"/>
            <w:tcBorders>
              <w:top w:val="nil"/>
              <w:left w:val="nil"/>
              <w:bottom w:val="nil"/>
              <w:right w:val="nil"/>
            </w:tcBorders>
          </w:tcPr>
          <w:p w14:paraId="36A97B00"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11,21</w:t>
            </w:r>
          </w:p>
        </w:tc>
      </w:tr>
      <w:tr w:rsidR="00E769B6" w:rsidRPr="00DD2BE5" w14:paraId="2121AF23" w14:textId="77777777" w:rsidTr="00E769B6">
        <w:trPr>
          <w:trHeight w:val="493"/>
        </w:trPr>
        <w:tc>
          <w:tcPr>
            <w:tcW w:w="6151" w:type="dxa"/>
            <w:tcBorders>
              <w:top w:val="nil"/>
              <w:left w:val="nil"/>
              <w:bottom w:val="nil"/>
              <w:right w:val="nil"/>
            </w:tcBorders>
          </w:tcPr>
          <w:p w14:paraId="243C90D1"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Erythromycine 250 mg</w:t>
            </w:r>
          </w:p>
        </w:tc>
        <w:tc>
          <w:tcPr>
            <w:tcW w:w="3186" w:type="dxa"/>
            <w:tcBorders>
              <w:top w:val="nil"/>
              <w:left w:val="nil"/>
              <w:bottom w:val="nil"/>
              <w:right w:val="nil"/>
            </w:tcBorders>
          </w:tcPr>
          <w:p w14:paraId="428C72EC"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0,60</w:t>
            </w:r>
          </w:p>
        </w:tc>
      </w:tr>
      <w:tr w:rsidR="00E769B6" w:rsidRPr="00DD2BE5" w14:paraId="272DF02C" w14:textId="77777777" w:rsidTr="00E769B6">
        <w:trPr>
          <w:trHeight w:val="504"/>
        </w:trPr>
        <w:tc>
          <w:tcPr>
            <w:tcW w:w="6151" w:type="dxa"/>
            <w:tcBorders>
              <w:top w:val="nil"/>
              <w:left w:val="nil"/>
              <w:bottom w:val="nil"/>
              <w:right w:val="nil"/>
            </w:tcBorders>
          </w:tcPr>
          <w:p w14:paraId="24489EAB"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Cotrimoxazole 240 mg</w:t>
            </w:r>
          </w:p>
        </w:tc>
        <w:tc>
          <w:tcPr>
            <w:tcW w:w="3186" w:type="dxa"/>
            <w:tcBorders>
              <w:top w:val="nil"/>
              <w:left w:val="nil"/>
              <w:bottom w:val="nil"/>
              <w:right w:val="nil"/>
            </w:tcBorders>
          </w:tcPr>
          <w:p w14:paraId="10FBCE81"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26,25</w:t>
            </w:r>
          </w:p>
        </w:tc>
      </w:tr>
      <w:tr w:rsidR="00E769B6" w:rsidRPr="00DD2BE5" w14:paraId="566E1B8F" w14:textId="77777777" w:rsidTr="00E769B6">
        <w:trPr>
          <w:trHeight w:val="493"/>
        </w:trPr>
        <w:tc>
          <w:tcPr>
            <w:tcW w:w="6151" w:type="dxa"/>
            <w:tcBorders>
              <w:top w:val="nil"/>
              <w:left w:val="nil"/>
              <w:bottom w:val="single" w:sz="4" w:space="0" w:color="auto"/>
              <w:right w:val="nil"/>
            </w:tcBorders>
          </w:tcPr>
          <w:p w14:paraId="2863A280"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Cotrimoxazole 480 mg</w:t>
            </w:r>
          </w:p>
        </w:tc>
        <w:tc>
          <w:tcPr>
            <w:tcW w:w="3186" w:type="dxa"/>
            <w:tcBorders>
              <w:top w:val="nil"/>
              <w:left w:val="nil"/>
              <w:bottom w:val="single" w:sz="4" w:space="0" w:color="auto"/>
              <w:right w:val="nil"/>
            </w:tcBorders>
          </w:tcPr>
          <w:p w14:paraId="115DCC2A"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42,77</w:t>
            </w:r>
          </w:p>
        </w:tc>
      </w:tr>
    </w:tbl>
    <w:p w14:paraId="560CE0E7" w14:textId="77777777" w:rsidR="00E769B6" w:rsidRDefault="00E769B6"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384D5219" w14:textId="77777777" w:rsidR="00E769B6" w:rsidRDefault="00E769B6"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019BE0A4" w14:textId="471CD612" w:rsidR="0062302F"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majority of prescribers (69.6%) were unaware of both the existence of an influenza vaccine and etiological antiviral treatment.</w:t>
      </w:r>
    </w:p>
    <w:p w14:paraId="32FCD4DB" w14:textId="77777777" w:rsidR="004928E3" w:rsidRPr="0014738D" w:rsidRDefault="004928E3"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786ACFCF" w14:textId="3B651E2F" w:rsidR="0062302F" w:rsidRPr="00BE54E5" w:rsidRDefault="00164DC0"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 xml:space="preserve">4- </w:t>
      </w:r>
      <w:r w:rsidR="0062302F" w:rsidRPr="00BE54E5">
        <w:rPr>
          <w:rFonts w:ascii="Arial" w:eastAsia="Calibri" w:hAnsi="Arial" w:cs="Arial"/>
          <w:b/>
          <w:bCs/>
          <w:color w:val="000000"/>
          <w:kern w:val="0"/>
          <w:sz w:val="22"/>
          <w:szCs w:val="22"/>
          <w:lang w:val="fr-FR" w:eastAsia="fr-FR"/>
          <w14:ligatures w14:val="none"/>
        </w:rPr>
        <w:t>DISCUSSION</w:t>
      </w:r>
    </w:p>
    <w:p w14:paraId="1A9F5B05" w14:textId="77777777" w:rsidR="00164DC0" w:rsidRPr="0014738D" w:rsidRDefault="00164DC0"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Respiratory infections are a frequent cause of medical consultations. Although most of these infections are of viral origin, they account for nearly three-quarters of total antibiotic consumption. Indeed, bacterial infections of the upper and lower respiratory tract, particularly bronchitis, sinusitis, and pneumonia, are the most common complications of viral infections, especially influenza in both adults and children. The widespread use of antibiotics resulting from this situation is a major driver of the emergence of antibiotic resistance at both local and regional levels [19].</w:t>
      </w:r>
    </w:p>
    <w:p w14:paraId="27A1AFCF" w14:textId="0F60772B" w:rsidR="00164DC0" w:rsidRPr="0014738D" w:rsidRDefault="00164DC0"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Although accurate diagnosis of influenza remains challenging, rapid pathogen identification tests, such as RT-PCR for influenza viruses, are increasingly reliable and financially accessible. The use of antiviral drugs, particularly neuraminidase inhibitors, represents a specific and effective means of preventing and treating influenza. These agents have been shown to reduce the incidence of complications and the associated use of antibiotics. Unlike bacterial resistance to antibiotics, viral resistance to neuraminidase inhibitors is low, and their high specificity means they do not exert selective pressure on other species. Widespread adoption of these principles could therefore have a significant impact on antimicrobial use and resistance [19].</w:t>
      </w:r>
      <w:r w:rsidR="004C3546" w:rsidRPr="0014738D">
        <w:rPr>
          <w:rFonts w:ascii="Arial" w:eastAsia="Calibri" w:hAnsi="Arial" w:cs="Arial"/>
          <w:color w:val="000000"/>
          <w:kern w:val="0"/>
          <w:sz w:val="20"/>
          <w:szCs w:val="20"/>
          <w:lang w:val="fr-FR" w:eastAsia="fr-FR"/>
          <w14:ligatures w14:val="none"/>
        </w:rPr>
        <w:t xml:space="preserve"> </w:t>
      </w:r>
      <w:r w:rsidRPr="0014738D">
        <w:rPr>
          <w:rFonts w:ascii="Arial" w:eastAsia="Calibri" w:hAnsi="Arial" w:cs="Arial"/>
          <w:color w:val="000000"/>
          <w:kern w:val="0"/>
          <w:sz w:val="20"/>
          <w:szCs w:val="20"/>
          <w:lang w:val="fr-FR" w:eastAsia="fr-FR"/>
          <w14:ligatures w14:val="none"/>
        </w:rPr>
        <w:t>Despite its widespread use, the effectiveness of oseltamivir in the treatment of influenza remains uncertain. In adults with influenza, it shortens the time to alleviation of clinical symptoms, reduces the risk of lower respiratory tract complications and hospital admission, but increases the occurrence of nausea and vomiting [20].</w:t>
      </w:r>
      <w:r w:rsidR="004C3546" w:rsidRPr="0014738D">
        <w:rPr>
          <w:rFonts w:ascii="Arial" w:eastAsia="Calibri" w:hAnsi="Arial" w:cs="Arial"/>
          <w:color w:val="000000"/>
          <w:kern w:val="0"/>
          <w:sz w:val="20"/>
          <w:szCs w:val="20"/>
          <w:lang w:val="fr-FR" w:eastAsia="fr-FR"/>
          <w14:ligatures w14:val="none"/>
        </w:rPr>
        <w:t xml:space="preserve"> </w:t>
      </w:r>
      <w:r w:rsidRPr="0014738D">
        <w:rPr>
          <w:rFonts w:ascii="Arial" w:eastAsia="Calibri" w:hAnsi="Arial" w:cs="Arial"/>
          <w:color w:val="000000"/>
          <w:kern w:val="0"/>
          <w:sz w:val="20"/>
          <w:szCs w:val="20"/>
          <w:lang w:val="fr-FR" w:eastAsia="fr-FR"/>
          <w14:ligatures w14:val="none"/>
        </w:rPr>
        <w:t>Frequent alterations in the antigenic structures of respiratory viruses, particularly RNA viruses, complicate the development of effective vaccines. The lack of optimal medications and the shortage of effective vaccines suggest the need to explore alternative natural therapies. Several herbal remedies have been used for the prevention and treatment of viral respiratory diseases [21]. In our study, none of the patients had been vaccinated against influenza. In Guinea, the influenza vaccine is not available. The establishment of sentinel surveillance sites with identification of circulating strains should encourage health authorities to make both the vaccine and antiviral treatment available.</w:t>
      </w:r>
    </w:p>
    <w:p w14:paraId="66852955" w14:textId="1F1878A0" w:rsidR="00164DC0" w:rsidRPr="0014738D" w:rsidRDefault="00164DC0"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 xml:space="preserve">Several studies confirm that antibiotics are overprescribed in patients with influenza or influenza-like illness, even in the absence of signs of bacterial infection and among patients without comorbidities. There is no evidence supporting the benefit of antibiotic prescription in influenza patients without bacterial infection [22]. In the United States, more than half of consultations for acute respiratory tract infections result in an antibiotic prescription, up to 55% of which are considered unnecessary, leading to an estimated excess cost of 726 </w:t>
      </w:r>
      <w:proofErr w:type="gramStart"/>
      <w:r w:rsidRPr="0014738D">
        <w:rPr>
          <w:rFonts w:ascii="Arial" w:eastAsia="Calibri" w:hAnsi="Arial" w:cs="Arial"/>
          <w:color w:val="000000"/>
          <w:kern w:val="0"/>
          <w:sz w:val="20"/>
          <w:szCs w:val="20"/>
          <w:lang w:val="fr-FR" w:eastAsia="fr-FR"/>
          <w14:ligatures w14:val="none"/>
        </w:rPr>
        <w:t>million</w:t>
      </w:r>
      <w:proofErr w:type="gramEnd"/>
      <w:r w:rsidRPr="0014738D">
        <w:rPr>
          <w:rFonts w:ascii="Arial" w:eastAsia="Calibri" w:hAnsi="Arial" w:cs="Arial"/>
          <w:color w:val="000000"/>
          <w:kern w:val="0"/>
          <w:sz w:val="20"/>
          <w:szCs w:val="20"/>
          <w:lang w:val="fr-FR" w:eastAsia="fr-FR"/>
          <w14:ligatures w14:val="none"/>
        </w:rPr>
        <w:t xml:space="preserve"> US dollars per year [23,24].</w:t>
      </w:r>
      <w:r w:rsidR="004C3546" w:rsidRPr="0014738D">
        <w:rPr>
          <w:rFonts w:ascii="Arial" w:eastAsia="Calibri" w:hAnsi="Arial" w:cs="Arial"/>
          <w:color w:val="000000"/>
          <w:kern w:val="0"/>
          <w:sz w:val="20"/>
          <w:szCs w:val="20"/>
          <w:lang w:val="fr-FR" w:eastAsia="fr-FR"/>
          <w14:ligatures w14:val="none"/>
        </w:rPr>
        <w:t xml:space="preserve"> </w:t>
      </w:r>
      <w:r w:rsidRPr="0014738D">
        <w:rPr>
          <w:rFonts w:ascii="Arial" w:eastAsia="Calibri" w:hAnsi="Arial" w:cs="Arial"/>
          <w:color w:val="000000"/>
          <w:kern w:val="0"/>
          <w:sz w:val="20"/>
          <w:szCs w:val="20"/>
          <w:lang w:val="fr-FR" w:eastAsia="fr-FR"/>
          <w14:ligatures w14:val="none"/>
        </w:rPr>
        <w:t>In Germany, antibiotic prescribing among patients with influenza shows that 41.92% of influenza patients received an antibiotic prescription during the influenza season [25]. France has reported higher antibiotic consumption compared with other European Union countries, with beta-lactam penicillins being the most commonly consumed class, widely used in the treatment of respiratory infections. This class has increased over time and was correlated with the incidence of influenza-like illness [26].</w:t>
      </w:r>
      <w:r w:rsidR="004C3546" w:rsidRPr="0014738D">
        <w:rPr>
          <w:rFonts w:ascii="Arial" w:eastAsia="Calibri" w:hAnsi="Arial" w:cs="Arial"/>
          <w:color w:val="000000"/>
          <w:kern w:val="0"/>
          <w:sz w:val="20"/>
          <w:szCs w:val="20"/>
          <w:lang w:val="fr-FR" w:eastAsia="fr-FR"/>
          <w14:ligatures w14:val="none"/>
        </w:rPr>
        <w:t xml:space="preserve"> </w:t>
      </w:r>
      <w:r w:rsidRPr="0014738D">
        <w:rPr>
          <w:rFonts w:ascii="Arial" w:eastAsia="Calibri" w:hAnsi="Arial" w:cs="Arial"/>
          <w:color w:val="000000"/>
          <w:kern w:val="0"/>
          <w:sz w:val="20"/>
          <w:szCs w:val="20"/>
          <w:lang w:val="fr-FR" w:eastAsia="fr-FR"/>
          <w14:ligatures w14:val="none"/>
        </w:rPr>
        <w:t xml:space="preserve">In low-resource settings, antibiotic overprescription for respiratory infections </w:t>
      </w:r>
      <w:r w:rsidRPr="0014738D">
        <w:rPr>
          <w:rFonts w:ascii="Arial" w:eastAsia="Calibri" w:hAnsi="Arial" w:cs="Arial"/>
          <w:color w:val="000000"/>
          <w:kern w:val="0"/>
          <w:sz w:val="20"/>
          <w:szCs w:val="20"/>
          <w:lang w:val="fr-FR" w:eastAsia="fr-FR"/>
          <w14:ligatures w14:val="none"/>
        </w:rPr>
        <w:lastRenderedPageBreak/>
        <w:t>appears to be even more frequent. In rural Thailand, 82% of patients presenting to outpatient clinics with influenza-like illness received an antibiotic prescription [27]. Similarly, in southern Sri Lanka, 81% of patients with influenza-like illness received an antibiotic in the absence of influenza testing results, although nearly 50% were subsequently confirmed to be positive for influenza virus infection [28]. In our series, the majority of participants (92%) received an antibiotic prescription at the end of the consultation.</w:t>
      </w:r>
    </w:p>
    <w:p w14:paraId="27D72D7F" w14:textId="77777777" w:rsidR="00164DC0" w:rsidRDefault="00164DC0"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reasons for this overprescription are multifactorial, including the lack of rapid and specific diagnostic tests to differentiate viral from bacterial infections, limited awareness of appropriate prescribing guidelines among healthcare workers, and patient expectations regarding antibiotic treatment [29]. In low-resource settings, additional factors such as high patient-to-physician ratios and the inability to ensure adequate medical follow-up may further contribute to excessive antibiotic prescribing [27]. Beyond increasing healthcare costs, antibiotic overprescription is associated with adverse drug reactions and the emergence of antimicrobial resistance [23,30].</w:t>
      </w:r>
    </w:p>
    <w:p w14:paraId="138FCE76" w14:textId="77777777" w:rsidR="00374CC2" w:rsidRPr="0014738D" w:rsidRDefault="00374CC2"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64EE81CE" w14:textId="77777777" w:rsidR="00164DC0" w:rsidRPr="00BE54E5" w:rsidRDefault="00164DC0"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CONCLUSION</w:t>
      </w:r>
    </w:p>
    <w:p w14:paraId="0E8D74D8" w14:textId="77777777" w:rsidR="00164DC0" w:rsidRPr="0014738D" w:rsidRDefault="00164DC0"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Antibiotic prescription during influenza-like illnesses is a common practice at the Gbéssia Port I health center in the Republic of Guinea. The majority of patients (92%) received an antibiotic prescription at the end of the consultation. Sulfonamides, particularly cotrimoxazole, were the most frequently prescribed antibiotics.</w:t>
      </w:r>
    </w:p>
    <w:p w14:paraId="6BDCD8D1" w14:textId="15E3B2E5" w:rsidR="0062302F" w:rsidRDefault="00164DC0" w:rsidP="0014738D">
      <w:pPr>
        <w:spacing w:after="0" w:line="240" w:lineRule="auto"/>
        <w:ind w:left="10" w:hanging="10"/>
        <w:jc w:val="both"/>
        <w:rPr>
          <w:rFonts w:ascii="Times New Roman" w:hAnsi="Times New Roman" w:cs="Times New Roman"/>
        </w:rPr>
      </w:pPr>
      <w:r w:rsidRPr="0014738D">
        <w:rPr>
          <w:rFonts w:ascii="Arial" w:eastAsia="Calibri" w:hAnsi="Arial" w:cs="Arial"/>
          <w:color w:val="000000"/>
          <w:kern w:val="0"/>
          <w:sz w:val="20"/>
          <w:szCs w:val="20"/>
          <w:lang w:val="fr-FR" w:eastAsia="fr-FR"/>
          <w14:ligatures w14:val="none"/>
        </w:rPr>
        <w:t>Information dissemination and continuous training of healthcare workers on the viral etiology of influenza are essential to improve case management and promote the rational use of antibiotics</w:t>
      </w:r>
      <w:r w:rsidRPr="00164DC0">
        <w:rPr>
          <w:rFonts w:ascii="Times New Roman" w:hAnsi="Times New Roman" w:cs="Times New Roman"/>
        </w:rPr>
        <w:t>.</w:t>
      </w:r>
    </w:p>
    <w:p w14:paraId="32B9821B" w14:textId="77777777" w:rsidR="00374CC2" w:rsidRPr="00164DC0" w:rsidRDefault="00374CC2" w:rsidP="0014738D">
      <w:pPr>
        <w:spacing w:after="0" w:line="240" w:lineRule="auto"/>
        <w:ind w:left="10" w:hanging="10"/>
        <w:jc w:val="both"/>
        <w:rPr>
          <w:rFonts w:ascii="Times New Roman" w:hAnsi="Times New Roman" w:cs="Times New Roman"/>
        </w:rPr>
      </w:pPr>
    </w:p>
    <w:p w14:paraId="288D4BB6" w14:textId="77777777" w:rsidR="0062302F" w:rsidRPr="00BE54E5" w:rsidRDefault="0062302F"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ARTIFICIAL INTELLIGENCE DECLARATION</w:t>
      </w:r>
    </w:p>
    <w:p w14:paraId="0712CCAF" w14:textId="77777777" w:rsidR="0062302F"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Generative artificial intelligence technologies, such as large language models (ChatGPT, Copilot, etc.) and text-image generators, were not used in the writing of this manuscript.</w:t>
      </w:r>
    </w:p>
    <w:p w14:paraId="35AC1A39" w14:textId="77777777" w:rsidR="00374CC2" w:rsidRPr="0014738D" w:rsidRDefault="00374CC2"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613ACF57" w14:textId="77777777" w:rsidR="0062302F" w:rsidRPr="00BE54E5" w:rsidRDefault="0062302F"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CONSENT</w:t>
      </w:r>
    </w:p>
    <w:p w14:paraId="25EC3A57" w14:textId="3904E601" w:rsidR="0062302F" w:rsidRDefault="002E2079"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Written informed consent was obtained from each patient.</w:t>
      </w:r>
    </w:p>
    <w:p w14:paraId="37A44F72" w14:textId="77777777" w:rsidR="00374CC2" w:rsidRPr="0014738D" w:rsidRDefault="00374CC2"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7286DC57" w14:textId="77777777" w:rsidR="0062302F" w:rsidRPr="00BE54E5" w:rsidRDefault="0062302F"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ETHICAL APPROVAL</w:t>
      </w:r>
    </w:p>
    <w:p w14:paraId="70E9DC15" w14:textId="77777777" w:rsidR="0062302F" w:rsidRPr="0014738D"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The study protocol was approved by the Ethics Committee of the Faculty of Health Sciences and Technology at Gamal Abdel Nasser University of Conakry.</w:t>
      </w:r>
    </w:p>
    <w:p w14:paraId="56AD02C5" w14:textId="77777777" w:rsidR="0062302F" w:rsidRDefault="0062302F" w:rsidP="0014738D">
      <w:pPr>
        <w:spacing w:after="0" w:line="240" w:lineRule="auto"/>
        <w:ind w:left="10" w:hanging="10"/>
        <w:jc w:val="both"/>
        <w:rPr>
          <w:rFonts w:ascii="Arial" w:eastAsia="Calibri" w:hAnsi="Arial" w:cs="Arial"/>
          <w:color w:val="000000"/>
          <w:kern w:val="0"/>
          <w:sz w:val="20"/>
          <w:szCs w:val="20"/>
          <w:lang w:val="fr-FR" w:eastAsia="fr-FR"/>
          <w14:ligatures w14:val="none"/>
        </w:rPr>
      </w:pPr>
      <w:r w:rsidRPr="0014738D">
        <w:rPr>
          <w:rFonts w:ascii="Arial" w:eastAsia="Calibri" w:hAnsi="Arial" w:cs="Arial"/>
          <w:color w:val="000000"/>
          <w:kern w:val="0"/>
          <w:sz w:val="20"/>
          <w:szCs w:val="20"/>
          <w:lang w:val="fr-FR" w:eastAsia="fr-FR"/>
          <w14:ligatures w14:val="none"/>
        </w:rPr>
        <w:t>Patient anonymity and data confidentiality were respected.</w:t>
      </w:r>
    </w:p>
    <w:p w14:paraId="562CE4A1" w14:textId="77777777" w:rsidR="00374CC2" w:rsidRPr="0014738D" w:rsidRDefault="00374CC2"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0B8969D5" w14:textId="77777777" w:rsidR="0062302F" w:rsidRPr="00BE54E5" w:rsidRDefault="0062302F"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COMPETING INTERESTS</w:t>
      </w:r>
    </w:p>
    <w:p w14:paraId="4CE720AE" w14:textId="753C17D4" w:rsidR="0062302F" w:rsidRDefault="0062302F"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The authors declare no competing interests.</w:t>
      </w:r>
    </w:p>
    <w:p w14:paraId="5EE9762B" w14:textId="77777777" w:rsidR="00374CC2" w:rsidRPr="009B0FD3" w:rsidRDefault="00374CC2" w:rsidP="009B0FD3">
      <w:pPr>
        <w:spacing w:after="0" w:line="240" w:lineRule="auto"/>
        <w:ind w:left="10" w:hanging="10"/>
        <w:jc w:val="both"/>
        <w:rPr>
          <w:rFonts w:ascii="Arial" w:eastAsia="Calibri" w:hAnsi="Arial" w:cs="Arial"/>
          <w:color w:val="000000"/>
          <w:kern w:val="0"/>
          <w:sz w:val="20"/>
          <w:szCs w:val="20"/>
          <w:lang w:val="fr-FR" w:eastAsia="fr-FR"/>
          <w14:ligatures w14:val="none"/>
        </w:rPr>
      </w:pPr>
    </w:p>
    <w:p w14:paraId="0081E0AE" w14:textId="77777777" w:rsidR="00164DC0" w:rsidRPr="00BE54E5" w:rsidRDefault="00164DC0" w:rsidP="00BE54E5">
      <w:pPr>
        <w:spacing w:after="0" w:line="364" w:lineRule="auto"/>
        <w:ind w:left="10" w:hanging="10"/>
        <w:jc w:val="both"/>
        <w:rPr>
          <w:rFonts w:ascii="Arial" w:eastAsia="Calibri" w:hAnsi="Arial" w:cs="Arial"/>
          <w:b/>
          <w:bCs/>
          <w:color w:val="000000"/>
          <w:kern w:val="0"/>
          <w:sz w:val="22"/>
          <w:szCs w:val="22"/>
          <w:lang w:val="fr-FR" w:eastAsia="fr-FR"/>
          <w14:ligatures w14:val="none"/>
        </w:rPr>
      </w:pPr>
      <w:r w:rsidRPr="00BE54E5">
        <w:rPr>
          <w:rFonts w:ascii="Arial" w:eastAsia="Calibri" w:hAnsi="Arial" w:cs="Arial"/>
          <w:b/>
          <w:bCs/>
          <w:color w:val="000000"/>
          <w:kern w:val="0"/>
          <w:sz w:val="22"/>
          <w:szCs w:val="22"/>
          <w:lang w:val="fr-FR" w:eastAsia="fr-FR"/>
          <w14:ligatures w14:val="none"/>
        </w:rPr>
        <w:t xml:space="preserve">REFERENCES </w:t>
      </w:r>
    </w:p>
    <w:p w14:paraId="1195208C" w14:textId="2797BEA9"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 </w:t>
      </w:r>
      <w:r w:rsidR="003E7D25" w:rsidRPr="003E7D25">
        <w:rPr>
          <w:rFonts w:ascii="Arial" w:eastAsia="Calibri" w:hAnsi="Arial" w:cs="Arial"/>
          <w:color w:val="000000"/>
          <w:kern w:val="0"/>
          <w:sz w:val="20"/>
          <w:szCs w:val="20"/>
          <w:lang w:val="fr-FR" w:eastAsia="fr-FR"/>
          <w14:ligatures w14:val="none"/>
        </w:rPr>
        <w:t xml:space="preserve">Dapat, C., Saito, R., Kyaw, Y., Naito, M., Hasegawa, G., Suzuki, Y., Dapat, I. C., Zaraket, H., Cho, T. M., Li, D., Oguma, T., Baranovich, T., &amp; Suzuki, H. (2009). Epidemiology of human influenza A and B viruses in Myanmar from 2005 to 2007. Intervirology, 52(6), 310-320. </w:t>
      </w:r>
      <w:hyperlink r:id="rId6" w:history="1">
        <w:r w:rsidR="003E7D25" w:rsidRPr="006B4AD5">
          <w:rPr>
            <w:rStyle w:val="Hyperlink"/>
            <w:rFonts w:ascii="Arial" w:eastAsia="Calibri" w:hAnsi="Arial" w:cs="Arial"/>
            <w:kern w:val="0"/>
            <w:sz w:val="20"/>
            <w:szCs w:val="20"/>
            <w:lang w:val="fr-FR" w:eastAsia="fr-FR"/>
            <w14:ligatures w14:val="none"/>
          </w:rPr>
          <w:t>https://doi.org/10.1159/000237738</w:t>
        </w:r>
      </w:hyperlink>
      <w:r w:rsidR="003E7D25">
        <w:rPr>
          <w:rFonts w:ascii="Arial" w:eastAsia="Calibri" w:hAnsi="Arial" w:cs="Arial"/>
          <w:color w:val="000000"/>
          <w:kern w:val="0"/>
          <w:sz w:val="20"/>
          <w:szCs w:val="20"/>
          <w:lang w:val="fr-FR" w:eastAsia="fr-FR"/>
          <w14:ligatures w14:val="none"/>
        </w:rPr>
        <w:t xml:space="preserve"> </w:t>
      </w:r>
    </w:p>
    <w:p w14:paraId="210E4A38" w14:textId="7DC02F72"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 </w:t>
      </w:r>
      <w:r w:rsidR="00350FFD" w:rsidRPr="00350FFD">
        <w:rPr>
          <w:rFonts w:ascii="Arial" w:eastAsia="Calibri" w:hAnsi="Arial" w:cs="Arial"/>
          <w:color w:val="000000"/>
          <w:kern w:val="0"/>
          <w:sz w:val="20"/>
          <w:szCs w:val="20"/>
          <w:lang w:val="fr-FR" w:eastAsia="fr-FR"/>
          <w14:ligatures w14:val="none"/>
        </w:rPr>
        <w:t xml:space="preserve">Yazdanbakhsh, M., &amp; Kremsner, P. G. (2009). Influenza in Africa. PLoS Medicine, 6(12), e1000182. </w:t>
      </w:r>
      <w:hyperlink r:id="rId7" w:history="1">
        <w:r w:rsidR="00350FFD" w:rsidRPr="006B4AD5">
          <w:rPr>
            <w:rStyle w:val="Hyperlink"/>
            <w:rFonts w:ascii="Arial" w:eastAsia="Calibri" w:hAnsi="Arial" w:cs="Arial"/>
            <w:kern w:val="0"/>
            <w:sz w:val="20"/>
            <w:szCs w:val="20"/>
            <w:lang w:val="fr-FR" w:eastAsia="fr-FR"/>
            <w14:ligatures w14:val="none"/>
          </w:rPr>
          <w:t>https://doi.org/10.1371/journal.pmed.1000182</w:t>
        </w:r>
      </w:hyperlink>
      <w:r w:rsidR="00350FFD">
        <w:rPr>
          <w:rFonts w:ascii="Arial" w:eastAsia="Calibri" w:hAnsi="Arial" w:cs="Arial"/>
          <w:color w:val="000000"/>
          <w:kern w:val="0"/>
          <w:sz w:val="20"/>
          <w:szCs w:val="20"/>
          <w:lang w:val="fr-FR" w:eastAsia="fr-FR"/>
          <w14:ligatures w14:val="none"/>
        </w:rPr>
        <w:t xml:space="preserve"> </w:t>
      </w:r>
    </w:p>
    <w:p w14:paraId="3C41FD87" w14:textId="651D59F0"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3- </w:t>
      </w:r>
      <w:r w:rsidR="00314A04" w:rsidRPr="00314A04">
        <w:rPr>
          <w:rFonts w:ascii="Arial" w:eastAsia="Calibri" w:hAnsi="Arial" w:cs="Arial"/>
          <w:color w:val="000000"/>
          <w:kern w:val="0"/>
          <w:sz w:val="20"/>
          <w:szCs w:val="20"/>
          <w:lang w:val="fr-FR" w:eastAsia="fr-FR"/>
          <w14:ligatures w14:val="none"/>
        </w:rPr>
        <w:t xml:space="preserve">Iuliano, A. D., Roguski, K. M., Chang, H. H., Muscatello, D. J., Palekar, R., Tempia, S., Cohen, C., Gran, J. M., Schanzer, D., Cowling, B. J., Wu, P., Kyncl, J., Ang, L. W., Park, M., Redlberger-Fritz, M., Yu, H., Espenhain, L., Krishnan, A., Emukule, G., ... Bresee, J. S. (2018). Estimates of global seasonal influenza-associated respiratory </w:t>
      </w:r>
      <w:proofErr w:type="gramStart"/>
      <w:r w:rsidR="00314A04" w:rsidRPr="00314A04">
        <w:rPr>
          <w:rFonts w:ascii="Arial" w:eastAsia="Calibri" w:hAnsi="Arial" w:cs="Arial"/>
          <w:color w:val="000000"/>
          <w:kern w:val="0"/>
          <w:sz w:val="20"/>
          <w:szCs w:val="20"/>
          <w:lang w:val="fr-FR" w:eastAsia="fr-FR"/>
          <w14:ligatures w14:val="none"/>
        </w:rPr>
        <w:t>mortality:</w:t>
      </w:r>
      <w:proofErr w:type="gramEnd"/>
      <w:r w:rsidR="00314A04" w:rsidRPr="00314A04">
        <w:rPr>
          <w:rFonts w:ascii="Arial" w:eastAsia="Calibri" w:hAnsi="Arial" w:cs="Arial"/>
          <w:color w:val="000000"/>
          <w:kern w:val="0"/>
          <w:sz w:val="20"/>
          <w:szCs w:val="20"/>
          <w:lang w:val="fr-FR" w:eastAsia="fr-FR"/>
          <w14:ligatures w14:val="none"/>
        </w:rPr>
        <w:t xml:space="preserve"> a modelling study. *Lancet*, *391*(10127), 1285-1300. </w:t>
      </w:r>
      <w:hyperlink r:id="rId8" w:history="1">
        <w:r w:rsidR="00314A04" w:rsidRPr="006B4AD5">
          <w:rPr>
            <w:rStyle w:val="Hyperlink"/>
            <w:rFonts w:ascii="Arial" w:eastAsia="Calibri" w:hAnsi="Arial" w:cs="Arial"/>
            <w:kern w:val="0"/>
            <w:sz w:val="20"/>
            <w:szCs w:val="20"/>
            <w:lang w:val="fr-FR" w:eastAsia="fr-FR"/>
            <w14:ligatures w14:val="none"/>
          </w:rPr>
          <w:t>https://doi.org/10.1016/S0140-6736(17)33293-2</w:t>
        </w:r>
      </w:hyperlink>
      <w:r w:rsidR="00314A04">
        <w:rPr>
          <w:rFonts w:ascii="Arial" w:eastAsia="Calibri" w:hAnsi="Arial" w:cs="Arial"/>
          <w:color w:val="000000"/>
          <w:kern w:val="0"/>
          <w:sz w:val="20"/>
          <w:szCs w:val="20"/>
          <w:lang w:val="fr-FR" w:eastAsia="fr-FR"/>
          <w14:ligatures w14:val="none"/>
        </w:rPr>
        <w:t xml:space="preserve"> </w:t>
      </w:r>
    </w:p>
    <w:p w14:paraId="4AA8088F" w14:textId="32815723"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4- </w:t>
      </w:r>
      <w:bookmarkStart w:id="5" w:name="_Hlk211527326"/>
      <w:r w:rsidR="00A1284D" w:rsidRPr="00A1284D">
        <w:rPr>
          <w:rFonts w:ascii="Arial" w:eastAsia="Calibri" w:hAnsi="Arial" w:cs="Arial"/>
          <w:color w:val="000000"/>
          <w:kern w:val="0"/>
          <w:sz w:val="20"/>
          <w:szCs w:val="20"/>
          <w:lang w:val="fr-FR" w:eastAsia="fr-FR"/>
          <w14:ligatures w14:val="none"/>
        </w:rPr>
        <w:t xml:space="preserve">Organisation mondiale de la santé. (2025). Grippe saisonnière. </w:t>
      </w:r>
      <w:hyperlink r:id="rId9" w:history="1">
        <w:r w:rsidR="00A1284D" w:rsidRPr="006B4AD5">
          <w:rPr>
            <w:rStyle w:val="Hyperlink"/>
            <w:rFonts w:ascii="Arial" w:eastAsia="Calibri" w:hAnsi="Arial" w:cs="Arial"/>
            <w:kern w:val="0"/>
            <w:sz w:val="20"/>
            <w:szCs w:val="20"/>
            <w:lang w:val="fr-FR" w:eastAsia="fr-FR"/>
            <w14:ligatures w14:val="none"/>
          </w:rPr>
          <w:t>https://www.who.int/fr/news-room/fact-sheets/detail/influenza-(seasonal)</w:t>
        </w:r>
      </w:hyperlink>
      <w:r w:rsidR="00A1284D">
        <w:rPr>
          <w:rFonts w:ascii="Arial" w:eastAsia="Calibri" w:hAnsi="Arial" w:cs="Arial"/>
          <w:color w:val="000000"/>
          <w:kern w:val="0"/>
          <w:sz w:val="20"/>
          <w:szCs w:val="20"/>
          <w:lang w:val="fr-FR" w:eastAsia="fr-FR"/>
          <w14:ligatures w14:val="none"/>
        </w:rPr>
        <w:t xml:space="preserve"> </w:t>
      </w:r>
    </w:p>
    <w:bookmarkEnd w:id="5"/>
    <w:p w14:paraId="2B5D364F" w14:textId="2F1E3EA6"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5- </w:t>
      </w:r>
      <w:r w:rsidR="00F572A6" w:rsidRPr="00F572A6">
        <w:rPr>
          <w:rFonts w:ascii="Arial" w:eastAsia="Calibri" w:hAnsi="Arial" w:cs="Arial"/>
          <w:color w:val="000000"/>
          <w:kern w:val="0"/>
          <w:sz w:val="20"/>
          <w:szCs w:val="20"/>
          <w:lang w:val="fr-FR" w:eastAsia="fr-FR"/>
          <w14:ligatures w14:val="none"/>
        </w:rPr>
        <w:t xml:space="preserve">World Health Organization &amp; Centers for Disease Control and Prevention. (2010). Technical Guidelines for Integrated Disease Surveillance and Response in the African Region (2nd ed.). Brazzaville, Republic of </w:t>
      </w:r>
      <w:r w:rsidR="00F572A6" w:rsidRPr="00F572A6">
        <w:rPr>
          <w:rFonts w:ascii="Arial" w:eastAsia="Calibri" w:hAnsi="Arial" w:cs="Arial"/>
          <w:color w:val="000000"/>
          <w:kern w:val="0"/>
          <w:sz w:val="20"/>
          <w:szCs w:val="20"/>
          <w:lang w:val="fr-FR" w:eastAsia="fr-FR"/>
          <w14:ligatures w14:val="none"/>
        </w:rPr>
        <w:lastRenderedPageBreak/>
        <w:t xml:space="preserve">Congo and Atlanta, USA. </w:t>
      </w:r>
      <w:hyperlink r:id="rId10" w:history="1">
        <w:r w:rsidR="00F572A6" w:rsidRPr="006B4AD5">
          <w:rPr>
            <w:rStyle w:val="Hyperlink"/>
            <w:rFonts w:ascii="Arial" w:eastAsia="Calibri" w:hAnsi="Arial" w:cs="Arial"/>
            <w:kern w:val="0"/>
            <w:sz w:val="20"/>
            <w:szCs w:val="20"/>
            <w:lang w:val="fr-FR" w:eastAsia="fr-FR"/>
            <w14:ligatures w14:val="none"/>
          </w:rPr>
          <w:t>https://www.cdc.gov/globalhealth/healthprotection/idsr/pdf/technicalguidelines/idsrtechnical-guidelines-2nd-edition_2010_english.pdf</w:t>
        </w:r>
      </w:hyperlink>
      <w:r w:rsidR="00F572A6">
        <w:rPr>
          <w:rFonts w:ascii="Arial" w:eastAsia="Calibri" w:hAnsi="Arial" w:cs="Arial"/>
          <w:color w:val="000000"/>
          <w:kern w:val="0"/>
          <w:sz w:val="20"/>
          <w:szCs w:val="20"/>
          <w:lang w:val="fr-FR" w:eastAsia="fr-FR"/>
          <w14:ligatures w14:val="none"/>
        </w:rPr>
        <w:t xml:space="preserve"> </w:t>
      </w:r>
    </w:p>
    <w:p w14:paraId="31F93ECE" w14:textId="77777777"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6- Organisation mondiale de la santé. Gestion communautaire des cas lors d’une éclosion d’influenza : manuel du participant. Genève : OMS Press ; 2011.</w:t>
      </w:r>
    </w:p>
    <w:p w14:paraId="41EB30F7" w14:textId="04FC73CA"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7- </w:t>
      </w:r>
      <w:r w:rsidR="00707BC4" w:rsidRPr="00707BC4">
        <w:rPr>
          <w:rFonts w:ascii="Arial" w:eastAsia="Calibri" w:hAnsi="Arial" w:cs="Arial"/>
          <w:color w:val="000000"/>
          <w:kern w:val="0"/>
          <w:sz w:val="20"/>
          <w:szCs w:val="20"/>
          <w:lang w:val="fr-FR" w:eastAsia="fr-FR"/>
          <w14:ligatures w14:val="none"/>
        </w:rPr>
        <w:t xml:space="preserve">Hannoun, C. (1994). Role of international networks for the surveillance of influenza. European Journal of Epidemiology, 10(4), 459–461. </w:t>
      </w:r>
      <w:hyperlink r:id="rId11" w:history="1">
        <w:r w:rsidR="00707BC4" w:rsidRPr="006B4AD5">
          <w:rPr>
            <w:rStyle w:val="Hyperlink"/>
            <w:rFonts w:ascii="Arial" w:eastAsia="Calibri" w:hAnsi="Arial" w:cs="Arial"/>
            <w:kern w:val="0"/>
            <w:sz w:val="20"/>
            <w:szCs w:val="20"/>
            <w:lang w:val="fr-FR" w:eastAsia="fr-FR"/>
            <w14:ligatures w14:val="none"/>
          </w:rPr>
          <w:t>https://doi.org/10.1007/BF01719675</w:t>
        </w:r>
      </w:hyperlink>
      <w:r w:rsidR="00707BC4">
        <w:rPr>
          <w:rFonts w:ascii="Arial" w:eastAsia="Calibri" w:hAnsi="Arial" w:cs="Arial"/>
          <w:color w:val="000000"/>
          <w:kern w:val="0"/>
          <w:sz w:val="20"/>
          <w:szCs w:val="20"/>
          <w:lang w:val="fr-FR" w:eastAsia="fr-FR"/>
          <w14:ligatures w14:val="none"/>
        </w:rPr>
        <w:t xml:space="preserve"> </w:t>
      </w:r>
    </w:p>
    <w:p w14:paraId="76C23C2F" w14:textId="4EBBAD64"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8- </w:t>
      </w:r>
      <w:r w:rsidR="00EC4753" w:rsidRPr="00EC4753">
        <w:rPr>
          <w:rFonts w:ascii="Arial" w:eastAsia="Calibri" w:hAnsi="Arial" w:cs="Arial"/>
          <w:color w:val="000000"/>
          <w:kern w:val="0"/>
          <w:sz w:val="20"/>
          <w:szCs w:val="20"/>
          <w:lang w:val="fr-FR" w:eastAsia="fr-FR"/>
          <w14:ligatures w14:val="none"/>
        </w:rPr>
        <w:t xml:space="preserve">Katz, M. A., Schoub, B. D., Heraud, J. M., Breiman, R. F., Njenga, M. K., &amp; Widdowson, M. A. (2012). Influenza in </w:t>
      </w:r>
      <w:proofErr w:type="gramStart"/>
      <w:r w:rsidR="00EC4753" w:rsidRPr="00EC4753">
        <w:rPr>
          <w:rFonts w:ascii="Arial" w:eastAsia="Calibri" w:hAnsi="Arial" w:cs="Arial"/>
          <w:color w:val="000000"/>
          <w:kern w:val="0"/>
          <w:sz w:val="20"/>
          <w:szCs w:val="20"/>
          <w:lang w:val="fr-FR" w:eastAsia="fr-FR"/>
          <w14:ligatures w14:val="none"/>
        </w:rPr>
        <w:t>Africa:</w:t>
      </w:r>
      <w:proofErr w:type="gramEnd"/>
      <w:r w:rsidR="00EC4753" w:rsidRPr="00EC4753">
        <w:rPr>
          <w:rFonts w:ascii="Arial" w:eastAsia="Calibri" w:hAnsi="Arial" w:cs="Arial"/>
          <w:color w:val="000000"/>
          <w:kern w:val="0"/>
          <w:sz w:val="20"/>
          <w:szCs w:val="20"/>
          <w:lang w:val="fr-FR" w:eastAsia="fr-FR"/>
          <w14:ligatures w14:val="none"/>
        </w:rPr>
        <w:t xml:space="preserve"> Uncovering the Epidemiology of a Long-Overlooked Disease. Journal of Infectious Diseases, 206(Suppl 1), S1-S4. </w:t>
      </w:r>
      <w:hyperlink r:id="rId12" w:history="1">
        <w:r w:rsidR="00EC4753" w:rsidRPr="006B4AD5">
          <w:rPr>
            <w:rStyle w:val="Hyperlink"/>
            <w:rFonts w:ascii="Arial" w:eastAsia="Calibri" w:hAnsi="Arial" w:cs="Arial"/>
            <w:kern w:val="0"/>
            <w:sz w:val="20"/>
            <w:szCs w:val="20"/>
            <w:lang w:val="fr-FR" w:eastAsia="fr-FR"/>
            <w14:ligatures w14:val="none"/>
          </w:rPr>
          <w:t>https://doi.org/10.1093/infdis/jis548</w:t>
        </w:r>
      </w:hyperlink>
      <w:r w:rsidR="00EC4753">
        <w:rPr>
          <w:rFonts w:ascii="Arial" w:eastAsia="Calibri" w:hAnsi="Arial" w:cs="Arial"/>
          <w:color w:val="000000"/>
          <w:kern w:val="0"/>
          <w:sz w:val="20"/>
          <w:szCs w:val="20"/>
          <w:lang w:val="fr-FR" w:eastAsia="fr-FR"/>
          <w14:ligatures w14:val="none"/>
        </w:rPr>
        <w:t xml:space="preserve"> </w:t>
      </w:r>
    </w:p>
    <w:p w14:paraId="148BC9B8" w14:textId="40F97A05"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9- </w:t>
      </w:r>
      <w:r w:rsidR="008A4EDD" w:rsidRPr="008A4EDD">
        <w:rPr>
          <w:rFonts w:ascii="Arial" w:eastAsia="Calibri" w:hAnsi="Arial" w:cs="Arial"/>
          <w:color w:val="000000"/>
          <w:kern w:val="0"/>
          <w:sz w:val="20"/>
          <w:szCs w:val="20"/>
          <w:lang w:val="fr-FR" w:eastAsia="fr-FR"/>
          <w14:ligatures w14:val="none"/>
        </w:rPr>
        <w:t xml:space="preserve">Nzussouo, N. T., Duque, J., Adedeji, A. A., Coulibaly, D., Sow, S., Tarnagda, Z., Maman, I., Lagare, A., Makaya, S., Elkory, M. B., Adje, H. K., Shilo, P. A., Tamboura, B., Cisse, A., Badziklou, K., Maïnassara, H. B., Bara, A. O., Keita, A. M., Williams, T., Moen, A., Widdowson, M. A., &amp; McMorrow, M. (2017). Epidemiology of influenza in West Africa after the 2009 influenza A(H1N1) pandemic, 2010–2012. BMC Infectious Diseases, 17(1), 745. </w:t>
      </w:r>
      <w:hyperlink r:id="rId13" w:history="1">
        <w:r w:rsidR="008A4EDD" w:rsidRPr="006B4AD5">
          <w:rPr>
            <w:rStyle w:val="Hyperlink"/>
            <w:rFonts w:ascii="Arial" w:eastAsia="Calibri" w:hAnsi="Arial" w:cs="Arial"/>
            <w:kern w:val="0"/>
            <w:sz w:val="20"/>
            <w:szCs w:val="20"/>
            <w:lang w:val="fr-FR" w:eastAsia="fr-FR"/>
            <w14:ligatures w14:val="none"/>
          </w:rPr>
          <w:t>https://doi.org/10.1186/s12879-017-2839-1</w:t>
        </w:r>
      </w:hyperlink>
      <w:r w:rsidR="008A4EDD">
        <w:rPr>
          <w:rFonts w:ascii="Arial" w:eastAsia="Calibri" w:hAnsi="Arial" w:cs="Arial"/>
          <w:color w:val="000000"/>
          <w:kern w:val="0"/>
          <w:sz w:val="20"/>
          <w:szCs w:val="20"/>
          <w:lang w:val="fr-FR" w:eastAsia="fr-FR"/>
          <w14:ligatures w14:val="none"/>
        </w:rPr>
        <w:t xml:space="preserve"> </w:t>
      </w:r>
      <w:r w:rsidR="00F042B8">
        <w:rPr>
          <w:rFonts w:ascii="Arial" w:eastAsia="Calibri" w:hAnsi="Arial" w:cs="Arial"/>
          <w:color w:val="000000"/>
          <w:kern w:val="0"/>
          <w:sz w:val="20"/>
          <w:szCs w:val="20"/>
          <w:lang w:val="fr-FR" w:eastAsia="fr-FR"/>
          <w14:ligatures w14:val="none"/>
        </w:rPr>
        <w:tab/>
      </w:r>
      <w:r w:rsidRPr="009B0FD3">
        <w:rPr>
          <w:rFonts w:ascii="Arial" w:eastAsia="Calibri" w:hAnsi="Arial" w:cs="Arial"/>
          <w:color w:val="000000"/>
          <w:kern w:val="0"/>
          <w:sz w:val="20"/>
          <w:szCs w:val="20"/>
          <w:lang w:val="fr-FR" w:eastAsia="fr-FR"/>
          <w14:ligatures w14:val="none"/>
        </w:rPr>
        <w:t xml:space="preserve"> </w:t>
      </w:r>
    </w:p>
    <w:p w14:paraId="51C64806" w14:textId="3F587A10"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10- </w:t>
      </w:r>
      <w:r w:rsidR="00F042B8" w:rsidRPr="00F042B8">
        <w:rPr>
          <w:rFonts w:ascii="Arial" w:eastAsia="Calibri" w:hAnsi="Arial" w:cs="Arial"/>
          <w:color w:val="000000"/>
          <w:kern w:val="0"/>
          <w:sz w:val="20"/>
          <w:szCs w:val="20"/>
          <w:lang w:val="fr-FR" w:eastAsia="fr-FR"/>
          <w14:ligatures w14:val="none"/>
        </w:rPr>
        <w:t xml:space="preserve">Goossens, H., Ferech, M., Vander Stichele, R., &amp; Elseviers, M. (2005). Outpatient antibiotic use in Europe and association with </w:t>
      </w:r>
      <w:proofErr w:type="gramStart"/>
      <w:r w:rsidR="00F042B8" w:rsidRPr="00F042B8">
        <w:rPr>
          <w:rFonts w:ascii="Arial" w:eastAsia="Calibri" w:hAnsi="Arial" w:cs="Arial"/>
          <w:color w:val="000000"/>
          <w:kern w:val="0"/>
          <w:sz w:val="20"/>
          <w:szCs w:val="20"/>
          <w:lang w:val="fr-FR" w:eastAsia="fr-FR"/>
          <w14:ligatures w14:val="none"/>
        </w:rPr>
        <w:t>resistance:</w:t>
      </w:r>
      <w:proofErr w:type="gramEnd"/>
      <w:r w:rsidR="00F042B8" w:rsidRPr="00F042B8">
        <w:rPr>
          <w:rFonts w:ascii="Arial" w:eastAsia="Calibri" w:hAnsi="Arial" w:cs="Arial"/>
          <w:color w:val="000000"/>
          <w:kern w:val="0"/>
          <w:sz w:val="20"/>
          <w:szCs w:val="20"/>
          <w:lang w:val="fr-FR" w:eastAsia="fr-FR"/>
          <w14:ligatures w14:val="none"/>
        </w:rPr>
        <w:t xml:space="preserve"> a cross-national database study. Lancet, 365(9459), 579–587. </w:t>
      </w:r>
      <w:hyperlink r:id="rId14" w:history="1">
        <w:r w:rsidR="00F042B8" w:rsidRPr="006B4AD5">
          <w:rPr>
            <w:rStyle w:val="Hyperlink"/>
            <w:rFonts w:ascii="Arial" w:eastAsia="Calibri" w:hAnsi="Arial" w:cs="Arial"/>
            <w:kern w:val="0"/>
            <w:sz w:val="20"/>
            <w:szCs w:val="20"/>
            <w:lang w:val="fr-FR" w:eastAsia="fr-FR"/>
            <w14:ligatures w14:val="none"/>
          </w:rPr>
          <w:t>https://doi.org/10.1016/S0140-6736(05)17907-0</w:t>
        </w:r>
      </w:hyperlink>
      <w:r w:rsidR="00F042B8">
        <w:rPr>
          <w:rFonts w:ascii="Arial" w:eastAsia="Calibri" w:hAnsi="Arial" w:cs="Arial"/>
          <w:color w:val="000000"/>
          <w:kern w:val="0"/>
          <w:sz w:val="20"/>
          <w:szCs w:val="20"/>
          <w:lang w:val="fr-FR" w:eastAsia="fr-FR"/>
          <w14:ligatures w14:val="none"/>
        </w:rPr>
        <w:t xml:space="preserve"> </w:t>
      </w:r>
    </w:p>
    <w:p w14:paraId="3EC5E027" w14:textId="111B5E84"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11- </w:t>
      </w:r>
      <w:r w:rsidR="008A7643" w:rsidRPr="008A7643">
        <w:rPr>
          <w:rFonts w:ascii="Arial" w:eastAsia="Calibri" w:hAnsi="Arial" w:cs="Arial"/>
          <w:color w:val="000000"/>
          <w:kern w:val="0"/>
          <w:sz w:val="20"/>
          <w:szCs w:val="20"/>
          <w:lang w:val="fr-FR" w:eastAsia="fr-FR"/>
          <w14:ligatures w14:val="none"/>
        </w:rPr>
        <w:t xml:space="preserve">van de Sande-Bruinsma, N., Grundmann, H., Verloo, D., Tiemersma, E., Monen, J., Goossens, H., Ferech, M., European Antimicrobial Resistance Surveillance System Group, &amp; European Surveillance of Antimicrobial Consumption Project Group. (2008). Antimicrobial drug use and resistance in Europe. Emerging Infectious Diseases, 14(11), 1722-1730. </w:t>
      </w:r>
      <w:hyperlink r:id="rId15" w:history="1">
        <w:r w:rsidR="008A7643" w:rsidRPr="006B4AD5">
          <w:rPr>
            <w:rStyle w:val="Hyperlink"/>
            <w:rFonts w:ascii="Arial" w:eastAsia="Calibri" w:hAnsi="Arial" w:cs="Arial"/>
            <w:kern w:val="0"/>
            <w:sz w:val="20"/>
            <w:szCs w:val="20"/>
            <w:lang w:val="fr-FR" w:eastAsia="fr-FR"/>
            <w14:ligatures w14:val="none"/>
          </w:rPr>
          <w:t>https://doi.org/10.3201/eid1411.070467</w:t>
        </w:r>
      </w:hyperlink>
      <w:r w:rsidR="008A7643">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48350711" w14:textId="70548627"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12- </w:t>
      </w:r>
      <w:r w:rsidR="00FC0540" w:rsidRPr="00FC0540">
        <w:rPr>
          <w:rFonts w:ascii="Arial" w:eastAsia="Calibri" w:hAnsi="Arial" w:cs="Arial"/>
          <w:color w:val="000000"/>
          <w:kern w:val="0"/>
          <w:sz w:val="20"/>
          <w:szCs w:val="20"/>
          <w:lang w:val="fr-FR" w:eastAsia="fr-FR"/>
          <w14:ligatures w14:val="none"/>
        </w:rPr>
        <w:t xml:space="preserve">Bell, B. G., Schellevis, F., Stobberingh, E., Goossens, H., &amp; Pringle, M. (2014). A systematic review and meta-analysis of the effects of antibiotic consumption on antibiotic resistance. BMC Infectious Diseases, 14, 13. </w:t>
      </w:r>
      <w:hyperlink r:id="rId16" w:history="1">
        <w:r w:rsidR="00FC0540" w:rsidRPr="006B4AD5">
          <w:rPr>
            <w:rStyle w:val="Hyperlink"/>
            <w:rFonts w:ascii="Arial" w:eastAsia="Calibri" w:hAnsi="Arial" w:cs="Arial"/>
            <w:kern w:val="0"/>
            <w:sz w:val="20"/>
            <w:szCs w:val="20"/>
            <w:lang w:val="fr-FR" w:eastAsia="fr-FR"/>
            <w14:ligatures w14:val="none"/>
          </w:rPr>
          <w:t>https://doi.org/10.1186/1471-2334-14-13</w:t>
        </w:r>
      </w:hyperlink>
      <w:r w:rsidR="00FC0540">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355CFB48" w14:textId="78F7B913"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13- </w:t>
      </w:r>
      <w:r w:rsidR="003A3059" w:rsidRPr="003A3059">
        <w:rPr>
          <w:rFonts w:ascii="Arial" w:eastAsia="Calibri" w:hAnsi="Arial" w:cs="Arial"/>
          <w:color w:val="000000"/>
          <w:kern w:val="0"/>
          <w:sz w:val="20"/>
          <w:szCs w:val="20"/>
          <w:lang w:val="fr-FR" w:eastAsia="fr-FR"/>
          <w14:ligatures w14:val="none"/>
        </w:rPr>
        <w:t xml:space="preserve">Cassini, A., Högberg, L. D., Plachouras, D., Quattrocchi, A., Hoxha, A., Simonsen, G. S., Colomb-Cotinat, M., Kretzschmar, M. E., Devleesschauwer, B., Cecchini, M., Ait Ouakrim, D., Cravo Oliveira, T., Struelens, M. J., Suetens, C., &amp; Monnet, D. L. (2019). Attributable deaths and disability-adjusted life-years caused by infections with antibiotic-resistant bacteria in the EU and the European Economic Area in </w:t>
      </w:r>
      <w:proofErr w:type="gramStart"/>
      <w:r w:rsidR="003A3059" w:rsidRPr="003A3059">
        <w:rPr>
          <w:rFonts w:ascii="Arial" w:eastAsia="Calibri" w:hAnsi="Arial" w:cs="Arial"/>
          <w:color w:val="000000"/>
          <w:kern w:val="0"/>
          <w:sz w:val="20"/>
          <w:szCs w:val="20"/>
          <w:lang w:val="fr-FR" w:eastAsia="fr-FR"/>
          <w14:ligatures w14:val="none"/>
        </w:rPr>
        <w:t>2015:</w:t>
      </w:r>
      <w:proofErr w:type="gramEnd"/>
      <w:r w:rsidR="003A3059" w:rsidRPr="003A3059">
        <w:rPr>
          <w:rFonts w:ascii="Arial" w:eastAsia="Calibri" w:hAnsi="Arial" w:cs="Arial"/>
          <w:color w:val="000000"/>
          <w:kern w:val="0"/>
          <w:sz w:val="20"/>
          <w:szCs w:val="20"/>
          <w:lang w:val="fr-FR" w:eastAsia="fr-FR"/>
          <w14:ligatures w14:val="none"/>
        </w:rPr>
        <w:t xml:space="preserve"> A population-level modelling analysis. Lancet Infectious Diseases, 19(1), 56–66. </w:t>
      </w:r>
      <w:hyperlink r:id="rId17" w:history="1">
        <w:r w:rsidR="003A3059" w:rsidRPr="006B4AD5">
          <w:rPr>
            <w:rStyle w:val="Hyperlink"/>
            <w:rFonts w:ascii="Arial" w:eastAsia="Calibri" w:hAnsi="Arial" w:cs="Arial"/>
            <w:kern w:val="0"/>
            <w:sz w:val="20"/>
            <w:szCs w:val="20"/>
            <w:lang w:val="fr-FR" w:eastAsia="fr-FR"/>
            <w14:ligatures w14:val="none"/>
          </w:rPr>
          <w:t>https://doi.org/10.1016/S1473-3099(18)30605-4</w:t>
        </w:r>
      </w:hyperlink>
      <w:r w:rsidR="003A3059">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4B20C668" w14:textId="66B23821"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14- </w:t>
      </w:r>
      <w:r w:rsidR="00517416" w:rsidRPr="00517416">
        <w:rPr>
          <w:rFonts w:ascii="Arial" w:eastAsia="Calibri" w:hAnsi="Arial" w:cs="Arial"/>
          <w:color w:val="000000"/>
          <w:kern w:val="0"/>
          <w:sz w:val="20"/>
          <w:szCs w:val="20"/>
          <w:lang w:val="fr-FR" w:eastAsia="fr-FR"/>
          <w14:ligatures w14:val="none"/>
        </w:rPr>
        <w:t xml:space="preserve">Gulliford, M. C., Dregan, A., Moore, M. V., Ashworth, M., van Staa, T., McCann, G., Charlton, J., Yardley, L., Little, P., &amp; McDermott, L. (2014). Continued high rates of antibiotic prescribing to adults with respiratory tract </w:t>
      </w:r>
      <w:proofErr w:type="gramStart"/>
      <w:r w:rsidR="00517416" w:rsidRPr="00517416">
        <w:rPr>
          <w:rFonts w:ascii="Arial" w:eastAsia="Calibri" w:hAnsi="Arial" w:cs="Arial"/>
          <w:color w:val="000000"/>
          <w:kern w:val="0"/>
          <w:sz w:val="20"/>
          <w:szCs w:val="20"/>
          <w:lang w:val="fr-FR" w:eastAsia="fr-FR"/>
          <w14:ligatures w14:val="none"/>
        </w:rPr>
        <w:t>infection:</w:t>
      </w:r>
      <w:proofErr w:type="gramEnd"/>
      <w:r w:rsidR="00517416" w:rsidRPr="00517416">
        <w:rPr>
          <w:rFonts w:ascii="Arial" w:eastAsia="Calibri" w:hAnsi="Arial" w:cs="Arial"/>
          <w:color w:val="000000"/>
          <w:kern w:val="0"/>
          <w:sz w:val="20"/>
          <w:szCs w:val="20"/>
          <w:lang w:val="fr-FR" w:eastAsia="fr-FR"/>
          <w14:ligatures w14:val="none"/>
        </w:rPr>
        <w:t xml:space="preserve"> survey of 568 UK general practices. BMJ Open, 4(10), e006245. </w:t>
      </w:r>
      <w:hyperlink r:id="rId18" w:history="1">
        <w:r w:rsidR="00517416" w:rsidRPr="006B4AD5">
          <w:rPr>
            <w:rStyle w:val="Hyperlink"/>
            <w:rFonts w:ascii="Arial" w:eastAsia="Calibri" w:hAnsi="Arial" w:cs="Arial"/>
            <w:kern w:val="0"/>
            <w:sz w:val="20"/>
            <w:szCs w:val="20"/>
            <w:lang w:val="fr-FR" w:eastAsia="fr-FR"/>
            <w14:ligatures w14:val="none"/>
          </w:rPr>
          <w:t>https://doi.org/10.1136/bmjopen-2014-006245</w:t>
        </w:r>
      </w:hyperlink>
      <w:r w:rsidR="00517416">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43686809" w14:textId="15E408CA"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15- </w:t>
      </w:r>
      <w:r w:rsidR="00B3161D" w:rsidRPr="00B3161D">
        <w:rPr>
          <w:rFonts w:ascii="Arial" w:eastAsia="Calibri" w:hAnsi="Arial" w:cs="Arial"/>
          <w:color w:val="000000"/>
          <w:kern w:val="0"/>
          <w:sz w:val="20"/>
          <w:szCs w:val="20"/>
          <w:lang w:val="fr-FR" w:eastAsia="fr-FR"/>
          <w14:ligatures w14:val="none"/>
        </w:rPr>
        <w:t xml:space="preserve">Dolk, F. C. K., Pouwels, K. B., Smith, D. R. M., Robotham, J. V., &amp; Smieszek, T. (2018). Antibiotics in primary care in </w:t>
      </w:r>
      <w:proofErr w:type="gramStart"/>
      <w:r w:rsidR="00B3161D" w:rsidRPr="00B3161D">
        <w:rPr>
          <w:rFonts w:ascii="Arial" w:eastAsia="Calibri" w:hAnsi="Arial" w:cs="Arial"/>
          <w:color w:val="000000"/>
          <w:kern w:val="0"/>
          <w:sz w:val="20"/>
          <w:szCs w:val="20"/>
          <w:lang w:val="fr-FR" w:eastAsia="fr-FR"/>
          <w14:ligatures w14:val="none"/>
        </w:rPr>
        <w:t>England:</w:t>
      </w:r>
      <w:proofErr w:type="gramEnd"/>
      <w:r w:rsidR="00B3161D" w:rsidRPr="00B3161D">
        <w:rPr>
          <w:rFonts w:ascii="Arial" w:eastAsia="Calibri" w:hAnsi="Arial" w:cs="Arial"/>
          <w:color w:val="000000"/>
          <w:kern w:val="0"/>
          <w:sz w:val="20"/>
          <w:szCs w:val="20"/>
          <w:lang w:val="fr-FR" w:eastAsia="fr-FR"/>
          <w14:ligatures w14:val="none"/>
        </w:rPr>
        <w:t xml:space="preserve"> which antibiotics are prescribed and for which conditions? Journal of Antimicrobial Chemotherapy, 73(suppl_2), ii2–ii10. </w:t>
      </w:r>
      <w:hyperlink r:id="rId19" w:history="1">
        <w:r w:rsidR="00B3161D" w:rsidRPr="006B4AD5">
          <w:rPr>
            <w:rStyle w:val="Hyperlink"/>
            <w:rFonts w:ascii="Arial" w:eastAsia="Calibri" w:hAnsi="Arial" w:cs="Arial"/>
            <w:kern w:val="0"/>
            <w:sz w:val="20"/>
            <w:szCs w:val="20"/>
            <w:lang w:val="fr-FR" w:eastAsia="fr-FR"/>
            <w14:ligatures w14:val="none"/>
          </w:rPr>
          <w:t>https://doi.org/10.1093/jac/dkx504</w:t>
        </w:r>
      </w:hyperlink>
      <w:r w:rsidR="00B3161D">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176BFC76" w14:textId="505373D6"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16- </w:t>
      </w:r>
      <w:r w:rsidR="00752A2D" w:rsidRPr="00752A2D">
        <w:rPr>
          <w:rFonts w:ascii="Arial" w:eastAsia="Calibri" w:hAnsi="Arial" w:cs="Arial"/>
          <w:color w:val="000000"/>
          <w:kern w:val="0"/>
          <w:sz w:val="20"/>
          <w:szCs w:val="20"/>
          <w:lang w:val="fr-FR" w:eastAsia="fr-FR"/>
          <w14:ligatures w14:val="none"/>
        </w:rPr>
        <w:t xml:space="preserve">Alves Galvão, M. G., Rocha Crispino Santos, M. A., &amp; Alves da Cunha, A. J. (2016). Antibiotics for preventing suppurative complications from undifferentiated acute respiratory infections in children under five years of age. Cochrane Database of Systematic Reviews. </w:t>
      </w:r>
      <w:hyperlink r:id="rId20" w:history="1">
        <w:r w:rsidR="00752A2D" w:rsidRPr="006B4AD5">
          <w:rPr>
            <w:rStyle w:val="Hyperlink"/>
            <w:rFonts w:ascii="Arial" w:eastAsia="Calibri" w:hAnsi="Arial" w:cs="Arial"/>
            <w:kern w:val="0"/>
            <w:sz w:val="20"/>
            <w:szCs w:val="20"/>
            <w:lang w:val="fr-FR" w:eastAsia="fr-FR"/>
            <w14:ligatures w14:val="none"/>
          </w:rPr>
          <w:t>https://doi.org/10.1002/14651858.CD007880.pub3</w:t>
        </w:r>
      </w:hyperlink>
      <w:r w:rsidR="00752A2D">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24C0F085" w14:textId="3384B8B0"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 17- </w:t>
      </w:r>
      <w:bookmarkStart w:id="6" w:name="_Hlk210294438"/>
      <w:r w:rsidR="001C1BC3" w:rsidRPr="001C1BC3">
        <w:rPr>
          <w:rFonts w:ascii="Arial" w:eastAsia="Calibri" w:hAnsi="Arial" w:cs="Arial"/>
          <w:color w:val="000000"/>
          <w:kern w:val="0"/>
          <w:sz w:val="20"/>
          <w:szCs w:val="20"/>
          <w:lang w:val="fr-FR" w:eastAsia="fr-FR"/>
          <w14:ligatures w14:val="none"/>
        </w:rPr>
        <w:t xml:space="preserve">Gulliford, M. C., Moore, M. V., Little, P., Hay, A. D., Fox, R., Prevost, A. T., Juszczyk, D., Charlton, J., &amp; Ashworth, M. (2016). Safety of reduced antibiotic prescribing for self limiting respiratory tract infections in primary </w:t>
      </w:r>
      <w:proofErr w:type="gramStart"/>
      <w:r w:rsidR="001C1BC3" w:rsidRPr="001C1BC3">
        <w:rPr>
          <w:rFonts w:ascii="Arial" w:eastAsia="Calibri" w:hAnsi="Arial" w:cs="Arial"/>
          <w:color w:val="000000"/>
          <w:kern w:val="0"/>
          <w:sz w:val="20"/>
          <w:szCs w:val="20"/>
          <w:lang w:val="fr-FR" w:eastAsia="fr-FR"/>
          <w14:ligatures w14:val="none"/>
        </w:rPr>
        <w:t>care:</w:t>
      </w:r>
      <w:proofErr w:type="gramEnd"/>
      <w:r w:rsidR="001C1BC3" w:rsidRPr="001C1BC3">
        <w:rPr>
          <w:rFonts w:ascii="Arial" w:eastAsia="Calibri" w:hAnsi="Arial" w:cs="Arial"/>
          <w:color w:val="000000"/>
          <w:kern w:val="0"/>
          <w:sz w:val="20"/>
          <w:szCs w:val="20"/>
          <w:lang w:val="fr-FR" w:eastAsia="fr-FR"/>
          <w14:ligatures w14:val="none"/>
        </w:rPr>
        <w:t xml:space="preserve"> cohort study using electronic health records. BMJ, 354, i3410. </w:t>
      </w:r>
      <w:hyperlink r:id="rId21" w:history="1">
        <w:r w:rsidR="001C1BC3" w:rsidRPr="006B4AD5">
          <w:rPr>
            <w:rStyle w:val="Hyperlink"/>
            <w:rFonts w:ascii="Arial" w:eastAsia="Calibri" w:hAnsi="Arial" w:cs="Arial"/>
            <w:kern w:val="0"/>
            <w:sz w:val="20"/>
            <w:szCs w:val="20"/>
            <w:lang w:val="fr-FR" w:eastAsia="fr-FR"/>
            <w14:ligatures w14:val="none"/>
          </w:rPr>
          <w:t>https://doi.org/10.1136/bmj.i3410</w:t>
        </w:r>
      </w:hyperlink>
      <w:r w:rsidR="001C1BC3">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18D7D3E5" w14:textId="165686DA"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18- </w:t>
      </w:r>
      <w:bookmarkEnd w:id="6"/>
      <w:r w:rsidR="00B412E6" w:rsidRPr="00B412E6">
        <w:rPr>
          <w:rFonts w:ascii="Arial" w:eastAsia="Calibri" w:hAnsi="Arial" w:cs="Arial"/>
          <w:color w:val="000000"/>
          <w:kern w:val="0"/>
          <w:sz w:val="20"/>
          <w:szCs w:val="20"/>
          <w:lang w:val="fr-FR" w:eastAsia="fr-FR"/>
          <w14:ligatures w14:val="none"/>
        </w:rPr>
        <w:t xml:space="preserve">Metlay, J. P. (2015). Editorial </w:t>
      </w:r>
      <w:proofErr w:type="gramStart"/>
      <w:r w:rsidR="00B412E6" w:rsidRPr="00B412E6">
        <w:rPr>
          <w:rFonts w:ascii="Arial" w:eastAsia="Calibri" w:hAnsi="Arial" w:cs="Arial"/>
          <w:color w:val="000000"/>
          <w:kern w:val="0"/>
          <w:sz w:val="20"/>
          <w:szCs w:val="20"/>
          <w:lang w:val="fr-FR" w:eastAsia="fr-FR"/>
          <w14:ligatures w14:val="none"/>
        </w:rPr>
        <w:t>commentary:</w:t>
      </w:r>
      <w:proofErr w:type="gramEnd"/>
      <w:r w:rsidR="00B412E6" w:rsidRPr="00B412E6">
        <w:rPr>
          <w:rFonts w:ascii="Arial" w:eastAsia="Calibri" w:hAnsi="Arial" w:cs="Arial"/>
          <w:color w:val="000000"/>
          <w:kern w:val="0"/>
          <w:sz w:val="20"/>
          <w:szCs w:val="20"/>
          <w:lang w:val="fr-FR" w:eastAsia="fr-FR"/>
          <w14:ligatures w14:val="none"/>
        </w:rPr>
        <w:t xml:space="preserve"> Setting national targets for antibiotic use. Clinical Infectious Diseases, 60(9), 1317–1318. </w:t>
      </w:r>
      <w:hyperlink r:id="rId22" w:history="1">
        <w:r w:rsidR="00B412E6" w:rsidRPr="006B4AD5">
          <w:rPr>
            <w:rStyle w:val="Hyperlink"/>
            <w:rFonts w:ascii="Arial" w:eastAsia="Calibri" w:hAnsi="Arial" w:cs="Arial"/>
            <w:kern w:val="0"/>
            <w:sz w:val="20"/>
            <w:szCs w:val="20"/>
            <w:lang w:val="fr-FR" w:eastAsia="fr-FR"/>
            <w14:ligatures w14:val="none"/>
          </w:rPr>
          <w:t>https://doi.org/10.1093/cid/civ081</w:t>
        </w:r>
      </w:hyperlink>
      <w:r w:rsidR="00B412E6">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2AE8A6CC" w14:textId="125DC4FB"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19- </w:t>
      </w:r>
      <w:r w:rsidR="00260EF4" w:rsidRPr="00260EF4">
        <w:rPr>
          <w:rFonts w:ascii="Arial" w:eastAsia="Calibri" w:hAnsi="Arial" w:cs="Arial"/>
          <w:color w:val="000000"/>
          <w:kern w:val="0"/>
          <w:sz w:val="20"/>
          <w:szCs w:val="20"/>
          <w:lang w:val="fr-FR" w:eastAsia="fr-FR"/>
          <w14:ligatures w14:val="none"/>
        </w:rPr>
        <w:t xml:space="preserve">Low, D. (2008). Reducing antibiotic use in </w:t>
      </w:r>
      <w:proofErr w:type="gramStart"/>
      <w:r w:rsidR="00260EF4" w:rsidRPr="00260EF4">
        <w:rPr>
          <w:rFonts w:ascii="Arial" w:eastAsia="Calibri" w:hAnsi="Arial" w:cs="Arial"/>
          <w:color w:val="000000"/>
          <w:kern w:val="0"/>
          <w:sz w:val="20"/>
          <w:szCs w:val="20"/>
          <w:lang w:val="fr-FR" w:eastAsia="fr-FR"/>
          <w14:ligatures w14:val="none"/>
        </w:rPr>
        <w:t>influenza:</w:t>
      </w:r>
      <w:proofErr w:type="gramEnd"/>
      <w:r w:rsidR="00260EF4" w:rsidRPr="00260EF4">
        <w:rPr>
          <w:rFonts w:ascii="Arial" w:eastAsia="Calibri" w:hAnsi="Arial" w:cs="Arial"/>
          <w:color w:val="000000"/>
          <w:kern w:val="0"/>
          <w:sz w:val="20"/>
          <w:szCs w:val="20"/>
          <w:lang w:val="fr-FR" w:eastAsia="fr-FR"/>
          <w14:ligatures w14:val="none"/>
        </w:rPr>
        <w:t xml:space="preserve"> challenges and rewards. Clinical Microbiology and Infection, 14(4), 298–306. </w:t>
      </w:r>
      <w:hyperlink r:id="rId23" w:history="1">
        <w:r w:rsidR="00260EF4" w:rsidRPr="006B4AD5">
          <w:rPr>
            <w:rStyle w:val="Hyperlink"/>
            <w:rFonts w:ascii="Arial" w:eastAsia="Calibri" w:hAnsi="Arial" w:cs="Arial"/>
            <w:kern w:val="0"/>
            <w:sz w:val="20"/>
            <w:szCs w:val="20"/>
            <w:lang w:val="fr-FR" w:eastAsia="fr-FR"/>
            <w14:ligatures w14:val="none"/>
          </w:rPr>
          <w:t>https://doi.org/10.1111/j.1469-0691.2007.01910.x</w:t>
        </w:r>
      </w:hyperlink>
      <w:r w:rsidR="00260EF4">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3A53B933" w14:textId="388DA114"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20- </w:t>
      </w:r>
      <w:r w:rsidR="00F442C7" w:rsidRPr="00F442C7">
        <w:rPr>
          <w:rFonts w:ascii="Arial" w:eastAsia="Calibri" w:hAnsi="Arial" w:cs="Arial"/>
          <w:color w:val="000000"/>
          <w:kern w:val="0"/>
          <w:sz w:val="20"/>
          <w:szCs w:val="20"/>
          <w:lang w:val="fr-FR" w:eastAsia="fr-FR"/>
          <w14:ligatures w14:val="none"/>
        </w:rPr>
        <w:t xml:space="preserve">Dobson, J., Whitley, R. J., Pocock, S., &amp; Monto, A. S. (2015). Oseltamivir treatment for influenza in </w:t>
      </w:r>
      <w:proofErr w:type="gramStart"/>
      <w:r w:rsidR="00F442C7" w:rsidRPr="00F442C7">
        <w:rPr>
          <w:rFonts w:ascii="Arial" w:eastAsia="Calibri" w:hAnsi="Arial" w:cs="Arial"/>
          <w:color w:val="000000"/>
          <w:kern w:val="0"/>
          <w:sz w:val="20"/>
          <w:szCs w:val="20"/>
          <w:lang w:val="fr-FR" w:eastAsia="fr-FR"/>
          <w14:ligatures w14:val="none"/>
        </w:rPr>
        <w:t>adults:</w:t>
      </w:r>
      <w:proofErr w:type="gramEnd"/>
      <w:r w:rsidR="00F442C7" w:rsidRPr="00F442C7">
        <w:rPr>
          <w:rFonts w:ascii="Arial" w:eastAsia="Calibri" w:hAnsi="Arial" w:cs="Arial"/>
          <w:color w:val="000000"/>
          <w:kern w:val="0"/>
          <w:sz w:val="20"/>
          <w:szCs w:val="20"/>
          <w:lang w:val="fr-FR" w:eastAsia="fr-FR"/>
          <w14:ligatures w14:val="none"/>
        </w:rPr>
        <w:t xml:space="preserve"> a meta-analysis of randomised controlled trials. Lancet, 385(9979), 1729–1737. </w:t>
      </w:r>
      <w:hyperlink r:id="rId24" w:history="1">
        <w:r w:rsidR="00F442C7" w:rsidRPr="006B4AD5">
          <w:rPr>
            <w:rStyle w:val="Hyperlink"/>
            <w:rFonts w:ascii="Arial" w:eastAsia="Calibri" w:hAnsi="Arial" w:cs="Arial"/>
            <w:kern w:val="0"/>
            <w:sz w:val="20"/>
            <w:szCs w:val="20"/>
            <w:lang w:val="fr-FR" w:eastAsia="fr-FR"/>
            <w14:ligatures w14:val="none"/>
          </w:rPr>
          <w:t>https://doi.org/10.1016/S0140-6736(14)62449-1</w:t>
        </w:r>
      </w:hyperlink>
      <w:r w:rsidR="00F442C7">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38F4B23E" w14:textId="3BF60B5C"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21- </w:t>
      </w:r>
      <w:r w:rsidR="00D87C94" w:rsidRPr="00D87C94">
        <w:rPr>
          <w:rFonts w:ascii="Arial" w:eastAsia="Calibri" w:hAnsi="Arial" w:cs="Arial"/>
          <w:color w:val="000000"/>
          <w:kern w:val="0"/>
          <w:sz w:val="20"/>
          <w:szCs w:val="20"/>
          <w:lang w:val="fr-FR" w:eastAsia="fr-FR"/>
          <w14:ligatures w14:val="none"/>
        </w:rPr>
        <w:t xml:space="preserve">Mousa, H. A.-L. (2017). Prevention and treatment of influenza, influenza-like illness, and common cold by herbal, complementary, and natural therapies. Journal of Evidence-Based Complementary &amp; Alternative Medicine, 22(1), 166–174. </w:t>
      </w:r>
      <w:hyperlink r:id="rId25" w:history="1">
        <w:r w:rsidR="00D87C94" w:rsidRPr="006B4AD5">
          <w:rPr>
            <w:rStyle w:val="Hyperlink"/>
            <w:rFonts w:ascii="Arial" w:eastAsia="Calibri" w:hAnsi="Arial" w:cs="Arial"/>
            <w:kern w:val="0"/>
            <w:sz w:val="20"/>
            <w:szCs w:val="20"/>
            <w:lang w:val="fr-FR" w:eastAsia="fr-FR"/>
            <w14:ligatures w14:val="none"/>
          </w:rPr>
          <w:t>https://doi.org/10.1177/2156587216641831</w:t>
        </w:r>
      </w:hyperlink>
      <w:r w:rsidR="00D87C94">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1E66D0C3" w14:textId="33764934"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lastRenderedPageBreak/>
        <w:t xml:space="preserve">22- </w:t>
      </w:r>
      <w:r w:rsidR="0045565A" w:rsidRPr="0045565A">
        <w:rPr>
          <w:rFonts w:ascii="Arial" w:eastAsia="Calibri" w:hAnsi="Arial" w:cs="Arial"/>
          <w:color w:val="000000"/>
          <w:kern w:val="0"/>
          <w:sz w:val="20"/>
          <w:szCs w:val="20"/>
          <w:lang w:val="fr-FR" w:eastAsia="fr-FR"/>
          <w14:ligatures w14:val="none"/>
        </w:rPr>
        <w:t xml:space="preserve">Chidiac, C., &amp; Maulin, L. (2006). [Using antibiotics in case of influenza]. Médecine et Maladies Infectieuses. </w:t>
      </w:r>
      <w:hyperlink r:id="rId26" w:history="1">
        <w:r w:rsidR="0045565A" w:rsidRPr="006B4AD5">
          <w:rPr>
            <w:rStyle w:val="Hyperlink"/>
            <w:rFonts w:ascii="Arial" w:eastAsia="Calibri" w:hAnsi="Arial" w:cs="Arial"/>
            <w:kern w:val="0"/>
            <w:sz w:val="20"/>
            <w:szCs w:val="20"/>
            <w:lang w:val="fr-FR" w:eastAsia="fr-FR"/>
            <w14:ligatures w14:val="none"/>
          </w:rPr>
          <w:t>https://doi.org/10.1016/j.medmal.2005.12.008</w:t>
        </w:r>
      </w:hyperlink>
      <w:r w:rsidR="0045565A">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69639351" w14:textId="06B70E36"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23. </w:t>
      </w:r>
      <w:r w:rsidR="007419C0" w:rsidRPr="007419C0">
        <w:rPr>
          <w:rFonts w:ascii="Arial" w:eastAsia="Calibri" w:hAnsi="Arial" w:cs="Arial"/>
          <w:color w:val="000000"/>
          <w:kern w:val="0"/>
          <w:sz w:val="20"/>
          <w:szCs w:val="20"/>
          <w:lang w:val="fr-FR" w:eastAsia="fr-FR"/>
          <w14:ligatures w14:val="none"/>
        </w:rPr>
        <w:t xml:space="preserve">Gonzales, R., Malone, D. C., Maselli, J. H., &amp; Sande, M. A. (2001). Excessive antibiotic use for acute respiratory infections in the United States. Clinical Infectious Diseases, 33(6), 757–762. </w:t>
      </w:r>
      <w:hyperlink r:id="rId27" w:history="1">
        <w:r w:rsidR="007419C0" w:rsidRPr="006B4AD5">
          <w:rPr>
            <w:rStyle w:val="Hyperlink"/>
            <w:rFonts w:ascii="Arial" w:eastAsia="Calibri" w:hAnsi="Arial" w:cs="Arial"/>
            <w:kern w:val="0"/>
            <w:sz w:val="20"/>
            <w:szCs w:val="20"/>
            <w:lang w:val="fr-FR" w:eastAsia="fr-FR"/>
            <w14:ligatures w14:val="none"/>
          </w:rPr>
          <w:t>https://doi.org/10.1086/322627</w:t>
        </w:r>
      </w:hyperlink>
      <w:r w:rsidR="007419C0">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2C177965" w14:textId="53FC7C53"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24. 25- </w:t>
      </w:r>
      <w:r w:rsidR="00B93DBD" w:rsidRPr="00B93DBD">
        <w:rPr>
          <w:rFonts w:ascii="Arial" w:eastAsia="Calibri" w:hAnsi="Arial" w:cs="Arial"/>
          <w:color w:val="000000"/>
          <w:kern w:val="0"/>
          <w:sz w:val="20"/>
          <w:szCs w:val="20"/>
          <w:lang w:val="fr-FR" w:eastAsia="fr-FR"/>
          <w14:ligatures w14:val="none"/>
        </w:rPr>
        <w:t xml:space="preserve">Ulrich, A. K., Matthes, J., Dressel, A., Tesch, F., Schmidt, C., &amp; Wolf-Ostermann, K. (2016). Burden of influenza in </w:t>
      </w:r>
      <w:proofErr w:type="gramStart"/>
      <w:r w:rsidR="00B93DBD" w:rsidRPr="00B93DBD">
        <w:rPr>
          <w:rFonts w:ascii="Arial" w:eastAsia="Calibri" w:hAnsi="Arial" w:cs="Arial"/>
          <w:color w:val="000000"/>
          <w:kern w:val="0"/>
          <w:sz w:val="20"/>
          <w:szCs w:val="20"/>
          <w:lang w:val="fr-FR" w:eastAsia="fr-FR"/>
          <w14:ligatures w14:val="none"/>
        </w:rPr>
        <w:t>Germany:</w:t>
      </w:r>
      <w:proofErr w:type="gramEnd"/>
      <w:r w:rsidR="00B93DBD" w:rsidRPr="00B93DBD">
        <w:rPr>
          <w:rFonts w:ascii="Arial" w:eastAsia="Calibri" w:hAnsi="Arial" w:cs="Arial"/>
          <w:color w:val="000000"/>
          <w:kern w:val="0"/>
          <w:sz w:val="20"/>
          <w:szCs w:val="20"/>
          <w:lang w:val="fr-FR" w:eastAsia="fr-FR"/>
          <w14:ligatures w14:val="none"/>
        </w:rPr>
        <w:t xml:space="preserve"> a retrospective claims database analysis for the influenza season 2012/2013. European Journal of Health Economics, 17(6), 669–679. </w:t>
      </w:r>
      <w:hyperlink r:id="rId28" w:history="1">
        <w:r w:rsidR="00B93DBD" w:rsidRPr="006B4AD5">
          <w:rPr>
            <w:rStyle w:val="Hyperlink"/>
            <w:rFonts w:ascii="Arial" w:eastAsia="Calibri" w:hAnsi="Arial" w:cs="Arial"/>
            <w:kern w:val="0"/>
            <w:sz w:val="20"/>
            <w:szCs w:val="20"/>
            <w:lang w:val="fr-FR" w:eastAsia="fr-FR"/>
            <w14:ligatures w14:val="none"/>
          </w:rPr>
          <w:t>https://doi.org/10.1007/s10198-015-0708-7</w:t>
        </w:r>
      </w:hyperlink>
      <w:r w:rsidR="00B93DBD">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1B98F1E8" w14:textId="79D58A17"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26. </w:t>
      </w:r>
      <w:r w:rsidR="00991BA3" w:rsidRPr="00991BA3">
        <w:rPr>
          <w:rFonts w:ascii="Arial" w:eastAsia="Calibri" w:hAnsi="Arial" w:cs="Arial"/>
          <w:color w:val="000000"/>
          <w:kern w:val="0"/>
          <w:sz w:val="20"/>
          <w:szCs w:val="20"/>
          <w:lang w:val="fr-FR" w:eastAsia="fr-FR"/>
          <w14:ligatures w14:val="none"/>
        </w:rPr>
        <w:t xml:space="preserve">Yaacoub, S., Lanoy, E., Hider-Mlynarz, K., Saleh, N., &amp; Maison, P. (2021). Trend of antibiotic consumption and its association with influenza-like illnesses in France between 2004 and 2018. European Journal of Public Health, 31(6), 1137–1143. </w:t>
      </w:r>
      <w:hyperlink r:id="rId29" w:history="1">
        <w:r w:rsidR="00991BA3" w:rsidRPr="006B4AD5">
          <w:rPr>
            <w:rStyle w:val="Hyperlink"/>
            <w:rFonts w:ascii="Arial" w:eastAsia="Calibri" w:hAnsi="Arial" w:cs="Arial"/>
            <w:kern w:val="0"/>
            <w:sz w:val="20"/>
            <w:szCs w:val="20"/>
            <w:lang w:val="fr-FR" w:eastAsia="fr-FR"/>
            <w14:ligatures w14:val="none"/>
          </w:rPr>
          <w:t>https://doi.org/10.1093/eurpub/ckab143</w:t>
        </w:r>
      </w:hyperlink>
      <w:r w:rsidR="00991BA3">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55851F6E" w14:textId="6F8DAABA"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27. </w:t>
      </w:r>
      <w:r w:rsidR="005C007A" w:rsidRPr="005C007A">
        <w:rPr>
          <w:rFonts w:ascii="Arial" w:eastAsia="Calibri" w:hAnsi="Arial" w:cs="Arial"/>
          <w:color w:val="000000"/>
          <w:kern w:val="0"/>
          <w:sz w:val="20"/>
          <w:szCs w:val="20"/>
          <w:lang w:val="fr-FR" w:eastAsia="fr-FR"/>
          <w14:ligatures w14:val="none"/>
        </w:rPr>
        <w:t xml:space="preserve">Bhavnani, D., Phatinawin, L., Chantra, S., Olsen, S. J., &amp; Simmerman, J. M. (2007). The influence of rapid influenza diagnostic testing on antibiotic prescribing patterns in rural Thailand. International Journal of Infectious Diseases, 11(4), 355–359. </w:t>
      </w:r>
      <w:hyperlink r:id="rId30" w:history="1">
        <w:r w:rsidR="005C007A" w:rsidRPr="006B4AD5">
          <w:rPr>
            <w:rStyle w:val="Hyperlink"/>
            <w:rFonts w:ascii="Arial" w:eastAsia="Calibri" w:hAnsi="Arial" w:cs="Arial"/>
            <w:kern w:val="0"/>
            <w:sz w:val="20"/>
            <w:szCs w:val="20"/>
            <w:lang w:val="fr-FR" w:eastAsia="fr-FR"/>
            <w14:ligatures w14:val="none"/>
          </w:rPr>
          <w:t>https://doi.org/10.1016/j.ijid.2006.09.009</w:t>
        </w:r>
      </w:hyperlink>
      <w:r w:rsidR="005C007A">
        <w:rPr>
          <w:rFonts w:ascii="Arial" w:eastAsia="Calibri" w:hAnsi="Arial" w:cs="Arial"/>
          <w:color w:val="000000"/>
          <w:kern w:val="0"/>
          <w:sz w:val="20"/>
          <w:szCs w:val="20"/>
          <w:lang w:val="fr-FR" w:eastAsia="fr-FR"/>
          <w14:ligatures w14:val="none"/>
        </w:rPr>
        <w:t xml:space="preserve"> </w:t>
      </w:r>
    </w:p>
    <w:p w14:paraId="6F13AA1B" w14:textId="3D086342"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28. </w:t>
      </w:r>
      <w:r w:rsidR="00F37D6F" w:rsidRPr="00F37D6F">
        <w:rPr>
          <w:rFonts w:ascii="Arial" w:eastAsia="Calibri" w:hAnsi="Arial" w:cs="Arial"/>
          <w:color w:val="000000"/>
          <w:kern w:val="0"/>
          <w:sz w:val="20"/>
          <w:szCs w:val="20"/>
          <w:lang w:val="fr-FR" w:eastAsia="fr-FR"/>
          <w14:ligatures w14:val="none"/>
        </w:rPr>
        <w:t xml:space="preserve">Tillekeratne, L. G., Bodinayake, C. K., Nagahawatte, A., Vidanagama, D., Devasiri, V., Kodikara Arachchi, W., Kurukulasooriya, R., De Silva, A. D., Østbye, T., Reller, M. E., &amp; Woods, C. W. (2015). An under-recognized influenza epidemic identified by rapid influenza testing, southern Sri Lanka, 2013. The American Journal of Tropical Medicine and Hygiene, 92(5), 1023–1029. </w:t>
      </w:r>
      <w:hyperlink r:id="rId31" w:history="1">
        <w:r w:rsidR="00F37D6F" w:rsidRPr="006B4AD5">
          <w:rPr>
            <w:rStyle w:val="Hyperlink"/>
            <w:rFonts w:ascii="Arial" w:eastAsia="Calibri" w:hAnsi="Arial" w:cs="Arial"/>
            <w:kern w:val="0"/>
            <w:sz w:val="20"/>
            <w:szCs w:val="20"/>
            <w:lang w:val="fr-FR" w:eastAsia="fr-FR"/>
            <w14:ligatures w14:val="none"/>
          </w:rPr>
          <w:t>https://doi.org/10.4269/ajtmh.14-0708</w:t>
        </w:r>
      </w:hyperlink>
      <w:r w:rsidR="00F37D6F">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6071C445" w14:textId="12211F08"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29. </w:t>
      </w:r>
      <w:r w:rsidR="00866523" w:rsidRPr="00866523">
        <w:rPr>
          <w:rFonts w:ascii="Arial" w:eastAsia="Calibri" w:hAnsi="Arial" w:cs="Arial"/>
          <w:color w:val="000000"/>
          <w:kern w:val="0"/>
          <w:sz w:val="20"/>
          <w:szCs w:val="20"/>
          <w:lang w:val="fr-FR" w:eastAsia="fr-FR"/>
          <w14:ligatures w14:val="none"/>
        </w:rPr>
        <w:t xml:space="preserve">Zaas, A. K., Garner, B. H., Tsalik, E. L., Burke, T., Woods, C. W., &amp; Ginsburg, G. S. (2014). The current epidemiology and clinical decisions surrounding acute respiratory infections. Trends in Molecular Medicine, 20(10), 579–588. </w:t>
      </w:r>
      <w:hyperlink r:id="rId32" w:history="1">
        <w:r w:rsidR="00866523" w:rsidRPr="006B4AD5">
          <w:rPr>
            <w:rStyle w:val="Hyperlink"/>
            <w:rFonts w:ascii="Arial" w:eastAsia="Calibri" w:hAnsi="Arial" w:cs="Arial"/>
            <w:kern w:val="0"/>
            <w:sz w:val="20"/>
            <w:szCs w:val="20"/>
            <w:lang w:val="fr-FR" w:eastAsia="fr-FR"/>
            <w14:ligatures w14:val="none"/>
          </w:rPr>
          <w:t>https://doi.org/10.1016/j.molmed.2014.08.001</w:t>
        </w:r>
      </w:hyperlink>
      <w:r w:rsidR="00866523">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07836BA7" w14:textId="2C336251"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30. </w:t>
      </w:r>
      <w:r w:rsidR="003A393F" w:rsidRPr="003A393F">
        <w:rPr>
          <w:rFonts w:ascii="Arial" w:eastAsia="Calibri" w:hAnsi="Arial" w:cs="Arial"/>
          <w:color w:val="000000"/>
          <w:kern w:val="0"/>
          <w:sz w:val="20"/>
          <w:szCs w:val="20"/>
          <w:lang w:val="fr-FR" w:eastAsia="fr-FR"/>
          <w14:ligatures w14:val="none"/>
        </w:rPr>
        <w:t xml:space="preserve">Spellberg, B., Guidos, R., Gilbert, D., Bradley, J., Boucher, H. W., Scheld, W. M., Bartlett, J. G., &amp; Edwards, J. Jr. (2008). The epidemic of antibiotic-resistant </w:t>
      </w:r>
      <w:proofErr w:type="gramStart"/>
      <w:r w:rsidR="003A393F" w:rsidRPr="003A393F">
        <w:rPr>
          <w:rFonts w:ascii="Arial" w:eastAsia="Calibri" w:hAnsi="Arial" w:cs="Arial"/>
          <w:color w:val="000000"/>
          <w:kern w:val="0"/>
          <w:sz w:val="20"/>
          <w:szCs w:val="20"/>
          <w:lang w:val="fr-FR" w:eastAsia="fr-FR"/>
          <w14:ligatures w14:val="none"/>
        </w:rPr>
        <w:t>infections:</w:t>
      </w:r>
      <w:proofErr w:type="gramEnd"/>
      <w:r w:rsidR="003A393F" w:rsidRPr="003A393F">
        <w:rPr>
          <w:rFonts w:ascii="Arial" w:eastAsia="Calibri" w:hAnsi="Arial" w:cs="Arial"/>
          <w:color w:val="000000"/>
          <w:kern w:val="0"/>
          <w:sz w:val="20"/>
          <w:szCs w:val="20"/>
          <w:lang w:val="fr-FR" w:eastAsia="fr-FR"/>
          <w14:ligatures w14:val="none"/>
        </w:rPr>
        <w:t xml:space="preserve"> A call to action for the medical community from the Infectious Diseases Society of America. Clinical Infectious Diseases, 46(2), 155–164. </w:t>
      </w:r>
      <w:hyperlink r:id="rId33" w:history="1">
        <w:r w:rsidR="003A393F" w:rsidRPr="006B4AD5">
          <w:rPr>
            <w:rStyle w:val="Hyperlink"/>
            <w:rFonts w:ascii="Arial" w:eastAsia="Calibri" w:hAnsi="Arial" w:cs="Arial"/>
            <w:kern w:val="0"/>
            <w:sz w:val="20"/>
            <w:szCs w:val="20"/>
            <w:lang w:val="fr-FR" w:eastAsia="fr-FR"/>
            <w14:ligatures w14:val="none"/>
          </w:rPr>
          <w:t>https://doi.org/10.1086/524891</w:t>
        </w:r>
      </w:hyperlink>
      <w:r w:rsidR="003A393F">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sectPr w:rsidR="00164DC0" w:rsidRPr="009B0FD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C7F8" w14:textId="77777777" w:rsidR="00A7291B" w:rsidRDefault="00A7291B" w:rsidP="00447640">
      <w:pPr>
        <w:spacing w:after="0" w:line="240" w:lineRule="auto"/>
      </w:pPr>
      <w:r>
        <w:separator/>
      </w:r>
    </w:p>
  </w:endnote>
  <w:endnote w:type="continuationSeparator" w:id="0">
    <w:p w14:paraId="335EBB49" w14:textId="77777777" w:rsidR="00A7291B" w:rsidRDefault="00A7291B" w:rsidP="0044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9392" w14:textId="77777777" w:rsidR="00447640" w:rsidRDefault="00447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2C58" w14:textId="77777777" w:rsidR="00447640" w:rsidRDefault="00447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E74D" w14:textId="77777777" w:rsidR="00447640" w:rsidRDefault="0044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13E1F" w14:textId="77777777" w:rsidR="00A7291B" w:rsidRDefault="00A7291B" w:rsidP="00447640">
      <w:pPr>
        <w:spacing w:after="0" w:line="240" w:lineRule="auto"/>
      </w:pPr>
      <w:r>
        <w:separator/>
      </w:r>
    </w:p>
  </w:footnote>
  <w:footnote w:type="continuationSeparator" w:id="0">
    <w:p w14:paraId="6E082DD2" w14:textId="77777777" w:rsidR="00A7291B" w:rsidRDefault="00A7291B" w:rsidP="0044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D938" w14:textId="2DE01345" w:rsidR="00447640" w:rsidRDefault="00447640">
    <w:pPr>
      <w:pStyle w:val="Header"/>
    </w:pPr>
    <w:r>
      <w:rPr>
        <w:noProof/>
      </w:rPr>
      <w:pict w14:anchorId="144B7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0519" w14:textId="6AC3ECC3" w:rsidR="00447640" w:rsidRDefault="00447640">
    <w:pPr>
      <w:pStyle w:val="Header"/>
    </w:pPr>
    <w:r>
      <w:rPr>
        <w:noProof/>
      </w:rPr>
      <w:pict w14:anchorId="59F6C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580A" w14:textId="7994229B" w:rsidR="00447640" w:rsidRDefault="00447640">
    <w:pPr>
      <w:pStyle w:val="Header"/>
    </w:pPr>
    <w:r>
      <w:rPr>
        <w:noProof/>
      </w:rPr>
      <w:pict w14:anchorId="1ADBB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2F"/>
    <w:rsid w:val="00031551"/>
    <w:rsid w:val="00032BC5"/>
    <w:rsid w:val="00035A5A"/>
    <w:rsid w:val="00055171"/>
    <w:rsid w:val="000E03F7"/>
    <w:rsid w:val="000E6AD9"/>
    <w:rsid w:val="0014738D"/>
    <w:rsid w:val="00164DC0"/>
    <w:rsid w:val="001C1BC3"/>
    <w:rsid w:val="001C36E6"/>
    <w:rsid w:val="001F1F05"/>
    <w:rsid w:val="00260EF4"/>
    <w:rsid w:val="00286E3C"/>
    <w:rsid w:val="00294DBC"/>
    <w:rsid w:val="002C3B26"/>
    <w:rsid w:val="002E2079"/>
    <w:rsid w:val="003110A1"/>
    <w:rsid w:val="00314A04"/>
    <w:rsid w:val="00350FFD"/>
    <w:rsid w:val="00373799"/>
    <w:rsid w:val="00374CC2"/>
    <w:rsid w:val="003A3059"/>
    <w:rsid w:val="003A393F"/>
    <w:rsid w:val="003C44A8"/>
    <w:rsid w:val="003D542F"/>
    <w:rsid w:val="003E7D25"/>
    <w:rsid w:val="00447640"/>
    <w:rsid w:val="0045565A"/>
    <w:rsid w:val="004928E3"/>
    <w:rsid w:val="004A40D4"/>
    <w:rsid w:val="004C3546"/>
    <w:rsid w:val="004D1045"/>
    <w:rsid w:val="00517416"/>
    <w:rsid w:val="00582DBC"/>
    <w:rsid w:val="005A1CE9"/>
    <w:rsid w:val="005C007A"/>
    <w:rsid w:val="00606FB1"/>
    <w:rsid w:val="0062302F"/>
    <w:rsid w:val="00633D78"/>
    <w:rsid w:val="006F76D6"/>
    <w:rsid w:val="00707BC4"/>
    <w:rsid w:val="0071093B"/>
    <w:rsid w:val="00711C17"/>
    <w:rsid w:val="007419C0"/>
    <w:rsid w:val="00752A2D"/>
    <w:rsid w:val="007B71FA"/>
    <w:rsid w:val="00840AC1"/>
    <w:rsid w:val="00847469"/>
    <w:rsid w:val="00866523"/>
    <w:rsid w:val="00881B10"/>
    <w:rsid w:val="00885307"/>
    <w:rsid w:val="0088625C"/>
    <w:rsid w:val="008A4EDD"/>
    <w:rsid w:val="008A7643"/>
    <w:rsid w:val="008B3013"/>
    <w:rsid w:val="008D2DF7"/>
    <w:rsid w:val="008E4186"/>
    <w:rsid w:val="00937B08"/>
    <w:rsid w:val="009618A5"/>
    <w:rsid w:val="00961E2F"/>
    <w:rsid w:val="00967887"/>
    <w:rsid w:val="00986354"/>
    <w:rsid w:val="00986814"/>
    <w:rsid w:val="00991BA3"/>
    <w:rsid w:val="009955CD"/>
    <w:rsid w:val="009B0FD3"/>
    <w:rsid w:val="00A1284D"/>
    <w:rsid w:val="00A13F32"/>
    <w:rsid w:val="00A3098D"/>
    <w:rsid w:val="00A71707"/>
    <w:rsid w:val="00A7291B"/>
    <w:rsid w:val="00A76AD4"/>
    <w:rsid w:val="00A81006"/>
    <w:rsid w:val="00AE014D"/>
    <w:rsid w:val="00B3161D"/>
    <w:rsid w:val="00B412E6"/>
    <w:rsid w:val="00B70DAF"/>
    <w:rsid w:val="00B93DBD"/>
    <w:rsid w:val="00BE54E5"/>
    <w:rsid w:val="00C15FFE"/>
    <w:rsid w:val="00C87868"/>
    <w:rsid w:val="00CC01F2"/>
    <w:rsid w:val="00CD50D2"/>
    <w:rsid w:val="00D05750"/>
    <w:rsid w:val="00D16E5B"/>
    <w:rsid w:val="00D2054C"/>
    <w:rsid w:val="00D80CA9"/>
    <w:rsid w:val="00D87C94"/>
    <w:rsid w:val="00DD2BE5"/>
    <w:rsid w:val="00DE62A6"/>
    <w:rsid w:val="00DF5D32"/>
    <w:rsid w:val="00E14CF9"/>
    <w:rsid w:val="00E73D9A"/>
    <w:rsid w:val="00E769B6"/>
    <w:rsid w:val="00E81699"/>
    <w:rsid w:val="00EC4753"/>
    <w:rsid w:val="00F01741"/>
    <w:rsid w:val="00F042B8"/>
    <w:rsid w:val="00F31993"/>
    <w:rsid w:val="00F37D6F"/>
    <w:rsid w:val="00F442C7"/>
    <w:rsid w:val="00F572A6"/>
    <w:rsid w:val="00F829C3"/>
    <w:rsid w:val="00F93C9C"/>
    <w:rsid w:val="00FC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B744E"/>
  <w15:chartTrackingRefBased/>
  <w15:docId w15:val="{955D37D6-CBBC-4E86-B140-24511968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2F"/>
    <w:rPr>
      <w:rFonts w:eastAsiaTheme="majorEastAsia" w:cstheme="majorBidi"/>
      <w:color w:val="272727" w:themeColor="text1" w:themeTint="D8"/>
    </w:rPr>
  </w:style>
  <w:style w:type="paragraph" w:styleId="Title">
    <w:name w:val="Title"/>
    <w:basedOn w:val="Normal"/>
    <w:next w:val="Normal"/>
    <w:link w:val="TitleChar"/>
    <w:uiPriority w:val="10"/>
    <w:qFormat/>
    <w:rsid w:val="00623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2F"/>
    <w:pPr>
      <w:spacing w:before="160"/>
      <w:jc w:val="center"/>
    </w:pPr>
    <w:rPr>
      <w:i/>
      <w:iCs/>
      <w:color w:val="404040" w:themeColor="text1" w:themeTint="BF"/>
    </w:rPr>
  </w:style>
  <w:style w:type="character" w:customStyle="1" w:styleId="QuoteChar">
    <w:name w:val="Quote Char"/>
    <w:basedOn w:val="DefaultParagraphFont"/>
    <w:link w:val="Quote"/>
    <w:uiPriority w:val="29"/>
    <w:rsid w:val="0062302F"/>
    <w:rPr>
      <w:i/>
      <w:iCs/>
      <w:color w:val="404040" w:themeColor="text1" w:themeTint="BF"/>
    </w:rPr>
  </w:style>
  <w:style w:type="paragraph" w:styleId="ListParagraph">
    <w:name w:val="List Paragraph"/>
    <w:basedOn w:val="Normal"/>
    <w:uiPriority w:val="34"/>
    <w:qFormat/>
    <w:rsid w:val="0062302F"/>
    <w:pPr>
      <w:ind w:left="720"/>
      <w:contextualSpacing/>
    </w:pPr>
  </w:style>
  <w:style w:type="character" w:styleId="IntenseEmphasis">
    <w:name w:val="Intense Emphasis"/>
    <w:basedOn w:val="DefaultParagraphFont"/>
    <w:uiPriority w:val="21"/>
    <w:qFormat/>
    <w:rsid w:val="0062302F"/>
    <w:rPr>
      <w:i/>
      <w:iCs/>
      <w:color w:val="2F5496" w:themeColor="accent1" w:themeShade="BF"/>
    </w:rPr>
  </w:style>
  <w:style w:type="paragraph" w:styleId="IntenseQuote">
    <w:name w:val="Intense Quote"/>
    <w:basedOn w:val="Normal"/>
    <w:next w:val="Normal"/>
    <w:link w:val="IntenseQuoteChar"/>
    <w:uiPriority w:val="30"/>
    <w:qFormat/>
    <w:rsid w:val="0062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02F"/>
    <w:rPr>
      <w:i/>
      <w:iCs/>
      <w:color w:val="2F5496" w:themeColor="accent1" w:themeShade="BF"/>
    </w:rPr>
  </w:style>
  <w:style w:type="character" w:styleId="IntenseReference">
    <w:name w:val="Intense Reference"/>
    <w:basedOn w:val="DefaultParagraphFont"/>
    <w:uiPriority w:val="32"/>
    <w:qFormat/>
    <w:rsid w:val="0062302F"/>
    <w:rPr>
      <w:b/>
      <w:bCs/>
      <w:smallCaps/>
      <w:color w:val="2F5496" w:themeColor="accent1" w:themeShade="BF"/>
      <w:spacing w:val="5"/>
    </w:rPr>
  </w:style>
  <w:style w:type="character" w:styleId="Hyperlink">
    <w:name w:val="Hyperlink"/>
    <w:basedOn w:val="DefaultParagraphFont"/>
    <w:uiPriority w:val="99"/>
    <w:unhideWhenUsed/>
    <w:rsid w:val="00164DC0"/>
    <w:rPr>
      <w:color w:val="0563C1" w:themeColor="hyperlink"/>
      <w:u w:val="single"/>
    </w:rPr>
  </w:style>
  <w:style w:type="character" w:styleId="UnresolvedMention">
    <w:name w:val="Unresolved Mention"/>
    <w:basedOn w:val="DefaultParagraphFont"/>
    <w:uiPriority w:val="99"/>
    <w:semiHidden/>
    <w:unhideWhenUsed/>
    <w:rsid w:val="00164DC0"/>
    <w:rPr>
      <w:color w:val="605E5C"/>
      <w:shd w:val="clear" w:color="auto" w:fill="E1DFDD"/>
    </w:rPr>
  </w:style>
  <w:style w:type="table" w:styleId="TableGrid">
    <w:name w:val="Table Grid"/>
    <w:basedOn w:val="TableNormal"/>
    <w:uiPriority w:val="39"/>
    <w:rsid w:val="00F8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40"/>
  </w:style>
  <w:style w:type="paragraph" w:styleId="Footer">
    <w:name w:val="footer"/>
    <w:basedOn w:val="Normal"/>
    <w:link w:val="FooterChar"/>
    <w:uiPriority w:val="99"/>
    <w:unhideWhenUsed/>
    <w:rsid w:val="0044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9-017-2839-1" TargetMode="External"/><Relationship Id="rId18" Type="http://schemas.openxmlformats.org/officeDocument/2006/relationships/hyperlink" Target="https://doi.org/10.1136/bmjopen-2014-006245" TargetMode="External"/><Relationship Id="rId26" Type="http://schemas.openxmlformats.org/officeDocument/2006/relationships/hyperlink" Target="https://doi.org/10.1016/j.medmal.2005.12.008" TargetMode="External"/><Relationship Id="rId39" Type="http://schemas.openxmlformats.org/officeDocument/2006/relationships/footer" Target="footer3.xml"/><Relationship Id="rId21" Type="http://schemas.openxmlformats.org/officeDocument/2006/relationships/hyperlink" Target="https://doi.org/10.1136/bmj.i3410" TargetMode="External"/><Relationship Id="rId34" Type="http://schemas.openxmlformats.org/officeDocument/2006/relationships/header" Target="header1.xml"/><Relationship Id="rId7" Type="http://schemas.openxmlformats.org/officeDocument/2006/relationships/hyperlink" Target="https://doi.org/10.1371/journal.pmed.1000182" TargetMode="External"/><Relationship Id="rId2" Type="http://schemas.openxmlformats.org/officeDocument/2006/relationships/settings" Target="settings.xml"/><Relationship Id="rId16" Type="http://schemas.openxmlformats.org/officeDocument/2006/relationships/hyperlink" Target="https://doi.org/10.1186/1471-2334-14-13" TargetMode="External"/><Relationship Id="rId20" Type="http://schemas.openxmlformats.org/officeDocument/2006/relationships/hyperlink" Target="https://doi.org/10.1002/14651858.CD007880.pub3" TargetMode="External"/><Relationship Id="rId29" Type="http://schemas.openxmlformats.org/officeDocument/2006/relationships/hyperlink" Target="https://doi.org/10.1093/eurpub/ckab14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59/000237738" TargetMode="External"/><Relationship Id="rId11" Type="http://schemas.openxmlformats.org/officeDocument/2006/relationships/hyperlink" Target="https://doi.org/10.1007/BF01719675" TargetMode="External"/><Relationship Id="rId24" Type="http://schemas.openxmlformats.org/officeDocument/2006/relationships/hyperlink" Target="https://doi.org/10.1016/S0140-6736(14)62449-1" TargetMode="External"/><Relationship Id="rId32" Type="http://schemas.openxmlformats.org/officeDocument/2006/relationships/hyperlink" Target="https://doi.org/10.1016/j.molmed.2014.08.0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201/eid1411.070467" TargetMode="External"/><Relationship Id="rId23" Type="http://schemas.openxmlformats.org/officeDocument/2006/relationships/hyperlink" Target="https://doi.org/10.1111/j.1469-0691.2007.01910.x" TargetMode="External"/><Relationship Id="rId28" Type="http://schemas.openxmlformats.org/officeDocument/2006/relationships/hyperlink" Target="https://doi.org/10.1007/s10198-015-0708-7" TargetMode="External"/><Relationship Id="rId36" Type="http://schemas.openxmlformats.org/officeDocument/2006/relationships/footer" Target="footer1.xml"/><Relationship Id="rId10" Type="http://schemas.openxmlformats.org/officeDocument/2006/relationships/hyperlink" Target="https://www.cdc.gov/globalhealth/healthprotection/idsr/pdf/technicalguidelines/idsrtechnical-guidelines-2nd-edition_2010_english.pdf" TargetMode="External"/><Relationship Id="rId19" Type="http://schemas.openxmlformats.org/officeDocument/2006/relationships/hyperlink" Target="https://doi.org/10.1093/jac/dkx504" TargetMode="External"/><Relationship Id="rId31" Type="http://schemas.openxmlformats.org/officeDocument/2006/relationships/hyperlink" Target="https://doi.org/10.4269/ajtmh.14-0708" TargetMode="External"/><Relationship Id="rId4" Type="http://schemas.openxmlformats.org/officeDocument/2006/relationships/footnotes" Target="footnotes.xml"/><Relationship Id="rId9" Type="http://schemas.openxmlformats.org/officeDocument/2006/relationships/hyperlink" Target="https://www.who.int/fr/news-room/fact-sheets/detail/influenza-(seasonal)" TargetMode="External"/><Relationship Id="rId14" Type="http://schemas.openxmlformats.org/officeDocument/2006/relationships/hyperlink" Target="https://doi.org/10.1016/S0140-6736(05)17907-0" TargetMode="External"/><Relationship Id="rId22" Type="http://schemas.openxmlformats.org/officeDocument/2006/relationships/hyperlink" Target="https://doi.org/10.1093/cid/civ081" TargetMode="External"/><Relationship Id="rId27" Type="http://schemas.openxmlformats.org/officeDocument/2006/relationships/hyperlink" Target="https://doi.org/10.1086/322627" TargetMode="External"/><Relationship Id="rId30" Type="http://schemas.openxmlformats.org/officeDocument/2006/relationships/hyperlink" Target="https://doi.org/10.1016/j.ijid.2006.09.009" TargetMode="External"/><Relationship Id="rId35" Type="http://schemas.openxmlformats.org/officeDocument/2006/relationships/header" Target="header2.xml"/><Relationship Id="rId8" Type="http://schemas.openxmlformats.org/officeDocument/2006/relationships/hyperlink" Target="https://doi.org/10.1016/S0140-6736(17)33293-2" TargetMode="External"/><Relationship Id="rId3" Type="http://schemas.openxmlformats.org/officeDocument/2006/relationships/webSettings" Target="webSettings.xml"/><Relationship Id="rId12" Type="http://schemas.openxmlformats.org/officeDocument/2006/relationships/hyperlink" Target="https://doi.org/10.1093/infdis/jis548" TargetMode="External"/><Relationship Id="rId17" Type="http://schemas.openxmlformats.org/officeDocument/2006/relationships/hyperlink" Target="https://doi.org/10.1016/S1473-3099(18)30605-4" TargetMode="External"/><Relationship Id="rId25" Type="http://schemas.openxmlformats.org/officeDocument/2006/relationships/hyperlink" Target="https://doi.org/10.1177/2156587216641831" TargetMode="External"/><Relationship Id="rId33" Type="http://schemas.openxmlformats.org/officeDocument/2006/relationships/hyperlink" Target="https://doi.org/10.1086/524891"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3724</Words>
  <Characters>21229</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SDI 1084</cp:lastModifiedBy>
  <cp:revision>59</cp:revision>
  <dcterms:created xsi:type="dcterms:W3CDTF">2025-12-30T14:39:00Z</dcterms:created>
  <dcterms:modified xsi:type="dcterms:W3CDTF">2025-12-31T09:53:00Z</dcterms:modified>
</cp:coreProperties>
</file>