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7617" w14:textId="77777777" w:rsidR="00A43DDA" w:rsidRPr="002106B0" w:rsidRDefault="00030439" w:rsidP="00A43DDA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4"/>
          <w:lang w:val="en-US" w:eastAsia="fr-FR"/>
        </w:rPr>
      </w:pPr>
      <w:bookmarkStart w:id="0" w:name="_Hlk128991534"/>
      <w:r w:rsidRPr="002106B0">
        <w:rPr>
          <w:rFonts w:ascii="Times New Roman" w:hAnsi="Times New Roman"/>
          <w:b/>
          <w:sz w:val="32"/>
          <w:szCs w:val="24"/>
          <w:lang w:val="en-US" w:eastAsia="fr-FR"/>
        </w:rPr>
        <w:t>Isolation of multidrug-resistant Escherichia</w:t>
      </w:r>
      <w:r w:rsidR="00A43DDA" w:rsidRPr="002106B0">
        <w:rPr>
          <w:rFonts w:ascii="Times New Roman" w:hAnsi="Times New Roman"/>
          <w:b/>
          <w:i/>
          <w:sz w:val="32"/>
          <w:szCs w:val="24"/>
          <w:lang w:val="en-US" w:eastAsia="fr-FR"/>
        </w:rPr>
        <w:t xml:space="preserve"> coli</w:t>
      </w:r>
      <w:r w:rsidRPr="002106B0">
        <w:rPr>
          <w:rFonts w:ascii="Times New Roman" w:hAnsi="Times New Roman"/>
          <w:b/>
          <w:sz w:val="32"/>
          <w:szCs w:val="24"/>
          <w:lang w:val="en-US" w:eastAsia="fr-FR"/>
        </w:rPr>
        <w:t xml:space="preserve"> O157</w:t>
      </w:r>
      <w:r w:rsidR="00A43DDA" w:rsidRPr="002106B0">
        <w:rPr>
          <w:rFonts w:ascii="Times New Roman" w:hAnsi="Times New Roman"/>
          <w:b/>
          <w:sz w:val="32"/>
          <w:szCs w:val="24"/>
          <w:lang w:val="en-US" w:eastAsia="fr-FR"/>
        </w:rPr>
        <w:t xml:space="preserve">:H7 </w:t>
      </w:r>
      <w:r w:rsidRPr="002106B0">
        <w:rPr>
          <w:rFonts w:ascii="Times New Roman" w:hAnsi="Times New Roman"/>
          <w:b/>
          <w:sz w:val="32"/>
          <w:szCs w:val="24"/>
          <w:lang w:val="en-US" w:eastAsia="fr-FR"/>
        </w:rPr>
        <w:t>from pig farms in n</w:t>
      </w:r>
      <w:r w:rsidR="00A43DDA" w:rsidRPr="002106B0">
        <w:rPr>
          <w:rFonts w:ascii="Times New Roman" w:hAnsi="Times New Roman"/>
          <w:b/>
          <w:sz w:val="32"/>
          <w:szCs w:val="24"/>
          <w:lang w:val="en-US" w:eastAsia="fr-FR"/>
        </w:rPr>
        <w:t xml:space="preserve">orthern </w:t>
      </w:r>
      <w:r w:rsidRPr="002106B0">
        <w:rPr>
          <w:rFonts w:ascii="Times New Roman" w:hAnsi="Times New Roman"/>
          <w:b/>
          <w:sz w:val="32"/>
          <w:szCs w:val="24"/>
          <w:lang w:val="en-US" w:eastAsia="fr-FR"/>
        </w:rPr>
        <w:t>Cote d’Ivoire</w:t>
      </w:r>
      <w:r w:rsidR="00A43DDA" w:rsidRPr="002106B0">
        <w:rPr>
          <w:rFonts w:ascii="Times New Roman" w:hAnsi="Times New Roman"/>
          <w:b/>
          <w:sz w:val="32"/>
          <w:szCs w:val="24"/>
          <w:lang w:val="en-US" w:eastAsia="fr-FR"/>
        </w:rPr>
        <w:t xml:space="preserve">: </w:t>
      </w:r>
      <w:r w:rsidR="00E8022E" w:rsidRPr="002106B0">
        <w:rPr>
          <w:rFonts w:ascii="Times New Roman" w:hAnsi="Times New Roman"/>
          <w:b/>
          <w:sz w:val="32"/>
          <w:szCs w:val="24"/>
          <w:lang w:val="en-US" w:eastAsia="fr-FR"/>
        </w:rPr>
        <w:t>A preliminary s</w:t>
      </w:r>
      <w:r w:rsidR="00A43DDA" w:rsidRPr="002106B0">
        <w:rPr>
          <w:rFonts w:ascii="Times New Roman" w:hAnsi="Times New Roman"/>
          <w:b/>
          <w:sz w:val="32"/>
          <w:szCs w:val="24"/>
          <w:lang w:val="en-US" w:eastAsia="fr-FR"/>
        </w:rPr>
        <w:t>tudy</w:t>
      </w:r>
    </w:p>
    <w:p w14:paraId="70FE31FC" w14:textId="77777777" w:rsidR="002106B0" w:rsidRPr="002106B0" w:rsidRDefault="002106B0" w:rsidP="00A43DDA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4"/>
          <w:lang w:val="en-US" w:eastAsia="fr-FR"/>
        </w:rPr>
      </w:pPr>
    </w:p>
    <w:p w14:paraId="140AE7C4" w14:textId="77777777" w:rsidR="002106B0" w:rsidRPr="00CD4A94" w:rsidRDefault="002106B0" w:rsidP="00A43DDA">
      <w:pPr>
        <w:spacing w:before="120" w:after="120" w:line="360" w:lineRule="auto"/>
        <w:jc w:val="both"/>
        <w:rPr>
          <w:rFonts w:ascii="Times New Roman" w:hAnsi="Times New Roman"/>
          <w:b/>
          <w:sz w:val="26"/>
          <w:szCs w:val="26"/>
          <w:lang w:eastAsia="fr-FR"/>
        </w:rPr>
      </w:pPr>
      <w:bookmarkStart w:id="1" w:name="_GoBack"/>
      <w:bookmarkEnd w:id="1"/>
    </w:p>
    <w:p w14:paraId="0169FA16" w14:textId="77777777" w:rsidR="00A43DDA" w:rsidRPr="00CD4A94" w:rsidRDefault="00A43DDA" w:rsidP="00A43DDA">
      <w:pPr>
        <w:spacing w:before="120" w:after="120" w:line="360" w:lineRule="auto"/>
        <w:jc w:val="both"/>
        <w:rPr>
          <w:rFonts w:ascii="Times New Roman" w:hAnsi="Times New Roman"/>
          <w:b/>
          <w:sz w:val="26"/>
          <w:szCs w:val="26"/>
          <w:lang w:eastAsia="fr-FR"/>
        </w:rPr>
      </w:pPr>
      <w:r w:rsidRPr="00CD4A94">
        <w:rPr>
          <w:rFonts w:ascii="Times New Roman" w:hAnsi="Times New Roman"/>
          <w:b/>
          <w:sz w:val="26"/>
          <w:szCs w:val="26"/>
          <w:lang w:eastAsia="fr-FR"/>
        </w:rPr>
        <w:t>Abstract</w:t>
      </w:r>
    </w:p>
    <w:p w14:paraId="59ABD417" w14:textId="77777777" w:rsidR="00A43DDA" w:rsidRPr="002106B0" w:rsidRDefault="00A43DDA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This study was conducted in the </w:t>
      </w:r>
      <w:proofErr w:type="spellStart"/>
      <w:r w:rsidRPr="002106B0">
        <w:rPr>
          <w:rFonts w:ascii="Times New Roman" w:hAnsi="Times New Roman"/>
          <w:sz w:val="24"/>
          <w:szCs w:val="24"/>
          <w:lang w:val="en-US" w:eastAsia="fr-FR"/>
        </w:rPr>
        <w:t>Korhogo</w:t>
      </w:r>
      <w:proofErr w:type="spellEnd"/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Department </w:t>
      </w:r>
      <w:r w:rsidR="00E8022E" w:rsidRPr="002106B0">
        <w:rPr>
          <w:rFonts w:ascii="Times New Roman" w:hAnsi="Times New Roman"/>
          <w:sz w:val="24"/>
          <w:szCs w:val="24"/>
          <w:lang w:val="en-US" w:eastAsia="fr-FR"/>
        </w:rPr>
        <w:t>to enhance the understanding of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S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>higa toxin-pr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oducing 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>Escherichia coli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O157:H7 (STEC O157:H7) in </w:t>
      </w:r>
      <w:r w:rsidR="00E8022E" w:rsidRPr="002106B0">
        <w:rPr>
          <w:rFonts w:ascii="Times New Roman" w:hAnsi="Times New Roman"/>
          <w:sz w:val="24"/>
          <w:szCs w:val="24"/>
          <w:lang w:val="en-US" w:eastAsia="fr-FR"/>
        </w:rPr>
        <w:t>local swine populations. A total of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200 rectal swab</w:t>
      </w:r>
      <w:r w:rsidR="00E8022E" w:rsidRPr="002106B0">
        <w:rPr>
          <w:rFonts w:ascii="Times New Roman" w:hAnsi="Times New Roman"/>
          <w:sz w:val="24"/>
          <w:szCs w:val="24"/>
          <w:lang w:val="en-US" w:eastAsia="fr-FR"/>
        </w:rPr>
        <w:t>s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were collected from pigs </w:t>
      </w:r>
      <w:r w:rsidR="00E8022E" w:rsidRPr="002106B0">
        <w:rPr>
          <w:rFonts w:ascii="Times New Roman" w:hAnsi="Times New Roman"/>
          <w:sz w:val="24"/>
          <w:szCs w:val="24"/>
          <w:lang w:val="en-US" w:eastAsia="fr-FR"/>
        </w:rPr>
        <w:t xml:space="preserve">across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four sub-prefectures</w:t>
      </w:r>
      <w:r w:rsidR="00E8022E" w:rsidRPr="002106B0">
        <w:rPr>
          <w:rFonts w:ascii="Times New Roman" w:hAnsi="Times New Roman"/>
          <w:sz w:val="24"/>
          <w:szCs w:val="24"/>
          <w:lang w:val="en-US" w:eastAsia="fr-FR"/>
        </w:rPr>
        <w:t xml:space="preserve">. Isolation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 xml:space="preserve">of STEC O157:H7 was performed on a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chromogenic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 xml:space="preserve">selective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medium. Subsequently, 62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 xml:space="preserve">obtained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isolates were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>tested for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antimicrobial susceptibility against nine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 xml:space="preserve">agents using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</w:t>
      </w:r>
      <w:r w:rsidR="00325EA0" w:rsidRPr="002106B0">
        <w:rPr>
          <w:rFonts w:ascii="Times New Roman" w:hAnsi="Times New Roman"/>
          <w:sz w:val="24"/>
          <w:szCs w:val="24"/>
          <w:lang w:val="en-US" w:eastAsia="fr-FR"/>
        </w:rPr>
        <w:t xml:space="preserve">standard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disk diffusion method.</w:t>
      </w:r>
    </w:p>
    <w:p w14:paraId="2FF455BE" w14:textId="77777777" w:rsidR="00A43DDA" w:rsidRPr="002106B0" w:rsidRDefault="007422ED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Following analysis, 62 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of the 200 samples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tested 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were positive,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yielding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 an overall prevalence of 3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1%. The study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further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revealed that,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aside from the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>sampling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location, neither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sex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nor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age had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a significant effect on the prevalence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>of this bacterium.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A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ntibiotic susceptibility testing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demonstrated 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>that 100% of the isolates were sensitive to gentamici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n, colistin,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and ceftriaxone. Conversely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, all isolates exhibited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complete (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>100%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)</w:t>
      </w:r>
      <w:r w:rsidR="00035521" w:rsidRPr="002106B0">
        <w:rPr>
          <w:rFonts w:ascii="Times New Roman" w:hAnsi="Times New Roman"/>
          <w:sz w:val="24"/>
          <w:szCs w:val="24"/>
          <w:lang w:val="en-US" w:eastAsia="fr-FR"/>
        </w:rPr>
        <w:t xml:space="preserve"> resistance to the six other antibiotics tested.</w:t>
      </w:r>
    </w:p>
    <w:p w14:paraId="4B8A21BB" w14:textId="77777777" w:rsidR="00035521" w:rsidRDefault="00035521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study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confirms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a high prevalence of 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>E. coli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O157:H7 in pig farms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>, along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>side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 a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high level of resistance to commonly used antimicrobials. Further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 research is needed to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better understand the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 epidemiology and transmission dynamics of this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zoonotic agent.</w:t>
      </w:r>
    </w:p>
    <w:p w14:paraId="0D3CD642" w14:textId="77777777" w:rsidR="002106B0" w:rsidRPr="002106B0" w:rsidRDefault="002106B0" w:rsidP="00A43DDA">
      <w:pPr>
        <w:spacing w:before="120" w:after="120" w:line="360" w:lineRule="auto"/>
        <w:jc w:val="both"/>
        <w:rPr>
          <w:rFonts w:ascii="Times New Roman" w:hAnsi="Times New Roman"/>
          <w:sz w:val="16"/>
          <w:szCs w:val="24"/>
          <w:lang w:val="en-US" w:eastAsia="fr-FR"/>
        </w:rPr>
      </w:pPr>
    </w:p>
    <w:p w14:paraId="71F454DA" w14:textId="77777777" w:rsidR="00751377" w:rsidRPr="002106B0" w:rsidRDefault="00035521" w:rsidP="00EA64D5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b/>
          <w:sz w:val="24"/>
          <w:szCs w:val="24"/>
          <w:lang w:val="en-US" w:eastAsia="fr-FR"/>
        </w:rPr>
        <w:t>Keywords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: 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>E</w:t>
      </w:r>
      <w:r w:rsidR="00EA64D5" w:rsidRPr="002106B0">
        <w:rPr>
          <w:rFonts w:ascii="Times New Roman" w:hAnsi="Times New Roman"/>
          <w:i/>
          <w:sz w:val="24"/>
          <w:szCs w:val="24"/>
          <w:lang w:val="en-US" w:eastAsia="fr-FR"/>
        </w:rPr>
        <w:t>scherichia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 xml:space="preserve"> coli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O157:H7, </w:t>
      </w:r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swine, carriage, antimicrobial resistance, </w:t>
      </w:r>
      <w:proofErr w:type="spellStart"/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>Korhogo</w:t>
      </w:r>
      <w:proofErr w:type="spellEnd"/>
      <w:r w:rsidR="00EA64D5" w:rsidRPr="002106B0">
        <w:rPr>
          <w:rFonts w:ascii="Times New Roman" w:hAnsi="Times New Roman"/>
          <w:sz w:val="24"/>
          <w:szCs w:val="24"/>
          <w:lang w:val="en-US" w:eastAsia="fr-FR"/>
        </w:rPr>
        <w:t xml:space="preserve">, </w:t>
      </w:r>
    </w:p>
    <w:p w14:paraId="456815D9" w14:textId="77777777" w:rsidR="00035521" w:rsidRPr="00CD4A94" w:rsidRDefault="00751377" w:rsidP="00EA64D5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IN" w:eastAsia="fr-F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                   </w:t>
      </w:r>
      <w:r w:rsidR="00EA64D5" w:rsidRPr="00CD4A94">
        <w:rPr>
          <w:rFonts w:ascii="Times New Roman" w:hAnsi="Times New Roman"/>
          <w:sz w:val="24"/>
          <w:szCs w:val="24"/>
          <w:lang w:val="en-IN" w:eastAsia="fr-FR"/>
        </w:rPr>
        <w:t>Cote d’Ivoire</w:t>
      </w:r>
    </w:p>
    <w:p w14:paraId="451AF9FA" w14:textId="77777777" w:rsidR="00A43DDA" w:rsidRPr="00CD4A94" w:rsidRDefault="00A43DDA" w:rsidP="00A43DDA">
      <w:pPr>
        <w:spacing w:after="0" w:line="240" w:lineRule="auto"/>
        <w:rPr>
          <w:rFonts w:ascii="Times New Roman" w:hAnsi="Times New Roman"/>
          <w:b/>
          <w:sz w:val="32"/>
          <w:szCs w:val="24"/>
          <w:lang w:val="en-IN"/>
        </w:rPr>
      </w:pPr>
      <w:r w:rsidRPr="00CD4A94">
        <w:rPr>
          <w:rFonts w:ascii="Times New Roman" w:hAnsi="Times New Roman"/>
          <w:b/>
          <w:sz w:val="32"/>
          <w:szCs w:val="24"/>
          <w:lang w:val="en-IN"/>
        </w:rPr>
        <w:t>Introduction</w:t>
      </w:r>
    </w:p>
    <w:p w14:paraId="36F4C4FC" w14:textId="77777777" w:rsidR="00A43DDA" w:rsidRPr="00CD4A94" w:rsidRDefault="00A43DDA" w:rsidP="00A43DDA">
      <w:pPr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</w:p>
    <w:p w14:paraId="6735D73A" w14:textId="77777777" w:rsidR="00035521" w:rsidRPr="002106B0" w:rsidRDefault="00035521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The carriage of potentially pathogenic Escherichia coli strains by domestic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animals has been 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 xml:space="preserve">documented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>by Kern-</w:t>
      </w:r>
      <w:proofErr w:type="spellStart"/>
      <w:r w:rsidR="003B577B" w:rsidRPr="002106B0">
        <w:rPr>
          <w:rFonts w:ascii="Times New Roman" w:hAnsi="Times New Roman"/>
          <w:sz w:val="24"/>
          <w:szCs w:val="24"/>
          <w:lang w:val="en-US"/>
        </w:rPr>
        <w:t>Benaibont</w:t>
      </w:r>
      <w:proofErr w:type="spellEnd"/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(2006). Among these, enterohemorrhagic </w:t>
      </w:r>
      <w:r w:rsidR="003B577B" w:rsidRPr="002106B0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(EHEC) 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 xml:space="preserve">are recognized as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pathogenic and potentially lethal 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 xml:space="preserve">agents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frequently 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>associated with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>human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 xml:space="preserve"> disease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3B577B" w:rsidRPr="002106B0">
        <w:rPr>
          <w:rFonts w:ascii="Times New Roman" w:hAnsi="Times New Roman"/>
          <w:sz w:val="24"/>
          <w:szCs w:val="24"/>
          <w:lang w:val="en-US"/>
        </w:rPr>
        <w:t>Karmali</w:t>
      </w:r>
      <w:proofErr w:type="spellEnd"/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et al., 2010). The serotype O157:H7</w:t>
      </w:r>
      <w:r w:rsidR="00D27704" w:rsidRPr="002106B0">
        <w:rPr>
          <w:rFonts w:ascii="Times New Roman" w:hAnsi="Times New Roman"/>
          <w:sz w:val="24"/>
          <w:szCs w:val="24"/>
          <w:lang w:val="en-US"/>
        </w:rPr>
        <w:t>, in particular,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>has been responsible for 15-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36% of hemorrhagic diarrhea cases in the United States and 39% in the United Kingdom (Tewodros and Wudu, 2016). It has also been isolated from 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 xml:space="preserve">retail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>meat in the United States of America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>, found in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1.5%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 xml:space="preserve"> of pork,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1.5% 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 xml:space="preserve">of poultry 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>and 2.0%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 xml:space="preserve"> of lamb samples</w:t>
      </w:r>
      <w:r w:rsidR="003B577B" w:rsidRPr="002106B0">
        <w:rPr>
          <w:rFonts w:ascii="Times New Roman" w:hAnsi="Times New Roman"/>
          <w:sz w:val="24"/>
          <w:szCs w:val="24"/>
          <w:lang w:val="en-US"/>
        </w:rPr>
        <w:t xml:space="preserve"> (Zhao et al., </w:t>
      </w:r>
      <w:r w:rsidR="00A86A19" w:rsidRPr="002106B0">
        <w:rPr>
          <w:rFonts w:ascii="Times New Roman" w:hAnsi="Times New Roman"/>
          <w:sz w:val="24"/>
          <w:szCs w:val="24"/>
          <w:lang w:val="en-US"/>
        </w:rPr>
        <w:t>2012). K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nown </w:t>
      </w:r>
      <w:r w:rsidR="003C18A3" w:rsidRPr="002106B0">
        <w:rPr>
          <w:rFonts w:ascii="Times New Roman" w:hAnsi="Times New Roman"/>
          <w:sz w:val="24"/>
          <w:szCs w:val="24"/>
          <w:lang w:val="en-US"/>
        </w:rPr>
        <w:lastRenderedPageBreak/>
        <w:t>reservoirs for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705F" w:rsidRPr="002106B0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O157:H7 include cattle, small domestic ruminants (sheep and goats), pigs, and poultry.</w:t>
      </w:r>
    </w:p>
    <w:p w14:paraId="178ECA8D" w14:textId="77777777" w:rsidR="003A705F" w:rsidRPr="002106B0" w:rsidRDefault="003C18A3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In Cote d’Ivoire, the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O157:H7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serotype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was f</w:t>
      </w:r>
      <w:r w:rsidRPr="002106B0">
        <w:rPr>
          <w:rFonts w:ascii="Times New Roman" w:hAnsi="Times New Roman"/>
          <w:sz w:val="24"/>
          <w:szCs w:val="24"/>
          <w:lang w:val="en-US"/>
        </w:rPr>
        <w:t>irst isolated in 2000 from food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samples and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>stools of diarrheic patients (</w:t>
      </w:r>
      <w:proofErr w:type="spellStart"/>
      <w:r w:rsidR="003A705F" w:rsidRPr="002106B0">
        <w:rPr>
          <w:rFonts w:ascii="Times New Roman" w:hAnsi="Times New Roman"/>
          <w:sz w:val="24"/>
          <w:szCs w:val="24"/>
          <w:lang w:val="en-US"/>
        </w:rPr>
        <w:t>Dadié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et al., 2000). S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ubsequently, it was detected 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>in mous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e urine in </w:t>
      </w:r>
      <w:proofErr w:type="spellStart"/>
      <w:r w:rsidRPr="002106B0">
        <w:rPr>
          <w:rFonts w:ascii="Times New Roman" w:hAnsi="Times New Roman"/>
          <w:sz w:val="24"/>
          <w:szCs w:val="24"/>
          <w:lang w:val="en-US"/>
        </w:rPr>
        <w:t>Daloa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/>
        </w:rPr>
        <w:t>(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central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Cote d’Ivoire) 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>with a prevalence of 35.7% (</w:t>
      </w:r>
      <w:proofErr w:type="spellStart"/>
      <w:r w:rsidR="003A705F" w:rsidRPr="002106B0">
        <w:rPr>
          <w:rFonts w:ascii="Times New Roman" w:hAnsi="Times New Roman"/>
          <w:sz w:val="24"/>
          <w:szCs w:val="24"/>
          <w:lang w:val="en-US"/>
        </w:rPr>
        <w:t>Sylla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et al., 2022), as well as in milk samples. More recently, </w:t>
      </w:r>
      <w:proofErr w:type="spellStart"/>
      <w:r w:rsidR="003A705F" w:rsidRPr="002106B0">
        <w:rPr>
          <w:rFonts w:ascii="Times New Roman" w:hAnsi="Times New Roman"/>
          <w:sz w:val="24"/>
          <w:szCs w:val="24"/>
          <w:lang w:val="en-US"/>
        </w:rPr>
        <w:t>M’Bari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et al. (2025) isolated this serotype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on 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laying-hen farms in the municipalities of </w:t>
      </w:r>
      <w:proofErr w:type="spellStart"/>
      <w:r w:rsidR="003A705F" w:rsidRPr="002106B0">
        <w:rPr>
          <w:rFonts w:ascii="Times New Roman" w:hAnsi="Times New Roman"/>
          <w:sz w:val="24"/>
          <w:szCs w:val="24"/>
          <w:lang w:val="en-US"/>
        </w:rPr>
        <w:t>Bouaké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3A705F" w:rsidRPr="002106B0">
        <w:rPr>
          <w:rFonts w:ascii="Times New Roman" w:hAnsi="Times New Roman"/>
          <w:sz w:val="24"/>
          <w:szCs w:val="24"/>
          <w:lang w:val="en-US"/>
        </w:rPr>
        <w:t>Korhogo</w:t>
      </w:r>
      <w:proofErr w:type="spellEnd"/>
      <w:r w:rsidR="003A705F" w:rsidRPr="002106B0">
        <w:rPr>
          <w:rFonts w:ascii="Times New Roman" w:hAnsi="Times New Roman"/>
          <w:sz w:val="24"/>
          <w:szCs w:val="24"/>
          <w:lang w:val="en-US"/>
        </w:rPr>
        <w:t>, located in the central and northern regions of the country</w:t>
      </w:r>
      <w:r w:rsidRPr="002106B0">
        <w:rPr>
          <w:rFonts w:ascii="Times New Roman" w:hAnsi="Times New Roman"/>
          <w:sz w:val="24"/>
          <w:szCs w:val="24"/>
          <w:lang w:val="en-US"/>
        </w:rPr>
        <w:t>, respectively</w:t>
      </w:r>
      <w:r w:rsidR="003A705F" w:rsidRPr="002106B0">
        <w:rPr>
          <w:rFonts w:ascii="Times New Roman" w:hAnsi="Times New Roman"/>
          <w:sz w:val="24"/>
          <w:szCs w:val="24"/>
          <w:lang w:val="en-US"/>
        </w:rPr>
        <w:t>.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163056" w:rsidRPr="002106B0">
        <w:rPr>
          <w:rFonts w:ascii="Times New Roman" w:hAnsi="Times New Roman"/>
          <w:sz w:val="24"/>
          <w:szCs w:val="24"/>
          <w:lang w:val="en-US"/>
        </w:rPr>
        <w:t>e</w:t>
      </w:r>
      <w:r w:rsidRPr="002106B0">
        <w:rPr>
          <w:rFonts w:ascii="Times New Roman" w:hAnsi="Times New Roman"/>
          <w:sz w:val="24"/>
          <w:szCs w:val="24"/>
          <w:lang w:val="en-US"/>
        </w:rPr>
        <w:t>ir</w:t>
      </w:r>
      <w:r w:rsidR="00163056" w:rsidRPr="002106B0">
        <w:rPr>
          <w:rFonts w:ascii="Times New Roman" w:hAnsi="Times New Roman"/>
          <w:sz w:val="24"/>
          <w:szCs w:val="24"/>
          <w:lang w:val="en-US"/>
        </w:rPr>
        <w:t xml:space="preserve"> studies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revealed high </w:t>
      </w:r>
      <w:proofErr w:type="spellStart"/>
      <w:r w:rsidR="00B81BFC" w:rsidRPr="002106B0">
        <w:rPr>
          <w:rFonts w:ascii="Times New Roman" w:hAnsi="Times New Roman"/>
          <w:sz w:val="24"/>
          <w:szCs w:val="24"/>
          <w:lang w:val="en-US"/>
        </w:rPr>
        <w:t>prevalences</w:t>
      </w:r>
      <w:proofErr w:type="spellEnd"/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of 65.66% and 60% in these respective localities.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Despites these findings,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the epidemio</w:t>
      </w:r>
      <w:r w:rsidR="002106B0">
        <w:rPr>
          <w:rFonts w:ascii="Times New Roman" w:hAnsi="Times New Roman"/>
          <w:sz w:val="24"/>
          <w:szCs w:val="24"/>
          <w:lang w:val="en-US"/>
        </w:rPr>
        <w:t>lo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gy of </w:t>
      </w:r>
      <w:r w:rsidR="00B81BFC" w:rsidRPr="002106B0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O157:H7 infection in pig farms </w:t>
      </w:r>
      <w:r w:rsidR="00163056" w:rsidRPr="002106B0">
        <w:rPr>
          <w:rFonts w:ascii="Times New Roman" w:hAnsi="Times New Roman"/>
          <w:sz w:val="24"/>
          <w:szCs w:val="24"/>
          <w:lang w:val="en-US"/>
        </w:rPr>
        <w:t>in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Cote d’Ivoire, particularly in the northern </w:t>
      </w:r>
      <w:r w:rsidRPr="002106B0">
        <w:rPr>
          <w:rFonts w:ascii="Times New Roman" w:hAnsi="Times New Roman"/>
          <w:sz w:val="24"/>
          <w:szCs w:val="24"/>
          <w:lang w:val="en-US"/>
        </w:rPr>
        <w:t>region, remains uninvestigated to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best of our knowledge. </w:t>
      </w:r>
    </w:p>
    <w:p w14:paraId="5BFD4E13" w14:textId="77777777" w:rsidR="00163056" w:rsidRPr="002106B0" w:rsidRDefault="00975F56" w:rsidP="00975F56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Moreover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, the isolation of </w:t>
      </w:r>
      <w:r w:rsidRPr="002106B0">
        <w:rPr>
          <w:rFonts w:ascii="Times New Roman" w:hAnsi="Times New Roman"/>
          <w:sz w:val="24"/>
          <w:szCs w:val="24"/>
          <w:lang w:val="en-US"/>
        </w:rPr>
        <w:t>multidrug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-resistant </w:t>
      </w:r>
      <w:r w:rsidR="00B81BFC" w:rsidRPr="002106B0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O157:H7 strains in farms </w:t>
      </w:r>
      <w:r w:rsidRPr="002106B0">
        <w:rPr>
          <w:rFonts w:ascii="Times New Roman" w:hAnsi="Times New Roman"/>
          <w:sz w:val="24"/>
          <w:szCs w:val="24"/>
          <w:lang w:val="en-US"/>
        </w:rPr>
        <w:t>within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the central and northern regions of the country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underscores 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the need to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investigate the presence and epidemiology 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>this pathotype in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pig farms 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B81BFC" w:rsidRPr="002106B0">
        <w:rPr>
          <w:rFonts w:ascii="Times New Roman" w:hAnsi="Times New Roman"/>
          <w:sz w:val="24"/>
          <w:szCs w:val="24"/>
          <w:lang w:val="en-US"/>
        </w:rPr>
        <w:t>Korhogo</w:t>
      </w:r>
      <w:proofErr w:type="spellEnd"/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Department. 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>Consequently, t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he present study 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 xml:space="preserve">was conducted to determine the prevalence and characterize 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>the antib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>iotic resistance profiles of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1BFC" w:rsidRPr="002106B0">
        <w:rPr>
          <w:rFonts w:ascii="Times New Roman" w:hAnsi="Times New Roman"/>
          <w:i/>
          <w:sz w:val="24"/>
          <w:szCs w:val="24"/>
          <w:lang w:val="en-US"/>
        </w:rPr>
        <w:t>E. coli</w:t>
      </w:r>
      <w:r w:rsidR="00B81BFC" w:rsidRPr="002106B0">
        <w:rPr>
          <w:rFonts w:ascii="Times New Roman" w:hAnsi="Times New Roman"/>
          <w:sz w:val="24"/>
          <w:szCs w:val="24"/>
          <w:lang w:val="en-US"/>
        </w:rPr>
        <w:t xml:space="preserve"> O157:H7 in </w:t>
      </w:r>
      <w:r w:rsidR="00B67172" w:rsidRPr="002106B0">
        <w:rPr>
          <w:rFonts w:ascii="Times New Roman" w:hAnsi="Times New Roman"/>
          <w:sz w:val="24"/>
          <w:szCs w:val="24"/>
          <w:lang w:val="en-US"/>
        </w:rPr>
        <w:t xml:space="preserve">these farms. </w:t>
      </w:r>
      <w:bookmarkStart w:id="2" w:name="_Toc147304721"/>
      <w:bookmarkStart w:id="3" w:name="_Toc143797131"/>
      <w:bookmarkStart w:id="4" w:name="_Toc141801168"/>
      <w:bookmarkStart w:id="5" w:name="_Toc107316864"/>
      <w:bookmarkStart w:id="6" w:name="_Toc141440999"/>
      <w:bookmarkStart w:id="7" w:name="_Toc134750636"/>
      <w:bookmarkStart w:id="8" w:name="_Toc108524776"/>
      <w:bookmarkStart w:id="9" w:name="_Toc142651570"/>
      <w:bookmarkStart w:id="10" w:name="_Toc144818618"/>
      <w:bookmarkStart w:id="11" w:name="_Toc148413188"/>
    </w:p>
    <w:p w14:paraId="1FA91A5A" w14:textId="77777777" w:rsidR="00163056" w:rsidRPr="00533423" w:rsidRDefault="00163056" w:rsidP="00163056">
      <w:pPr>
        <w:rPr>
          <w:sz w:val="4"/>
          <w:lang w:val="en-US"/>
        </w:rPr>
      </w:pPr>
    </w:p>
    <w:p w14:paraId="3564B44E" w14:textId="77777777" w:rsidR="00A43DDA" w:rsidRPr="002106B0" w:rsidRDefault="00163056" w:rsidP="00A43DDA">
      <w:pPr>
        <w:pStyle w:val="Heading3"/>
        <w:rPr>
          <w:lang w:val="en-US"/>
        </w:rPr>
      </w:pPr>
      <w:r w:rsidRPr="002106B0">
        <w:rPr>
          <w:lang w:val="en-US"/>
        </w:rPr>
        <w:t>MATERIA</w:t>
      </w:r>
      <w:r w:rsidR="00A43DDA" w:rsidRPr="002106B0">
        <w:rPr>
          <w:lang w:val="en-US"/>
        </w:rPr>
        <w:t>L</w:t>
      </w:r>
      <w:r w:rsidRPr="002106B0">
        <w:rPr>
          <w:lang w:val="en-US"/>
        </w:rPr>
        <w:t>S</w:t>
      </w:r>
      <w:r w:rsidR="0064731B" w:rsidRPr="002106B0">
        <w:rPr>
          <w:lang w:val="en-US"/>
        </w:rPr>
        <w:t xml:space="preserve"> AND</w:t>
      </w:r>
      <w:r w:rsidRPr="002106B0">
        <w:rPr>
          <w:lang w:val="en-US"/>
        </w:rPr>
        <w:t xml:space="preserve"> METHOD</w:t>
      </w:r>
      <w:r w:rsidR="00A43DDA" w:rsidRPr="002106B0">
        <w:rPr>
          <w:lang w:val="en-US"/>
        </w:rPr>
        <w:t>S</w:t>
      </w:r>
    </w:p>
    <w:p w14:paraId="7365E45B" w14:textId="77777777" w:rsidR="00A43DDA" w:rsidRPr="002106B0" w:rsidRDefault="0064731B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sz w:val="24"/>
          <w:szCs w:val="24"/>
          <w:lang w:val="en-US"/>
        </w:rPr>
        <w:t>Study Area</w:t>
      </w:r>
    </w:p>
    <w:p w14:paraId="26F676F7" w14:textId="77777777" w:rsidR="0064731B" w:rsidRPr="002106B0" w:rsidRDefault="0064731B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proofErr w:type="spellStart"/>
      <w:r w:rsidRPr="002106B0">
        <w:rPr>
          <w:rFonts w:ascii="Times New Roman" w:hAnsi="Times New Roman"/>
          <w:bCs/>
          <w:sz w:val="24"/>
          <w:szCs w:val="24"/>
          <w:lang w:val="en-US"/>
        </w:rPr>
        <w:t>Korhogo</w:t>
      </w:r>
      <w:proofErr w:type="spellEnd"/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Department is located in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>northern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Cote d’Ivoire, within the </w:t>
      </w:r>
      <w:proofErr w:type="spellStart"/>
      <w:r w:rsidRPr="002106B0">
        <w:rPr>
          <w:rFonts w:ascii="Times New Roman" w:hAnsi="Times New Roman"/>
          <w:bCs/>
          <w:sz w:val="24"/>
          <w:szCs w:val="24"/>
          <w:lang w:val="en-US"/>
        </w:rPr>
        <w:t>Poro</w:t>
      </w:r>
      <w:proofErr w:type="spellEnd"/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Region (Figure 1).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The climate is of the </w:t>
      </w:r>
      <w:proofErr w:type="spellStart"/>
      <w:r w:rsidRPr="002106B0">
        <w:rPr>
          <w:rFonts w:ascii="Times New Roman" w:hAnsi="Times New Roman"/>
          <w:bCs/>
          <w:sz w:val="24"/>
          <w:szCs w:val="24"/>
          <w:lang w:val="en-US"/>
        </w:rPr>
        <w:t>Sudanian</w:t>
      </w:r>
      <w:proofErr w:type="spellEnd"/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 type, characterized by a single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rainy season from May to October and a dry season from November to April.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>According to t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>he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 latest census,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the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epartment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had a population of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748,393 inhabitants in 2021 (INS, 2021). </w:t>
      </w:r>
    </w:p>
    <w:p w14:paraId="583E979A" w14:textId="77777777" w:rsidR="0064731B" w:rsidRPr="002106B0" w:rsidRDefault="0064731B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>local economy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 is predominantly based on the primary sector, particularly agriculture and livestock farming, with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supplementary activities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in the secondary and tertiary sectors. </w:t>
      </w:r>
      <w:r w:rsidR="00100995" w:rsidRPr="002106B0">
        <w:rPr>
          <w:rFonts w:ascii="Times New Roman" w:hAnsi="Times New Roman"/>
          <w:bCs/>
          <w:sz w:val="24"/>
          <w:szCs w:val="24"/>
          <w:lang w:val="en-US"/>
        </w:rPr>
        <w:t xml:space="preserve">Pig farming is of </w:t>
      </w:r>
      <w:r w:rsidR="003C6333" w:rsidRPr="002106B0">
        <w:rPr>
          <w:rFonts w:ascii="Times New Roman" w:hAnsi="Times New Roman"/>
          <w:bCs/>
          <w:sz w:val="24"/>
          <w:szCs w:val="24"/>
          <w:lang w:val="en-US"/>
        </w:rPr>
        <w:t xml:space="preserve">significant economic and social importance, especially in rural communities. A 2015 census recorded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5,065 pig farms </w:t>
      </w:r>
      <w:r w:rsidR="003C6333" w:rsidRPr="002106B0">
        <w:rPr>
          <w:rFonts w:ascii="Times New Roman" w:hAnsi="Times New Roman"/>
          <w:bCs/>
          <w:sz w:val="24"/>
          <w:szCs w:val="24"/>
          <w:lang w:val="en-US"/>
        </w:rPr>
        <w:t xml:space="preserve">in the department,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with an estimated population of 40,268 pigs (PADECI, 2015). </w:t>
      </w:r>
    </w:p>
    <w:p w14:paraId="744ADFC9" w14:textId="77777777" w:rsidR="00A43DDA" w:rsidRPr="002106B0" w:rsidRDefault="00A43DDA" w:rsidP="00A43DDA">
      <w:pPr>
        <w:autoSpaceDN w:val="0"/>
        <w:spacing w:before="120" w:after="120" w:line="360" w:lineRule="auto"/>
        <w:jc w:val="both"/>
        <w:textAlignment w:val="baseline"/>
        <w:rPr>
          <w:rFonts w:ascii="Times New Roman" w:hAnsi="Times New Roman"/>
          <w:b/>
          <w:bCs/>
          <w:sz w:val="8"/>
          <w:szCs w:val="24"/>
          <w:lang w:val="en-US"/>
        </w:rPr>
      </w:pPr>
      <w:r w:rsidRPr="002106B0">
        <w:rPr>
          <w:rFonts w:ascii="Times New Roman" w:hAnsi="Times New Roman"/>
          <w:b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39DF93EF" wp14:editId="513B1795">
            <wp:simplePos x="0" y="0"/>
            <wp:positionH relativeFrom="column">
              <wp:posOffset>790575</wp:posOffset>
            </wp:positionH>
            <wp:positionV relativeFrom="paragraph">
              <wp:posOffset>264160</wp:posOffset>
            </wp:positionV>
            <wp:extent cx="4896485" cy="5408295"/>
            <wp:effectExtent l="0" t="0" r="0" b="1905"/>
            <wp:wrapTopAndBottom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54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2" w:name="_Toc185347152"/>
      <w:bookmarkStart w:id="13" w:name="_Toc183785058"/>
    </w:p>
    <w:p w14:paraId="777810FC" w14:textId="77777777" w:rsidR="00452350" w:rsidRDefault="00A43DDA" w:rsidP="002106B0">
      <w:pPr>
        <w:pStyle w:val="Captio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2106B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106B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2106B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2106B0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2106B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950C07"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>. Loca</w:t>
      </w:r>
      <w:r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>t</w:t>
      </w:r>
      <w:r w:rsidR="00950C07"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>ion of the study area</w:t>
      </w:r>
      <w:r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950C07"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>in the</w:t>
      </w:r>
      <w:r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>Korhogo</w:t>
      </w:r>
      <w:bookmarkStart w:id="14" w:name="_Toc1532538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  <w:r w:rsidR="00950C07" w:rsidRPr="002106B0"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  <w:t xml:space="preserve"> Department</w:t>
      </w:r>
      <w:bookmarkEnd w:id="14"/>
    </w:p>
    <w:p w14:paraId="54309433" w14:textId="77777777" w:rsidR="002106B0" w:rsidRPr="00533423" w:rsidRDefault="002106B0" w:rsidP="002106B0">
      <w:pPr>
        <w:rPr>
          <w:sz w:val="6"/>
          <w:lang w:val="en-US"/>
        </w:rPr>
      </w:pPr>
    </w:p>
    <w:p w14:paraId="66B23DB8" w14:textId="77777777" w:rsidR="00A43DDA" w:rsidRPr="002106B0" w:rsidRDefault="00950C07" w:rsidP="00A43DDA">
      <w:pPr>
        <w:pStyle w:val="Heading3"/>
        <w:rPr>
          <w:lang w:val="en-US"/>
        </w:rPr>
      </w:pPr>
      <w:r w:rsidRPr="002106B0">
        <w:rPr>
          <w:lang w:val="en-US"/>
        </w:rPr>
        <w:t>Animal Sampling</w:t>
      </w:r>
    </w:p>
    <w:p w14:paraId="5EF6A9D6" w14:textId="77777777" w:rsidR="000C289D" w:rsidRPr="002106B0" w:rsidRDefault="00950C07" w:rsidP="00A43DDA">
      <w:pPr>
        <w:pStyle w:val="Default"/>
        <w:spacing w:before="120" w:after="120"/>
        <w:rPr>
          <w:bCs/>
          <w:color w:val="auto"/>
          <w:lang w:val="en-US"/>
        </w:rPr>
      </w:pPr>
      <w:r w:rsidRPr="002106B0">
        <w:rPr>
          <w:bCs/>
          <w:color w:val="auto"/>
          <w:lang w:val="en-US"/>
        </w:rPr>
        <w:t xml:space="preserve">The sample size for this preliminary study </w:t>
      </w:r>
      <w:r w:rsidR="000C289D" w:rsidRPr="002106B0">
        <w:rPr>
          <w:bCs/>
          <w:color w:val="auto"/>
          <w:lang w:val="en-US"/>
        </w:rPr>
        <w:t xml:space="preserve">was set at </w:t>
      </w:r>
      <w:r w:rsidRPr="002106B0">
        <w:rPr>
          <w:bCs/>
          <w:color w:val="auto"/>
          <w:lang w:val="en-US"/>
        </w:rPr>
        <w:t xml:space="preserve">200 pigs </w:t>
      </w:r>
      <w:r w:rsidR="002106B0">
        <w:rPr>
          <w:bCs/>
          <w:color w:val="auto"/>
          <w:lang w:val="en-US"/>
        </w:rPr>
        <w:t xml:space="preserve">aged </w:t>
      </w:r>
      <w:r w:rsidR="000C289D" w:rsidRPr="002106B0">
        <w:rPr>
          <w:bCs/>
          <w:color w:val="auto"/>
          <w:lang w:val="en-US"/>
        </w:rPr>
        <w:t>over</w:t>
      </w:r>
      <w:r w:rsidRPr="002106B0">
        <w:rPr>
          <w:bCs/>
          <w:color w:val="auto"/>
          <w:lang w:val="en-US"/>
        </w:rPr>
        <w:t xml:space="preserve"> two months</w:t>
      </w:r>
      <w:r w:rsidR="000C289D" w:rsidRPr="002106B0">
        <w:rPr>
          <w:bCs/>
          <w:color w:val="auto"/>
          <w:lang w:val="en-US"/>
        </w:rPr>
        <w:t xml:space="preserve">. A multistage random sampling approach was employed. First, </w:t>
      </w:r>
      <w:r w:rsidRPr="002106B0">
        <w:rPr>
          <w:bCs/>
          <w:color w:val="auto"/>
          <w:lang w:val="en-US"/>
        </w:rPr>
        <w:t>four</w:t>
      </w:r>
      <w:r w:rsidR="000C289D" w:rsidRPr="002106B0">
        <w:rPr>
          <w:bCs/>
          <w:color w:val="auto"/>
          <w:lang w:val="en-US"/>
        </w:rPr>
        <w:t xml:space="preserve"> of the department’s 16</w:t>
      </w:r>
      <w:r w:rsidRPr="002106B0">
        <w:rPr>
          <w:bCs/>
          <w:color w:val="auto"/>
          <w:lang w:val="en-US"/>
        </w:rPr>
        <w:t xml:space="preserve"> sub-prefectures </w:t>
      </w:r>
      <w:r w:rsidR="002106B0">
        <w:rPr>
          <w:bCs/>
          <w:color w:val="auto"/>
          <w:lang w:val="en-US"/>
        </w:rPr>
        <w:t xml:space="preserve">were selected </w:t>
      </w:r>
      <w:r w:rsidR="000C289D" w:rsidRPr="002106B0">
        <w:rPr>
          <w:bCs/>
          <w:color w:val="auto"/>
          <w:lang w:val="en-US"/>
        </w:rPr>
        <w:t xml:space="preserve">at random. </w:t>
      </w:r>
      <w:r w:rsidR="002106B0">
        <w:rPr>
          <w:bCs/>
          <w:color w:val="auto"/>
          <w:lang w:val="en-US"/>
        </w:rPr>
        <w:t>Subsequently,</w:t>
      </w:r>
      <w:r w:rsidR="000C289D" w:rsidRPr="002106B0">
        <w:rPr>
          <w:bCs/>
          <w:color w:val="auto"/>
          <w:lang w:val="en-US"/>
        </w:rPr>
        <w:t xml:space="preserve"> two villages were randomly </w:t>
      </w:r>
      <w:r w:rsidR="002106B0">
        <w:rPr>
          <w:bCs/>
          <w:color w:val="auto"/>
          <w:lang w:val="en-US"/>
        </w:rPr>
        <w:t>chosen within each selected sub-prefecture.</w:t>
      </w:r>
      <w:r w:rsidR="000C289D" w:rsidRPr="002106B0">
        <w:rPr>
          <w:bCs/>
          <w:color w:val="auto"/>
          <w:lang w:val="en-US"/>
        </w:rPr>
        <w:t xml:space="preserve"> </w:t>
      </w:r>
    </w:p>
    <w:p w14:paraId="37DE6975" w14:textId="77777777" w:rsidR="00950C07" w:rsidRPr="002106B0" w:rsidRDefault="000C289D" w:rsidP="00A43DDA">
      <w:pPr>
        <w:pStyle w:val="Default"/>
        <w:spacing w:before="120" w:after="120"/>
        <w:rPr>
          <w:bCs/>
          <w:color w:val="auto"/>
          <w:lang w:val="en-US"/>
        </w:rPr>
      </w:pPr>
      <w:r w:rsidRPr="002106B0">
        <w:rPr>
          <w:bCs/>
          <w:color w:val="auto"/>
          <w:lang w:val="en-US"/>
        </w:rPr>
        <w:t xml:space="preserve">A total of 25 pigs were sampled per village. </w:t>
      </w:r>
      <w:r w:rsidR="00C309BC" w:rsidRPr="002106B0">
        <w:rPr>
          <w:bCs/>
          <w:color w:val="auto"/>
          <w:lang w:val="en-US"/>
        </w:rPr>
        <w:t xml:space="preserve">If this quota was not met in a </w:t>
      </w:r>
      <w:r w:rsidR="002106B0">
        <w:rPr>
          <w:bCs/>
          <w:color w:val="auto"/>
          <w:lang w:val="en-US"/>
        </w:rPr>
        <w:t xml:space="preserve">given </w:t>
      </w:r>
      <w:r w:rsidR="00C309BC" w:rsidRPr="002106B0">
        <w:rPr>
          <w:bCs/>
          <w:color w:val="auto"/>
          <w:lang w:val="en-US"/>
        </w:rPr>
        <w:t xml:space="preserve">village, </w:t>
      </w:r>
      <w:r w:rsidR="00950C07" w:rsidRPr="002106B0">
        <w:rPr>
          <w:bCs/>
          <w:color w:val="auto"/>
          <w:lang w:val="en-US"/>
        </w:rPr>
        <w:t xml:space="preserve">a third nearby village was </w:t>
      </w:r>
      <w:r w:rsidR="00C309BC" w:rsidRPr="002106B0">
        <w:rPr>
          <w:bCs/>
          <w:color w:val="auto"/>
          <w:lang w:val="en-US"/>
        </w:rPr>
        <w:t>included</w:t>
      </w:r>
      <w:r w:rsidR="00950C07" w:rsidRPr="002106B0">
        <w:rPr>
          <w:bCs/>
          <w:color w:val="auto"/>
          <w:lang w:val="en-US"/>
        </w:rPr>
        <w:t xml:space="preserve"> to </w:t>
      </w:r>
      <w:r w:rsidR="00C309BC" w:rsidRPr="002106B0">
        <w:rPr>
          <w:bCs/>
          <w:color w:val="auto"/>
          <w:lang w:val="en-US"/>
        </w:rPr>
        <w:t>reach the required number. A</w:t>
      </w:r>
      <w:r w:rsidR="00950C07" w:rsidRPr="002106B0">
        <w:rPr>
          <w:bCs/>
          <w:color w:val="auto"/>
          <w:lang w:val="en-US"/>
        </w:rPr>
        <w:t xml:space="preserve">nimals were selected </w:t>
      </w:r>
      <w:r w:rsidR="00C309BC" w:rsidRPr="002106B0">
        <w:rPr>
          <w:bCs/>
          <w:color w:val="auto"/>
          <w:lang w:val="en-US"/>
        </w:rPr>
        <w:t xml:space="preserve">irrespective </w:t>
      </w:r>
      <w:r w:rsidR="00950C07" w:rsidRPr="002106B0">
        <w:rPr>
          <w:bCs/>
          <w:color w:val="auto"/>
          <w:lang w:val="en-US"/>
        </w:rPr>
        <w:t xml:space="preserve">of sex, breed, or </w:t>
      </w:r>
      <w:r w:rsidR="00C309BC" w:rsidRPr="002106B0">
        <w:rPr>
          <w:bCs/>
          <w:color w:val="auto"/>
          <w:lang w:val="en-US"/>
        </w:rPr>
        <w:t xml:space="preserve">production </w:t>
      </w:r>
      <w:r w:rsidR="00950C07" w:rsidRPr="002106B0">
        <w:rPr>
          <w:bCs/>
          <w:color w:val="auto"/>
          <w:lang w:val="en-US"/>
        </w:rPr>
        <w:t xml:space="preserve">system. </w:t>
      </w:r>
    </w:p>
    <w:p w14:paraId="6A808ADD" w14:textId="77777777" w:rsidR="00452350" w:rsidRPr="002106B0" w:rsidRDefault="00700F38" w:rsidP="00036CFF">
      <w:pPr>
        <w:pStyle w:val="Default"/>
        <w:spacing w:before="120" w:after="120"/>
        <w:rPr>
          <w:bCs/>
          <w:color w:val="auto"/>
          <w:lang w:val="en-US"/>
        </w:rPr>
      </w:pPr>
      <w:r w:rsidRPr="002106B0">
        <w:rPr>
          <w:bCs/>
          <w:color w:val="auto"/>
          <w:lang w:val="en-US"/>
        </w:rPr>
        <w:t>For each</w:t>
      </w:r>
      <w:r w:rsidR="00C309BC" w:rsidRPr="002106B0">
        <w:rPr>
          <w:bCs/>
          <w:color w:val="auto"/>
          <w:lang w:val="en-US"/>
        </w:rPr>
        <w:t xml:space="preserve"> pig</w:t>
      </w:r>
      <w:r w:rsidRPr="002106B0">
        <w:rPr>
          <w:bCs/>
          <w:color w:val="auto"/>
          <w:lang w:val="en-US"/>
        </w:rPr>
        <w:t xml:space="preserve">, a rectal </w:t>
      </w:r>
      <w:r w:rsidR="00C309BC" w:rsidRPr="002106B0">
        <w:rPr>
          <w:bCs/>
          <w:color w:val="auto"/>
          <w:lang w:val="en-US"/>
        </w:rPr>
        <w:t xml:space="preserve">swab </w:t>
      </w:r>
      <w:r w:rsidRPr="002106B0">
        <w:rPr>
          <w:bCs/>
          <w:color w:val="auto"/>
          <w:lang w:val="en-US"/>
        </w:rPr>
        <w:t xml:space="preserve">was collected and </w:t>
      </w:r>
      <w:r w:rsidR="00C309BC" w:rsidRPr="002106B0">
        <w:rPr>
          <w:bCs/>
          <w:color w:val="auto"/>
          <w:lang w:val="en-US"/>
        </w:rPr>
        <w:t>immediately placed into a 1.5 mL</w:t>
      </w:r>
      <w:r w:rsidRPr="002106B0">
        <w:rPr>
          <w:bCs/>
          <w:color w:val="auto"/>
          <w:lang w:val="en-US"/>
        </w:rPr>
        <w:t xml:space="preserve"> Eppendorf tube containing 1 mL of peptone water. </w:t>
      </w:r>
      <w:r w:rsidR="00C309BC" w:rsidRPr="002106B0">
        <w:rPr>
          <w:bCs/>
          <w:color w:val="auto"/>
          <w:lang w:val="en-US"/>
        </w:rPr>
        <w:t>Each tube</w:t>
      </w:r>
      <w:r w:rsidRPr="002106B0">
        <w:rPr>
          <w:bCs/>
          <w:color w:val="auto"/>
          <w:lang w:val="en-US"/>
        </w:rPr>
        <w:t xml:space="preserve"> was labeled with a unique </w:t>
      </w:r>
      <w:r w:rsidR="00C309BC" w:rsidRPr="002106B0">
        <w:rPr>
          <w:bCs/>
          <w:color w:val="auto"/>
          <w:lang w:val="en-US"/>
        </w:rPr>
        <w:t xml:space="preserve">identification </w:t>
      </w:r>
      <w:r w:rsidRPr="002106B0">
        <w:rPr>
          <w:bCs/>
          <w:color w:val="auto"/>
          <w:lang w:val="en-US"/>
        </w:rPr>
        <w:t>code</w:t>
      </w:r>
      <w:r w:rsidR="00C309BC" w:rsidRPr="002106B0">
        <w:rPr>
          <w:bCs/>
          <w:color w:val="auto"/>
          <w:lang w:val="en-US"/>
        </w:rPr>
        <w:t xml:space="preserve"> </w:t>
      </w:r>
      <w:r w:rsidR="00C309BC" w:rsidRPr="002106B0">
        <w:rPr>
          <w:bCs/>
          <w:color w:val="auto"/>
          <w:lang w:val="en-US"/>
        </w:rPr>
        <w:lastRenderedPageBreak/>
        <w:t>using an indelible marker. All</w:t>
      </w:r>
      <w:r w:rsidRPr="002106B0">
        <w:rPr>
          <w:bCs/>
          <w:color w:val="auto"/>
          <w:lang w:val="en-US"/>
        </w:rPr>
        <w:t xml:space="preserve"> samples were placed in a cooler </w:t>
      </w:r>
      <w:r w:rsidR="00C309BC" w:rsidRPr="002106B0">
        <w:rPr>
          <w:bCs/>
          <w:color w:val="auto"/>
          <w:lang w:val="en-US"/>
        </w:rPr>
        <w:t xml:space="preserve">with </w:t>
      </w:r>
      <w:r w:rsidRPr="002106B0">
        <w:rPr>
          <w:bCs/>
          <w:color w:val="auto"/>
          <w:lang w:val="en-US"/>
        </w:rPr>
        <w:t>ice packs for preservation and transported to the laborat</w:t>
      </w:r>
      <w:r w:rsidR="002106B0">
        <w:rPr>
          <w:bCs/>
          <w:color w:val="auto"/>
          <w:lang w:val="en-US"/>
        </w:rPr>
        <w:t>ory for storage</w:t>
      </w:r>
      <w:r w:rsidR="00C309BC" w:rsidRPr="002106B0">
        <w:rPr>
          <w:bCs/>
          <w:color w:val="auto"/>
          <w:lang w:val="en-US"/>
        </w:rPr>
        <w:t xml:space="preserve"> at </w:t>
      </w:r>
      <w:r w:rsidRPr="002106B0">
        <w:rPr>
          <w:bCs/>
          <w:color w:val="auto"/>
          <w:lang w:val="en-US"/>
        </w:rPr>
        <w:t>4</w:t>
      </w:r>
      <w:r w:rsidR="00C309BC" w:rsidRPr="002106B0">
        <w:rPr>
          <w:bCs/>
          <w:color w:val="auto"/>
          <w:lang w:val="en-US"/>
        </w:rPr>
        <w:t xml:space="preserve"> </w:t>
      </w:r>
      <w:r w:rsidRPr="002106B0">
        <w:rPr>
          <w:bCs/>
          <w:color w:val="auto"/>
          <w:lang w:val="en-US"/>
        </w:rPr>
        <w:t>°C until analysis.</w:t>
      </w:r>
    </w:p>
    <w:p w14:paraId="605C2690" w14:textId="77777777" w:rsidR="00700F38" w:rsidRPr="002106B0" w:rsidRDefault="002106B0" w:rsidP="00A43DDA">
      <w:pPr>
        <w:pStyle w:val="Heading3"/>
        <w:rPr>
          <w:lang w:val="en-US"/>
        </w:rPr>
      </w:pPr>
      <w:r>
        <w:rPr>
          <w:lang w:val="en-US"/>
        </w:rPr>
        <w:t xml:space="preserve">Laboratory </w:t>
      </w:r>
      <w:r w:rsidR="00B22775" w:rsidRPr="002106B0">
        <w:rPr>
          <w:lang w:val="en-US"/>
        </w:rPr>
        <w:t>Analyse</w:t>
      </w:r>
      <w:r w:rsidR="00700F38" w:rsidRPr="002106B0">
        <w:rPr>
          <w:lang w:val="en-US"/>
        </w:rPr>
        <w:t>s</w:t>
      </w:r>
    </w:p>
    <w:p w14:paraId="4A4039D4" w14:textId="77777777" w:rsidR="00A43DDA" w:rsidRPr="002106B0" w:rsidRDefault="00B22775" w:rsidP="00700F38">
      <w:pPr>
        <w:pStyle w:val="Heading3"/>
        <w:rPr>
          <w:lang w:val="en-US"/>
        </w:rPr>
      </w:pPr>
      <w:r w:rsidRPr="002106B0">
        <w:rPr>
          <w:b w:val="0"/>
          <w:lang w:val="en-US"/>
        </w:rPr>
        <w:t>Two</w:t>
      </w:r>
      <w:r w:rsidR="00700F38" w:rsidRPr="002106B0">
        <w:rPr>
          <w:b w:val="0"/>
          <w:lang w:val="en-US"/>
        </w:rPr>
        <w:t xml:space="preserve"> bacteriological analyses were </w:t>
      </w:r>
      <w:r w:rsidR="002106B0">
        <w:rPr>
          <w:b w:val="0"/>
          <w:lang w:val="en-US"/>
        </w:rPr>
        <w:t xml:space="preserve">performed </w:t>
      </w:r>
      <w:r w:rsidR="00700F38" w:rsidRPr="002106B0">
        <w:rPr>
          <w:b w:val="0"/>
          <w:lang w:val="en-US"/>
        </w:rPr>
        <w:t>in this epidemiological investigation</w:t>
      </w:r>
      <w:r w:rsidRPr="002106B0">
        <w:rPr>
          <w:b w:val="0"/>
          <w:lang w:val="en-US"/>
        </w:rPr>
        <w:t>: (1) the isolation and identification of</w:t>
      </w:r>
      <w:r w:rsidR="00700F38" w:rsidRPr="002106B0">
        <w:rPr>
          <w:b w:val="0"/>
          <w:lang w:val="en-US"/>
        </w:rPr>
        <w:t xml:space="preserve"> the </w:t>
      </w:r>
      <w:r w:rsidR="002106B0">
        <w:rPr>
          <w:b w:val="0"/>
          <w:i/>
          <w:lang w:val="en-US"/>
        </w:rPr>
        <w:t>Escherichia</w:t>
      </w:r>
      <w:r w:rsidR="00A43DDA" w:rsidRPr="002106B0">
        <w:rPr>
          <w:b w:val="0"/>
          <w:i/>
          <w:lang w:val="en-US"/>
        </w:rPr>
        <w:t xml:space="preserve"> coli</w:t>
      </w:r>
      <w:r w:rsidR="00791C0E" w:rsidRPr="002106B0">
        <w:rPr>
          <w:b w:val="0"/>
          <w:lang w:val="en-US"/>
        </w:rPr>
        <w:t xml:space="preserve"> O157</w:t>
      </w:r>
      <w:r w:rsidR="00A43DDA" w:rsidRPr="002106B0">
        <w:rPr>
          <w:b w:val="0"/>
          <w:lang w:val="en-US"/>
        </w:rPr>
        <w:t>:H7</w:t>
      </w:r>
      <w:r w:rsidR="00700F38" w:rsidRPr="002106B0">
        <w:rPr>
          <w:b w:val="0"/>
          <w:lang w:val="en-US"/>
        </w:rPr>
        <w:t xml:space="preserve"> serotype, </w:t>
      </w:r>
      <w:r w:rsidRPr="002106B0">
        <w:rPr>
          <w:b w:val="0"/>
          <w:lang w:val="en-US"/>
        </w:rPr>
        <w:t xml:space="preserve">followed by (2) </w:t>
      </w:r>
      <w:r w:rsidR="00700F38" w:rsidRPr="002106B0">
        <w:rPr>
          <w:b w:val="0"/>
          <w:lang w:val="en-US"/>
        </w:rPr>
        <w:t>antimicrobial susceptibility testing</w:t>
      </w:r>
      <w:r w:rsidRPr="002106B0">
        <w:rPr>
          <w:b w:val="0"/>
          <w:lang w:val="en-US"/>
        </w:rPr>
        <w:t xml:space="preserve"> of the </w:t>
      </w:r>
      <w:r w:rsidR="002106B0">
        <w:rPr>
          <w:b w:val="0"/>
          <w:lang w:val="en-US"/>
        </w:rPr>
        <w:t xml:space="preserve">confirmed </w:t>
      </w:r>
      <w:r w:rsidRPr="002106B0">
        <w:rPr>
          <w:b w:val="0"/>
          <w:lang w:val="en-US"/>
        </w:rPr>
        <w:t xml:space="preserve">isolates. </w:t>
      </w:r>
    </w:p>
    <w:p w14:paraId="1CF759DA" w14:textId="77777777" w:rsidR="00036CFF" w:rsidRPr="002106B0" w:rsidRDefault="00036CFF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</w:p>
    <w:p w14:paraId="583EBFE2" w14:textId="77777777" w:rsidR="00A43DDA" w:rsidRPr="002106B0" w:rsidRDefault="00A43DDA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  <w:r w:rsidRPr="002106B0">
        <w:rPr>
          <w:b/>
          <w:lang w:val="en-US"/>
        </w:rPr>
        <w:t>I</w:t>
      </w:r>
      <w:r w:rsidR="00785880" w:rsidRPr="002106B0">
        <w:rPr>
          <w:b/>
          <w:lang w:val="en-US"/>
        </w:rPr>
        <w:t xml:space="preserve">solation of </w:t>
      </w:r>
      <w:r w:rsidR="00785880" w:rsidRPr="002106B0">
        <w:rPr>
          <w:b/>
          <w:i/>
          <w:iCs/>
          <w:lang w:val="en-US"/>
        </w:rPr>
        <w:t>E. coli O157:</w:t>
      </w:r>
      <w:r w:rsidRPr="002106B0">
        <w:rPr>
          <w:b/>
          <w:i/>
          <w:iCs/>
          <w:lang w:val="en-US"/>
        </w:rPr>
        <w:t>H7</w:t>
      </w:r>
      <w:r w:rsidRPr="002106B0">
        <w:rPr>
          <w:b/>
          <w:lang w:val="en-US"/>
        </w:rPr>
        <w:t xml:space="preserve"> </w:t>
      </w:r>
    </w:p>
    <w:p w14:paraId="7A542A13" w14:textId="77777777" w:rsidR="00785880" w:rsidRPr="002106B0" w:rsidRDefault="00785880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</w:p>
    <w:p w14:paraId="09DF071A" w14:textId="77777777" w:rsidR="00A43DDA" w:rsidRPr="002106B0" w:rsidRDefault="00773514" w:rsidP="00791C0E">
      <w:pPr>
        <w:pStyle w:val="2"/>
        <w:tabs>
          <w:tab w:val="left" w:pos="420"/>
        </w:tabs>
        <w:spacing w:line="360" w:lineRule="auto"/>
        <w:ind w:left="0" w:firstLine="0"/>
        <w:rPr>
          <w:lang w:val="en-US"/>
        </w:rPr>
      </w:pPr>
      <w:r w:rsidRPr="002106B0">
        <w:rPr>
          <w:lang w:val="en-US"/>
        </w:rPr>
        <w:t>Bacterial</w:t>
      </w:r>
      <w:r w:rsidR="00785880" w:rsidRPr="002106B0">
        <w:rPr>
          <w:lang w:val="en-US"/>
        </w:rPr>
        <w:t xml:space="preserve"> isolation was performed using a chromogenic medium </w:t>
      </w:r>
      <w:r w:rsidRPr="002106B0">
        <w:rPr>
          <w:lang w:val="en-US"/>
        </w:rPr>
        <w:t xml:space="preserve">selective </w:t>
      </w:r>
      <w:r w:rsidR="00785880" w:rsidRPr="002106B0">
        <w:rPr>
          <w:lang w:val="en-US"/>
        </w:rPr>
        <w:t xml:space="preserve">for </w:t>
      </w:r>
      <w:r w:rsidR="00785880" w:rsidRPr="002106B0">
        <w:rPr>
          <w:i/>
          <w:lang w:val="en-US"/>
        </w:rPr>
        <w:t>E. coli</w:t>
      </w:r>
      <w:r w:rsidR="00785880" w:rsidRPr="002106B0">
        <w:rPr>
          <w:lang w:val="en-US"/>
        </w:rPr>
        <w:t xml:space="preserve"> </w:t>
      </w:r>
      <w:r w:rsidRPr="002106B0">
        <w:rPr>
          <w:lang w:val="en-US"/>
        </w:rPr>
        <w:t>O157:H7. Prior to analysis,</w:t>
      </w:r>
      <w:r w:rsidR="00785880" w:rsidRPr="002106B0">
        <w:rPr>
          <w:lang w:val="en-US"/>
        </w:rPr>
        <w:t xml:space="preserve"> </w:t>
      </w:r>
      <w:r w:rsidRPr="002106B0">
        <w:rPr>
          <w:lang w:val="en-US"/>
        </w:rPr>
        <w:t>samples</w:t>
      </w:r>
      <w:r w:rsidR="002106B0">
        <w:rPr>
          <w:lang w:val="en-US"/>
        </w:rPr>
        <w:t xml:space="preserve"> were removed from refrigeration</w:t>
      </w:r>
      <w:r w:rsidR="00791C0E" w:rsidRPr="002106B0">
        <w:rPr>
          <w:lang w:val="en-US"/>
        </w:rPr>
        <w:t xml:space="preserve"> and </w:t>
      </w:r>
      <w:r w:rsidRPr="002106B0">
        <w:rPr>
          <w:lang w:val="en-US"/>
        </w:rPr>
        <w:t xml:space="preserve">acclimated </w:t>
      </w:r>
      <w:r w:rsidR="00791C0E" w:rsidRPr="002106B0">
        <w:rPr>
          <w:lang w:val="en-US"/>
        </w:rPr>
        <w:t xml:space="preserve">to </w:t>
      </w:r>
      <w:r w:rsidRPr="002106B0">
        <w:rPr>
          <w:lang w:val="en-US"/>
        </w:rPr>
        <w:t>ambient</w:t>
      </w:r>
      <w:r w:rsidR="00791C0E" w:rsidRPr="002106B0">
        <w:rPr>
          <w:lang w:val="en-US"/>
        </w:rPr>
        <w:t xml:space="preserve"> temperature </w:t>
      </w:r>
      <w:r w:rsidRPr="002106B0">
        <w:rPr>
          <w:lang w:val="en-US"/>
        </w:rPr>
        <w:t>for 30 minutes. To enrich bacterial growth, they were then incubated at</w:t>
      </w:r>
      <w:r w:rsidR="00791C0E" w:rsidRPr="002106B0">
        <w:rPr>
          <w:lang w:val="en-US"/>
        </w:rPr>
        <w:t xml:space="preserve"> </w:t>
      </w:r>
      <w:r w:rsidRPr="002106B0">
        <w:rPr>
          <w:lang w:val="en-US"/>
        </w:rPr>
        <w:t xml:space="preserve">37 °C for 24 hours. Following enrichment, a loopful of each sample was streaked onto Chromogenic Agar for </w:t>
      </w:r>
      <w:r w:rsidRPr="002106B0">
        <w:rPr>
          <w:i/>
          <w:lang w:val="en-US"/>
        </w:rPr>
        <w:t>E. col</w:t>
      </w:r>
      <w:r w:rsidR="00533423">
        <w:rPr>
          <w:i/>
          <w:lang w:val="en-US"/>
        </w:rPr>
        <w:t>i</w:t>
      </w:r>
      <w:r w:rsidRPr="002106B0">
        <w:rPr>
          <w:lang w:val="en-US"/>
        </w:rPr>
        <w:t xml:space="preserve"> O157:H7 </w:t>
      </w:r>
      <w:r w:rsidR="00791C0E" w:rsidRPr="002106B0">
        <w:rPr>
          <w:lang w:val="en-US"/>
        </w:rPr>
        <w:t>(</w:t>
      </w:r>
      <w:proofErr w:type="spellStart"/>
      <w:r w:rsidR="00791C0E" w:rsidRPr="002106B0">
        <w:rPr>
          <w:lang w:val="en-US"/>
        </w:rPr>
        <w:t>Condalab</w:t>
      </w:r>
      <w:proofErr w:type="spellEnd"/>
      <w:r w:rsidR="00791C0E" w:rsidRPr="002106B0">
        <w:rPr>
          <w:lang w:val="en-US"/>
        </w:rPr>
        <w:t>, Spain)</w:t>
      </w:r>
      <w:r w:rsidRPr="002106B0">
        <w:rPr>
          <w:lang w:val="en-US"/>
        </w:rPr>
        <w:t>,</w:t>
      </w:r>
      <w:r w:rsidR="00791C0E" w:rsidRPr="002106B0">
        <w:rPr>
          <w:lang w:val="en-US"/>
        </w:rPr>
        <w:t xml:space="preserve"> supplemented with cefixime and tellurite</w:t>
      </w:r>
      <w:r w:rsidRPr="002106B0">
        <w:rPr>
          <w:lang w:val="en-US"/>
        </w:rPr>
        <w:t xml:space="preserve"> as selective agents</w:t>
      </w:r>
      <w:r w:rsidR="00791C0E" w:rsidRPr="002106B0">
        <w:rPr>
          <w:lang w:val="en-US"/>
        </w:rPr>
        <w:t xml:space="preserve">. The inoculated plates were </w:t>
      </w:r>
      <w:r w:rsidR="002106B0">
        <w:rPr>
          <w:lang w:val="en-US"/>
        </w:rPr>
        <w:t xml:space="preserve">then </w:t>
      </w:r>
      <w:r w:rsidR="00791C0E" w:rsidRPr="002106B0">
        <w:rPr>
          <w:lang w:val="en-US"/>
        </w:rPr>
        <w:t xml:space="preserve">incubated at 37 °C for 24 hours. </w:t>
      </w:r>
      <w:r w:rsidRPr="002106B0">
        <w:rPr>
          <w:lang w:val="en-US"/>
        </w:rPr>
        <w:t>Presumptive</w:t>
      </w:r>
      <w:r w:rsidRPr="002106B0">
        <w:rPr>
          <w:i/>
          <w:lang w:val="en-US"/>
        </w:rPr>
        <w:t xml:space="preserve"> </w:t>
      </w:r>
      <w:r w:rsidR="00791C0E" w:rsidRPr="002106B0">
        <w:rPr>
          <w:i/>
          <w:lang w:val="en-US"/>
        </w:rPr>
        <w:t>E. coli</w:t>
      </w:r>
      <w:r w:rsidR="00791C0E" w:rsidRPr="002106B0">
        <w:rPr>
          <w:lang w:val="en-US"/>
        </w:rPr>
        <w:t xml:space="preserve"> O157:H7 colonies </w:t>
      </w:r>
      <w:r w:rsidRPr="002106B0">
        <w:rPr>
          <w:lang w:val="en-US"/>
        </w:rPr>
        <w:t xml:space="preserve">were identified on this medium by their characteristic </w:t>
      </w:r>
      <w:r w:rsidR="00791C0E" w:rsidRPr="002106B0">
        <w:rPr>
          <w:lang w:val="en-US"/>
        </w:rPr>
        <w:t xml:space="preserve">pale pink </w:t>
      </w:r>
      <w:r w:rsidR="002106B0">
        <w:rPr>
          <w:lang w:val="en-US"/>
        </w:rPr>
        <w:t>color.</w:t>
      </w:r>
    </w:p>
    <w:p w14:paraId="4C202F03" w14:textId="77777777" w:rsidR="00A43DDA" w:rsidRPr="00533423" w:rsidRDefault="00A43DDA" w:rsidP="00A43DDA">
      <w:pPr>
        <w:pStyle w:val="2"/>
        <w:tabs>
          <w:tab w:val="left" w:pos="420"/>
        </w:tabs>
        <w:ind w:left="0" w:firstLine="0"/>
        <w:rPr>
          <w:sz w:val="4"/>
          <w:lang w:val="en-US"/>
        </w:rPr>
      </w:pPr>
    </w:p>
    <w:p w14:paraId="09B85345" w14:textId="77777777" w:rsidR="00023E5A" w:rsidRPr="002106B0" w:rsidRDefault="00023E5A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</w:p>
    <w:p w14:paraId="7F5F34FC" w14:textId="77777777" w:rsidR="00023E5A" w:rsidRPr="002106B0" w:rsidRDefault="00023E5A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  <w:r w:rsidRPr="002106B0">
        <w:rPr>
          <w:b/>
          <w:lang w:val="en-US"/>
        </w:rPr>
        <w:t>Antimicrobial Susceptibility Testing of E. coli O157:H7 Isolates</w:t>
      </w:r>
    </w:p>
    <w:p w14:paraId="0280AD39" w14:textId="77777777" w:rsidR="00A43DDA" w:rsidRPr="002106B0" w:rsidRDefault="00A43DDA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</w:p>
    <w:p w14:paraId="1D8218FC" w14:textId="77777777" w:rsidR="00A43DDA" w:rsidRPr="002106B0" w:rsidRDefault="00023E5A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All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 xml:space="preserve">confirmed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E. coli O157:H7 isolates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subjected to antimicrobial susceptibility testing against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 xml:space="preserve">a panel of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nine antibiotics,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>including three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commonly used in pig farming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>with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in the study area.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>The tested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antibiotics </w:t>
      </w:r>
      <w:r w:rsidR="00F05B0E" w:rsidRPr="002106B0">
        <w:rPr>
          <w:rFonts w:ascii="Times New Roman" w:hAnsi="Times New Roman"/>
          <w:sz w:val="24"/>
          <w:szCs w:val="24"/>
          <w:lang w:val="en-US"/>
        </w:rPr>
        <w:t xml:space="preserve">and their disc potencies were: </w:t>
      </w:r>
      <w:r w:rsidRPr="002106B0">
        <w:rPr>
          <w:rFonts w:ascii="Times New Roman" w:hAnsi="Times New Roman"/>
          <w:sz w:val="24"/>
          <w:szCs w:val="24"/>
          <w:lang w:val="en-US"/>
        </w:rPr>
        <w:t>gentamicin</w:t>
      </w:r>
      <w:r w:rsidR="00E92E8C" w:rsidRPr="002106B0">
        <w:rPr>
          <w:rFonts w:ascii="Times New Roman" w:hAnsi="Times New Roman"/>
          <w:sz w:val="24"/>
          <w:szCs w:val="24"/>
          <w:lang w:val="en-US"/>
        </w:rPr>
        <w:t xml:space="preserve"> (10 µg), ceftriaxone (30 µg), penicillin (10 µg), oxyte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tracycline </w:t>
      </w:r>
      <w:r w:rsidR="00E92E8C" w:rsidRPr="002106B0">
        <w:rPr>
          <w:rFonts w:ascii="Times New Roman" w:hAnsi="Times New Roman"/>
          <w:sz w:val="24"/>
          <w:szCs w:val="24"/>
          <w:lang w:val="en-US"/>
        </w:rPr>
        <w:t xml:space="preserve">(30 µg), streptomycin (25 µg), colistin (25µg), amoxicillin (30µg), 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>a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>mpicillin</w:t>
      </w:r>
      <w:r w:rsidR="00A43DDA"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 (30µg)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, and 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>t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>e</w:t>
      </w:r>
      <w:r w:rsidR="00A43DDA" w:rsidRPr="002106B0">
        <w:rPr>
          <w:rFonts w:ascii="Times New Roman" w:hAnsi="Times New Roman"/>
          <w:sz w:val="24"/>
          <w:szCs w:val="24"/>
          <w:lang w:val="en-US" w:eastAsia="zh-CN" w:bidi="ar"/>
        </w:rPr>
        <w:t>tracycline (30µg).</w:t>
      </w:r>
    </w:p>
    <w:p w14:paraId="230534A6" w14:textId="77777777" w:rsidR="00A43DDA" w:rsidRPr="002106B0" w:rsidRDefault="00F05B0E" w:rsidP="00E92E8C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The 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>testing</w:t>
      </w:r>
      <w:r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 protocol consisted of 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three </w:t>
      </w:r>
      <w:r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main steps: bacterial subculture to obtain fresh colonies, preparation of a standardized inoculum, and the disc diffusion assay. </w:t>
      </w:r>
      <w:r w:rsidR="00E92E8C" w:rsidRPr="002106B0">
        <w:rPr>
          <w:rFonts w:ascii="Times New Roman" w:hAnsi="Times New Roman"/>
          <w:sz w:val="24"/>
          <w:szCs w:val="24"/>
          <w:lang w:val="en-US" w:eastAsia="zh-CN" w:bidi="ar"/>
        </w:rPr>
        <w:t xml:space="preserve"> </w:t>
      </w:r>
    </w:p>
    <w:p w14:paraId="19C17828" w14:textId="77777777" w:rsidR="00A43DDA" w:rsidRPr="002106B0" w:rsidRDefault="00A43DDA" w:rsidP="00A43DDA">
      <w:pPr>
        <w:pStyle w:val="ListParagraph"/>
        <w:spacing w:before="120" w:after="120" w:line="360" w:lineRule="auto"/>
        <w:ind w:left="36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2E2B64AF" w14:textId="77777777" w:rsidR="00A43DDA" w:rsidRDefault="00A43DDA" w:rsidP="00A43DDA">
      <w:pPr>
        <w:pStyle w:val="ListParagraph"/>
        <w:spacing w:before="120" w:after="120" w:line="360" w:lineRule="auto"/>
        <w:ind w:left="36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51C2525C" w14:textId="77777777" w:rsidR="00533423" w:rsidRDefault="00533423" w:rsidP="00A43DDA">
      <w:pPr>
        <w:pStyle w:val="ListParagraph"/>
        <w:spacing w:before="120" w:after="120" w:line="360" w:lineRule="auto"/>
        <w:ind w:left="36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26DE6386" w14:textId="77777777" w:rsidR="00533423" w:rsidRPr="002106B0" w:rsidRDefault="00533423" w:rsidP="00A43DDA">
      <w:pPr>
        <w:pStyle w:val="ListParagraph"/>
        <w:spacing w:before="120" w:after="120" w:line="360" w:lineRule="auto"/>
        <w:ind w:left="36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3C9CC5D3" w14:textId="77777777" w:rsidR="00A43DDA" w:rsidRPr="002106B0" w:rsidRDefault="00F05B0E" w:rsidP="00A43DDA">
      <w:pPr>
        <w:ind w:left="360"/>
        <w:rPr>
          <w:rFonts w:ascii="Times New Roman" w:hAnsi="Times New Roman"/>
          <w:b/>
          <w:i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t xml:space="preserve">Bacterial Subculture for Fresh </w:t>
      </w:r>
      <w:r w:rsidR="00F10B2F" w:rsidRPr="002106B0">
        <w:rPr>
          <w:rFonts w:ascii="Times New Roman" w:hAnsi="Times New Roman"/>
          <w:b/>
          <w:i/>
          <w:sz w:val="24"/>
          <w:szCs w:val="24"/>
          <w:lang w:val="en-US"/>
        </w:rPr>
        <w:t>Colonies</w:t>
      </w:r>
    </w:p>
    <w:p w14:paraId="655E07B1" w14:textId="77777777" w:rsidR="00F10B2F" w:rsidRPr="002106B0" w:rsidRDefault="00F05B0E" w:rsidP="00A43DDA">
      <w:pPr>
        <w:spacing w:before="6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Frozen stock isolates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thawed and equilibrated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at room temperature for </w:t>
      </w:r>
      <w:r w:rsidRPr="002106B0">
        <w:rPr>
          <w:rFonts w:ascii="Times New Roman" w:hAnsi="Times New Roman"/>
          <w:sz w:val="24"/>
          <w:szCs w:val="24"/>
          <w:lang w:val="en-US"/>
        </w:rPr>
        <w:t>one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/>
        </w:rPr>
        <w:t>hour to revive the bacteria. They were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then incubated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in a nutrient broth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at 37 °C for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two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hours. </w:t>
      </w:r>
      <w:r w:rsidR="002106B0">
        <w:rPr>
          <w:rFonts w:ascii="Times New Roman" w:hAnsi="Times New Roman"/>
          <w:sz w:val="24"/>
          <w:szCs w:val="24"/>
          <w:lang w:val="en-US"/>
        </w:rPr>
        <w:t>Subsequently, a loopful of the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 broth culture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streaked onto fresh chromogenic agar </w:t>
      </w:r>
      <w:r w:rsidR="002106B0">
        <w:rPr>
          <w:rFonts w:ascii="Times New Roman" w:hAnsi="Times New Roman"/>
          <w:sz w:val="24"/>
          <w:szCs w:val="24"/>
          <w:lang w:val="en-US"/>
        </w:rPr>
        <w:t xml:space="preserve">selective 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A43DDA" w:rsidRPr="002106B0">
        <w:rPr>
          <w:rFonts w:ascii="Times New Roman" w:hAnsi="Times New Roman"/>
          <w:i/>
          <w:iCs/>
          <w:sz w:val="24"/>
          <w:szCs w:val="24"/>
          <w:lang w:val="en-US"/>
        </w:rPr>
        <w:t>E. coli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O157: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>H7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incubated 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at 37 °C </w:t>
      </w:r>
      <w:r w:rsidR="002106B0">
        <w:rPr>
          <w:rFonts w:ascii="Times New Roman" w:hAnsi="Times New Roman"/>
          <w:sz w:val="24"/>
          <w:szCs w:val="24"/>
          <w:lang w:val="en-US"/>
        </w:rPr>
        <w:t xml:space="preserve">for 18-24 </w:t>
      </w:r>
      <w:r w:rsidR="000D55E7" w:rsidRPr="002106B0">
        <w:rPr>
          <w:rFonts w:ascii="Times New Roman" w:hAnsi="Times New Roman"/>
          <w:sz w:val="24"/>
          <w:szCs w:val="24"/>
          <w:lang w:val="en-US"/>
        </w:rPr>
        <w:t xml:space="preserve">hours to obtain isolated, fresh colonies. </w:t>
      </w:r>
    </w:p>
    <w:p w14:paraId="6359FB8C" w14:textId="77777777" w:rsidR="000D55E7" w:rsidRPr="00533423" w:rsidRDefault="000D55E7" w:rsidP="00A43DDA">
      <w:pPr>
        <w:ind w:left="360"/>
        <w:rPr>
          <w:rFonts w:ascii="Times New Roman" w:hAnsi="Times New Roman"/>
          <w:b/>
          <w:i/>
          <w:sz w:val="12"/>
          <w:szCs w:val="24"/>
          <w:lang w:val="en-US"/>
        </w:rPr>
      </w:pPr>
    </w:p>
    <w:p w14:paraId="0E14196E" w14:textId="77777777" w:rsidR="00A43DDA" w:rsidRPr="002106B0" w:rsidRDefault="00F10B2F" w:rsidP="00A43DDA">
      <w:pPr>
        <w:ind w:left="360"/>
        <w:rPr>
          <w:rFonts w:ascii="Times New Roman" w:hAnsi="Times New Roman"/>
          <w:b/>
          <w:i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Pre</w:t>
      </w:r>
      <w:r w:rsidR="00A43DDA" w:rsidRPr="002106B0">
        <w:rPr>
          <w:rFonts w:ascii="Times New Roman" w:hAnsi="Times New Roman"/>
          <w:b/>
          <w:i/>
          <w:sz w:val="24"/>
          <w:szCs w:val="24"/>
          <w:lang w:val="en-US"/>
        </w:rPr>
        <w:t>paration</w:t>
      </w: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t xml:space="preserve"> of the I</w:t>
      </w:r>
      <w:r w:rsidR="00A43DDA" w:rsidRPr="002106B0">
        <w:rPr>
          <w:rFonts w:ascii="Times New Roman" w:hAnsi="Times New Roman"/>
          <w:b/>
          <w:i/>
          <w:sz w:val="24"/>
          <w:szCs w:val="24"/>
          <w:lang w:val="en-US"/>
        </w:rPr>
        <w:t xml:space="preserve">noculum </w:t>
      </w:r>
    </w:p>
    <w:p w14:paraId="34205632" w14:textId="77777777" w:rsidR="00F10B2F" w:rsidRPr="002106B0" w:rsidRDefault="00A96D71" w:rsidP="00F10B2F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To prepare the inoculum, several well-isolated fresh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colonies from each sample were collected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with a sterile Pasteur pipette and</w:t>
      </w:r>
      <w:r w:rsidR="00F10B2F" w:rsidRPr="002106B0">
        <w:rPr>
          <w:rFonts w:ascii="Times New Roman" w:hAnsi="Times New Roman"/>
          <w:sz w:val="24"/>
          <w:szCs w:val="24"/>
          <w:lang w:val="en-US"/>
        </w:rPr>
        <w:t xml:space="preserve"> homogenized 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>in a test tube containing 10 mL of s</w:t>
      </w:r>
      <w:r w:rsidRPr="002106B0">
        <w:rPr>
          <w:rFonts w:ascii="Times New Roman" w:hAnsi="Times New Roman"/>
          <w:sz w:val="24"/>
          <w:szCs w:val="24"/>
          <w:lang w:val="en-US"/>
        </w:rPr>
        <w:t>terile Mueller-Hinton broth. This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suspension was incubated at 37 °C for 3 hou</w:t>
      </w:r>
      <w:r w:rsidRPr="002106B0">
        <w:rPr>
          <w:rFonts w:ascii="Times New Roman" w:hAnsi="Times New Roman"/>
          <w:sz w:val="24"/>
          <w:szCs w:val="24"/>
          <w:lang w:val="en-US"/>
        </w:rPr>
        <w:t>rs. Subsequently, 0.1 mL of the resulting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culture was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aseptically transferred 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>into 10 mL of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sterile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physiological saline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(0.85% </w:t>
      </w:r>
      <w:proofErr w:type="spellStart"/>
      <w:r w:rsidRPr="002106B0">
        <w:rPr>
          <w:rFonts w:ascii="Times New Roman" w:hAnsi="Times New Roman"/>
          <w:sz w:val="24"/>
          <w:szCs w:val="24"/>
          <w:lang w:val="en-US"/>
        </w:rPr>
        <w:t>NaCI</w:t>
      </w:r>
      <w:proofErr w:type="spellEnd"/>
      <w:r w:rsidRPr="002106B0">
        <w:rPr>
          <w:rFonts w:ascii="Times New Roman" w:hAnsi="Times New Roman"/>
          <w:sz w:val="24"/>
          <w:szCs w:val="24"/>
          <w:lang w:val="en-US"/>
        </w:rPr>
        <w:t xml:space="preserve">) and mixed 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thoroughly to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achieve a 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>homogeneous bacterial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suspension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. This stock suspension, </w:t>
      </w:r>
      <w:r w:rsidRPr="002106B0">
        <w:rPr>
          <w:rFonts w:ascii="Times New Roman" w:hAnsi="Times New Roman"/>
          <w:sz w:val="24"/>
          <w:szCs w:val="24"/>
          <w:lang w:val="en-US"/>
        </w:rPr>
        <w:t>with a turbidity equivalent to the 0.5 McFarland standard (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>approximately 10</w:t>
      </w:r>
      <w:r w:rsidRPr="002106B0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CFU/mL</w:t>
      </w:r>
      <w:r w:rsidRPr="002106B0">
        <w:rPr>
          <w:rFonts w:ascii="Times New Roman" w:hAnsi="Times New Roman"/>
          <w:sz w:val="24"/>
          <w:szCs w:val="24"/>
          <w:lang w:val="en-US"/>
        </w:rPr>
        <w:t>)</w:t>
      </w:r>
      <w:r w:rsidR="0065766F" w:rsidRPr="002106B0">
        <w:rPr>
          <w:rFonts w:ascii="Times New Roman" w:hAnsi="Times New Roman"/>
          <w:sz w:val="24"/>
          <w:szCs w:val="24"/>
          <w:lang w:val="en-US"/>
        </w:rPr>
        <w:t>,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was used</w:t>
      </w:r>
      <w:r w:rsidR="0065766F" w:rsidRPr="002106B0">
        <w:rPr>
          <w:rFonts w:ascii="Times New Roman" w:hAnsi="Times New Roman"/>
          <w:sz w:val="24"/>
          <w:szCs w:val="24"/>
          <w:lang w:val="en-US"/>
        </w:rPr>
        <w:t xml:space="preserve"> immediately</w:t>
      </w:r>
      <w:r w:rsidR="00E8302E" w:rsidRPr="002106B0">
        <w:rPr>
          <w:rFonts w:ascii="Times New Roman" w:hAnsi="Times New Roman"/>
          <w:sz w:val="24"/>
          <w:szCs w:val="24"/>
          <w:lang w:val="en-US"/>
        </w:rPr>
        <w:t xml:space="preserve"> for the antibiotic susceptibility testing.        </w:t>
      </w:r>
    </w:p>
    <w:p w14:paraId="57978FB5" w14:textId="77777777" w:rsidR="00E8302E" w:rsidRPr="00533423" w:rsidRDefault="00E8302E" w:rsidP="00A43DDA">
      <w:pPr>
        <w:ind w:left="360"/>
        <w:rPr>
          <w:rFonts w:ascii="Times New Roman" w:hAnsi="Times New Roman"/>
          <w:sz w:val="12"/>
          <w:szCs w:val="24"/>
          <w:lang w:val="en-US"/>
        </w:rPr>
      </w:pPr>
    </w:p>
    <w:p w14:paraId="6C7100E5" w14:textId="77777777" w:rsidR="00BC0EDE" w:rsidRPr="002106B0" w:rsidRDefault="00342686" w:rsidP="00A43DDA">
      <w:pPr>
        <w:ind w:left="360"/>
        <w:rPr>
          <w:rFonts w:ascii="Times New Roman" w:hAnsi="Times New Roman"/>
          <w:b/>
          <w:i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t>Antimicr</w:t>
      </w:r>
      <w:r w:rsidR="00AB0900" w:rsidRPr="002106B0">
        <w:rPr>
          <w:rFonts w:ascii="Times New Roman" w:hAnsi="Times New Roman"/>
          <w:b/>
          <w:i/>
          <w:sz w:val="24"/>
          <w:szCs w:val="24"/>
          <w:lang w:val="en-US"/>
        </w:rPr>
        <w:t>o</w:t>
      </w: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t xml:space="preserve">bial Susceptibility Testing (Disk Diffusion Method) </w:t>
      </w:r>
    </w:p>
    <w:p w14:paraId="463C51D8" w14:textId="77777777" w:rsidR="00A43DDA" w:rsidRPr="00533423" w:rsidRDefault="00A43DDA" w:rsidP="00BC0EDE">
      <w:pPr>
        <w:rPr>
          <w:rFonts w:ascii="Times New Roman" w:hAnsi="Times New Roman"/>
          <w:b/>
          <w:i/>
          <w:sz w:val="4"/>
          <w:szCs w:val="24"/>
          <w:lang w:val="en-US"/>
        </w:rPr>
      </w:pPr>
      <w:r w:rsidRPr="002106B0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14:paraId="131CA0AA" w14:textId="77777777" w:rsidR="00BC0EDE" w:rsidRPr="002106B0" w:rsidRDefault="00BC0EDE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susceptibility of the isolated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bacterial strains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to the aforementioned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antibiotics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was determined </w:t>
      </w:r>
      <w:r w:rsidRPr="002106B0">
        <w:rPr>
          <w:rFonts w:ascii="Times New Roman" w:hAnsi="Times New Roman"/>
          <w:sz w:val="24"/>
          <w:szCs w:val="24"/>
          <w:lang w:val="en-US"/>
        </w:rPr>
        <w:t>using the standard agar disk diffusion method on Mueller-Hinton agar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 (MHA)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>For this procedure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approximately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5 mL of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>the standardized inoculum was poured o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nto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>the surface of an MHA plate.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The plate was then gently tilted and rotated to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ensure </w:t>
      </w:r>
      <w:r w:rsidR="007327EA" w:rsidRPr="002106B0">
        <w:rPr>
          <w:rFonts w:ascii="Times New Roman" w:hAnsi="Times New Roman"/>
          <w:sz w:val="24"/>
          <w:szCs w:val="24"/>
          <w:lang w:val="en-US"/>
        </w:rPr>
        <w:t xml:space="preserve">even </w:t>
      </w:r>
      <w:r w:rsidR="00F52EFF" w:rsidRPr="002106B0">
        <w:rPr>
          <w:rFonts w:ascii="Times New Roman" w:hAnsi="Times New Roman"/>
          <w:sz w:val="24"/>
          <w:szCs w:val="24"/>
          <w:lang w:val="en-US"/>
        </w:rPr>
        <w:t xml:space="preserve">distribution and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complete </w:t>
      </w:r>
      <w:r w:rsidR="00F52EFF" w:rsidRPr="002106B0">
        <w:rPr>
          <w:rFonts w:ascii="Times New Roman" w:hAnsi="Times New Roman"/>
          <w:sz w:val="24"/>
          <w:szCs w:val="24"/>
          <w:lang w:val="en-US"/>
        </w:rPr>
        <w:t>coverage of the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agar surface. Excess liquid was removed using a sterile Pasteur pipette, and inoculated</w:t>
      </w:r>
      <w:r w:rsidR="00CD2187" w:rsidRPr="002106B0">
        <w:rPr>
          <w:rFonts w:ascii="Times New Roman" w:hAnsi="Times New Roman"/>
          <w:sz w:val="24"/>
          <w:szCs w:val="24"/>
          <w:lang w:val="en-US"/>
        </w:rPr>
        <w:t xml:space="preserve"> plates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CD2187" w:rsidRPr="002106B0">
        <w:rPr>
          <w:rFonts w:ascii="Times New Roman" w:hAnsi="Times New Roman"/>
          <w:sz w:val="24"/>
          <w:szCs w:val="24"/>
          <w:lang w:val="en-US"/>
        </w:rPr>
        <w:t xml:space="preserve">left to dry at room temperature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for 15 minutes. </w:t>
      </w:r>
    </w:p>
    <w:p w14:paraId="4C4C6164" w14:textId="77777777" w:rsidR="00BC0EDE" w:rsidRPr="002106B0" w:rsidRDefault="00BC0EDE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Using sterile forceps, antibiotic disks were </w:t>
      </w:r>
      <w:r w:rsidR="00CD2187" w:rsidRPr="002106B0">
        <w:rPr>
          <w:rFonts w:ascii="Times New Roman" w:hAnsi="Times New Roman"/>
          <w:sz w:val="24"/>
          <w:szCs w:val="24"/>
          <w:lang w:val="en-US"/>
        </w:rPr>
        <w:t xml:space="preserve">aseptically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placed onto the surface of the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inoculated </w:t>
      </w:r>
      <w:r w:rsidR="00776CFD">
        <w:rPr>
          <w:rFonts w:ascii="Times New Roman" w:hAnsi="Times New Roman"/>
          <w:sz w:val="24"/>
          <w:szCs w:val="24"/>
          <w:lang w:val="en-US"/>
        </w:rPr>
        <w:t>a</w:t>
      </w:r>
      <w:r w:rsidRPr="002106B0">
        <w:rPr>
          <w:rFonts w:ascii="Times New Roman" w:hAnsi="Times New Roman"/>
          <w:sz w:val="24"/>
          <w:szCs w:val="24"/>
          <w:lang w:val="en-US"/>
        </w:rPr>
        <w:t>gar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, with no more than four disks per plate.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The plates were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allowed to stand at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room temperature for 30 minutes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to permit </w:t>
      </w:r>
      <w:proofErr w:type="spellStart"/>
      <w:r w:rsidR="00FE028F" w:rsidRPr="002106B0">
        <w:rPr>
          <w:rFonts w:ascii="Times New Roman" w:hAnsi="Times New Roman"/>
          <w:sz w:val="24"/>
          <w:szCs w:val="24"/>
          <w:lang w:val="en-US"/>
        </w:rPr>
        <w:t>prediffusion</w:t>
      </w:r>
      <w:proofErr w:type="spellEnd"/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 of the antibiotics before being inverted and incubated at 37 °C for 18-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24 hours.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>Following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incubation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>,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the diameters of the inhibition zones were measured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to nearest millimeter using a caliper or </w:t>
      </w:r>
      <w:r w:rsidRPr="002106B0">
        <w:rPr>
          <w:rFonts w:ascii="Times New Roman" w:hAnsi="Times New Roman"/>
          <w:sz w:val="24"/>
          <w:szCs w:val="24"/>
          <w:lang w:val="en-US"/>
        </w:rPr>
        <w:t>a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 xml:space="preserve"> graduated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>ruler.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028F" w:rsidRPr="002106B0">
        <w:rPr>
          <w:rFonts w:ascii="Times New Roman" w:hAnsi="Times New Roman"/>
          <w:sz w:val="24"/>
          <w:szCs w:val="24"/>
          <w:lang w:val="en-US"/>
        </w:rPr>
        <w:t>The results were interpreted as susceptible, intermediate, or resistant by comparing the zone of diameters to the breakpoints established by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the Clinical and La</w:t>
      </w:r>
      <w:r w:rsidR="00F23519" w:rsidRPr="002106B0">
        <w:rPr>
          <w:rFonts w:ascii="Times New Roman" w:hAnsi="Times New Roman"/>
          <w:sz w:val="24"/>
          <w:szCs w:val="24"/>
          <w:lang w:val="en-US"/>
        </w:rPr>
        <w:t>boratory Standard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>s</w:t>
      </w:r>
      <w:r w:rsidR="00F23519" w:rsidRPr="002106B0">
        <w:rPr>
          <w:rFonts w:ascii="Times New Roman" w:hAnsi="Times New Roman"/>
          <w:sz w:val="24"/>
          <w:szCs w:val="24"/>
          <w:lang w:val="en-US"/>
        </w:rPr>
        <w:t xml:space="preserve"> Institute (CLSI),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 xml:space="preserve"> as provided by the disk manufacturer and in accordance with standard methodology</w:t>
      </w:r>
      <w:r w:rsidR="00F23519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F23519" w:rsidRPr="002106B0">
        <w:rPr>
          <w:rFonts w:ascii="Times New Roman" w:hAnsi="Times New Roman"/>
          <w:sz w:val="24"/>
          <w:szCs w:val="24"/>
          <w:lang w:val="en-US"/>
        </w:rPr>
        <w:t>Jehl</w:t>
      </w:r>
      <w:proofErr w:type="spellEnd"/>
      <w:r w:rsidR="00F23519" w:rsidRPr="002106B0">
        <w:rPr>
          <w:rFonts w:ascii="Times New Roman" w:hAnsi="Times New Roman"/>
          <w:sz w:val="24"/>
          <w:szCs w:val="24"/>
          <w:lang w:val="en-US"/>
        </w:rPr>
        <w:t xml:space="preserve"> et </w:t>
      </w:r>
      <w:r w:rsidR="00F23519" w:rsidRPr="002106B0">
        <w:rPr>
          <w:rFonts w:ascii="Times New Roman" w:hAnsi="Times New Roman"/>
          <w:i/>
          <w:sz w:val="24"/>
          <w:szCs w:val="24"/>
          <w:lang w:val="en-US"/>
        </w:rPr>
        <w:t>al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 xml:space="preserve">., </w:t>
      </w:r>
      <w:r w:rsidR="00F23519" w:rsidRPr="002106B0">
        <w:rPr>
          <w:rFonts w:ascii="Times New Roman" w:hAnsi="Times New Roman"/>
          <w:sz w:val="24"/>
          <w:szCs w:val="24"/>
          <w:lang w:val="en-US"/>
        </w:rPr>
        <w:t xml:space="preserve">2015).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294105AF" w14:textId="77777777" w:rsidR="00BC0EDE" w:rsidRPr="002106B0" w:rsidRDefault="00BC0EDE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E83C192" w14:textId="77777777" w:rsidR="00533423" w:rsidRDefault="00533423" w:rsidP="00A43DDA">
      <w:pPr>
        <w:pStyle w:val="2"/>
        <w:tabs>
          <w:tab w:val="left" w:pos="420"/>
        </w:tabs>
        <w:ind w:left="0" w:firstLine="0"/>
        <w:rPr>
          <w:b/>
          <w:lang w:val="en-US"/>
        </w:rPr>
      </w:pPr>
      <w:bookmarkStart w:id="15" w:name="_Toc185415254"/>
    </w:p>
    <w:p w14:paraId="5FA5E451" w14:textId="77777777" w:rsidR="00A43DDA" w:rsidRPr="002106B0" w:rsidRDefault="00F23519" w:rsidP="00A43DDA">
      <w:pPr>
        <w:pStyle w:val="2"/>
        <w:tabs>
          <w:tab w:val="left" w:pos="420"/>
        </w:tabs>
        <w:ind w:left="0" w:firstLine="0"/>
        <w:rPr>
          <w:lang w:val="en-US"/>
        </w:rPr>
      </w:pPr>
      <w:r w:rsidRPr="002106B0">
        <w:rPr>
          <w:b/>
          <w:lang w:val="en-US"/>
        </w:rPr>
        <w:t>Statistical Analysis</w:t>
      </w:r>
      <w:bookmarkEnd w:id="15"/>
    </w:p>
    <w:p w14:paraId="7A34CEF0" w14:textId="77777777" w:rsidR="00A43DDA" w:rsidRPr="002106B0" w:rsidRDefault="00A43DDA" w:rsidP="00A43DDA">
      <w:pPr>
        <w:pStyle w:val="2"/>
        <w:tabs>
          <w:tab w:val="left" w:pos="420"/>
        </w:tabs>
        <w:ind w:left="0" w:firstLine="0"/>
        <w:rPr>
          <w:sz w:val="16"/>
          <w:lang w:val="en-US"/>
        </w:rPr>
      </w:pPr>
    </w:p>
    <w:p w14:paraId="56F3D362" w14:textId="77777777" w:rsidR="00A43DDA" w:rsidRPr="002106B0" w:rsidRDefault="00F66823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Following laboratory analysi</w:t>
      </w:r>
      <w:r w:rsidR="00F23519" w:rsidRPr="002106B0">
        <w:rPr>
          <w:rFonts w:ascii="Times New Roman" w:hAnsi="Times New Roman"/>
          <w:sz w:val="24"/>
          <w:szCs w:val="24"/>
          <w:lang w:val="en-US"/>
        </w:rPr>
        <w:t>s</w:t>
      </w:r>
      <w:r w:rsidRPr="002106B0">
        <w:rPr>
          <w:rFonts w:ascii="Times New Roman" w:hAnsi="Times New Roman"/>
          <w:sz w:val="24"/>
          <w:szCs w:val="24"/>
          <w:lang w:val="en-US"/>
        </w:rPr>
        <w:t>, frequencies and p</w:t>
      </w:r>
      <w:r w:rsidR="002106B0">
        <w:rPr>
          <w:rFonts w:ascii="Times New Roman" w:hAnsi="Times New Roman"/>
          <w:sz w:val="24"/>
          <w:szCs w:val="24"/>
          <w:lang w:val="en-US"/>
        </w:rPr>
        <w:t>revalence rates were calculated using the</w:t>
      </w:r>
      <w:r w:rsidR="00776C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>
        <w:rPr>
          <w:rFonts w:ascii="Times New Roman" w:hAnsi="Times New Roman"/>
          <w:sz w:val="24"/>
          <w:szCs w:val="24"/>
          <w:lang w:val="en-US"/>
        </w:rPr>
        <w:t>following formulas:</w:t>
      </w:r>
    </w:p>
    <w:p w14:paraId="63013CBA" w14:textId="77777777" w:rsidR="00F23519" w:rsidRPr="002106B0" w:rsidRDefault="00F23519" w:rsidP="00A43DDA">
      <w:pPr>
        <w:spacing w:before="120" w:after="120" w:line="360" w:lineRule="auto"/>
        <w:jc w:val="both"/>
        <w:rPr>
          <w:rFonts w:ascii="Times New Roman" w:hAnsi="Times New Roman"/>
          <w:sz w:val="2"/>
          <w:szCs w:val="24"/>
          <w:lang w:val="en-US"/>
        </w:rPr>
      </w:pPr>
    </w:p>
    <w:p w14:paraId="41839B83" w14:textId="77777777" w:rsidR="00A43DDA" w:rsidRPr="002106B0" w:rsidRDefault="00D8149B" w:rsidP="00A43DDA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bCs/>
          <w:sz w:val="24"/>
          <w:szCs w:val="24"/>
          <w:lang w:val="en-US"/>
        </w:rPr>
        <w:t>Frequency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 (%)</w:t>
      </w:r>
      <m:oMath>
        <m:r>
          <w:rPr>
            <w:rFonts w:ascii="Cambria Math" w:hAnsi="Cambria Math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 xml:space="preserve">Number of cases for a given parameter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 xml:space="preserve">Total number of responses   </m:t>
            </m:r>
          </m:den>
        </m:f>
        <m:r>
          <w:rPr>
            <w:rFonts w:ascii="Cambria Math" w:hAnsi="Cambria Math"/>
            <w:sz w:val="26"/>
            <w:szCs w:val="26"/>
            <w:lang w:val="en-US"/>
          </w:rPr>
          <m:t xml:space="preserve"> ×100</m:t>
        </m:r>
      </m:oMath>
    </w:p>
    <w:p w14:paraId="70F1D8AA" w14:textId="77777777" w:rsidR="00A43DDA" w:rsidRPr="002106B0" w:rsidRDefault="00A43DDA" w:rsidP="00A43DDA">
      <w:pPr>
        <w:spacing w:before="120" w:after="120" w:line="360" w:lineRule="auto"/>
        <w:ind w:firstLine="709"/>
        <w:jc w:val="both"/>
        <w:rPr>
          <w:rFonts w:ascii="Times New Roman" w:hAnsi="Times New Roman"/>
          <w:sz w:val="2"/>
          <w:szCs w:val="12"/>
          <w:lang w:val="en-US"/>
        </w:rPr>
      </w:pPr>
    </w:p>
    <w:p w14:paraId="0911D711" w14:textId="77777777" w:rsidR="00D8149B" w:rsidRPr="002106B0" w:rsidRDefault="00D8149B" w:rsidP="00D8149B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106B0">
        <w:rPr>
          <w:rFonts w:ascii="Times New Roman" w:hAnsi="Times New Roman"/>
          <w:b/>
          <w:sz w:val="24"/>
          <w:szCs w:val="24"/>
        </w:rPr>
        <w:lastRenderedPageBreak/>
        <w:t>Pre</w:t>
      </w:r>
      <w:r w:rsidR="00A43DDA" w:rsidRPr="002106B0">
        <w:rPr>
          <w:rFonts w:ascii="Times New Roman" w:hAnsi="Times New Roman"/>
          <w:b/>
          <w:sz w:val="24"/>
          <w:szCs w:val="24"/>
        </w:rPr>
        <w:t>valence</w:t>
      </w:r>
      <w:proofErr w:type="spellEnd"/>
      <w:r w:rsidR="00A43DDA" w:rsidRPr="002106B0">
        <w:rPr>
          <w:rFonts w:ascii="Times New Roman" w:hAnsi="Times New Roman"/>
          <w:b/>
          <w:sz w:val="24"/>
          <w:szCs w:val="24"/>
        </w:rPr>
        <w:t xml:space="preserve"> (%)</w:t>
      </w:r>
      <m:oMath>
        <m: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Number of positive cases for a given parameter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Total number of samples tested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×1</m:t>
        </m:r>
      </m:oMath>
      <w:r w:rsidRPr="002106B0">
        <w:rPr>
          <w:rFonts w:ascii="Times New Roman" w:hAnsi="Times New Roman"/>
          <w:sz w:val="24"/>
          <w:szCs w:val="24"/>
        </w:rPr>
        <w:t>00</w:t>
      </w:r>
    </w:p>
    <w:p w14:paraId="0C744A78" w14:textId="77777777" w:rsidR="00D8149B" w:rsidRPr="002106B0" w:rsidRDefault="00D8149B" w:rsidP="00D8149B">
      <w:pPr>
        <w:spacing w:before="120" w:after="120" w:line="360" w:lineRule="auto"/>
        <w:jc w:val="center"/>
        <w:rPr>
          <w:rFonts w:ascii="Times New Roman" w:hAnsi="Times New Roman"/>
          <w:sz w:val="8"/>
          <w:szCs w:val="24"/>
        </w:rPr>
      </w:pPr>
    </w:p>
    <w:p w14:paraId="6459A646" w14:textId="77777777" w:rsidR="00A43DDA" w:rsidRPr="002106B0" w:rsidRDefault="00D8149B" w:rsidP="00D8149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Statistical analyses were performed using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3DDA" w:rsidRPr="002106B0">
        <w:rPr>
          <w:rFonts w:ascii="Times New Roman" w:hAnsi="Times New Roman"/>
          <w:sz w:val="24"/>
          <w:szCs w:val="24"/>
          <w:lang w:val="en-US"/>
        </w:rPr>
        <w:t>XLStat</w:t>
      </w:r>
      <w:proofErr w:type="spellEnd"/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/>
        </w:rPr>
        <w:t>software</w:t>
      </w:r>
      <w:r w:rsidR="002106B0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2106B0">
        <w:rPr>
          <w:rFonts w:ascii="Times New Roman" w:hAnsi="Times New Roman"/>
          <w:sz w:val="24"/>
          <w:szCs w:val="24"/>
          <w:lang w:val="en-US"/>
        </w:rPr>
        <w:t>Addinsoft</w:t>
      </w:r>
      <w:proofErr w:type="spellEnd"/>
      <w:r w:rsidR="002106B0">
        <w:rPr>
          <w:rFonts w:ascii="Times New Roman" w:hAnsi="Times New Roman"/>
          <w:sz w:val="24"/>
          <w:szCs w:val="24"/>
          <w:lang w:val="en-US"/>
        </w:rPr>
        <w:t>)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>C</w:t>
      </w:r>
      <w:r w:rsidR="002106B0">
        <w:rPr>
          <w:rFonts w:ascii="Times New Roman" w:hAnsi="Times New Roman"/>
          <w:sz w:val="24"/>
          <w:szCs w:val="24"/>
          <w:lang w:val="en-US"/>
        </w:rPr>
        <w:t>ategorical data were</w:t>
      </w:r>
      <w:r w:rsidR="00776C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>
        <w:rPr>
          <w:rFonts w:ascii="Times New Roman" w:hAnsi="Times New Roman"/>
          <w:sz w:val="24"/>
          <w:szCs w:val="24"/>
          <w:lang w:val="en-US"/>
        </w:rPr>
        <w:t>compared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using Fisher’s exact test, </w:t>
      </w:r>
      <w:r w:rsidR="002106B0">
        <w:rPr>
          <w:rFonts w:ascii="Times New Roman" w:hAnsi="Times New Roman"/>
          <w:sz w:val="24"/>
          <w:szCs w:val="24"/>
          <w:lang w:val="en-US"/>
        </w:rPr>
        <w:t>with statistical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>
        <w:rPr>
          <w:rFonts w:ascii="Times New Roman" w:hAnsi="Times New Roman"/>
          <w:sz w:val="24"/>
          <w:szCs w:val="24"/>
          <w:lang w:val="en-US"/>
        </w:rPr>
        <w:t>significance set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0B1A41" w:rsidRPr="002106B0">
        <w:rPr>
          <w:rFonts w:ascii="Times New Roman" w:hAnsi="Times New Roman"/>
          <w:sz w:val="24"/>
          <w:szCs w:val="24"/>
          <w:lang w:val="en-US"/>
        </w:rPr>
        <w:t>p &lt; 0.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>05.</w:t>
      </w:r>
    </w:p>
    <w:p w14:paraId="5E4CAC9C" w14:textId="77777777" w:rsidR="002106B0" w:rsidRPr="002106B0" w:rsidRDefault="002106B0" w:rsidP="00A43DDA">
      <w:pPr>
        <w:spacing w:before="100" w:after="100" w:line="30" w:lineRule="atLeast"/>
        <w:rPr>
          <w:rFonts w:ascii="Times New Roman" w:hAnsi="Times New Roman"/>
          <w:b/>
          <w:bCs/>
          <w:kern w:val="2"/>
          <w:sz w:val="24"/>
          <w:szCs w:val="24"/>
          <w:lang w:val="en-US" w:eastAsia="zh-CN" w:bidi="ar"/>
        </w:rPr>
      </w:pPr>
    </w:p>
    <w:p w14:paraId="3E86CD11" w14:textId="77777777" w:rsidR="00A43DDA" w:rsidRPr="002106B0" w:rsidRDefault="00D8149B" w:rsidP="00A43DDA">
      <w:pPr>
        <w:spacing w:before="100" w:after="100" w:line="30" w:lineRule="atLeast"/>
        <w:rPr>
          <w:rFonts w:ascii="Times New Roman" w:hAnsi="Times New Roman"/>
          <w:b/>
          <w:bCs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b/>
          <w:bCs/>
          <w:kern w:val="2"/>
          <w:sz w:val="24"/>
          <w:szCs w:val="24"/>
          <w:lang w:val="en-US" w:eastAsia="zh-CN" w:bidi="ar"/>
        </w:rPr>
        <w:t>RESULT</w:t>
      </w:r>
      <w:r w:rsidR="00A43DDA" w:rsidRPr="002106B0">
        <w:rPr>
          <w:rFonts w:ascii="Times New Roman" w:hAnsi="Times New Roman"/>
          <w:b/>
          <w:bCs/>
          <w:kern w:val="2"/>
          <w:sz w:val="24"/>
          <w:szCs w:val="24"/>
          <w:lang w:val="en-US" w:eastAsia="zh-CN" w:bidi="ar"/>
        </w:rPr>
        <w:t>S</w:t>
      </w:r>
    </w:p>
    <w:p w14:paraId="5475CA55" w14:textId="77777777" w:rsidR="00A43DDA" w:rsidRPr="002106B0" w:rsidRDefault="00A43DDA" w:rsidP="00A43DDA">
      <w:pPr>
        <w:spacing w:before="100" w:after="100" w:line="30" w:lineRule="atLeast"/>
        <w:rPr>
          <w:rFonts w:ascii="Times New Roman" w:hAnsi="Times New Roman"/>
          <w:b/>
          <w:bCs/>
          <w:kern w:val="2"/>
          <w:sz w:val="2"/>
          <w:szCs w:val="2"/>
          <w:lang w:val="en-US" w:eastAsia="zh-CN" w:bidi="ar"/>
        </w:rPr>
      </w:pPr>
    </w:p>
    <w:p w14:paraId="45E011D2" w14:textId="77777777" w:rsidR="00EC2772" w:rsidRPr="002106B0" w:rsidRDefault="00F66823" w:rsidP="00A43DD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sz w:val="24"/>
          <w:szCs w:val="24"/>
          <w:lang w:val="en-US"/>
        </w:rPr>
        <w:t>Characteristics of the S</w:t>
      </w:r>
      <w:r w:rsidR="002106B0">
        <w:rPr>
          <w:rFonts w:ascii="Times New Roman" w:hAnsi="Times New Roman"/>
          <w:b/>
          <w:sz w:val="24"/>
          <w:szCs w:val="24"/>
          <w:lang w:val="en-US"/>
        </w:rPr>
        <w:t>ampled A</w:t>
      </w:r>
      <w:r w:rsidR="00EC2772" w:rsidRPr="002106B0">
        <w:rPr>
          <w:rFonts w:ascii="Times New Roman" w:hAnsi="Times New Roman"/>
          <w:b/>
          <w:sz w:val="24"/>
          <w:szCs w:val="24"/>
          <w:lang w:val="en-US"/>
        </w:rPr>
        <w:t>nimals</w:t>
      </w:r>
    </w:p>
    <w:p w14:paraId="40187131" w14:textId="77777777" w:rsidR="00A43DDA" w:rsidRPr="002106B0" w:rsidRDefault="00EC2772" w:rsidP="00EC2772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The sample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>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>population consisted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predominantly 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2106B0">
        <w:rPr>
          <w:rFonts w:ascii="Times New Roman" w:hAnsi="Times New Roman"/>
          <w:sz w:val="24"/>
          <w:szCs w:val="24"/>
          <w:lang w:val="en-US"/>
        </w:rPr>
        <w:t>females (75%)</w:t>
      </w:r>
      <w:r w:rsidR="00F66823" w:rsidRPr="002106B0">
        <w:rPr>
          <w:rFonts w:ascii="Times New Roman" w:hAnsi="Times New Roman"/>
          <w:sz w:val="24"/>
          <w:szCs w:val="24"/>
          <w:lang w:val="en-US"/>
        </w:rPr>
        <w:t xml:space="preserve"> and crossbred or i</w:t>
      </w:r>
      <w:r w:rsidRPr="002106B0">
        <w:rPr>
          <w:rFonts w:ascii="Times New Roman" w:hAnsi="Times New Roman"/>
          <w:sz w:val="24"/>
          <w:szCs w:val="24"/>
          <w:lang w:val="en-US"/>
        </w:rPr>
        <w:t>mproved-breed pigs (84%)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2106B0">
        <w:rPr>
          <w:rFonts w:ascii="Times New Roman" w:hAnsi="Times New Roman"/>
          <w:sz w:val="24"/>
          <w:szCs w:val="24"/>
          <w:lang w:val="en-US"/>
        </w:rPr>
        <w:t>Table I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>). Furthermore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, 59% of the animals were 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 xml:space="preserve">over </w:t>
      </w:r>
      <w:r w:rsidRPr="002106B0">
        <w:rPr>
          <w:rFonts w:ascii="Times New Roman" w:hAnsi="Times New Roman"/>
          <w:sz w:val="24"/>
          <w:szCs w:val="24"/>
          <w:lang w:val="en-US"/>
        </w:rPr>
        <w:t>six months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 xml:space="preserve"> old,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DD21EF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3A7A" w:rsidRPr="002106B0">
        <w:rPr>
          <w:rFonts w:ascii="Times New Roman" w:hAnsi="Times New Roman" w:hint="eastAsia"/>
          <w:sz w:val="24"/>
          <w:szCs w:val="24"/>
          <w:lang w:val="en-US" w:eastAsia="fr-FR"/>
        </w:rPr>
        <w:t>56</w:t>
      </w:r>
      <w:r w:rsidR="00CB3A7A" w:rsidRPr="002106B0">
        <w:rPr>
          <w:rFonts w:ascii="Times New Roman" w:hAnsi="Times New Roman"/>
          <w:sz w:val="24"/>
          <w:szCs w:val="24"/>
          <w:lang w:val="en-US" w:eastAsia="fr-FR"/>
        </w:rPr>
        <w:t>.</w:t>
      </w:r>
      <w:r w:rsidR="00CB3A7A" w:rsidRPr="002106B0">
        <w:rPr>
          <w:rFonts w:ascii="Times New Roman" w:hAnsi="Times New Roman" w:hint="eastAsia"/>
          <w:sz w:val="24"/>
          <w:szCs w:val="24"/>
          <w:lang w:val="en-US" w:eastAsia="fr-FR"/>
        </w:rPr>
        <w:t>5%</w:t>
      </w:r>
      <w:r w:rsidR="00CB3A7A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DD21EF" w:rsidRPr="002106B0">
        <w:rPr>
          <w:rFonts w:ascii="Times New Roman" w:hAnsi="Times New Roman"/>
          <w:sz w:val="24"/>
          <w:szCs w:val="24"/>
          <w:lang w:val="en-US"/>
        </w:rPr>
        <w:t>originated from farms practic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ing 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>a seasonal free-range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husbandry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3A7A" w:rsidRPr="002106B0">
        <w:rPr>
          <w:rFonts w:ascii="Times New Roman" w:hAnsi="Times New Roman" w:hint="eastAsia"/>
          <w:sz w:val="24"/>
          <w:szCs w:val="24"/>
          <w:lang w:val="en-US" w:eastAsia="fr-FR"/>
        </w:rPr>
        <w:t>system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4BB3EB8" w14:textId="77777777" w:rsidR="00DF0B9C" w:rsidRPr="002106B0" w:rsidRDefault="00EC2772" w:rsidP="00EC2772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At the sub-prefecture level, </w:t>
      </w:r>
      <w:r w:rsidR="00CB3A7A" w:rsidRPr="002106B0">
        <w:rPr>
          <w:rFonts w:ascii="Times New Roman" w:hAnsi="Times New Roman"/>
          <w:sz w:val="24"/>
          <w:szCs w:val="24"/>
          <w:lang w:val="en-US"/>
        </w:rPr>
        <w:t>females represented over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>75% of sampled animals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, except in </w:t>
      </w:r>
      <w:proofErr w:type="spellStart"/>
      <w:r w:rsidRPr="002106B0">
        <w:rPr>
          <w:rFonts w:ascii="Times New Roman" w:hAnsi="Times New Roman"/>
          <w:bCs/>
          <w:sz w:val="24"/>
          <w:szCs w:val="24"/>
          <w:lang w:val="en-US"/>
        </w:rPr>
        <w:t>Napié</w:t>
      </w:r>
      <w:proofErr w:type="spellEnd"/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, where they accounted for only </w:t>
      </w:r>
      <w:r w:rsidR="00A43DDA" w:rsidRPr="002106B0">
        <w:rPr>
          <w:rFonts w:ascii="Times New Roman" w:hAnsi="Times New Roman"/>
          <w:bCs/>
          <w:sz w:val="24"/>
          <w:szCs w:val="24"/>
          <w:lang w:val="en-US"/>
        </w:rPr>
        <w:t>56%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 xml:space="preserve">Regarding breed,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all animals sampled in </w:t>
      </w:r>
      <w:proofErr w:type="spellStart"/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>Napié</w:t>
      </w:r>
      <w:proofErr w:type="spellEnd"/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 were of </w:t>
      </w:r>
      <w:r w:rsidRPr="002106B0">
        <w:rPr>
          <w:rFonts w:ascii="Times New Roman" w:hAnsi="Times New Roman"/>
          <w:bCs/>
          <w:sz w:val="24"/>
          <w:szCs w:val="24"/>
          <w:lang w:val="en-US"/>
        </w:rPr>
        <w:t>improved breeds</w:t>
      </w:r>
      <w:r w:rsidR="00DD21EF" w:rsidRPr="002106B0">
        <w:rPr>
          <w:rFonts w:ascii="Times New Roman" w:hAnsi="Times New Roman"/>
          <w:bCs/>
          <w:sz w:val="24"/>
          <w:szCs w:val="24"/>
          <w:lang w:val="en-US"/>
        </w:rPr>
        <w:t>.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>In terms of management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6966A2" w:rsidRPr="002106B0">
        <w:rPr>
          <w:rFonts w:ascii="Times New Roman" w:hAnsi="Times New Roman"/>
          <w:bCs/>
          <w:sz w:val="24"/>
          <w:szCs w:val="24"/>
          <w:lang w:val="en-US"/>
        </w:rPr>
        <w:t>74% and</w:t>
      </w:r>
      <w:r w:rsidR="00A43DDA" w:rsidRPr="002106B0">
        <w:rPr>
          <w:rFonts w:ascii="Times New Roman" w:hAnsi="Times New Roman"/>
          <w:bCs/>
          <w:sz w:val="24"/>
          <w:szCs w:val="24"/>
          <w:lang w:val="en-US"/>
        </w:rPr>
        <w:t xml:space="preserve"> 78%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>of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 animals sampled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in </w:t>
      </w:r>
      <w:proofErr w:type="spellStart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Niofoin</w:t>
      </w:r>
      <w:proofErr w:type="spellEnd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Karakoro</w:t>
      </w:r>
      <w:proofErr w:type="spellEnd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, respectively,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 came 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from farms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>using seasonal free-range systems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. This contrasted with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sub-prefectures of </w:t>
      </w:r>
      <w:proofErr w:type="spellStart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Korhogo</w:t>
      </w:r>
      <w:proofErr w:type="spellEnd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Napié</w:t>
      </w:r>
      <w:proofErr w:type="spellEnd"/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CB3A7A" w:rsidRPr="002106B0">
        <w:rPr>
          <w:rFonts w:ascii="Times New Roman" w:hAnsi="Times New Roman"/>
          <w:bCs/>
          <w:sz w:val="24"/>
          <w:szCs w:val="24"/>
          <w:lang w:val="en-US"/>
        </w:rPr>
        <w:t>where permanent confinement was the predominant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02721" w:rsidRPr="002106B0">
        <w:rPr>
          <w:rFonts w:ascii="Times New Roman" w:hAnsi="Times New Roman"/>
          <w:bCs/>
          <w:sz w:val="24"/>
          <w:szCs w:val="24"/>
          <w:lang w:val="en-US"/>
        </w:rPr>
        <w:t>system</w:t>
      </w:r>
      <w:r w:rsidR="00DF0B9C" w:rsidRPr="002106B0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1E61CB1F" w14:textId="77777777" w:rsidR="00DF0B9C" w:rsidRPr="002106B0" w:rsidRDefault="00DF0B9C" w:rsidP="00EC2772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8BA3988" w14:textId="77777777" w:rsidR="00A43DDA" w:rsidRPr="002106B0" w:rsidRDefault="00A43DDA" w:rsidP="00A43DDA">
      <w:pPr>
        <w:spacing w:before="80" w:after="80" w:line="336" w:lineRule="auto"/>
        <w:jc w:val="both"/>
        <w:rPr>
          <w:rFonts w:ascii="Times New Roman" w:hAnsi="Times New Roman"/>
          <w:bCs/>
          <w:sz w:val="10"/>
          <w:szCs w:val="24"/>
          <w:lang w:val="en-US"/>
        </w:rPr>
      </w:pPr>
    </w:p>
    <w:p w14:paraId="0B3DE502" w14:textId="77777777" w:rsidR="00533423" w:rsidRDefault="00533423">
      <w:pPr>
        <w:rPr>
          <w:rFonts w:ascii="Times New Roman" w:hAnsi="Times New Roman"/>
          <w:b/>
          <w:iCs/>
          <w:sz w:val="24"/>
          <w:szCs w:val="24"/>
          <w:lang w:val="en-US"/>
        </w:rPr>
      </w:pPr>
      <w:bookmarkStart w:id="16" w:name="_Toc185347144"/>
      <w:r>
        <w:rPr>
          <w:rFonts w:ascii="Times New Roman" w:hAnsi="Times New Roman"/>
          <w:b/>
          <w:i/>
          <w:sz w:val="24"/>
          <w:szCs w:val="24"/>
          <w:lang w:val="en-US"/>
        </w:rPr>
        <w:br w:type="page"/>
      </w:r>
    </w:p>
    <w:p w14:paraId="608745F5" w14:textId="77777777" w:rsidR="00A43DDA" w:rsidRPr="002106B0" w:rsidRDefault="000C054E" w:rsidP="00A43DDA">
      <w:pPr>
        <w:pStyle w:val="Caption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lastRenderedPageBreak/>
        <w:t>Table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 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instrText xml:space="preserve"> SEQ Tableau \* ROMAN </w:instrTex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A43DDA" w:rsidRPr="002106B0">
        <w:rPr>
          <w:rFonts w:ascii="Times New Roman" w:hAnsi="Times New Roman"/>
          <w:b/>
          <w:i w:val="0"/>
          <w:noProof/>
          <w:color w:val="auto"/>
          <w:sz w:val="24"/>
          <w:szCs w:val="24"/>
          <w:lang w:val="en-US"/>
        </w:rPr>
        <w:t>I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="00A43DDA"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 : C</w:t>
      </w:r>
      <w:r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haracteristic</w:t>
      </w:r>
      <w:r w:rsidR="00A43DDA"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s </w:t>
      </w:r>
      <w:r w:rsid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of the s</w:t>
      </w:r>
      <w:r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ampled</w:t>
      </w:r>
      <w:r w:rsidR="009C06E9"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  <w:r w:rsid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pigs by sub-prefecture in the </w:t>
      </w:r>
      <w:proofErr w:type="spellStart"/>
      <w:r w:rsid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Korhogo</w:t>
      </w:r>
      <w:proofErr w:type="spellEnd"/>
      <w:r w:rsid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Department </w:t>
      </w:r>
      <w:bookmarkEnd w:id="16"/>
    </w:p>
    <w:p w14:paraId="4093A5BD" w14:textId="77777777" w:rsidR="00A43DDA" w:rsidRPr="002106B0" w:rsidRDefault="00A43DDA" w:rsidP="00A43DDA">
      <w:pPr>
        <w:rPr>
          <w:i/>
          <w:sz w:val="2"/>
          <w:szCs w:val="2"/>
          <w:lang w:val="en-US"/>
        </w:rPr>
      </w:pPr>
    </w:p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621"/>
        <w:gridCol w:w="1013"/>
        <w:gridCol w:w="1216"/>
        <w:gridCol w:w="1216"/>
        <w:gridCol w:w="1216"/>
        <w:gridCol w:w="1380"/>
      </w:tblGrid>
      <w:tr w:rsidR="002106B0" w:rsidRPr="002106B0" w14:paraId="3115278E" w14:textId="77777777" w:rsidTr="003B577B">
        <w:trPr>
          <w:trHeight w:val="315"/>
        </w:trPr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B4A266A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C</w:t>
            </w:r>
            <w:r w:rsidR="000C054E"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 w:rsidR="000C054E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aracteristic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B099C8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Niofoin</w:t>
            </w:r>
            <w:proofErr w:type="spellEnd"/>
            <w:r w:rsid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(n=50)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0086F71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Karakoro</w:t>
            </w:r>
            <w:proofErr w:type="spellEnd"/>
            <w:r w:rsid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(n=50)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EA7F719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Napié</w:t>
            </w:r>
            <w:proofErr w:type="spellEnd"/>
            <w:r w:rsid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(n=50)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CBF6B01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Korhogo</w:t>
            </w:r>
            <w:r w:rsid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(n=50)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678AEA7" w14:textId="77777777" w:rsidR="00AE2125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Total </w:t>
            </w:r>
          </w:p>
          <w:p w14:paraId="7ED0F35D" w14:textId="77777777" w:rsidR="00A43DDA" w:rsidRPr="002106B0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(N= 200)</w:t>
            </w:r>
          </w:p>
        </w:tc>
      </w:tr>
      <w:tr w:rsidR="002106B0" w:rsidRPr="002106B0" w14:paraId="1251FE00" w14:textId="77777777" w:rsidTr="003B577B">
        <w:trPr>
          <w:trHeight w:val="397"/>
        </w:trPr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39B344D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Sex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2CEA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Ma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D6A9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11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(22%)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5006F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9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(18%)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EA9DF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22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(44%)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79A1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8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(16%)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03D08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 (25%)</w:t>
            </w:r>
          </w:p>
        </w:tc>
      </w:tr>
      <w:tr w:rsidR="002106B0" w:rsidRPr="002106B0" w14:paraId="1BE922DF" w14:textId="77777777" w:rsidTr="003B577B">
        <w:trPr>
          <w:trHeight w:val="397"/>
        </w:trPr>
        <w:tc>
          <w:tcPr>
            <w:tcW w:w="10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8A1246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1EC042F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Fema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669698D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39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(78%)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502FDF8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41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(82%)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ED5F254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28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(56%)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BE5530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42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(84%)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0D6CFA8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150 (75%)</w:t>
            </w:r>
          </w:p>
        </w:tc>
      </w:tr>
      <w:tr w:rsidR="002106B0" w:rsidRPr="002106B0" w14:paraId="2CABBDBD" w14:textId="77777777" w:rsidTr="003B577B">
        <w:trPr>
          <w:trHeight w:val="397"/>
        </w:trPr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9EB7963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Age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CA388" w14:textId="77777777" w:rsidR="00A43DDA" w:rsidRPr="002106B0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2 to </w:t>
            </w:r>
            <w:r w:rsidR="000C054E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6 </w:t>
            </w:r>
            <w:proofErr w:type="spellStart"/>
            <w:r w:rsidR="000C054E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month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66B5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20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(40%)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30079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21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(42%)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6102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20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(40%)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76F9C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21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(42%)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15E4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82 (41%)</w:t>
            </w:r>
          </w:p>
        </w:tc>
      </w:tr>
      <w:tr w:rsidR="002106B0" w:rsidRPr="002106B0" w14:paraId="58EB29B4" w14:textId="77777777" w:rsidTr="003B577B">
        <w:trPr>
          <w:trHeight w:val="397"/>
        </w:trPr>
        <w:tc>
          <w:tcPr>
            <w:tcW w:w="10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9AC89C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0EF76A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6 </w:t>
            </w: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month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D36892D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30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(60%)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39844D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29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(58%)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99548A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30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(60%)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F11F25B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29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(58%)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8B8146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118 (59%)</w:t>
            </w:r>
          </w:p>
        </w:tc>
      </w:tr>
      <w:tr w:rsidR="002106B0" w:rsidRPr="002106B0" w14:paraId="69E34A53" w14:textId="77777777" w:rsidTr="003B577B">
        <w:trPr>
          <w:trHeight w:val="397"/>
        </w:trPr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0ABBEF9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Breed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A3577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Local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1FC5B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36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(72%)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B1F00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16 (32%)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12B14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0 (0%)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E5D34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2 (4%)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A83E9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54 (27%)</w:t>
            </w:r>
          </w:p>
        </w:tc>
      </w:tr>
      <w:tr w:rsidR="002106B0" w:rsidRPr="002106B0" w14:paraId="5080C799" w14:textId="77777777" w:rsidTr="003B577B">
        <w:trPr>
          <w:trHeight w:val="397"/>
        </w:trPr>
        <w:tc>
          <w:tcPr>
            <w:tcW w:w="10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FA73355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C693445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Improved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072697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14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(28%)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C603B6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34 (68%)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2D4DD3A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50 (100%)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B37D40E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48 (96%)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7CF230F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146 (73%)</w:t>
            </w:r>
          </w:p>
        </w:tc>
      </w:tr>
      <w:tr w:rsidR="002106B0" w:rsidRPr="002106B0" w14:paraId="4782EFCE" w14:textId="77777777" w:rsidTr="003B577B">
        <w:trPr>
          <w:trHeight w:val="397"/>
        </w:trPr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76078E" w14:textId="77777777" w:rsidR="000C054E" w:rsidRPr="002106B0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Production</w:t>
            </w:r>
          </w:p>
          <w:p w14:paraId="060CBDAA" w14:textId="77777777" w:rsidR="000C054E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gram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system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C59A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P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ermanent</w:t>
            </w:r>
          </w:p>
          <w:p w14:paraId="4AAD6A2E" w14:textId="77777777" w:rsidR="000C054E" w:rsidRPr="002106B0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C</w:t>
            </w:r>
            <w:r w:rsidR="000C054E"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onfinement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F3A41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4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(2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8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BDC3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34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68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E95EA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50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100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A1510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48 (96%)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6E599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146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 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73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</w:tr>
      <w:tr w:rsidR="002106B0" w:rsidRPr="002106B0" w14:paraId="2705BAAC" w14:textId="77777777" w:rsidTr="003B577B">
        <w:trPr>
          <w:trHeight w:val="397"/>
        </w:trPr>
        <w:tc>
          <w:tcPr>
            <w:tcW w:w="10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3687C8" w14:textId="77777777" w:rsidR="00A43DDA" w:rsidRPr="002106B0" w:rsidRDefault="00A43DDA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03C43F" w14:textId="77777777" w:rsidR="00A43DDA" w:rsidRPr="002106B0" w:rsidRDefault="000C054E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S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easonal</w:t>
            </w:r>
            <w:proofErr w:type="spellEnd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 </w:t>
            </w:r>
          </w:p>
          <w:p w14:paraId="638C6E64" w14:textId="77777777" w:rsidR="000C054E" w:rsidRPr="002106B0" w:rsidRDefault="002106B0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Free-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R</w:t>
            </w:r>
            <w:r w:rsidR="000C054E"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anging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D73D370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6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(7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2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F8332BF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16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32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73EB907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0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C4D3441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2 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4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8DAA556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54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 (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146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%)</w:t>
            </w:r>
          </w:p>
        </w:tc>
      </w:tr>
    </w:tbl>
    <w:p w14:paraId="21D71793" w14:textId="77777777" w:rsidR="000C054E" w:rsidRPr="00533423" w:rsidRDefault="000C054E" w:rsidP="00A43DDA">
      <w:pPr>
        <w:pStyle w:val="Heading3"/>
        <w:rPr>
          <w:sz w:val="8"/>
          <w:lang w:eastAsia="fr-FR"/>
        </w:rPr>
      </w:pPr>
      <w:bookmarkStart w:id="17" w:name="_Hlk140994226"/>
    </w:p>
    <w:p w14:paraId="53B039FE" w14:textId="77777777" w:rsidR="00A43DDA" w:rsidRPr="002106B0" w:rsidRDefault="00C716C4" w:rsidP="00A43DDA">
      <w:pPr>
        <w:pStyle w:val="Heading3"/>
        <w:rPr>
          <w:lang w:val="en-US" w:eastAsia="fr-FR"/>
        </w:rPr>
      </w:pPr>
      <w:r w:rsidRPr="002106B0">
        <w:rPr>
          <w:lang w:val="en-US" w:eastAsia="fr-FR"/>
        </w:rPr>
        <w:t>Overall Pre</w:t>
      </w:r>
      <w:r w:rsidR="00A43DDA" w:rsidRPr="002106B0">
        <w:rPr>
          <w:lang w:val="en-US" w:eastAsia="fr-FR"/>
        </w:rPr>
        <w:t xml:space="preserve">valence </w:t>
      </w:r>
      <w:r w:rsidRPr="002106B0">
        <w:rPr>
          <w:lang w:val="en-US" w:eastAsia="fr-FR"/>
        </w:rPr>
        <w:t xml:space="preserve">of </w:t>
      </w:r>
      <w:r w:rsidRPr="002106B0">
        <w:rPr>
          <w:i/>
          <w:iCs/>
          <w:lang w:val="en-US" w:eastAsia="fr-FR"/>
        </w:rPr>
        <w:t xml:space="preserve">E. coli </w:t>
      </w:r>
      <w:r w:rsidRPr="002106B0">
        <w:rPr>
          <w:iCs/>
          <w:lang w:val="en-US" w:eastAsia="fr-FR"/>
        </w:rPr>
        <w:t>O157</w:t>
      </w:r>
      <w:r w:rsidR="00A43DDA" w:rsidRPr="002106B0">
        <w:rPr>
          <w:iCs/>
          <w:lang w:val="en-US" w:eastAsia="fr-FR"/>
        </w:rPr>
        <w:t>: H7</w:t>
      </w:r>
      <w:r w:rsidR="00A43DDA" w:rsidRPr="002106B0">
        <w:rPr>
          <w:i/>
          <w:iCs/>
          <w:lang w:val="en-US" w:eastAsia="fr-FR"/>
        </w:rPr>
        <w:t xml:space="preserve"> </w:t>
      </w:r>
    </w:p>
    <w:p w14:paraId="2AADAC14" w14:textId="77777777" w:rsidR="00A43DDA" w:rsidRPr="002106B0" w:rsidRDefault="009C06E9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Bacteriological analysi</w:t>
      </w:r>
      <w:r w:rsidR="00C716C4" w:rsidRPr="002106B0">
        <w:rPr>
          <w:rFonts w:ascii="Times New Roman" w:hAnsi="Times New Roman"/>
          <w:sz w:val="24"/>
          <w:szCs w:val="24"/>
          <w:lang w:val="en-US"/>
        </w:rPr>
        <w:t>s revealed that 62 of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C716C4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/>
        </w:rPr>
        <w:t>200 sampled pigs</w:t>
      </w:r>
      <w:r w:rsidR="00C716C4" w:rsidRPr="002106B0">
        <w:rPr>
          <w:rFonts w:ascii="Times New Roman" w:hAnsi="Times New Roman"/>
          <w:sz w:val="24"/>
          <w:szCs w:val="24"/>
          <w:lang w:val="en-US"/>
        </w:rPr>
        <w:t xml:space="preserve"> (31%</w:t>
      </w:r>
      <w:r w:rsidRPr="002106B0">
        <w:rPr>
          <w:rFonts w:ascii="Times New Roman" w:hAnsi="Times New Roman"/>
          <w:sz w:val="24"/>
          <w:szCs w:val="24"/>
          <w:lang w:val="en-US"/>
        </w:rPr>
        <w:t>; 95% CI: [24.8-37.8%]</w:t>
      </w:r>
      <w:r w:rsidR="00C716C4" w:rsidRPr="002106B0">
        <w:rPr>
          <w:rFonts w:ascii="Times New Roman" w:hAnsi="Times New Roman"/>
          <w:sz w:val="24"/>
          <w:szCs w:val="24"/>
          <w:lang w:val="en-US"/>
        </w:rPr>
        <w:t xml:space="preserve">) were positive for </w:t>
      </w:r>
      <w:r w:rsidR="00A43DDA" w:rsidRPr="002106B0">
        <w:rPr>
          <w:rFonts w:ascii="Times New Roman" w:hAnsi="Times New Roman"/>
          <w:i/>
          <w:sz w:val="24"/>
          <w:szCs w:val="24"/>
          <w:lang w:val="en-US" w:eastAsia="fr-FR"/>
        </w:rPr>
        <w:t>E. coli</w:t>
      </w:r>
      <w:r w:rsidR="00C716C4" w:rsidRPr="002106B0">
        <w:rPr>
          <w:rFonts w:ascii="Times New Roman" w:hAnsi="Times New Roman"/>
          <w:sz w:val="24"/>
          <w:szCs w:val="24"/>
          <w:lang w:val="en-US" w:eastAsia="fr-FR"/>
        </w:rPr>
        <w:t xml:space="preserve"> O157: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>H7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. Consequently,</w:t>
      </w:r>
      <w:r w:rsidR="00C716C4" w:rsidRPr="002106B0">
        <w:rPr>
          <w:rFonts w:ascii="Times New Roman" w:hAnsi="Times New Roman"/>
          <w:sz w:val="24"/>
          <w:szCs w:val="24"/>
          <w:lang w:val="en-US" w:eastAsia="fr-FR"/>
        </w:rPr>
        <w:t xml:space="preserve"> all sampled farms 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>(</w:t>
      </w:r>
      <w:r w:rsidR="00A43DDA" w:rsidRPr="002106B0">
        <w:rPr>
          <w:rFonts w:ascii="Times New Roman" w:hAnsi="Times New Roman"/>
          <w:sz w:val="24"/>
          <w:szCs w:val="24"/>
          <w:lang w:val="en-US"/>
        </w:rPr>
        <w:t>100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 %)</w:t>
      </w:r>
      <w:r w:rsidR="00C716C4" w:rsidRPr="002106B0">
        <w:rPr>
          <w:rFonts w:ascii="Times New Roman" w:hAnsi="Times New Roman"/>
          <w:sz w:val="24"/>
          <w:szCs w:val="24"/>
          <w:lang w:val="en-US" w:eastAsia="fr-FR"/>
        </w:rPr>
        <w:t xml:space="preserve"> were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found to harbor </w:t>
      </w:r>
      <w:proofErr w:type="gramStart"/>
      <w:r w:rsidR="00C716C4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this </w:t>
      </w:r>
      <w:r w:rsidR="00AE2125" w:rsidRPr="00AE2125">
        <w:rPr>
          <w:rFonts w:ascii="Times New Roman" w:hAnsi="Times New Roman"/>
          <w:sz w:val="24"/>
          <w:szCs w:val="24"/>
          <w:lang w:val="en-US" w:eastAsia="fr-FR"/>
        </w:rPr>
        <w:t>bacteri</w:t>
      </w:r>
      <w:r w:rsidR="00AE2125">
        <w:rPr>
          <w:rFonts w:ascii="Times New Roman" w:hAnsi="Times New Roman"/>
          <w:sz w:val="24"/>
          <w:szCs w:val="24"/>
          <w:lang w:val="en-US" w:eastAsia="fr-FR"/>
        </w:rPr>
        <w:t>a</w:t>
      </w:r>
      <w:proofErr w:type="gramEnd"/>
      <w:r w:rsidR="00C716C4" w:rsidRPr="002106B0">
        <w:rPr>
          <w:rFonts w:ascii="Times New Roman" w:hAnsi="Times New Roman"/>
          <w:sz w:val="24"/>
          <w:szCs w:val="24"/>
          <w:lang w:val="en-US" w:eastAsia="fr-FR"/>
        </w:rPr>
        <w:t>.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</w:p>
    <w:p w14:paraId="63AF36D5" w14:textId="77777777" w:rsidR="00C716C4" w:rsidRPr="00AE2125" w:rsidRDefault="00C716C4" w:rsidP="00A43DDA">
      <w:pPr>
        <w:spacing w:before="120" w:after="120" w:line="360" w:lineRule="auto"/>
        <w:jc w:val="both"/>
        <w:rPr>
          <w:rFonts w:ascii="Times New Roman" w:hAnsi="Times New Roman"/>
          <w:sz w:val="8"/>
          <w:szCs w:val="24"/>
          <w:lang w:val="en-US"/>
        </w:rPr>
      </w:pPr>
    </w:p>
    <w:p w14:paraId="53D772BA" w14:textId="77777777" w:rsidR="00A43DDA" w:rsidRPr="002106B0" w:rsidRDefault="00C716C4" w:rsidP="00A43DDA">
      <w:pPr>
        <w:pStyle w:val="2"/>
        <w:ind w:left="0" w:firstLine="0"/>
        <w:rPr>
          <w:b/>
          <w:lang w:val="en-US"/>
        </w:rPr>
      </w:pPr>
      <w:r w:rsidRPr="002106B0">
        <w:rPr>
          <w:b/>
          <w:lang w:val="en-US"/>
        </w:rPr>
        <w:t xml:space="preserve">Prevalence of </w:t>
      </w:r>
      <w:r w:rsidR="00A43DDA" w:rsidRPr="002106B0">
        <w:rPr>
          <w:b/>
          <w:i/>
          <w:lang w:val="en-US"/>
        </w:rPr>
        <w:t>E. coli</w:t>
      </w:r>
      <w:r w:rsidRPr="002106B0">
        <w:rPr>
          <w:b/>
          <w:lang w:val="en-US"/>
        </w:rPr>
        <w:t xml:space="preserve"> O157:</w:t>
      </w:r>
      <w:r w:rsidR="00A43DDA" w:rsidRPr="002106B0">
        <w:rPr>
          <w:b/>
          <w:lang w:val="en-US"/>
        </w:rPr>
        <w:t xml:space="preserve">H7 </w:t>
      </w:r>
      <w:r w:rsidR="00CF55BC" w:rsidRPr="002106B0">
        <w:rPr>
          <w:b/>
          <w:lang w:val="en-US"/>
        </w:rPr>
        <w:t>by</w:t>
      </w:r>
      <w:r w:rsidRPr="002106B0">
        <w:rPr>
          <w:b/>
          <w:lang w:val="en-US"/>
        </w:rPr>
        <w:t xml:space="preserve"> </w:t>
      </w:r>
      <w:r w:rsidR="00CF55BC" w:rsidRPr="002106B0">
        <w:rPr>
          <w:b/>
          <w:lang w:val="en-US"/>
        </w:rPr>
        <w:t>Age and S</w:t>
      </w:r>
      <w:r w:rsidRPr="002106B0">
        <w:rPr>
          <w:b/>
          <w:lang w:val="en-US"/>
        </w:rPr>
        <w:t xml:space="preserve">ex </w:t>
      </w:r>
    </w:p>
    <w:p w14:paraId="0B593240" w14:textId="77777777" w:rsidR="00C716C4" w:rsidRPr="002106B0" w:rsidRDefault="00C716C4" w:rsidP="00A43DDA">
      <w:pPr>
        <w:pStyle w:val="2"/>
        <w:ind w:left="0" w:firstLine="0"/>
        <w:rPr>
          <w:b/>
          <w:lang w:val="en-US"/>
        </w:rPr>
      </w:pPr>
    </w:p>
    <w:p w14:paraId="77E96B35" w14:textId="77777777" w:rsidR="007F5C46" w:rsidRPr="002106B0" w:rsidRDefault="00C716C4" w:rsidP="007F5C46">
      <w:pPr>
        <w:pStyle w:val="2"/>
        <w:spacing w:line="360" w:lineRule="auto"/>
        <w:ind w:left="0" w:firstLine="0"/>
        <w:rPr>
          <w:iCs/>
          <w:lang w:val="en-US"/>
        </w:rPr>
      </w:pPr>
      <w:r w:rsidRPr="002106B0">
        <w:rPr>
          <w:lang w:val="en-US"/>
        </w:rPr>
        <w:t xml:space="preserve">The prevalence of </w:t>
      </w:r>
      <w:r w:rsidRPr="002106B0">
        <w:rPr>
          <w:i/>
          <w:lang w:val="en-US"/>
        </w:rPr>
        <w:t xml:space="preserve">E. coli </w:t>
      </w:r>
      <w:r w:rsidRPr="002106B0">
        <w:rPr>
          <w:lang w:val="en-US"/>
        </w:rPr>
        <w:t>O157:</w:t>
      </w:r>
      <w:r w:rsidR="00A43DDA" w:rsidRPr="002106B0">
        <w:rPr>
          <w:lang w:val="en-US"/>
        </w:rPr>
        <w:t>H7</w:t>
      </w:r>
      <w:r w:rsidRPr="002106B0">
        <w:rPr>
          <w:lang w:val="en-US"/>
        </w:rPr>
        <w:t xml:space="preserve"> varied </w:t>
      </w:r>
      <w:r w:rsidR="00CF55BC" w:rsidRPr="002106B0">
        <w:rPr>
          <w:lang w:val="en-US"/>
        </w:rPr>
        <w:t xml:space="preserve">with the </w:t>
      </w:r>
      <w:r w:rsidRPr="002106B0">
        <w:rPr>
          <w:lang w:val="en-US"/>
        </w:rPr>
        <w:t>age and sex</w:t>
      </w:r>
      <w:r w:rsidR="007F5C46" w:rsidRPr="002106B0">
        <w:rPr>
          <w:lang w:val="en-US"/>
        </w:rPr>
        <w:t xml:space="preserve"> of the pigs (Table III). It </w:t>
      </w:r>
      <w:r w:rsidR="00CF55BC" w:rsidRPr="002106B0">
        <w:rPr>
          <w:lang w:val="en-US"/>
        </w:rPr>
        <w:t xml:space="preserve">was </w:t>
      </w:r>
      <w:r w:rsidR="007F5C46" w:rsidRPr="002106B0">
        <w:rPr>
          <w:lang w:val="en-US"/>
        </w:rPr>
        <w:t xml:space="preserve">higher in animals </w:t>
      </w:r>
      <w:r w:rsidR="00CF55BC" w:rsidRPr="002106B0">
        <w:rPr>
          <w:lang w:val="en-US"/>
        </w:rPr>
        <w:t xml:space="preserve">over </w:t>
      </w:r>
      <w:r w:rsidR="007F5C46" w:rsidRPr="002106B0">
        <w:rPr>
          <w:lang w:val="en-US"/>
        </w:rPr>
        <w:t>six months</w:t>
      </w:r>
      <w:r w:rsidR="00CF55BC" w:rsidRPr="002106B0">
        <w:rPr>
          <w:lang w:val="en-US"/>
        </w:rPr>
        <w:t xml:space="preserve"> old</w:t>
      </w:r>
      <w:r w:rsidR="007F5C46" w:rsidRPr="002106B0">
        <w:rPr>
          <w:lang w:val="en-US"/>
        </w:rPr>
        <w:t xml:space="preserve"> (37.</w:t>
      </w:r>
      <w:r w:rsidR="00CF55BC" w:rsidRPr="002106B0">
        <w:rPr>
          <w:lang w:val="en-US"/>
        </w:rPr>
        <w:t>3</w:t>
      </w:r>
      <w:r w:rsidR="00A43DDA" w:rsidRPr="002106B0">
        <w:rPr>
          <w:lang w:val="en-US"/>
        </w:rPr>
        <w:t xml:space="preserve">%) </w:t>
      </w:r>
      <w:r w:rsidR="00CF55BC" w:rsidRPr="002106B0">
        <w:rPr>
          <w:lang w:val="en-US"/>
        </w:rPr>
        <w:t xml:space="preserve">compared to younger pigs (25.7%), and in females </w:t>
      </w:r>
      <w:r w:rsidR="007F5C46" w:rsidRPr="002106B0">
        <w:rPr>
          <w:iCs/>
          <w:lang w:val="en-US"/>
        </w:rPr>
        <w:t>(33.</w:t>
      </w:r>
      <w:r w:rsidR="00CF55BC" w:rsidRPr="002106B0">
        <w:rPr>
          <w:iCs/>
          <w:lang w:val="en-US"/>
        </w:rPr>
        <w:t>3</w:t>
      </w:r>
      <w:r w:rsidR="007F5C46" w:rsidRPr="002106B0">
        <w:rPr>
          <w:iCs/>
          <w:lang w:val="en-US"/>
        </w:rPr>
        <w:t xml:space="preserve">%) </w:t>
      </w:r>
      <w:r w:rsidR="00CF55BC" w:rsidRPr="002106B0">
        <w:rPr>
          <w:iCs/>
          <w:lang w:val="en-US"/>
        </w:rPr>
        <w:t>compared to males</w:t>
      </w:r>
      <w:r w:rsidR="007F5C46" w:rsidRPr="002106B0">
        <w:rPr>
          <w:iCs/>
          <w:lang w:val="en-US"/>
        </w:rPr>
        <w:t xml:space="preserve"> </w:t>
      </w:r>
      <w:r w:rsidR="007F5C46" w:rsidRPr="002106B0">
        <w:rPr>
          <w:lang w:val="en-US"/>
        </w:rPr>
        <w:t>(25.</w:t>
      </w:r>
      <w:r w:rsidR="00CF55BC" w:rsidRPr="002106B0">
        <w:rPr>
          <w:lang w:val="en-US"/>
        </w:rPr>
        <w:t>8</w:t>
      </w:r>
      <w:r w:rsidR="007F5C46" w:rsidRPr="002106B0">
        <w:rPr>
          <w:lang w:val="en-US"/>
        </w:rPr>
        <w:t xml:space="preserve">%) and males </w:t>
      </w:r>
      <w:r w:rsidR="007F5C46" w:rsidRPr="002106B0">
        <w:rPr>
          <w:iCs/>
          <w:lang w:val="en-US"/>
        </w:rPr>
        <w:t>(25.</w:t>
      </w:r>
      <w:r w:rsidR="00CF55BC" w:rsidRPr="002106B0">
        <w:rPr>
          <w:iCs/>
          <w:lang w:val="en-US"/>
        </w:rPr>
        <w:t>8</w:t>
      </w:r>
      <w:r w:rsidR="007F5C46" w:rsidRPr="002106B0">
        <w:rPr>
          <w:iCs/>
          <w:lang w:val="en-US"/>
        </w:rPr>
        <w:t>%)</w:t>
      </w:r>
      <w:r w:rsidR="007F5C46" w:rsidRPr="002106B0">
        <w:rPr>
          <w:lang w:val="en-US"/>
        </w:rPr>
        <w:t>. However, the</w:t>
      </w:r>
      <w:r w:rsidR="00CF55BC" w:rsidRPr="002106B0">
        <w:rPr>
          <w:lang w:val="en-US"/>
        </w:rPr>
        <w:t>se</w:t>
      </w:r>
      <w:r w:rsidR="007F5C46" w:rsidRPr="002106B0">
        <w:rPr>
          <w:lang w:val="en-US"/>
        </w:rPr>
        <w:t xml:space="preserve"> differences</w:t>
      </w:r>
      <w:r w:rsidR="00CF55BC" w:rsidRPr="002106B0">
        <w:rPr>
          <w:lang w:val="en-US"/>
        </w:rPr>
        <w:t xml:space="preserve"> were not statistically</w:t>
      </w:r>
      <w:r w:rsidR="007F5C46" w:rsidRPr="002106B0">
        <w:rPr>
          <w:lang w:val="en-US"/>
        </w:rPr>
        <w:t xml:space="preserve"> </w:t>
      </w:r>
      <w:r w:rsidR="00CF55BC" w:rsidRPr="002106B0">
        <w:rPr>
          <w:lang w:val="en-US"/>
        </w:rPr>
        <w:t>significant (for</w:t>
      </w:r>
      <w:r w:rsidR="007F5C46" w:rsidRPr="002106B0">
        <w:rPr>
          <w:lang w:val="en-US"/>
        </w:rPr>
        <w:t xml:space="preserve"> age</w:t>
      </w:r>
      <w:r w:rsidR="00533423">
        <w:rPr>
          <w:lang w:val="en-US"/>
        </w:rPr>
        <w:t xml:space="preserve">: </w:t>
      </w:r>
      <w:r w:rsidR="00CF55BC" w:rsidRPr="002106B0">
        <w:rPr>
          <w:lang w:val="en-US"/>
        </w:rPr>
        <w:t xml:space="preserve">p = 0.12; for sex: p = 0.45). </w:t>
      </w:r>
      <w:r w:rsidR="00EA23D0" w:rsidRPr="002106B0">
        <w:rPr>
          <w:lang w:val="en-US"/>
        </w:rPr>
        <w:t xml:space="preserve">Therefore, no significant association was found between </w:t>
      </w:r>
      <w:r w:rsidR="00A43DDA" w:rsidRPr="002106B0">
        <w:rPr>
          <w:i/>
          <w:iCs/>
          <w:lang w:val="en-US"/>
        </w:rPr>
        <w:t>E. coli</w:t>
      </w:r>
      <w:r w:rsidR="007F5C46" w:rsidRPr="002106B0">
        <w:rPr>
          <w:iCs/>
          <w:lang w:val="en-US"/>
        </w:rPr>
        <w:t xml:space="preserve"> O157</w:t>
      </w:r>
      <w:r w:rsidR="00A43DDA" w:rsidRPr="002106B0">
        <w:rPr>
          <w:iCs/>
          <w:lang w:val="en-US"/>
        </w:rPr>
        <w:t xml:space="preserve">:H7 </w:t>
      </w:r>
      <w:r w:rsidR="00EA23D0" w:rsidRPr="002106B0">
        <w:rPr>
          <w:iCs/>
          <w:lang w:val="en-US"/>
        </w:rPr>
        <w:t xml:space="preserve">carriage </w:t>
      </w:r>
      <w:r w:rsidR="007F5C46" w:rsidRPr="002106B0">
        <w:rPr>
          <w:iCs/>
          <w:lang w:val="en-US"/>
        </w:rPr>
        <w:t>and the risk factors</w:t>
      </w:r>
      <w:r w:rsidR="00EA23D0" w:rsidRPr="002106B0">
        <w:rPr>
          <w:iCs/>
          <w:lang w:val="en-US"/>
        </w:rPr>
        <w:t xml:space="preserve"> of</w:t>
      </w:r>
      <w:r w:rsidR="007F5C46" w:rsidRPr="002106B0">
        <w:rPr>
          <w:iCs/>
          <w:lang w:val="en-US"/>
        </w:rPr>
        <w:t xml:space="preserve"> </w:t>
      </w:r>
      <w:r w:rsidR="00EA23D0" w:rsidRPr="002106B0">
        <w:rPr>
          <w:iCs/>
          <w:lang w:val="en-US"/>
        </w:rPr>
        <w:t>age or s</w:t>
      </w:r>
      <w:r w:rsidR="004D2D7D" w:rsidRPr="002106B0">
        <w:rPr>
          <w:iCs/>
          <w:lang w:val="en-US"/>
        </w:rPr>
        <w:t>e</w:t>
      </w:r>
      <w:r w:rsidR="00EA23D0" w:rsidRPr="002106B0">
        <w:rPr>
          <w:iCs/>
          <w:lang w:val="en-US"/>
        </w:rPr>
        <w:t>x in this study population</w:t>
      </w:r>
      <w:r w:rsidR="004D2D7D" w:rsidRPr="002106B0">
        <w:rPr>
          <w:iCs/>
          <w:lang w:val="en-US"/>
        </w:rPr>
        <w:t>.</w:t>
      </w:r>
    </w:p>
    <w:p w14:paraId="50C2C5AA" w14:textId="77777777" w:rsidR="00A43DDA" w:rsidRPr="002106B0" w:rsidRDefault="00A43DDA" w:rsidP="007F5C46">
      <w:pPr>
        <w:pStyle w:val="2"/>
        <w:spacing w:line="360" w:lineRule="auto"/>
        <w:ind w:left="0" w:firstLine="0"/>
        <w:rPr>
          <w:lang w:val="en-US"/>
        </w:rPr>
      </w:pPr>
    </w:p>
    <w:p w14:paraId="5B25FCDF" w14:textId="77777777" w:rsidR="00A43DDA" w:rsidRPr="002106B0" w:rsidRDefault="005534AB" w:rsidP="00A43DDA">
      <w:pPr>
        <w:pStyle w:val="2"/>
        <w:spacing w:line="360" w:lineRule="auto"/>
        <w:ind w:left="0" w:firstLine="0"/>
        <w:rPr>
          <w:b/>
          <w:lang w:val="en-US"/>
        </w:rPr>
      </w:pPr>
      <w:r w:rsidRPr="002106B0">
        <w:rPr>
          <w:b/>
          <w:lang w:val="en-US"/>
        </w:rPr>
        <w:t>Pre</w:t>
      </w:r>
      <w:r w:rsidR="00A43DDA" w:rsidRPr="002106B0">
        <w:rPr>
          <w:b/>
          <w:lang w:val="en-US"/>
        </w:rPr>
        <w:t>valence</w:t>
      </w:r>
      <w:r w:rsidRPr="002106B0">
        <w:rPr>
          <w:b/>
          <w:lang w:val="en-US"/>
        </w:rPr>
        <w:t xml:space="preserve"> of </w:t>
      </w:r>
      <w:r w:rsidRPr="002106B0">
        <w:rPr>
          <w:b/>
          <w:i/>
          <w:iCs/>
          <w:lang w:val="en-US"/>
        </w:rPr>
        <w:t xml:space="preserve">E. coli </w:t>
      </w:r>
      <w:r w:rsidRPr="002106B0">
        <w:rPr>
          <w:b/>
          <w:iCs/>
          <w:lang w:val="en-US"/>
        </w:rPr>
        <w:t>O157</w:t>
      </w:r>
      <w:r w:rsidR="00A43DDA" w:rsidRPr="002106B0">
        <w:rPr>
          <w:b/>
          <w:iCs/>
          <w:lang w:val="en-US"/>
        </w:rPr>
        <w:t>:H7</w:t>
      </w:r>
      <w:r w:rsidRPr="002106B0">
        <w:rPr>
          <w:b/>
          <w:i/>
          <w:iCs/>
          <w:lang w:val="en-US"/>
        </w:rPr>
        <w:t xml:space="preserve"> </w:t>
      </w:r>
      <w:r w:rsidR="00EA23D0" w:rsidRPr="002106B0">
        <w:rPr>
          <w:b/>
          <w:iCs/>
          <w:lang w:val="en-US"/>
        </w:rPr>
        <w:t>by Genetic Type and Farming System</w:t>
      </w:r>
      <w:r w:rsidR="00A43DDA" w:rsidRPr="002106B0">
        <w:rPr>
          <w:b/>
          <w:lang w:val="en-US"/>
        </w:rPr>
        <w:t xml:space="preserve"> </w:t>
      </w:r>
    </w:p>
    <w:p w14:paraId="5B62E95A" w14:textId="77777777" w:rsidR="005534AB" w:rsidRPr="002106B0" w:rsidRDefault="00EA23D0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>A statistically significant difference in prevalence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 xml:space="preserve"> was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observed between genetic types 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>(p &lt; 0.05)</w:t>
      </w:r>
      <w:r w:rsidRPr="002106B0">
        <w:rPr>
          <w:rFonts w:ascii="Times New Roman" w:hAnsi="Times New Roman"/>
          <w:sz w:val="24"/>
          <w:szCs w:val="24"/>
          <w:lang w:val="en-US"/>
        </w:rPr>
        <w:t>. L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 xml:space="preserve">ocal-breed pigs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showed a significantly higher prevalence 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>(</w:t>
      </w:r>
      <w:r w:rsidRPr="002106B0">
        <w:rPr>
          <w:rFonts w:ascii="Times New Roman" w:hAnsi="Times New Roman"/>
          <w:sz w:val="24"/>
          <w:szCs w:val="24"/>
          <w:lang w:val="en-US"/>
        </w:rPr>
        <w:t>61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>.</w:t>
      </w:r>
      <w:r w:rsidRPr="002106B0">
        <w:rPr>
          <w:rFonts w:ascii="Times New Roman" w:hAnsi="Times New Roman"/>
          <w:sz w:val="24"/>
          <w:szCs w:val="24"/>
          <w:lang w:val="en-US"/>
        </w:rPr>
        <w:t>0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>%) t</w:t>
      </w:r>
      <w:r w:rsidRPr="002106B0">
        <w:rPr>
          <w:rFonts w:ascii="Times New Roman" w:hAnsi="Times New Roman"/>
          <w:sz w:val="24"/>
          <w:szCs w:val="24"/>
          <w:lang w:val="en-US"/>
        </w:rPr>
        <w:t>han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 xml:space="preserve"> improved-breed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pigs 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>(</w:t>
      </w:r>
      <w:r w:rsidR="005534AB" w:rsidRPr="002106B0">
        <w:rPr>
          <w:rFonts w:ascii="Times New Roman" w:hAnsi="Times New Roman" w:hint="eastAsia"/>
          <w:sz w:val="24"/>
          <w:szCs w:val="24"/>
          <w:lang w:val="en-US" w:eastAsia="fr-FR"/>
        </w:rPr>
        <w:t>29</w:t>
      </w:r>
      <w:r w:rsidR="005534AB" w:rsidRPr="002106B0">
        <w:rPr>
          <w:rFonts w:ascii="Times New Roman" w:hAnsi="Times New Roman"/>
          <w:sz w:val="24"/>
          <w:szCs w:val="24"/>
          <w:lang w:val="en-US" w:eastAsia="fr-FR"/>
        </w:rPr>
        <w:t>.</w:t>
      </w:r>
      <w:r w:rsidRPr="002106B0">
        <w:rPr>
          <w:rFonts w:ascii="Times New Roman" w:hAnsi="Times New Roman" w:hint="eastAsia"/>
          <w:sz w:val="24"/>
          <w:szCs w:val="24"/>
          <w:lang w:val="en-US" w:eastAsia="fr-FR"/>
        </w:rPr>
        <w:t>5</w:t>
      </w:r>
      <w:r w:rsidR="005534AB" w:rsidRPr="002106B0">
        <w:rPr>
          <w:rFonts w:ascii="Times New Roman" w:hAnsi="Times New Roman" w:hint="eastAsia"/>
          <w:sz w:val="24"/>
          <w:szCs w:val="24"/>
          <w:lang w:val="en-US"/>
        </w:rPr>
        <w:t>%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 xml:space="preserve">). Local-breed pigs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had </w:t>
      </w:r>
      <w:r w:rsidR="005534AB" w:rsidRPr="002106B0">
        <w:rPr>
          <w:rFonts w:ascii="Times New Roman" w:hAnsi="Times New Roman"/>
          <w:sz w:val="24"/>
          <w:szCs w:val="24"/>
          <w:lang w:val="en-US"/>
        </w:rPr>
        <w:t xml:space="preserve">5.15 times 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higher odds of being with </w:t>
      </w:r>
      <w:r w:rsidRPr="00533423">
        <w:rPr>
          <w:rFonts w:ascii="Times New Roman" w:hAnsi="Times New Roman"/>
          <w:i/>
          <w:sz w:val="24"/>
          <w:szCs w:val="24"/>
          <w:lang w:val="en-US"/>
        </w:rPr>
        <w:t>E. coli</w:t>
      </w:r>
      <w:r w:rsidRPr="002106B0">
        <w:rPr>
          <w:rFonts w:ascii="Times New Roman" w:hAnsi="Times New Roman"/>
          <w:sz w:val="24"/>
          <w:szCs w:val="24"/>
          <w:lang w:val="en-US"/>
        </w:rPr>
        <w:t xml:space="preserve"> O157:H7 than improved-breed pigs (OR = 5.15; </w:t>
      </w:r>
      <w:r w:rsidR="006C3D78" w:rsidRPr="002106B0">
        <w:rPr>
          <w:rFonts w:ascii="Times New Roman" w:hAnsi="Times New Roman"/>
          <w:sz w:val="24"/>
          <w:szCs w:val="24"/>
          <w:lang w:val="en-US"/>
        </w:rPr>
        <w:t>95% CI: [</w:t>
      </w:r>
      <w:r w:rsidR="00AE2125" w:rsidRPr="00CD4A94">
        <w:rPr>
          <w:rFonts w:ascii="Times New Roman" w:hAnsi="Times New Roman"/>
          <w:lang w:val="en-IN"/>
        </w:rPr>
        <w:t>2.49-10.66</w:t>
      </w:r>
      <w:r w:rsidR="006C3D78" w:rsidRPr="002106B0">
        <w:rPr>
          <w:rFonts w:ascii="Times New Roman" w:hAnsi="Times New Roman"/>
          <w:sz w:val="24"/>
          <w:szCs w:val="24"/>
          <w:lang w:val="en-US"/>
        </w:rPr>
        <w:t>]).</w:t>
      </w:r>
    </w:p>
    <w:p w14:paraId="7C9F0293" w14:textId="77777777" w:rsidR="005534AB" w:rsidRPr="002106B0" w:rsidRDefault="005534AB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lastRenderedPageBreak/>
        <w:t xml:space="preserve">Furthermore, the prevalence of </w:t>
      </w:r>
      <w:r w:rsidRPr="002106B0">
        <w:rPr>
          <w:rFonts w:ascii="Times New Roman" w:hAnsi="Times New Roman"/>
          <w:i/>
          <w:sz w:val="24"/>
          <w:szCs w:val="24"/>
          <w:lang w:val="en-US"/>
        </w:rPr>
        <w:t xml:space="preserve">E. coli </w:t>
      </w:r>
      <w:r w:rsidRPr="002106B0">
        <w:rPr>
          <w:rFonts w:ascii="Times New Roman" w:hAnsi="Times New Roman"/>
          <w:sz w:val="24"/>
          <w:szCs w:val="24"/>
          <w:lang w:val="en-US"/>
        </w:rPr>
        <w:t>O157:H7</w:t>
      </w:r>
      <w:r w:rsidRPr="002106B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infection </w:t>
      </w:r>
      <w:r w:rsidRPr="002106B0">
        <w:rPr>
          <w:rFonts w:ascii="Times New Roman" w:hAnsi="Times New Roman"/>
          <w:sz w:val="24"/>
          <w:szCs w:val="24"/>
          <w:lang w:val="en-US"/>
        </w:rPr>
        <w:t>varied</w:t>
      </w:r>
      <w:r w:rsidR="00942260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between </w:t>
      </w:r>
      <w:r w:rsidRPr="002106B0">
        <w:rPr>
          <w:rFonts w:ascii="Times New Roman" w:hAnsi="Times New Roman"/>
          <w:sz w:val="24"/>
          <w:szCs w:val="24"/>
          <w:lang w:val="en-US"/>
        </w:rPr>
        <w:t>sub-prefectures</w:t>
      </w:r>
      <w:r w:rsidR="00942260" w:rsidRPr="002106B0">
        <w:rPr>
          <w:rFonts w:ascii="Times New Roman" w:hAnsi="Times New Roman"/>
          <w:sz w:val="24"/>
          <w:szCs w:val="24"/>
          <w:lang w:val="en-US"/>
        </w:rPr>
        <w:t xml:space="preserve"> investigated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>, the district of</w:t>
      </w:r>
      <w:r w:rsidR="00942260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6B0">
        <w:rPr>
          <w:rFonts w:ascii="Times New Roman" w:hAnsi="Times New Roman"/>
          <w:sz w:val="24"/>
          <w:szCs w:val="24"/>
          <w:lang w:val="en-US"/>
        </w:rPr>
        <w:t>Niofoin</w:t>
      </w:r>
      <w:proofErr w:type="spellEnd"/>
      <w:r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>exhibited the highest prevalence (50</w:t>
      </w:r>
      <w:r w:rsidRPr="002106B0">
        <w:rPr>
          <w:rFonts w:ascii="Times New Roman" w:hAnsi="Times New Roman"/>
          <w:sz w:val="24"/>
          <w:szCs w:val="24"/>
          <w:lang w:val="en-US"/>
        </w:rPr>
        <w:t>%)</w:t>
      </w:r>
      <w:r w:rsidR="00942260" w:rsidRPr="002106B0">
        <w:rPr>
          <w:rFonts w:ascii="Times New Roman" w:hAnsi="Times New Roman"/>
          <w:sz w:val="24"/>
          <w:szCs w:val="24"/>
          <w:lang w:val="en-US"/>
        </w:rPr>
        <w:t>,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 followed by the sub-prefecture of </w:t>
      </w:r>
      <w:proofErr w:type="spellStart"/>
      <w:r w:rsidR="002106B0" w:rsidRPr="002106B0">
        <w:rPr>
          <w:rFonts w:ascii="Times New Roman" w:hAnsi="Times New Roman"/>
          <w:sz w:val="24"/>
          <w:szCs w:val="24"/>
          <w:lang w:val="en-US"/>
        </w:rPr>
        <w:t>Korhogo</w:t>
      </w:r>
      <w:proofErr w:type="spellEnd"/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 with a prevalence of 40%. In contrast, the sub-prefecture of </w:t>
      </w:r>
      <w:proofErr w:type="spellStart"/>
      <w:r w:rsidR="002106B0" w:rsidRPr="002106B0">
        <w:rPr>
          <w:rFonts w:ascii="Times New Roman" w:hAnsi="Times New Roman"/>
          <w:sz w:val="24"/>
          <w:szCs w:val="24"/>
          <w:lang w:val="en-US"/>
        </w:rPr>
        <w:t>Napié</w:t>
      </w:r>
      <w:proofErr w:type="spellEnd"/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 recorded the lowest carriage prevalence of </w:t>
      </w:r>
      <w:r w:rsidR="00497436" w:rsidRPr="002106B0">
        <w:rPr>
          <w:rFonts w:ascii="Times New Roman" w:hAnsi="Times New Roman"/>
          <w:i/>
          <w:iCs/>
          <w:sz w:val="24"/>
          <w:szCs w:val="24"/>
          <w:lang w:val="en-US"/>
        </w:rPr>
        <w:t xml:space="preserve">E. coli </w:t>
      </w:r>
      <w:r w:rsidR="00497436" w:rsidRPr="002106B0">
        <w:rPr>
          <w:rFonts w:ascii="Times New Roman" w:hAnsi="Times New Roman"/>
          <w:iCs/>
          <w:sz w:val="24"/>
          <w:szCs w:val="24"/>
          <w:lang w:val="en-US"/>
        </w:rPr>
        <w:t>O157:H7</w:t>
      </w:r>
      <w:r w:rsidR="00942260" w:rsidRPr="00210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(6%). Overall, the differences in prevalence between the sub-prefectures were significant (p &lt; 0.05), indicating a link between the prevalence of this </w:t>
      </w:r>
      <w:r w:rsidR="002106B0" w:rsidRPr="00AE2125">
        <w:rPr>
          <w:rFonts w:ascii="Times New Roman" w:hAnsi="Times New Roman"/>
          <w:sz w:val="24"/>
          <w:szCs w:val="24"/>
          <w:lang w:val="en-US"/>
        </w:rPr>
        <w:t>bacteri</w:t>
      </w:r>
      <w:r w:rsidR="00AE2125" w:rsidRPr="00AE2125">
        <w:rPr>
          <w:rFonts w:ascii="Times New Roman" w:hAnsi="Times New Roman"/>
          <w:sz w:val="24"/>
          <w:szCs w:val="24"/>
          <w:lang w:val="en-US"/>
        </w:rPr>
        <w:t>a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 and farm location. Positivity rates for </w:t>
      </w:r>
      <w:r w:rsidR="002106B0" w:rsidRPr="002106B0">
        <w:rPr>
          <w:rFonts w:ascii="Times New Roman" w:hAnsi="Times New Roman"/>
          <w:i/>
          <w:iCs/>
          <w:sz w:val="24"/>
          <w:szCs w:val="24"/>
          <w:lang w:val="en-US"/>
        </w:rPr>
        <w:t xml:space="preserve">E. coli </w:t>
      </w:r>
      <w:r w:rsidR="002106B0" w:rsidRPr="002106B0">
        <w:rPr>
          <w:rFonts w:ascii="Times New Roman" w:hAnsi="Times New Roman"/>
          <w:iCs/>
          <w:sz w:val="24"/>
          <w:szCs w:val="24"/>
          <w:lang w:val="en-US"/>
        </w:rPr>
        <w:t xml:space="preserve">O157:H7 differed very significantly </w:t>
      </w:r>
      <w:r w:rsidR="00497436" w:rsidRPr="002106B0">
        <w:rPr>
          <w:rFonts w:ascii="Times New Roman" w:hAnsi="Times New Roman"/>
          <w:sz w:val="24"/>
          <w:szCs w:val="24"/>
          <w:lang w:val="en-US"/>
        </w:rPr>
        <w:t>(p &lt; 0.0001)</w:t>
      </w:r>
      <w:r w:rsidR="002106B0" w:rsidRPr="002106B0">
        <w:rPr>
          <w:rFonts w:ascii="Times New Roman" w:hAnsi="Times New Roman"/>
          <w:sz w:val="24"/>
          <w:szCs w:val="24"/>
          <w:lang w:val="en-US"/>
        </w:rPr>
        <w:t xml:space="preserve"> according to the sub-prefecture</w:t>
      </w:r>
      <w:r w:rsidR="00497436" w:rsidRPr="002106B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B32BC48" w14:textId="77777777" w:rsidR="00A43DDA" w:rsidRPr="002106B0" w:rsidRDefault="00A43DDA" w:rsidP="00A43DDA">
      <w:pPr>
        <w:pStyle w:val="Caption"/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</w:p>
    <w:p w14:paraId="646E1229" w14:textId="77777777" w:rsidR="00A43DDA" w:rsidRPr="002106B0" w:rsidRDefault="00B03962" w:rsidP="00A43DDA">
      <w:pPr>
        <w:pStyle w:val="Caption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Table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 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instrText xml:space="preserve"> SEQ Tableau \* ROMAN </w:instrTex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A43DDA" w:rsidRPr="002106B0">
        <w:rPr>
          <w:rFonts w:ascii="Times New Roman" w:hAnsi="Times New Roman"/>
          <w:b/>
          <w:i w:val="0"/>
          <w:noProof/>
          <w:color w:val="auto"/>
          <w:sz w:val="24"/>
          <w:szCs w:val="24"/>
          <w:lang w:val="en-US"/>
        </w:rPr>
        <w:t>II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="00A43DDA"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: C</w:t>
      </w:r>
      <w:r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>haracteristic</w:t>
      </w:r>
      <w:r w:rsidR="00A43DDA"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s </w:t>
      </w:r>
      <w:r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of sampled animals </w:t>
      </w:r>
    </w:p>
    <w:p w14:paraId="6DBBA069" w14:textId="77777777" w:rsidR="00A43DDA" w:rsidRPr="002106B0" w:rsidRDefault="00A43DDA" w:rsidP="00A43DD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422" w:type="dxa"/>
        <w:tblLook w:val="04A0" w:firstRow="1" w:lastRow="0" w:firstColumn="1" w:lastColumn="0" w:noHBand="0" w:noVBand="1"/>
      </w:tblPr>
      <w:tblGrid>
        <w:gridCol w:w="1113"/>
        <w:gridCol w:w="1864"/>
        <w:gridCol w:w="850"/>
        <w:gridCol w:w="710"/>
        <w:gridCol w:w="1336"/>
        <w:gridCol w:w="645"/>
        <w:gridCol w:w="1141"/>
        <w:gridCol w:w="763"/>
      </w:tblGrid>
      <w:tr w:rsidR="002106B0" w:rsidRPr="002106B0" w14:paraId="028B8B16" w14:textId="77777777" w:rsidTr="003B577B">
        <w:trPr>
          <w:trHeight w:val="30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5BD1A" w14:textId="77777777" w:rsidR="00A43DDA" w:rsidRPr="002106B0" w:rsidRDefault="00B03962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bookmarkStart w:id="18" w:name="_Toc144104625"/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Risk f</w:t>
            </w:r>
            <w:r w:rsidR="002106B0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actor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346A15" w14:textId="77777777" w:rsidR="00A43DDA" w:rsidRPr="002106B0" w:rsidRDefault="00B03962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N</w:t>
            </w: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AS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D68717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NAP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094091" w14:textId="77777777" w:rsidR="00A43DDA" w:rsidRPr="002106B0" w:rsidRDefault="00B03962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Pre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valence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3CFED1E5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OR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6C70227" w14:textId="77777777" w:rsidR="00A43DDA" w:rsidRPr="002106B0" w:rsidRDefault="00A43DDA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95%</w:t>
            </w:r>
            <w:r w:rsidR="002106B0"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CI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BAA6257" w14:textId="77777777" w:rsidR="00A43DDA" w:rsidRPr="002106B0" w:rsidRDefault="002106B0" w:rsidP="003B577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*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eastAsia="fr-FR"/>
              </w:rPr>
              <w:t>P</w:t>
            </w: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*-value</w:t>
            </w:r>
          </w:p>
        </w:tc>
      </w:tr>
      <w:tr w:rsidR="002106B0" w:rsidRPr="002106B0" w14:paraId="4A9F1015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E6378A0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Age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bottom"/>
          </w:tcPr>
          <w:p w14:paraId="09175D5C" w14:textId="77777777" w:rsidR="00A43DDA" w:rsidRPr="002106B0" w:rsidRDefault="002106B0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2 to 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</w:t>
            </w:r>
            <w:r w:rsidR="00A43DDA"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B03962" w:rsidRPr="002106B0">
              <w:rPr>
                <w:rFonts w:ascii="Times New Roman" w:hAnsi="Times New Roman"/>
                <w:lang w:eastAsia="fr-FR"/>
              </w:rPr>
              <w:t>month</w:t>
            </w:r>
            <w:r w:rsidR="00A43DDA" w:rsidRPr="002106B0">
              <w:rPr>
                <w:rFonts w:ascii="Times New Roman" w:hAnsi="Times New Roman"/>
                <w:lang w:eastAsia="fr-FR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6065449F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14:paraId="28067C6D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  <w:vAlign w:val="center"/>
          </w:tcPr>
          <w:p w14:paraId="1BE03452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25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69%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0343F5A6" w14:textId="77777777" w:rsidR="00A43DDA" w:rsidRPr="002106B0" w:rsidRDefault="00A43DDA" w:rsidP="000C6BED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1</w:t>
            </w:r>
            <w:r w:rsidR="000C6BED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61339C32" w14:textId="77777777" w:rsidR="00A43DDA" w:rsidRPr="002106B0" w:rsidRDefault="00A43DDA" w:rsidP="000C6BED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0</w:t>
            </w:r>
            <w:r w:rsidR="000C6BED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85-3</w:t>
            </w:r>
            <w:r w:rsidR="000C6BED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13FC2188" w14:textId="77777777" w:rsidR="00A43DDA" w:rsidRPr="002106B0" w:rsidRDefault="00A43DDA" w:rsidP="000C6BED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106B0">
              <w:rPr>
                <w:rFonts w:ascii="Times New Roman" w:hAnsi="Times New Roman"/>
              </w:rPr>
              <w:t>0</w:t>
            </w:r>
            <w:r w:rsidR="000C6BED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075</w:t>
            </w:r>
          </w:p>
        </w:tc>
      </w:tr>
      <w:tr w:rsidR="002106B0" w:rsidRPr="002106B0" w14:paraId="3403149E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5338DFE0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noWrap/>
            <w:vAlign w:val="bottom"/>
          </w:tcPr>
          <w:p w14:paraId="47F183F1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7 </w:t>
            </w: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m</w:t>
            </w:r>
            <w:r w:rsidR="00B03962" w:rsidRPr="002106B0">
              <w:rPr>
                <w:rFonts w:ascii="Times New Roman" w:hAnsi="Times New Roman"/>
                <w:lang w:eastAsia="fr-FR"/>
              </w:rPr>
              <w:t>onths</w:t>
            </w:r>
            <w:proofErr w:type="spellEnd"/>
            <w:r w:rsidR="00B03962" w:rsidRPr="002106B0">
              <w:rPr>
                <w:rFonts w:ascii="Times New Roman" w:hAnsi="Times New Roman"/>
                <w:lang w:eastAsia="fr-FR"/>
              </w:rPr>
              <w:t xml:space="preserve"> and </w:t>
            </w:r>
            <w:proofErr w:type="spellStart"/>
            <w:r w:rsidR="00B03962" w:rsidRPr="002106B0">
              <w:rPr>
                <w:rFonts w:ascii="Times New Roman" w:hAnsi="Times New Roman"/>
                <w:lang w:eastAsia="fr-FR"/>
              </w:rPr>
              <w:t>older</w:t>
            </w:r>
            <w:proofErr w:type="spellEnd"/>
            <w:r w:rsidR="00B03962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175FA027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4A8FA559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vAlign w:val="center"/>
          </w:tcPr>
          <w:p w14:paraId="03C7357B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37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36%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0C5B639D" w14:textId="77777777" w:rsidR="00A43DDA" w:rsidRPr="002106B0" w:rsidRDefault="00C566F1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lang w:eastAsia="fr-FR"/>
              </w:rPr>
              <w:t>Re</w:t>
            </w:r>
            <w:r w:rsidR="00A43DDA" w:rsidRPr="002106B0">
              <w:rPr>
                <w:rFonts w:ascii="Times New Roman" w:hAnsi="Times New Roman"/>
                <w:lang w:eastAsia="fr-FR"/>
              </w:rPr>
              <w:t>f</w:t>
            </w:r>
            <w:proofErr w:type="spellEnd"/>
            <w:r w:rsidR="00A43DDA" w:rsidRPr="002106B0">
              <w:rPr>
                <w:rFonts w:ascii="Times New Roman" w:hAnsi="Times New Roman"/>
                <w:lang w:eastAsia="fr-FR"/>
              </w:rPr>
              <w:t>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9092CCB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0082868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</w:tr>
      <w:tr w:rsidR="002106B0" w:rsidRPr="002106B0" w14:paraId="1CF1B013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3ACE62" w14:textId="77777777" w:rsidR="00A43DDA" w:rsidRPr="002106B0" w:rsidRDefault="00B03962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Sex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bottom"/>
          </w:tcPr>
          <w:p w14:paraId="6C0C6F66" w14:textId="77777777" w:rsidR="00A43DDA" w:rsidRPr="002106B0" w:rsidRDefault="00B03962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Ma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41A882D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14:paraId="78E70461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  <w:vAlign w:val="center"/>
          </w:tcPr>
          <w:p w14:paraId="519FFBDE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25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81%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018E4C98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1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44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B1D07A2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0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74-2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3BAB655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106B0">
              <w:rPr>
                <w:rFonts w:ascii="Times New Roman" w:hAnsi="Times New Roman"/>
              </w:rPr>
              <w:t>0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287</w:t>
            </w:r>
          </w:p>
        </w:tc>
      </w:tr>
      <w:tr w:rsidR="002106B0" w:rsidRPr="002106B0" w14:paraId="59B63B73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7EFC9088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noWrap/>
            <w:vAlign w:val="bottom"/>
          </w:tcPr>
          <w:p w14:paraId="3A41A41F" w14:textId="77777777" w:rsidR="00A43DDA" w:rsidRPr="002106B0" w:rsidRDefault="00B03962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Fema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le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034216B4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138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196D97EA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vAlign w:val="center"/>
          </w:tcPr>
          <w:p w14:paraId="1C69990B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33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33%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A210BD9" w14:textId="77777777" w:rsidR="00A43DDA" w:rsidRPr="002106B0" w:rsidRDefault="00C566F1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lang w:eastAsia="fr-FR"/>
              </w:rPr>
              <w:t>Re</w:t>
            </w:r>
            <w:r w:rsidR="00A43DDA" w:rsidRPr="002106B0">
              <w:rPr>
                <w:rFonts w:ascii="Times New Roman" w:hAnsi="Times New Roman"/>
                <w:lang w:eastAsia="fr-FR"/>
              </w:rPr>
              <w:t>f</w:t>
            </w:r>
            <w:proofErr w:type="spellEnd"/>
            <w:r w:rsidR="00A43DDA" w:rsidRPr="002106B0">
              <w:rPr>
                <w:rFonts w:ascii="Times New Roman" w:hAnsi="Times New Roman"/>
                <w:lang w:eastAsia="fr-FR"/>
              </w:rPr>
              <w:t>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00D036F0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ED84404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</w:tr>
      <w:tr w:rsidR="002106B0" w:rsidRPr="002106B0" w14:paraId="2A9EA924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57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138298" w14:textId="77777777" w:rsidR="00A43DDA" w:rsidRPr="002106B0" w:rsidRDefault="00B03962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Sub-pre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fecture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bottom"/>
          </w:tcPr>
          <w:p w14:paraId="6A85D68F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Karakoro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2B8527E2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14:paraId="2E57CD36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  <w:vAlign w:val="center"/>
          </w:tcPr>
          <w:p w14:paraId="79686EB9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28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00%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366CB4CE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fr-FR"/>
              </w:rPr>
            </w:pPr>
            <w:r w:rsidRPr="002106B0">
              <w:rPr>
                <w:rFonts w:ascii="Times New Roman" w:hAnsi="Times New Roman"/>
              </w:rPr>
              <w:t>2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57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3611795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fr-FR"/>
              </w:rPr>
            </w:pPr>
            <w:r w:rsidRPr="002106B0">
              <w:rPr>
                <w:rFonts w:ascii="Times New Roman" w:hAnsi="Times New Roman"/>
              </w:rPr>
              <w:t>1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12-5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ED27350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6B0">
              <w:rPr>
                <w:rFonts w:ascii="Times New Roman" w:hAnsi="Times New Roman"/>
                <w:b/>
                <w:i/>
              </w:rPr>
              <w:t>0</w:t>
            </w:r>
            <w:r w:rsidR="00AE2125">
              <w:rPr>
                <w:rFonts w:ascii="Times New Roman" w:hAnsi="Times New Roman"/>
                <w:b/>
                <w:i/>
              </w:rPr>
              <w:t>.</w:t>
            </w:r>
            <w:r w:rsidRPr="002106B0">
              <w:rPr>
                <w:rFonts w:ascii="Times New Roman" w:hAnsi="Times New Roman"/>
                <w:b/>
                <w:i/>
              </w:rPr>
              <w:t>024</w:t>
            </w:r>
          </w:p>
        </w:tc>
      </w:tr>
      <w:tr w:rsidR="002106B0" w:rsidRPr="002106B0" w14:paraId="5D368D5A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57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23CBA531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noWrap/>
            <w:vAlign w:val="bottom"/>
          </w:tcPr>
          <w:p w14:paraId="568D1DD8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Korhogo</w:t>
            </w:r>
          </w:p>
        </w:tc>
        <w:tc>
          <w:tcPr>
            <w:tcW w:w="850" w:type="dxa"/>
            <w:noWrap/>
            <w:vAlign w:val="center"/>
          </w:tcPr>
          <w:p w14:paraId="7EBEC786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710" w:type="dxa"/>
            <w:noWrap/>
            <w:vAlign w:val="center"/>
          </w:tcPr>
          <w:p w14:paraId="77F95AA2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336" w:type="dxa"/>
            <w:noWrap/>
            <w:vAlign w:val="center"/>
          </w:tcPr>
          <w:p w14:paraId="3416FBE7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40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00%</w:t>
            </w:r>
          </w:p>
        </w:tc>
        <w:tc>
          <w:tcPr>
            <w:tcW w:w="650" w:type="dxa"/>
            <w:vAlign w:val="center"/>
          </w:tcPr>
          <w:p w14:paraId="70CA9AEA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1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5</w:t>
            </w:r>
          </w:p>
        </w:tc>
        <w:tc>
          <w:tcPr>
            <w:tcW w:w="1219" w:type="dxa"/>
            <w:vAlign w:val="center"/>
          </w:tcPr>
          <w:p w14:paraId="27A60695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0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68-3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31</w:t>
            </w:r>
          </w:p>
        </w:tc>
        <w:tc>
          <w:tcPr>
            <w:tcW w:w="680" w:type="dxa"/>
            <w:vAlign w:val="center"/>
          </w:tcPr>
          <w:p w14:paraId="27575A79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106B0">
              <w:rPr>
                <w:rFonts w:ascii="Times New Roman" w:hAnsi="Times New Roman"/>
                <w:lang w:eastAsia="fr-FR"/>
              </w:rPr>
              <w:t>0</w:t>
            </w:r>
            <w:r w:rsidR="00AE2125">
              <w:rPr>
                <w:rFonts w:ascii="Times New Roman" w:hAnsi="Times New Roman"/>
                <w:lang w:eastAsia="fr-FR"/>
              </w:rPr>
              <w:t>.</w:t>
            </w:r>
            <w:r w:rsidRPr="002106B0">
              <w:rPr>
                <w:rFonts w:ascii="Times New Roman" w:hAnsi="Times New Roman"/>
                <w:lang w:eastAsia="fr-FR"/>
              </w:rPr>
              <w:t>315</w:t>
            </w:r>
          </w:p>
        </w:tc>
      </w:tr>
      <w:tr w:rsidR="002106B0" w:rsidRPr="002106B0" w14:paraId="3F017795" w14:textId="77777777" w:rsidTr="003B577B">
        <w:tblPrEx>
          <w:jc w:val="center"/>
          <w:tblCellMar>
            <w:left w:w="70" w:type="dxa"/>
            <w:right w:w="70" w:type="dxa"/>
          </w:tblCellMar>
        </w:tblPrEx>
        <w:trPr>
          <w:trHeight w:val="57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10D994C8" w14:textId="77777777" w:rsidR="00A43DDA" w:rsidRPr="002106B0" w:rsidRDefault="00A43DDA" w:rsidP="003B577B">
            <w:pPr>
              <w:autoSpaceDN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noWrap/>
            <w:vAlign w:val="bottom"/>
          </w:tcPr>
          <w:p w14:paraId="062D8364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Napié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1B1658CA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710" w:type="dxa"/>
            <w:noWrap/>
            <w:vAlign w:val="center"/>
          </w:tcPr>
          <w:p w14:paraId="4358FF78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36" w:type="dxa"/>
            <w:noWrap/>
            <w:vAlign w:val="center"/>
          </w:tcPr>
          <w:p w14:paraId="484D8060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00%</w:t>
            </w:r>
          </w:p>
        </w:tc>
        <w:tc>
          <w:tcPr>
            <w:tcW w:w="650" w:type="dxa"/>
            <w:vAlign w:val="center"/>
          </w:tcPr>
          <w:p w14:paraId="6042BE49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15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67</w:t>
            </w:r>
          </w:p>
        </w:tc>
        <w:tc>
          <w:tcPr>
            <w:tcW w:w="1219" w:type="dxa"/>
            <w:vAlign w:val="center"/>
          </w:tcPr>
          <w:p w14:paraId="7B8AE76F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4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3-57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05</w:t>
            </w:r>
          </w:p>
        </w:tc>
        <w:tc>
          <w:tcPr>
            <w:tcW w:w="680" w:type="dxa"/>
            <w:vAlign w:val="center"/>
          </w:tcPr>
          <w:p w14:paraId="1ADD8344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6B0">
              <w:rPr>
                <w:rFonts w:ascii="Times New Roman" w:hAnsi="Times New Roman"/>
                <w:b/>
                <w:i/>
              </w:rPr>
              <w:t>0</w:t>
            </w:r>
            <w:r w:rsidR="00AE2125">
              <w:rPr>
                <w:rFonts w:ascii="Times New Roman" w:hAnsi="Times New Roman"/>
                <w:b/>
                <w:i/>
              </w:rPr>
              <w:t>.</w:t>
            </w:r>
            <w:r w:rsidRPr="002106B0">
              <w:rPr>
                <w:rFonts w:ascii="Times New Roman" w:hAnsi="Times New Roman"/>
                <w:b/>
                <w:i/>
              </w:rPr>
              <w:t>000</w:t>
            </w:r>
          </w:p>
        </w:tc>
      </w:tr>
      <w:tr w:rsidR="002106B0" w:rsidRPr="002106B0" w14:paraId="053E7352" w14:textId="77777777" w:rsidTr="00533423">
        <w:tblPrEx>
          <w:jc w:val="center"/>
          <w:tblCellMar>
            <w:left w:w="70" w:type="dxa"/>
            <w:right w:w="70" w:type="dxa"/>
          </w:tblCellMar>
        </w:tblPrEx>
        <w:trPr>
          <w:trHeight w:val="57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36556B97" w14:textId="77777777" w:rsidR="00A43DDA" w:rsidRPr="002106B0" w:rsidRDefault="00A43DDA" w:rsidP="003B577B">
            <w:pPr>
              <w:autoSpaceDN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noWrap/>
            <w:vAlign w:val="bottom"/>
          </w:tcPr>
          <w:p w14:paraId="060D5F3E" w14:textId="77777777" w:rsidR="00A43DDA" w:rsidRPr="002106B0" w:rsidRDefault="00A43DDA" w:rsidP="003B577B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Niofoin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4A0B89C4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37B0FF8B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vAlign w:val="center"/>
          </w:tcPr>
          <w:p w14:paraId="1C483B15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50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00%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A0F6854" w14:textId="77777777" w:rsidR="00A43DDA" w:rsidRPr="002106B0" w:rsidRDefault="00C566F1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lang w:eastAsia="fr-FR"/>
              </w:rPr>
              <w:t>Re</w:t>
            </w:r>
            <w:r w:rsidR="00A43DDA" w:rsidRPr="002106B0">
              <w:rPr>
                <w:rFonts w:ascii="Times New Roman" w:hAnsi="Times New Roman"/>
                <w:lang w:eastAsia="fr-FR"/>
              </w:rPr>
              <w:t>f</w:t>
            </w:r>
            <w:proofErr w:type="spellEnd"/>
            <w:r w:rsidR="00A43DDA" w:rsidRPr="002106B0">
              <w:rPr>
                <w:rFonts w:ascii="Times New Roman" w:hAnsi="Times New Roman"/>
                <w:lang w:eastAsia="fr-FR"/>
              </w:rPr>
              <w:t>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C220DDE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17AF60F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</w:tr>
      <w:tr w:rsidR="002106B0" w:rsidRPr="002106B0" w14:paraId="799F2E9C" w14:textId="77777777" w:rsidTr="00533423">
        <w:tblPrEx>
          <w:jc w:val="center"/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DACA69" w14:textId="77777777" w:rsidR="00A43DDA" w:rsidRPr="002106B0" w:rsidRDefault="00B03962" w:rsidP="003B577B">
            <w:pPr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Bre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e</w:t>
            </w: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d</w:t>
            </w:r>
            <w:proofErr w:type="spellEnd"/>
          </w:p>
        </w:tc>
        <w:tc>
          <w:tcPr>
            <w:tcW w:w="1864" w:type="dxa"/>
            <w:noWrap/>
            <w:vAlign w:val="center"/>
          </w:tcPr>
          <w:p w14:paraId="2F93EBC6" w14:textId="77777777" w:rsidR="00A43DDA" w:rsidRPr="002106B0" w:rsidRDefault="00B03962" w:rsidP="003B577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Improved</w:t>
            </w:r>
            <w:proofErr w:type="spellEnd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breeds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58C8C54C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710" w:type="dxa"/>
            <w:noWrap/>
            <w:vAlign w:val="center"/>
          </w:tcPr>
          <w:p w14:paraId="2945E18F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336" w:type="dxa"/>
            <w:noWrap/>
            <w:vAlign w:val="center"/>
          </w:tcPr>
          <w:p w14:paraId="78EAE278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29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51%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65FF0649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5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3A0FF8E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2106B0">
              <w:rPr>
                <w:rFonts w:ascii="Times New Roman" w:hAnsi="Times New Roman"/>
              </w:rPr>
              <w:t>2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49-10</w:t>
            </w:r>
            <w:r w:rsidR="00AE2125">
              <w:rPr>
                <w:rFonts w:ascii="Times New Roman" w:hAnsi="Times New Roman"/>
              </w:rPr>
              <w:t>.</w:t>
            </w:r>
            <w:r w:rsidRPr="002106B0">
              <w:rPr>
                <w:rFonts w:ascii="Times New Roman" w:hAnsi="Times New Roman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278A6AD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6B0">
              <w:rPr>
                <w:rFonts w:ascii="Times New Roman" w:hAnsi="Times New Roman"/>
                <w:b/>
                <w:i/>
                <w:lang w:eastAsia="fr-FR"/>
              </w:rPr>
              <w:t>0</w:t>
            </w:r>
            <w:r w:rsidR="00AE2125">
              <w:rPr>
                <w:rFonts w:ascii="Times New Roman" w:hAnsi="Times New Roman"/>
                <w:b/>
                <w:i/>
                <w:lang w:eastAsia="fr-FR"/>
              </w:rPr>
              <w:t>.</w:t>
            </w:r>
            <w:r w:rsidRPr="002106B0">
              <w:rPr>
                <w:rFonts w:ascii="Times New Roman" w:hAnsi="Times New Roman"/>
                <w:b/>
                <w:i/>
                <w:lang w:eastAsia="fr-FR"/>
              </w:rPr>
              <w:t>000</w:t>
            </w:r>
          </w:p>
        </w:tc>
      </w:tr>
      <w:tr w:rsidR="002106B0" w:rsidRPr="002106B0" w14:paraId="0ECB0B6A" w14:textId="77777777" w:rsidTr="00533423">
        <w:tblPrEx>
          <w:jc w:val="center"/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13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6ACC08DC" w14:textId="77777777" w:rsidR="00A43DDA" w:rsidRPr="002106B0" w:rsidRDefault="00A43DDA" w:rsidP="003B577B">
            <w:pPr>
              <w:autoSpaceDN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noWrap/>
            <w:vAlign w:val="bottom"/>
          </w:tcPr>
          <w:p w14:paraId="307CD93B" w14:textId="77777777" w:rsidR="00A43DDA" w:rsidRPr="002106B0" w:rsidRDefault="002106B0" w:rsidP="002106B0">
            <w:pPr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Local </w:t>
            </w:r>
            <w:proofErr w:type="spellStart"/>
            <w:r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>breed</w:t>
            </w:r>
            <w:proofErr w:type="spellEnd"/>
            <w:r w:rsidR="00B03962" w:rsidRPr="002106B0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40A68945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4FECF7EE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vAlign w:val="center"/>
          </w:tcPr>
          <w:p w14:paraId="50F03376" w14:textId="77777777" w:rsidR="00A43DDA" w:rsidRPr="002106B0" w:rsidRDefault="00A43DDA" w:rsidP="00AE2125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60</w:t>
            </w:r>
            <w:r w:rsidR="00AE2125">
              <w:rPr>
                <w:rFonts w:ascii="Times New Roman" w:hAnsi="Times New Roman"/>
                <w:sz w:val="24"/>
                <w:szCs w:val="24"/>
                <w:lang w:eastAsia="fr-FR"/>
              </w:rPr>
              <w:t>.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eastAsia="fr-FR"/>
              </w:rPr>
              <w:t>98%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9F31314" w14:textId="77777777" w:rsidR="00A43DDA" w:rsidRPr="002106B0" w:rsidRDefault="00C566F1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  <w:proofErr w:type="spellStart"/>
            <w:r w:rsidRPr="002106B0">
              <w:rPr>
                <w:rFonts w:ascii="Times New Roman" w:hAnsi="Times New Roman"/>
                <w:lang w:eastAsia="fr-FR"/>
              </w:rPr>
              <w:t>Re</w:t>
            </w:r>
            <w:r w:rsidR="00A43DDA" w:rsidRPr="002106B0">
              <w:rPr>
                <w:rFonts w:ascii="Times New Roman" w:hAnsi="Times New Roman"/>
                <w:lang w:eastAsia="fr-FR"/>
              </w:rPr>
              <w:t>f</w:t>
            </w:r>
            <w:proofErr w:type="spellEnd"/>
            <w:r w:rsidR="00A43DDA" w:rsidRPr="002106B0">
              <w:rPr>
                <w:rFonts w:ascii="Times New Roman" w:hAnsi="Times New Roman"/>
                <w:lang w:eastAsia="fr-FR"/>
              </w:rPr>
              <w:t>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6D2FBE9B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BB02011" w14:textId="77777777" w:rsidR="00A43DDA" w:rsidRPr="002106B0" w:rsidRDefault="00A43DDA" w:rsidP="003B577B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E818FD1" w14:textId="77777777" w:rsidR="00C566F1" w:rsidRPr="002106B0" w:rsidRDefault="00C566F1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eastAsia="fr-FR"/>
        </w:rPr>
      </w:pPr>
    </w:p>
    <w:p w14:paraId="6B770224" w14:textId="77777777" w:rsidR="00A43DDA" w:rsidRPr="002106B0" w:rsidRDefault="00C566F1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Pigs from farms in the </w:t>
      </w:r>
      <w:proofErr w:type="spellStart"/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>Niofoin</w:t>
      </w:r>
      <w:proofErr w:type="spellEnd"/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sub-prefecture 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had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15.67 times 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higher odds of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be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ing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>infected with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>E. coli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O157:H7 than those from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</w:t>
      </w:r>
      <w:proofErr w:type="spellStart"/>
      <w:r w:rsidRPr="002106B0">
        <w:rPr>
          <w:rFonts w:ascii="Times New Roman" w:hAnsi="Times New Roman"/>
          <w:sz w:val="24"/>
          <w:szCs w:val="24"/>
          <w:lang w:val="en-US" w:eastAsia="fr-FR"/>
        </w:rPr>
        <w:t>Napié</w:t>
      </w:r>
      <w:proofErr w:type="spellEnd"/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sub-prefecture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[OR=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>15.67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; 95% CI: 4.3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>0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-57.05].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>T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he odds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of infection 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were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2.57 times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higher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for animals 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in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</w:t>
      </w:r>
      <w:proofErr w:type="spellStart"/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>Niofoin</w:t>
      </w:r>
      <w:proofErr w:type="spellEnd"/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sub-prefecture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compared to </w:t>
      </w:r>
      <w:r w:rsidR="002106B0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those in 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</w:t>
      </w:r>
      <w:proofErr w:type="spellStart"/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>Karakoro</w:t>
      </w:r>
      <w:proofErr w:type="spellEnd"/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 district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 xml:space="preserve"> [OR=</w:t>
      </w:r>
      <w:r w:rsidR="00CC1EBD" w:rsidRPr="002106B0">
        <w:rPr>
          <w:rFonts w:ascii="Times New Roman" w:hAnsi="Times New Roman"/>
          <w:sz w:val="24"/>
          <w:szCs w:val="24"/>
          <w:lang w:val="en-US" w:eastAsia="fr-FR"/>
        </w:rPr>
        <w:t xml:space="preserve"> 2.57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 xml:space="preserve">; 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>95% </w:t>
      </w:r>
      <w:r w:rsidR="00172C00" w:rsidRPr="002106B0">
        <w:rPr>
          <w:rFonts w:ascii="Times New Roman" w:hAnsi="Times New Roman"/>
          <w:sz w:val="24"/>
          <w:szCs w:val="24"/>
          <w:lang w:val="en-US" w:eastAsia="fr-FR"/>
        </w:rPr>
        <w:t>CI: 1.12-5.</w:t>
      </w:r>
      <w:r w:rsidR="00A43DDA" w:rsidRPr="002106B0">
        <w:rPr>
          <w:rFonts w:ascii="Times New Roman" w:hAnsi="Times New Roman"/>
          <w:sz w:val="24"/>
          <w:szCs w:val="24"/>
          <w:lang w:val="en-US" w:eastAsia="fr-FR"/>
        </w:rPr>
        <w:t>89].</w:t>
      </w:r>
    </w:p>
    <w:p w14:paraId="4F9A0847" w14:textId="77777777" w:rsidR="00A43DDA" w:rsidRPr="002106B0" w:rsidRDefault="001E25F5" w:rsidP="00A43DDA">
      <w:pPr>
        <w:pStyle w:val="2"/>
        <w:spacing w:line="360" w:lineRule="auto"/>
        <w:ind w:left="0" w:firstLine="0"/>
        <w:rPr>
          <w:b/>
          <w:lang w:val="en-US"/>
        </w:rPr>
      </w:pPr>
      <w:r w:rsidRPr="002106B0">
        <w:rPr>
          <w:b/>
          <w:lang w:val="en-US"/>
        </w:rPr>
        <w:t>Antib</w:t>
      </w:r>
      <w:r w:rsidR="00BE3D76" w:rsidRPr="002106B0">
        <w:rPr>
          <w:b/>
          <w:lang w:val="en-US"/>
        </w:rPr>
        <w:t>iotic Resistance P</w:t>
      </w:r>
      <w:r w:rsidRPr="002106B0">
        <w:rPr>
          <w:b/>
          <w:lang w:val="en-US"/>
        </w:rPr>
        <w:t xml:space="preserve">rofile of </w:t>
      </w:r>
      <w:r w:rsidRPr="002106B0">
        <w:rPr>
          <w:b/>
          <w:i/>
          <w:iCs/>
          <w:lang w:val="en-US"/>
        </w:rPr>
        <w:t xml:space="preserve">E. coli </w:t>
      </w:r>
      <w:r w:rsidRPr="002106B0">
        <w:rPr>
          <w:b/>
          <w:iCs/>
          <w:lang w:val="en-US"/>
        </w:rPr>
        <w:t>O157:</w:t>
      </w:r>
      <w:r w:rsidR="00A43DDA" w:rsidRPr="002106B0">
        <w:rPr>
          <w:b/>
          <w:iCs/>
          <w:lang w:val="en-US"/>
        </w:rPr>
        <w:t>H7</w:t>
      </w:r>
      <w:r w:rsidR="00A43DDA" w:rsidRPr="002106B0">
        <w:rPr>
          <w:b/>
          <w:i/>
          <w:iCs/>
          <w:lang w:val="en-US"/>
        </w:rPr>
        <w:t xml:space="preserve"> </w:t>
      </w:r>
      <w:r w:rsidR="00BE3D76" w:rsidRPr="002106B0">
        <w:rPr>
          <w:b/>
          <w:iCs/>
          <w:lang w:val="en-US"/>
        </w:rPr>
        <w:t>I</w:t>
      </w:r>
      <w:r w:rsidRPr="002106B0">
        <w:rPr>
          <w:b/>
          <w:iCs/>
          <w:lang w:val="en-US"/>
        </w:rPr>
        <w:t>solates</w:t>
      </w:r>
      <w:r w:rsidRPr="002106B0">
        <w:rPr>
          <w:b/>
          <w:i/>
          <w:iCs/>
          <w:lang w:val="en-US"/>
        </w:rPr>
        <w:t xml:space="preserve"> </w:t>
      </w:r>
    </w:p>
    <w:p w14:paraId="633C6688" w14:textId="77777777" w:rsidR="001E25F5" w:rsidRPr="002106B0" w:rsidRDefault="001E25F5" w:rsidP="00A43DDA">
      <w:pPr>
        <w:pStyle w:val="2"/>
        <w:spacing w:line="360" w:lineRule="auto"/>
        <w:ind w:left="0" w:firstLine="0"/>
        <w:rPr>
          <w:lang w:val="en-US"/>
        </w:rPr>
      </w:pPr>
    </w:p>
    <w:p w14:paraId="1F3647F9" w14:textId="77777777" w:rsidR="001E25F5" w:rsidRPr="002106B0" w:rsidRDefault="001E25F5" w:rsidP="001E25F5">
      <w:pPr>
        <w:pStyle w:val="2"/>
        <w:spacing w:line="360" w:lineRule="auto"/>
        <w:ind w:left="0" w:firstLine="0"/>
        <w:rPr>
          <w:lang w:val="en-US"/>
        </w:rPr>
      </w:pPr>
      <w:r w:rsidRPr="002106B0">
        <w:rPr>
          <w:lang w:val="en-US"/>
        </w:rPr>
        <w:t>All 62</w:t>
      </w:r>
      <w:r w:rsidR="00A43DDA" w:rsidRPr="002106B0">
        <w:rPr>
          <w:lang w:val="en-US"/>
        </w:rPr>
        <w:t xml:space="preserve"> </w:t>
      </w:r>
      <w:r w:rsidR="00A43DDA" w:rsidRPr="002106B0">
        <w:rPr>
          <w:i/>
          <w:lang w:val="en-US"/>
        </w:rPr>
        <w:t>E. coli</w:t>
      </w:r>
      <w:r w:rsidRPr="002106B0">
        <w:rPr>
          <w:lang w:val="en-US"/>
        </w:rPr>
        <w:t xml:space="preserve"> O157:</w:t>
      </w:r>
      <w:r w:rsidR="00A43DDA" w:rsidRPr="002106B0">
        <w:rPr>
          <w:lang w:val="en-US"/>
        </w:rPr>
        <w:t xml:space="preserve">H7 </w:t>
      </w:r>
      <w:r w:rsidRPr="002106B0">
        <w:rPr>
          <w:lang w:val="en-US"/>
        </w:rPr>
        <w:t xml:space="preserve">isolates tested </w:t>
      </w:r>
      <w:r w:rsidR="00BE3D76" w:rsidRPr="002106B0">
        <w:rPr>
          <w:lang w:val="en-US"/>
        </w:rPr>
        <w:t xml:space="preserve">exhibited resistance to </w:t>
      </w:r>
      <w:r w:rsidRPr="002106B0">
        <w:rPr>
          <w:lang w:val="en-US"/>
        </w:rPr>
        <w:t xml:space="preserve">7 of the 10 antibiotics evaluated. </w:t>
      </w:r>
      <w:r w:rsidR="00CC1EBD" w:rsidRPr="002106B0">
        <w:rPr>
          <w:lang w:val="en-US"/>
        </w:rPr>
        <w:t>The isolates remained susceptible o</w:t>
      </w:r>
      <w:r w:rsidRPr="002106B0">
        <w:rPr>
          <w:lang w:val="en-US"/>
        </w:rPr>
        <w:t>nly</w:t>
      </w:r>
      <w:r w:rsidR="00CC1EBD" w:rsidRPr="002106B0">
        <w:rPr>
          <w:lang w:val="en-US"/>
        </w:rPr>
        <w:t xml:space="preserve"> to</w:t>
      </w:r>
      <w:r w:rsidRPr="002106B0">
        <w:rPr>
          <w:lang w:val="en-US"/>
        </w:rPr>
        <w:t xml:space="preserve"> </w:t>
      </w:r>
      <w:proofErr w:type="spellStart"/>
      <w:r w:rsidRPr="002106B0">
        <w:rPr>
          <w:lang w:val="en-US"/>
        </w:rPr>
        <w:t>gentacimin</w:t>
      </w:r>
      <w:proofErr w:type="spellEnd"/>
      <w:r w:rsidRPr="002106B0">
        <w:rPr>
          <w:lang w:val="en-US"/>
        </w:rPr>
        <w:t xml:space="preserve">, ceftriaxone, and colistin </w:t>
      </w:r>
      <w:r w:rsidR="00A855AE" w:rsidRPr="002106B0">
        <w:rPr>
          <w:lang w:val="en-US"/>
        </w:rPr>
        <w:t>(Table III). No</w:t>
      </w:r>
      <w:r w:rsidR="00CC1EBD" w:rsidRPr="002106B0">
        <w:rPr>
          <w:lang w:val="en-US"/>
        </w:rPr>
        <w:t xml:space="preserve"> intermediate susceptibility was</w:t>
      </w:r>
      <w:r w:rsidR="00A855AE" w:rsidRPr="002106B0">
        <w:rPr>
          <w:lang w:val="en-US"/>
        </w:rPr>
        <w:t xml:space="preserve"> observed</w:t>
      </w:r>
      <w:r w:rsidR="00CC1EBD" w:rsidRPr="002106B0">
        <w:rPr>
          <w:lang w:val="en-US"/>
        </w:rPr>
        <w:t>; all isolates were</w:t>
      </w:r>
      <w:r w:rsidR="00A855AE" w:rsidRPr="002106B0">
        <w:rPr>
          <w:lang w:val="en-US"/>
        </w:rPr>
        <w:t xml:space="preserve"> </w:t>
      </w:r>
      <w:r w:rsidR="00CC1EBD" w:rsidRPr="002106B0">
        <w:rPr>
          <w:lang w:val="en-US"/>
        </w:rPr>
        <w:t xml:space="preserve">classified as </w:t>
      </w:r>
      <w:r w:rsidR="00A855AE" w:rsidRPr="002106B0">
        <w:rPr>
          <w:lang w:val="en-US"/>
        </w:rPr>
        <w:t xml:space="preserve">either </w:t>
      </w:r>
      <w:r w:rsidR="00CC1EBD" w:rsidRPr="002106B0">
        <w:rPr>
          <w:lang w:val="en-US"/>
        </w:rPr>
        <w:t xml:space="preserve">fully </w:t>
      </w:r>
      <w:r w:rsidR="00A855AE" w:rsidRPr="002106B0">
        <w:rPr>
          <w:lang w:val="en-US"/>
        </w:rPr>
        <w:t xml:space="preserve">susceptible or resistant to the antibiotics </w:t>
      </w:r>
      <w:r w:rsidR="00CC1EBD" w:rsidRPr="002106B0">
        <w:rPr>
          <w:lang w:val="en-US"/>
        </w:rPr>
        <w:t>tested.</w:t>
      </w:r>
    </w:p>
    <w:p w14:paraId="0073E9C3" w14:textId="77777777" w:rsidR="00A855AE" w:rsidRPr="00533423" w:rsidRDefault="00A855AE" w:rsidP="001E25F5">
      <w:pPr>
        <w:pStyle w:val="2"/>
        <w:spacing w:line="360" w:lineRule="auto"/>
        <w:ind w:left="0" w:firstLine="0"/>
        <w:rPr>
          <w:sz w:val="8"/>
          <w:lang w:val="en-US"/>
        </w:rPr>
      </w:pPr>
    </w:p>
    <w:p w14:paraId="79DB8A32" w14:textId="77777777" w:rsidR="00A43DDA" w:rsidRPr="002106B0" w:rsidRDefault="00A855AE" w:rsidP="00A43DDA">
      <w:pPr>
        <w:pStyle w:val="Caption"/>
        <w:ind w:left="1560" w:hanging="1560"/>
        <w:rPr>
          <w:rFonts w:ascii="Times New Roman" w:hAnsi="Times New Roman"/>
          <w:iCs w:val="0"/>
          <w:color w:val="auto"/>
          <w:sz w:val="24"/>
          <w:szCs w:val="24"/>
          <w:lang w:val="en-US"/>
        </w:rPr>
      </w:pPr>
      <w:bookmarkStart w:id="19" w:name="_Toc185347150"/>
      <w:bookmarkEnd w:id="17"/>
      <w:bookmarkEnd w:id="18"/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Table 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I</w:t>
      </w:r>
      <w:r w:rsid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II</w:t>
      </w:r>
      <w:r w:rsidR="00E270B5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.</w:t>
      </w:r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Overall </w:t>
      </w:r>
      <w:r w:rsidR="00E270B5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antimicrobial </w:t>
      </w:r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resistance profi</w:t>
      </w:r>
      <w:r w:rsidR="00E270B5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le of Escherichia</w:t>
      </w:r>
      <w:r w:rsidRPr="002106B0">
        <w:rPr>
          <w:rFonts w:ascii="Times New Roman" w:hAnsi="Times New Roman"/>
          <w:iCs w:val="0"/>
          <w:color w:val="auto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b/>
          <w:iCs w:val="0"/>
          <w:color w:val="auto"/>
          <w:sz w:val="24"/>
          <w:szCs w:val="24"/>
          <w:lang w:val="en-US"/>
        </w:rPr>
        <w:t>coli O157:</w:t>
      </w:r>
      <w:r w:rsidR="00A43DDA" w:rsidRPr="002106B0">
        <w:rPr>
          <w:rFonts w:ascii="Times New Roman" w:hAnsi="Times New Roman"/>
          <w:b/>
          <w:iCs w:val="0"/>
          <w:color w:val="auto"/>
          <w:sz w:val="24"/>
          <w:szCs w:val="24"/>
          <w:lang w:val="en-US"/>
        </w:rPr>
        <w:t>H7</w:t>
      </w:r>
      <w:bookmarkEnd w:id="19"/>
      <w:r w:rsidR="00A43DDA"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 </w:t>
      </w:r>
      <w:r w:rsidRPr="002106B0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isolates</w:t>
      </w:r>
      <w:r w:rsidRPr="002106B0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979"/>
        <w:gridCol w:w="2374"/>
        <w:gridCol w:w="1559"/>
        <w:gridCol w:w="1559"/>
        <w:gridCol w:w="1476"/>
      </w:tblGrid>
      <w:tr w:rsidR="00A43DDA" w:rsidRPr="002106B0" w14:paraId="5D6670E1" w14:textId="77777777" w:rsidTr="00533423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18E62" w14:textId="77777777" w:rsidR="00A855AE" w:rsidRPr="002106B0" w:rsidRDefault="00A855AE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ntibioti</w:t>
            </w: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 class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03279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Anti</w:t>
            </w:r>
            <w:r w:rsidR="00DC56D9" w:rsidRPr="002106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biotic disk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22F4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Suscept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ible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299B2" w14:textId="77777777" w:rsidR="00A43DDA" w:rsidRPr="002106B0" w:rsidRDefault="002106B0" w:rsidP="003B577B">
            <w:pPr>
              <w:ind w:left="-11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Interme</w:t>
            </w:r>
            <w:r w:rsidR="00DC56D9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diat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1E33" w14:textId="77777777" w:rsidR="00A43DDA" w:rsidRPr="002106B0" w:rsidRDefault="00DC56D9" w:rsidP="003B577B">
            <w:pPr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Re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sistant</w:t>
            </w:r>
          </w:p>
        </w:tc>
      </w:tr>
      <w:tr w:rsidR="00A43DDA" w:rsidRPr="002106B0" w14:paraId="4207D90E" w14:textId="77777777" w:rsidTr="00533423"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054639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Be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ta</w:t>
            </w:r>
            <w:r w:rsidRPr="002106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lactam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6B63D46B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  <w:lang w:val="en-US"/>
              </w:rPr>
              <w:t>Penicillin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 10µg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FD8F34C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val="en-US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val="en-US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FA9022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val="en-US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val="en-US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57786D59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  <w:lang w:val="en-US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  <w:lang w:val="en-US"/>
              </w:rPr>
              <w:t>10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73148E49" w14:textId="77777777" w:rsidTr="00533423">
        <w:tc>
          <w:tcPr>
            <w:tcW w:w="1985" w:type="dxa"/>
            <w:gridSpan w:val="2"/>
            <w:vMerge/>
            <w:tcBorders>
              <w:top w:val="nil"/>
            </w:tcBorders>
            <w:vAlign w:val="center"/>
          </w:tcPr>
          <w:p w14:paraId="421ED33D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vAlign w:val="center"/>
          </w:tcPr>
          <w:p w14:paraId="339AAD3E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</w:rPr>
              <w:t>Amoxicillin</w:t>
            </w:r>
            <w:proofErr w:type="spellEnd"/>
            <w:r w:rsidR="00A43DDA" w:rsidRPr="002106B0">
              <w:rPr>
                <w:rFonts w:ascii="Times New Roman" w:hAnsi="Times New Roman" w:hint="eastAsia"/>
                <w:sz w:val="24"/>
                <w:szCs w:val="24"/>
              </w:rPr>
              <w:t xml:space="preserve"> 30µg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FF4F472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35299DA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</w:tcBorders>
          </w:tcPr>
          <w:p w14:paraId="12E4EAE8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6C960440" w14:textId="77777777" w:rsidTr="00533423">
        <w:tc>
          <w:tcPr>
            <w:tcW w:w="1985" w:type="dxa"/>
            <w:gridSpan w:val="2"/>
            <w:vMerge/>
            <w:tcBorders>
              <w:top w:val="nil"/>
            </w:tcBorders>
            <w:vAlign w:val="center"/>
          </w:tcPr>
          <w:p w14:paraId="76A38CB7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vAlign w:val="center"/>
          </w:tcPr>
          <w:p w14:paraId="7B5A2E9B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eastAsia="SimSun" w:hAnsi="Times New Roman" w:hint="eastAsia"/>
                <w:sz w:val="24"/>
                <w:szCs w:val="24"/>
                <w:lang w:eastAsia="zh-CN" w:bidi="ar"/>
              </w:rPr>
              <w:t>Ampicillin</w:t>
            </w:r>
            <w:proofErr w:type="spellEnd"/>
            <w:r w:rsidR="00A43DDA" w:rsidRPr="002106B0">
              <w:rPr>
                <w:rFonts w:ascii="Times New Roman" w:eastAsia="SimSun" w:hAnsi="Times New Roman" w:hint="eastAsia"/>
                <w:sz w:val="24"/>
                <w:szCs w:val="24"/>
                <w:lang w:eastAsia="zh-CN" w:bidi="ar"/>
              </w:rPr>
              <w:t xml:space="preserve"> 30µg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DBAE053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53CBF46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</w:tcBorders>
          </w:tcPr>
          <w:p w14:paraId="5682A237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5AFFCB9F" w14:textId="77777777" w:rsidTr="00533423">
        <w:tc>
          <w:tcPr>
            <w:tcW w:w="198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22DF725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14:paraId="486F35DC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 w:hint="eastAsia"/>
                <w:sz w:val="24"/>
                <w:szCs w:val="24"/>
              </w:rPr>
              <w:t>Ceftriaxone 30µg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D721694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  <w:r w:rsidRPr="002106B0" w:rsidDel="0035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CD92DEA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vAlign w:val="center"/>
          </w:tcPr>
          <w:p w14:paraId="42C3577A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789BB713" w14:textId="77777777" w:rsidTr="00533423">
        <w:trPr>
          <w:gridBefore w:val="1"/>
          <w:wBefore w:w="6" w:type="dxa"/>
        </w:trPr>
        <w:tc>
          <w:tcPr>
            <w:tcW w:w="1979" w:type="dxa"/>
            <w:tcBorders>
              <w:top w:val="nil"/>
            </w:tcBorders>
            <w:vAlign w:val="center"/>
          </w:tcPr>
          <w:p w14:paraId="2233669C" w14:textId="77777777" w:rsidR="00533423" w:rsidRPr="00533423" w:rsidRDefault="00533423" w:rsidP="00533423">
            <w:pPr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14:paraId="28F42BF7" w14:textId="77777777" w:rsidR="00A43DDA" w:rsidRPr="002106B0" w:rsidRDefault="00DC56D9" w:rsidP="005334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Aminoglycosides</w:t>
            </w:r>
          </w:p>
        </w:tc>
        <w:tc>
          <w:tcPr>
            <w:tcW w:w="2374" w:type="dxa"/>
            <w:tcBorders>
              <w:top w:val="nil"/>
            </w:tcBorders>
            <w:vAlign w:val="center"/>
          </w:tcPr>
          <w:p w14:paraId="3A476C89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106B0">
              <w:rPr>
                <w:rFonts w:ascii="Times New Roman" w:eastAsia="SimSun" w:hAnsi="Times New Roman" w:hint="eastAsia"/>
                <w:sz w:val="24"/>
                <w:szCs w:val="24"/>
                <w:lang w:eastAsia="zh-CN" w:bidi="ar"/>
              </w:rPr>
              <w:t>Streptomycin</w:t>
            </w:r>
            <w:proofErr w:type="spellEnd"/>
            <w:r w:rsidRPr="002106B0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</w:t>
            </w:r>
            <w:r w:rsidR="00A43DDA" w:rsidRPr="002106B0">
              <w:rPr>
                <w:rFonts w:ascii="Times New Roman" w:eastAsia="SimSun" w:hAnsi="Times New Roman" w:hint="eastAsia"/>
                <w:sz w:val="24"/>
                <w:szCs w:val="24"/>
                <w:lang w:eastAsia="zh-CN" w:bidi="ar"/>
              </w:rPr>
              <w:t>10µg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11B9A63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AFEA0E7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14:paraId="156FAF10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0EEF9463" w14:textId="77777777" w:rsidTr="00533423"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CB51EF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14:paraId="7B130561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</w:rPr>
              <w:t>Gentamicin</w:t>
            </w:r>
            <w:proofErr w:type="spellEnd"/>
            <w:r w:rsidR="00A43DDA" w:rsidRPr="002106B0">
              <w:rPr>
                <w:rFonts w:ascii="Times New Roman" w:hAnsi="Times New Roman" w:hint="eastAsia"/>
                <w:sz w:val="24"/>
                <w:szCs w:val="24"/>
              </w:rPr>
              <w:t xml:space="preserve"> 10µg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3C245FD" w14:textId="77777777" w:rsidR="00A43DDA" w:rsidRPr="002106B0" w:rsidRDefault="00A43DDA" w:rsidP="00533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  <w:r w:rsidRPr="002106B0" w:rsidDel="0035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F03B62D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vAlign w:val="center"/>
          </w:tcPr>
          <w:p w14:paraId="7C70D02F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1C3716E1" w14:textId="77777777" w:rsidTr="00533423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C5071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Polymyxin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s</w:t>
            </w:r>
            <w:proofErr w:type="spellEnd"/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B48E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</w:rPr>
              <w:t>Colistin</w:t>
            </w:r>
            <w:proofErr w:type="spellEnd"/>
            <w:r w:rsidR="00A43DDA" w:rsidRPr="002106B0">
              <w:rPr>
                <w:rFonts w:ascii="Times New Roman" w:hAnsi="Times New Roman" w:hint="eastAsia"/>
                <w:sz w:val="24"/>
                <w:szCs w:val="24"/>
              </w:rPr>
              <w:t xml:space="preserve"> sulfate 25µg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95339" w14:textId="77777777" w:rsidR="00A43DDA" w:rsidRPr="002106B0" w:rsidRDefault="00A43DDA" w:rsidP="00533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  <w:r w:rsidRPr="002106B0" w:rsidDel="0035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A8EEC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A5B6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31AB0C73" w14:textId="77777777" w:rsidTr="00533423">
        <w:trPr>
          <w:trHeight w:val="7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756E76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/>
                <w:b/>
                <w:bCs/>
                <w:sz w:val="24"/>
                <w:szCs w:val="24"/>
              </w:rPr>
              <w:t>Tetra</w:t>
            </w:r>
            <w:r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c</w:t>
            </w:r>
            <w:r w:rsidR="00A43DDA" w:rsidRPr="002106B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yclines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1C1B6B9A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</w:rPr>
              <w:t>Oxytetracycline</w:t>
            </w:r>
            <w:proofErr w:type="spellEnd"/>
            <w:r w:rsidRPr="002106B0">
              <w:rPr>
                <w:rFonts w:ascii="Times New Roman" w:hAnsi="Times New Roman" w:hint="eastAsia"/>
                <w:sz w:val="24"/>
                <w:szCs w:val="24"/>
              </w:rPr>
              <w:t xml:space="preserve"> 30µg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FBB867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DE2FDE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7FDF396D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A43DDA" w:rsidRPr="002106B0" w14:paraId="52FD6C92" w14:textId="77777777" w:rsidTr="00533423">
        <w:tc>
          <w:tcPr>
            <w:tcW w:w="1985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096961" w14:textId="77777777" w:rsidR="00A43DDA" w:rsidRPr="002106B0" w:rsidRDefault="00A43DDA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14:paraId="261C5A4C" w14:textId="77777777" w:rsidR="00A43DDA" w:rsidRPr="002106B0" w:rsidRDefault="00DC56D9" w:rsidP="003B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6B0">
              <w:rPr>
                <w:rFonts w:ascii="Times New Roman" w:hAnsi="Times New Roman" w:hint="eastAsia"/>
                <w:sz w:val="24"/>
                <w:szCs w:val="24"/>
              </w:rPr>
              <w:t>Te</w:t>
            </w:r>
            <w:r w:rsidR="00A43DDA" w:rsidRPr="002106B0">
              <w:rPr>
                <w:rFonts w:ascii="Times New Roman" w:hAnsi="Times New Roman" w:hint="eastAsia"/>
                <w:sz w:val="24"/>
                <w:szCs w:val="24"/>
              </w:rPr>
              <w:t>tracycline</w:t>
            </w:r>
            <w:proofErr w:type="spellEnd"/>
            <w:r w:rsidR="00A43DDA" w:rsidRPr="002106B0">
              <w:rPr>
                <w:rFonts w:ascii="Times New Roman" w:hAnsi="Times New Roman" w:hint="eastAsia"/>
                <w:sz w:val="24"/>
                <w:szCs w:val="24"/>
              </w:rPr>
              <w:t xml:space="preserve"> 30µg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8C0E7F5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B8F6D63" w14:textId="77777777" w:rsidR="00A43DDA" w:rsidRPr="002106B0" w:rsidRDefault="00A43DDA" w:rsidP="003B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0/62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vAlign w:val="center"/>
          </w:tcPr>
          <w:p w14:paraId="1864181A" w14:textId="77777777" w:rsidR="00A43DDA" w:rsidRPr="002106B0" w:rsidRDefault="00A43DDA" w:rsidP="003B577B">
            <w:pPr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B0">
              <w:rPr>
                <w:rFonts w:ascii="Times New Roman" w:hAnsi="Times New Roman"/>
                <w:sz w:val="24"/>
                <w:szCs w:val="24"/>
              </w:rPr>
              <w:t>62/62 (</w:t>
            </w:r>
            <w:r w:rsidRPr="002106B0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2106B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5F3AEFAF" w14:textId="77777777" w:rsidR="00DC56D9" w:rsidRPr="00533423" w:rsidRDefault="00DC56D9" w:rsidP="00A43DDA">
      <w:pPr>
        <w:spacing w:before="120" w:after="120" w:line="360" w:lineRule="auto"/>
        <w:jc w:val="both"/>
        <w:rPr>
          <w:rFonts w:ascii="Times New Roman" w:hAnsi="Times New Roman"/>
          <w:b/>
          <w:bCs/>
          <w:sz w:val="6"/>
          <w:szCs w:val="24"/>
          <w:lang w:eastAsia="zh-CN" w:bidi="ar"/>
        </w:rPr>
      </w:pPr>
      <w:bookmarkStart w:id="20" w:name="_Toc185415272"/>
    </w:p>
    <w:p w14:paraId="7309F3D3" w14:textId="77777777" w:rsidR="00A43DDA" w:rsidRPr="002106B0" w:rsidRDefault="00A43DDA" w:rsidP="00A43DDA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zh-CN" w:bidi="ar"/>
        </w:rPr>
      </w:pPr>
      <w:r w:rsidRPr="002106B0">
        <w:rPr>
          <w:rFonts w:ascii="Times New Roman" w:hAnsi="Times New Roman"/>
          <w:b/>
          <w:bCs/>
          <w:sz w:val="24"/>
          <w:szCs w:val="24"/>
          <w:lang w:eastAsia="zh-CN" w:bidi="ar"/>
        </w:rPr>
        <w:t>3.2 DISCUSSION</w:t>
      </w:r>
      <w:bookmarkEnd w:id="20"/>
    </w:p>
    <w:p w14:paraId="5FDBCB07" w14:textId="77777777" w:rsidR="00A43DDA" w:rsidRPr="002106B0" w:rsidRDefault="002157D6" w:rsidP="00A43DDA">
      <w:pPr>
        <w:spacing w:before="120" w:after="120" w:line="360" w:lineRule="auto"/>
        <w:jc w:val="both"/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Pre</w:t>
      </w:r>
      <w:r w:rsidR="00942260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valence and</w:t>
      </w:r>
      <w:r w:rsidR="00A43DDA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 xml:space="preserve"> </w:t>
      </w:r>
      <w:r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risk facto</w:t>
      </w:r>
      <w:r w:rsidR="00A43DDA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rs</w:t>
      </w:r>
      <w:r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 xml:space="preserve"> of infection</w:t>
      </w:r>
      <w:r w:rsidR="00A43DDA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 xml:space="preserve"> </w:t>
      </w:r>
    </w:p>
    <w:p w14:paraId="0E08C29B" w14:textId="77777777" w:rsidR="00A43DDA" w:rsidRPr="002106B0" w:rsidRDefault="002157D6" w:rsidP="00A43DDA">
      <w:pPr>
        <w:spacing w:before="120" w:after="120" w:line="360" w:lineRule="auto"/>
        <w:jc w:val="both"/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This first epidemiological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investigation</w:t>
      </w:r>
      <w:r w:rsidR="00E270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on the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carriage </w:t>
      </w:r>
      <w:r w:rsid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of </w:t>
      </w:r>
      <w:r w:rsidR="002106B0" w:rsidRPr="002106B0">
        <w:rPr>
          <w:rFonts w:ascii="Times New Roman" w:hAnsi="Times New Roman"/>
          <w:i/>
          <w:iCs/>
          <w:kern w:val="2"/>
          <w:sz w:val="24"/>
          <w:szCs w:val="24"/>
          <w:lang w:val="en-US" w:eastAsia="zh-CN" w:bidi="ar"/>
        </w:rPr>
        <w:t>Esche</w:t>
      </w:r>
      <w:r w:rsidR="00E270B5" w:rsidRPr="002106B0">
        <w:rPr>
          <w:rFonts w:ascii="Times New Roman" w:hAnsi="Times New Roman"/>
          <w:i/>
          <w:iCs/>
          <w:kern w:val="2"/>
          <w:sz w:val="24"/>
          <w:szCs w:val="24"/>
          <w:lang w:val="en-US" w:eastAsia="zh-CN" w:bidi="ar"/>
        </w:rPr>
        <w:t>richia coli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O157:H7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in pigs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reveals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that this human pathogen circulates in both modern and tradit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ional pig farms in the </w:t>
      </w:r>
      <w:proofErr w:type="spellStart"/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Korhogo</w:t>
      </w:r>
      <w:proofErr w:type="spellEnd"/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Department of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northe</w:t>
      </w:r>
      <w:r w:rsidR="006966A2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r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n </w:t>
      </w:r>
      <w:r w:rsidR="006966A2" w:rsidRPr="002106B0">
        <w:rPr>
          <w:rStyle w:val="y2iqfc"/>
          <w:rFonts w:ascii="Times New Roman" w:hAnsi="Times New Roman"/>
          <w:sz w:val="24"/>
          <w:szCs w:val="24"/>
          <w:lang w:val="en-US"/>
        </w:rPr>
        <w:t>Côte d’Ivoire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. </w:t>
      </w:r>
      <w:r w:rsidR="006966A2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Of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the 200 sampled</w:t>
      </w:r>
      <w:r w:rsidR="006966A2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tested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, 62 were positive for E. coli</w:t>
      </w:r>
      <w:r w:rsidR="006966A2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O157:H7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yielding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an overall prevalence of 31%.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Infection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in pigs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may result from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contamination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through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various sources, including </w:t>
      </w:r>
      <w:r w:rsidR="00D562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contaminated 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drinking water and/or </w:t>
      </w:r>
      <w:r w:rsidR="00D562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feed, poor hygiene</w:t>
      </w:r>
      <w:r w:rsidR="00E270B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practices</w:t>
      </w:r>
      <w:r w:rsidR="00D562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and cross-contamination from other reservoirs or animals susceptible to this bacterium. </w:t>
      </w:r>
    </w:p>
    <w:p w14:paraId="011E7FD7" w14:textId="77777777" w:rsidR="00493145" w:rsidRPr="002106B0" w:rsidRDefault="00E270B5" w:rsidP="00493145">
      <w:pPr>
        <w:spacing w:before="120" w:after="120" w:line="360" w:lineRule="auto"/>
        <w:jc w:val="both"/>
        <w:rPr>
          <w:lang w:val="en-US"/>
        </w:rPr>
      </w:pP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Our finding is 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nearly identical to the prevalence of 31.25%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reported in pigs in Indonesia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(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Goma et al.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2019). However,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it is lower than the rates of </w:t>
      </w:r>
      <w:r w:rsidRPr="002106B0">
        <w:rPr>
          <w:rFonts w:ascii="Times New Roman" w:hAnsi="Times New Roman"/>
          <w:sz w:val="24"/>
          <w:szCs w:val="24"/>
          <w:lang w:val="en-US"/>
        </w:rPr>
        <w:t>67.7%, 65.3%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and </w:t>
      </w:r>
      <w:r w:rsidRPr="002106B0">
        <w:rPr>
          <w:rFonts w:ascii="Times New Roman" w:hAnsi="Times New Roman"/>
          <w:sz w:val="24"/>
          <w:szCs w:val="24"/>
          <w:lang w:val="en-US"/>
        </w:rPr>
        <w:t>68.3</w:t>
      </w:r>
      <w:proofErr w:type="gramStart"/>
      <w:r w:rsidRPr="002106B0">
        <w:rPr>
          <w:rFonts w:ascii="Times New Roman" w:hAnsi="Times New Roman"/>
          <w:sz w:val="24"/>
          <w:szCs w:val="24"/>
          <w:lang w:val="en-US"/>
        </w:rPr>
        <w:t>%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 reported</w:t>
      </w:r>
      <w:proofErr w:type="gramEnd"/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in studies from South Africa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(</w:t>
      </w:r>
      <w:proofErr w:type="spellStart"/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Ateba</w:t>
      </w:r>
      <w:proofErr w:type="spellEnd"/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and </w:t>
      </w:r>
      <w:proofErr w:type="spellStart"/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Mbewe</w:t>
      </w:r>
      <w:proofErr w:type="spellEnd"/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2011) and the Un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i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ted States 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(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Tseng et al.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2015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; Cha et al., </w:t>
      </w:r>
      <w:r w:rsidR="00493145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2018)</w:t>
      </w:r>
      <w:r w:rsidR="002162C4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</w:t>
      </w:r>
      <w:r w:rsidR="00493145" w:rsidRPr="002106B0">
        <w:rPr>
          <w:rFonts w:ascii="Times New Roman" w:hAnsi="Times New Roman"/>
          <w:sz w:val="24"/>
          <w:szCs w:val="24"/>
          <w:lang w:val="en-US"/>
        </w:rPr>
        <w:t>respectively.</w:t>
      </w:r>
    </w:p>
    <w:p w14:paraId="0A1B122E" w14:textId="77777777" w:rsidR="00493145" w:rsidRPr="002106B0" w:rsidRDefault="00493145" w:rsidP="00A43DDA">
      <w:pPr>
        <w:spacing w:before="120" w:after="120" w:line="360" w:lineRule="auto"/>
        <w:jc w:val="both"/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Furthermore, the prevalence recorded in our study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exceeds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that reported by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several other authors, including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Schouten et al. (2005)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in the Netherlands.  These discrepancies may be attributable to differences in pig production systems and the sensitivity of the analytical methods employed. In our study area,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traditional husbandry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predominates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characterized by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seasonal free-ranging.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Under this system,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pigs frequently come into contact with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known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lastRenderedPageBreak/>
        <w:t>reservoir species for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this pathogen, such as catt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le and small domestic ruminants, and are exposed to a wide array of potential 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contamination sources (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e.g., 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water, fee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d, vegetation, human feces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). In contrast, pig farming </w:t>
      </w:r>
      <w:r w:rsidR="00AE37B9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in the </w:t>
      </w:r>
      <w:r w:rsidR="004D3F07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Netherlands is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based on intensive production </w:t>
      </w:r>
      <w:r w:rsidR="004D3F07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with permanent 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>confinement</w:t>
      </w:r>
      <w:r w:rsidR="004D3F07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, where stringent hygiene </w:t>
      </w:r>
      <w:r w:rsidR="009C4010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and biosecurity measures are implemented. </w:t>
      </w:r>
      <w:r w:rsidR="004D3F07"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This likely reduces environmental exposure and cross-species transmission, resulting in a lower observed prevalence. </w:t>
      </w:r>
      <w:r w:rsidRPr="002106B0">
        <w:rPr>
          <w:rFonts w:ascii="Times New Roman" w:hAnsi="Times New Roman"/>
          <w:iCs/>
          <w:kern w:val="2"/>
          <w:sz w:val="24"/>
          <w:szCs w:val="24"/>
          <w:lang w:val="en-US" w:eastAsia="zh-CN" w:bidi="ar"/>
        </w:rPr>
        <w:t xml:space="preserve"> </w:t>
      </w:r>
    </w:p>
    <w:p w14:paraId="4B953598" w14:textId="77777777" w:rsidR="00750025" w:rsidRPr="002106B0" w:rsidRDefault="0059611B" w:rsidP="00A43DDA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sz w:val="24"/>
          <w:szCs w:val="24"/>
          <w:lang w:val="en-US"/>
        </w:rPr>
        <w:t xml:space="preserve">Analysis of the association between the prevalence of </w:t>
      </w:r>
      <w:r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 xml:space="preserve">E. coli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O157:H7 carriage and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specific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risk factors revealed no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significant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relationship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with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the age of the animals (p &gt; 0.05).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This finding can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be explained by the fact that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 both modern and tradi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ti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onal farming systems, animals of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all age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groups are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similarly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exposed to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common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sources of contamination, such as feed and drinking water. A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comparable lack of association was observed </w:t>
      </w:r>
      <w:r w:rsidR="0075002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with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the</w:t>
      </w:r>
      <w:r w:rsidR="0075002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sex of the animals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. This</w:t>
      </w:r>
      <w:r w:rsidR="0075002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may be attributed to the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common practice in pig farming of raising males and females together, which is typical across intensive,</w:t>
      </w:r>
      <w:r w:rsidR="0075002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semi-intensive, and extensive production systems. </w:t>
      </w:r>
    </w:p>
    <w:p w14:paraId="3635E71E" w14:textId="77777777" w:rsidR="00750025" w:rsidRPr="002106B0" w:rsidRDefault="00750025" w:rsidP="00A43DDA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 contrast, our study 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identified significant associations between the prevalence of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A43DDA"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 xml:space="preserve">E. coli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O157</w:t>
      </w:r>
      <w:r w:rsidR="00A43DDA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:H7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carriage</w:t>
      </w:r>
      <w:r w:rsidR="00B977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and both production areas (sub-prefectures) and pig breeds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. Infection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rates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with this enterohemorrhagic bacterial strain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varied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significantly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(p &lt; 0.05) or even highly significantly (p &lt; 0.001)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between different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sub-prefectures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.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The highest prevalence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(50%)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was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recorded in the sub-prefecture of </w:t>
      </w:r>
      <w:proofErr w:type="spellStart"/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Niofoin</w:t>
      </w:r>
      <w:proofErr w:type="spellEnd"/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. These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geographical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differences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are likely related to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 combination of factors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,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including variations in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feeding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practices, farm density, and the degree of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contact between pigs and other animal species that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act as reservoirs for the pathogen. Notably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, a common characteristic of the 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high-prevalence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sub-prefectures w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as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frequent</w:t>
      </w:r>
      <w:r w:rsidR="002E1BD3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interspecies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contact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, particularly with cattle, 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small ruminants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,</w:t>
      </w:r>
      <w:r w:rsidR="00A83E99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and poultry. </w:t>
      </w:r>
    </w:p>
    <w:p w14:paraId="4CF0326E" w14:textId="77777777" w:rsidR="00A83E99" w:rsidRPr="002106B0" w:rsidRDefault="000C59D0" w:rsidP="00A43DDA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 the sub-prefecture of </w:t>
      </w:r>
      <w:proofErr w:type="spellStart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Korhogo</w:t>
      </w:r>
      <w:proofErr w:type="spellEnd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, the use of greasy water (restaurant food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waste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) 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as feed may be an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important contamination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factor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. This hypothesis is supported by recent studies by </w:t>
      </w:r>
      <w:proofErr w:type="spellStart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Soro</w:t>
      </w:r>
      <w:proofErr w:type="spellEnd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(2025) and </w:t>
      </w:r>
      <w:proofErr w:type="spellStart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Diarrassouba</w:t>
      </w:r>
      <w:proofErr w:type="spellEnd"/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(2025), which 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detected </w:t>
      </w:r>
      <w:r w:rsidR="000D6FB5"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>E. coli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O157:H7 in certain cooked and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locally processed foods sold 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 city streets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. Similar </w:t>
      </w:r>
      <w:r w:rsidR="000D6FB5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contamination of street food, a significant public health concern, has been documented in nearly all world regions. In West Africa, for instance, contamination of street food in Nigeria was demonstrated by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Lennox et al. (2020).</w:t>
      </w:r>
    </w:p>
    <w:p w14:paraId="35CB7935" w14:textId="77777777" w:rsidR="00E4178D" w:rsidRPr="002106B0" w:rsidRDefault="00F70D46" w:rsidP="00A43DDA">
      <w:pPr>
        <w:spacing w:before="120" w:after="120" w:line="360" w:lineRule="auto"/>
        <w:jc w:val="both"/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Antimicrobial Susceptibility P</w:t>
      </w:r>
      <w:r w:rsidR="00E4178D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rof</w:t>
      </w:r>
      <w:r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ile of the Isolates to Various A</w:t>
      </w:r>
      <w:r w:rsidR="00E4178D" w:rsidRPr="002106B0">
        <w:rPr>
          <w:rFonts w:ascii="Times New Roman" w:hAnsi="Times New Roman"/>
          <w:b/>
          <w:kern w:val="2"/>
          <w:sz w:val="24"/>
          <w:szCs w:val="24"/>
          <w:lang w:val="en-US" w:eastAsia="zh-CN" w:bidi="ar"/>
        </w:rPr>
        <w:t>ntibiotics</w:t>
      </w:r>
    </w:p>
    <w:p w14:paraId="59F5B886" w14:textId="77777777" w:rsidR="00E4178D" w:rsidRPr="002106B0" w:rsidRDefault="00F70D46" w:rsidP="00A43DD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</w:t>
      </w:r>
      <w:r w:rsidR="00E4178D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ntimicrobial susceptibility testing revealed 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the presence of multidrug-resistant </w:t>
      </w:r>
      <w:r w:rsidR="0094358F"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 xml:space="preserve">E. coli 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O157:H7 isolates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with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the study area, encompassing 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both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modern and traditional pig farming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lastRenderedPageBreak/>
        <w:t xml:space="preserve">systems. 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The tested isolates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exhibited complete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susceptib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l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ity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(100%) to only three of the nine antibiotics evaluated, namely gentami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cin, ceftriaxone, and colistin. This finding is consistent with a report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by Hassan (2014) on</w:t>
      </w:r>
      <w:r w:rsidR="0094358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94358F" w:rsidRPr="002106B0">
        <w:rPr>
          <w:rFonts w:ascii="Times New Roman" w:hAnsi="Times New Roman"/>
          <w:i/>
          <w:sz w:val="24"/>
          <w:szCs w:val="24"/>
          <w:lang w:val="en-US" w:eastAsia="fr-FR"/>
        </w:rPr>
        <w:t xml:space="preserve">E. coli 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>O157:H7 strains isolated from laying hens in Bangladesh, where all isolates were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also fully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 xml:space="preserve"> susceptible to gentamicin. The high susceptibility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observed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 xml:space="preserve"> to gentamicin, ceftriaxone, and colistin may be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attributed to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 xml:space="preserve"> the inf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requent use of these antimicrobials</w:t>
      </w:r>
      <w:r w:rsidR="001630CF" w:rsidRPr="002106B0">
        <w:rPr>
          <w:rFonts w:ascii="Times New Roman" w:hAnsi="Times New Roman"/>
          <w:sz w:val="24"/>
          <w:szCs w:val="24"/>
          <w:lang w:val="en-US" w:eastAsia="fr-FR"/>
        </w:rPr>
        <w:t xml:space="preserve"> in pig production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1630CF" w:rsidRPr="002106B0">
        <w:rPr>
          <w:rFonts w:ascii="Times New Roman" w:hAnsi="Times New Roman"/>
          <w:sz w:val="24"/>
          <w:szCs w:val="24"/>
          <w:lang w:val="en-US" w:eastAsia="fr-FR"/>
        </w:rPr>
        <w:t>systems within the region</w:t>
      </w:r>
      <w:r w:rsidR="0094358F" w:rsidRPr="002106B0">
        <w:rPr>
          <w:rFonts w:ascii="Times New Roman" w:hAnsi="Times New Roman"/>
          <w:sz w:val="24"/>
          <w:szCs w:val="24"/>
          <w:lang w:val="en-US" w:eastAsia="fr-FR"/>
        </w:rPr>
        <w:t xml:space="preserve">. </w:t>
      </w:r>
    </w:p>
    <w:p w14:paraId="42B4D774" w14:textId="77777777" w:rsidR="0094358F" w:rsidRPr="002106B0" w:rsidRDefault="001630CF" w:rsidP="00A43DDA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sz w:val="24"/>
          <w:szCs w:val="24"/>
          <w:lang w:val="en-US" w:eastAsia="fr-FR"/>
        </w:rPr>
        <w:t>Conversely, a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ll isolates (100%) were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uniformly 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resistant to antibiotics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from 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the penicillin group (penicillin, amoxicillin, and ampicillin), tetracyclines (tetracycline and oxytetracycline), and streptomycin. Our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results align with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>those of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 Ngo et al. (2024) in Vietnam, who 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reported 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>high resistance rates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among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A9215C" w:rsidRPr="002106B0">
        <w:rPr>
          <w:rFonts w:ascii="Times New Roman" w:hAnsi="Times New Roman"/>
          <w:i/>
          <w:sz w:val="24"/>
          <w:szCs w:val="24"/>
          <w:lang w:val="en-US" w:eastAsia="fr-FR"/>
        </w:rPr>
        <w:t>E. coli</w:t>
      </w:r>
      <w:r w:rsidR="00A9215C"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="00A9215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O157:H7 isolates from pig farms to amoxicillin (83.54%), ampicillin (78.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48%), and streptomycin (63.29%), albeit at lower prevalence rates than those documented in the present study. Furthermore, our observation of universal </w:t>
      </w:r>
      <w:r w:rsidR="00A9215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ampicillin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resistance in </w:t>
      </w:r>
      <w:r w:rsidRPr="002106B0">
        <w:rPr>
          <w:rFonts w:ascii="Times New Roman" w:hAnsi="Times New Roman"/>
          <w:i/>
          <w:sz w:val="24"/>
          <w:szCs w:val="24"/>
          <w:lang w:val="en-US" w:eastAsia="fr-FR"/>
        </w:rPr>
        <w:t>E. coli</w:t>
      </w:r>
      <w:r w:rsidRPr="002106B0"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O157:H7 isolates is supported by the work of</w:t>
      </w:r>
      <w:r w:rsidR="00A9215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Felicia and Ngozi (2022) in Nigeria, who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similarly found 100% of</w:t>
      </w:r>
      <w:r w:rsidR="00A9215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tested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isolates to be</w:t>
      </w:r>
      <w:r w:rsidR="00A9215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resistant to ampicillin. </w:t>
      </w:r>
    </w:p>
    <w:p w14:paraId="2EBA50C3" w14:textId="77777777" w:rsidR="00A43DDA" w:rsidRPr="002106B0" w:rsidRDefault="00281CCA" w:rsidP="00356D3F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The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high resistance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rates observed in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356D3F"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>E. coli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O157:H7 isolates to penicillin, streptomycin, and oxytetracycline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are likely attributable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to the widespread and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often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uncontrolled use of these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antimicrobials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 pig farming. This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is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compounded by frequent misuse,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particu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larly through </w:t>
      </w:r>
      <w:proofErr w:type="spellStart"/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underdosing</w:t>
      </w:r>
      <w:proofErr w:type="spellEnd"/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and abbreviated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treatment durations. Such practices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pose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significant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public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threat by promoting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the selection and dissemination of multidrug-resistant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strains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.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Furthermore, the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resistanc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e to tetracycline,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amoxicillin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,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and ampicillin, may </w:t>
      </w:r>
      <w:r w:rsidR="00EB670C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be explained by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cross-resistance mechanisms.</w:t>
      </w:r>
    </w:p>
    <w:p w14:paraId="3CB91797" w14:textId="77777777" w:rsidR="00356D3F" w:rsidRPr="002106B0" w:rsidRDefault="00552477" w:rsidP="00552477">
      <w:pPr>
        <w:spacing w:line="360" w:lineRule="auto"/>
        <w:rPr>
          <w:rStyle w:val="y2iqfc"/>
          <w:rFonts w:ascii="Times New Roman" w:hAnsi="Times New Roman"/>
          <w:b/>
          <w:sz w:val="28"/>
          <w:szCs w:val="24"/>
          <w:lang w:val="en-US"/>
        </w:rPr>
      </w:pPr>
      <w:r w:rsidRPr="002106B0">
        <w:rPr>
          <w:rFonts w:ascii="Times New Roman" w:hAnsi="Times New Roman"/>
          <w:b/>
          <w:sz w:val="28"/>
          <w:szCs w:val="24"/>
          <w:lang w:val="en-US"/>
        </w:rPr>
        <w:t>Conclusion</w:t>
      </w:r>
    </w:p>
    <w:p w14:paraId="23CAD206" w14:textId="77777777" w:rsidR="00552477" w:rsidRPr="002106B0" w:rsidRDefault="00EB670C" w:rsidP="00A43DDA">
      <w:pPr>
        <w:spacing w:before="120" w:after="120" w:line="360" w:lineRule="auto"/>
        <w:jc w:val="both"/>
        <w:rPr>
          <w:rStyle w:val="y2iqfc"/>
          <w:rFonts w:ascii="Times New Roman" w:hAnsi="Times New Roman"/>
          <w:sz w:val="24"/>
          <w:szCs w:val="24"/>
          <w:lang w:val="en-US"/>
        </w:rPr>
      </w:pP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>This</w:t>
      </w:r>
      <w:r w:rsidR="00356D3F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preliminary study on </w:t>
      </w: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the </w:t>
      </w:r>
      <w:r w:rsidR="00356D3F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rectal carriage and antimicrobial resistance profile of </w:t>
      </w:r>
      <w:r w:rsidR="00356D3F" w:rsidRPr="002106B0">
        <w:rPr>
          <w:rStyle w:val="y2iqfc"/>
          <w:rFonts w:ascii="Times New Roman" w:hAnsi="Times New Roman"/>
          <w:i/>
          <w:sz w:val="24"/>
          <w:szCs w:val="24"/>
          <w:lang w:val="en-US"/>
        </w:rPr>
        <w:t>E</w:t>
      </w:r>
      <w:r w:rsidRPr="002106B0">
        <w:rPr>
          <w:rStyle w:val="y2iqfc"/>
          <w:rFonts w:ascii="Times New Roman" w:hAnsi="Times New Roman"/>
          <w:i/>
          <w:sz w:val="24"/>
          <w:szCs w:val="24"/>
          <w:lang w:val="en-US"/>
        </w:rPr>
        <w:t>scherichia</w:t>
      </w:r>
      <w:r w:rsidR="00356D3F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</w:t>
      </w:r>
      <w:r w:rsidR="00356D3F" w:rsidRPr="002106B0">
        <w:rPr>
          <w:rStyle w:val="y2iqfc"/>
          <w:rFonts w:ascii="Times New Roman" w:hAnsi="Times New Roman"/>
          <w:i/>
          <w:sz w:val="24"/>
          <w:szCs w:val="24"/>
          <w:lang w:val="en-US"/>
        </w:rPr>
        <w:t>coli</w:t>
      </w:r>
      <w:r w:rsidR="00356D3F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</w:t>
      </w:r>
      <w:r w:rsidR="00356D3F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O157:H7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in pigs confirms the presence of</w:t>
      </w:r>
      <w:r w:rsidR="00552477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this pathogen in all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investigated sub-prefectures. The </w:t>
      </w:r>
      <w:r w:rsidR="00552477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overall prevalence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varied</w:t>
      </w:r>
      <w:r w:rsidR="00552477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significantly </w:t>
      </w:r>
      <w:r w:rsidR="00A43DDA" w:rsidRPr="002106B0">
        <w:rPr>
          <w:rStyle w:val="y2iqfc"/>
          <w:rFonts w:ascii="Times New Roman" w:hAnsi="Times New Roman"/>
          <w:sz w:val="24"/>
          <w:szCs w:val="24"/>
          <w:lang w:val="en-US"/>
        </w:rPr>
        <w:t>(p</w:t>
      </w:r>
      <w:r w:rsidR="00552477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</w:t>
      </w:r>
      <w:r w:rsidR="00A43DDA" w:rsidRPr="002106B0">
        <w:rPr>
          <w:rStyle w:val="y2iqfc"/>
          <w:rFonts w:ascii="Times New Roman" w:hAnsi="Times New Roman"/>
          <w:sz w:val="24"/>
          <w:szCs w:val="24"/>
          <w:lang w:val="en-US"/>
        </w:rPr>
        <w:t>&lt;</w:t>
      </w:r>
      <w:r w:rsidR="00552477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0.</w:t>
      </w:r>
      <w:r w:rsidR="00A43DDA" w:rsidRPr="002106B0">
        <w:rPr>
          <w:rStyle w:val="y2iqfc"/>
          <w:rFonts w:ascii="Times New Roman" w:hAnsi="Times New Roman"/>
          <w:sz w:val="24"/>
          <w:szCs w:val="24"/>
          <w:lang w:val="en-US"/>
        </w:rPr>
        <w:t>001),</w:t>
      </w:r>
      <w:r w:rsidR="00552477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 ranging from 6% to 50%. </w:t>
      </w: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However, </w:t>
      </w:r>
      <w:r w:rsidR="00552477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prevalence </w:t>
      </w:r>
      <w:r w:rsidR="00552477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was not influenced by the sex or age of the animals. </w:t>
      </w:r>
    </w:p>
    <w:p w14:paraId="36E805AC" w14:textId="77777777" w:rsidR="00552477" w:rsidRPr="002106B0" w:rsidRDefault="00787D36" w:rsidP="00A43DDA">
      <w:pPr>
        <w:spacing w:before="120" w:after="120" w:line="36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 w:bidi="ar"/>
        </w:rPr>
      </w:pP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>R</w:t>
      </w:r>
      <w:r w:rsidR="00CD35FB" w:rsidRPr="002106B0">
        <w:rPr>
          <w:rStyle w:val="y2iqfc"/>
          <w:rFonts w:ascii="Times New Roman" w:hAnsi="Times New Roman"/>
          <w:sz w:val="24"/>
          <w:szCs w:val="24"/>
          <w:lang w:val="en-US"/>
        </w:rPr>
        <w:t>egard</w:t>
      </w: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ing </w:t>
      </w:r>
      <w:r w:rsidR="00CD35FB" w:rsidRPr="002106B0">
        <w:rPr>
          <w:rStyle w:val="y2iqfc"/>
          <w:rFonts w:ascii="Times New Roman" w:hAnsi="Times New Roman"/>
          <w:sz w:val="24"/>
          <w:szCs w:val="24"/>
          <w:lang w:val="en-US"/>
        </w:rPr>
        <w:t>antimicrobial resistance</w:t>
      </w:r>
      <w:r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, the 62 </w:t>
      </w:r>
      <w:r w:rsidR="00CD35FB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isolates tested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remained 100% susceptible only to g</w:t>
      </w:r>
      <w:r w:rsidR="00CD35FB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entam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icin, ceftriaxone, and colistin. All </w:t>
      </w:r>
      <w:r w:rsidR="00CD35FB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isolates exhibited resistance to the six other antimicrobials evaluated, 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including </w:t>
      </w:r>
      <w:r w:rsidR="00CD35FB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those commonly used in pig farms within the study area.</w:t>
      </w:r>
    </w:p>
    <w:p w14:paraId="7E2E7AFC" w14:textId="77777777" w:rsidR="00CD35FB" w:rsidRPr="002106B0" w:rsidRDefault="00CD35FB" w:rsidP="00A43DDA">
      <w:pPr>
        <w:spacing w:before="120" w:after="120" w:line="360" w:lineRule="auto"/>
        <w:jc w:val="both"/>
        <w:rPr>
          <w:rStyle w:val="y2iqfc"/>
          <w:rFonts w:ascii="Times New Roman" w:hAnsi="Times New Roman"/>
          <w:sz w:val="24"/>
          <w:szCs w:val="24"/>
          <w:lang w:val="en-US"/>
        </w:rPr>
      </w:pP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The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study highlights widespread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antimicrobial</w:t>
      </w:r>
      <w:r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resistance across all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sub-prefectures.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R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esistance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was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observed in both modern and traditional farming systems, including settings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with reportedly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limited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veterinary drug use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>.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T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he occurrence of resistance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even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in the apparent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lastRenderedPageBreak/>
        <w:t xml:space="preserve">absence of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direct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antibiotic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pressure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underscores the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urgent need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for further in-depth studies on the ecology </w:t>
      </w:r>
      <w:r w:rsidR="00787D36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and transmission dynamics 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of </w:t>
      </w:r>
      <w:r w:rsidR="006966A2" w:rsidRPr="002106B0">
        <w:rPr>
          <w:rFonts w:ascii="Times New Roman" w:hAnsi="Times New Roman"/>
          <w:i/>
          <w:kern w:val="2"/>
          <w:sz w:val="24"/>
          <w:szCs w:val="24"/>
          <w:lang w:val="en-US" w:eastAsia="zh-CN" w:bidi="ar"/>
        </w:rPr>
        <w:t>E. coli</w:t>
      </w:r>
      <w:r w:rsidR="006966A2" w:rsidRPr="002106B0">
        <w:rPr>
          <w:rFonts w:ascii="Times New Roman" w:hAnsi="Times New Roman"/>
          <w:kern w:val="2"/>
          <w:sz w:val="24"/>
          <w:szCs w:val="24"/>
          <w:lang w:val="en-US" w:eastAsia="zh-CN" w:bidi="ar"/>
        </w:rPr>
        <w:t xml:space="preserve"> O157:H7 in northern </w:t>
      </w:r>
      <w:r w:rsidR="006966A2" w:rsidRPr="002106B0">
        <w:rPr>
          <w:rStyle w:val="y2iqfc"/>
          <w:rFonts w:ascii="Times New Roman" w:hAnsi="Times New Roman"/>
          <w:sz w:val="24"/>
          <w:szCs w:val="24"/>
          <w:lang w:val="en-US"/>
        </w:rPr>
        <w:t xml:space="preserve">Côte d’Ivoire. </w:t>
      </w:r>
    </w:p>
    <w:p w14:paraId="58311E24" w14:textId="77777777" w:rsidR="00A43DDA" w:rsidRPr="00CD4A94" w:rsidRDefault="00A43DDA" w:rsidP="00A43DDA">
      <w:pPr>
        <w:pStyle w:val="Caption"/>
        <w:jc w:val="center"/>
        <w:rPr>
          <w:color w:val="auto"/>
          <w:sz w:val="2"/>
          <w:lang w:val="en-IN"/>
        </w:rPr>
      </w:pPr>
    </w:p>
    <w:p w14:paraId="6F5E2A02" w14:textId="77777777" w:rsidR="002106B0" w:rsidRPr="00CD4A94" w:rsidDel="002270A5" w:rsidRDefault="002106B0" w:rsidP="002106B0">
      <w:pPr>
        <w:rPr>
          <w:rFonts w:ascii="Times New Roman" w:hAnsi="Times New Roman"/>
          <w:b/>
          <w:sz w:val="28"/>
          <w:lang w:val="pt-BR"/>
        </w:rPr>
      </w:pPr>
      <w:r w:rsidRPr="00CD4A94">
        <w:rPr>
          <w:rFonts w:ascii="Times New Roman" w:hAnsi="Times New Roman"/>
          <w:b/>
          <w:sz w:val="28"/>
          <w:lang w:val="pt-BR"/>
        </w:rPr>
        <w:t>References</w:t>
      </w:r>
    </w:p>
    <w:p w14:paraId="1CC44923" w14:textId="54DFC01D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lang w:val="en-IN"/>
        </w:rPr>
      </w:pPr>
      <w:r w:rsidRPr="00CD4A94">
        <w:rPr>
          <w:lang w:val="pt-BR"/>
        </w:rPr>
        <w:t xml:space="preserve">Ateba, C. N., &amp; Mbewe, M. (2011). </w:t>
      </w:r>
      <w:r w:rsidRPr="00CD4A94">
        <w:rPr>
          <w:lang w:val="en-IN"/>
        </w:rPr>
        <w:t xml:space="preserve">Detection of Escherichia coli O157:H7 virulence genes in isolates from beef, pork, water, human and animal species in the northwest province, South Africa: Public health implications. Research in Microbiology, 162(3), 240-248. </w:t>
      </w:r>
      <w:hyperlink r:id="rId9" w:history="1">
        <w:r w:rsidRPr="00361422">
          <w:rPr>
            <w:rStyle w:val="Hyperlink"/>
            <w:lang w:val="en-IN"/>
          </w:rPr>
          <w:t>https://doi.org/10.1016/j.resmic.2010.11.008</w:t>
        </w:r>
      </w:hyperlink>
    </w:p>
    <w:p w14:paraId="350A291A" w14:textId="0301E03A" w:rsidR="00A43DDA" w:rsidRP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pt-BR"/>
        </w:rPr>
      </w:pPr>
      <w:r w:rsidRPr="00CD4A94">
        <w:rPr>
          <w:rFonts w:ascii="Times New Roman" w:hAnsi="Times New Roman"/>
          <w:sz w:val="24"/>
          <w:szCs w:val="24"/>
          <w:lang w:val="en-US"/>
        </w:rPr>
        <w:t xml:space="preserve">Cha, W.,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Fratamico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, P.M., Ruth, L.E., Bowman, A.S.,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Nolting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, J.M., Manning, S.D., &amp; Funk, J.A. (2018). Prevalence and characteristics of Shiga toxin-producing Escherichia coli in finishing pigs: Implications on public health. International Journal of Food Microbiology, 264, 8–15. </w:t>
      </w:r>
      <w:hyperlink r:id="rId10" w:history="1">
        <w:r w:rsidRPr="00CD4A94">
          <w:rPr>
            <w:rStyle w:val="Hyperlink"/>
            <w:rFonts w:ascii="Times New Roman" w:hAnsi="Times New Roman"/>
            <w:sz w:val="24"/>
            <w:szCs w:val="24"/>
            <w:lang w:val="pt-BR"/>
          </w:rPr>
          <w:t>https://doi.org/10.1016/j.ijfoodmicro.2017.10.017</w:t>
        </w:r>
      </w:hyperlink>
      <w:r w:rsidRPr="00CD4A94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43DDA" w:rsidRPr="00CD4A94">
        <w:rPr>
          <w:rFonts w:ascii="Times New Roman" w:hAnsi="Times New Roman"/>
          <w:sz w:val="24"/>
          <w:szCs w:val="24"/>
          <w:lang w:val="pt-BR"/>
        </w:rPr>
        <w:t>;</w:t>
      </w:r>
    </w:p>
    <w:p w14:paraId="212A858B" w14:textId="338A0E92" w:rsidR="00CD4A94" w:rsidRPr="00CD4A94" w:rsidRDefault="00CD4A94" w:rsidP="00CD4A94">
      <w:pPr>
        <w:tabs>
          <w:tab w:val="left" w:pos="6431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en-IN"/>
        </w:rPr>
      </w:pPr>
      <w:r w:rsidRPr="00CD4A94">
        <w:rPr>
          <w:rFonts w:ascii="Times New Roman" w:hAnsi="Times New Roman"/>
          <w:sz w:val="24"/>
          <w:szCs w:val="24"/>
          <w:lang w:val="pt-BR"/>
        </w:rPr>
        <w:t xml:space="preserve">Dadié, A., Karou, T., Adom, N., Kétté, A., &amp; Dosso, M. (2000). </w:t>
      </w:r>
      <w:r w:rsidRPr="00CD4A94">
        <w:rPr>
          <w:rFonts w:ascii="Times New Roman" w:hAnsi="Times New Roman"/>
          <w:sz w:val="24"/>
          <w:szCs w:val="24"/>
        </w:rPr>
        <w:t xml:space="preserve">Isolement d’agents pathogènes entériques en Côte d’Ivoire : Escherichia coli O157 : H7 et E. coli </w:t>
      </w:r>
      <w:proofErr w:type="spellStart"/>
      <w:r w:rsidRPr="00CD4A94">
        <w:rPr>
          <w:rFonts w:ascii="Times New Roman" w:hAnsi="Times New Roman"/>
          <w:sz w:val="24"/>
          <w:szCs w:val="24"/>
        </w:rPr>
        <w:t>entéroagrégative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. Bulletin de la Société de pathologie exotique, 93(2), 95-6. </w:t>
      </w:r>
      <w:hyperlink r:id="rId11" w:history="1">
        <w:r w:rsidRPr="00CD4A94">
          <w:rPr>
            <w:rStyle w:val="Hyperlink"/>
            <w:rFonts w:ascii="Times New Roman" w:hAnsi="Times New Roman"/>
            <w:sz w:val="24"/>
            <w:szCs w:val="24"/>
            <w:lang w:val="en-IN"/>
          </w:rPr>
          <w:t>https://pubmed.ncbi.nlm.nih.gov/10863609/</w:t>
        </w:r>
      </w:hyperlink>
    </w:p>
    <w:p w14:paraId="51AA25AD" w14:textId="39FCCECD" w:rsidR="00CD4A94" w:rsidRDefault="00CD4A94" w:rsidP="00CD4A94">
      <w:pPr>
        <w:tabs>
          <w:tab w:val="left" w:pos="6431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pt-BR"/>
        </w:rPr>
      </w:pPr>
      <w:r w:rsidRPr="00CD4A94">
        <w:rPr>
          <w:rFonts w:ascii="Times New Roman" w:hAnsi="Times New Roman"/>
          <w:sz w:val="24"/>
          <w:szCs w:val="24"/>
          <w:lang w:val="pt-BR"/>
        </w:rPr>
        <w:t xml:space="preserve">Goma, M. K. E., Indraswari, A., Haryanto, A., &amp; Widiasih, D. A. (2019). </w:t>
      </w:r>
      <w:r w:rsidRPr="00CD4A94">
        <w:rPr>
          <w:rFonts w:ascii="Times New Roman" w:hAnsi="Times New Roman"/>
          <w:sz w:val="24"/>
          <w:szCs w:val="24"/>
          <w:lang w:val="en-IN"/>
        </w:rPr>
        <w:t xml:space="preserve">Detection of Escherichia coli O157:H7 and Shiga toxin 2a gene in pork, pig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feces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and clean water at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Jagalan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 slaughterhouse in Surakarta, Central Java Province, Indonesia. </w:t>
      </w:r>
      <w:r w:rsidRPr="00CD4A94">
        <w:rPr>
          <w:rFonts w:ascii="Times New Roman" w:hAnsi="Times New Roman"/>
          <w:sz w:val="24"/>
          <w:szCs w:val="24"/>
          <w:lang w:val="pt-BR"/>
        </w:rPr>
        <w:t xml:space="preserve">Veterinary World, 12(10), 1584-1590. </w:t>
      </w:r>
      <w:r>
        <w:rPr>
          <w:rFonts w:ascii="Times New Roman" w:hAnsi="Times New Roman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z w:val="24"/>
          <w:szCs w:val="24"/>
          <w:lang w:val="pt-BR"/>
        </w:rPr>
        <w:instrText xml:space="preserve"> HYPERLINK "</w:instrText>
      </w:r>
      <w:r w:rsidRPr="00CD4A94">
        <w:rPr>
          <w:rFonts w:ascii="Times New Roman" w:hAnsi="Times New Roman"/>
          <w:sz w:val="24"/>
          <w:szCs w:val="24"/>
          <w:lang w:val="pt-BR"/>
        </w:rPr>
        <w:instrText>https://doi.org/10.14202/vetworld.2019.1584-1590</w:instrText>
      </w:r>
      <w:r>
        <w:rPr>
          <w:rFonts w:ascii="Times New Roman" w:hAnsi="Times New Roman"/>
          <w:sz w:val="24"/>
          <w:szCs w:val="24"/>
          <w:lang w:val="pt-BR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pt-BR"/>
        </w:rPr>
        <w:fldChar w:fldCharType="separate"/>
      </w:r>
      <w:r w:rsidRPr="00361422">
        <w:rPr>
          <w:rStyle w:val="Hyperlink"/>
          <w:rFonts w:ascii="Times New Roman" w:hAnsi="Times New Roman"/>
          <w:sz w:val="24"/>
          <w:szCs w:val="24"/>
          <w:lang w:val="pt-BR"/>
        </w:rPr>
        <w:t>https://doi.org/10.14202/vetworld.2019.1584-1590</w:t>
      </w:r>
      <w:r>
        <w:rPr>
          <w:rFonts w:ascii="Times New Roman" w:hAnsi="Times New Roman"/>
          <w:sz w:val="24"/>
          <w:szCs w:val="24"/>
          <w:lang w:val="pt-BR"/>
        </w:rPr>
        <w:fldChar w:fldCharType="end"/>
      </w:r>
    </w:p>
    <w:p w14:paraId="03327B81" w14:textId="08A0ED0E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CD4A94">
        <w:rPr>
          <w:rFonts w:ascii="Times New Roman" w:hAnsi="Times New Roman"/>
          <w:sz w:val="24"/>
          <w:szCs w:val="24"/>
          <w:lang w:val="pt-BR"/>
        </w:rPr>
        <w:t xml:space="preserve">Hassan, M. M., Amin, K. B., Ahaduzzaman, M., &amp; Alam, M. (2014). </w:t>
      </w:r>
      <w:r w:rsidRPr="00CD4A94">
        <w:rPr>
          <w:rFonts w:ascii="Times New Roman" w:hAnsi="Times New Roman"/>
          <w:sz w:val="24"/>
          <w:szCs w:val="24"/>
          <w:lang w:val="en-US"/>
        </w:rPr>
        <w:t xml:space="preserve">Antimicrobial resistance pattern against E. coli and Salmonella in layer poultry. Research Journal for Veterinary Practitioners, 2(2), 30–35. </w:t>
      </w:r>
      <w:hyperlink r:id="rId12" w:history="1">
        <w:r w:rsidRPr="0036142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https://doi.org/10.14737/journal.rjvp/2014/2.2.30.35</w:t>
        </w:r>
      </w:hyperlink>
    </w:p>
    <w:p w14:paraId="23842E45" w14:textId="76C1C86A" w:rsidR="00A43DDA" w:rsidRPr="00CD4A94" w:rsidRDefault="00A43DDA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CD4A94">
        <w:rPr>
          <w:rFonts w:ascii="Times New Roman" w:hAnsi="Times New Roman"/>
          <w:sz w:val="24"/>
          <w:szCs w:val="24"/>
          <w:lang w:val="en-IN"/>
        </w:rPr>
        <w:t xml:space="preserve">INS. 2022. </w:t>
      </w:r>
      <w:r w:rsidRPr="00CD4A94">
        <w:rPr>
          <w:rFonts w:ascii="Times New Roman" w:hAnsi="Times New Roman"/>
          <w:sz w:val="24"/>
          <w:szCs w:val="24"/>
        </w:rPr>
        <w:t>Recensement général de la population et de l’habitat 2021. Rapports globaux définitifs, Abidjan, Ministère du Plan et du Développement de Côte d’Ivoire 68 p</w:t>
      </w:r>
    </w:p>
    <w:p w14:paraId="01F5702F" w14:textId="6C4FEBD8" w:rsidR="00CD4A94" w:rsidRDefault="00CD4A94" w:rsidP="00CD4A94">
      <w:pPr>
        <w:tabs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D4A94">
        <w:rPr>
          <w:rFonts w:ascii="Times New Roman" w:hAnsi="Times New Roman"/>
          <w:bCs/>
          <w:sz w:val="24"/>
          <w:szCs w:val="24"/>
        </w:rPr>
        <w:t>Jehl</w:t>
      </w:r>
      <w:proofErr w:type="spellEnd"/>
      <w:r w:rsidRPr="00CD4A94">
        <w:rPr>
          <w:rFonts w:ascii="Times New Roman" w:hAnsi="Times New Roman"/>
          <w:bCs/>
          <w:sz w:val="24"/>
          <w:szCs w:val="24"/>
        </w:rPr>
        <w:t xml:space="preserve">, F., Chabaud, A., &amp; Grillon, A. (2015). L’antibiogramme : diamètres ou </w:t>
      </w:r>
      <w:proofErr w:type="gramStart"/>
      <w:r w:rsidRPr="00CD4A94">
        <w:rPr>
          <w:rFonts w:ascii="Times New Roman" w:hAnsi="Times New Roman"/>
          <w:bCs/>
          <w:sz w:val="24"/>
          <w:szCs w:val="24"/>
        </w:rPr>
        <w:t>CMI ?.</w:t>
      </w:r>
      <w:proofErr w:type="gramEnd"/>
      <w:r w:rsidRPr="00CD4A94">
        <w:rPr>
          <w:rFonts w:ascii="Times New Roman" w:hAnsi="Times New Roman"/>
          <w:bCs/>
          <w:sz w:val="24"/>
          <w:szCs w:val="24"/>
        </w:rPr>
        <w:t xml:space="preserve"> Journal des Anti-infectieux, 17(4), 125-139. </w:t>
      </w:r>
      <w:hyperlink r:id="rId13" w:history="1">
        <w:r w:rsidRPr="00361422">
          <w:rPr>
            <w:rStyle w:val="Hyperlink"/>
            <w:rFonts w:ascii="Times New Roman" w:hAnsi="Times New Roman"/>
            <w:bCs/>
            <w:sz w:val="24"/>
            <w:szCs w:val="24"/>
          </w:rPr>
          <w:t>https://doi.org/10.1016/j.antinf.2015.08.003</w:t>
        </w:r>
      </w:hyperlink>
    </w:p>
    <w:p w14:paraId="33F0CF2B" w14:textId="4339F16E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bCs/>
          <w:sz w:val="24"/>
          <w:szCs w:val="24"/>
          <w:lang w:val="en-IN"/>
        </w:rPr>
      </w:pPr>
      <w:proofErr w:type="spellStart"/>
      <w:r w:rsidRPr="00CD4A94">
        <w:rPr>
          <w:rFonts w:ascii="Times New Roman" w:hAnsi="Times New Roman"/>
          <w:bCs/>
          <w:sz w:val="24"/>
          <w:szCs w:val="24"/>
        </w:rPr>
        <w:t>Karmali</w:t>
      </w:r>
      <w:proofErr w:type="spellEnd"/>
      <w:r w:rsidRPr="00CD4A94">
        <w:rPr>
          <w:rFonts w:ascii="Times New Roman" w:hAnsi="Times New Roman"/>
          <w:bCs/>
          <w:sz w:val="24"/>
          <w:szCs w:val="24"/>
        </w:rPr>
        <w:t xml:space="preserve">, M. A., </w:t>
      </w:r>
      <w:proofErr w:type="spellStart"/>
      <w:r w:rsidRPr="00CD4A94">
        <w:rPr>
          <w:rFonts w:ascii="Times New Roman" w:hAnsi="Times New Roman"/>
          <w:bCs/>
          <w:sz w:val="24"/>
          <w:szCs w:val="24"/>
        </w:rPr>
        <w:t>Gannon</w:t>
      </w:r>
      <w:proofErr w:type="spellEnd"/>
      <w:r w:rsidRPr="00CD4A94">
        <w:rPr>
          <w:rFonts w:ascii="Times New Roman" w:hAnsi="Times New Roman"/>
          <w:bCs/>
          <w:sz w:val="24"/>
          <w:szCs w:val="24"/>
        </w:rPr>
        <w:t xml:space="preserve">, V., &amp; </w:t>
      </w:r>
      <w:proofErr w:type="spellStart"/>
      <w:r w:rsidRPr="00CD4A94">
        <w:rPr>
          <w:rFonts w:ascii="Times New Roman" w:hAnsi="Times New Roman"/>
          <w:bCs/>
          <w:sz w:val="24"/>
          <w:szCs w:val="24"/>
        </w:rPr>
        <w:t>Sargeant</w:t>
      </w:r>
      <w:proofErr w:type="spellEnd"/>
      <w:r w:rsidRPr="00CD4A94">
        <w:rPr>
          <w:rFonts w:ascii="Times New Roman" w:hAnsi="Times New Roman"/>
          <w:bCs/>
          <w:sz w:val="24"/>
          <w:szCs w:val="24"/>
        </w:rPr>
        <w:t xml:space="preserve">, J. M. (2010). </w:t>
      </w:r>
      <w:r w:rsidRPr="00CD4A94">
        <w:rPr>
          <w:rFonts w:ascii="Times New Roman" w:hAnsi="Times New Roman"/>
          <w:bCs/>
          <w:sz w:val="24"/>
          <w:szCs w:val="24"/>
          <w:lang w:val="en-IN"/>
        </w:rPr>
        <w:t xml:space="preserve">Verocytotoxin-producing Escherichia coli (VTEC). Veterinary Microbiology, 140, 360-370. </w:t>
      </w:r>
      <w:hyperlink r:id="rId14" w:history="1">
        <w:r w:rsidRPr="00361422">
          <w:rPr>
            <w:rStyle w:val="Hyperlink"/>
            <w:rFonts w:ascii="Times New Roman" w:hAnsi="Times New Roman"/>
            <w:bCs/>
            <w:sz w:val="24"/>
            <w:szCs w:val="24"/>
            <w:lang w:val="en-IN"/>
          </w:rPr>
          <w:t>https://doi.org/10.1016/j.vetmic.2009.04.011</w:t>
        </w:r>
      </w:hyperlink>
    </w:p>
    <w:p w14:paraId="05DB684E" w14:textId="13CA144D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CD4A94">
        <w:rPr>
          <w:rFonts w:ascii="Times New Roman" w:hAnsi="Times New Roman"/>
          <w:sz w:val="24"/>
          <w:szCs w:val="24"/>
          <w:lang w:val="en-US"/>
        </w:rPr>
        <w:t xml:space="preserve">Lennox, J. A., Egbe, J. G., &amp;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Echa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, C. (2020). Isolation of Escherichia coli 0157:H7 from selected food samples sold in local markets in Nigeria. African Journal of Food Science, 14(2), 32-37. </w:t>
      </w:r>
      <w:hyperlink r:id="rId15" w:history="1">
        <w:r w:rsidRPr="0036142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https://doi.org/10.5897/AJFS2019.1866</w:t>
        </w:r>
      </w:hyperlink>
    </w:p>
    <w:p w14:paraId="727D1CD6" w14:textId="34719E87" w:rsidR="00A43DDA" w:rsidRPr="00CD4A94" w:rsidRDefault="00A43DDA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CD4A94">
        <w:rPr>
          <w:rFonts w:ascii="Times New Roman" w:hAnsi="Times New Roman"/>
          <w:sz w:val="24"/>
          <w:szCs w:val="24"/>
          <w:lang w:val="en-IN"/>
        </w:rPr>
        <w:t xml:space="preserve">PADE-CI. 2015. </w:t>
      </w:r>
      <w:r w:rsidRPr="00CD4A94">
        <w:rPr>
          <w:rFonts w:ascii="Times New Roman" w:hAnsi="Times New Roman"/>
          <w:sz w:val="24"/>
          <w:szCs w:val="24"/>
        </w:rPr>
        <w:t>Recensement des acteurs de la filière porcine dans le département de Korhogo (Côte d’Ivoire). Promotion des Filières Agricoles et de la Biodiversité (PROFIAB)/GIZ</w:t>
      </w:r>
      <w:r w:rsidR="00274F6E" w:rsidRPr="00CD4A94">
        <w:rPr>
          <w:rFonts w:ascii="Times New Roman" w:hAnsi="Times New Roman"/>
          <w:sz w:val="24"/>
          <w:szCs w:val="24"/>
        </w:rPr>
        <w:t xml:space="preserve">, </w:t>
      </w:r>
      <w:r w:rsidRPr="00CD4A94">
        <w:rPr>
          <w:rFonts w:ascii="Times New Roman" w:hAnsi="Times New Roman"/>
          <w:sz w:val="24"/>
          <w:szCs w:val="24"/>
        </w:rPr>
        <w:t>23 P</w:t>
      </w:r>
    </w:p>
    <w:p w14:paraId="586405E0" w14:textId="235FEC12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D4A94">
        <w:rPr>
          <w:rFonts w:ascii="Times New Roman" w:hAnsi="Times New Roman"/>
          <w:sz w:val="24"/>
          <w:szCs w:val="24"/>
        </w:rPr>
        <w:lastRenderedPageBreak/>
        <w:t>Schouten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, J. M., van de Giessen, A. W., </w:t>
      </w:r>
      <w:proofErr w:type="spellStart"/>
      <w:r w:rsidRPr="00CD4A94">
        <w:rPr>
          <w:rFonts w:ascii="Times New Roman" w:hAnsi="Times New Roman"/>
          <w:sz w:val="24"/>
          <w:szCs w:val="24"/>
        </w:rPr>
        <w:t>Frankena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, K., De Jong, M. C. M., &amp; </w:t>
      </w:r>
      <w:proofErr w:type="spellStart"/>
      <w:r w:rsidRPr="00CD4A94">
        <w:rPr>
          <w:rFonts w:ascii="Times New Roman" w:hAnsi="Times New Roman"/>
          <w:sz w:val="24"/>
          <w:szCs w:val="24"/>
        </w:rPr>
        <w:t>Graat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, E. A. M. (2005). </w:t>
      </w:r>
      <w:r w:rsidRPr="00CD4A94">
        <w:rPr>
          <w:rFonts w:ascii="Times New Roman" w:hAnsi="Times New Roman"/>
          <w:sz w:val="24"/>
          <w:szCs w:val="24"/>
          <w:lang w:val="en-US"/>
        </w:rPr>
        <w:t xml:space="preserve">Escherichia Coli O157 Prevalence in Dutch Poultry, Pig Finishing and Veal Herds and Risk Factors in Dutch Veal Herds. Preventive Veterinary Medicine, 70(1-2), 1-15. </w:t>
      </w:r>
      <w:hyperlink r:id="rId16" w:history="1">
        <w:r w:rsidRPr="0036142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https://doi.org/10.1016/j.prevetmed.2004.12.010</w:t>
        </w:r>
      </w:hyperlink>
    </w:p>
    <w:p w14:paraId="76555FA0" w14:textId="44A56696" w:rsidR="00CD4A94" w:rsidRP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Sylla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I., Abe, A. I.,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Kouadio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Y. F., Yao, G. F.,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N’djetchi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K. M., Traore, B. M.,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Sokouri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A. E., Ake, M. H. J.,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Koffi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Y. M., Konan, K. T.,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Koffi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M., &amp;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Tidou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A. (2022). Detection of E. coli O157H7 Strains Potentially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paThogenic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 to Humans in the urine of Domestic Mice in the City of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Daloa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 (Côte d’Ivoire). Journal of Advances in Biology &amp; Biotechnology, 25(7), 30-36. </w:t>
      </w:r>
      <w:hyperlink r:id="rId17" w:history="1">
        <w:r w:rsidRPr="00CD4A94">
          <w:rPr>
            <w:rStyle w:val="Hyperlink"/>
            <w:rFonts w:ascii="Times New Roman" w:hAnsi="Times New Roman"/>
            <w:sz w:val="24"/>
            <w:szCs w:val="24"/>
          </w:rPr>
          <w:t>https://doi.org/10.9734/jabb/2022/v25i7587</w:t>
        </w:r>
      </w:hyperlink>
    </w:p>
    <w:p w14:paraId="41889400" w14:textId="16EBAA3F" w:rsidR="00CD4A94" w:rsidRP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Style w:val="text"/>
          <w:rFonts w:ascii="Times New Roman" w:hAnsi="Times New Roman"/>
          <w:bCs/>
          <w:sz w:val="24"/>
          <w:szCs w:val="24"/>
          <w:lang w:val="pt-BR"/>
        </w:rPr>
      </w:pPr>
      <w:r w:rsidRPr="00CD4A94">
        <w:rPr>
          <w:rStyle w:val="text"/>
          <w:rFonts w:ascii="Times New Roman" w:hAnsi="Times New Roman"/>
          <w:bCs/>
          <w:sz w:val="24"/>
          <w:szCs w:val="24"/>
          <w:lang w:val="pt-BR"/>
        </w:rPr>
        <w:t xml:space="preserve">Tewodros, A. E., &amp; Wudu, T. (2016). </w:t>
      </w:r>
      <w:r w:rsidRPr="00CD4A94">
        <w:rPr>
          <w:rStyle w:val="text"/>
          <w:rFonts w:ascii="Times New Roman" w:hAnsi="Times New Roman"/>
          <w:bCs/>
          <w:sz w:val="24"/>
          <w:szCs w:val="24"/>
          <w:lang w:val="en-IN"/>
        </w:rPr>
        <w:t xml:space="preserve">O157:H7 Serotype of Escherichia coli as an Important Emerging Zoonosis. International Journal of Microbiological Research, 7(1), 9-17. </w:t>
      </w:r>
      <w:hyperlink r:id="rId18" w:history="1">
        <w:r w:rsidRPr="00CD4A94">
          <w:rPr>
            <w:rStyle w:val="Hyperlink"/>
            <w:rFonts w:ascii="Times New Roman" w:hAnsi="Times New Roman"/>
            <w:bCs/>
            <w:sz w:val="24"/>
            <w:szCs w:val="24"/>
            <w:lang w:val="pt-BR"/>
          </w:rPr>
          <w:t>https://doi.org/10.5829/idosi.ijmr.2016.7.1.9694</w:t>
        </w:r>
      </w:hyperlink>
    </w:p>
    <w:p w14:paraId="602816C6" w14:textId="1D086CF1" w:rsid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  <w:lang w:val="en-IN"/>
        </w:rPr>
      </w:pPr>
      <w:r w:rsidRPr="00CD4A94">
        <w:rPr>
          <w:rFonts w:ascii="Times New Roman" w:hAnsi="Times New Roman"/>
          <w:sz w:val="24"/>
          <w:szCs w:val="24"/>
          <w:lang w:val="en-IN"/>
        </w:rPr>
        <w:t xml:space="preserve">Tseng, M.,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Fratamico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P. M.,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Bagi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L., </w:t>
      </w:r>
      <w:proofErr w:type="spellStart"/>
      <w:r w:rsidRPr="00CD4A94">
        <w:rPr>
          <w:rFonts w:ascii="Times New Roman" w:hAnsi="Times New Roman"/>
          <w:sz w:val="24"/>
          <w:szCs w:val="24"/>
          <w:lang w:val="en-IN"/>
        </w:rPr>
        <w:t>Manzinger</w:t>
      </w:r>
      <w:proofErr w:type="spellEnd"/>
      <w:r w:rsidRPr="00CD4A94">
        <w:rPr>
          <w:rFonts w:ascii="Times New Roman" w:hAnsi="Times New Roman"/>
          <w:sz w:val="24"/>
          <w:szCs w:val="24"/>
          <w:lang w:val="en-IN"/>
        </w:rPr>
        <w:t xml:space="preserve">, D., &amp; Funk, J. A. (2015). Shiga toxin-producing E. coli (STEC) in swine: prevalence over the finishing period and characteristics of the STEC isolates. Epidemiology &amp; Infection, 143(3), 505–514. </w:t>
      </w:r>
      <w:hyperlink r:id="rId19" w:history="1">
        <w:r w:rsidRPr="00361422">
          <w:rPr>
            <w:rStyle w:val="Hyperlink"/>
            <w:rFonts w:ascii="Times New Roman" w:hAnsi="Times New Roman"/>
            <w:sz w:val="24"/>
            <w:szCs w:val="24"/>
            <w:lang w:val="en-IN"/>
          </w:rPr>
          <w:t>https://doi.org/10.1017/S0950268814001095</w:t>
        </w:r>
      </w:hyperlink>
    </w:p>
    <w:p w14:paraId="16BE6DE9" w14:textId="011B4AF3" w:rsidR="00CD4A94" w:rsidRPr="00CD4A94" w:rsidRDefault="00CD4A94" w:rsidP="00CD4A94">
      <w:pPr>
        <w:tabs>
          <w:tab w:val="left" w:pos="284"/>
          <w:tab w:val="left" w:pos="426"/>
        </w:tabs>
        <w:spacing w:after="0" w:line="36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CD4A94">
        <w:rPr>
          <w:rFonts w:ascii="Times New Roman" w:hAnsi="Times New Roman"/>
          <w:sz w:val="24"/>
          <w:szCs w:val="24"/>
          <w:lang w:val="en-US"/>
        </w:rPr>
        <w:t xml:space="preserve">Zhao, S.,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Blickenstaff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, K.,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Bodeis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, J. S., Gaines, S. A., Tong, E., &amp; McDermott, P. F. (2012). Comparison of the </w:t>
      </w:r>
      <w:proofErr w:type="spellStart"/>
      <w:r w:rsidRPr="00CD4A94">
        <w:rPr>
          <w:rFonts w:ascii="Times New Roman" w:hAnsi="Times New Roman"/>
          <w:sz w:val="24"/>
          <w:szCs w:val="24"/>
          <w:lang w:val="en-US"/>
        </w:rPr>
        <w:t>prevalences</w:t>
      </w:r>
      <w:proofErr w:type="spellEnd"/>
      <w:r w:rsidRPr="00CD4A94">
        <w:rPr>
          <w:rFonts w:ascii="Times New Roman" w:hAnsi="Times New Roman"/>
          <w:sz w:val="24"/>
          <w:szCs w:val="24"/>
          <w:lang w:val="en-US"/>
        </w:rPr>
        <w:t xml:space="preserve"> and antimicrobial resistances of Escherichia coli isolates from different retail meats in the United States, 2002 to 2008. Applied and Environmental Microbiology, 78(6), 1701–1707. </w:t>
      </w:r>
      <w:hyperlink r:id="rId20" w:history="1">
        <w:r w:rsidRPr="00CD4A94">
          <w:rPr>
            <w:rStyle w:val="Hyperlink"/>
            <w:rFonts w:ascii="Times New Roman" w:hAnsi="Times New Roman"/>
            <w:sz w:val="24"/>
            <w:szCs w:val="24"/>
          </w:rPr>
          <w:t>https://doi.org/10.1128/AEM.07522-11</w:t>
        </w:r>
      </w:hyperlink>
    </w:p>
    <w:p w14:paraId="19FF8EBC" w14:textId="4E3C7081" w:rsidR="00A43DDA" w:rsidRDefault="00CD4A94" w:rsidP="00A43DDA">
      <w:pPr>
        <w:jc w:val="both"/>
        <w:rPr>
          <w:rFonts w:ascii="Times New Roman" w:hAnsi="Times New Roman"/>
          <w:sz w:val="24"/>
          <w:szCs w:val="24"/>
        </w:rPr>
      </w:pPr>
      <w:r w:rsidRPr="00CD4A94">
        <w:rPr>
          <w:rFonts w:ascii="Times New Roman" w:hAnsi="Times New Roman"/>
          <w:sz w:val="24"/>
          <w:szCs w:val="24"/>
        </w:rPr>
        <w:t xml:space="preserve">Ngo, V. T., Nguyen, K. T., &amp; </w:t>
      </w:r>
      <w:proofErr w:type="spellStart"/>
      <w:r w:rsidRPr="00CD4A94">
        <w:rPr>
          <w:rFonts w:ascii="Times New Roman" w:hAnsi="Times New Roman"/>
          <w:sz w:val="24"/>
          <w:szCs w:val="24"/>
        </w:rPr>
        <w:t>Bui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, T. L. M. (2024). </w:t>
      </w:r>
      <w:r w:rsidRPr="00CD4A94">
        <w:rPr>
          <w:rFonts w:ascii="Times New Roman" w:hAnsi="Times New Roman"/>
          <w:sz w:val="24"/>
          <w:szCs w:val="24"/>
          <w:lang w:val="en-IN"/>
        </w:rPr>
        <w:t xml:space="preserve">Prevalence of antibiotic resistance genes of Escherichia coli at the pig slaughterhouses in the Mekong Delta. </w:t>
      </w:r>
      <w:proofErr w:type="spellStart"/>
      <w:r w:rsidRPr="00CD4A94">
        <w:rPr>
          <w:rFonts w:ascii="Times New Roman" w:hAnsi="Times New Roman"/>
          <w:sz w:val="24"/>
          <w:szCs w:val="24"/>
        </w:rPr>
        <w:t>Veterinary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A94">
        <w:rPr>
          <w:rFonts w:ascii="Times New Roman" w:hAnsi="Times New Roman"/>
          <w:sz w:val="24"/>
          <w:szCs w:val="24"/>
        </w:rPr>
        <w:t>Integrative</w:t>
      </w:r>
      <w:proofErr w:type="spellEnd"/>
      <w:r w:rsidRPr="00CD4A94">
        <w:rPr>
          <w:rFonts w:ascii="Times New Roman" w:hAnsi="Times New Roman"/>
          <w:sz w:val="24"/>
          <w:szCs w:val="24"/>
        </w:rPr>
        <w:t xml:space="preserve"> Sciences, 23(1), 1–10. </w:t>
      </w:r>
      <w:hyperlink r:id="rId21" w:history="1">
        <w:r w:rsidRPr="00361422">
          <w:rPr>
            <w:rStyle w:val="Hyperlink"/>
            <w:rFonts w:ascii="Times New Roman" w:hAnsi="Times New Roman"/>
            <w:sz w:val="24"/>
            <w:szCs w:val="24"/>
          </w:rPr>
          <w:t>https://doi.org/10.12982/VIS.2025.005</w:t>
        </w:r>
      </w:hyperlink>
    </w:p>
    <w:p w14:paraId="7FD44C02" w14:textId="77777777" w:rsidR="00CD4A94" w:rsidRPr="002106B0" w:rsidRDefault="00CD4A94" w:rsidP="00A43DD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bookmarkEnd w:id="0"/>
    <w:p w14:paraId="7C13873A" w14:textId="77777777" w:rsidR="00A43DDA" w:rsidRPr="002106B0" w:rsidRDefault="00A43DDA" w:rsidP="00A43DDA">
      <w:pPr>
        <w:autoSpaceDN w:val="0"/>
        <w:spacing w:before="83" w:after="0" w:line="36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437C079" w14:textId="77777777" w:rsidR="007A476A" w:rsidRPr="002106B0" w:rsidRDefault="007A476A">
      <w:pPr>
        <w:rPr>
          <w:lang w:val="en-US"/>
        </w:rPr>
      </w:pPr>
    </w:p>
    <w:sectPr w:rsidR="007A476A" w:rsidRPr="002106B0" w:rsidSect="003B57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7A19" w14:textId="77777777" w:rsidR="005F2591" w:rsidRDefault="005F2591">
      <w:pPr>
        <w:spacing w:after="0" w:line="240" w:lineRule="auto"/>
      </w:pPr>
      <w:r>
        <w:separator/>
      </w:r>
    </w:p>
  </w:endnote>
  <w:endnote w:type="continuationSeparator" w:id="0">
    <w:p w14:paraId="70469E43" w14:textId="77777777" w:rsidR="005F2591" w:rsidRDefault="005F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CF72B" w14:textId="77777777" w:rsidR="00E84DDF" w:rsidRDefault="00E84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035049"/>
      <w:docPartObj>
        <w:docPartGallery w:val="Page Numbers (Bottom of Page)"/>
        <w:docPartUnique/>
      </w:docPartObj>
    </w:sdtPr>
    <w:sdtEndPr/>
    <w:sdtContent>
      <w:p w14:paraId="5B701ECA" w14:textId="77777777" w:rsidR="002162C4" w:rsidRDefault="002162C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CFD">
          <w:rPr>
            <w:noProof/>
          </w:rPr>
          <w:t>1</w:t>
        </w:r>
        <w:r>
          <w:fldChar w:fldCharType="end"/>
        </w:r>
      </w:p>
    </w:sdtContent>
  </w:sdt>
  <w:p w14:paraId="775A0AC3" w14:textId="77777777" w:rsidR="002162C4" w:rsidRDefault="00216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D5B1" w14:textId="77777777" w:rsidR="00E84DDF" w:rsidRDefault="00E84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BB2B" w14:textId="77777777" w:rsidR="005F2591" w:rsidRDefault="005F2591">
      <w:pPr>
        <w:spacing w:after="0" w:line="240" w:lineRule="auto"/>
      </w:pPr>
      <w:r>
        <w:separator/>
      </w:r>
    </w:p>
  </w:footnote>
  <w:footnote w:type="continuationSeparator" w:id="0">
    <w:p w14:paraId="47D28D6C" w14:textId="77777777" w:rsidR="005F2591" w:rsidRDefault="005F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1A15" w14:textId="520FB3AC" w:rsidR="00E84DDF" w:rsidRDefault="00E84DDF">
    <w:pPr>
      <w:pStyle w:val="Header"/>
    </w:pPr>
    <w:r>
      <w:rPr>
        <w:noProof/>
      </w:rPr>
      <w:pict w14:anchorId="33C61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23422" o:spid="_x0000_s2050" type="#_x0000_t136" style="position:absolute;margin-left:0;margin-top:0;width:538.75pt;height:10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93BB" w14:textId="794B49C1" w:rsidR="00E84DDF" w:rsidRDefault="00E84DDF">
    <w:pPr>
      <w:pStyle w:val="Header"/>
    </w:pPr>
    <w:r>
      <w:rPr>
        <w:noProof/>
      </w:rPr>
      <w:pict w14:anchorId="5ACCA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23423" o:spid="_x0000_s2051" type="#_x0000_t136" style="position:absolute;margin-left:0;margin-top:0;width:538.75pt;height:101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E9AE" w14:textId="504EE5F9" w:rsidR="00E84DDF" w:rsidRDefault="00E84DDF">
    <w:pPr>
      <w:pStyle w:val="Header"/>
    </w:pPr>
    <w:r>
      <w:rPr>
        <w:noProof/>
      </w:rPr>
      <w:pict w14:anchorId="23FA31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523421" o:spid="_x0000_s2049" type="#_x0000_t136" style="position:absolute;margin-left:0;margin-top:0;width:538.75pt;height:101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F9A778"/>
    <w:multiLevelType w:val="singleLevel"/>
    <w:tmpl w:val="C5F9A778"/>
    <w:lvl w:ilvl="0">
      <w:start w:val="13"/>
      <w:numFmt w:val="upperLetter"/>
      <w:suff w:val="space"/>
      <w:lvlText w:val="%1)"/>
      <w:lvlJc w:val="left"/>
    </w:lvl>
  </w:abstractNum>
  <w:abstractNum w:abstractNumId="1" w15:restartNumberingAfterBreak="0">
    <w:nsid w:val="C96967F3"/>
    <w:multiLevelType w:val="singleLevel"/>
    <w:tmpl w:val="C96967F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765D8C6"/>
    <w:multiLevelType w:val="singleLevel"/>
    <w:tmpl w:val="F765D8C6"/>
    <w:lvl w:ilvl="0">
      <w:start w:val="5"/>
      <w:numFmt w:val="upperLetter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3" w15:restartNumberingAfterBreak="0">
    <w:nsid w:val="0D384C5F"/>
    <w:multiLevelType w:val="multilevel"/>
    <w:tmpl w:val="0D384C5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3615"/>
    <w:multiLevelType w:val="multilevel"/>
    <w:tmpl w:val="1B7336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3EBA"/>
    <w:multiLevelType w:val="multilevel"/>
    <w:tmpl w:val="24783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20305"/>
    <w:multiLevelType w:val="hybridMultilevel"/>
    <w:tmpl w:val="E7A895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4913"/>
    <w:multiLevelType w:val="hybridMultilevel"/>
    <w:tmpl w:val="221CD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0EBB"/>
    <w:multiLevelType w:val="multilevel"/>
    <w:tmpl w:val="2B4B0EBB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15605F"/>
    <w:multiLevelType w:val="multilevel"/>
    <w:tmpl w:val="3715605F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2ACF"/>
    <w:multiLevelType w:val="multilevel"/>
    <w:tmpl w:val="3ADB2AC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7DE1"/>
    <w:multiLevelType w:val="multilevel"/>
    <w:tmpl w:val="F06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916FF"/>
    <w:multiLevelType w:val="multilevel"/>
    <w:tmpl w:val="CA8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F3CA3"/>
    <w:multiLevelType w:val="hybridMultilevel"/>
    <w:tmpl w:val="11FC5F4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E693D"/>
    <w:multiLevelType w:val="multilevel"/>
    <w:tmpl w:val="464E693D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021157"/>
    <w:multiLevelType w:val="multilevel"/>
    <w:tmpl w:val="4D02115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F25C9"/>
    <w:multiLevelType w:val="multilevel"/>
    <w:tmpl w:val="518F25C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84B5E"/>
    <w:multiLevelType w:val="multilevel"/>
    <w:tmpl w:val="63B84B5E"/>
    <w:lvl w:ilvl="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4D351F0"/>
    <w:multiLevelType w:val="multilevel"/>
    <w:tmpl w:val="317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730CA"/>
    <w:multiLevelType w:val="multilevel"/>
    <w:tmpl w:val="FE16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732C2"/>
    <w:multiLevelType w:val="multilevel"/>
    <w:tmpl w:val="6BA732C2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7124CFB3"/>
    <w:multiLevelType w:val="singleLevel"/>
    <w:tmpl w:val="7124CFB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719B0D03"/>
    <w:multiLevelType w:val="multilevel"/>
    <w:tmpl w:val="719B0D03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735C4E8F"/>
    <w:multiLevelType w:val="multilevel"/>
    <w:tmpl w:val="735C4E8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72DF5"/>
    <w:multiLevelType w:val="multilevel"/>
    <w:tmpl w:val="78D72D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7"/>
  </w:num>
  <w:num w:numId="5">
    <w:abstractNumId w:val="9"/>
  </w:num>
  <w:num w:numId="6">
    <w:abstractNumId w:val="15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21"/>
  </w:num>
  <w:num w:numId="12">
    <w:abstractNumId w:val="3"/>
  </w:num>
  <w:num w:numId="13">
    <w:abstractNumId w:val="5"/>
  </w:num>
  <w:num w:numId="14">
    <w:abstractNumId w:val="24"/>
  </w:num>
  <w:num w:numId="15">
    <w:abstractNumId w:val="23"/>
  </w:num>
  <w:num w:numId="16">
    <w:abstractNumId w:val="22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12"/>
  </w:num>
  <w:num w:numId="22">
    <w:abstractNumId w:val="19"/>
  </w:num>
  <w:num w:numId="23">
    <w:abstractNumId w:val="11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DA"/>
    <w:rsid w:val="00023E5A"/>
    <w:rsid w:val="00030439"/>
    <w:rsid w:val="00035521"/>
    <w:rsid w:val="00036CFF"/>
    <w:rsid w:val="00063318"/>
    <w:rsid w:val="000B1A41"/>
    <w:rsid w:val="000B32FB"/>
    <w:rsid w:val="000C054E"/>
    <w:rsid w:val="000C289D"/>
    <w:rsid w:val="000C59D0"/>
    <w:rsid w:val="000C6BED"/>
    <w:rsid w:val="000D55E7"/>
    <w:rsid w:val="000D6FB5"/>
    <w:rsid w:val="00100995"/>
    <w:rsid w:val="00163056"/>
    <w:rsid w:val="001630CF"/>
    <w:rsid w:val="00172C00"/>
    <w:rsid w:val="001E0358"/>
    <w:rsid w:val="001E25F5"/>
    <w:rsid w:val="002106B0"/>
    <w:rsid w:val="002157D6"/>
    <w:rsid w:val="002162C4"/>
    <w:rsid w:val="00220DE7"/>
    <w:rsid w:val="00274F6E"/>
    <w:rsid w:val="00281CCA"/>
    <w:rsid w:val="00285DD7"/>
    <w:rsid w:val="002E1BD3"/>
    <w:rsid w:val="00325EA0"/>
    <w:rsid w:val="00342686"/>
    <w:rsid w:val="00356D3F"/>
    <w:rsid w:val="003A705F"/>
    <w:rsid w:val="003B577B"/>
    <w:rsid w:val="003C18A3"/>
    <w:rsid w:val="003C6333"/>
    <w:rsid w:val="00452350"/>
    <w:rsid w:val="00493145"/>
    <w:rsid w:val="00497436"/>
    <w:rsid w:val="004D2D7D"/>
    <w:rsid w:val="004D3F07"/>
    <w:rsid w:val="004F3774"/>
    <w:rsid w:val="00533423"/>
    <w:rsid w:val="00552477"/>
    <w:rsid w:val="005534AB"/>
    <w:rsid w:val="0059611B"/>
    <w:rsid w:val="005F2591"/>
    <w:rsid w:val="00630F23"/>
    <w:rsid w:val="0064731B"/>
    <w:rsid w:val="0065766F"/>
    <w:rsid w:val="006966A2"/>
    <w:rsid w:val="006C3D78"/>
    <w:rsid w:val="00700F38"/>
    <w:rsid w:val="00701DDE"/>
    <w:rsid w:val="007327EA"/>
    <w:rsid w:val="007422ED"/>
    <w:rsid w:val="00750025"/>
    <w:rsid w:val="00751377"/>
    <w:rsid w:val="00773514"/>
    <w:rsid w:val="00776CFD"/>
    <w:rsid w:val="00785880"/>
    <w:rsid w:val="00787D36"/>
    <w:rsid w:val="00791C0E"/>
    <w:rsid w:val="007A476A"/>
    <w:rsid w:val="007C4F7B"/>
    <w:rsid w:val="007F5C46"/>
    <w:rsid w:val="008B0C57"/>
    <w:rsid w:val="00942260"/>
    <w:rsid w:val="0094358F"/>
    <w:rsid w:val="00950C07"/>
    <w:rsid w:val="00975F56"/>
    <w:rsid w:val="009B7123"/>
    <w:rsid w:val="009C06E9"/>
    <w:rsid w:val="009C4010"/>
    <w:rsid w:val="009F7976"/>
    <w:rsid w:val="00A04D5F"/>
    <w:rsid w:val="00A43DDA"/>
    <w:rsid w:val="00A83E99"/>
    <w:rsid w:val="00A855AE"/>
    <w:rsid w:val="00A86A19"/>
    <w:rsid w:val="00A9215C"/>
    <w:rsid w:val="00A96D71"/>
    <w:rsid w:val="00AB0900"/>
    <w:rsid w:val="00AE2125"/>
    <w:rsid w:val="00AE2FC2"/>
    <w:rsid w:val="00AE37B9"/>
    <w:rsid w:val="00B03962"/>
    <w:rsid w:val="00B22775"/>
    <w:rsid w:val="00B33990"/>
    <w:rsid w:val="00B35800"/>
    <w:rsid w:val="00B61EF7"/>
    <w:rsid w:val="00B67172"/>
    <w:rsid w:val="00B75458"/>
    <w:rsid w:val="00B81BFC"/>
    <w:rsid w:val="00B9773F"/>
    <w:rsid w:val="00BC0EDE"/>
    <w:rsid w:val="00BE3D76"/>
    <w:rsid w:val="00C02721"/>
    <w:rsid w:val="00C20DDB"/>
    <w:rsid w:val="00C309BC"/>
    <w:rsid w:val="00C566F1"/>
    <w:rsid w:val="00C716C4"/>
    <w:rsid w:val="00CB3A7A"/>
    <w:rsid w:val="00CC1EBD"/>
    <w:rsid w:val="00CD2187"/>
    <w:rsid w:val="00CD35FB"/>
    <w:rsid w:val="00CD4A94"/>
    <w:rsid w:val="00CF55BC"/>
    <w:rsid w:val="00D27704"/>
    <w:rsid w:val="00D56245"/>
    <w:rsid w:val="00D62A1D"/>
    <w:rsid w:val="00D8149B"/>
    <w:rsid w:val="00DC56D9"/>
    <w:rsid w:val="00DD21EF"/>
    <w:rsid w:val="00DF0B9C"/>
    <w:rsid w:val="00E270B5"/>
    <w:rsid w:val="00E4178D"/>
    <w:rsid w:val="00E5131A"/>
    <w:rsid w:val="00E8022E"/>
    <w:rsid w:val="00E8302E"/>
    <w:rsid w:val="00E84DDF"/>
    <w:rsid w:val="00E92E8C"/>
    <w:rsid w:val="00EA23D0"/>
    <w:rsid w:val="00EA64D5"/>
    <w:rsid w:val="00EB670C"/>
    <w:rsid w:val="00EC2772"/>
    <w:rsid w:val="00F05B0E"/>
    <w:rsid w:val="00F10B2F"/>
    <w:rsid w:val="00F23519"/>
    <w:rsid w:val="00F52EFF"/>
    <w:rsid w:val="00F6581F"/>
    <w:rsid w:val="00F66823"/>
    <w:rsid w:val="00F70D46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0AC28A"/>
  <w15:chartTrackingRefBased/>
  <w15:docId w15:val="{98F356CC-BBE0-47C3-ACD2-F7CCB5B5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DDA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43DDA"/>
    <w:pPr>
      <w:keepNext/>
      <w:keepLines/>
      <w:tabs>
        <w:tab w:val="left" w:pos="142"/>
      </w:tabs>
      <w:spacing w:after="0" w:line="360" w:lineRule="auto"/>
      <w:jc w:val="center"/>
      <w:outlineLvl w:val="0"/>
    </w:pPr>
    <w:rPr>
      <w:rFonts w:ascii="Times New Roman" w:eastAsiaTheme="majorEastAsia" w:hAnsi="Times New Roman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43DDA"/>
    <w:pPr>
      <w:keepNext/>
      <w:keepLines/>
      <w:spacing w:before="120" w:after="0" w:line="360" w:lineRule="auto"/>
      <w:jc w:val="both"/>
      <w:outlineLvl w:val="1"/>
    </w:pPr>
    <w:rPr>
      <w:rFonts w:ascii="Times New Roman" w:eastAsiaTheme="majorEastAsia" w:hAnsi="Times New Roman"/>
      <w:b/>
      <w:bCs/>
      <w:iCs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3DDA"/>
    <w:pPr>
      <w:keepNext/>
      <w:keepLines/>
      <w:spacing w:before="160" w:after="120" w:line="360" w:lineRule="auto"/>
      <w:jc w:val="both"/>
      <w:outlineLvl w:val="2"/>
    </w:pPr>
    <w:rPr>
      <w:rFonts w:ascii="Times New Roman" w:eastAsiaTheme="majorEastAsia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43DDA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/>
      <w:b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43D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43DDA"/>
    <w:pPr>
      <w:tabs>
        <w:tab w:val="left" w:pos="4320"/>
      </w:tabs>
      <w:autoSpaceDN w:val="0"/>
      <w:spacing w:before="240" w:after="60" w:line="360" w:lineRule="auto"/>
      <w:ind w:left="4320" w:hanging="720"/>
      <w:jc w:val="both"/>
      <w:textAlignment w:val="baseline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A43DDA"/>
    <w:pPr>
      <w:tabs>
        <w:tab w:val="left" w:pos="5040"/>
      </w:tabs>
      <w:autoSpaceDN w:val="0"/>
      <w:spacing w:before="240" w:after="60" w:line="360" w:lineRule="auto"/>
      <w:ind w:left="5040" w:hanging="720"/>
      <w:jc w:val="both"/>
      <w:textAlignment w:val="baseline"/>
      <w:outlineLvl w:val="6"/>
    </w:pPr>
    <w:rPr>
      <w:rFonts w:ascii="Calibri" w:hAnsi="Calibr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A43DDA"/>
    <w:pPr>
      <w:tabs>
        <w:tab w:val="left" w:pos="5760"/>
      </w:tabs>
      <w:autoSpaceDN w:val="0"/>
      <w:spacing w:before="240" w:after="60" w:line="360" w:lineRule="auto"/>
      <w:ind w:left="5760" w:hanging="720"/>
      <w:jc w:val="both"/>
      <w:textAlignment w:val="baseline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A43DDA"/>
    <w:pPr>
      <w:tabs>
        <w:tab w:val="left" w:pos="6480"/>
      </w:tabs>
      <w:autoSpaceDN w:val="0"/>
      <w:spacing w:before="240" w:after="60" w:line="360" w:lineRule="auto"/>
      <w:ind w:left="6480" w:hanging="720"/>
      <w:jc w:val="both"/>
      <w:textAlignment w:val="baseline"/>
      <w:outlineLvl w:val="8"/>
    </w:pPr>
    <w:rPr>
      <w:rFonts w:ascii="Calibri Light" w:hAnsi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43DDA"/>
    <w:rPr>
      <w:rFonts w:ascii="Times New Roman" w:eastAsiaTheme="majorEastAsia" w:hAnsi="Times New Roman" w:cs="Times New Roman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sid w:val="00A43DDA"/>
    <w:rPr>
      <w:rFonts w:ascii="Times New Roman" w:eastAsiaTheme="majorEastAsia" w:hAnsi="Times New Roman" w:cs="Times New Roman"/>
      <w:b/>
      <w:bCs/>
      <w:iCs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A43DD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A43DDA"/>
    <w:rPr>
      <w:rFonts w:asciiTheme="majorHAnsi" w:eastAsiaTheme="majorEastAsia" w:hAnsiTheme="majorHAnsi" w:cs="Times New Roman"/>
      <w:b/>
      <w:iCs/>
      <w:sz w:val="24"/>
    </w:rPr>
  </w:style>
  <w:style w:type="character" w:customStyle="1" w:styleId="Heading5Char">
    <w:name w:val="Heading 5 Char"/>
    <w:basedOn w:val="DefaultParagraphFont"/>
    <w:link w:val="Heading5"/>
    <w:qFormat/>
    <w:rsid w:val="00A43DDA"/>
    <w:rPr>
      <w:rFonts w:eastAsia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qFormat/>
    <w:rsid w:val="00A43DD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qFormat/>
    <w:rsid w:val="00A43DD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qFormat/>
    <w:rsid w:val="00A43DD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qFormat/>
    <w:rsid w:val="00A43DDA"/>
    <w:rPr>
      <w:rFonts w:ascii="Calibri Light" w:eastAsia="Times New Roman" w:hAnsi="Calibri Light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A43DDA"/>
    <w:rPr>
      <w:rFonts w:cs="Times New Roman"/>
      <w:color w:val="0563C1" w:themeColor="hyperlink"/>
      <w:u w:val="single"/>
    </w:rPr>
  </w:style>
  <w:style w:type="character" w:styleId="FootnoteReference">
    <w:name w:val="footnote reference"/>
    <w:basedOn w:val="DefaultParagraphFont"/>
    <w:qFormat/>
    <w:rsid w:val="00A43DDA"/>
    <w:rPr>
      <w:position w:val="0"/>
      <w:vertAlign w:val="superscript"/>
    </w:rPr>
  </w:style>
  <w:style w:type="character" w:styleId="Strong">
    <w:name w:val="Strong"/>
    <w:basedOn w:val="DefaultParagraphFont"/>
    <w:uiPriority w:val="22"/>
    <w:qFormat/>
    <w:rsid w:val="00A43DDA"/>
    <w:rPr>
      <w:rFonts w:cs="Times New Roman"/>
      <w:b/>
      <w:bCs/>
    </w:rPr>
  </w:style>
  <w:style w:type="character" w:styleId="CommentReference">
    <w:name w:val="annotation reference"/>
    <w:basedOn w:val="DefaultParagraphFont"/>
    <w:unhideWhenUsed/>
    <w:qFormat/>
    <w:rsid w:val="00A43DDA"/>
    <w:rPr>
      <w:rFonts w:cs="Times New Roman"/>
      <w:sz w:val="16"/>
      <w:szCs w:val="16"/>
    </w:rPr>
  </w:style>
  <w:style w:type="character" w:styleId="Emphasis">
    <w:name w:val="Emphasis"/>
    <w:basedOn w:val="DefaultParagraphFont"/>
    <w:qFormat/>
    <w:rsid w:val="00A43DDA"/>
    <w:rPr>
      <w:rFonts w:cs="Times New Roman"/>
      <w:i/>
      <w:iCs/>
    </w:rPr>
  </w:style>
  <w:style w:type="character" w:styleId="FollowedHyperlink">
    <w:name w:val="FollowedHyperlink"/>
    <w:basedOn w:val="DefaultParagraphFont"/>
    <w:qFormat/>
    <w:rsid w:val="00A43DDA"/>
    <w:rPr>
      <w:color w:val="954F72"/>
      <w:u w:val="single"/>
    </w:rPr>
  </w:style>
  <w:style w:type="paragraph" w:styleId="TOC9">
    <w:name w:val="toc 9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1760"/>
    </w:pPr>
    <w:rPr>
      <w:rFonts w:ascii="Calibri" w:hAnsi="Calibri"/>
      <w:lang w:eastAsia="fr-FR"/>
    </w:rPr>
  </w:style>
  <w:style w:type="paragraph" w:styleId="TOC5">
    <w:name w:val="toc 5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880"/>
    </w:pPr>
    <w:rPr>
      <w:rFonts w:ascii="Calibri" w:hAnsi="Calibri"/>
      <w:lang w:eastAsia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DDA"/>
    <w:rPr>
      <w:rFonts w:eastAsiaTheme="minorEastAsia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43DDA"/>
    <w:rPr>
      <w:rFonts w:eastAsiaTheme="minorEastAsia" w:cs="Times New Roman"/>
      <w:color w:val="595959" w:themeColor="text1" w:themeTint="A6"/>
      <w:spacing w:val="15"/>
    </w:rPr>
  </w:style>
  <w:style w:type="paragraph" w:styleId="HTMLPreformatted">
    <w:name w:val="HTML Preformatted"/>
    <w:basedOn w:val="Normal"/>
    <w:link w:val="HTMLPreformattedChar"/>
    <w:unhideWhenUsed/>
    <w:qFormat/>
    <w:rsid w:val="00A43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A43DD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FootnoteText">
    <w:name w:val="footnote text"/>
    <w:basedOn w:val="Normal"/>
    <w:link w:val="FootnoteTextChar"/>
    <w:qFormat/>
    <w:rsid w:val="00A43DDA"/>
    <w:pPr>
      <w:autoSpaceDN w:val="0"/>
      <w:spacing w:after="0" w:line="240" w:lineRule="auto"/>
      <w:jc w:val="both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A43DD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rsid w:val="00A4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A43DD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A4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A43DDA"/>
    <w:rPr>
      <w:rFonts w:eastAsia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A43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qFormat/>
    <w:rsid w:val="00A43DD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A43D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qFormat/>
    <w:rsid w:val="00A43DDA"/>
    <w:pPr>
      <w:suppressAutoHyphens/>
      <w:autoSpaceDN w:val="0"/>
      <w:spacing w:after="0" w:line="360" w:lineRule="auto"/>
      <w:jc w:val="both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A43DDA"/>
    <w:rPr>
      <w:rFonts w:ascii="Segoe UI" w:eastAsia="Calibri" w:hAnsi="Segoe UI" w:cs="Segoe U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1540"/>
    </w:pPr>
    <w:rPr>
      <w:rFonts w:ascii="Calibri" w:hAnsi="Calibri"/>
      <w:lang w:eastAsia="fr-FR"/>
    </w:rPr>
  </w:style>
  <w:style w:type="paragraph" w:styleId="TOC4">
    <w:name w:val="toc 4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660"/>
    </w:pPr>
    <w:rPr>
      <w:rFonts w:ascii="Calibri" w:hAnsi="Calibri"/>
      <w:lang w:eastAsia="fr-FR"/>
    </w:rPr>
  </w:style>
  <w:style w:type="paragraph" w:styleId="TOC7">
    <w:name w:val="toc 7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1320"/>
    </w:pPr>
    <w:rPr>
      <w:rFonts w:ascii="Calibri" w:hAnsi="Calibri"/>
      <w:lang w:eastAsia="fr-F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43DDA"/>
    <w:pPr>
      <w:tabs>
        <w:tab w:val="right" w:leader="dot" w:pos="9074"/>
      </w:tabs>
      <w:spacing w:before="120" w:after="120"/>
      <w:ind w:left="284"/>
      <w:jc w:val="both"/>
    </w:pPr>
    <w:rPr>
      <w:rFonts w:ascii="Times New Roman" w:hAnsi="Times New Roman"/>
      <w:b/>
      <w:bCs/>
      <w:i/>
      <w:iCs/>
      <w:sz w:val="24"/>
      <w:szCs w:val="24"/>
      <w:lang w:eastAsia="fr-FR"/>
    </w:rPr>
  </w:style>
  <w:style w:type="paragraph" w:styleId="NormalWeb">
    <w:name w:val="Normal (Web)"/>
    <w:basedOn w:val="Normal"/>
    <w:unhideWhenUsed/>
    <w:qFormat/>
    <w:rsid w:val="00A43D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A43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43DDA"/>
    <w:rPr>
      <w:rFonts w:eastAsia="Times New Roman" w:cs="Times New Roman"/>
    </w:rPr>
  </w:style>
  <w:style w:type="paragraph" w:styleId="Header">
    <w:name w:val="header"/>
    <w:basedOn w:val="Normal"/>
    <w:link w:val="HeaderChar"/>
    <w:unhideWhenUsed/>
    <w:qFormat/>
    <w:rsid w:val="00A43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A43DDA"/>
    <w:rPr>
      <w:rFonts w:eastAsia="Times New Roman" w:cs="Times New Roman"/>
    </w:rPr>
  </w:style>
  <w:style w:type="paragraph" w:styleId="TOC6">
    <w:name w:val="toc 6"/>
    <w:basedOn w:val="Normal"/>
    <w:next w:val="Normal"/>
    <w:autoRedefine/>
    <w:uiPriority w:val="39"/>
    <w:qFormat/>
    <w:rsid w:val="00A43DDA"/>
    <w:pPr>
      <w:autoSpaceDN w:val="0"/>
      <w:spacing w:after="100" w:line="240" w:lineRule="auto"/>
      <w:ind w:left="1100"/>
    </w:pPr>
    <w:rPr>
      <w:rFonts w:ascii="Calibri" w:hAnsi="Calibri"/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43DDA"/>
    <w:pPr>
      <w:tabs>
        <w:tab w:val="right" w:leader="dot" w:pos="880"/>
        <w:tab w:val="right" w:leader="dot" w:pos="9062"/>
      </w:tabs>
      <w:spacing w:before="120" w:after="120" w:line="20" w:lineRule="atLeast"/>
      <w:ind w:left="220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A43DD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43DDA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A43DD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3DDA"/>
    <w:pPr>
      <w:tabs>
        <w:tab w:val="right" w:leader="dot" w:pos="9074"/>
      </w:tabs>
      <w:spacing w:after="100"/>
      <w:jc w:val="both"/>
    </w:pPr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A43DDA"/>
    <w:pPr>
      <w:ind w:left="720"/>
      <w:contextualSpacing/>
    </w:pPr>
  </w:style>
  <w:style w:type="paragraph" w:styleId="NoSpacing">
    <w:name w:val="No Spacing"/>
    <w:basedOn w:val="Normal"/>
    <w:next w:val="Normal"/>
    <w:link w:val="NoSpacingChar"/>
    <w:autoRedefine/>
    <w:qFormat/>
    <w:rsid w:val="00A43DDA"/>
    <w:pPr>
      <w:spacing w:before="240" w:after="0" w:line="360" w:lineRule="auto"/>
      <w:ind w:left="2124"/>
      <w:jc w:val="both"/>
      <w:outlineLvl w:val="2"/>
    </w:pPr>
    <w:rPr>
      <w:rFonts w:ascii="Times New Roman" w:hAnsi="Times New Roman"/>
      <w:b/>
      <w:bCs/>
      <w:i/>
      <w:sz w:val="24"/>
    </w:rPr>
  </w:style>
  <w:style w:type="character" w:customStyle="1" w:styleId="NoSpacingChar">
    <w:name w:val="No Spacing Char"/>
    <w:basedOn w:val="DefaultParagraphFont"/>
    <w:link w:val="NoSpacing"/>
    <w:qFormat/>
    <w:rsid w:val="00A43DDA"/>
    <w:rPr>
      <w:rFonts w:ascii="Times New Roman" w:eastAsia="Times New Roman" w:hAnsi="Times New Roman" w:cs="Times New Roman"/>
      <w:b/>
      <w:bCs/>
      <w:i/>
      <w:sz w:val="24"/>
    </w:rPr>
  </w:style>
  <w:style w:type="character" w:customStyle="1" w:styleId="fontstyle01">
    <w:name w:val="fontstyle01"/>
    <w:basedOn w:val="DefaultParagraphFont"/>
    <w:qFormat/>
    <w:rsid w:val="00A43DDA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A43DD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sid w:val="00A43DDA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En-ttedetabledesmatires1">
    <w:name w:val="En-tête de table des matières1"/>
    <w:basedOn w:val="Heading1"/>
    <w:next w:val="Normal"/>
    <w:uiPriority w:val="39"/>
    <w:unhideWhenUsed/>
    <w:qFormat/>
    <w:rsid w:val="00A43DDA"/>
    <w:pPr>
      <w:outlineLvl w:val="9"/>
    </w:pPr>
    <w:rPr>
      <w:lang w:eastAsia="fr-FR"/>
    </w:rPr>
  </w:style>
  <w:style w:type="character" w:customStyle="1" w:styleId="title-text">
    <w:name w:val="title-text"/>
    <w:basedOn w:val="DefaultParagraphFont"/>
    <w:qFormat/>
    <w:rsid w:val="00A43DDA"/>
    <w:rPr>
      <w:rFonts w:cs="Times New Roman"/>
    </w:rPr>
  </w:style>
  <w:style w:type="character" w:customStyle="1" w:styleId="anchor-text">
    <w:name w:val="anchor-text"/>
    <w:basedOn w:val="DefaultParagraphFont"/>
    <w:qFormat/>
    <w:rsid w:val="00A43DDA"/>
    <w:rPr>
      <w:rFonts w:cs="Times New Roman"/>
    </w:rPr>
  </w:style>
  <w:style w:type="paragraph" w:customStyle="1" w:styleId="Default">
    <w:name w:val="Default"/>
    <w:qFormat/>
    <w:rsid w:val="00A43DDA"/>
    <w:pPr>
      <w:suppressAutoHyphens/>
      <w:autoSpaceDE w:val="0"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2iqfc">
    <w:name w:val="y2iqfc"/>
    <w:basedOn w:val="DefaultParagraphFont"/>
    <w:qFormat/>
    <w:rsid w:val="00A43DDA"/>
    <w:rPr>
      <w:rFonts w:cs="Times New Roman"/>
    </w:rPr>
  </w:style>
  <w:style w:type="paragraph" w:customStyle="1" w:styleId="2">
    <w:name w:val="2"/>
    <w:basedOn w:val="ListParagraph"/>
    <w:qFormat/>
    <w:rsid w:val="00A43DDA"/>
    <w:pPr>
      <w:spacing w:after="0" w:line="240" w:lineRule="auto"/>
      <w:ind w:left="779" w:hanging="360"/>
      <w:jc w:val="both"/>
    </w:pPr>
    <w:rPr>
      <w:rFonts w:ascii="Times New Roman" w:hAnsi="Times New Roman"/>
      <w:bCs/>
      <w:sz w:val="24"/>
      <w:szCs w:val="24"/>
      <w:lang w:eastAsia="fr-FR"/>
    </w:rPr>
  </w:style>
  <w:style w:type="paragraph" w:customStyle="1" w:styleId="Rvision1">
    <w:name w:val="Révision1"/>
    <w:hidden/>
    <w:uiPriority w:val="99"/>
    <w:unhideWhenUsed/>
    <w:qFormat/>
    <w:rsid w:val="00A43DDA"/>
    <w:pPr>
      <w:spacing w:after="0" w:line="240" w:lineRule="auto"/>
    </w:pPr>
    <w:rPr>
      <w:rFonts w:eastAsia="Times New Roman" w:cs="Times New Roman"/>
    </w:rPr>
  </w:style>
  <w:style w:type="character" w:customStyle="1" w:styleId="hgkelc">
    <w:name w:val="hgkelc"/>
    <w:basedOn w:val="DefaultParagraphFont"/>
    <w:qFormat/>
    <w:rsid w:val="00A43DDA"/>
    <w:rPr>
      <w:rFonts w:cs="Times New Roman"/>
    </w:rPr>
  </w:style>
  <w:style w:type="paragraph" w:customStyle="1" w:styleId="En-ttedetabledesmatires2">
    <w:name w:val="En-tête de table des matières2"/>
    <w:basedOn w:val="Heading1"/>
    <w:next w:val="Normal"/>
    <w:uiPriority w:val="39"/>
    <w:unhideWhenUsed/>
    <w:qFormat/>
    <w:rsid w:val="00A43DDA"/>
    <w:pPr>
      <w:tabs>
        <w:tab w:val="clear" w:pos="142"/>
      </w:tabs>
      <w:spacing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character" w:customStyle="1" w:styleId="glossary-def">
    <w:name w:val="glossary-def"/>
    <w:basedOn w:val="DefaultParagraphFont"/>
    <w:qFormat/>
    <w:rsid w:val="00A43DDA"/>
    <w:rPr>
      <w:rFonts w:cs="Times New Roman"/>
    </w:rPr>
  </w:style>
  <w:style w:type="character" w:customStyle="1" w:styleId="button-link-text">
    <w:name w:val="button-link-text"/>
    <w:basedOn w:val="DefaultParagraphFont"/>
    <w:qFormat/>
    <w:rsid w:val="00A43DDA"/>
    <w:rPr>
      <w:rFonts w:cs="Times New Roman"/>
    </w:rPr>
  </w:style>
  <w:style w:type="character" w:customStyle="1" w:styleId="react-xocs-alternative-link">
    <w:name w:val="react-xocs-alternative-link"/>
    <w:basedOn w:val="DefaultParagraphFont"/>
    <w:qFormat/>
    <w:rsid w:val="00A43DDA"/>
    <w:rPr>
      <w:rFonts w:cs="Times New Roman"/>
    </w:rPr>
  </w:style>
  <w:style w:type="character" w:customStyle="1" w:styleId="given-name">
    <w:name w:val="given-name"/>
    <w:basedOn w:val="DefaultParagraphFont"/>
    <w:qFormat/>
    <w:rsid w:val="00A43DDA"/>
    <w:rPr>
      <w:rFonts w:cs="Times New Roman"/>
    </w:rPr>
  </w:style>
  <w:style w:type="character" w:customStyle="1" w:styleId="text">
    <w:name w:val="text"/>
    <w:basedOn w:val="DefaultParagraphFont"/>
    <w:qFormat/>
    <w:rsid w:val="00A43DDA"/>
    <w:rPr>
      <w:rFonts w:cs="Times New Roman"/>
    </w:rPr>
  </w:style>
  <w:style w:type="character" w:customStyle="1" w:styleId="author-ref">
    <w:name w:val="author-ref"/>
    <w:basedOn w:val="DefaultParagraphFont"/>
    <w:qFormat/>
    <w:rsid w:val="00A43DDA"/>
    <w:rPr>
      <w:rFonts w:cs="Times New Roman"/>
    </w:rPr>
  </w:style>
  <w:style w:type="character" w:customStyle="1" w:styleId="ParagraphedelisteCar">
    <w:name w:val="Paragraphe de liste Car"/>
    <w:basedOn w:val="DefaultParagraphFont"/>
    <w:qFormat/>
    <w:rsid w:val="00A43DDA"/>
  </w:style>
  <w:style w:type="paragraph" w:customStyle="1" w:styleId="En-ttedetabledesmatires3">
    <w:name w:val="En-tête de table des matières3"/>
    <w:basedOn w:val="Heading1"/>
    <w:next w:val="Normal"/>
    <w:qFormat/>
    <w:rsid w:val="00A43DDA"/>
    <w:pPr>
      <w:tabs>
        <w:tab w:val="clear" w:pos="142"/>
      </w:tabs>
      <w:autoSpaceDN w:val="0"/>
      <w:spacing w:before="240" w:line="240" w:lineRule="auto"/>
      <w:jc w:val="left"/>
      <w:textAlignment w:val="baseline"/>
    </w:pPr>
    <w:rPr>
      <w:rFonts w:ascii="Calibri Light" w:eastAsia="Times New Roman" w:hAnsi="Calibri Light"/>
      <w:b w:val="0"/>
      <w:color w:val="2E74B5"/>
      <w:lang w:eastAsia="fr-FR"/>
    </w:rPr>
  </w:style>
  <w:style w:type="paragraph" w:customStyle="1" w:styleId="Rvision2">
    <w:name w:val="Révision2"/>
    <w:hidden/>
    <w:uiPriority w:val="99"/>
    <w:unhideWhenUsed/>
    <w:qFormat/>
    <w:rsid w:val="00A43DDA"/>
    <w:pPr>
      <w:spacing w:after="0" w:line="240" w:lineRule="auto"/>
    </w:pPr>
    <w:rPr>
      <w:rFonts w:eastAsia="Times New Roman" w:cs="Times New Roman"/>
    </w:rPr>
  </w:style>
  <w:style w:type="paragraph" w:styleId="Revision">
    <w:name w:val="Revision"/>
    <w:hidden/>
    <w:uiPriority w:val="99"/>
    <w:unhideWhenUsed/>
    <w:rsid w:val="00A43DDA"/>
    <w:pPr>
      <w:spacing w:after="0" w:line="240" w:lineRule="auto"/>
    </w:pPr>
    <w:rPr>
      <w:rFonts w:eastAsia="Times New Roman" w:cs="Times New Roman"/>
    </w:rPr>
  </w:style>
  <w:style w:type="character" w:customStyle="1" w:styleId="authors">
    <w:name w:val="authors"/>
    <w:basedOn w:val="DefaultParagraphFont"/>
    <w:rsid w:val="00A43DDA"/>
  </w:style>
  <w:style w:type="character" w:customStyle="1" w:styleId="heading">
    <w:name w:val="heading"/>
    <w:basedOn w:val="DefaultParagraphFont"/>
    <w:rsid w:val="00A43DDA"/>
  </w:style>
  <w:style w:type="character" w:customStyle="1" w:styleId="delimiter">
    <w:name w:val="delimiter"/>
    <w:basedOn w:val="DefaultParagraphFont"/>
    <w:rsid w:val="00A43DDA"/>
  </w:style>
  <w:style w:type="character" w:customStyle="1" w:styleId="details-value">
    <w:name w:val="details-value"/>
    <w:basedOn w:val="DefaultParagraphFont"/>
    <w:rsid w:val="00A43DDA"/>
  </w:style>
  <w:style w:type="character" w:styleId="UnresolvedMention">
    <w:name w:val="Unresolved Mention"/>
    <w:basedOn w:val="DefaultParagraphFont"/>
    <w:uiPriority w:val="99"/>
    <w:semiHidden/>
    <w:unhideWhenUsed/>
    <w:rsid w:val="00B35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j.antinf.2015.08.003" TargetMode="External"/><Relationship Id="rId18" Type="http://schemas.openxmlformats.org/officeDocument/2006/relationships/hyperlink" Target="https://doi.org/10.5829/idosi.ijmr.2016.7.1.9694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doi.org/10.12982/VIS.2025.0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4737/journal.rjvp/2014/2.2.30.35" TargetMode="External"/><Relationship Id="rId17" Type="http://schemas.openxmlformats.org/officeDocument/2006/relationships/hyperlink" Target="https://doi.org/10.9734/jabb/2022/v25i758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prevetmed.2004.12.010" TargetMode="External"/><Relationship Id="rId20" Type="http://schemas.openxmlformats.org/officeDocument/2006/relationships/hyperlink" Target="https://doi.org/10.1128/AEM.07522-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10863609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897/AJFS2019.1866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doi.org/10.1016/j.ijfoodmicro.2017.10.017" TargetMode="External"/><Relationship Id="rId19" Type="http://schemas.openxmlformats.org/officeDocument/2006/relationships/hyperlink" Target="https://doi.org/10.1017/S0950268814001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resmic.2010.11.008" TargetMode="External"/><Relationship Id="rId14" Type="http://schemas.openxmlformats.org/officeDocument/2006/relationships/hyperlink" Target="https://doi.org/10.1016/j.vetmic.2009.04.01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1406-7575-407A-A3D2-43C853E5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SDI 1084</cp:lastModifiedBy>
  <cp:revision>5</cp:revision>
  <dcterms:created xsi:type="dcterms:W3CDTF">2025-12-19T21:11:00Z</dcterms:created>
  <dcterms:modified xsi:type="dcterms:W3CDTF">2025-12-20T08:25:00Z</dcterms:modified>
</cp:coreProperties>
</file>