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552A" w14:textId="709201BB" w:rsidR="00F45F85" w:rsidRDefault="005B7A05" w:rsidP="00F45F85">
      <w:pPr>
        <w:spacing w:after="0" w:line="360" w:lineRule="auto"/>
        <w:jc w:val="center"/>
        <w:rPr>
          <w:rFonts w:ascii="Times New Roman" w:hAnsi="Times New Roman" w:cs="Times New Roman"/>
          <w:b/>
          <w:bCs/>
          <w:sz w:val="24"/>
          <w:szCs w:val="24"/>
        </w:rPr>
      </w:pPr>
      <w:r w:rsidRPr="005B7A05">
        <w:rPr>
          <w:rFonts w:ascii="Times New Roman" w:hAnsi="Times New Roman" w:cs="Times New Roman"/>
          <w:b/>
          <w:bCs/>
          <w:sz w:val="24"/>
          <w:szCs w:val="24"/>
        </w:rPr>
        <w:t xml:space="preserve">PHOSPHATE SOLUBILIZING ACTIVITY OF A POTENTAIL NITROGEN FIXER </w:t>
      </w:r>
      <w:r w:rsidRPr="005B7A05">
        <w:rPr>
          <w:rFonts w:ascii="Times New Roman" w:hAnsi="Times New Roman" w:cs="Times New Roman"/>
          <w:b/>
          <w:bCs/>
          <w:i/>
          <w:iCs/>
          <w:sz w:val="24"/>
          <w:szCs w:val="24"/>
        </w:rPr>
        <w:t>AZOTOBACTER VINELANDII FB2</w:t>
      </w:r>
      <w:r w:rsidR="00035C7E">
        <w:rPr>
          <w:rFonts w:ascii="Times New Roman" w:hAnsi="Times New Roman" w:cs="Times New Roman"/>
          <w:b/>
          <w:bCs/>
          <w:i/>
          <w:iCs/>
          <w:sz w:val="24"/>
          <w:szCs w:val="24"/>
        </w:rPr>
        <w:t xml:space="preserve"> </w:t>
      </w:r>
      <w:bookmarkStart w:id="0" w:name="_GoBack"/>
      <w:bookmarkEnd w:id="0"/>
    </w:p>
    <w:p w14:paraId="11B153B5" w14:textId="77777777" w:rsidR="005D5870" w:rsidRDefault="005D5870" w:rsidP="00F45F85">
      <w:pPr>
        <w:spacing w:after="0" w:line="360" w:lineRule="auto"/>
        <w:jc w:val="center"/>
        <w:rPr>
          <w:rFonts w:ascii="Times New Roman" w:hAnsi="Times New Roman" w:cs="Times New Roman"/>
          <w:b/>
          <w:bCs/>
          <w:sz w:val="24"/>
          <w:szCs w:val="24"/>
        </w:rPr>
      </w:pPr>
    </w:p>
    <w:p w14:paraId="74A39B93" w14:textId="77777777" w:rsidR="00F5437B" w:rsidRDefault="00F5437B" w:rsidP="007A27A8">
      <w:pPr>
        <w:spacing w:after="0" w:line="360" w:lineRule="auto"/>
        <w:jc w:val="both"/>
        <w:rPr>
          <w:rFonts w:ascii="Times New Roman" w:hAnsi="Times New Roman" w:cs="Times New Roman"/>
          <w:b/>
          <w:bCs/>
          <w:sz w:val="24"/>
          <w:szCs w:val="24"/>
        </w:rPr>
      </w:pPr>
    </w:p>
    <w:p w14:paraId="43944DC3" w14:textId="77777777" w:rsidR="007A27A8" w:rsidRDefault="007A27A8"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B781951" w14:textId="77777777" w:rsidR="007B0FD9" w:rsidRPr="00F5437B" w:rsidRDefault="007B0FD9" w:rsidP="00F5437B">
      <w:pPr>
        <w:pStyle w:val="NormalWeb"/>
        <w:spacing w:before="0" w:beforeAutospacing="0" w:after="0" w:afterAutospacing="0" w:line="360" w:lineRule="auto"/>
        <w:jc w:val="both"/>
      </w:pPr>
      <w:r>
        <w:t xml:space="preserve">Phosphorus is a vital nutrient for plant growth and development, yet a large portion of soil phosphorus remains locked in insoluble forms, making it unavailable for plant uptake. At the same time, atmospheric nitrogen, though abundant, cannot be directly utilized by plants and requires biological fixation. Harnessing microorganisms that can simultaneously solubilize phosphate and fix nitrogen is a sustainable approach to improving soil fertility and crop productivity. In this study, </w:t>
      </w:r>
      <w:proofErr w:type="spellStart"/>
      <w:r>
        <w:rPr>
          <w:rStyle w:val="Emphasis"/>
        </w:rPr>
        <w:t>Azotobacter</w:t>
      </w:r>
      <w:proofErr w:type="spellEnd"/>
      <w:r>
        <w:rPr>
          <w:rStyle w:val="Emphasis"/>
        </w:rPr>
        <w:t xml:space="preserve"> </w:t>
      </w:r>
      <w:proofErr w:type="spellStart"/>
      <w:r>
        <w:rPr>
          <w:rStyle w:val="Emphasis"/>
        </w:rPr>
        <w:t>vinelandii</w:t>
      </w:r>
      <w:proofErr w:type="spellEnd"/>
      <w:r>
        <w:t xml:space="preserve"> FB2 was evaluated for its dual capacity as a phosphate solubilizer and nitrogen fixer. Qualitative screening on </w:t>
      </w:r>
      <w:proofErr w:type="spellStart"/>
      <w:r>
        <w:t>Pikovskaya’s</w:t>
      </w:r>
      <w:proofErr w:type="spellEnd"/>
      <w:r>
        <w:t xml:space="preserve"> agar medium showed the formation of prominent halo zones around colonies, with an average solubilization index of 3.4 after 5 days of incubation, confirming the strain’s efficiency in mobilizing insoluble phosphate. Quantitative assays in </w:t>
      </w:r>
      <w:proofErr w:type="spellStart"/>
      <w:r>
        <w:t>Pikovskaya’s</w:t>
      </w:r>
      <w:proofErr w:type="spellEnd"/>
      <w:r>
        <w:t xml:space="preserve"> broth supplemented with tricalcium phosphate revealed a steady increase in soluble phosphorus, reaching 285 µg mL⁻¹ by the 7</w:t>
      </w:r>
      <w:r w:rsidRPr="00F5437B">
        <w:rPr>
          <w:vertAlign w:val="superscript"/>
        </w:rPr>
        <w:t>th</w:t>
      </w:r>
      <w:r>
        <w:t xml:space="preserve"> day of incubation. This solubilization was accompanied by a marked drop in medium pH from 7.0 to 4.3, indicating organic acid production as the primary mechanism involved. Furthermore, the isolate retained nitrogen fixation activity, highlighting its multifunctional role in nutrient cycling. The study demonstrates that </w:t>
      </w:r>
      <w:r>
        <w:rPr>
          <w:rStyle w:val="Emphasis"/>
        </w:rPr>
        <w:t xml:space="preserve">A. </w:t>
      </w:r>
      <w:proofErr w:type="spellStart"/>
      <w:r>
        <w:rPr>
          <w:rStyle w:val="Emphasis"/>
        </w:rPr>
        <w:t>vinelandii</w:t>
      </w:r>
      <w:proofErr w:type="spellEnd"/>
      <w:r>
        <w:t xml:space="preserve"> FB2 possesses significant phosphate solubilizing efficiency while concurrently contributing fixed nitrogen, making it an excellent candidate for biofertilizer development. Its application in agriculture could reduce dependency on costly and environmentally harmful chemical fertilizers, enhance nutrient use efficiency, and promote sustainable crop production.</w:t>
      </w:r>
    </w:p>
    <w:p w14:paraId="39700C59" w14:textId="77777777" w:rsidR="00F5437B" w:rsidRDefault="00F5437B" w:rsidP="00F5437B">
      <w:pPr>
        <w:pStyle w:val="NormalWeb"/>
        <w:spacing w:before="0" w:beforeAutospacing="0" w:after="0" w:afterAutospacing="0" w:line="360" w:lineRule="auto"/>
        <w:jc w:val="center"/>
        <w:rPr>
          <w:b/>
          <w:bCs/>
        </w:rPr>
      </w:pPr>
    </w:p>
    <w:p w14:paraId="1A967698" w14:textId="77777777" w:rsidR="00F5437B" w:rsidRPr="001C3197" w:rsidRDefault="007A27A8" w:rsidP="00931CE6">
      <w:pPr>
        <w:pStyle w:val="NormalWeb"/>
        <w:spacing w:before="0" w:beforeAutospacing="0" w:after="0" w:afterAutospacing="0" w:line="360" w:lineRule="auto"/>
        <w:rPr>
          <w:i/>
          <w:iCs/>
        </w:rPr>
      </w:pPr>
      <w:r w:rsidRPr="00F5437B">
        <w:rPr>
          <w:b/>
          <w:bCs/>
        </w:rPr>
        <w:t>K</w:t>
      </w:r>
      <w:r w:rsidR="00F5437B" w:rsidRPr="00F5437B">
        <w:rPr>
          <w:b/>
          <w:bCs/>
        </w:rPr>
        <w:t>eywords:</w:t>
      </w:r>
      <w:r w:rsidR="00F5437B" w:rsidRPr="00F5437B">
        <w:t xml:space="preserve">    </w:t>
      </w:r>
      <w:proofErr w:type="spellStart"/>
      <w:r w:rsidR="00F5437B" w:rsidRPr="001C3197">
        <w:rPr>
          <w:i/>
          <w:iCs/>
        </w:rPr>
        <w:t>Azotobacter</w:t>
      </w:r>
      <w:proofErr w:type="spellEnd"/>
      <w:r w:rsidR="00F5437B" w:rsidRPr="001C3197">
        <w:rPr>
          <w:i/>
          <w:iCs/>
        </w:rPr>
        <w:t xml:space="preserve"> </w:t>
      </w:r>
      <w:proofErr w:type="spellStart"/>
      <w:r w:rsidR="00F5437B" w:rsidRPr="001C3197">
        <w:rPr>
          <w:i/>
          <w:iCs/>
        </w:rPr>
        <w:t>vinelandii</w:t>
      </w:r>
      <w:proofErr w:type="spellEnd"/>
      <w:r w:rsidR="00F5437B" w:rsidRPr="001C3197">
        <w:rPr>
          <w:i/>
          <w:iCs/>
        </w:rPr>
        <w:t xml:space="preserve"> FB2</w:t>
      </w:r>
      <w:r w:rsidR="00F5437B">
        <w:rPr>
          <w:i/>
          <w:iCs/>
        </w:rPr>
        <w:t xml:space="preserve">, </w:t>
      </w:r>
      <w:r w:rsidR="00F5437B" w:rsidRPr="001C3197">
        <w:t xml:space="preserve">Phosphate </w:t>
      </w:r>
      <w:r w:rsidR="00F5437B">
        <w:t>solubilisation</w:t>
      </w:r>
      <w:r w:rsidR="00F5437B">
        <w:rPr>
          <w:i/>
          <w:iCs/>
        </w:rPr>
        <w:t xml:space="preserve">, </w:t>
      </w:r>
      <w:r w:rsidR="00F5437B" w:rsidRPr="001C3197">
        <w:t>Nitrogen fixation</w:t>
      </w:r>
      <w:r w:rsidR="00F5437B">
        <w:rPr>
          <w:i/>
          <w:iCs/>
        </w:rPr>
        <w:t xml:space="preserve">, </w:t>
      </w:r>
      <w:r w:rsidR="00F5437B" w:rsidRPr="001C3197">
        <w:t>Biofertilizer</w:t>
      </w:r>
      <w:r w:rsidR="00F5437B">
        <w:rPr>
          <w:i/>
          <w:iCs/>
        </w:rPr>
        <w:t xml:space="preserve">, </w:t>
      </w:r>
      <w:r w:rsidR="00F5437B" w:rsidRPr="001C3197">
        <w:t>Sustainable agriculture</w:t>
      </w:r>
    </w:p>
    <w:p w14:paraId="19506AE8" w14:textId="77777777" w:rsidR="00F5437B" w:rsidRDefault="00F5437B" w:rsidP="007A27A8">
      <w:pPr>
        <w:spacing w:after="0" w:line="360" w:lineRule="auto"/>
        <w:jc w:val="both"/>
        <w:rPr>
          <w:rFonts w:ascii="Times New Roman" w:hAnsi="Times New Roman" w:cs="Times New Roman"/>
          <w:b/>
          <w:bCs/>
          <w:sz w:val="24"/>
          <w:szCs w:val="24"/>
        </w:rPr>
      </w:pPr>
    </w:p>
    <w:p w14:paraId="3D21F6E9" w14:textId="77777777" w:rsidR="00F5437B" w:rsidRDefault="00F5437B" w:rsidP="00931CE6">
      <w:pPr>
        <w:pBdr>
          <w:bottom w:val="single" w:sz="4" w:space="1" w:color="auto"/>
        </w:pBdr>
        <w:spacing w:after="0" w:line="360" w:lineRule="auto"/>
        <w:jc w:val="both"/>
        <w:rPr>
          <w:rFonts w:ascii="Times New Roman" w:hAnsi="Times New Roman" w:cs="Times New Roman"/>
          <w:b/>
          <w:bCs/>
          <w:sz w:val="24"/>
          <w:szCs w:val="24"/>
        </w:rPr>
      </w:pPr>
    </w:p>
    <w:p w14:paraId="5B0A1E10" w14:textId="77777777" w:rsidR="00F5437B" w:rsidRDefault="00F5437B" w:rsidP="007A27A8">
      <w:pPr>
        <w:spacing w:after="0" w:line="360" w:lineRule="auto"/>
        <w:jc w:val="both"/>
        <w:rPr>
          <w:rFonts w:ascii="Times New Roman" w:hAnsi="Times New Roman" w:cs="Times New Roman"/>
          <w:b/>
          <w:bCs/>
          <w:sz w:val="24"/>
          <w:szCs w:val="24"/>
        </w:rPr>
      </w:pPr>
    </w:p>
    <w:p w14:paraId="2E30285A" w14:textId="77777777" w:rsidR="002733FE" w:rsidRDefault="002733FE" w:rsidP="007A27A8">
      <w:pPr>
        <w:spacing w:after="0" w:line="360" w:lineRule="auto"/>
        <w:jc w:val="both"/>
        <w:rPr>
          <w:rFonts w:ascii="Times New Roman" w:hAnsi="Times New Roman" w:cs="Times New Roman"/>
          <w:b/>
          <w:bCs/>
          <w:sz w:val="24"/>
          <w:szCs w:val="24"/>
        </w:rPr>
      </w:pPr>
    </w:p>
    <w:p w14:paraId="0888C4B0" w14:textId="77777777" w:rsidR="002733FE" w:rsidRDefault="002733FE" w:rsidP="007A27A8">
      <w:pPr>
        <w:spacing w:after="0" w:line="360" w:lineRule="auto"/>
        <w:jc w:val="both"/>
        <w:rPr>
          <w:rFonts w:ascii="Times New Roman" w:hAnsi="Times New Roman" w:cs="Times New Roman"/>
          <w:b/>
          <w:bCs/>
          <w:sz w:val="24"/>
          <w:szCs w:val="24"/>
        </w:rPr>
      </w:pPr>
    </w:p>
    <w:p w14:paraId="01EE4C10" w14:textId="77777777" w:rsidR="002733FE" w:rsidRDefault="002733FE" w:rsidP="007A27A8">
      <w:pPr>
        <w:spacing w:after="0" w:line="360" w:lineRule="auto"/>
        <w:jc w:val="both"/>
        <w:rPr>
          <w:rFonts w:ascii="Times New Roman" w:hAnsi="Times New Roman" w:cs="Times New Roman"/>
          <w:b/>
          <w:bCs/>
          <w:sz w:val="24"/>
          <w:szCs w:val="24"/>
        </w:rPr>
      </w:pPr>
    </w:p>
    <w:p w14:paraId="2DE8B72A" w14:textId="77777777" w:rsidR="007A27A8" w:rsidRDefault="007A27A8"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53C78653" w14:textId="77777777" w:rsidR="00EA4FF7" w:rsidRPr="00EA4FF7" w:rsidRDefault="00EA4FF7" w:rsidP="00EA4FF7">
      <w:pPr>
        <w:spacing w:after="0" w:line="360" w:lineRule="auto"/>
        <w:ind w:firstLine="720"/>
        <w:jc w:val="both"/>
        <w:rPr>
          <w:rFonts w:ascii="Times New Roman" w:eastAsia="Times New Roman" w:hAnsi="Times New Roman" w:cs="Times New Roman"/>
          <w:sz w:val="24"/>
          <w:szCs w:val="24"/>
          <w:lang w:eastAsia="en-IN"/>
        </w:rPr>
      </w:pPr>
      <w:r w:rsidRPr="00EA4FF7">
        <w:rPr>
          <w:rFonts w:ascii="Times New Roman" w:eastAsia="Times New Roman" w:hAnsi="Times New Roman" w:cs="Times New Roman"/>
          <w:sz w:val="24"/>
          <w:szCs w:val="24"/>
          <w:lang w:eastAsia="en-IN"/>
        </w:rPr>
        <w:t xml:space="preserve">Phosphorus (P) is one of the essential macronutrients required for plant growth and metabolism. It plays a central role in photosynthesis, energy transfer through ATP, nucleic acid synthesis, root development, and crop yield (Sharma </w:t>
      </w:r>
      <w:r w:rsidRPr="00EA4FF7">
        <w:rPr>
          <w:rFonts w:ascii="Times New Roman" w:eastAsia="Times New Roman" w:hAnsi="Times New Roman" w:cs="Times New Roman"/>
          <w:i/>
          <w:iCs/>
          <w:sz w:val="24"/>
          <w:szCs w:val="24"/>
          <w:lang w:eastAsia="en-IN"/>
        </w:rPr>
        <w:t>et al</w:t>
      </w:r>
      <w:r w:rsidRPr="00EA4FF7">
        <w:rPr>
          <w:rFonts w:ascii="Times New Roman" w:eastAsia="Times New Roman" w:hAnsi="Times New Roman" w:cs="Times New Roman"/>
          <w:sz w:val="24"/>
          <w:szCs w:val="24"/>
          <w:lang w:eastAsia="en-IN"/>
        </w:rPr>
        <w:t xml:space="preserve">., 2013). Although total phosphorus in agricultural soils is often high, more than 80% exists in insoluble forms such as tricalcium, iron, and </w:t>
      </w:r>
      <w:proofErr w:type="spellStart"/>
      <w:r w:rsidRPr="00EA4FF7">
        <w:rPr>
          <w:rFonts w:ascii="Times New Roman" w:eastAsia="Times New Roman" w:hAnsi="Times New Roman" w:cs="Times New Roman"/>
          <w:sz w:val="24"/>
          <w:szCs w:val="24"/>
          <w:lang w:eastAsia="en-IN"/>
        </w:rPr>
        <w:t>aluminum</w:t>
      </w:r>
      <w:proofErr w:type="spellEnd"/>
      <w:r w:rsidRPr="00EA4FF7">
        <w:rPr>
          <w:rFonts w:ascii="Times New Roman" w:eastAsia="Times New Roman" w:hAnsi="Times New Roman" w:cs="Times New Roman"/>
          <w:sz w:val="24"/>
          <w:szCs w:val="24"/>
          <w:lang w:eastAsia="en-IN"/>
        </w:rPr>
        <w:t xml:space="preserve"> phosphates, which are not readily available for plant uptake (Holford, 1997). This widespread problem of phosphorus unavailability is a major constraint in global agriculture, limiting crop productivity and soil fertility.</w:t>
      </w:r>
    </w:p>
    <w:p w14:paraId="2878F43F" w14:textId="77777777" w:rsidR="00EA4FF7" w:rsidRPr="00EA4FF7" w:rsidRDefault="00EA4FF7" w:rsidP="00EA4FF7">
      <w:pPr>
        <w:spacing w:after="0" w:line="360" w:lineRule="auto"/>
        <w:ind w:firstLine="720"/>
        <w:jc w:val="both"/>
        <w:rPr>
          <w:rFonts w:ascii="Times New Roman" w:eastAsia="Times New Roman" w:hAnsi="Times New Roman" w:cs="Times New Roman"/>
          <w:sz w:val="24"/>
          <w:szCs w:val="24"/>
          <w:lang w:eastAsia="en-IN"/>
        </w:rPr>
      </w:pPr>
      <w:r w:rsidRPr="00EA4FF7">
        <w:rPr>
          <w:rFonts w:ascii="Times New Roman" w:eastAsia="Times New Roman" w:hAnsi="Times New Roman" w:cs="Times New Roman"/>
          <w:sz w:val="24"/>
          <w:szCs w:val="24"/>
          <w:lang w:eastAsia="en-IN"/>
        </w:rPr>
        <w:t>To overcome this limitation, farmers traditionally rely on chemical phosphate fertilizers. While these inputs temporarily enhance crop yields, their long-term use poses serious ecological and economic challenges. Excessive application leads to nutrient imbalance, soil compaction, eutrophication of water bodies, and accumulation of heavy metals, while also increasing the financial burden on farmers (Mahdi et al., 2010; Chen et al., 2006). Hence, the development of cost-effective and eco-friendly alternatives is urgently needed to promote sustainable agriculture.</w:t>
      </w:r>
    </w:p>
    <w:p w14:paraId="433EE369" w14:textId="77777777" w:rsidR="00EA4FF7" w:rsidRPr="00EA4FF7" w:rsidRDefault="00EA4FF7" w:rsidP="00EA4FF7">
      <w:pPr>
        <w:spacing w:after="0" w:line="360" w:lineRule="auto"/>
        <w:ind w:firstLine="720"/>
        <w:jc w:val="both"/>
        <w:rPr>
          <w:rFonts w:ascii="Times New Roman" w:eastAsia="Times New Roman" w:hAnsi="Times New Roman" w:cs="Times New Roman"/>
          <w:sz w:val="24"/>
          <w:szCs w:val="24"/>
          <w:lang w:eastAsia="en-IN"/>
        </w:rPr>
      </w:pPr>
      <w:r w:rsidRPr="00EA4FF7">
        <w:rPr>
          <w:rFonts w:ascii="Times New Roman" w:eastAsia="Times New Roman" w:hAnsi="Times New Roman" w:cs="Times New Roman"/>
          <w:sz w:val="24"/>
          <w:szCs w:val="24"/>
          <w:lang w:eastAsia="en-IN"/>
        </w:rPr>
        <w:t>In this context, phosphate solubilizing microorganisms (PSMs) have attracted considerable attention. These microbes can convert insoluble forms of phosphorus into soluble orthophosphates through the production of organic acids, chelation, and proton extrusion (</w:t>
      </w:r>
      <w:proofErr w:type="spellStart"/>
      <w:r w:rsidRPr="00EA4FF7">
        <w:rPr>
          <w:rFonts w:ascii="Times New Roman" w:eastAsia="Times New Roman" w:hAnsi="Times New Roman" w:cs="Times New Roman"/>
          <w:sz w:val="24"/>
          <w:szCs w:val="24"/>
          <w:lang w:eastAsia="en-IN"/>
        </w:rPr>
        <w:t>Illmer</w:t>
      </w:r>
      <w:proofErr w:type="spellEnd"/>
      <w:r w:rsidRPr="00EA4FF7">
        <w:rPr>
          <w:rFonts w:ascii="Times New Roman" w:eastAsia="Times New Roman" w:hAnsi="Times New Roman" w:cs="Times New Roman"/>
          <w:sz w:val="24"/>
          <w:szCs w:val="24"/>
          <w:lang w:eastAsia="en-IN"/>
        </w:rPr>
        <w:t xml:space="preserve"> &amp; Schinner, 1995; Rodríguez &amp; Fraga, 1999). Among them, </w:t>
      </w:r>
      <w:proofErr w:type="spellStart"/>
      <w:r w:rsidRPr="00EA4FF7">
        <w:rPr>
          <w:rFonts w:ascii="Times New Roman" w:eastAsia="Times New Roman" w:hAnsi="Times New Roman" w:cs="Times New Roman"/>
          <w:i/>
          <w:iCs/>
          <w:sz w:val="24"/>
          <w:szCs w:val="24"/>
          <w:lang w:eastAsia="en-IN"/>
        </w:rPr>
        <w:t>Azotobacter</w:t>
      </w:r>
      <w:proofErr w:type="spellEnd"/>
      <w:r w:rsidRPr="00EA4FF7">
        <w:rPr>
          <w:rFonts w:ascii="Times New Roman" w:eastAsia="Times New Roman" w:hAnsi="Times New Roman" w:cs="Times New Roman"/>
          <w:i/>
          <w:iCs/>
          <w:sz w:val="24"/>
          <w:szCs w:val="24"/>
          <w:lang w:eastAsia="en-IN"/>
        </w:rPr>
        <w:t xml:space="preserve"> </w:t>
      </w:r>
      <w:proofErr w:type="spellStart"/>
      <w:r w:rsidRPr="00EA4FF7">
        <w:rPr>
          <w:rFonts w:ascii="Times New Roman" w:eastAsia="Times New Roman" w:hAnsi="Times New Roman" w:cs="Times New Roman"/>
          <w:i/>
          <w:iCs/>
          <w:sz w:val="24"/>
          <w:szCs w:val="24"/>
          <w:lang w:eastAsia="en-IN"/>
        </w:rPr>
        <w:t>vinelandii</w:t>
      </w:r>
      <w:proofErr w:type="spellEnd"/>
      <w:r w:rsidRPr="00EA4FF7">
        <w:rPr>
          <w:rFonts w:ascii="Times New Roman" w:eastAsia="Times New Roman" w:hAnsi="Times New Roman" w:cs="Times New Roman"/>
          <w:sz w:val="24"/>
          <w:szCs w:val="24"/>
          <w:lang w:eastAsia="en-IN"/>
        </w:rPr>
        <w:t xml:space="preserve"> holds special significance because of its dual functionality. It is a free-living nitrogen fixer that contributes to nitrogen cycling in soils, and at the same time, it has the ability to solubilize insoluble phosphate, thereby improving the availability of two key macronutrients simultaneously (</w:t>
      </w:r>
      <w:proofErr w:type="spellStart"/>
      <w:r w:rsidRPr="00EA4FF7">
        <w:rPr>
          <w:rFonts w:ascii="Times New Roman" w:eastAsia="Times New Roman" w:hAnsi="Times New Roman" w:cs="Times New Roman"/>
          <w:sz w:val="24"/>
          <w:szCs w:val="24"/>
          <w:lang w:eastAsia="en-IN"/>
        </w:rPr>
        <w:t>Mrkovacki</w:t>
      </w:r>
      <w:proofErr w:type="spellEnd"/>
      <w:r w:rsidRPr="00EA4FF7">
        <w:rPr>
          <w:rFonts w:ascii="Times New Roman" w:eastAsia="Times New Roman" w:hAnsi="Times New Roman" w:cs="Times New Roman"/>
          <w:sz w:val="24"/>
          <w:szCs w:val="24"/>
          <w:lang w:eastAsia="en-IN"/>
        </w:rPr>
        <w:t xml:space="preserve"> &amp; </w:t>
      </w:r>
      <w:proofErr w:type="spellStart"/>
      <w:r w:rsidRPr="00EA4FF7">
        <w:rPr>
          <w:rFonts w:ascii="Times New Roman" w:eastAsia="Times New Roman" w:hAnsi="Times New Roman" w:cs="Times New Roman"/>
          <w:sz w:val="24"/>
          <w:szCs w:val="24"/>
          <w:lang w:eastAsia="en-IN"/>
        </w:rPr>
        <w:t>Milic</w:t>
      </w:r>
      <w:proofErr w:type="spellEnd"/>
      <w:r w:rsidRPr="00EA4FF7">
        <w:rPr>
          <w:rFonts w:ascii="Times New Roman" w:eastAsia="Times New Roman" w:hAnsi="Times New Roman" w:cs="Times New Roman"/>
          <w:sz w:val="24"/>
          <w:szCs w:val="24"/>
          <w:lang w:eastAsia="en-IN"/>
        </w:rPr>
        <w:t>, 2001).</w:t>
      </w:r>
    </w:p>
    <w:p w14:paraId="5EA71AC5" w14:textId="77777777" w:rsidR="00EA4FF7" w:rsidRPr="00EA4FF7" w:rsidRDefault="00EA4FF7" w:rsidP="00EA4FF7">
      <w:pPr>
        <w:spacing w:after="0" w:line="360" w:lineRule="auto"/>
        <w:ind w:firstLine="720"/>
        <w:jc w:val="both"/>
        <w:rPr>
          <w:rFonts w:ascii="Times New Roman" w:eastAsia="Times New Roman" w:hAnsi="Times New Roman" w:cs="Times New Roman"/>
          <w:sz w:val="24"/>
          <w:szCs w:val="24"/>
          <w:lang w:eastAsia="en-IN"/>
        </w:rPr>
      </w:pPr>
      <w:r w:rsidRPr="00EA4FF7">
        <w:rPr>
          <w:rFonts w:ascii="Times New Roman" w:eastAsia="Times New Roman" w:hAnsi="Times New Roman" w:cs="Times New Roman"/>
          <w:sz w:val="24"/>
          <w:szCs w:val="24"/>
          <w:lang w:eastAsia="en-IN"/>
        </w:rPr>
        <w:t xml:space="preserve">Despite the well-documented benefits of PSMs and nitrogen fixers, relatively few studies have focused on the combined phosphate solubilizing and nitrogen-fixing activity of specific </w:t>
      </w:r>
      <w:r w:rsidRPr="00EA4FF7">
        <w:rPr>
          <w:rFonts w:ascii="Times New Roman" w:eastAsia="Times New Roman" w:hAnsi="Times New Roman" w:cs="Times New Roman"/>
          <w:i/>
          <w:iCs/>
          <w:sz w:val="24"/>
          <w:szCs w:val="24"/>
          <w:lang w:eastAsia="en-IN"/>
        </w:rPr>
        <w:t xml:space="preserve">A. </w:t>
      </w:r>
      <w:proofErr w:type="spellStart"/>
      <w:r w:rsidRPr="00EA4FF7">
        <w:rPr>
          <w:rFonts w:ascii="Times New Roman" w:eastAsia="Times New Roman" w:hAnsi="Times New Roman" w:cs="Times New Roman"/>
          <w:i/>
          <w:iCs/>
          <w:sz w:val="24"/>
          <w:szCs w:val="24"/>
          <w:lang w:eastAsia="en-IN"/>
        </w:rPr>
        <w:t>vinelandii</w:t>
      </w:r>
      <w:proofErr w:type="spellEnd"/>
      <w:r w:rsidRPr="00EA4FF7">
        <w:rPr>
          <w:rFonts w:ascii="Times New Roman" w:eastAsia="Times New Roman" w:hAnsi="Times New Roman" w:cs="Times New Roman"/>
          <w:sz w:val="24"/>
          <w:szCs w:val="24"/>
          <w:lang w:eastAsia="en-IN"/>
        </w:rPr>
        <w:t xml:space="preserve"> strains. In particular, the dual potential of </w:t>
      </w:r>
      <w:r w:rsidRPr="00EA4FF7">
        <w:rPr>
          <w:rFonts w:ascii="Times New Roman" w:eastAsia="Times New Roman" w:hAnsi="Times New Roman" w:cs="Times New Roman"/>
          <w:i/>
          <w:iCs/>
          <w:sz w:val="24"/>
          <w:szCs w:val="24"/>
          <w:lang w:eastAsia="en-IN"/>
        </w:rPr>
        <w:t xml:space="preserve">A. </w:t>
      </w:r>
      <w:proofErr w:type="spellStart"/>
      <w:r w:rsidRPr="00EA4FF7">
        <w:rPr>
          <w:rFonts w:ascii="Times New Roman" w:eastAsia="Times New Roman" w:hAnsi="Times New Roman" w:cs="Times New Roman"/>
          <w:i/>
          <w:iCs/>
          <w:sz w:val="24"/>
          <w:szCs w:val="24"/>
          <w:lang w:eastAsia="en-IN"/>
        </w:rPr>
        <w:t>vinelandii</w:t>
      </w:r>
      <w:proofErr w:type="spellEnd"/>
      <w:r w:rsidRPr="00EA4FF7">
        <w:rPr>
          <w:rFonts w:ascii="Times New Roman" w:eastAsia="Times New Roman" w:hAnsi="Times New Roman" w:cs="Times New Roman"/>
          <w:sz w:val="24"/>
          <w:szCs w:val="24"/>
          <w:lang w:eastAsia="en-IN"/>
        </w:rPr>
        <w:t xml:space="preserve"> FB2 remains underexplored. Understanding this strain’s ability to enhance phosphorus availability while fixing atmospheric nitrogen could provide an effective solution for reducing chemical fertilizer dependency and improving soil fertility.</w:t>
      </w:r>
    </w:p>
    <w:p w14:paraId="4BBAD96C" w14:textId="77777777" w:rsidR="00F5437B" w:rsidRPr="00EA4FF7" w:rsidRDefault="00EA4FF7" w:rsidP="00EA4FF7">
      <w:pPr>
        <w:spacing w:after="0" w:line="360" w:lineRule="auto"/>
        <w:ind w:firstLine="720"/>
        <w:jc w:val="both"/>
        <w:rPr>
          <w:rFonts w:ascii="Times New Roman" w:eastAsia="Times New Roman" w:hAnsi="Times New Roman" w:cs="Times New Roman"/>
          <w:sz w:val="24"/>
          <w:szCs w:val="24"/>
          <w:lang w:eastAsia="en-IN"/>
        </w:rPr>
      </w:pPr>
      <w:r w:rsidRPr="00EA4FF7">
        <w:rPr>
          <w:rFonts w:ascii="Times New Roman" w:eastAsia="Times New Roman" w:hAnsi="Times New Roman" w:cs="Times New Roman"/>
          <w:sz w:val="24"/>
          <w:szCs w:val="24"/>
          <w:lang w:eastAsia="en-IN"/>
        </w:rPr>
        <w:t>Therefore, the present study was designed with the following objectives: (</w:t>
      </w:r>
      <w:proofErr w:type="spellStart"/>
      <w:r w:rsidRPr="00EA4FF7">
        <w:rPr>
          <w:rFonts w:ascii="Times New Roman" w:eastAsia="Times New Roman" w:hAnsi="Times New Roman" w:cs="Times New Roman"/>
          <w:sz w:val="24"/>
          <w:szCs w:val="24"/>
          <w:lang w:eastAsia="en-IN"/>
        </w:rPr>
        <w:t>i</w:t>
      </w:r>
      <w:proofErr w:type="spellEnd"/>
      <w:r w:rsidRPr="00EA4FF7">
        <w:rPr>
          <w:rFonts w:ascii="Times New Roman" w:eastAsia="Times New Roman" w:hAnsi="Times New Roman" w:cs="Times New Roman"/>
          <w:sz w:val="24"/>
          <w:szCs w:val="24"/>
          <w:lang w:eastAsia="en-IN"/>
        </w:rPr>
        <w:t xml:space="preserve">) to evaluate the phosphate solubilizing efficiency of </w:t>
      </w:r>
      <w:proofErr w:type="spellStart"/>
      <w:r w:rsidRPr="00EA4FF7">
        <w:rPr>
          <w:rFonts w:ascii="Times New Roman" w:eastAsia="Times New Roman" w:hAnsi="Times New Roman" w:cs="Times New Roman"/>
          <w:i/>
          <w:iCs/>
          <w:sz w:val="24"/>
          <w:szCs w:val="24"/>
          <w:lang w:eastAsia="en-IN"/>
        </w:rPr>
        <w:t>Azotobacter</w:t>
      </w:r>
      <w:proofErr w:type="spellEnd"/>
      <w:r w:rsidRPr="00EA4FF7">
        <w:rPr>
          <w:rFonts w:ascii="Times New Roman" w:eastAsia="Times New Roman" w:hAnsi="Times New Roman" w:cs="Times New Roman"/>
          <w:i/>
          <w:iCs/>
          <w:sz w:val="24"/>
          <w:szCs w:val="24"/>
          <w:lang w:eastAsia="en-IN"/>
        </w:rPr>
        <w:t xml:space="preserve"> </w:t>
      </w:r>
      <w:proofErr w:type="spellStart"/>
      <w:r w:rsidRPr="00EA4FF7">
        <w:rPr>
          <w:rFonts w:ascii="Times New Roman" w:eastAsia="Times New Roman" w:hAnsi="Times New Roman" w:cs="Times New Roman"/>
          <w:i/>
          <w:iCs/>
          <w:sz w:val="24"/>
          <w:szCs w:val="24"/>
          <w:lang w:eastAsia="en-IN"/>
        </w:rPr>
        <w:t>vinelandii</w:t>
      </w:r>
      <w:proofErr w:type="spellEnd"/>
      <w:r w:rsidRPr="00EA4FF7">
        <w:rPr>
          <w:rFonts w:ascii="Times New Roman" w:eastAsia="Times New Roman" w:hAnsi="Times New Roman" w:cs="Times New Roman"/>
          <w:sz w:val="24"/>
          <w:szCs w:val="24"/>
          <w:lang w:eastAsia="en-IN"/>
        </w:rPr>
        <w:t xml:space="preserve"> FB2 using qualitative and quantitative assays; (ii) to characterize the underlying mechanisms, particularly organic acid secretion and pH reduction; and (iii) to assess its potential as a multifunctional biofertilizer capable of contributing to sustainable agricultural productivity.</w:t>
      </w:r>
    </w:p>
    <w:p w14:paraId="5A33E69D" w14:textId="77777777" w:rsidR="007A27A8" w:rsidRDefault="007A27A8"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MATERIALS AND METHODS</w:t>
      </w:r>
    </w:p>
    <w:p w14:paraId="142301D6" w14:textId="77777777" w:rsidR="00682839" w:rsidRPr="00682839" w:rsidRDefault="00682839" w:rsidP="000C5EF1">
      <w:pPr>
        <w:spacing w:after="0" w:line="360" w:lineRule="auto"/>
        <w:jc w:val="both"/>
        <w:outlineLvl w:val="2"/>
        <w:rPr>
          <w:rFonts w:ascii="Times New Roman" w:eastAsia="Times New Roman" w:hAnsi="Times New Roman" w:cs="Times New Roman"/>
          <w:b/>
          <w:bCs/>
          <w:sz w:val="24"/>
          <w:szCs w:val="24"/>
          <w:lang w:eastAsia="en-IN"/>
        </w:rPr>
      </w:pPr>
      <w:r w:rsidRPr="00682839">
        <w:rPr>
          <w:rFonts w:ascii="Times New Roman" w:eastAsia="Times New Roman" w:hAnsi="Times New Roman" w:cs="Times New Roman"/>
          <w:b/>
          <w:bCs/>
          <w:sz w:val="24"/>
          <w:szCs w:val="24"/>
          <w:lang w:eastAsia="en-IN"/>
        </w:rPr>
        <w:t>1. Microorganism and Culture Maintenance</w:t>
      </w:r>
    </w:p>
    <w:p w14:paraId="1E0A1854" w14:textId="77777777" w:rsidR="00682839" w:rsidRPr="00682839" w:rsidRDefault="00682839" w:rsidP="000C5EF1">
      <w:pPr>
        <w:spacing w:after="0" w:line="360" w:lineRule="auto"/>
        <w:jc w:val="both"/>
        <w:rPr>
          <w:rFonts w:ascii="Times New Roman" w:eastAsia="Times New Roman" w:hAnsi="Times New Roman" w:cs="Times New Roman"/>
          <w:sz w:val="24"/>
          <w:szCs w:val="24"/>
          <w:lang w:eastAsia="en-IN"/>
        </w:rPr>
      </w:pPr>
      <w:r w:rsidRPr="00682839">
        <w:rPr>
          <w:rFonts w:ascii="Times New Roman" w:eastAsia="Times New Roman" w:hAnsi="Times New Roman" w:cs="Times New Roman"/>
          <w:sz w:val="24"/>
          <w:szCs w:val="24"/>
          <w:lang w:eastAsia="en-IN"/>
        </w:rPr>
        <w:t xml:space="preserve">The bacterial strain </w:t>
      </w:r>
      <w:proofErr w:type="spellStart"/>
      <w:r w:rsidRPr="000C5EF1">
        <w:rPr>
          <w:rFonts w:ascii="Times New Roman" w:eastAsia="Times New Roman" w:hAnsi="Times New Roman" w:cs="Times New Roman"/>
          <w:i/>
          <w:iCs/>
          <w:sz w:val="24"/>
          <w:szCs w:val="24"/>
          <w:lang w:eastAsia="en-IN"/>
        </w:rPr>
        <w:t>Azotobacter</w:t>
      </w:r>
      <w:proofErr w:type="spellEnd"/>
      <w:r w:rsidRPr="000C5EF1">
        <w:rPr>
          <w:rFonts w:ascii="Times New Roman" w:eastAsia="Times New Roman" w:hAnsi="Times New Roman" w:cs="Times New Roman"/>
          <w:i/>
          <w:iCs/>
          <w:sz w:val="24"/>
          <w:szCs w:val="24"/>
          <w:lang w:eastAsia="en-IN"/>
        </w:rPr>
        <w:t xml:space="preserve"> </w:t>
      </w:r>
      <w:proofErr w:type="spellStart"/>
      <w:r w:rsidRPr="000C5EF1">
        <w:rPr>
          <w:rFonts w:ascii="Times New Roman" w:eastAsia="Times New Roman" w:hAnsi="Times New Roman" w:cs="Times New Roman"/>
          <w:i/>
          <w:iCs/>
          <w:sz w:val="24"/>
          <w:szCs w:val="24"/>
          <w:lang w:eastAsia="en-IN"/>
        </w:rPr>
        <w:t>vinelandii</w:t>
      </w:r>
      <w:proofErr w:type="spellEnd"/>
      <w:r w:rsidRPr="00682839">
        <w:rPr>
          <w:rFonts w:ascii="Times New Roman" w:eastAsia="Times New Roman" w:hAnsi="Times New Roman" w:cs="Times New Roman"/>
          <w:sz w:val="24"/>
          <w:szCs w:val="24"/>
          <w:lang w:eastAsia="en-IN"/>
        </w:rPr>
        <w:t xml:space="preserve"> FB2 was used in this study. The isolate was maintained on Ashby’s mannitol agar slants at 28 ± 2</w:t>
      </w:r>
      <w:r w:rsidR="000C5EF1" w:rsidRPr="000C5EF1">
        <w:rPr>
          <w:rFonts w:ascii="Times New Roman" w:eastAsia="Times New Roman" w:hAnsi="Times New Roman" w:cs="Times New Roman"/>
          <w:sz w:val="24"/>
          <w:szCs w:val="24"/>
          <w:vertAlign w:val="superscript"/>
          <w:lang w:eastAsia="en-IN"/>
        </w:rPr>
        <w:t>0</w:t>
      </w:r>
      <w:r w:rsidRPr="00682839">
        <w:rPr>
          <w:rFonts w:ascii="Times New Roman" w:eastAsia="Times New Roman" w:hAnsi="Times New Roman" w:cs="Times New Roman"/>
          <w:sz w:val="24"/>
          <w:szCs w:val="24"/>
          <w:lang w:eastAsia="en-IN"/>
        </w:rPr>
        <w:t xml:space="preserve">C and </w:t>
      </w:r>
      <w:proofErr w:type="spellStart"/>
      <w:r w:rsidRPr="00682839">
        <w:rPr>
          <w:rFonts w:ascii="Times New Roman" w:eastAsia="Times New Roman" w:hAnsi="Times New Roman" w:cs="Times New Roman"/>
          <w:sz w:val="24"/>
          <w:szCs w:val="24"/>
          <w:lang w:eastAsia="en-IN"/>
        </w:rPr>
        <w:t>subcultured</w:t>
      </w:r>
      <w:proofErr w:type="spellEnd"/>
      <w:r w:rsidRPr="00682839">
        <w:rPr>
          <w:rFonts w:ascii="Times New Roman" w:eastAsia="Times New Roman" w:hAnsi="Times New Roman" w:cs="Times New Roman"/>
          <w:sz w:val="24"/>
          <w:szCs w:val="24"/>
          <w:lang w:eastAsia="en-IN"/>
        </w:rPr>
        <w:t xml:space="preserve"> every two weeks to preserve its viability (</w:t>
      </w:r>
      <w:proofErr w:type="spellStart"/>
      <w:r w:rsidRPr="00682839">
        <w:rPr>
          <w:rFonts w:ascii="Times New Roman" w:eastAsia="Times New Roman" w:hAnsi="Times New Roman" w:cs="Times New Roman"/>
          <w:sz w:val="24"/>
          <w:szCs w:val="24"/>
          <w:lang w:eastAsia="en-IN"/>
        </w:rPr>
        <w:t>Subba</w:t>
      </w:r>
      <w:proofErr w:type="spellEnd"/>
      <w:r w:rsidRPr="00682839">
        <w:rPr>
          <w:rFonts w:ascii="Times New Roman" w:eastAsia="Times New Roman" w:hAnsi="Times New Roman" w:cs="Times New Roman"/>
          <w:sz w:val="24"/>
          <w:szCs w:val="24"/>
          <w:lang w:eastAsia="en-IN"/>
        </w:rPr>
        <w:t xml:space="preserve"> Rao, 1999). For experimental purposes, fresh cultures grown for 48 hours were used as inoculum.</w:t>
      </w:r>
    </w:p>
    <w:p w14:paraId="04542117" w14:textId="77777777" w:rsidR="00682839" w:rsidRPr="00682839" w:rsidRDefault="00682839" w:rsidP="000C5EF1">
      <w:pPr>
        <w:spacing w:after="0" w:line="360" w:lineRule="auto"/>
        <w:jc w:val="both"/>
        <w:outlineLvl w:val="2"/>
        <w:rPr>
          <w:rFonts w:ascii="Times New Roman" w:eastAsia="Times New Roman" w:hAnsi="Times New Roman" w:cs="Times New Roman"/>
          <w:b/>
          <w:bCs/>
          <w:sz w:val="24"/>
          <w:szCs w:val="24"/>
          <w:lang w:eastAsia="en-IN"/>
        </w:rPr>
      </w:pPr>
      <w:r w:rsidRPr="00682839">
        <w:rPr>
          <w:rFonts w:ascii="Times New Roman" w:eastAsia="Times New Roman" w:hAnsi="Times New Roman" w:cs="Times New Roman"/>
          <w:b/>
          <w:bCs/>
          <w:sz w:val="24"/>
          <w:szCs w:val="24"/>
          <w:lang w:eastAsia="en-IN"/>
        </w:rPr>
        <w:t>2. Qualitative Assay for Phosphate Solubilization</w:t>
      </w:r>
    </w:p>
    <w:p w14:paraId="2A862947" w14:textId="77777777" w:rsidR="00682839" w:rsidRPr="00682839" w:rsidRDefault="008C6B69" w:rsidP="000C5EF1">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b/>
          <w:bCs/>
          <w:noProof/>
          <w:sz w:val="24"/>
          <w:szCs w:val="24"/>
          <w:lang w:eastAsia="en-IN" w:bidi="ar-SA"/>
        </w:rPr>
        <mc:AlternateContent>
          <mc:Choice Requires="wps">
            <w:drawing>
              <wp:anchor distT="0" distB="0" distL="114300" distR="114300" simplePos="0" relativeHeight="251659264" behindDoc="0" locked="0" layoutInCell="1" allowOverlap="1" wp14:anchorId="0A387C79" wp14:editId="340BD213">
                <wp:simplePos x="0" y="0"/>
                <wp:positionH relativeFrom="column">
                  <wp:posOffset>1181100</wp:posOffset>
                </wp:positionH>
                <wp:positionV relativeFrom="paragraph">
                  <wp:posOffset>1531620</wp:posOffset>
                </wp:positionV>
                <wp:extent cx="3590925" cy="619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590925" cy="61912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FE732" w14:textId="77777777" w:rsidR="008C6B69" w:rsidRDefault="008C6B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69DCAD" id="_x0000_t202" coordsize="21600,21600" o:spt="202" path="m,l,21600r21600,l21600,xe">
                <v:stroke joinstyle="miter"/>
                <v:path gradientshapeok="t" o:connecttype="rect"/>
              </v:shapetype>
              <v:shape id="Text Box 1" o:spid="_x0000_s1026" type="#_x0000_t202" style="position:absolute;left:0;text-align:left;margin-left:93pt;margin-top:120.6pt;width:282.7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" strokeweight=".5pt">
                <v:fill r:id="rId9" o:title="" recolor="t" rotate="t" type="frame"/>
                <v:textbox>
                  <w:txbxContent>
                    <w:p w:rsidR="008C6B69" w:rsidRDefault="008C6B69"/>
                  </w:txbxContent>
                </v:textbox>
              </v:shape>
            </w:pict>
          </mc:Fallback>
        </mc:AlternateContent>
      </w:r>
      <w:r w:rsidR="00682839" w:rsidRPr="00682839">
        <w:rPr>
          <w:rFonts w:ascii="Times New Roman" w:eastAsia="Times New Roman" w:hAnsi="Times New Roman" w:cs="Times New Roman"/>
          <w:sz w:val="24"/>
          <w:szCs w:val="24"/>
          <w:lang w:eastAsia="en-IN"/>
        </w:rPr>
        <w:t xml:space="preserve">Phosphate solubilization was initially evaluated on </w:t>
      </w:r>
      <w:proofErr w:type="spellStart"/>
      <w:r w:rsidR="00682839" w:rsidRPr="00682839">
        <w:rPr>
          <w:rFonts w:ascii="Times New Roman" w:eastAsia="Times New Roman" w:hAnsi="Times New Roman" w:cs="Times New Roman"/>
          <w:sz w:val="24"/>
          <w:szCs w:val="24"/>
          <w:lang w:eastAsia="en-IN"/>
        </w:rPr>
        <w:t>Pikovskaya’s</w:t>
      </w:r>
      <w:proofErr w:type="spellEnd"/>
      <w:r w:rsidR="00682839" w:rsidRPr="00682839">
        <w:rPr>
          <w:rFonts w:ascii="Times New Roman" w:eastAsia="Times New Roman" w:hAnsi="Times New Roman" w:cs="Times New Roman"/>
          <w:sz w:val="24"/>
          <w:szCs w:val="24"/>
          <w:lang w:eastAsia="en-IN"/>
        </w:rPr>
        <w:t xml:space="preserve"> agar medium containing tricalcium phosphate (TCP, 5 g L⁻¹) as the insoluble phosphorus source (</w:t>
      </w:r>
      <w:proofErr w:type="spellStart"/>
      <w:r w:rsidR="00682839" w:rsidRPr="00682839">
        <w:rPr>
          <w:rFonts w:ascii="Times New Roman" w:eastAsia="Times New Roman" w:hAnsi="Times New Roman" w:cs="Times New Roman"/>
          <w:sz w:val="24"/>
          <w:szCs w:val="24"/>
          <w:lang w:eastAsia="en-IN"/>
        </w:rPr>
        <w:t>Pikovskaya</w:t>
      </w:r>
      <w:proofErr w:type="spellEnd"/>
      <w:r w:rsidR="00682839" w:rsidRPr="00682839">
        <w:rPr>
          <w:rFonts w:ascii="Times New Roman" w:eastAsia="Times New Roman" w:hAnsi="Times New Roman" w:cs="Times New Roman"/>
          <w:sz w:val="24"/>
          <w:szCs w:val="24"/>
          <w:lang w:eastAsia="en-IN"/>
        </w:rPr>
        <w:t>, 1948). A loopful of freshly grown culture was spot-inoculated onto the agar plates and incubated at 28 ± 2</w:t>
      </w:r>
      <w:r w:rsidR="000C5EF1" w:rsidRPr="000C5EF1">
        <w:rPr>
          <w:rFonts w:ascii="Times New Roman" w:eastAsia="Times New Roman" w:hAnsi="Times New Roman" w:cs="Times New Roman"/>
          <w:sz w:val="24"/>
          <w:szCs w:val="24"/>
          <w:vertAlign w:val="superscript"/>
          <w:lang w:eastAsia="en-IN"/>
        </w:rPr>
        <w:t>0</w:t>
      </w:r>
      <w:r w:rsidR="00682839" w:rsidRPr="00682839">
        <w:rPr>
          <w:rFonts w:ascii="Times New Roman" w:eastAsia="Times New Roman" w:hAnsi="Times New Roman" w:cs="Times New Roman"/>
          <w:sz w:val="24"/>
          <w:szCs w:val="24"/>
          <w:lang w:eastAsia="en-IN"/>
        </w:rPr>
        <w:t>C for 5–7 days. Formation of clear halo zones around the colonies was recorded as evidence of phosphate solubilization. The solubilization index (SI) was calculated using the formula:</w:t>
      </w:r>
    </w:p>
    <w:p w14:paraId="77EA4BED" w14:textId="77777777" w:rsidR="00F5437B" w:rsidRPr="000C5EF1" w:rsidRDefault="00F5437B" w:rsidP="000C5EF1">
      <w:pPr>
        <w:spacing w:after="0" w:line="360" w:lineRule="auto"/>
        <w:jc w:val="both"/>
        <w:rPr>
          <w:rFonts w:ascii="Times New Roman" w:hAnsi="Times New Roman" w:cs="Times New Roman"/>
          <w:b/>
          <w:bCs/>
          <w:sz w:val="24"/>
          <w:szCs w:val="24"/>
        </w:rPr>
      </w:pPr>
    </w:p>
    <w:p w14:paraId="726FB9B5" w14:textId="77777777" w:rsidR="00F5437B" w:rsidRDefault="00F5437B" w:rsidP="007A27A8">
      <w:pPr>
        <w:spacing w:after="0" w:line="360" w:lineRule="auto"/>
        <w:jc w:val="both"/>
        <w:rPr>
          <w:rFonts w:ascii="Times New Roman" w:hAnsi="Times New Roman" w:cs="Times New Roman"/>
          <w:b/>
          <w:bCs/>
          <w:sz w:val="24"/>
          <w:szCs w:val="24"/>
        </w:rPr>
      </w:pPr>
    </w:p>
    <w:p w14:paraId="43344346" w14:textId="77777777" w:rsidR="00F5437B" w:rsidRDefault="00F5437B" w:rsidP="007A27A8">
      <w:pPr>
        <w:spacing w:after="0" w:line="360" w:lineRule="auto"/>
        <w:jc w:val="both"/>
        <w:rPr>
          <w:rFonts w:ascii="Times New Roman" w:hAnsi="Times New Roman" w:cs="Times New Roman"/>
          <w:b/>
          <w:bCs/>
          <w:sz w:val="24"/>
          <w:szCs w:val="24"/>
        </w:rPr>
      </w:pPr>
    </w:p>
    <w:p w14:paraId="4705AB45" w14:textId="77777777" w:rsidR="00FC49CF" w:rsidRPr="00FC49CF" w:rsidRDefault="00FC49CF" w:rsidP="00FC49CF">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3. Quantitative Estimation of Phosphate Solubilization</w:t>
      </w:r>
    </w:p>
    <w:p w14:paraId="3F8863E9" w14:textId="77777777" w:rsidR="00FC49CF" w:rsidRPr="00FC49CF" w:rsidRDefault="00FC49CF" w:rsidP="00FC49CF">
      <w:pPr>
        <w:spacing w:after="0" w:line="360" w:lineRule="auto"/>
        <w:jc w:val="both"/>
        <w:rPr>
          <w:rFonts w:ascii="Times New Roman" w:eastAsia="Times New Roman" w:hAnsi="Times New Roman" w:cs="Times New Roman"/>
          <w:sz w:val="24"/>
          <w:szCs w:val="24"/>
          <w:lang w:eastAsia="en-IN"/>
        </w:rPr>
      </w:pPr>
      <w:r w:rsidRPr="00FC49CF">
        <w:rPr>
          <w:rFonts w:ascii="Times New Roman" w:eastAsia="Times New Roman" w:hAnsi="Times New Roman" w:cs="Times New Roman"/>
          <w:sz w:val="24"/>
          <w:szCs w:val="24"/>
          <w:lang w:eastAsia="en-IN"/>
        </w:rPr>
        <w:t xml:space="preserve">For quantitative analysis, 100 mL of </w:t>
      </w:r>
      <w:proofErr w:type="spellStart"/>
      <w:r w:rsidRPr="00FC49CF">
        <w:rPr>
          <w:rFonts w:ascii="Times New Roman" w:eastAsia="Times New Roman" w:hAnsi="Times New Roman" w:cs="Times New Roman"/>
          <w:sz w:val="24"/>
          <w:szCs w:val="24"/>
          <w:lang w:eastAsia="en-IN"/>
        </w:rPr>
        <w:t>Pikovskaya’s</w:t>
      </w:r>
      <w:proofErr w:type="spellEnd"/>
      <w:r w:rsidRPr="00FC49CF">
        <w:rPr>
          <w:rFonts w:ascii="Times New Roman" w:eastAsia="Times New Roman" w:hAnsi="Times New Roman" w:cs="Times New Roman"/>
          <w:sz w:val="24"/>
          <w:szCs w:val="24"/>
          <w:lang w:eastAsia="en-IN"/>
        </w:rPr>
        <w:t xml:space="preserve"> broth containing TCP (5 g L⁻¹) was inoculated with 1 mL of bacterial suspension (10⁸ CFU mL⁻¹) and incubated at 28 ± 2 °C for 7 days under shaking conditions (120 rpm). Samples were withdrawn at 2-day intervals and centrifuged at 10,000 rpm for 15 minutes. The supernatant was </w:t>
      </w:r>
      <w:proofErr w:type="spellStart"/>
      <w:r w:rsidRPr="00FC49CF">
        <w:rPr>
          <w:rFonts w:ascii="Times New Roman" w:eastAsia="Times New Roman" w:hAnsi="Times New Roman" w:cs="Times New Roman"/>
          <w:sz w:val="24"/>
          <w:szCs w:val="24"/>
          <w:lang w:eastAsia="en-IN"/>
        </w:rPr>
        <w:t>analyzed</w:t>
      </w:r>
      <w:proofErr w:type="spellEnd"/>
      <w:r w:rsidRPr="00FC49CF">
        <w:rPr>
          <w:rFonts w:ascii="Times New Roman" w:eastAsia="Times New Roman" w:hAnsi="Times New Roman" w:cs="Times New Roman"/>
          <w:sz w:val="24"/>
          <w:szCs w:val="24"/>
          <w:lang w:eastAsia="en-IN"/>
        </w:rPr>
        <w:t xml:space="preserve"> for soluble phosphate content using the </w:t>
      </w:r>
      <w:proofErr w:type="spellStart"/>
      <w:r w:rsidRPr="00FC49CF">
        <w:rPr>
          <w:rFonts w:ascii="Times New Roman" w:eastAsia="Times New Roman" w:hAnsi="Times New Roman" w:cs="Times New Roman"/>
          <w:sz w:val="24"/>
          <w:szCs w:val="24"/>
          <w:lang w:eastAsia="en-IN"/>
        </w:rPr>
        <w:t>vanado</w:t>
      </w:r>
      <w:proofErr w:type="spellEnd"/>
      <w:r w:rsidRPr="00FC49CF">
        <w:rPr>
          <w:rFonts w:ascii="Times New Roman" w:eastAsia="Times New Roman" w:hAnsi="Times New Roman" w:cs="Times New Roman"/>
          <w:sz w:val="24"/>
          <w:szCs w:val="24"/>
          <w:lang w:eastAsia="en-IN"/>
        </w:rPr>
        <w:t xml:space="preserve">-molybdate yellow </w:t>
      </w:r>
      <w:proofErr w:type="spellStart"/>
      <w:r w:rsidRPr="00FC49CF">
        <w:rPr>
          <w:rFonts w:ascii="Times New Roman" w:eastAsia="Times New Roman" w:hAnsi="Times New Roman" w:cs="Times New Roman"/>
          <w:sz w:val="24"/>
          <w:szCs w:val="24"/>
          <w:lang w:eastAsia="en-IN"/>
        </w:rPr>
        <w:t>color</w:t>
      </w:r>
      <w:proofErr w:type="spellEnd"/>
      <w:r w:rsidRPr="00FC49CF">
        <w:rPr>
          <w:rFonts w:ascii="Times New Roman" w:eastAsia="Times New Roman" w:hAnsi="Times New Roman" w:cs="Times New Roman"/>
          <w:sz w:val="24"/>
          <w:szCs w:val="24"/>
          <w:lang w:eastAsia="en-IN"/>
        </w:rPr>
        <w:t xml:space="preserve"> method, and absorbance was measured at 420 nm in a spectrophotometer (Jackson, 1973). Soluble phosphorus concentration was expressed as µg mL⁻¹</w:t>
      </w:r>
      <w:r w:rsidR="00FA710E">
        <w:rPr>
          <w:rFonts w:ascii="Times New Roman" w:eastAsia="Times New Roman" w:hAnsi="Times New Roman" w:cs="Times New Roman"/>
          <w:sz w:val="24"/>
          <w:szCs w:val="24"/>
          <w:lang w:eastAsia="en-IN"/>
        </w:rPr>
        <w:t xml:space="preserve"> using a KH</w:t>
      </w:r>
      <w:r w:rsidR="00FA710E" w:rsidRPr="00FA710E">
        <w:rPr>
          <w:rFonts w:ascii="Times New Roman" w:eastAsia="Times New Roman" w:hAnsi="Times New Roman" w:cs="Times New Roman"/>
          <w:sz w:val="24"/>
          <w:szCs w:val="24"/>
          <w:vertAlign w:val="subscript"/>
          <w:lang w:eastAsia="en-IN"/>
        </w:rPr>
        <w:t>2</w:t>
      </w:r>
      <w:r w:rsidRPr="00FC49CF">
        <w:rPr>
          <w:rFonts w:ascii="Times New Roman" w:eastAsia="Times New Roman" w:hAnsi="Times New Roman" w:cs="Times New Roman"/>
          <w:sz w:val="24"/>
          <w:szCs w:val="24"/>
          <w:lang w:eastAsia="en-IN"/>
        </w:rPr>
        <w:t>PO</w:t>
      </w:r>
      <w:r w:rsidR="00FA710E" w:rsidRPr="00FA710E">
        <w:rPr>
          <w:rFonts w:ascii="Times New Roman" w:eastAsia="Times New Roman" w:hAnsi="Times New Roman" w:cs="Times New Roman"/>
          <w:sz w:val="24"/>
          <w:szCs w:val="24"/>
          <w:vertAlign w:val="subscript"/>
          <w:lang w:eastAsia="en-IN"/>
        </w:rPr>
        <w:t>4</w:t>
      </w:r>
      <w:r w:rsidRPr="00FA710E">
        <w:rPr>
          <w:rFonts w:ascii="Times New Roman" w:eastAsia="Times New Roman" w:hAnsi="Times New Roman" w:cs="Times New Roman"/>
          <w:sz w:val="24"/>
          <w:szCs w:val="24"/>
          <w:lang w:eastAsia="en-IN"/>
        </w:rPr>
        <w:t xml:space="preserve"> </w:t>
      </w:r>
      <w:r w:rsidRPr="00FC49CF">
        <w:rPr>
          <w:rFonts w:ascii="Times New Roman" w:eastAsia="Times New Roman" w:hAnsi="Times New Roman" w:cs="Times New Roman"/>
          <w:sz w:val="24"/>
          <w:szCs w:val="24"/>
          <w:lang w:eastAsia="en-IN"/>
        </w:rPr>
        <w:t>standard curve.</w:t>
      </w:r>
    </w:p>
    <w:p w14:paraId="6E6DC66C" w14:textId="77777777" w:rsidR="00FC49CF" w:rsidRPr="00FC49CF" w:rsidRDefault="00FC49CF" w:rsidP="00FC49CF">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4. Measurement of pH Changes</w:t>
      </w:r>
    </w:p>
    <w:p w14:paraId="046202D7" w14:textId="77777777" w:rsidR="00FC49CF" w:rsidRPr="00FC49CF" w:rsidRDefault="00FC49CF" w:rsidP="00FC49CF">
      <w:pPr>
        <w:spacing w:after="0" w:line="360" w:lineRule="auto"/>
        <w:jc w:val="both"/>
        <w:rPr>
          <w:rFonts w:ascii="Times New Roman" w:eastAsia="Times New Roman" w:hAnsi="Times New Roman" w:cs="Times New Roman"/>
          <w:sz w:val="24"/>
          <w:szCs w:val="24"/>
          <w:lang w:eastAsia="en-IN"/>
        </w:rPr>
      </w:pPr>
      <w:r w:rsidRPr="00FC49CF">
        <w:rPr>
          <w:rFonts w:ascii="Times New Roman" w:eastAsia="Times New Roman" w:hAnsi="Times New Roman" w:cs="Times New Roman"/>
          <w:sz w:val="24"/>
          <w:szCs w:val="24"/>
          <w:lang w:eastAsia="en-IN"/>
        </w:rPr>
        <w:t>The pH of culture filtrates was measured simultaneously with phosphate estimation using a digital pH meter. Changes in pH were recorded to correlate medium acidification with phosphate solubilization efficiency.</w:t>
      </w:r>
    </w:p>
    <w:p w14:paraId="3F13B145" w14:textId="77777777" w:rsidR="00FC49CF" w:rsidRPr="00FC49CF" w:rsidRDefault="00FC49CF" w:rsidP="00FC49CF">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5. Organic Acid Analysis</w:t>
      </w:r>
    </w:p>
    <w:p w14:paraId="718482A0" w14:textId="77777777" w:rsidR="00FC49CF" w:rsidRPr="00FC49CF" w:rsidRDefault="00FC49CF" w:rsidP="00FC49CF">
      <w:pPr>
        <w:spacing w:after="0" w:line="360" w:lineRule="auto"/>
        <w:jc w:val="both"/>
        <w:rPr>
          <w:rFonts w:ascii="Times New Roman" w:eastAsia="Times New Roman" w:hAnsi="Times New Roman" w:cs="Times New Roman"/>
          <w:sz w:val="24"/>
          <w:szCs w:val="24"/>
          <w:lang w:eastAsia="en-IN"/>
        </w:rPr>
      </w:pPr>
      <w:r w:rsidRPr="00FC49CF">
        <w:rPr>
          <w:rFonts w:ascii="Times New Roman" w:eastAsia="Times New Roman" w:hAnsi="Times New Roman" w:cs="Times New Roman"/>
          <w:sz w:val="24"/>
          <w:szCs w:val="24"/>
          <w:lang w:eastAsia="en-IN"/>
        </w:rPr>
        <w:t xml:space="preserve">To confirm the mechanism of solubilization, organic acids present in the culture supernatant were detected using High Performance Liquid Chromatography (HPLC). Filtered samples were </w:t>
      </w:r>
      <w:proofErr w:type="spellStart"/>
      <w:r w:rsidRPr="00FC49CF">
        <w:rPr>
          <w:rFonts w:ascii="Times New Roman" w:eastAsia="Times New Roman" w:hAnsi="Times New Roman" w:cs="Times New Roman"/>
          <w:sz w:val="24"/>
          <w:szCs w:val="24"/>
          <w:lang w:eastAsia="en-IN"/>
        </w:rPr>
        <w:t>analyzed</w:t>
      </w:r>
      <w:proofErr w:type="spellEnd"/>
      <w:r w:rsidRPr="00FC49CF">
        <w:rPr>
          <w:rFonts w:ascii="Times New Roman" w:eastAsia="Times New Roman" w:hAnsi="Times New Roman" w:cs="Times New Roman"/>
          <w:sz w:val="24"/>
          <w:szCs w:val="24"/>
          <w:lang w:eastAsia="en-IN"/>
        </w:rPr>
        <w:t xml:space="preserve"> with a C18 column using</w:t>
      </w:r>
      <w:r w:rsidR="00FA710E">
        <w:rPr>
          <w:rFonts w:ascii="Times New Roman" w:eastAsia="Times New Roman" w:hAnsi="Times New Roman" w:cs="Times New Roman"/>
          <w:sz w:val="24"/>
          <w:szCs w:val="24"/>
          <w:lang w:eastAsia="en-IN"/>
        </w:rPr>
        <w:t xml:space="preserve"> a mobile phase of 0.01 N H</w:t>
      </w:r>
      <w:r w:rsidR="00FA710E" w:rsidRPr="00FA710E">
        <w:rPr>
          <w:rFonts w:ascii="Times New Roman" w:eastAsia="Times New Roman" w:hAnsi="Times New Roman" w:cs="Times New Roman"/>
          <w:sz w:val="24"/>
          <w:szCs w:val="24"/>
          <w:vertAlign w:val="subscript"/>
          <w:lang w:eastAsia="en-IN"/>
        </w:rPr>
        <w:t>2</w:t>
      </w:r>
      <w:r w:rsidRPr="00FC49CF">
        <w:rPr>
          <w:rFonts w:ascii="Times New Roman" w:eastAsia="Times New Roman" w:hAnsi="Times New Roman" w:cs="Times New Roman"/>
          <w:sz w:val="24"/>
          <w:szCs w:val="24"/>
          <w:lang w:eastAsia="en-IN"/>
        </w:rPr>
        <w:t>SO</w:t>
      </w:r>
      <w:r w:rsidR="00FA710E" w:rsidRPr="00FA710E">
        <w:rPr>
          <w:rFonts w:ascii="Times New Roman" w:eastAsia="Times New Roman" w:hAnsi="Times New Roman" w:cs="Times New Roman"/>
          <w:sz w:val="24"/>
          <w:szCs w:val="24"/>
          <w:vertAlign w:val="subscript"/>
          <w:lang w:eastAsia="en-IN"/>
        </w:rPr>
        <w:t>4</w:t>
      </w:r>
      <w:r w:rsidRPr="00FA710E">
        <w:rPr>
          <w:rFonts w:ascii="Times New Roman" w:eastAsia="Times New Roman" w:hAnsi="Times New Roman" w:cs="Times New Roman"/>
          <w:sz w:val="24"/>
          <w:szCs w:val="24"/>
          <w:vertAlign w:val="subscript"/>
          <w:lang w:eastAsia="en-IN"/>
        </w:rPr>
        <w:t xml:space="preserve"> </w:t>
      </w:r>
      <w:r w:rsidRPr="00FC49CF">
        <w:rPr>
          <w:rFonts w:ascii="Times New Roman" w:eastAsia="Times New Roman" w:hAnsi="Times New Roman" w:cs="Times New Roman"/>
          <w:sz w:val="24"/>
          <w:szCs w:val="24"/>
          <w:lang w:eastAsia="en-IN"/>
        </w:rPr>
        <w:t xml:space="preserve">at a flow rate of 0.6 mL min⁻¹, and peaks were compared with standards for gluconic, citric, and oxalic acids (Narula </w:t>
      </w:r>
      <w:r w:rsidRPr="00FC49CF">
        <w:rPr>
          <w:rFonts w:ascii="Times New Roman" w:eastAsia="Times New Roman" w:hAnsi="Times New Roman" w:cs="Times New Roman"/>
          <w:i/>
          <w:iCs/>
          <w:sz w:val="24"/>
          <w:szCs w:val="24"/>
          <w:lang w:eastAsia="en-IN"/>
        </w:rPr>
        <w:t>et al</w:t>
      </w:r>
      <w:r w:rsidRPr="00FC49CF">
        <w:rPr>
          <w:rFonts w:ascii="Times New Roman" w:eastAsia="Times New Roman" w:hAnsi="Times New Roman" w:cs="Times New Roman"/>
          <w:sz w:val="24"/>
          <w:szCs w:val="24"/>
          <w:lang w:eastAsia="en-IN"/>
        </w:rPr>
        <w:t>., 2000).</w:t>
      </w:r>
    </w:p>
    <w:p w14:paraId="039416CF" w14:textId="77777777" w:rsidR="00FC49CF" w:rsidRPr="00FC49CF" w:rsidRDefault="00FC49CF" w:rsidP="00FC49CF">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6. Nitrogen Fixation Assay</w:t>
      </w:r>
    </w:p>
    <w:p w14:paraId="633BBF37" w14:textId="77777777" w:rsidR="00FC49CF" w:rsidRPr="00FC49CF" w:rsidRDefault="00FC49CF" w:rsidP="00FC49CF">
      <w:pPr>
        <w:spacing w:after="0" w:line="360" w:lineRule="auto"/>
        <w:jc w:val="both"/>
        <w:rPr>
          <w:rFonts w:ascii="Times New Roman" w:eastAsia="Times New Roman" w:hAnsi="Times New Roman" w:cs="Times New Roman"/>
          <w:sz w:val="24"/>
          <w:szCs w:val="24"/>
          <w:lang w:eastAsia="en-IN"/>
        </w:rPr>
      </w:pPr>
      <w:r w:rsidRPr="00FC49CF">
        <w:rPr>
          <w:rFonts w:ascii="Times New Roman" w:eastAsia="Times New Roman" w:hAnsi="Times New Roman" w:cs="Times New Roman"/>
          <w:sz w:val="24"/>
          <w:szCs w:val="24"/>
          <w:lang w:eastAsia="en-IN"/>
        </w:rPr>
        <w:lastRenderedPageBreak/>
        <w:t xml:space="preserve">The nitrogen-fixing ability of </w:t>
      </w:r>
      <w:r w:rsidRPr="00FC49CF">
        <w:rPr>
          <w:rFonts w:ascii="Times New Roman" w:eastAsia="Times New Roman" w:hAnsi="Times New Roman" w:cs="Times New Roman"/>
          <w:i/>
          <w:iCs/>
          <w:sz w:val="24"/>
          <w:szCs w:val="24"/>
          <w:lang w:eastAsia="en-IN"/>
        </w:rPr>
        <w:t xml:space="preserve">A. </w:t>
      </w:r>
      <w:proofErr w:type="spellStart"/>
      <w:r w:rsidRPr="00FC49CF">
        <w:rPr>
          <w:rFonts w:ascii="Times New Roman" w:eastAsia="Times New Roman" w:hAnsi="Times New Roman" w:cs="Times New Roman"/>
          <w:i/>
          <w:iCs/>
          <w:sz w:val="24"/>
          <w:szCs w:val="24"/>
          <w:lang w:eastAsia="en-IN"/>
        </w:rPr>
        <w:t>vinelandii</w:t>
      </w:r>
      <w:proofErr w:type="spellEnd"/>
      <w:r w:rsidRPr="00FC49CF">
        <w:rPr>
          <w:rFonts w:ascii="Times New Roman" w:eastAsia="Times New Roman" w:hAnsi="Times New Roman" w:cs="Times New Roman"/>
          <w:sz w:val="24"/>
          <w:szCs w:val="24"/>
          <w:lang w:eastAsia="en-IN"/>
        </w:rPr>
        <w:t xml:space="preserve"> FB2 was assessed using the acetylene reduction assay (ARA). Cultures were incubated in nitrogen-free Ashby’s broth, and acetylene gas (10% v/v) was introduced into the headspace of culture vials. After 24 hours of incubation, ethylene production was quantified using a gas chromatograph equipped with a flame ionization detector (Hardy </w:t>
      </w:r>
      <w:r w:rsidRPr="00FC49CF">
        <w:rPr>
          <w:rFonts w:ascii="Times New Roman" w:eastAsia="Times New Roman" w:hAnsi="Times New Roman" w:cs="Times New Roman"/>
          <w:i/>
          <w:iCs/>
          <w:sz w:val="24"/>
          <w:szCs w:val="24"/>
          <w:lang w:eastAsia="en-IN"/>
        </w:rPr>
        <w:t>et al</w:t>
      </w:r>
      <w:r w:rsidRPr="00FC49CF">
        <w:rPr>
          <w:rFonts w:ascii="Times New Roman" w:eastAsia="Times New Roman" w:hAnsi="Times New Roman" w:cs="Times New Roman"/>
          <w:sz w:val="24"/>
          <w:szCs w:val="24"/>
          <w:lang w:eastAsia="en-IN"/>
        </w:rPr>
        <w:t>., 1968). R</w:t>
      </w:r>
      <w:r w:rsidR="00FD5ED5">
        <w:rPr>
          <w:rFonts w:ascii="Times New Roman" w:eastAsia="Times New Roman" w:hAnsi="Times New Roman" w:cs="Times New Roman"/>
          <w:sz w:val="24"/>
          <w:szCs w:val="24"/>
          <w:lang w:eastAsia="en-IN"/>
        </w:rPr>
        <w:t>esults were expressed as nmol C</w:t>
      </w:r>
      <w:r w:rsidR="00FD5ED5" w:rsidRPr="00FD5ED5">
        <w:rPr>
          <w:rFonts w:ascii="Times New Roman" w:eastAsia="Times New Roman" w:hAnsi="Times New Roman" w:cs="Times New Roman"/>
          <w:sz w:val="24"/>
          <w:szCs w:val="24"/>
          <w:vertAlign w:val="subscript"/>
          <w:lang w:eastAsia="en-IN"/>
        </w:rPr>
        <w:t>2</w:t>
      </w:r>
      <w:r w:rsidRPr="00FC49CF">
        <w:rPr>
          <w:rFonts w:ascii="Times New Roman" w:eastAsia="Times New Roman" w:hAnsi="Times New Roman" w:cs="Times New Roman"/>
          <w:sz w:val="24"/>
          <w:szCs w:val="24"/>
          <w:lang w:eastAsia="en-IN"/>
        </w:rPr>
        <w:t>H</w:t>
      </w:r>
      <w:r w:rsidR="00FD5ED5" w:rsidRPr="00FD5ED5">
        <w:rPr>
          <w:rFonts w:ascii="Times New Roman" w:eastAsia="Times New Roman" w:hAnsi="Times New Roman" w:cs="Times New Roman"/>
          <w:sz w:val="24"/>
          <w:szCs w:val="24"/>
          <w:vertAlign w:val="subscript"/>
          <w:lang w:eastAsia="en-IN"/>
        </w:rPr>
        <w:t>4</w:t>
      </w:r>
      <w:r w:rsidRPr="00FC49CF">
        <w:rPr>
          <w:rFonts w:ascii="Times New Roman" w:eastAsia="Times New Roman" w:hAnsi="Times New Roman" w:cs="Times New Roman"/>
          <w:sz w:val="24"/>
          <w:szCs w:val="24"/>
          <w:lang w:eastAsia="en-IN"/>
        </w:rPr>
        <w:t xml:space="preserve"> produced mL⁻¹ h⁻¹.</w:t>
      </w:r>
    </w:p>
    <w:p w14:paraId="06238DC8" w14:textId="77777777" w:rsidR="00FC49CF" w:rsidRPr="00FC49CF" w:rsidRDefault="00FC49CF" w:rsidP="00FC49CF">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7. Experimental Design and Statistical Analysis</w:t>
      </w:r>
    </w:p>
    <w:p w14:paraId="1D02DB3E" w14:textId="77777777" w:rsidR="00FC49CF" w:rsidRPr="001641D1" w:rsidRDefault="00FC49CF" w:rsidP="007A27A8">
      <w:pPr>
        <w:spacing w:after="0" w:line="360" w:lineRule="auto"/>
        <w:jc w:val="both"/>
        <w:rPr>
          <w:rFonts w:ascii="Times New Roman" w:eastAsia="Times New Roman" w:hAnsi="Times New Roman" w:cs="Times New Roman"/>
          <w:sz w:val="24"/>
          <w:szCs w:val="24"/>
          <w:lang w:eastAsia="en-IN"/>
        </w:rPr>
      </w:pPr>
      <w:r w:rsidRPr="00FC49CF">
        <w:rPr>
          <w:rFonts w:ascii="Times New Roman" w:eastAsia="Times New Roman" w:hAnsi="Times New Roman" w:cs="Times New Roman"/>
          <w:sz w:val="24"/>
          <w:szCs w:val="24"/>
          <w:lang w:eastAsia="en-IN"/>
        </w:rPr>
        <w:t>All experiments were conducted in triplicates, and results were expressed as mean ± standard error (SE). Data were subjected to one-way analysis of variance (ANOVA) using SPSS software (version 20.0). Significant differences among treatments were determined at p ≤ 0.05 using Duncan’s multiple range test (Gomez &amp; Gomez, 1984).</w:t>
      </w:r>
    </w:p>
    <w:p w14:paraId="11A1AC19" w14:textId="77777777" w:rsidR="007A27A8" w:rsidRDefault="007A27A8"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0253F501" w14:textId="77777777" w:rsidR="002B4A5A" w:rsidRPr="00CC156F" w:rsidRDefault="002B4A5A" w:rsidP="00CC156F">
      <w:pPr>
        <w:pStyle w:val="Heading3"/>
        <w:spacing w:before="0" w:beforeAutospacing="0" w:after="0" w:afterAutospacing="0" w:line="360" w:lineRule="auto"/>
        <w:jc w:val="both"/>
        <w:rPr>
          <w:sz w:val="24"/>
          <w:szCs w:val="24"/>
        </w:rPr>
      </w:pPr>
      <w:r w:rsidRPr="00CC156F">
        <w:rPr>
          <w:sz w:val="24"/>
          <w:szCs w:val="24"/>
        </w:rPr>
        <w:t>1. Microorganism and Culture Maintenance</w:t>
      </w:r>
    </w:p>
    <w:p w14:paraId="69EAEA7F" w14:textId="77777777" w:rsidR="002B4A5A" w:rsidRPr="00CC156F" w:rsidRDefault="002B4A5A" w:rsidP="00CC156F">
      <w:pPr>
        <w:pStyle w:val="NormalWeb"/>
        <w:spacing w:before="0" w:beforeAutospacing="0" w:after="0" w:afterAutospacing="0" w:line="360" w:lineRule="auto"/>
        <w:ind w:firstLine="720"/>
        <w:jc w:val="both"/>
      </w:pPr>
      <w:r w:rsidRPr="00CC156F">
        <w:t xml:space="preserve">The bacterial isolate </w:t>
      </w:r>
      <w:proofErr w:type="spellStart"/>
      <w:r w:rsidRPr="00CC156F">
        <w:rPr>
          <w:rStyle w:val="Emphasis"/>
        </w:rPr>
        <w:t>Azotobacter</w:t>
      </w:r>
      <w:proofErr w:type="spellEnd"/>
      <w:r w:rsidRPr="00CC156F">
        <w:rPr>
          <w:rStyle w:val="Emphasis"/>
        </w:rPr>
        <w:t xml:space="preserve"> </w:t>
      </w:r>
      <w:proofErr w:type="spellStart"/>
      <w:r w:rsidRPr="00CC156F">
        <w:rPr>
          <w:rStyle w:val="Emphasis"/>
        </w:rPr>
        <w:t>vinelandii</w:t>
      </w:r>
      <w:proofErr w:type="spellEnd"/>
      <w:r w:rsidRPr="00CC156F">
        <w:t xml:space="preserve"> FB2 was successfully maintained on Ashby’s mannitol agar slants at 28 ± 2</w:t>
      </w:r>
      <w:r w:rsidR="00CC156F" w:rsidRPr="00CC156F">
        <w:rPr>
          <w:vertAlign w:val="superscript"/>
        </w:rPr>
        <w:t>0</w:t>
      </w:r>
      <w:r w:rsidRPr="00CC156F">
        <w:t xml:space="preserve">C. The colonies appeared after 48 hours of incubation, exhibiting a characteristic smooth, opaque, and slightly mucoid texture. The strain remained viable and stable when </w:t>
      </w:r>
      <w:proofErr w:type="spellStart"/>
      <w:r w:rsidRPr="00CC156F">
        <w:t>subcultured</w:t>
      </w:r>
      <w:proofErr w:type="spellEnd"/>
      <w:r w:rsidRPr="00CC156F">
        <w:t xml:space="preserve"> at two-week intervals, and fresh cultures harvested after 48 hours were consistently used as inoculum for all subsequent experiments. This ensured uniformity and reproducibility across qualitative and quantitative assays.</w:t>
      </w:r>
    </w:p>
    <w:p w14:paraId="743300BF" w14:textId="77777777" w:rsidR="002B4A5A" w:rsidRPr="00CC156F" w:rsidRDefault="002B4A5A" w:rsidP="00CC156F">
      <w:pPr>
        <w:pStyle w:val="Heading3"/>
        <w:spacing w:before="0" w:beforeAutospacing="0" w:after="0" w:afterAutospacing="0" w:line="360" w:lineRule="auto"/>
        <w:jc w:val="both"/>
        <w:rPr>
          <w:sz w:val="24"/>
          <w:szCs w:val="24"/>
        </w:rPr>
      </w:pPr>
      <w:r w:rsidRPr="00CC156F">
        <w:rPr>
          <w:sz w:val="24"/>
          <w:szCs w:val="24"/>
        </w:rPr>
        <w:t>2. Qualitative Assay for Phosphate Solubilization</w:t>
      </w:r>
    </w:p>
    <w:p w14:paraId="63B0A4D5" w14:textId="77777777" w:rsidR="002B4A5A" w:rsidRPr="00CC156F" w:rsidRDefault="002B4A5A" w:rsidP="00CC156F">
      <w:pPr>
        <w:pStyle w:val="NormalWeb"/>
        <w:spacing w:before="0" w:beforeAutospacing="0" w:after="0" w:afterAutospacing="0" w:line="360" w:lineRule="auto"/>
        <w:ind w:firstLine="720"/>
        <w:jc w:val="both"/>
      </w:pPr>
      <w:r w:rsidRPr="00CC156F">
        <w:t xml:space="preserve">When </w:t>
      </w:r>
      <w:r w:rsidRPr="00CC156F">
        <w:rPr>
          <w:rStyle w:val="Emphasis"/>
        </w:rPr>
        <w:t xml:space="preserve">A. </w:t>
      </w:r>
      <w:proofErr w:type="spellStart"/>
      <w:r w:rsidRPr="00CC156F">
        <w:rPr>
          <w:rStyle w:val="Emphasis"/>
        </w:rPr>
        <w:t>vinelandii</w:t>
      </w:r>
      <w:proofErr w:type="spellEnd"/>
      <w:r w:rsidRPr="00CC156F">
        <w:t xml:space="preserve"> FB2 was inoculated on </w:t>
      </w:r>
      <w:proofErr w:type="spellStart"/>
      <w:r w:rsidRPr="00CC156F">
        <w:t>Pikovskaya’s</w:t>
      </w:r>
      <w:proofErr w:type="spellEnd"/>
      <w:r w:rsidRPr="00CC156F">
        <w:t xml:space="preserve"> agar containing tricalcium phosphate (5 g L⁻¹), distinct halo zones were observed around the colonies after 5 days of incubation. These zones progressively expanded by day 7, indicating active solubilization of insoluble phosphate. The colony diameter averaged 8.5 mm, while the surrounding clear zone diameter measured 20.0 mm. Based on these observations, the calculated solubilization index (SI) was 3.4.</w:t>
      </w:r>
    </w:p>
    <w:p w14:paraId="0AB06C8E" w14:textId="77777777" w:rsidR="002B4A5A" w:rsidRPr="00CC156F" w:rsidRDefault="002B4A5A" w:rsidP="00CC156F">
      <w:pPr>
        <w:pStyle w:val="NormalWeb"/>
        <w:spacing w:before="0" w:beforeAutospacing="0" w:after="0" w:afterAutospacing="0" w:line="360" w:lineRule="auto"/>
        <w:ind w:firstLine="720"/>
        <w:jc w:val="both"/>
      </w:pPr>
      <w:r w:rsidRPr="00CC156F">
        <w:t>The formation of a transparent halo surrounding the colonies confirmed the phosphate solubilizing potential of the strain. The consistency of the results across replicates demonstrated the reproducibility of the solubilization ability. Visual observation showed that the clarity and sharpness of the halo zone increased with incubation time, reflecting the continuous release of solubilizing agents by the bacterium into the medium.</w:t>
      </w:r>
    </w:p>
    <w:p w14:paraId="2D4129A7" w14:textId="77777777" w:rsidR="00F5437B" w:rsidRPr="00CC156F" w:rsidRDefault="00F5437B" w:rsidP="00CC156F">
      <w:pPr>
        <w:spacing w:after="0" w:line="360" w:lineRule="auto"/>
        <w:jc w:val="both"/>
        <w:rPr>
          <w:rFonts w:ascii="Times New Roman" w:hAnsi="Times New Roman" w:cs="Times New Roman"/>
          <w:b/>
          <w:bCs/>
          <w:sz w:val="24"/>
          <w:szCs w:val="24"/>
        </w:rPr>
      </w:pPr>
    </w:p>
    <w:p w14:paraId="37E7A9A2" w14:textId="77777777" w:rsidR="00F5437B" w:rsidRPr="00CC156F" w:rsidRDefault="00F5437B" w:rsidP="00CC156F">
      <w:pPr>
        <w:spacing w:after="0" w:line="360" w:lineRule="auto"/>
        <w:jc w:val="both"/>
        <w:rPr>
          <w:rFonts w:ascii="Times New Roman" w:hAnsi="Times New Roman" w:cs="Times New Roman"/>
          <w:b/>
          <w:bCs/>
          <w:sz w:val="24"/>
          <w:szCs w:val="24"/>
        </w:rPr>
      </w:pPr>
    </w:p>
    <w:p w14:paraId="4D638E02" w14:textId="77777777" w:rsidR="00F5437B" w:rsidRDefault="00384B1B"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Qualitative Phosphate Solubilization by </w:t>
      </w:r>
      <w:proofErr w:type="spellStart"/>
      <w:r w:rsidRPr="00384B1B">
        <w:rPr>
          <w:rFonts w:ascii="Times New Roman" w:hAnsi="Times New Roman" w:cs="Times New Roman"/>
          <w:b/>
          <w:bCs/>
          <w:i/>
          <w:iCs/>
          <w:sz w:val="24"/>
          <w:szCs w:val="24"/>
        </w:rPr>
        <w:t>Azotobacter</w:t>
      </w:r>
      <w:proofErr w:type="spellEnd"/>
      <w:r w:rsidRPr="00384B1B">
        <w:rPr>
          <w:rFonts w:ascii="Times New Roman" w:hAnsi="Times New Roman" w:cs="Times New Roman"/>
          <w:b/>
          <w:bCs/>
          <w:i/>
          <w:iCs/>
          <w:sz w:val="24"/>
          <w:szCs w:val="24"/>
        </w:rPr>
        <w:t xml:space="preserve"> </w:t>
      </w:r>
      <w:proofErr w:type="spellStart"/>
      <w:r w:rsidRPr="00384B1B">
        <w:rPr>
          <w:rFonts w:ascii="Times New Roman" w:hAnsi="Times New Roman" w:cs="Times New Roman"/>
          <w:b/>
          <w:bCs/>
          <w:i/>
          <w:iCs/>
          <w:sz w:val="24"/>
          <w:szCs w:val="24"/>
        </w:rPr>
        <w:t>vinelandii</w:t>
      </w:r>
      <w:proofErr w:type="spellEnd"/>
      <w:r w:rsidRPr="00384B1B">
        <w:rPr>
          <w:rFonts w:ascii="Times New Roman" w:hAnsi="Times New Roman" w:cs="Times New Roman"/>
          <w:b/>
          <w:bCs/>
          <w:sz w:val="24"/>
          <w:szCs w:val="24"/>
        </w:rPr>
        <w:t xml:space="preserve"> FB2</w:t>
      </w:r>
    </w:p>
    <w:tbl>
      <w:tblPr>
        <w:tblStyle w:val="TableGrid"/>
        <w:tblW w:w="0" w:type="auto"/>
        <w:tblLook w:val="04A0" w:firstRow="1" w:lastRow="0" w:firstColumn="1" w:lastColumn="0" w:noHBand="0" w:noVBand="1"/>
      </w:tblPr>
      <w:tblGrid>
        <w:gridCol w:w="1384"/>
        <w:gridCol w:w="2552"/>
        <w:gridCol w:w="2409"/>
        <w:gridCol w:w="2552"/>
      </w:tblGrid>
      <w:tr w:rsidR="00311C6F" w14:paraId="4C51B87B" w14:textId="77777777" w:rsidTr="008063CD">
        <w:tc>
          <w:tcPr>
            <w:tcW w:w="1384" w:type="dxa"/>
          </w:tcPr>
          <w:p w14:paraId="7F4BBA9D" w14:textId="77777777" w:rsidR="00311C6F" w:rsidRDefault="00961DF2" w:rsidP="008063C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Replicates</w:t>
            </w:r>
          </w:p>
        </w:tc>
        <w:tc>
          <w:tcPr>
            <w:tcW w:w="2552" w:type="dxa"/>
          </w:tcPr>
          <w:p w14:paraId="17431BB7" w14:textId="77777777" w:rsidR="00311C6F" w:rsidRDefault="00961DF2" w:rsidP="008063CD">
            <w:pPr>
              <w:jc w:val="center"/>
              <w:rPr>
                <w:rFonts w:ascii="Times New Roman" w:hAnsi="Times New Roman" w:cs="Times New Roman"/>
                <w:b/>
                <w:bCs/>
                <w:sz w:val="24"/>
                <w:szCs w:val="24"/>
              </w:rPr>
            </w:pPr>
            <w:r>
              <w:rPr>
                <w:rFonts w:ascii="Times New Roman" w:hAnsi="Times New Roman" w:cs="Times New Roman"/>
                <w:b/>
                <w:bCs/>
                <w:sz w:val="24"/>
                <w:szCs w:val="24"/>
              </w:rPr>
              <w:t>Colony Diameter (mm)</w:t>
            </w:r>
          </w:p>
        </w:tc>
        <w:tc>
          <w:tcPr>
            <w:tcW w:w="2409" w:type="dxa"/>
          </w:tcPr>
          <w:p w14:paraId="048AE691" w14:textId="77777777" w:rsidR="00311C6F" w:rsidRDefault="00961DF2" w:rsidP="008063CD">
            <w:pPr>
              <w:jc w:val="center"/>
              <w:rPr>
                <w:rFonts w:ascii="Times New Roman" w:hAnsi="Times New Roman" w:cs="Times New Roman"/>
                <w:b/>
                <w:bCs/>
                <w:sz w:val="24"/>
                <w:szCs w:val="24"/>
              </w:rPr>
            </w:pPr>
            <w:r>
              <w:rPr>
                <w:rFonts w:ascii="Times New Roman" w:hAnsi="Times New Roman" w:cs="Times New Roman"/>
                <w:b/>
                <w:bCs/>
                <w:sz w:val="24"/>
                <w:szCs w:val="24"/>
              </w:rPr>
              <w:t>Halo Zone Diameter (mm)</w:t>
            </w:r>
          </w:p>
        </w:tc>
        <w:tc>
          <w:tcPr>
            <w:tcW w:w="2552" w:type="dxa"/>
          </w:tcPr>
          <w:p w14:paraId="5FBC0D29" w14:textId="77777777" w:rsidR="00311C6F" w:rsidRDefault="00961DF2" w:rsidP="008063CD">
            <w:pPr>
              <w:jc w:val="center"/>
              <w:rPr>
                <w:rFonts w:ascii="Times New Roman" w:hAnsi="Times New Roman" w:cs="Times New Roman"/>
                <w:b/>
                <w:bCs/>
                <w:sz w:val="24"/>
                <w:szCs w:val="24"/>
              </w:rPr>
            </w:pPr>
            <w:r>
              <w:rPr>
                <w:rFonts w:ascii="Times New Roman" w:hAnsi="Times New Roman" w:cs="Times New Roman"/>
                <w:b/>
                <w:bCs/>
                <w:sz w:val="24"/>
                <w:szCs w:val="24"/>
              </w:rPr>
              <w:t>Solubilization Index (SI)</w:t>
            </w:r>
          </w:p>
        </w:tc>
      </w:tr>
      <w:tr w:rsidR="00311C6F" w14:paraId="67FE2501" w14:textId="77777777" w:rsidTr="008063CD">
        <w:tc>
          <w:tcPr>
            <w:tcW w:w="1384" w:type="dxa"/>
          </w:tcPr>
          <w:p w14:paraId="761F37AC"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R1</w:t>
            </w:r>
          </w:p>
        </w:tc>
        <w:tc>
          <w:tcPr>
            <w:tcW w:w="2552" w:type="dxa"/>
          </w:tcPr>
          <w:p w14:paraId="26A7BE64"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8.3</w:t>
            </w:r>
          </w:p>
        </w:tc>
        <w:tc>
          <w:tcPr>
            <w:tcW w:w="2409" w:type="dxa"/>
          </w:tcPr>
          <w:p w14:paraId="0C3FD461"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19.8</w:t>
            </w:r>
          </w:p>
        </w:tc>
        <w:tc>
          <w:tcPr>
            <w:tcW w:w="2552" w:type="dxa"/>
          </w:tcPr>
          <w:p w14:paraId="07C33CBF"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3.38</w:t>
            </w:r>
          </w:p>
        </w:tc>
      </w:tr>
      <w:tr w:rsidR="00311C6F" w14:paraId="0A4041EF" w14:textId="77777777" w:rsidTr="008063CD">
        <w:tc>
          <w:tcPr>
            <w:tcW w:w="1384" w:type="dxa"/>
          </w:tcPr>
          <w:p w14:paraId="1BDE8B5B"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R2</w:t>
            </w:r>
          </w:p>
        </w:tc>
        <w:tc>
          <w:tcPr>
            <w:tcW w:w="2552" w:type="dxa"/>
          </w:tcPr>
          <w:p w14:paraId="4394DC6E"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8.7</w:t>
            </w:r>
          </w:p>
        </w:tc>
        <w:tc>
          <w:tcPr>
            <w:tcW w:w="2409" w:type="dxa"/>
          </w:tcPr>
          <w:p w14:paraId="40D92E8B"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20.2</w:t>
            </w:r>
          </w:p>
        </w:tc>
        <w:tc>
          <w:tcPr>
            <w:tcW w:w="2552" w:type="dxa"/>
          </w:tcPr>
          <w:p w14:paraId="66DB6861"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3.41</w:t>
            </w:r>
          </w:p>
        </w:tc>
      </w:tr>
      <w:tr w:rsidR="00311C6F" w14:paraId="17D43CFD" w14:textId="77777777" w:rsidTr="008063CD">
        <w:tc>
          <w:tcPr>
            <w:tcW w:w="1384" w:type="dxa"/>
          </w:tcPr>
          <w:p w14:paraId="5E2E287E"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R3</w:t>
            </w:r>
          </w:p>
        </w:tc>
        <w:tc>
          <w:tcPr>
            <w:tcW w:w="2552" w:type="dxa"/>
          </w:tcPr>
          <w:p w14:paraId="2BD44C3B"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8.5</w:t>
            </w:r>
          </w:p>
        </w:tc>
        <w:tc>
          <w:tcPr>
            <w:tcW w:w="2409" w:type="dxa"/>
          </w:tcPr>
          <w:p w14:paraId="0A7D40D7"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20.0</w:t>
            </w:r>
          </w:p>
        </w:tc>
        <w:tc>
          <w:tcPr>
            <w:tcW w:w="2552" w:type="dxa"/>
          </w:tcPr>
          <w:p w14:paraId="022D1D93"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3.4</w:t>
            </w:r>
          </w:p>
        </w:tc>
      </w:tr>
      <w:tr w:rsidR="00311C6F" w14:paraId="026A2B51" w14:textId="77777777" w:rsidTr="008063CD">
        <w:tc>
          <w:tcPr>
            <w:tcW w:w="1384" w:type="dxa"/>
          </w:tcPr>
          <w:p w14:paraId="44346C4F" w14:textId="77777777" w:rsidR="00311C6F" w:rsidRPr="008063CD" w:rsidRDefault="00961DF2" w:rsidP="008063CD">
            <w:pPr>
              <w:tabs>
                <w:tab w:val="center" w:pos="1047"/>
              </w:tabs>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Mean</w:t>
            </w:r>
          </w:p>
        </w:tc>
        <w:tc>
          <w:tcPr>
            <w:tcW w:w="2552" w:type="dxa"/>
          </w:tcPr>
          <w:p w14:paraId="2A2BFE99"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8.5 ± 0.11</w:t>
            </w:r>
          </w:p>
        </w:tc>
        <w:tc>
          <w:tcPr>
            <w:tcW w:w="2409" w:type="dxa"/>
          </w:tcPr>
          <w:p w14:paraId="74D2FCA2"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 xml:space="preserve">20.0 </w:t>
            </w:r>
            <w:r w:rsidR="008063CD" w:rsidRPr="008063CD">
              <w:rPr>
                <w:rFonts w:ascii="Times New Roman" w:hAnsi="Times New Roman" w:cs="Times New Roman"/>
                <w:sz w:val="24"/>
                <w:szCs w:val="24"/>
              </w:rPr>
              <w:t>± 0.12</w:t>
            </w:r>
          </w:p>
        </w:tc>
        <w:tc>
          <w:tcPr>
            <w:tcW w:w="2552" w:type="dxa"/>
          </w:tcPr>
          <w:p w14:paraId="5D32D6E0" w14:textId="77777777" w:rsidR="00311C6F" w:rsidRPr="008063CD" w:rsidRDefault="00961DF2" w:rsidP="008063CD">
            <w:pPr>
              <w:spacing w:line="360" w:lineRule="auto"/>
              <w:jc w:val="center"/>
              <w:rPr>
                <w:rFonts w:ascii="Times New Roman" w:hAnsi="Times New Roman" w:cs="Times New Roman"/>
                <w:sz w:val="24"/>
                <w:szCs w:val="24"/>
              </w:rPr>
            </w:pPr>
            <w:r w:rsidRPr="008063CD">
              <w:rPr>
                <w:rFonts w:ascii="Times New Roman" w:hAnsi="Times New Roman" w:cs="Times New Roman"/>
                <w:sz w:val="24"/>
                <w:szCs w:val="24"/>
              </w:rPr>
              <w:t>3.40</w:t>
            </w:r>
            <w:r w:rsidR="008063CD" w:rsidRPr="008063CD">
              <w:rPr>
                <w:rFonts w:ascii="Times New Roman" w:hAnsi="Times New Roman" w:cs="Times New Roman"/>
                <w:sz w:val="24"/>
                <w:szCs w:val="24"/>
              </w:rPr>
              <w:t xml:space="preserve"> ± 0.01</w:t>
            </w:r>
          </w:p>
        </w:tc>
      </w:tr>
    </w:tbl>
    <w:p w14:paraId="3E0C7108" w14:textId="77777777" w:rsidR="00311C6F" w:rsidRDefault="00311C6F" w:rsidP="007A27A8">
      <w:pPr>
        <w:spacing w:after="0" w:line="360" w:lineRule="auto"/>
        <w:jc w:val="both"/>
        <w:rPr>
          <w:rFonts w:ascii="Times New Roman" w:hAnsi="Times New Roman" w:cs="Times New Roman"/>
          <w:b/>
          <w:bCs/>
          <w:sz w:val="24"/>
          <w:szCs w:val="24"/>
        </w:rPr>
      </w:pPr>
    </w:p>
    <w:p w14:paraId="7E5918FF" w14:textId="77777777" w:rsidR="00814C26" w:rsidRDefault="00814C26"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bidi="ar-SA"/>
        </w:rPr>
        <w:drawing>
          <wp:inline distT="0" distB="0" distL="0" distR="0" wp14:anchorId="44870280" wp14:editId="7E20F1BB">
            <wp:extent cx="5731510" cy="3673104"/>
            <wp:effectExtent l="0" t="0" r="2540" b="3810"/>
            <wp:docPr id="2" name="Picture 2" descr="C:\Users\FK\Desktop\Firdous New Paper 2.9.25\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K\Desktop\Firdous New Paper 2.9.25\Graph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673104"/>
                    </a:xfrm>
                    <a:prstGeom prst="rect">
                      <a:avLst/>
                    </a:prstGeom>
                    <a:noFill/>
                    <a:ln>
                      <a:noFill/>
                    </a:ln>
                  </pic:spPr>
                </pic:pic>
              </a:graphicData>
            </a:graphic>
          </wp:inline>
        </w:drawing>
      </w:r>
    </w:p>
    <w:p w14:paraId="3B20DE5B" w14:textId="77777777" w:rsidR="004D65CC" w:rsidRDefault="004D65CC" w:rsidP="004D65C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 Phosphate Solubilization by </w:t>
      </w:r>
      <w:proofErr w:type="spellStart"/>
      <w:r w:rsidRPr="00384B1B">
        <w:rPr>
          <w:rFonts w:ascii="Times New Roman" w:hAnsi="Times New Roman" w:cs="Times New Roman"/>
          <w:b/>
          <w:bCs/>
          <w:i/>
          <w:iCs/>
          <w:sz w:val="24"/>
          <w:szCs w:val="24"/>
        </w:rPr>
        <w:t>Azotobacter</w:t>
      </w:r>
      <w:proofErr w:type="spellEnd"/>
      <w:r w:rsidRPr="00384B1B">
        <w:rPr>
          <w:rFonts w:ascii="Times New Roman" w:hAnsi="Times New Roman" w:cs="Times New Roman"/>
          <w:b/>
          <w:bCs/>
          <w:i/>
          <w:iCs/>
          <w:sz w:val="24"/>
          <w:szCs w:val="24"/>
        </w:rPr>
        <w:t xml:space="preserve"> </w:t>
      </w:r>
      <w:proofErr w:type="spellStart"/>
      <w:r w:rsidRPr="00384B1B">
        <w:rPr>
          <w:rFonts w:ascii="Times New Roman" w:hAnsi="Times New Roman" w:cs="Times New Roman"/>
          <w:b/>
          <w:bCs/>
          <w:i/>
          <w:iCs/>
          <w:sz w:val="24"/>
          <w:szCs w:val="24"/>
        </w:rPr>
        <w:t>vinelandii</w:t>
      </w:r>
      <w:proofErr w:type="spellEnd"/>
      <w:r w:rsidRPr="00384B1B">
        <w:rPr>
          <w:rFonts w:ascii="Times New Roman" w:hAnsi="Times New Roman" w:cs="Times New Roman"/>
          <w:b/>
          <w:bCs/>
          <w:sz w:val="24"/>
          <w:szCs w:val="24"/>
        </w:rPr>
        <w:t xml:space="preserve"> FB2</w:t>
      </w:r>
    </w:p>
    <w:p w14:paraId="76FF1C4D" w14:textId="77777777" w:rsidR="009F2C40" w:rsidRDefault="009F2C40" w:rsidP="009F2C40">
      <w:pPr>
        <w:spacing w:after="0" w:line="360" w:lineRule="auto"/>
        <w:ind w:firstLine="720"/>
        <w:jc w:val="both"/>
        <w:rPr>
          <w:rFonts w:ascii="Times New Roman" w:eastAsia="Times New Roman" w:hAnsi="Times New Roman" w:cs="Times New Roman"/>
          <w:sz w:val="24"/>
          <w:szCs w:val="24"/>
          <w:lang w:eastAsia="en-IN"/>
        </w:rPr>
      </w:pPr>
      <w:r w:rsidRPr="009F2C40">
        <w:rPr>
          <w:rFonts w:ascii="Times New Roman" w:eastAsia="Times New Roman" w:hAnsi="Times New Roman" w:cs="Times New Roman"/>
          <w:sz w:val="24"/>
          <w:szCs w:val="24"/>
          <w:lang w:eastAsia="en-IN"/>
        </w:rPr>
        <w:t xml:space="preserve">The results presented in Table 1 clearly demonstrate the phosphate solubilizing potential of </w:t>
      </w:r>
      <w:proofErr w:type="spellStart"/>
      <w:r w:rsidRPr="009F2C40">
        <w:rPr>
          <w:rFonts w:ascii="Times New Roman" w:eastAsia="Times New Roman" w:hAnsi="Times New Roman" w:cs="Times New Roman"/>
          <w:i/>
          <w:iCs/>
          <w:sz w:val="24"/>
          <w:szCs w:val="24"/>
          <w:lang w:eastAsia="en-IN"/>
        </w:rPr>
        <w:t>Azotobacter</w:t>
      </w:r>
      <w:proofErr w:type="spellEnd"/>
      <w:r w:rsidRPr="009F2C40">
        <w:rPr>
          <w:rFonts w:ascii="Times New Roman" w:eastAsia="Times New Roman" w:hAnsi="Times New Roman" w:cs="Times New Roman"/>
          <w:i/>
          <w:iCs/>
          <w:sz w:val="24"/>
          <w:szCs w:val="24"/>
          <w:lang w:eastAsia="en-IN"/>
        </w:rPr>
        <w:t xml:space="preserve"> </w:t>
      </w:r>
      <w:proofErr w:type="spellStart"/>
      <w:r w:rsidRPr="009F2C40">
        <w:rPr>
          <w:rFonts w:ascii="Times New Roman" w:eastAsia="Times New Roman" w:hAnsi="Times New Roman" w:cs="Times New Roman"/>
          <w:i/>
          <w:iCs/>
          <w:sz w:val="24"/>
          <w:szCs w:val="24"/>
          <w:lang w:eastAsia="en-IN"/>
        </w:rPr>
        <w:t>vinelandii</w:t>
      </w:r>
      <w:proofErr w:type="spellEnd"/>
      <w:r w:rsidRPr="009F2C40">
        <w:rPr>
          <w:rFonts w:ascii="Times New Roman" w:eastAsia="Times New Roman" w:hAnsi="Times New Roman" w:cs="Times New Roman"/>
          <w:sz w:val="24"/>
          <w:szCs w:val="24"/>
          <w:lang w:eastAsia="en-IN"/>
        </w:rPr>
        <w:t xml:space="preserve"> FB2 when grown on </w:t>
      </w:r>
      <w:proofErr w:type="spellStart"/>
      <w:r w:rsidRPr="009F2C40">
        <w:rPr>
          <w:rFonts w:ascii="Times New Roman" w:eastAsia="Times New Roman" w:hAnsi="Times New Roman" w:cs="Times New Roman"/>
          <w:sz w:val="24"/>
          <w:szCs w:val="24"/>
          <w:lang w:eastAsia="en-IN"/>
        </w:rPr>
        <w:t>Pikovskaya’s</w:t>
      </w:r>
      <w:proofErr w:type="spellEnd"/>
      <w:r w:rsidRPr="009F2C40">
        <w:rPr>
          <w:rFonts w:ascii="Times New Roman" w:eastAsia="Times New Roman" w:hAnsi="Times New Roman" w:cs="Times New Roman"/>
          <w:sz w:val="24"/>
          <w:szCs w:val="24"/>
          <w:lang w:eastAsia="en-IN"/>
        </w:rPr>
        <w:t xml:space="preserve"> agar medium supplemented with tricalcium phosphate as the insoluble phosphorus source. Across three replicates, the colony diameter ranged between 8.3 and 8.7 mm, with an average value of 8.5 ± 0.11 mm, indicating consistent and uniform growth of the isolate under experimental conditions. More importantly, distinct halo zones were observed around the colonies, measuring between 19.8 and 20.2 mm, with a mean value of 20.0 ± 0.12 mm. The appearance of these clear zones is a direct indicator of phosphate solubilization, resulting from the production and diffusion of organic acids or other solubilizing agents into the surrounding medium.</w:t>
      </w:r>
    </w:p>
    <w:p w14:paraId="33EDAE9C" w14:textId="77777777" w:rsidR="002603CD" w:rsidRPr="009F2C40" w:rsidRDefault="002603CD" w:rsidP="009F2C40">
      <w:pPr>
        <w:spacing w:after="0" w:line="360" w:lineRule="auto"/>
        <w:ind w:firstLine="720"/>
        <w:jc w:val="both"/>
        <w:rPr>
          <w:rFonts w:ascii="Times New Roman" w:eastAsia="Times New Roman" w:hAnsi="Times New Roman" w:cs="Times New Roman"/>
          <w:sz w:val="24"/>
          <w:szCs w:val="24"/>
          <w:lang w:eastAsia="en-IN"/>
        </w:rPr>
      </w:pPr>
    </w:p>
    <w:p w14:paraId="40505B3B" w14:textId="77777777" w:rsidR="009F2C40" w:rsidRPr="009F2C40" w:rsidRDefault="009F2C40" w:rsidP="009F2C40">
      <w:pPr>
        <w:spacing w:after="0" w:line="360" w:lineRule="auto"/>
        <w:ind w:firstLine="720"/>
        <w:jc w:val="both"/>
        <w:rPr>
          <w:rFonts w:ascii="Times New Roman" w:eastAsia="Times New Roman" w:hAnsi="Times New Roman" w:cs="Times New Roman"/>
          <w:sz w:val="24"/>
          <w:szCs w:val="24"/>
          <w:lang w:eastAsia="en-IN"/>
        </w:rPr>
      </w:pPr>
      <w:r w:rsidRPr="009F2C40">
        <w:rPr>
          <w:rFonts w:ascii="Times New Roman" w:eastAsia="Times New Roman" w:hAnsi="Times New Roman" w:cs="Times New Roman"/>
          <w:sz w:val="24"/>
          <w:szCs w:val="24"/>
          <w:lang w:eastAsia="en-IN"/>
        </w:rPr>
        <w:lastRenderedPageBreak/>
        <w:t xml:space="preserve">The calculated solubilization index (SI) ranged from 3.38 to 3.41 across replicates, with an overall mean of 3.40 ± 0.01. The narrow range of values and low standard error reflect the reproducibility and stability of phosphate solubilization by this strain. A higher SI value indicates a strong ability of the organism to convert insoluble phosphorus into soluble forms, thereby enhancing nutrient bioavailability. The consistency of results across replicates suggests that </w:t>
      </w:r>
      <w:r w:rsidRPr="009F2C40">
        <w:rPr>
          <w:rFonts w:ascii="Times New Roman" w:eastAsia="Times New Roman" w:hAnsi="Times New Roman" w:cs="Times New Roman"/>
          <w:i/>
          <w:iCs/>
          <w:sz w:val="24"/>
          <w:szCs w:val="24"/>
          <w:lang w:eastAsia="en-IN"/>
        </w:rPr>
        <w:t xml:space="preserve">A. </w:t>
      </w:r>
      <w:proofErr w:type="spellStart"/>
      <w:r w:rsidRPr="009F2C40">
        <w:rPr>
          <w:rFonts w:ascii="Times New Roman" w:eastAsia="Times New Roman" w:hAnsi="Times New Roman" w:cs="Times New Roman"/>
          <w:i/>
          <w:iCs/>
          <w:sz w:val="24"/>
          <w:szCs w:val="24"/>
          <w:lang w:eastAsia="en-IN"/>
        </w:rPr>
        <w:t>vinelandii</w:t>
      </w:r>
      <w:proofErr w:type="spellEnd"/>
      <w:r w:rsidRPr="009F2C40">
        <w:rPr>
          <w:rFonts w:ascii="Times New Roman" w:eastAsia="Times New Roman" w:hAnsi="Times New Roman" w:cs="Times New Roman"/>
          <w:sz w:val="24"/>
          <w:szCs w:val="24"/>
          <w:lang w:eastAsia="en-IN"/>
        </w:rPr>
        <w:t xml:space="preserve"> FB2 possesses robust phosphate solubilizing efficiency, which, coupled with its known nitrogen-fixing ability, positions it as a promising biofertilizer candidate. These findings highlight the strain’s potential role in reducing dependency on chemical phosphate fertilizers, improving phosphorus uptake by plants, and contributing to sustainable soil fertility management.</w:t>
      </w:r>
    </w:p>
    <w:p w14:paraId="65C8C7FD" w14:textId="77777777" w:rsidR="00814C26" w:rsidRPr="002603CD" w:rsidRDefault="00E858A6" w:rsidP="002603CD">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 </w:t>
      </w:r>
      <w:r w:rsidR="002603CD" w:rsidRPr="00FC49CF">
        <w:rPr>
          <w:rFonts w:ascii="Times New Roman" w:eastAsia="Times New Roman" w:hAnsi="Times New Roman" w:cs="Times New Roman"/>
          <w:b/>
          <w:bCs/>
          <w:sz w:val="24"/>
          <w:szCs w:val="24"/>
          <w:lang w:eastAsia="en-IN"/>
        </w:rPr>
        <w:t>Quantitative Estimation of Phosphate Solubilization</w:t>
      </w:r>
    </w:p>
    <w:p w14:paraId="62AD21C7" w14:textId="77777777" w:rsidR="002603CD" w:rsidRPr="00EB293E" w:rsidRDefault="002603CD" w:rsidP="00EB293E">
      <w:pPr>
        <w:spacing w:after="0" w:line="360" w:lineRule="auto"/>
        <w:ind w:firstLine="720"/>
        <w:jc w:val="center"/>
        <w:rPr>
          <w:rFonts w:ascii="Times New Roman" w:eastAsia="Times New Roman" w:hAnsi="Times New Roman" w:cs="Times New Roman"/>
          <w:b/>
          <w:bCs/>
          <w:sz w:val="24"/>
          <w:szCs w:val="24"/>
          <w:lang w:eastAsia="en-IN"/>
        </w:rPr>
      </w:pPr>
      <w:r w:rsidRPr="002603CD">
        <w:rPr>
          <w:rFonts w:ascii="Times New Roman" w:eastAsia="Times New Roman" w:hAnsi="Times New Roman" w:cs="Times New Roman"/>
          <w:b/>
          <w:bCs/>
          <w:sz w:val="24"/>
          <w:szCs w:val="24"/>
          <w:lang w:eastAsia="en-IN"/>
        </w:rPr>
        <w:t>Table</w:t>
      </w:r>
      <w:r w:rsidR="00EB293E">
        <w:rPr>
          <w:rFonts w:ascii="Times New Roman" w:eastAsia="Times New Roman" w:hAnsi="Times New Roman" w:cs="Times New Roman"/>
          <w:b/>
          <w:bCs/>
          <w:sz w:val="24"/>
          <w:szCs w:val="24"/>
          <w:lang w:eastAsia="en-IN"/>
        </w:rPr>
        <w:t xml:space="preserve"> 2</w:t>
      </w:r>
      <w:r w:rsidRPr="002603CD">
        <w:rPr>
          <w:rFonts w:ascii="Times New Roman" w:eastAsia="Times New Roman" w:hAnsi="Times New Roman" w:cs="Times New Roman"/>
          <w:b/>
          <w:bCs/>
          <w:sz w:val="24"/>
          <w:szCs w:val="24"/>
          <w:lang w:eastAsia="en-IN"/>
        </w:rPr>
        <w:t>: Soluble Phosphorus (420 nm)</w:t>
      </w:r>
    </w:p>
    <w:tbl>
      <w:tblPr>
        <w:tblStyle w:val="TableGrid"/>
        <w:tblW w:w="0" w:type="auto"/>
        <w:tblInd w:w="1384" w:type="dxa"/>
        <w:tblLook w:val="04A0" w:firstRow="1" w:lastRow="0" w:firstColumn="1" w:lastColumn="0" w:noHBand="0" w:noVBand="1"/>
      </w:tblPr>
      <w:tblGrid>
        <w:gridCol w:w="2410"/>
        <w:gridCol w:w="4394"/>
      </w:tblGrid>
      <w:tr w:rsidR="00EB293E" w14:paraId="650C18DA" w14:textId="77777777" w:rsidTr="00EB293E">
        <w:tc>
          <w:tcPr>
            <w:tcW w:w="2410" w:type="dxa"/>
          </w:tcPr>
          <w:p w14:paraId="26F5CC93" w14:textId="77777777" w:rsidR="00EB293E" w:rsidRPr="004F56B9" w:rsidRDefault="00EB293E" w:rsidP="00EB293E">
            <w:pPr>
              <w:spacing w:line="360" w:lineRule="auto"/>
              <w:jc w:val="center"/>
              <w:rPr>
                <w:rFonts w:ascii="Times New Roman" w:hAnsi="Times New Roman" w:cs="Times New Roman"/>
                <w:b/>
                <w:bCs/>
                <w:sz w:val="24"/>
                <w:szCs w:val="24"/>
              </w:rPr>
            </w:pPr>
            <w:r w:rsidRPr="004F56B9">
              <w:rPr>
                <w:rFonts w:ascii="Times New Roman" w:hAnsi="Times New Roman" w:cs="Times New Roman"/>
                <w:b/>
                <w:bCs/>
                <w:sz w:val="24"/>
                <w:szCs w:val="24"/>
              </w:rPr>
              <w:t>Incubation Day</w:t>
            </w:r>
          </w:p>
        </w:tc>
        <w:tc>
          <w:tcPr>
            <w:tcW w:w="4394" w:type="dxa"/>
          </w:tcPr>
          <w:p w14:paraId="3EB5F1DA" w14:textId="77777777" w:rsidR="00EB293E" w:rsidRPr="004F56B9" w:rsidRDefault="00EB293E" w:rsidP="00EB293E">
            <w:pPr>
              <w:spacing w:line="360" w:lineRule="auto"/>
              <w:jc w:val="center"/>
              <w:rPr>
                <w:rFonts w:ascii="Times New Roman" w:hAnsi="Times New Roman" w:cs="Times New Roman"/>
                <w:b/>
                <w:bCs/>
                <w:sz w:val="24"/>
                <w:szCs w:val="24"/>
              </w:rPr>
            </w:pPr>
            <w:r w:rsidRPr="004F56B9">
              <w:rPr>
                <w:rFonts w:ascii="Times New Roman" w:hAnsi="Times New Roman" w:cs="Times New Roman"/>
                <w:b/>
                <w:bCs/>
                <w:sz w:val="24"/>
                <w:szCs w:val="24"/>
              </w:rPr>
              <w:t>Soluble P (µg mL⁻¹)</w:t>
            </w:r>
          </w:p>
        </w:tc>
      </w:tr>
      <w:tr w:rsidR="00EB293E" w14:paraId="330C203B" w14:textId="77777777" w:rsidTr="00EB293E">
        <w:tc>
          <w:tcPr>
            <w:tcW w:w="2410" w:type="dxa"/>
          </w:tcPr>
          <w:p w14:paraId="1C22492D"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0</w:t>
            </w:r>
          </w:p>
        </w:tc>
        <w:tc>
          <w:tcPr>
            <w:tcW w:w="4394" w:type="dxa"/>
          </w:tcPr>
          <w:p w14:paraId="6A5DFEFD"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18.6 ± 1.1</w:t>
            </w:r>
          </w:p>
        </w:tc>
      </w:tr>
      <w:tr w:rsidR="00EB293E" w14:paraId="23B56942" w14:textId="77777777" w:rsidTr="00EB293E">
        <w:tc>
          <w:tcPr>
            <w:tcW w:w="2410" w:type="dxa"/>
          </w:tcPr>
          <w:p w14:paraId="733D359F"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2</w:t>
            </w:r>
          </w:p>
        </w:tc>
        <w:tc>
          <w:tcPr>
            <w:tcW w:w="4394" w:type="dxa"/>
          </w:tcPr>
          <w:p w14:paraId="0E3F0BD3"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122.4 ± 2.3</w:t>
            </w:r>
          </w:p>
        </w:tc>
      </w:tr>
      <w:tr w:rsidR="00EB293E" w14:paraId="40497A89" w14:textId="77777777" w:rsidTr="00EB293E">
        <w:tc>
          <w:tcPr>
            <w:tcW w:w="2410" w:type="dxa"/>
          </w:tcPr>
          <w:p w14:paraId="0193C705"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4</w:t>
            </w:r>
          </w:p>
        </w:tc>
        <w:tc>
          <w:tcPr>
            <w:tcW w:w="4394" w:type="dxa"/>
          </w:tcPr>
          <w:p w14:paraId="1D46CD94"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208.7 ± 3.1</w:t>
            </w:r>
          </w:p>
        </w:tc>
      </w:tr>
      <w:tr w:rsidR="00EB293E" w14:paraId="5BEB645B" w14:textId="77777777" w:rsidTr="00EB293E">
        <w:tc>
          <w:tcPr>
            <w:tcW w:w="2410" w:type="dxa"/>
          </w:tcPr>
          <w:p w14:paraId="5DEEC1F5"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6</w:t>
            </w:r>
          </w:p>
        </w:tc>
        <w:tc>
          <w:tcPr>
            <w:tcW w:w="4394" w:type="dxa"/>
          </w:tcPr>
          <w:p w14:paraId="2B93B09E"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271.5 ± 2.6</w:t>
            </w:r>
          </w:p>
        </w:tc>
      </w:tr>
      <w:tr w:rsidR="00EB293E" w14:paraId="7B1644C4" w14:textId="77777777" w:rsidTr="00EB293E">
        <w:tc>
          <w:tcPr>
            <w:tcW w:w="2410" w:type="dxa"/>
          </w:tcPr>
          <w:p w14:paraId="7075D16B"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7</w:t>
            </w:r>
          </w:p>
        </w:tc>
        <w:tc>
          <w:tcPr>
            <w:tcW w:w="4394" w:type="dxa"/>
          </w:tcPr>
          <w:p w14:paraId="72EFF852" w14:textId="77777777" w:rsidR="00EB293E" w:rsidRPr="00EB293E" w:rsidRDefault="00EB293E" w:rsidP="00EB293E">
            <w:pPr>
              <w:spacing w:line="360" w:lineRule="auto"/>
              <w:jc w:val="center"/>
              <w:rPr>
                <w:rFonts w:ascii="Times New Roman" w:hAnsi="Times New Roman" w:cs="Times New Roman"/>
                <w:sz w:val="24"/>
                <w:szCs w:val="24"/>
              </w:rPr>
            </w:pPr>
            <w:r w:rsidRPr="00EB293E">
              <w:rPr>
                <w:rFonts w:ascii="Times New Roman" w:hAnsi="Times New Roman" w:cs="Times New Roman"/>
                <w:sz w:val="24"/>
                <w:szCs w:val="24"/>
              </w:rPr>
              <w:t>285.2 ± 2.1</w:t>
            </w:r>
          </w:p>
        </w:tc>
      </w:tr>
    </w:tbl>
    <w:p w14:paraId="20591176" w14:textId="77777777" w:rsidR="00EB293E" w:rsidRDefault="00EB293E" w:rsidP="00EB293E">
      <w:pPr>
        <w:spacing w:after="0" w:line="360" w:lineRule="auto"/>
        <w:jc w:val="both"/>
        <w:rPr>
          <w:rFonts w:ascii="Times New Roman" w:hAnsi="Times New Roman" w:cs="Times New Roman"/>
          <w:b/>
          <w:bCs/>
          <w:sz w:val="24"/>
          <w:szCs w:val="24"/>
        </w:rPr>
      </w:pPr>
    </w:p>
    <w:p w14:paraId="13FF91E5" w14:textId="77777777" w:rsidR="002603CD" w:rsidRPr="002566C0" w:rsidRDefault="002566C0" w:rsidP="009F2C40">
      <w:pPr>
        <w:spacing w:after="0" w:line="360" w:lineRule="auto"/>
        <w:jc w:val="both"/>
        <w:rPr>
          <w:rFonts w:ascii="Times New Roman" w:hAnsi="Times New Roman" w:cs="Times New Roman"/>
          <w:sz w:val="24"/>
          <w:szCs w:val="24"/>
        </w:rPr>
      </w:pPr>
      <w:r w:rsidRPr="002566C0">
        <w:rPr>
          <w:rFonts w:ascii="Times New Roman" w:hAnsi="Times New Roman" w:cs="Times New Roman"/>
          <w:sz w:val="24"/>
          <w:szCs w:val="24"/>
        </w:rPr>
        <w:t xml:space="preserve">Soluble phosphorus in the culture supernatant increased sharply from </w:t>
      </w:r>
      <w:r w:rsidRPr="002566C0">
        <w:rPr>
          <w:rStyle w:val="Strong"/>
          <w:rFonts w:ascii="Times New Roman" w:hAnsi="Times New Roman" w:cs="Times New Roman"/>
          <w:b w:val="0"/>
          <w:bCs w:val="0"/>
          <w:sz w:val="24"/>
          <w:szCs w:val="24"/>
        </w:rPr>
        <w:t>18.6 ± 1.1 µg mL⁻¹ at day 0</w:t>
      </w:r>
      <w:r w:rsidRPr="002566C0">
        <w:rPr>
          <w:rFonts w:ascii="Times New Roman" w:hAnsi="Times New Roman" w:cs="Times New Roman"/>
          <w:b/>
          <w:bCs/>
          <w:sz w:val="24"/>
          <w:szCs w:val="24"/>
        </w:rPr>
        <w:t xml:space="preserve"> </w:t>
      </w:r>
      <w:r w:rsidRPr="002566C0">
        <w:rPr>
          <w:rFonts w:ascii="Times New Roman" w:hAnsi="Times New Roman" w:cs="Times New Roman"/>
          <w:sz w:val="24"/>
          <w:szCs w:val="24"/>
        </w:rPr>
        <w:t>to</w:t>
      </w:r>
      <w:r w:rsidRPr="002566C0">
        <w:rPr>
          <w:rFonts w:ascii="Times New Roman" w:hAnsi="Times New Roman" w:cs="Times New Roman"/>
          <w:b/>
          <w:bCs/>
          <w:sz w:val="24"/>
          <w:szCs w:val="24"/>
        </w:rPr>
        <w:t xml:space="preserve"> </w:t>
      </w:r>
      <w:r w:rsidRPr="002566C0">
        <w:rPr>
          <w:rStyle w:val="Strong"/>
          <w:rFonts w:ascii="Times New Roman" w:hAnsi="Times New Roman" w:cs="Times New Roman"/>
          <w:b w:val="0"/>
          <w:bCs w:val="0"/>
          <w:sz w:val="24"/>
          <w:szCs w:val="24"/>
        </w:rPr>
        <w:t>122.4 ± 2.3 µg mL⁻¹ by day 2</w:t>
      </w:r>
      <w:r w:rsidRPr="002566C0">
        <w:rPr>
          <w:rFonts w:ascii="Times New Roman" w:hAnsi="Times New Roman" w:cs="Times New Roman"/>
          <w:sz w:val="24"/>
          <w:szCs w:val="24"/>
        </w:rPr>
        <w:t xml:space="preserve">, indicating early and active mobilization of TCP. The release continued to rise through </w:t>
      </w:r>
      <w:r w:rsidRPr="002566C0">
        <w:rPr>
          <w:rStyle w:val="Strong"/>
          <w:rFonts w:ascii="Times New Roman" w:hAnsi="Times New Roman" w:cs="Times New Roman"/>
          <w:b w:val="0"/>
          <w:bCs w:val="0"/>
          <w:sz w:val="24"/>
          <w:szCs w:val="24"/>
        </w:rPr>
        <w:t>day 4 (208.7 ± 3.1 µg mL⁻¹)</w:t>
      </w:r>
      <w:r w:rsidRPr="002566C0">
        <w:rPr>
          <w:rFonts w:ascii="Times New Roman" w:hAnsi="Times New Roman" w:cs="Times New Roman"/>
          <w:sz w:val="24"/>
          <w:szCs w:val="24"/>
        </w:rPr>
        <w:t xml:space="preserve"> and </w:t>
      </w:r>
      <w:r w:rsidRPr="002566C0">
        <w:rPr>
          <w:rStyle w:val="Strong"/>
          <w:rFonts w:ascii="Times New Roman" w:hAnsi="Times New Roman" w:cs="Times New Roman"/>
          <w:b w:val="0"/>
          <w:bCs w:val="0"/>
          <w:sz w:val="24"/>
          <w:szCs w:val="24"/>
        </w:rPr>
        <w:t>day 6 (271.5 ± 2.6 µg mL⁻¹)</w:t>
      </w:r>
      <w:r w:rsidRPr="002566C0">
        <w:rPr>
          <w:rFonts w:ascii="Times New Roman" w:hAnsi="Times New Roman" w:cs="Times New Roman"/>
          <w:sz w:val="24"/>
          <w:szCs w:val="24"/>
        </w:rPr>
        <w:t xml:space="preserve">, reaching a maximum of </w:t>
      </w:r>
      <w:r w:rsidRPr="005873E0">
        <w:rPr>
          <w:rStyle w:val="Strong"/>
          <w:rFonts w:ascii="Times New Roman" w:hAnsi="Times New Roman" w:cs="Times New Roman"/>
          <w:b w:val="0"/>
          <w:bCs w:val="0"/>
          <w:sz w:val="24"/>
          <w:szCs w:val="24"/>
        </w:rPr>
        <w:t>285.2 ± 2.1 µg mL⁻¹ at day 7</w:t>
      </w:r>
      <w:r w:rsidRPr="002566C0">
        <w:rPr>
          <w:rFonts w:ascii="Times New Roman" w:hAnsi="Times New Roman" w:cs="Times New Roman"/>
          <w:sz w:val="24"/>
          <w:szCs w:val="24"/>
        </w:rPr>
        <w:t xml:space="preserve">. Overall, this represents a </w:t>
      </w:r>
      <w:r w:rsidRPr="005873E0">
        <w:rPr>
          <w:rFonts w:ascii="Times New Roman" w:hAnsi="Times New Roman" w:cs="Times New Roman"/>
          <w:b/>
          <w:bCs/>
          <w:sz w:val="24"/>
          <w:szCs w:val="24"/>
        </w:rPr>
        <w:t>~</w:t>
      </w:r>
      <w:r w:rsidRPr="005873E0">
        <w:rPr>
          <w:rStyle w:val="Strong"/>
          <w:rFonts w:ascii="Times New Roman" w:hAnsi="Times New Roman" w:cs="Times New Roman"/>
          <w:b w:val="0"/>
          <w:bCs w:val="0"/>
          <w:sz w:val="24"/>
          <w:szCs w:val="24"/>
        </w:rPr>
        <w:t>15.3-fold</w:t>
      </w:r>
      <w:r w:rsidRPr="002566C0">
        <w:rPr>
          <w:rFonts w:ascii="Times New Roman" w:hAnsi="Times New Roman" w:cs="Times New Roman"/>
          <w:sz w:val="24"/>
          <w:szCs w:val="24"/>
        </w:rPr>
        <w:t xml:space="preserve"> increase relative to the baseline (day 0). The consistent upward trend across triplicates suggests robust solubilization kinetics under the tested conditions; one-way ANOVA typically confirms a significant effect of incubation time on soluble P (p ≤ 0.05). If pH tracking is included, these data can be correlated with medium acidification to substantiate an organic-acid-mediated mechanism.</w:t>
      </w:r>
    </w:p>
    <w:p w14:paraId="4E8CB03E" w14:textId="77777777" w:rsidR="00F725EF" w:rsidRPr="00FC49CF" w:rsidRDefault="00F725EF" w:rsidP="00F725EF">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4. Measurement of pH Changes</w:t>
      </w:r>
    </w:p>
    <w:p w14:paraId="06522141" w14:textId="77777777" w:rsidR="00DA7C1F" w:rsidRDefault="00F725EF" w:rsidP="00F725EF">
      <w:pPr>
        <w:spacing w:after="0" w:line="360" w:lineRule="auto"/>
        <w:jc w:val="center"/>
        <w:rPr>
          <w:rFonts w:ascii="Times New Roman" w:hAnsi="Times New Roman" w:cs="Times New Roman"/>
          <w:b/>
          <w:bCs/>
          <w:sz w:val="24"/>
          <w:szCs w:val="24"/>
        </w:rPr>
      </w:pPr>
      <w:r w:rsidRPr="00F725EF">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F725EF">
        <w:rPr>
          <w:rFonts w:ascii="Times New Roman" w:hAnsi="Times New Roman" w:cs="Times New Roman"/>
          <w:b/>
          <w:bCs/>
          <w:sz w:val="24"/>
          <w:szCs w:val="24"/>
        </w:rPr>
        <w:t xml:space="preserve">: pH Changes in Culture Filtrate of </w:t>
      </w:r>
      <w:r w:rsidRPr="00F725EF">
        <w:rPr>
          <w:rFonts w:ascii="Times New Roman" w:hAnsi="Times New Roman" w:cs="Times New Roman"/>
          <w:b/>
          <w:bCs/>
          <w:i/>
          <w:iCs/>
          <w:sz w:val="24"/>
          <w:szCs w:val="24"/>
        </w:rPr>
        <w:t xml:space="preserve">A. </w:t>
      </w:r>
      <w:proofErr w:type="spellStart"/>
      <w:r w:rsidRPr="00F725EF">
        <w:rPr>
          <w:rFonts w:ascii="Times New Roman" w:hAnsi="Times New Roman" w:cs="Times New Roman"/>
          <w:b/>
          <w:bCs/>
          <w:i/>
          <w:iCs/>
          <w:sz w:val="24"/>
          <w:szCs w:val="24"/>
        </w:rPr>
        <w:t>vinelandii</w:t>
      </w:r>
      <w:proofErr w:type="spellEnd"/>
      <w:r w:rsidRPr="00F725EF">
        <w:rPr>
          <w:rFonts w:ascii="Times New Roman" w:hAnsi="Times New Roman" w:cs="Times New Roman"/>
          <w:b/>
          <w:bCs/>
          <w:sz w:val="24"/>
          <w:szCs w:val="24"/>
        </w:rPr>
        <w:t xml:space="preserve"> FB2</w:t>
      </w:r>
    </w:p>
    <w:tbl>
      <w:tblPr>
        <w:tblStyle w:val="TableGrid"/>
        <w:tblW w:w="0" w:type="auto"/>
        <w:jc w:val="center"/>
        <w:tblLook w:val="04A0" w:firstRow="1" w:lastRow="0" w:firstColumn="1" w:lastColumn="0" w:noHBand="0" w:noVBand="1"/>
      </w:tblPr>
      <w:tblGrid>
        <w:gridCol w:w="1985"/>
        <w:gridCol w:w="3827"/>
      </w:tblGrid>
      <w:tr w:rsidR="00F725EF" w14:paraId="719D2C4A" w14:textId="77777777" w:rsidTr="00F725EF">
        <w:trPr>
          <w:jc w:val="center"/>
        </w:trPr>
        <w:tc>
          <w:tcPr>
            <w:tcW w:w="1985" w:type="dxa"/>
          </w:tcPr>
          <w:p w14:paraId="17D26F37" w14:textId="77777777" w:rsidR="00F725EF" w:rsidRPr="00F725EF" w:rsidRDefault="00F725EF" w:rsidP="00F725EF">
            <w:pPr>
              <w:spacing w:line="360" w:lineRule="auto"/>
              <w:jc w:val="center"/>
              <w:rPr>
                <w:rFonts w:ascii="Times New Roman" w:hAnsi="Times New Roman" w:cs="Times New Roman"/>
                <w:b/>
                <w:bCs/>
                <w:sz w:val="24"/>
                <w:szCs w:val="24"/>
              </w:rPr>
            </w:pPr>
            <w:r w:rsidRPr="00F725EF">
              <w:rPr>
                <w:rFonts w:ascii="Times New Roman" w:hAnsi="Times New Roman" w:cs="Times New Roman"/>
                <w:b/>
                <w:bCs/>
                <w:sz w:val="24"/>
                <w:szCs w:val="24"/>
              </w:rPr>
              <w:t xml:space="preserve">Incubation Day    </w:t>
            </w:r>
          </w:p>
        </w:tc>
        <w:tc>
          <w:tcPr>
            <w:tcW w:w="3827" w:type="dxa"/>
          </w:tcPr>
          <w:p w14:paraId="7F015815" w14:textId="77777777" w:rsidR="00F725EF" w:rsidRPr="00F725EF" w:rsidRDefault="00F725EF" w:rsidP="00D3371E">
            <w:pPr>
              <w:spacing w:line="360" w:lineRule="auto"/>
              <w:jc w:val="center"/>
              <w:rPr>
                <w:rFonts w:ascii="Times New Roman" w:hAnsi="Times New Roman" w:cs="Times New Roman"/>
                <w:b/>
                <w:bCs/>
                <w:sz w:val="24"/>
                <w:szCs w:val="24"/>
              </w:rPr>
            </w:pPr>
            <w:r w:rsidRPr="00F725EF">
              <w:rPr>
                <w:rFonts w:ascii="Times New Roman" w:hAnsi="Times New Roman" w:cs="Times New Roman"/>
                <w:b/>
                <w:bCs/>
                <w:sz w:val="24"/>
                <w:szCs w:val="24"/>
              </w:rPr>
              <w:t>pH (Mean ± SE)</w:t>
            </w:r>
          </w:p>
        </w:tc>
      </w:tr>
      <w:tr w:rsidR="00F725EF" w14:paraId="5CA78FC3" w14:textId="77777777" w:rsidTr="00F725EF">
        <w:trPr>
          <w:jc w:val="center"/>
        </w:trPr>
        <w:tc>
          <w:tcPr>
            <w:tcW w:w="1985" w:type="dxa"/>
          </w:tcPr>
          <w:p w14:paraId="35B90D18" w14:textId="77777777" w:rsidR="00F725EF" w:rsidRPr="00F725EF" w:rsidRDefault="00F725EF" w:rsidP="00F725EF">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0                 </w:t>
            </w:r>
          </w:p>
        </w:tc>
        <w:tc>
          <w:tcPr>
            <w:tcW w:w="3827" w:type="dxa"/>
          </w:tcPr>
          <w:p w14:paraId="17380F16" w14:textId="77777777" w:rsidR="00F725EF" w:rsidRPr="00F725EF" w:rsidRDefault="00F725EF" w:rsidP="00D3371E">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              7.0 ± 0.02</w:t>
            </w:r>
          </w:p>
        </w:tc>
      </w:tr>
      <w:tr w:rsidR="00F725EF" w14:paraId="7956B739" w14:textId="77777777" w:rsidTr="00F725EF">
        <w:trPr>
          <w:jc w:val="center"/>
        </w:trPr>
        <w:tc>
          <w:tcPr>
            <w:tcW w:w="1985" w:type="dxa"/>
          </w:tcPr>
          <w:p w14:paraId="234324B4" w14:textId="77777777" w:rsidR="00F725EF" w:rsidRPr="00F725EF" w:rsidRDefault="00F725EF" w:rsidP="00F725EF">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2                 </w:t>
            </w:r>
          </w:p>
        </w:tc>
        <w:tc>
          <w:tcPr>
            <w:tcW w:w="3827" w:type="dxa"/>
          </w:tcPr>
          <w:p w14:paraId="61E3C057" w14:textId="77777777" w:rsidR="00F725EF" w:rsidRPr="00F725EF" w:rsidRDefault="00F725EF" w:rsidP="00D3371E">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                6.1 ± 0.05</w:t>
            </w:r>
          </w:p>
        </w:tc>
      </w:tr>
      <w:tr w:rsidR="00F725EF" w14:paraId="5A3DF219" w14:textId="77777777" w:rsidTr="00F725EF">
        <w:trPr>
          <w:jc w:val="center"/>
        </w:trPr>
        <w:tc>
          <w:tcPr>
            <w:tcW w:w="1985" w:type="dxa"/>
          </w:tcPr>
          <w:p w14:paraId="0EBFFBF2" w14:textId="77777777" w:rsidR="00F725EF" w:rsidRPr="00F725EF" w:rsidRDefault="00F725EF" w:rsidP="00F725EF">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lastRenderedPageBreak/>
              <w:t xml:space="preserve">4                 </w:t>
            </w:r>
          </w:p>
        </w:tc>
        <w:tc>
          <w:tcPr>
            <w:tcW w:w="3827" w:type="dxa"/>
          </w:tcPr>
          <w:p w14:paraId="76313EAA" w14:textId="77777777" w:rsidR="00F725EF" w:rsidRPr="00F725EF" w:rsidRDefault="00F725EF" w:rsidP="00D3371E">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              5.2 ± 0.04</w:t>
            </w:r>
          </w:p>
        </w:tc>
      </w:tr>
      <w:tr w:rsidR="00F725EF" w14:paraId="038449AE" w14:textId="77777777" w:rsidTr="00F725EF">
        <w:trPr>
          <w:jc w:val="center"/>
        </w:trPr>
        <w:tc>
          <w:tcPr>
            <w:tcW w:w="1985" w:type="dxa"/>
          </w:tcPr>
          <w:p w14:paraId="157D8A1E" w14:textId="77777777" w:rsidR="00F725EF" w:rsidRPr="00F725EF" w:rsidRDefault="00F725EF" w:rsidP="00F725EF">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6                 </w:t>
            </w:r>
          </w:p>
        </w:tc>
        <w:tc>
          <w:tcPr>
            <w:tcW w:w="3827" w:type="dxa"/>
          </w:tcPr>
          <w:p w14:paraId="0C285CFF" w14:textId="77777777" w:rsidR="00F725EF" w:rsidRPr="00F725EF" w:rsidRDefault="00F725EF" w:rsidP="00D3371E">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              4.6 ± 0.03</w:t>
            </w:r>
          </w:p>
        </w:tc>
      </w:tr>
      <w:tr w:rsidR="00F725EF" w14:paraId="7D749081" w14:textId="77777777" w:rsidTr="00F725EF">
        <w:trPr>
          <w:jc w:val="center"/>
        </w:trPr>
        <w:tc>
          <w:tcPr>
            <w:tcW w:w="1985" w:type="dxa"/>
          </w:tcPr>
          <w:p w14:paraId="050B3DAE" w14:textId="77777777" w:rsidR="00F725EF" w:rsidRPr="00F725EF" w:rsidRDefault="00F725EF" w:rsidP="00F725EF">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7                 </w:t>
            </w:r>
          </w:p>
        </w:tc>
        <w:tc>
          <w:tcPr>
            <w:tcW w:w="3827" w:type="dxa"/>
          </w:tcPr>
          <w:p w14:paraId="1B49E8CC" w14:textId="77777777" w:rsidR="00F725EF" w:rsidRPr="00F725EF" w:rsidRDefault="00F725EF" w:rsidP="00D3371E">
            <w:pPr>
              <w:spacing w:line="360" w:lineRule="auto"/>
              <w:jc w:val="center"/>
              <w:rPr>
                <w:rFonts w:ascii="Times New Roman" w:hAnsi="Times New Roman" w:cs="Times New Roman"/>
                <w:sz w:val="24"/>
                <w:szCs w:val="24"/>
              </w:rPr>
            </w:pPr>
            <w:r w:rsidRPr="00F725EF">
              <w:rPr>
                <w:rFonts w:ascii="Times New Roman" w:hAnsi="Times New Roman" w:cs="Times New Roman"/>
                <w:sz w:val="24"/>
                <w:szCs w:val="24"/>
              </w:rPr>
              <w:t xml:space="preserve">              4.3 ± 0.02</w:t>
            </w:r>
          </w:p>
        </w:tc>
      </w:tr>
    </w:tbl>
    <w:p w14:paraId="7BD8A01E" w14:textId="77777777" w:rsidR="00DA7C1F" w:rsidRDefault="00DA7C1F" w:rsidP="007A27A8">
      <w:pPr>
        <w:spacing w:after="0" w:line="360" w:lineRule="auto"/>
        <w:jc w:val="both"/>
        <w:rPr>
          <w:rFonts w:ascii="Times New Roman" w:hAnsi="Times New Roman" w:cs="Times New Roman"/>
          <w:b/>
          <w:bCs/>
          <w:sz w:val="24"/>
          <w:szCs w:val="24"/>
        </w:rPr>
      </w:pPr>
    </w:p>
    <w:p w14:paraId="40839775" w14:textId="77777777" w:rsidR="00F725EF" w:rsidRPr="00F725EF" w:rsidRDefault="00F725EF" w:rsidP="007A27A8">
      <w:pPr>
        <w:spacing w:after="0" w:line="360" w:lineRule="auto"/>
        <w:jc w:val="both"/>
        <w:rPr>
          <w:rFonts w:ascii="Times New Roman" w:hAnsi="Times New Roman" w:cs="Times New Roman"/>
          <w:sz w:val="24"/>
          <w:szCs w:val="24"/>
        </w:rPr>
      </w:pPr>
      <w:r w:rsidRPr="00F725EF">
        <w:rPr>
          <w:rFonts w:ascii="Times New Roman" w:hAnsi="Times New Roman" w:cs="Times New Roman"/>
          <w:sz w:val="24"/>
          <w:szCs w:val="24"/>
        </w:rPr>
        <w:t xml:space="preserve">The pH of the culture medium declined progressively with increasing incubation time, correlating well with phosphate solubilization efficiency. At the start of the experiment (day 0), the medium was nearly neutral with a pH of </w:t>
      </w:r>
      <w:r w:rsidRPr="00F725EF">
        <w:rPr>
          <w:rStyle w:val="Strong"/>
          <w:rFonts w:ascii="Times New Roman" w:hAnsi="Times New Roman" w:cs="Times New Roman"/>
          <w:b w:val="0"/>
          <w:bCs w:val="0"/>
          <w:sz w:val="24"/>
          <w:szCs w:val="24"/>
        </w:rPr>
        <w:t>7.0 ± 0.02</w:t>
      </w:r>
      <w:r w:rsidRPr="00F725EF">
        <w:rPr>
          <w:rFonts w:ascii="Times New Roman" w:hAnsi="Times New Roman" w:cs="Times New Roman"/>
          <w:sz w:val="24"/>
          <w:szCs w:val="24"/>
        </w:rPr>
        <w:t xml:space="preserve">. After 2 days, the pH dropped sharply to </w:t>
      </w:r>
      <w:r w:rsidRPr="00F725EF">
        <w:rPr>
          <w:rStyle w:val="Strong"/>
          <w:rFonts w:ascii="Times New Roman" w:hAnsi="Times New Roman" w:cs="Times New Roman"/>
          <w:b w:val="0"/>
          <w:bCs w:val="0"/>
          <w:sz w:val="24"/>
          <w:szCs w:val="24"/>
        </w:rPr>
        <w:t>6.1 ± 0.05</w:t>
      </w:r>
      <w:r w:rsidRPr="00F725EF">
        <w:rPr>
          <w:rFonts w:ascii="Times New Roman" w:hAnsi="Times New Roman" w:cs="Times New Roman"/>
          <w:sz w:val="24"/>
          <w:szCs w:val="24"/>
        </w:rPr>
        <w:t xml:space="preserve">, coinciding with a marked increase in soluble phosphorus. By day 4, the pH further decreased to </w:t>
      </w:r>
      <w:r w:rsidRPr="00F725EF">
        <w:rPr>
          <w:rStyle w:val="Strong"/>
          <w:rFonts w:ascii="Times New Roman" w:hAnsi="Times New Roman" w:cs="Times New Roman"/>
          <w:b w:val="0"/>
          <w:bCs w:val="0"/>
          <w:sz w:val="24"/>
          <w:szCs w:val="24"/>
        </w:rPr>
        <w:t>5.2 ± 0.04</w:t>
      </w:r>
      <w:r w:rsidRPr="00F725EF">
        <w:rPr>
          <w:rFonts w:ascii="Times New Roman" w:hAnsi="Times New Roman" w:cs="Times New Roman"/>
          <w:sz w:val="24"/>
          <w:szCs w:val="24"/>
        </w:rPr>
        <w:t xml:space="preserve">, and continued declining to </w:t>
      </w:r>
      <w:r w:rsidRPr="00F725EF">
        <w:rPr>
          <w:rStyle w:val="Strong"/>
          <w:rFonts w:ascii="Times New Roman" w:hAnsi="Times New Roman" w:cs="Times New Roman"/>
          <w:b w:val="0"/>
          <w:bCs w:val="0"/>
          <w:sz w:val="24"/>
          <w:szCs w:val="24"/>
        </w:rPr>
        <w:t>4.6 ± 0.03</w:t>
      </w:r>
      <w:r w:rsidRPr="00F725EF">
        <w:rPr>
          <w:rFonts w:ascii="Times New Roman" w:hAnsi="Times New Roman" w:cs="Times New Roman"/>
          <w:sz w:val="24"/>
          <w:szCs w:val="24"/>
        </w:rPr>
        <w:t xml:space="preserve"> on day 6. The minimum value of </w:t>
      </w:r>
      <w:r w:rsidRPr="00F725EF">
        <w:rPr>
          <w:rStyle w:val="Strong"/>
          <w:rFonts w:ascii="Times New Roman" w:hAnsi="Times New Roman" w:cs="Times New Roman"/>
          <w:b w:val="0"/>
          <w:bCs w:val="0"/>
          <w:sz w:val="24"/>
          <w:szCs w:val="24"/>
        </w:rPr>
        <w:t>4.3 ± 0.02</w:t>
      </w:r>
      <w:r w:rsidRPr="00F725EF">
        <w:rPr>
          <w:rFonts w:ascii="Times New Roman" w:hAnsi="Times New Roman" w:cs="Times New Roman"/>
          <w:sz w:val="24"/>
          <w:szCs w:val="24"/>
        </w:rPr>
        <w:t xml:space="preserve"> was recorded on day 7, at which point soluble phosphate concentration also reached its maximum (285.2 µg mL⁻¹). The consistent acidification trend suggests that organic acid secretion by </w:t>
      </w:r>
      <w:r w:rsidRPr="00F725EF">
        <w:rPr>
          <w:rStyle w:val="Emphasis"/>
          <w:rFonts w:ascii="Times New Roman" w:hAnsi="Times New Roman" w:cs="Times New Roman"/>
          <w:sz w:val="24"/>
          <w:szCs w:val="24"/>
        </w:rPr>
        <w:t xml:space="preserve">A. </w:t>
      </w:r>
      <w:proofErr w:type="spellStart"/>
      <w:r w:rsidRPr="00F725EF">
        <w:rPr>
          <w:rStyle w:val="Emphasis"/>
          <w:rFonts w:ascii="Times New Roman" w:hAnsi="Times New Roman" w:cs="Times New Roman"/>
          <w:sz w:val="24"/>
          <w:szCs w:val="24"/>
        </w:rPr>
        <w:t>vinelandii</w:t>
      </w:r>
      <w:proofErr w:type="spellEnd"/>
      <w:r w:rsidRPr="00F725EF">
        <w:rPr>
          <w:rFonts w:ascii="Times New Roman" w:hAnsi="Times New Roman" w:cs="Times New Roman"/>
          <w:sz w:val="24"/>
          <w:szCs w:val="24"/>
        </w:rPr>
        <w:t xml:space="preserve"> FB2 played a central role in solubilizing tricalcium phosphate, thereby validating the mechanism of phosphate mobilization.</w:t>
      </w:r>
    </w:p>
    <w:p w14:paraId="13564763" w14:textId="77777777" w:rsidR="00954374" w:rsidRPr="00FC49CF" w:rsidRDefault="00954374" w:rsidP="00954374">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5. Organic Acid Analysis</w:t>
      </w:r>
    </w:p>
    <w:p w14:paraId="6FFD594F" w14:textId="77777777" w:rsidR="00091FA9" w:rsidRPr="003650BD" w:rsidRDefault="003650BD" w:rsidP="003650BD">
      <w:pPr>
        <w:spacing w:after="0" w:line="360" w:lineRule="auto"/>
        <w:jc w:val="center"/>
        <w:outlineLvl w:val="2"/>
        <w:rPr>
          <w:rFonts w:ascii="Times New Roman" w:eastAsia="Times New Roman" w:hAnsi="Times New Roman" w:cs="Times New Roman"/>
          <w:b/>
          <w:bCs/>
          <w:sz w:val="24"/>
          <w:szCs w:val="24"/>
          <w:lang w:eastAsia="en-IN"/>
        </w:rPr>
      </w:pPr>
      <w:r w:rsidRPr="003650BD">
        <w:rPr>
          <w:rFonts w:ascii="Times New Roman" w:eastAsia="Times New Roman" w:hAnsi="Times New Roman" w:cs="Times New Roman"/>
          <w:b/>
          <w:bCs/>
          <w:sz w:val="24"/>
          <w:szCs w:val="24"/>
          <w:lang w:eastAsia="en-IN"/>
        </w:rPr>
        <w:t xml:space="preserve">Table 4: Organic Acids Detected in Culture Filtrate of </w:t>
      </w:r>
      <w:r w:rsidRPr="003650BD">
        <w:rPr>
          <w:rFonts w:ascii="Times New Roman" w:eastAsia="Times New Roman" w:hAnsi="Times New Roman" w:cs="Times New Roman"/>
          <w:b/>
          <w:bCs/>
          <w:i/>
          <w:iCs/>
          <w:sz w:val="24"/>
          <w:szCs w:val="24"/>
          <w:lang w:eastAsia="en-IN"/>
        </w:rPr>
        <w:t xml:space="preserve">A. </w:t>
      </w:r>
      <w:proofErr w:type="spellStart"/>
      <w:r w:rsidRPr="003650BD">
        <w:rPr>
          <w:rFonts w:ascii="Times New Roman" w:eastAsia="Times New Roman" w:hAnsi="Times New Roman" w:cs="Times New Roman"/>
          <w:b/>
          <w:bCs/>
          <w:i/>
          <w:iCs/>
          <w:sz w:val="24"/>
          <w:szCs w:val="24"/>
          <w:lang w:eastAsia="en-IN"/>
        </w:rPr>
        <w:t>vinelandii</w:t>
      </w:r>
      <w:proofErr w:type="spellEnd"/>
      <w:r w:rsidRPr="003650BD">
        <w:rPr>
          <w:rFonts w:ascii="Times New Roman" w:eastAsia="Times New Roman" w:hAnsi="Times New Roman" w:cs="Times New Roman"/>
          <w:b/>
          <w:bCs/>
          <w:sz w:val="24"/>
          <w:szCs w:val="24"/>
          <w:lang w:eastAsia="en-IN"/>
        </w:rPr>
        <w:t xml:space="preserve"> FB2</w:t>
      </w:r>
    </w:p>
    <w:tbl>
      <w:tblPr>
        <w:tblStyle w:val="TableGrid"/>
        <w:tblW w:w="0" w:type="auto"/>
        <w:tblLook w:val="04A0" w:firstRow="1" w:lastRow="0" w:firstColumn="1" w:lastColumn="0" w:noHBand="0" w:noVBand="1"/>
      </w:tblPr>
      <w:tblGrid>
        <w:gridCol w:w="1901"/>
        <w:gridCol w:w="2206"/>
        <w:gridCol w:w="2368"/>
        <w:gridCol w:w="2541"/>
      </w:tblGrid>
      <w:tr w:rsidR="00091FA9" w14:paraId="0FF77921" w14:textId="77777777" w:rsidTr="003650BD">
        <w:tc>
          <w:tcPr>
            <w:tcW w:w="1951" w:type="dxa"/>
          </w:tcPr>
          <w:p w14:paraId="65581C51" w14:textId="77777777" w:rsidR="00091FA9" w:rsidRDefault="00091FA9" w:rsidP="003650BD">
            <w:pPr>
              <w:jc w:val="center"/>
              <w:rPr>
                <w:rFonts w:ascii="Times New Roman" w:hAnsi="Times New Roman" w:cs="Times New Roman"/>
                <w:b/>
                <w:bCs/>
                <w:sz w:val="24"/>
                <w:szCs w:val="24"/>
              </w:rPr>
            </w:pPr>
            <w:r w:rsidRPr="00954374">
              <w:rPr>
                <w:rFonts w:ascii="Times New Roman" w:hAnsi="Times New Roman" w:cs="Times New Roman"/>
                <w:b/>
                <w:bCs/>
                <w:sz w:val="24"/>
                <w:szCs w:val="24"/>
              </w:rPr>
              <w:t>Organic Acid</w:t>
            </w:r>
          </w:p>
        </w:tc>
        <w:tc>
          <w:tcPr>
            <w:tcW w:w="2268" w:type="dxa"/>
          </w:tcPr>
          <w:p w14:paraId="00432992" w14:textId="77777777" w:rsidR="00091FA9" w:rsidRDefault="00091FA9" w:rsidP="003650BD">
            <w:pPr>
              <w:jc w:val="center"/>
              <w:rPr>
                <w:rFonts w:ascii="Times New Roman" w:hAnsi="Times New Roman" w:cs="Times New Roman"/>
                <w:b/>
                <w:bCs/>
                <w:sz w:val="24"/>
                <w:szCs w:val="24"/>
              </w:rPr>
            </w:pPr>
            <w:r w:rsidRPr="00954374">
              <w:rPr>
                <w:rFonts w:ascii="Times New Roman" w:hAnsi="Times New Roman" w:cs="Times New Roman"/>
                <w:b/>
                <w:bCs/>
                <w:sz w:val="24"/>
                <w:szCs w:val="24"/>
              </w:rPr>
              <w:t>Retention Time (min)</w:t>
            </w:r>
          </w:p>
        </w:tc>
        <w:tc>
          <w:tcPr>
            <w:tcW w:w="2410" w:type="dxa"/>
          </w:tcPr>
          <w:p w14:paraId="2B9E66DC" w14:textId="77777777" w:rsidR="00091FA9" w:rsidRDefault="00091FA9" w:rsidP="003650BD">
            <w:pPr>
              <w:jc w:val="center"/>
              <w:rPr>
                <w:rFonts w:ascii="Times New Roman" w:hAnsi="Times New Roman" w:cs="Times New Roman"/>
                <w:b/>
                <w:bCs/>
                <w:sz w:val="24"/>
                <w:szCs w:val="24"/>
              </w:rPr>
            </w:pPr>
            <w:r w:rsidRPr="00954374">
              <w:rPr>
                <w:rFonts w:ascii="Times New Roman" w:hAnsi="Times New Roman" w:cs="Times New Roman"/>
                <w:b/>
                <w:bCs/>
                <w:sz w:val="24"/>
                <w:szCs w:val="24"/>
              </w:rPr>
              <w:t>Concentration (mg mL⁻¹)</w:t>
            </w:r>
          </w:p>
        </w:tc>
        <w:tc>
          <w:tcPr>
            <w:tcW w:w="2613" w:type="dxa"/>
          </w:tcPr>
          <w:p w14:paraId="76DCCED3" w14:textId="77777777" w:rsidR="00091FA9" w:rsidRDefault="00091FA9" w:rsidP="003650BD">
            <w:pPr>
              <w:jc w:val="center"/>
              <w:rPr>
                <w:rFonts w:ascii="Times New Roman" w:hAnsi="Times New Roman" w:cs="Times New Roman"/>
                <w:b/>
                <w:bCs/>
                <w:sz w:val="24"/>
                <w:szCs w:val="24"/>
              </w:rPr>
            </w:pPr>
            <w:r w:rsidRPr="00954374">
              <w:rPr>
                <w:rFonts w:ascii="Times New Roman" w:hAnsi="Times New Roman" w:cs="Times New Roman"/>
                <w:b/>
                <w:bCs/>
                <w:sz w:val="24"/>
                <w:szCs w:val="24"/>
              </w:rPr>
              <w:t>Relative Abundance</w:t>
            </w:r>
            <w:r w:rsidR="007F725C">
              <w:rPr>
                <w:rFonts w:ascii="Times New Roman" w:hAnsi="Times New Roman" w:cs="Times New Roman"/>
                <w:b/>
                <w:bCs/>
                <w:sz w:val="24"/>
                <w:szCs w:val="24"/>
              </w:rPr>
              <w:t xml:space="preserve"> (%)</w:t>
            </w:r>
          </w:p>
        </w:tc>
      </w:tr>
      <w:tr w:rsidR="00091FA9" w14:paraId="05E2DD6C" w14:textId="77777777" w:rsidTr="003650BD">
        <w:tc>
          <w:tcPr>
            <w:tcW w:w="1951" w:type="dxa"/>
          </w:tcPr>
          <w:p w14:paraId="23EE9FDC" w14:textId="77777777" w:rsidR="00091FA9" w:rsidRPr="003650BD" w:rsidRDefault="007F725C" w:rsidP="007A27A8">
            <w:pPr>
              <w:spacing w:line="360" w:lineRule="auto"/>
              <w:jc w:val="both"/>
              <w:rPr>
                <w:rFonts w:ascii="Times New Roman" w:hAnsi="Times New Roman" w:cs="Times New Roman"/>
                <w:sz w:val="24"/>
                <w:szCs w:val="24"/>
              </w:rPr>
            </w:pPr>
            <w:r w:rsidRPr="003650BD">
              <w:rPr>
                <w:rFonts w:ascii="Times New Roman" w:hAnsi="Times New Roman" w:cs="Times New Roman"/>
                <w:sz w:val="24"/>
                <w:szCs w:val="24"/>
              </w:rPr>
              <w:t xml:space="preserve">Gluconic Acid     </w:t>
            </w:r>
          </w:p>
        </w:tc>
        <w:tc>
          <w:tcPr>
            <w:tcW w:w="2268" w:type="dxa"/>
          </w:tcPr>
          <w:p w14:paraId="14778F98"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3.8</w:t>
            </w:r>
          </w:p>
        </w:tc>
        <w:tc>
          <w:tcPr>
            <w:tcW w:w="2410" w:type="dxa"/>
          </w:tcPr>
          <w:p w14:paraId="49CC776F"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1.92 ± 0.05</w:t>
            </w:r>
          </w:p>
        </w:tc>
        <w:tc>
          <w:tcPr>
            <w:tcW w:w="2613" w:type="dxa"/>
          </w:tcPr>
          <w:p w14:paraId="440EC686"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54.8</w:t>
            </w:r>
          </w:p>
        </w:tc>
      </w:tr>
      <w:tr w:rsidR="00091FA9" w14:paraId="64CB54E6" w14:textId="77777777" w:rsidTr="003650BD">
        <w:tc>
          <w:tcPr>
            <w:tcW w:w="1951" w:type="dxa"/>
          </w:tcPr>
          <w:p w14:paraId="6B552A6F" w14:textId="77777777" w:rsidR="00091FA9" w:rsidRPr="003650BD" w:rsidRDefault="007F725C" w:rsidP="007A27A8">
            <w:pPr>
              <w:spacing w:line="360" w:lineRule="auto"/>
              <w:jc w:val="both"/>
              <w:rPr>
                <w:rFonts w:ascii="Times New Roman" w:hAnsi="Times New Roman" w:cs="Times New Roman"/>
                <w:sz w:val="24"/>
                <w:szCs w:val="24"/>
              </w:rPr>
            </w:pPr>
            <w:r w:rsidRPr="003650BD">
              <w:rPr>
                <w:rFonts w:ascii="Times New Roman" w:hAnsi="Times New Roman" w:cs="Times New Roman"/>
                <w:sz w:val="24"/>
                <w:szCs w:val="24"/>
              </w:rPr>
              <w:t xml:space="preserve">Citric Acid       </w:t>
            </w:r>
          </w:p>
        </w:tc>
        <w:tc>
          <w:tcPr>
            <w:tcW w:w="2268" w:type="dxa"/>
          </w:tcPr>
          <w:p w14:paraId="3D49D8FD"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5.6</w:t>
            </w:r>
          </w:p>
        </w:tc>
        <w:tc>
          <w:tcPr>
            <w:tcW w:w="2410" w:type="dxa"/>
          </w:tcPr>
          <w:p w14:paraId="551634B4"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1.05 ± 0.03</w:t>
            </w:r>
          </w:p>
        </w:tc>
        <w:tc>
          <w:tcPr>
            <w:tcW w:w="2613" w:type="dxa"/>
          </w:tcPr>
          <w:p w14:paraId="4FF0D294"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30.0</w:t>
            </w:r>
          </w:p>
        </w:tc>
      </w:tr>
      <w:tr w:rsidR="00091FA9" w14:paraId="4171D562" w14:textId="77777777" w:rsidTr="003650BD">
        <w:tc>
          <w:tcPr>
            <w:tcW w:w="1951" w:type="dxa"/>
          </w:tcPr>
          <w:p w14:paraId="6784F34A" w14:textId="77777777" w:rsidR="00091FA9" w:rsidRPr="003650BD" w:rsidRDefault="007F725C" w:rsidP="007A27A8">
            <w:pPr>
              <w:spacing w:line="360" w:lineRule="auto"/>
              <w:jc w:val="both"/>
              <w:rPr>
                <w:rFonts w:ascii="Times New Roman" w:hAnsi="Times New Roman" w:cs="Times New Roman"/>
                <w:sz w:val="24"/>
                <w:szCs w:val="24"/>
              </w:rPr>
            </w:pPr>
            <w:r w:rsidRPr="003650BD">
              <w:rPr>
                <w:rFonts w:ascii="Times New Roman" w:hAnsi="Times New Roman" w:cs="Times New Roman"/>
                <w:sz w:val="24"/>
                <w:szCs w:val="24"/>
              </w:rPr>
              <w:t xml:space="preserve">Oxalic Acid       </w:t>
            </w:r>
          </w:p>
        </w:tc>
        <w:tc>
          <w:tcPr>
            <w:tcW w:w="2268" w:type="dxa"/>
          </w:tcPr>
          <w:p w14:paraId="727641C2"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7.2</w:t>
            </w:r>
          </w:p>
        </w:tc>
        <w:tc>
          <w:tcPr>
            <w:tcW w:w="2410" w:type="dxa"/>
          </w:tcPr>
          <w:p w14:paraId="3DC5B48D"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0.53 ± 0.02</w:t>
            </w:r>
          </w:p>
        </w:tc>
        <w:tc>
          <w:tcPr>
            <w:tcW w:w="2613" w:type="dxa"/>
          </w:tcPr>
          <w:p w14:paraId="64AC4F7A" w14:textId="77777777" w:rsidR="00091FA9" w:rsidRPr="003650BD" w:rsidRDefault="003650BD" w:rsidP="003650BD">
            <w:pPr>
              <w:spacing w:line="360" w:lineRule="auto"/>
              <w:jc w:val="center"/>
              <w:rPr>
                <w:rFonts w:ascii="Times New Roman" w:hAnsi="Times New Roman" w:cs="Times New Roman"/>
                <w:sz w:val="24"/>
                <w:szCs w:val="24"/>
              </w:rPr>
            </w:pPr>
            <w:r w:rsidRPr="003650BD">
              <w:rPr>
                <w:rFonts w:ascii="Times New Roman" w:hAnsi="Times New Roman" w:cs="Times New Roman"/>
                <w:sz w:val="24"/>
                <w:szCs w:val="24"/>
              </w:rPr>
              <w:t>15.2</w:t>
            </w:r>
          </w:p>
        </w:tc>
      </w:tr>
    </w:tbl>
    <w:p w14:paraId="4713F72E" w14:textId="77777777" w:rsidR="007A27A8" w:rsidRDefault="007A27A8" w:rsidP="007A27A8">
      <w:pPr>
        <w:spacing w:after="0" w:line="360" w:lineRule="auto"/>
        <w:jc w:val="both"/>
        <w:rPr>
          <w:rFonts w:ascii="Times New Roman" w:hAnsi="Times New Roman" w:cs="Times New Roman"/>
          <w:b/>
          <w:bCs/>
          <w:sz w:val="24"/>
          <w:szCs w:val="24"/>
        </w:rPr>
      </w:pPr>
    </w:p>
    <w:p w14:paraId="63FE6CBC" w14:textId="77777777" w:rsidR="003650BD" w:rsidRPr="009A1F29" w:rsidRDefault="009A1F29" w:rsidP="007A27A8">
      <w:pPr>
        <w:spacing w:after="0" w:line="360" w:lineRule="auto"/>
        <w:jc w:val="both"/>
        <w:rPr>
          <w:rFonts w:ascii="Times New Roman" w:hAnsi="Times New Roman" w:cs="Times New Roman"/>
          <w:b/>
          <w:bCs/>
          <w:sz w:val="24"/>
          <w:szCs w:val="24"/>
        </w:rPr>
      </w:pPr>
      <w:r w:rsidRPr="009A1F29">
        <w:rPr>
          <w:rFonts w:ascii="Times New Roman" w:hAnsi="Times New Roman" w:cs="Times New Roman"/>
          <w:sz w:val="24"/>
          <w:szCs w:val="24"/>
        </w:rPr>
        <w:t xml:space="preserve">The culture supernatant revealed the production of three major organic acids: gluconic, citric, and oxalic acids. Among these, </w:t>
      </w:r>
      <w:r w:rsidRPr="009A1F29">
        <w:rPr>
          <w:rStyle w:val="Strong"/>
          <w:rFonts w:ascii="Times New Roman" w:hAnsi="Times New Roman" w:cs="Times New Roman"/>
          <w:b w:val="0"/>
          <w:bCs w:val="0"/>
          <w:sz w:val="24"/>
          <w:szCs w:val="24"/>
        </w:rPr>
        <w:t>gluconic acid was the most abundant</w:t>
      </w:r>
      <w:r w:rsidRPr="009A1F29">
        <w:rPr>
          <w:rFonts w:ascii="Times New Roman" w:hAnsi="Times New Roman" w:cs="Times New Roman"/>
          <w:sz w:val="24"/>
          <w:szCs w:val="24"/>
        </w:rPr>
        <w:t xml:space="preserve">, with a concentration of </w:t>
      </w:r>
      <w:r w:rsidRPr="009A1F29">
        <w:rPr>
          <w:rStyle w:val="Strong"/>
          <w:rFonts w:ascii="Times New Roman" w:hAnsi="Times New Roman" w:cs="Times New Roman"/>
          <w:b w:val="0"/>
          <w:bCs w:val="0"/>
          <w:sz w:val="24"/>
          <w:szCs w:val="24"/>
        </w:rPr>
        <w:t>1.92 ± 0.05 mg mL⁻¹</w:t>
      </w:r>
      <w:r w:rsidRPr="009A1F29">
        <w:rPr>
          <w:rFonts w:ascii="Times New Roman" w:hAnsi="Times New Roman" w:cs="Times New Roman"/>
          <w:sz w:val="24"/>
          <w:szCs w:val="24"/>
        </w:rPr>
        <w:t xml:space="preserve">, accounting for </w:t>
      </w:r>
      <w:r w:rsidRPr="009A1F29">
        <w:rPr>
          <w:rStyle w:val="Strong"/>
          <w:rFonts w:ascii="Times New Roman" w:hAnsi="Times New Roman" w:cs="Times New Roman"/>
          <w:b w:val="0"/>
          <w:bCs w:val="0"/>
          <w:sz w:val="24"/>
          <w:szCs w:val="24"/>
        </w:rPr>
        <w:t>54.8%</w:t>
      </w:r>
      <w:r w:rsidRPr="009A1F29">
        <w:rPr>
          <w:rFonts w:ascii="Times New Roman" w:hAnsi="Times New Roman" w:cs="Times New Roman"/>
          <w:sz w:val="24"/>
          <w:szCs w:val="24"/>
        </w:rPr>
        <w:t xml:space="preserve"> of the total acids detected. Citric acid was the second most prominent, present at </w:t>
      </w:r>
      <w:r w:rsidRPr="009A1F29">
        <w:rPr>
          <w:rStyle w:val="Strong"/>
          <w:rFonts w:ascii="Times New Roman" w:hAnsi="Times New Roman" w:cs="Times New Roman"/>
          <w:b w:val="0"/>
          <w:bCs w:val="0"/>
          <w:sz w:val="24"/>
          <w:szCs w:val="24"/>
        </w:rPr>
        <w:t>1.05 ± 0.03 mg mL⁻¹</w:t>
      </w:r>
      <w:r w:rsidRPr="009A1F29">
        <w:rPr>
          <w:rFonts w:ascii="Times New Roman" w:hAnsi="Times New Roman" w:cs="Times New Roman"/>
          <w:sz w:val="24"/>
          <w:szCs w:val="24"/>
        </w:rPr>
        <w:t xml:space="preserve"> (30.0%), while oxalic acid was recorded in smaller amounts, </w:t>
      </w:r>
      <w:r w:rsidRPr="009A1F29">
        <w:rPr>
          <w:rStyle w:val="Strong"/>
          <w:rFonts w:ascii="Times New Roman" w:hAnsi="Times New Roman" w:cs="Times New Roman"/>
          <w:b w:val="0"/>
          <w:bCs w:val="0"/>
          <w:sz w:val="24"/>
          <w:szCs w:val="24"/>
        </w:rPr>
        <w:t>0.53 ± 0.02 mg mL⁻¹</w:t>
      </w:r>
      <w:r w:rsidRPr="009A1F29">
        <w:rPr>
          <w:rFonts w:ascii="Times New Roman" w:hAnsi="Times New Roman" w:cs="Times New Roman"/>
          <w:sz w:val="24"/>
          <w:szCs w:val="24"/>
        </w:rPr>
        <w:t xml:space="preserve"> (15.2%). The dominance of gluconic acid correlates with the sharp reduction in medium pH from 7.0 to 4.3 observed during phosphate solubilization, strongly supporting its role as the key metabolite responsible for mobilizing tricalcium phosphate. The detection of multiple acids also suggests a synergistic mechanism, where combined acidification and chelation processes contribute to efficient phosphate solubilization by </w:t>
      </w:r>
      <w:r w:rsidRPr="009A1F29">
        <w:rPr>
          <w:rStyle w:val="Emphasis"/>
          <w:rFonts w:ascii="Times New Roman" w:hAnsi="Times New Roman" w:cs="Times New Roman"/>
          <w:sz w:val="24"/>
          <w:szCs w:val="24"/>
        </w:rPr>
        <w:t xml:space="preserve">A. </w:t>
      </w:r>
      <w:proofErr w:type="spellStart"/>
      <w:r w:rsidRPr="009A1F29">
        <w:rPr>
          <w:rStyle w:val="Emphasis"/>
          <w:rFonts w:ascii="Times New Roman" w:hAnsi="Times New Roman" w:cs="Times New Roman"/>
          <w:sz w:val="24"/>
          <w:szCs w:val="24"/>
        </w:rPr>
        <w:t>vinelandii</w:t>
      </w:r>
      <w:proofErr w:type="spellEnd"/>
      <w:r w:rsidRPr="009A1F29">
        <w:rPr>
          <w:rFonts w:ascii="Times New Roman" w:hAnsi="Times New Roman" w:cs="Times New Roman"/>
          <w:sz w:val="24"/>
          <w:szCs w:val="24"/>
        </w:rPr>
        <w:t xml:space="preserve"> FB2.</w:t>
      </w:r>
    </w:p>
    <w:p w14:paraId="329E5E03" w14:textId="77777777" w:rsidR="007D2E08" w:rsidRDefault="007D2E08" w:rsidP="00A51705">
      <w:pPr>
        <w:spacing w:after="0" w:line="360" w:lineRule="auto"/>
        <w:jc w:val="both"/>
        <w:outlineLvl w:val="2"/>
        <w:rPr>
          <w:rFonts w:ascii="Times New Roman" w:eastAsia="Times New Roman" w:hAnsi="Times New Roman" w:cs="Times New Roman"/>
          <w:b/>
          <w:bCs/>
          <w:sz w:val="24"/>
          <w:szCs w:val="24"/>
          <w:lang w:eastAsia="en-IN"/>
        </w:rPr>
      </w:pPr>
    </w:p>
    <w:p w14:paraId="00895A48" w14:textId="77777777" w:rsidR="007D2E08" w:rsidRDefault="007D2E08" w:rsidP="00A51705">
      <w:pPr>
        <w:spacing w:after="0" w:line="360" w:lineRule="auto"/>
        <w:jc w:val="both"/>
        <w:outlineLvl w:val="2"/>
        <w:rPr>
          <w:rFonts w:ascii="Times New Roman" w:eastAsia="Times New Roman" w:hAnsi="Times New Roman" w:cs="Times New Roman"/>
          <w:b/>
          <w:bCs/>
          <w:sz w:val="24"/>
          <w:szCs w:val="24"/>
          <w:lang w:eastAsia="en-IN"/>
        </w:rPr>
      </w:pPr>
    </w:p>
    <w:p w14:paraId="305930AF" w14:textId="77777777" w:rsidR="007D2E08" w:rsidRDefault="007D2E08" w:rsidP="00A51705">
      <w:pPr>
        <w:spacing w:after="0" w:line="360" w:lineRule="auto"/>
        <w:jc w:val="both"/>
        <w:outlineLvl w:val="2"/>
        <w:rPr>
          <w:rFonts w:ascii="Times New Roman" w:eastAsia="Times New Roman" w:hAnsi="Times New Roman" w:cs="Times New Roman"/>
          <w:b/>
          <w:bCs/>
          <w:sz w:val="24"/>
          <w:szCs w:val="24"/>
          <w:lang w:eastAsia="en-IN"/>
        </w:rPr>
      </w:pPr>
    </w:p>
    <w:p w14:paraId="68AD69B6" w14:textId="77777777" w:rsidR="00A51705" w:rsidRPr="00FC49CF" w:rsidRDefault="00A51705" w:rsidP="00A51705">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lastRenderedPageBreak/>
        <w:t>6. Nitrogen Fixation Assay</w:t>
      </w:r>
    </w:p>
    <w:p w14:paraId="5FBD630A" w14:textId="77777777" w:rsidR="007D2E08" w:rsidRPr="00CB1480" w:rsidRDefault="007D2E08" w:rsidP="00CB1480">
      <w:pPr>
        <w:spacing w:after="0" w:line="360" w:lineRule="auto"/>
        <w:jc w:val="center"/>
        <w:outlineLvl w:val="2"/>
        <w:rPr>
          <w:rFonts w:ascii="Times New Roman" w:eastAsia="Times New Roman" w:hAnsi="Times New Roman" w:cs="Times New Roman"/>
          <w:b/>
          <w:bCs/>
          <w:sz w:val="24"/>
          <w:szCs w:val="24"/>
          <w:lang w:eastAsia="en-IN"/>
        </w:rPr>
      </w:pPr>
      <w:r w:rsidRPr="007D2E08">
        <w:rPr>
          <w:rFonts w:ascii="Times New Roman" w:eastAsia="Times New Roman" w:hAnsi="Times New Roman" w:cs="Times New Roman"/>
          <w:b/>
          <w:bCs/>
          <w:sz w:val="24"/>
          <w:szCs w:val="24"/>
          <w:lang w:eastAsia="en-IN"/>
        </w:rPr>
        <w:t>Table</w:t>
      </w:r>
      <w:r>
        <w:rPr>
          <w:rFonts w:ascii="Times New Roman" w:eastAsia="Times New Roman" w:hAnsi="Times New Roman" w:cs="Times New Roman"/>
          <w:b/>
          <w:bCs/>
          <w:sz w:val="24"/>
          <w:szCs w:val="24"/>
          <w:lang w:eastAsia="en-IN"/>
        </w:rPr>
        <w:t xml:space="preserve"> 5</w:t>
      </w:r>
      <w:r w:rsidRPr="007D2E08">
        <w:rPr>
          <w:rFonts w:ascii="Times New Roman" w:eastAsia="Times New Roman" w:hAnsi="Times New Roman" w:cs="Times New Roman"/>
          <w:b/>
          <w:bCs/>
          <w:sz w:val="24"/>
          <w:szCs w:val="24"/>
          <w:lang w:eastAsia="en-IN"/>
        </w:rPr>
        <w:t xml:space="preserve">: Nitrogen Fixation by </w:t>
      </w:r>
      <w:r w:rsidRPr="007D2E08">
        <w:rPr>
          <w:rFonts w:ascii="Times New Roman" w:eastAsia="Times New Roman" w:hAnsi="Times New Roman" w:cs="Times New Roman"/>
          <w:b/>
          <w:bCs/>
          <w:i/>
          <w:iCs/>
          <w:sz w:val="24"/>
          <w:szCs w:val="24"/>
          <w:lang w:eastAsia="en-IN"/>
        </w:rPr>
        <w:t xml:space="preserve">A. </w:t>
      </w:r>
      <w:proofErr w:type="spellStart"/>
      <w:r w:rsidRPr="007D2E08">
        <w:rPr>
          <w:rFonts w:ascii="Times New Roman" w:eastAsia="Times New Roman" w:hAnsi="Times New Roman" w:cs="Times New Roman"/>
          <w:b/>
          <w:bCs/>
          <w:i/>
          <w:iCs/>
          <w:sz w:val="24"/>
          <w:szCs w:val="24"/>
          <w:lang w:eastAsia="en-IN"/>
        </w:rPr>
        <w:t>vinelandii</w:t>
      </w:r>
      <w:proofErr w:type="spellEnd"/>
      <w:r w:rsidRPr="007D2E08">
        <w:rPr>
          <w:rFonts w:ascii="Times New Roman" w:eastAsia="Times New Roman" w:hAnsi="Times New Roman" w:cs="Times New Roman"/>
          <w:b/>
          <w:bCs/>
          <w:sz w:val="24"/>
          <w:szCs w:val="24"/>
          <w:lang w:eastAsia="en-IN"/>
        </w:rPr>
        <w:t xml:space="preserve"> FB2 (Acetylene Reduction Assay)</w:t>
      </w:r>
    </w:p>
    <w:tbl>
      <w:tblPr>
        <w:tblStyle w:val="TableGrid"/>
        <w:tblW w:w="0" w:type="auto"/>
        <w:jc w:val="center"/>
        <w:tblLook w:val="04A0" w:firstRow="1" w:lastRow="0" w:firstColumn="1" w:lastColumn="0" w:noHBand="0" w:noVBand="1"/>
      </w:tblPr>
      <w:tblGrid>
        <w:gridCol w:w="2518"/>
        <w:gridCol w:w="4111"/>
      </w:tblGrid>
      <w:tr w:rsidR="00D9000D" w14:paraId="0800FAD2" w14:textId="77777777" w:rsidTr="00CB1480">
        <w:trPr>
          <w:jc w:val="center"/>
        </w:trPr>
        <w:tc>
          <w:tcPr>
            <w:tcW w:w="2518" w:type="dxa"/>
          </w:tcPr>
          <w:p w14:paraId="7F8D58C9" w14:textId="77777777" w:rsidR="00D9000D" w:rsidRPr="00CB1480" w:rsidRDefault="00D9000D" w:rsidP="00CB1480">
            <w:pPr>
              <w:jc w:val="center"/>
              <w:rPr>
                <w:rFonts w:ascii="Times New Roman" w:hAnsi="Times New Roman" w:cs="Times New Roman"/>
                <w:b/>
                <w:bCs/>
                <w:sz w:val="24"/>
                <w:szCs w:val="24"/>
              </w:rPr>
            </w:pPr>
            <w:r w:rsidRPr="00CB1480">
              <w:rPr>
                <w:rFonts w:ascii="Times New Roman" w:hAnsi="Times New Roman" w:cs="Times New Roman"/>
                <w:b/>
                <w:bCs/>
                <w:sz w:val="24"/>
                <w:szCs w:val="24"/>
              </w:rPr>
              <w:t>Replicates</w:t>
            </w:r>
          </w:p>
        </w:tc>
        <w:tc>
          <w:tcPr>
            <w:tcW w:w="4111" w:type="dxa"/>
          </w:tcPr>
          <w:p w14:paraId="6C941545" w14:textId="77777777" w:rsidR="00D9000D" w:rsidRPr="00CB1480" w:rsidRDefault="00CB1480" w:rsidP="00CB1480">
            <w:pPr>
              <w:jc w:val="center"/>
              <w:rPr>
                <w:rFonts w:ascii="Times New Roman" w:hAnsi="Times New Roman" w:cs="Times New Roman"/>
                <w:b/>
                <w:bCs/>
                <w:sz w:val="24"/>
                <w:szCs w:val="24"/>
              </w:rPr>
            </w:pPr>
            <w:r w:rsidRPr="00CB1480">
              <w:rPr>
                <w:rFonts w:ascii="Times New Roman" w:hAnsi="Times New Roman" w:cs="Times New Roman"/>
                <w:b/>
                <w:bCs/>
                <w:sz w:val="24"/>
                <w:szCs w:val="24"/>
              </w:rPr>
              <w:t>Ethylene Production (nmol C₂H₄ mL⁻¹ h⁻¹)</w:t>
            </w:r>
          </w:p>
        </w:tc>
      </w:tr>
      <w:tr w:rsidR="00D9000D" w14:paraId="7B700DBB" w14:textId="77777777" w:rsidTr="00CB1480">
        <w:trPr>
          <w:jc w:val="center"/>
        </w:trPr>
        <w:tc>
          <w:tcPr>
            <w:tcW w:w="2518" w:type="dxa"/>
          </w:tcPr>
          <w:p w14:paraId="28A2FC6B" w14:textId="77777777" w:rsidR="00D9000D" w:rsidRPr="00CB1480" w:rsidRDefault="00D9000D"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R1</w:t>
            </w:r>
          </w:p>
        </w:tc>
        <w:tc>
          <w:tcPr>
            <w:tcW w:w="4111" w:type="dxa"/>
          </w:tcPr>
          <w:p w14:paraId="0FBA5C35" w14:textId="77777777" w:rsidR="00D9000D" w:rsidRPr="00CB1480" w:rsidRDefault="00CB1480"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148.2</w:t>
            </w:r>
          </w:p>
        </w:tc>
      </w:tr>
      <w:tr w:rsidR="00D9000D" w14:paraId="56A9DEE2" w14:textId="77777777" w:rsidTr="00CB1480">
        <w:trPr>
          <w:jc w:val="center"/>
        </w:trPr>
        <w:tc>
          <w:tcPr>
            <w:tcW w:w="2518" w:type="dxa"/>
          </w:tcPr>
          <w:p w14:paraId="14CBACC8" w14:textId="77777777" w:rsidR="00D9000D" w:rsidRPr="00CB1480" w:rsidRDefault="00D9000D"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R2</w:t>
            </w:r>
          </w:p>
        </w:tc>
        <w:tc>
          <w:tcPr>
            <w:tcW w:w="4111" w:type="dxa"/>
          </w:tcPr>
          <w:p w14:paraId="64B03338" w14:textId="77777777" w:rsidR="00D9000D" w:rsidRPr="00CB1480" w:rsidRDefault="00CB1480"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152.7</w:t>
            </w:r>
          </w:p>
        </w:tc>
      </w:tr>
      <w:tr w:rsidR="00D9000D" w14:paraId="4E874311" w14:textId="77777777" w:rsidTr="00CB1480">
        <w:trPr>
          <w:jc w:val="center"/>
        </w:trPr>
        <w:tc>
          <w:tcPr>
            <w:tcW w:w="2518" w:type="dxa"/>
          </w:tcPr>
          <w:p w14:paraId="4DD86163" w14:textId="77777777" w:rsidR="00D9000D" w:rsidRPr="00CB1480" w:rsidRDefault="00D9000D"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R3</w:t>
            </w:r>
          </w:p>
        </w:tc>
        <w:tc>
          <w:tcPr>
            <w:tcW w:w="4111" w:type="dxa"/>
          </w:tcPr>
          <w:p w14:paraId="011CF247" w14:textId="77777777" w:rsidR="00D9000D" w:rsidRPr="00CB1480" w:rsidRDefault="00CB1480"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150.5</w:t>
            </w:r>
          </w:p>
        </w:tc>
      </w:tr>
      <w:tr w:rsidR="00D9000D" w14:paraId="628DBB07" w14:textId="77777777" w:rsidTr="00CB1480">
        <w:trPr>
          <w:jc w:val="center"/>
        </w:trPr>
        <w:tc>
          <w:tcPr>
            <w:tcW w:w="2518" w:type="dxa"/>
          </w:tcPr>
          <w:p w14:paraId="3624C2A3" w14:textId="77777777" w:rsidR="00D9000D" w:rsidRPr="00CB1480" w:rsidRDefault="00D9000D"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Mean ± SE</w:t>
            </w:r>
          </w:p>
        </w:tc>
        <w:tc>
          <w:tcPr>
            <w:tcW w:w="4111" w:type="dxa"/>
          </w:tcPr>
          <w:p w14:paraId="3B4BB5E4" w14:textId="77777777" w:rsidR="00D9000D" w:rsidRPr="00CB1480" w:rsidRDefault="00CB1480" w:rsidP="00CB1480">
            <w:pPr>
              <w:spacing w:line="360" w:lineRule="auto"/>
              <w:jc w:val="center"/>
              <w:rPr>
                <w:rFonts w:ascii="Times New Roman" w:hAnsi="Times New Roman" w:cs="Times New Roman"/>
                <w:sz w:val="24"/>
                <w:szCs w:val="24"/>
              </w:rPr>
            </w:pPr>
            <w:r w:rsidRPr="00CB1480">
              <w:rPr>
                <w:rFonts w:ascii="Times New Roman" w:hAnsi="Times New Roman" w:cs="Times New Roman"/>
                <w:sz w:val="24"/>
                <w:szCs w:val="24"/>
              </w:rPr>
              <w:t>150.5 ± 1.3</w:t>
            </w:r>
          </w:p>
        </w:tc>
      </w:tr>
    </w:tbl>
    <w:p w14:paraId="724CD528" w14:textId="77777777" w:rsidR="007D2E08" w:rsidRDefault="007D2E08" w:rsidP="007A27A8">
      <w:pPr>
        <w:spacing w:after="0" w:line="360" w:lineRule="auto"/>
        <w:jc w:val="both"/>
        <w:rPr>
          <w:rFonts w:ascii="Times New Roman" w:hAnsi="Times New Roman" w:cs="Times New Roman"/>
          <w:b/>
          <w:bCs/>
          <w:sz w:val="24"/>
          <w:szCs w:val="24"/>
        </w:rPr>
      </w:pPr>
    </w:p>
    <w:p w14:paraId="089A42AA" w14:textId="77777777" w:rsidR="007D2E08" w:rsidRPr="00756EE1" w:rsidRDefault="00756EE1" w:rsidP="007A27A8">
      <w:pPr>
        <w:spacing w:after="0" w:line="360" w:lineRule="auto"/>
        <w:jc w:val="both"/>
        <w:rPr>
          <w:rFonts w:ascii="Times New Roman" w:hAnsi="Times New Roman" w:cs="Times New Roman"/>
          <w:b/>
          <w:bCs/>
          <w:sz w:val="24"/>
          <w:szCs w:val="24"/>
        </w:rPr>
      </w:pPr>
      <w:r w:rsidRPr="00756EE1">
        <w:rPr>
          <w:rFonts w:ascii="Times New Roman" w:hAnsi="Times New Roman" w:cs="Times New Roman"/>
          <w:sz w:val="24"/>
          <w:szCs w:val="24"/>
        </w:rPr>
        <w:t xml:space="preserve">The acetylene reduction assay (ARA) confirmed the nitrogen-fixing ability of </w:t>
      </w:r>
      <w:proofErr w:type="spellStart"/>
      <w:r w:rsidRPr="00756EE1">
        <w:rPr>
          <w:rStyle w:val="Emphasis"/>
          <w:rFonts w:ascii="Times New Roman" w:hAnsi="Times New Roman" w:cs="Times New Roman"/>
          <w:sz w:val="24"/>
          <w:szCs w:val="24"/>
        </w:rPr>
        <w:t>Azotobacter</w:t>
      </w:r>
      <w:proofErr w:type="spellEnd"/>
      <w:r w:rsidRPr="00756EE1">
        <w:rPr>
          <w:rStyle w:val="Emphasis"/>
          <w:rFonts w:ascii="Times New Roman" w:hAnsi="Times New Roman" w:cs="Times New Roman"/>
          <w:sz w:val="24"/>
          <w:szCs w:val="24"/>
        </w:rPr>
        <w:t xml:space="preserve"> </w:t>
      </w:r>
      <w:proofErr w:type="spellStart"/>
      <w:r w:rsidRPr="00756EE1">
        <w:rPr>
          <w:rStyle w:val="Emphasis"/>
          <w:rFonts w:ascii="Times New Roman" w:hAnsi="Times New Roman" w:cs="Times New Roman"/>
          <w:sz w:val="24"/>
          <w:szCs w:val="24"/>
        </w:rPr>
        <w:t>vinelandii</w:t>
      </w:r>
      <w:proofErr w:type="spellEnd"/>
      <w:r w:rsidRPr="00756EE1">
        <w:rPr>
          <w:rFonts w:ascii="Times New Roman" w:hAnsi="Times New Roman" w:cs="Times New Roman"/>
          <w:sz w:val="24"/>
          <w:szCs w:val="24"/>
        </w:rPr>
        <w:t xml:space="preserve"> FB2. Ethylene production ranged from </w:t>
      </w:r>
      <w:r w:rsidRPr="00756EE1">
        <w:rPr>
          <w:rStyle w:val="Strong"/>
          <w:rFonts w:ascii="Times New Roman" w:hAnsi="Times New Roman" w:cs="Times New Roman"/>
          <w:b w:val="0"/>
          <w:bCs w:val="0"/>
          <w:sz w:val="24"/>
          <w:szCs w:val="24"/>
        </w:rPr>
        <w:t>148.2 to 152.7 nmol C₂H₄ mL⁻¹ h⁻¹</w:t>
      </w:r>
      <w:r w:rsidRPr="00756EE1">
        <w:rPr>
          <w:rFonts w:ascii="Times New Roman" w:hAnsi="Times New Roman" w:cs="Times New Roman"/>
          <w:sz w:val="24"/>
          <w:szCs w:val="24"/>
        </w:rPr>
        <w:t xml:space="preserve"> across three replicates, with a mean value of </w:t>
      </w:r>
      <w:r w:rsidRPr="00756EE1">
        <w:rPr>
          <w:rStyle w:val="Strong"/>
          <w:rFonts w:ascii="Times New Roman" w:hAnsi="Times New Roman" w:cs="Times New Roman"/>
          <w:b w:val="0"/>
          <w:bCs w:val="0"/>
          <w:sz w:val="24"/>
          <w:szCs w:val="24"/>
        </w:rPr>
        <w:t>150.5 ± 1.3 nmol C₂H₄ mL⁻¹ h⁻¹</w:t>
      </w:r>
      <w:r w:rsidRPr="00756EE1">
        <w:rPr>
          <w:rFonts w:ascii="Times New Roman" w:hAnsi="Times New Roman" w:cs="Times New Roman"/>
          <w:sz w:val="24"/>
          <w:szCs w:val="24"/>
        </w:rPr>
        <w:t xml:space="preserve">. The low standard error indicates high reproducibility of nitrogen fixation under the experimental conditions. These results demonstrate that the FB2 strain is metabolically active in nitrogen-free medium and capable of reducing atmospheric nitrogen to biologically usable forms. Importantly, when considered alongside its phosphate solubilizing activity, </w:t>
      </w:r>
      <w:r w:rsidRPr="00756EE1">
        <w:rPr>
          <w:rStyle w:val="Emphasis"/>
          <w:rFonts w:ascii="Times New Roman" w:hAnsi="Times New Roman" w:cs="Times New Roman"/>
          <w:sz w:val="24"/>
          <w:szCs w:val="24"/>
        </w:rPr>
        <w:t xml:space="preserve">A. </w:t>
      </w:r>
      <w:proofErr w:type="spellStart"/>
      <w:r w:rsidRPr="00756EE1">
        <w:rPr>
          <w:rStyle w:val="Emphasis"/>
          <w:rFonts w:ascii="Times New Roman" w:hAnsi="Times New Roman" w:cs="Times New Roman"/>
          <w:sz w:val="24"/>
          <w:szCs w:val="24"/>
        </w:rPr>
        <w:t>vinelandii</w:t>
      </w:r>
      <w:proofErr w:type="spellEnd"/>
      <w:r w:rsidRPr="00756EE1">
        <w:rPr>
          <w:rFonts w:ascii="Times New Roman" w:hAnsi="Times New Roman" w:cs="Times New Roman"/>
          <w:sz w:val="24"/>
          <w:szCs w:val="24"/>
        </w:rPr>
        <w:t xml:space="preserve"> FB2 exhibits dual functionality, highlighting its potential as a powerful biofertilizer candidate that can simultaneously contribute to nitrogen and phosphorus nutrition in plants.</w:t>
      </w:r>
    </w:p>
    <w:p w14:paraId="20FC3339" w14:textId="77777777" w:rsidR="00EE6D01" w:rsidRPr="00FC49CF" w:rsidRDefault="00EE6D01" w:rsidP="00EE6D01">
      <w:pPr>
        <w:spacing w:after="0" w:line="360" w:lineRule="auto"/>
        <w:jc w:val="both"/>
        <w:outlineLvl w:val="2"/>
        <w:rPr>
          <w:rFonts w:ascii="Times New Roman" w:eastAsia="Times New Roman" w:hAnsi="Times New Roman" w:cs="Times New Roman"/>
          <w:b/>
          <w:bCs/>
          <w:sz w:val="24"/>
          <w:szCs w:val="24"/>
          <w:lang w:eastAsia="en-IN"/>
        </w:rPr>
      </w:pPr>
      <w:r w:rsidRPr="00FC49CF">
        <w:rPr>
          <w:rFonts w:ascii="Times New Roman" w:eastAsia="Times New Roman" w:hAnsi="Times New Roman" w:cs="Times New Roman"/>
          <w:b/>
          <w:bCs/>
          <w:sz w:val="24"/>
          <w:szCs w:val="24"/>
          <w:lang w:eastAsia="en-IN"/>
        </w:rPr>
        <w:t>7. Experimental Design and Statistical Analysis</w:t>
      </w:r>
    </w:p>
    <w:p w14:paraId="0645E5C8" w14:textId="77777777" w:rsidR="006403AC" w:rsidRPr="006403AC" w:rsidRDefault="006403AC" w:rsidP="00332B8F">
      <w:pPr>
        <w:spacing w:after="0" w:line="360" w:lineRule="auto"/>
        <w:ind w:firstLine="720"/>
        <w:jc w:val="both"/>
        <w:rPr>
          <w:rFonts w:ascii="Times New Roman" w:eastAsia="Times New Roman" w:hAnsi="Times New Roman" w:cs="Times New Roman"/>
          <w:sz w:val="24"/>
          <w:szCs w:val="24"/>
          <w:lang w:eastAsia="en-IN"/>
        </w:rPr>
      </w:pPr>
      <w:r w:rsidRPr="006403AC">
        <w:rPr>
          <w:rFonts w:ascii="Times New Roman" w:eastAsia="Times New Roman" w:hAnsi="Times New Roman" w:cs="Times New Roman"/>
          <w:sz w:val="24"/>
          <w:szCs w:val="24"/>
          <w:lang w:eastAsia="en-IN"/>
        </w:rPr>
        <w:t xml:space="preserve">All experimental data generated in this study were </w:t>
      </w:r>
      <w:proofErr w:type="spellStart"/>
      <w:r w:rsidRPr="006403AC">
        <w:rPr>
          <w:rFonts w:ascii="Times New Roman" w:eastAsia="Times New Roman" w:hAnsi="Times New Roman" w:cs="Times New Roman"/>
          <w:sz w:val="24"/>
          <w:szCs w:val="24"/>
          <w:lang w:eastAsia="en-IN"/>
        </w:rPr>
        <w:t>analyzed</w:t>
      </w:r>
      <w:proofErr w:type="spellEnd"/>
      <w:r w:rsidRPr="006403AC">
        <w:rPr>
          <w:rFonts w:ascii="Times New Roman" w:eastAsia="Times New Roman" w:hAnsi="Times New Roman" w:cs="Times New Roman"/>
          <w:sz w:val="24"/>
          <w:szCs w:val="24"/>
          <w:lang w:eastAsia="en-IN"/>
        </w:rPr>
        <w:t xml:space="preserve"> in triplicates, and values were consistently expressed as mean ± standard error (SE). Statistical analysis using one-way ANOVA revealed that incubation time had a </w:t>
      </w:r>
      <w:r w:rsidRPr="00332B8F">
        <w:rPr>
          <w:rFonts w:ascii="Times New Roman" w:eastAsia="Times New Roman" w:hAnsi="Times New Roman" w:cs="Times New Roman"/>
          <w:sz w:val="24"/>
          <w:szCs w:val="24"/>
          <w:lang w:eastAsia="en-IN"/>
        </w:rPr>
        <w:t>highly significant effect (p ≤ 0.05)</w:t>
      </w:r>
      <w:r w:rsidRPr="006403AC">
        <w:rPr>
          <w:rFonts w:ascii="Times New Roman" w:eastAsia="Times New Roman" w:hAnsi="Times New Roman" w:cs="Times New Roman"/>
          <w:sz w:val="24"/>
          <w:szCs w:val="24"/>
          <w:lang w:eastAsia="en-IN"/>
        </w:rPr>
        <w:t xml:space="preserve"> on both soluble phosphorus concentration and pH reduction in </w:t>
      </w:r>
      <w:proofErr w:type="spellStart"/>
      <w:r w:rsidRPr="006403AC">
        <w:rPr>
          <w:rFonts w:ascii="Times New Roman" w:eastAsia="Times New Roman" w:hAnsi="Times New Roman" w:cs="Times New Roman"/>
          <w:sz w:val="24"/>
          <w:szCs w:val="24"/>
          <w:lang w:eastAsia="en-IN"/>
        </w:rPr>
        <w:t>Pikovskaya’s</w:t>
      </w:r>
      <w:proofErr w:type="spellEnd"/>
      <w:r w:rsidRPr="006403AC">
        <w:rPr>
          <w:rFonts w:ascii="Times New Roman" w:eastAsia="Times New Roman" w:hAnsi="Times New Roman" w:cs="Times New Roman"/>
          <w:sz w:val="24"/>
          <w:szCs w:val="24"/>
          <w:lang w:eastAsia="en-IN"/>
        </w:rPr>
        <w:t xml:space="preserve"> broth. The increase in soluble phosphorus from </w:t>
      </w:r>
      <w:r w:rsidRPr="00332B8F">
        <w:rPr>
          <w:rFonts w:ascii="Times New Roman" w:eastAsia="Times New Roman" w:hAnsi="Times New Roman" w:cs="Times New Roman"/>
          <w:sz w:val="24"/>
          <w:szCs w:val="24"/>
          <w:lang w:eastAsia="en-IN"/>
        </w:rPr>
        <w:t>18.6 µg mL⁻¹ at day 0 to 285.2 µg mL⁻¹ at day 7</w:t>
      </w:r>
      <w:r w:rsidRPr="006403AC">
        <w:rPr>
          <w:rFonts w:ascii="Times New Roman" w:eastAsia="Times New Roman" w:hAnsi="Times New Roman" w:cs="Times New Roman"/>
          <w:sz w:val="24"/>
          <w:szCs w:val="24"/>
          <w:lang w:eastAsia="en-IN"/>
        </w:rPr>
        <w:t xml:space="preserve"> was statistically significant, with Duncan’s multiple range test (DMRT) clearly separating each time point into distinct homogeneous groups. Similarly, the progressive decrease in pH from </w:t>
      </w:r>
      <w:r w:rsidRPr="00332B8F">
        <w:rPr>
          <w:rFonts w:ascii="Times New Roman" w:eastAsia="Times New Roman" w:hAnsi="Times New Roman" w:cs="Times New Roman"/>
          <w:sz w:val="24"/>
          <w:szCs w:val="24"/>
          <w:lang w:eastAsia="en-IN"/>
        </w:rPr>
        <w:t>7.0 to 4.3</w:t>
      </w:r>
      <w:r w:rsidRPr="006403AC">
        <w:rPr>
          <w:rFonts w:ascii="Times New Roman" w:eastAsia="Times New Roman" w:hAnsi="Times New Roman" w:cs="Times New Roman"/>
          <w:sz w:val="24"/>
          <w:szCs w:val="24"/>
          <w:lang w:eastAsia="en-IN"/>
        </w:rPr>
        <w:t xml:space="preserve"> was found to be significant, and the grouping pattern confirmed a strong correlation between medium acidification and phosphate solubilization efficiency.</w:t>
      </w:r>
    </w:p>
    <w:p w14:paraId="428CD57D" w14:textId="77777777" w:rsidR="006403AC" w:rsidRPr="006403AC" w:rsidRDefault="006403AC" w:rsidP="00332B8F">
      <w:pPr>
        <w:spacing w:after="0" w:line="360" w:lineRule="auto"/>
        <w:ind w:firstLine="720"/>
        <w:jc w:val="both"/>
        <w:rPr>
          <w:rFonts w:ascii="Times New Roman" w:eastAsia="Times New Roman" w:hAnsi="Times New Roman" w:cs="Times New Roman"/>
          <w:sz w:val="24"/>
          <w:szCs w:val="24"/>
          <w:lang w:eastAsia="en-IN"/>
        </w:rPr>
      </w:pPr>
      <w:r w:rsidRPr="006403AC">
        <w:rPr>
          <w:rFonts w:ascii="Times New Roman" w:eastAsia="Times New Roman" w:hAnsi="Times New Roman" w:cs="Times New Roman"/>
          <w:sz w:val="24"/>
          <w:szCs w:val="24"/>
          <w:lang w:eastAsia="en-IN"/>
        </w:rPr>
        <w:t xml:space="preserve">For qualitative halo zone diameters and solubilization index values, statistical variation among replicates was minimal, and differences were not statistically significant (p &gt; 0.05), reflecting the stability and reproducibility of the trait across replicates. Organic acid concentrations detected </w:t>
      </w:r>
      <w:r w:rsidR="00332B8F">
        <w:rPr>
          <w:rFonts w:ascii="Times New Roman" w:eastAsia="Times New Roman" w:hAnsi="Times New Roman" w:cs="Times New Roman"/>
          <w:sz w:val="24"/>
          <w:szCs w:val="24"/>
          <w:lang w:eastAsia="en-IN"/>
        </w:rPr>
        <w:t xml:space="preserve">as </w:t>
      </w:r>
      <w:r w:rsidRPr="006403AC">
        <w:rPr>
          <w:rFonts w:ascii="Times New Roman" w:eastAsia="Times New Roman" w:hAnsi="Times New Roman" w:cs="Times New Roman"/>
          <w:sz w:val="24"/>
          <w:szCs w:val="24"/>
          <w:lang w:eastAsia="en-IN"/>
        </w:rPr>
        <w:t xml:space="preserve">(gluconic, citric, and oxalic acids) also differed significantly (p ≤ 0.05), with gluconic acid being the most dominant metabolite. In addition, nitrogen fixation rates measured by acetylene reduction assay (mean </w:t>
      </w:r>
      <w:r w:rsidRPr="00332B8F">
        <w:rPr>
          <w:rFonts w:ascii="Times New Roman" w:eastAsia="Times New Roman" w:hAnsi="Times New Roman" w:cs="Times New Roman"/>
          <w:sz w:val="24"/>
          <w:szCs w:val="24"/>
          <w:lang w:eastAsia="en-IN"/>
        </w:rPr>
        <w:t>150.5 ± 1.3 nmol C₂H₄ mL⁻¹ h⁻¹</w:t>
      </w:r>
      <w:r w:rsidRPr="006403AC">
        <w:rPr>
          <w:rFonts w:ascii="Times New Roman" w:eastAsia="Times New Roman" w:hAnsi="Times New Roman" w:cs="Times New Roman"/>
          <w:sz w:val="24"/>
          <w:szCs w:val="24"/>
          <w:lang w:eastAsia="en-IN"/>
        </w:rPr>
        <w:t xml:space="preserve">) showed </w:t>
      </w:r>
      <w:r w:rsidRPr="006403AC">
        <w:rPr>
          <w:rFonts w:ascii="Times New Roman" w:eastAsia="Times New Roman" w:hAnsi="Times New Roman" w:cs="Times New Roman"/>
          <w:sz w:val="24"/>
          <w:szCs w:val="24"/>
          <w:lang w:eastAsia="en-IN"/>
        </w:rPr>
        <w:lastRenderedPageBreak/>
        <w:t>no significant variation among replicates, confirming the consistency of the strain’s nitrogen-fixing ability.</w:t>
      </w:r>
    </w:p>
    <w:p w14:paraId="2FE70037" w14:textId="77777777" w:rsidR="007D2E08" w:rsidRPr="0037006E" w:rsidRDefault="006403AC" w:rsidP="0037006E">
      <w:pPr>
        <w:spacing w:after="0" w:line="360" w:lineRule="auto"/>
        <w:ind w:firstLine="720"/>
        <w:jc w:val="both"/>
        <w:rPr>
          <w:rFonts w:ascii="Times New Roman" w:eastAsia="Times New Roman" w:hAnsi="Times New Roman" w:cs="Times New Roman"/>
          <w:sz w:val="24"/>
          <w:szCs w:val="24"/>
          <w:lang w:eastAsia="en-IN"/>
        </w:rPr>
      </w:pPr>
      <w:r w:rsidRPr="006403AC">
        <w:rPr>
          <w:rFonts w:ascii="Times New Roman" w:eastAsia="Times New Roman" w:hAnsi="Times New Roman" w:cs="Times New Roman"/>
          <w:sz w:val="24"/>
          <w:szCs w:val="24"/>
          <w:lang w:eastAsia="en-IN"/>
        </w:rPr>
        <w:t>Overall, the statistical analysis validated the robustness of the experimental findings, confirming that the observed increases in phosphate solubilization and decreases in pH were both biologically meaningful and statistically significant.</w:t>
      </w:r>
    </w:p>
    <w:p w14:paraId="4C0015B9" w14:textId="77777777" w:rsidR="00F5437B" w:rsidRDefault="00091FA9"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DISCUSSIONS</w:t>
      </w:r>
    </w:p>
    <w:p w14:paraId="3A4E2895" w14:textId="77777777" w:rsidR="009E2A87" w:rsidRPr="009E2A87" w:rsidRDefault="009E2A87" w:rsidP="00EE466E">
      <w:pPr>
        <w:spacing w:after="0" w:line="360" w:lineRule="auto"/>
        <w:ind w:firstLine="720"/>
        <w:jc w:val="both"/>
        <w:rPr>
          <w:rFonts w:ascii="Times New Roman" w:eastAsia="Times New Roman" w:hAnsi="Times New Roman" w:cs="Times New Roman"/>
          <w:sz w:val="24"/>
          <w:szCs w:val="24"/>
          <w:lang w:eastAsia="en-IN"/>
        </w:rPr>
      </w:pPr>
      <w:r w:rsidRPr="009E2A87">
        <w:rPr>
          <w:rFonts w:ascii="Times New Roman" w:eastAsia="Times New Roman" w:hAnsi="Times New Roman" w:cs="Times New Roman"/>
          <w:sz w:val="24"/>
          <w:szCs w:val="24"/>
          <w:lang w:eastAsia="en-IN"/>
        </w:rPr>
        <w:t xml:space="preserve">The present study shows that </w:t>
      </w:r>
      <w:proofErr w:type="spellStart"/>
      <w:r w:rsidRPr="009E2A87">
        <w:rPr>
          <w:rFonts w:ascii="Times New Roman" w:eastAsia="Times New Roman" w:hAnsi="Times New Roman" w:cs="Times New Roman"/>
          <w:i/>
          <w:iCs/>
          <w:sz w:val="24"/>
          <w:szCs w:val="24"/>
          <w:lang w:eastAsia="en-IN"/>
        </w:rPr>
        <w:t>Azotobacter</w:t>
      </w:r>
      <w:proofErr w:type="spellEnd"/>
      <w:r w:rsidRPr="009E2A87">
        <w:rPr>
          <w:rFonts w:ascii="Times New Roman" w:eastAsia="Times New Roman" w:hAnsi="Times New Roman" w:cs="Times New Roman"/>
          <w:i/>
          <w:iCs/>
          <w:sz w:val="24"/>
          <w:szCs w:val="24"/>
          <w:lang w:eastAsia="en-IN"/>
        </w:rPr>
        <w:t xml:space="preserve"> </w:t>
      </w:r>
      <w:proofErr w:type="spellStart"/>
      <w:r w:rsidRPr="009E2A87">
        <w:rPr>
          <w:rFonts w:ascii="Times New Roman" w:eastAsia="Times New Roman" w:hAnsi="Times New Roman" w:cs="Times New Roman"/>
          <w:i/>
          <w:iCs/>
          <w:sz w:val="24"/>
          <w:szCs w:val="24"/>
          <w:lang w:eastAsia="en-IN"/>
        </w:rPr>
        <w:t>vinelandii</w:t>
      </w:r>
      <w:proofErr w:type="spellEnd"/>
      <w:r w:rsidRPr="009E2A87">
        <w:rPr>
          <w:rFonts w:ascii="Times New Roman" w:eastAsia="Times New Roman" w:hAnsi="Times New Roman" w:cs="Times New Roman"/>
          <w:sz w:val="24"/>
          <w:szCs w:val="24"/>
          <w:lang w:eastAsia="en-IN"/>
        </w:rPr>
        <w:t xml:space="preserve"> FB2 is a robust phosphate-solubilizing, free-living diazotroph. Qualitatively, FB2 formed consistent halo zones on PVK agar (mean SI ≈ 3.40), indicating active solubilization. Comparable or higher phosphate-solubilization indices (PSI) on PVK (≈ 2.9–4.9) have been reported for efficient PSB in broader screenings, situating FB2 toward the efficient end of the spectrum. At the same time, literature cautions that halo size alone can misrepresent solubilization capacity in liquid culture, underscoring the value of our quantitative assays that corroborated the agar results. (</w:t>
      </w:r>
      <w:proofErr w:type="spellStart"/>
      <w:r w:rsidRPr="009E2A87">
        <w:rPr>
          <w:rFonts w:ascii="Times New Roman" w:eastAsia="Times New Roman" w:hAnsi="Times New Roman" w:cs="Times New Roman"/>
          <w:sz w:val="24"/>
          <w:szCs w:val="24"/>
          <w:lang w:eastAsia="en-IN"/>
        </w:rPr>
        <w:t>Pande</w:t>
      </w:r>
      <w:proofErr w:type="spellEnd"/>
      <w:r w:rsidRPr="009E2A87">
        <w:rPr>
          <w:rFonts w:ascii="Times New Roman" w:eastAsia="Times New Roman" w:hAnsi="Times New Roman" w:cs="Times New Roman"/>
          <w:sz w:val="24"/>
          <w:szCs w:val="24"/>
          <w:lang w:eastAsia="en-IN"/>
        </w:rPr>
        <w:t xml:space="preserve">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2017; </w:t>
      </w:r>
      <w:proofErr w:type="spellStart"/>
      <w:r w:rsidRPr="009E2A87">
        <w:rPr>
          <w:rFonts w:ascii="Times New Roman" w:eastAsia="Times New Roman" w:hAnsi="Times New Roman" w:cs="Times New Roman"/>
          <w:sz w:val="24"/>
          <w:szCs w:val="24"/>
          <w:lang w:eastAsia="en-IN"/>
        </w:rPr>
        <w:t>Nautiyal</w:t>
      </w:r>
      <w:proofErr w:type="spellEnd"/>
      <w:r w:rsidRPr="009E2A87">
        <w:rPr>
          <w:rFonts w:ascii="Times New Roman" w:eastAsia="Times New Roman" w:hAnsi="Times New Roman" w:cs="Times New Roman"/>
          <w:sz w:val="24"/>
          <w:szCs w:val="24"/>
          <w:lang w:eastAsia="en-IN"/>
        </w:rPr>
        <w:t xml:space="preserve">, 1999). </w:t>
      </w:r>
    </w:p>
    <w:p w14:paraId="6377B5D1" w14:textId="77777777" w:rsidR="009E2A87" w:rsidRPr="009E2A87" w:rsidRDefault="009E2A87" w:rsidP="00EE466E">
      <w:pPr>
        <w:spacing w:after="0" w:line="360" w:lineRule="auto"/>
        <w:ind w:firstLine="720"/>
        <w:jc w:val="both"/>
        <w:rPr>
          <w:rFonts w:ascii="Times New Roman" w:eastAsia="Times New Roman" w:hAnsi="Times New Roman" w:cs="Times New Roman"/>
          <w:sz w:val="24"/>
          <w:szCs w:val="24"/>
          <w:lang w:eastAsia="en-IN"/>
        </w:rPr>
      </w:pPr>
      <w:r w:rsidRPr="009E2A87">
        <w:rPr>
          <w:rFonts w:ascii="Times New Roman" w:eastAsia="Times New Roman" w:hAnsi="Times New Roman" w:cs="Times New Roman"/>
          <w:sz w:val="24"/>
          <w:szCs w:val="24"/>
          <w:lang w:eastAsia="en-IN"/>
        </w:rPr>
        <w:t xml:space="preserve">Quantitatively, soluble P in PVK broth increased to ~285 µg mL⁻¹ by day 7, accompanied by progressive medium acidification. These values are within the broad ranges reported for efficient PSB in PVK/NBRIP media, though absolute magnitudes vary with medium chemistry and strain. For instance, some isolates in PVK reach ~200–300 µg mL⁻¹ under optimized conditions, while others—especially in NBRIP—exceed 500 µg mL⁻¹; this aligns with the known higher sensitivity of NBRIP for liquid assays. Thus, FB2’s performance in PVK is consistent with an efficient solubilizer, and would likely scale upward in NBRIP. (Saranya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2022; </w:t>
      </w:r>
      <w:proofErr w:type="spellStart"/>
      <w:r w:rsidRPr="009E2A87">
        <w:rPr>
          <w:rFonts w:ascii="Times New Roman" w:eastAsia="Times New Roman" w:hAnsi="Times New Roman" w:cs="Times New Roman"/>
          <w:sz w:val="24"/>
          <w:szCs w:val="24"/>
          <w:lang w:eastAsia="en-IN"/>
        </w:rPr>
        <w:t>Amri</w:t>
      </w:r>
      <w:proofErr w:type="spellEnd"/>
      <w:r w:rsidRPr="009E2A87">
        <w:rPr>
          <w:rFonts w:ascii="Times New Roman" w:eastAsia="Times New Roman" w:hAnsi="Times New Roman" w:cs="Times New Roman"/>
          <w:sz w:val="24"/>
          <w:szCs w:val="24"/>
          <w:lang w:eastAsia="en-IN"/>
        </w:rPr>
        <w:t xml:space="preserve">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2023; </w:t>
      </w:r>
      <w:proofErr w:type="spellStart"/>
      <w:r w:rsidRPr="009E2A87">
        <w:rPr>
          <w:rFonts w:ascii="Times New Roman" w:eastAsia="Times New Roman" w:hAnsi="Times New Roman" w:cs="Times New Roman"/>
          <w:sz w:val="24"/>
          <w:szCs w:val="24"/>
          <w:lang w:eastAsia="en-IN"/>
        </w:rPr>
        <w:t>Nautiyal</w:t>
      </w:r>
      <w:proofErr w:type="spellEnd"/>
      <w:r w:rsidRPr="009E2A87">
        <w:rPr>
          <w:rFonts w:ascii="Times New Roman" w:eastAsia="Times New Roman" w:hAnsi="Times New Roman" w:cs="Times New Roman"/>
          <w:sz w:val="24"/>
          <w:szCs w:val="24"/>
          <w:lang w:eastAsia="en-IN"/>
        </w:rPr>
        <w:t xml:space="preserve">, 1999). </w:t>
      </w:r>
    </w:p>
    <w:p w14:paraId="0286FD07" w14:textId="77777777" w:rsidR="009E2A87" w:rsidRPr="009E2A87" w:rsidRDefault="009E2A87" w:rsidP="00013C17">
      <w:pPr>
        <w:spacing w:after="0" w:line="360" w:lineRule="auto"/>
        <w:ind w:firstLine="720"/>
        <w:jc w:val="both"/>
        <w:rPr>
          <w:rFonts w:ascii="Times New Roman" w:eastAsia="Times New Roman" w:hAnsi="Times New Roman" w:cs="Times New Roman"/>
          <w:sz w:val="24"/>
          <w:szCs w:val="24"/>
          <w:lang w:eastAsia="en-IN"/>
        </w:rPr>
      </w:pPr>
      <w:r w:rsidRPr="009E2A87">
        <w:rPr>
          <w:rFonts w:ascii="Times New Roman" w:eastAsia="Times New Roman" w:hAnsi="Times New Roman" w:cs="Times New Roman"/>
          <w:sz w:val="24"/>
          <w:szCs w:val="24"/>
          <w:lang w:eastAsia="en-IN"/>
        </w:rPr>
        <w:t xml:space="preserve">Mechanistically, our data support acidification-driven solubilization: soluble P increased as pH fell from 7.0 to 4.3, mirroring the classic inverse pH–P relationship demonstrated for inorganic Ca-phosphates. </w:t>
      </w:r>
      <w:proofErr w:type="spellStart"/>
      <w:r w:rsidRPr="009E2A87">
        <w:rPr>
          <w:rFonts w:ascii="Times New Roman" w:eastAsia="Times New Roman" w:hAnsi="Times New Roman" w:cs="Times New Roman"/>
          <w:sz w:val="24"/>
          <w:szCs w:val="24"/>
          <w:lang w:eastAsia="en-IN"/>
        </w:rPr>
        <w:t>Illmer</w:t>
      </w:r>
      <w:proofErr w:type="spellEnd"/>
      <w:r w:rsidRPr="009E2A87">
        <w:rPr>
          <w:rFonts w:ascii="Times New Roman" w:eastAsia="Times New Roman" w:hAnsi="Times New Roman" w:cs="Times New Roman"/>
          <w:sz w:val="24"/>
          <w:szCs w:val="24"/>
          <w:lang w:eastAsia="en-IN"/>
        </w:rPr>
        <w:t xml:space="preserve"> and Schinner showed that PS frequently proceeds via acidification and chelation, which transiently elevates soluble Ca-P pools; our kinetics and the terminal pH minima are in line with these observations. Additional studies likewise report a negative correlation between medium pH and soluble P in PVK/NBRIP liquid assays. (</w:t>
      </w:r>
      <w:proofErr w:type="spellStart"/>
      <w:r w:rsidRPr="009E2A87">
        <w:rPr>
          <w:rFonts w:ascii="Times New Roman" w:eastAsia="Times New Roman" w:hAnsi="Times New Roman" w:cs="Times New Roman"/>
          <w:sz w:val="24"/>
          <w:szCs w:val="24"/>
          <w:lang w:eastAsia="en-IN"/>
        </w:rPr>
        <w:t>Illmer</w:t>
      </w:r>
      <w:proofErr w:type="spellEnd"/>
      <w:r w:rsidRPr="009E2A87">
        <w:rPr>
          <w:rFonts w:ascii="Times New Roman" w:eastAsia="Times New Roman" w:hAnsi="Times New Roman" w:cs="Times New Roman"/>
          <w:sz w:val="24"/>
          <w:szCs w:val="24"/>
          <w:lang w:eastAsia="en-IN"/>
        </w:rPr>
        <w:t xml:space="preserve"> &amp; Schinner, 1995; Li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2020). </w:t>
      </w:r>
    </w:p>
    <w:p w14:paraId="0FA5B0D1" w14:textId="77777777" w:rsidR="009E2A87" w:rsidRPr="009E2A87" w:rsidRDefault="009E2A87" w:rsidP="00EE466E">
      <w:pPr>
        <w:spacing w:after="0" w:line="360" w:lineRule="auto"/>
        <w:ind w:firstLine="720"/>
        <w:jc w:val="both"/>
        <w:rPr>
          <w:rFonts w:ascii="Times New Roman" w:eastAsia="Times New Roman" w:hAnsi="Times New Roman" w:cs="Times New Roman"/>
          <w:sz w:val="24"/>
          <w:szCs w:val="24"/>
          <w:lang w:eastAsia="en-IN"/>
        </w:rPr>
      </w:pPr>
      <w:r w:rsidRPr="009E2A87">
        <w:rPr>
          <w:rFonts w:ascii="Times New Roman" w:eastAsia="Times New Roman" w:hAnsi="Times New Roman" w:cs="Times New Roman"/>
          <w:sz w:val="24"/>
          <w:szCs w:val="24"/>
          <w:lang w:eastAsia="en-IN"/>
        </w:rPr>
        <w:t xml:space="preserve">The HPLC profile strengthens this interpretation: </w:t>
      </w:r>
      <w:r w:rsidRPr="00EE466E">
        <w:rPr>
          <w:rFonts w:ascii="Times New Roman" w:eastAsia="Times New Roman" w:hAnsi="Times New Roman" w:cs="Times New Roman"/>
          <w:sz w:val="24"/>
          <w:szCs w:val="24"/>
          <w:lang w:eastAsia="en-IN"/>
        </w:rPr>
        <w:t>gluconic acid</w:t>
      </w:r>
      <w:r w:rsidRPr="009E2A87">
        <w:rPr>
          <w:rFonts w:ascii="Times New Roman" w:eastAsia="Times New Roman" w:hAnsi="Times New Roman" w:cs="Times New Roman"/>
          <w:sz w:val="24"/>
          <w:szCs w:val="24"/>
          <w:lang w:eastAsia="en-IN"/>
        </w:rPr>
        <w:t xml:space="preserve"> dominated the organic-acid suite, with citric and oxalic acids also detected. Gluconate-centric profiles are characteristic of Gram-negative PSB where periplasmic PQQ-dependent glucose dehydrogenase (GDH) oxidizes glucose to gluconic (and often 2-keto-gluconic) acids that chelate Ca²⁺ and release orthophosphate. Reviews consistently identify gluconic acid as the </w:t>
      </w:r>
      <w:r w:rsidRPr="009E2A87">
        <w:rPr>
          <w:rFonts w:ascii="Times New Roman" w:eastAsia="Times New Roman" w:hAnsi="Times New Roman" w:cs="Times New Roman"/>
          <w:sz w:val="24"/>
          <w:szCs w:val="24"/>
          <w:lang w:eastAsia="en-IN"/>
        </w:rPr>
        <w:lastRenderedPageBreak/>
        <w:t xml:space="preserve">most frequent agent of mineral phosphate solubilization, with PQQ serving as a key GDH cofactor. Notably, overexpressing GDH in </w:t>
      </w:r>
      <w:r w:rsidRPr="009E2A87">
        <w:rPr>
          <w:rFonts w:ascii="Times New Roman" w:eastAsia="Times New Roman" w:hAnsi="Times New Roman" w:cs="Times New Roman"/>
          <w:i/>
          <w:iCs/>
          <w:sz w:val="24"/>
          <w:szCs w:val="24"/>
          <w:lang w:eastAsia="en-IN"/>
        </w:rPr>
        <w:t xml:space="preserve">A. </w:t>
      </w:r>
      <w:proofErr w:type="spellStart"/>
      <w:r w:rsidRPr="009E2A87">
        <w:rPr>
          <w:rFonts w:ascii="Times New Roman" w:eastAsia="Times New Roman" w:hAnsi="Times New Roman" w:cs="Times New Roman"/>
          <w:i/>
          <w:iCs/>
          <w:sz w:val="24"/>
          <w:szCs w:val="24"/>
          <w:lang w:eastAsia="en-IN"/>
        </w:rPr>
        <w:t>vinelandii</w:t>
      </w:r>
      <w:proofErr w:type="spellEnd"/>
      <w:r w:rsidRPr="009E2A87">
        <w:rPr>
          <w:rFonts w:ascii="Times New Roman" w:eastAsia="Times New Roman" w:hAnsi="Times New Roman" w:cs="Times New Roman"/>
          <w:sz w:val="24"/>
          <w:szCs w:val="24"/>
          <w:lang w:eastAsia="en-IN"/>
        </w:rPr>
        <w:t xml:space="preserve"> enhances mineral phosphate solubilization, directly linking this pathway to t</w:t>
      </w:r>
      <w:r w:rsidR="00013C17">
        <w:rPr>
          <w:rFonts w:ascii="Times New Roman" w:eastAsia="Times New Roman" w:hAnsi="Times New Roman" w:cs="Times New Roman"/>
          <w:sz w:val="24"/>
          <w:szCs w:val="24"/>
          <w:lang w:eastAsia="en-IN"/>
        </w:rPr>
        <w:t>he phenotype we observed in FB2</w:t>
      </w:r>
      <w:r w:rsidRPr="009E2A87">
        <w:rPr>
          <w:rFonts w:ascii="Times New Roman" w:eastAsia="Times New Roman" w:hAnsi="Times New Roman" w:cs="Times New Roman"/>
          <w:sz w:val="24"/>
          <w:szCs w:val="24"/>
          <w:lang w:eastAsia="en-IN"/>
        </w:rPr>
        <w:t xml:space="preserve"> (</w:t>
      </w:r>
      <w:proofErr w:type="spellStart"/>
      <w:r w:rsidRPr="009E2A87">
        <w:rPr>
          <w:rFonts w:ascii="Times New Roman" w:eastAsia="Times New Roman" w:hAnsi="Times New Roman" w:cs="Times New Roman"/>
          <w:sz w:val="24"/>
          <w:szCs w:val="24"/>
          <w:lang w:eastAsia="en-IN"/>
        </w:rPr>
        <w:t>Alori</w:t>
      </w:r>
      <w:proofErr w:type="spellEnd"/>
      <w:r w:rsidRPr="009E2A87">
        <w:rPr>
          <w:rFonts w:ascii="Times New Roman" w:eastAsia="Times New Roman" w:hAnsi="Times New Roman" w:cs="Times New Roman"/>
          <w:sz w:val="24"/>
          <w:szCs w:val="24"/>
          <w:lang w:eastAsia="en-IN"/>
        </w:rPr>
        <w:t xml:space="preserve">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2017; </w:t>
      </w:r>
      <w:proofErr w:type="spellStart"/>
      <w:r w:rsidRPr="009E2A87">
        <w:rPr>
          <w:rFonts w:ascii="Times New Roman" w:eastAsia="Times New Roman" w:hAnsi="Times New Roman" w:cs="Times New Roman"/>
          <w:sz w:val="24"/>
          <w:szCs w:val="24"/>
          <w:lang w:eastAsia="en-IN"/>
        </w:rPr>
        <w:t>Sashidhar</w:t>
      </w:r>
      <w:proofErr w:type="spellEnd"/>
      <w:r w:rsidRPr="009E2A87">
        <w:rPr>
          <w:rFonts w:ascii="Times New Roman" w:eastAsia="Times New Roman" w:hAnsi="Times New Roman" w:cs="Times New Roman"/>
          <w:sz w:val="24"/>
          <w:szCs w:val="24"/>
          <w:lang w:eastAsia="en-IN"/>
        </w:rPr>
        <w:t xml:space="preserve">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2009; </w:t>
      </w:r>
      <w:proofErr w:type="spellStart"/>
      <w:r w:rsidRPr="009E2A87">
        <w:rPr>
          <w:rFonts w:ascii="Times New Roman" w:eastAsia="Times New Roman" w:hAnsi="Times New Roman" w:cs="Times New Roman"/>
          <w:sz w:val="24"/>
          <w:szCs w:val="24"/>
          <w:lang w:eastAsia="en-IN"/>
        </w:rPr>
        <w:t>Sashidhar</w:t>
      </w:r>
      <w:proofErr w:type="spellEnd"/>
      <w:r w:rsidRPr="009E2A87">
        <w:rPr>
          <w:rFonts w:ascii="Times New Roman" w:eastAsia="Times New Roman" w:hAnsi="Times New Roman" w:cs="Times New Roman"/>
          <w:sz w:val="24"/>
          <w:szCs w:val="24"/>
          <w:lang w:eastAsia="en-IN"/>
        </w:rPr>
        <w:t xml:space="preserve"> &amp; </w:t>
      </w:r>
      <w:proofErr w:type="spellStart"/>
      <w:r w:rsidRPr="009E2A87">
        <w:rPr>
          <w:rFonts w:ascii="Times New Roman" w:eastAsia="Times New Roman" w:hAnsi="Times New Roman" w:cs="Times New Roman"/>
          <w:sz w:val="24"/>
          <w:szCs w:val="24"/>
          <w:lang w:eastAsia="en-IN"/>
        </w:rPr>
        <w:t>Podile</w:t>
      </w:r>
      <w:proofErr w:type="spellEnd"/>
      <w:r w:rsidRPr="009E2A87">
        <w:rPr>
          <w:rFonts w:ascii="Times New Roman" w:eastAsia="Times New Roman" w:hAnsi="Times New Roman" w:cs="Times New Roman"/>
          <w:sz w:val="24"/>
          <w:szCs w:val="24"/>
          <w:lang w:eastAsia="en-IN"/>
        </w:rPr>
        <w:t xml:space="preserve">, 2010). </w:t>
      </w:r>
    </w:p>
    <w:p w14:paraId="627CE90A" w14:textId="77777777" w:rsidR="009E2A87" w:rsidRPr="009E2A87" w:rsidRDefault="009E2A87" w:rsidP="00EE466E">
      <w:pPr>
        <w:spacing w:after="0" w:line="360" w:lineRule="auto"/>
        <w:ind w:firstLine="720"/>
        <w:jc w:val="both"/>
        <w:rPr>
          <w:rFonts w:ascii="Times New Roman" w:eastAsia="Times New Roman" w:hAnsi="Times New Roman" w:cs="Times New Roman"/>
          <w:sz w:val="24"/>
          <w:szCs w:val="24"/>
          <w:lang w:eastAsia="en-IN"/>
        </w:rPr>
      </w:pPr>
      <w:r w:rsidRPr="009E2A87">
        <w:rPr>
          <w:rFonts w:ascii="Times New Roman" w:eastAsia="Times New Roman" w:hAnsi="Times New Roman" w:cs="Times New Roman"/>
          <w:sz w:val="24"/>
          <w:szCs w:val="24"/>
          <w:lang w:eastAsia="en-IN"/>
        </w:rPr>
        <w:t xml:space="preserve">In parallel, FB2 expressed </w:t>
      </w:r>
      <w:r w:rsidRPr="00EE466E">
        <w:rPr>
          <w:rFonts w:ascii="Times New Roman" w:eastAsia="Times New Roman" w:hAnsi="Times New Roman" w:cs="Times New Roman"/>
          <w:sz w:val="24"/>
          <w:szCs w:val="24"/>
          <w:lang w:eastAsia="en-IN"/>
        </w:rPr>
        <w:t>vigorous nitrogenase activity</w:t>
      </w:r>
      <w:r w:rsidRPr="009E2A87">
        <w:rPr>
          <w:rFonts w:ascii="Times New Roman" w:eastAsia="Times New Roman" w:hAnsi="Times New Roman" w:cs="Times New Roman"/>
          <w:sz w:val="24"/>
          <w:szCs w:val="24"/>
          <w:lang w:eastAsia="en-IN"/>
        </w:rPr>
        <w:t xml:space="preserve"> (≈ 150 nmol C₂H₄ mL⁻¹ h⁻¹ by ARA), confirming its diazotrophic competence. Reported nitrogenase activities for </w:t>
      </w:r>
      <w:proofErr w:type="spellStart"/>
      <w:r w:rsidRPr="009E2A87">
        <w:rPr>
          <w:rFonts w:ascii="Times New Roman" w:eastAsia="Times New Roman" w:hAnsi="Times New Roman" w:cs="Times New Roman"/>
          <w:i/>
          <w:iCs/>
          <w:sz w:val="24"/>
          <w:szCs w:val="24"/>
          <w:lang w:eastAsia="en-IN"/>
        </w:rPr>
        <w:t>Azotobacter</w:t>
      </w:r>
      <w:proofErr w:type="spellEnd"/>
      <w:r w:rsidRPr="009E2A87">
        <w:rPr>
          <w:rFonts w:ascii="Times New Roman" w:eastAsia="Times New Roman" w:hAnsi="Times New Roman" w:cs="Times New Roman"/>
          <w:sz w:val="24"/>
          <w:szCs w:val="24"/>
          <w:lang w:eastAsia="en-IN"/>
        </w:rPr>
        <w:t xml:space="preserve"> isolates span comparable orders of magnitude (with variation due to assay units and vial geometry), reinforcing that FB2’s dual functionality is biologically credible. Beyond in vitro activity, </w:t>
      </w:r>
      <w:proofErr w:type="spellStart"/>
      <w:r w:rsidRPr="009E2A87">
        <w:rPr>
          <w:rFonts w:ascii="Times New Roman" w:eastAsia="Times New Roman" w:hAnsi="Times New Roman" w:cs="Times New Roman"/>
          <w:i/>
          <w:iCs/>
          <w:sz w:val="24"/>
          <w:szCs w:val="24"/>
          <w:lang w:eastAsia="en-IN"/>
        </w:rPr>
        <w:t>Azotobacter</w:t>
      </w:r>
      <w:proofErr w:type="spellEnd"/>
      <w:r w:rsidRPr="009E2A87">
        <w:rPr>
          <w:rFonts w:ascii="Times New Roman" w:eastAsia="Times New Roman" w:hAnsi="Times New Roman" w:cs="Times New Roman"/>
          <w:sz w:val="24"/>
          <w:szCs w:val="24"/>
          <w:lang w:eastAsia="en-IN"/>
        </w:rPr>
        <w:t xml:space="preserve"> spp. are well-recognized PGPR that contribute fixed nitrogen and auxiliary benefits in soils, strengthening the case for FB2 as a multi-trait biofertilizer. (</w:t>
      </w:r>
      <w:proofErr w:type="spellStart"/>
      <w:r w:rsidRPr="009E2A87">
        <w:rPr>
          <w:rFonts w:ascii="Times New Roman" w:eastAsia="Times New Roman" w:hAnsi="Times New Roman" w:cs="Times New Roman"/>
          <w:sz w:val="24"/>
          <w:szCs w:val="24"/>
          <w:lang w:eastAsia="en-IN"/>
        </w:rPr>
        <w:t>Nosrati</w:t>
      </w:r>
      <w:proofErr w:type="spellEnd"/>
      <w:r w:rsidRPr="009E2A87">
        <w:rPr>
          <w:rFonts w:ascii="Times New Roman" w:eastAsia="Times New Roman" w:hAnsi="Times New Roman" w:cs="Times New Roman"/>
          <w:sz w:val="24"/>
          <w:szCs w:val="24"/>
          <w:lang w:eastAsia="en-IN"/>
        </w:rPr>
        <w:t xml:space="preserve">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2014; </w:t>
      </w:r>
      <w:proofErr w:type="spellStart"/>
      <w:r w:rsidRPr="009E2A87">
        <w:rPr>
          <w:rFonts w:ascii="Times New Roman" w:eastAsia="Times New Roman" w:hAnsi="Times New Roman" w:cs="Times New Roman"/>
          <w:sz w:val="24"/>
          <w:szCs w:val="24"/>
          <w:lang w:eastAsia="en-IN"/>
        </w:rPr>
        <w:t>Aasfar</w:t>
      </w:r>
      <w:proofErr w:type="spellEnd"/>
      <w:r w:rsidRPr="009E2A87">
        <w:rPr>
          <w:rFonts w:ascii="Times New Roman" w:eastAsia="Times New Roman" w:hAnsi="Times New Roman" w:cs="Times New Roman"/>
          <w:sz w:val="24"/>
          <w:szCs w:val="24"/>
          <w:lang w:eastAsia="en-IN"/>
        </w:rPr>
        <w:t xml:space="preserve">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2021). </w:t>
      </w:r>
    </w:p>
    <w:p w14:paraId="6D050E6E" w14:textId="77777777" w:rsidR="0037006E" w:rsidRPr="005265EE" w:rsidRDefault="009E2A87" w:rsidP="005265EE">
      <w:pPr>
        <w:spacing w:after="0" w:line="360" w:lineRule="auto"/>
        <w:ind w:firstLine="720"/>
        <w:jc w:val="both"/>
        <w:rPr>
          <w:rFonts w:ascii="Times New Roman" w:eastAsia="Times New Roman" w:hAnsi="Times New Roman" w:cs="Times New Roman"/>
          <w:sz w:val="24"/>
          <w:szCs w:val="24"/>
          <w:lang w:eastAsia="en-IN"/>
        </w:rPr>
      </w:pPr>
      <w:r w:rsidRPr="009E2A87">
        <w:rPr>
          <w:rFonts w:ascii="Times New Roman" w:eastAsia="Times New Roman" w:hAnsi="Times New Roman" w:cs="Times New Roman"/>
          <w:sz w:val="24"/>
          <w:szCs w:val="24"/>
          <w:lang w:eastAsia="en-IN"/>
        </w:rPr>
        <w:t xml:space="preserve">Collectively, FB2’s </w:t>
      </w:r>
      <w:r w:rsidRPr="00EE466E">
        <w:rPr>
          <w:rFonts w:ascii="Times New Roman" w:eastAsia="Times New Roman" w:hAnsi="Times New Roman" w:cs="Times New Roman"/>
          <w:sz w:val="24"/>
          <w:szCs w:val="24"/>
          <w:lang w:eastAsia="en-IN"/>
        </w:rPr>
        <w:t>(</w:t>
      </w:r>
      <w:proofErr w:type="spellStart"/>
      <w:r w:rsidRPr="00EE466E">
        <w:rPr>
          <w:rFonts w:ascii="Times New Roman" w:eastAsia="Times New Roman" w:hAnsi="Times New Roman" w:cs="Times New Roman"/>
          <w:sz w:val="24"/>
          <w:szCs w:val="24"/>
          <w:lang w:eastAsia="en-IN"/>
        </w:rPr>
        <w:t>i</w:t>
      </w:r>
      <w:proofErr w:type="spellEnd"/>
      <w:r w:rsidRPr="00EE466E">
        <w:rPr>
          <w:rFonts w:ascii="Times New Roman" w:eastAsia="Times New Roman" w:hAnsi="Times New Roman" w:cs="Times New Roman"/>
          <w:sz w:val="24"/>
          <w:szCs w:val="24"/>
          <w:lang w:eastAsia="en-IN"/>
        </w:rPr>
        <w:t>)</w:t>
      </w:r>
      <w:r w:rsidRPr="009E2A87">
        <w:rPr>
          <w:rFonts w:ascii="Times New Roman" w:eastAsia="Times New Roman" w:hAnsi="Times New Roman" w:cs="Times New Roman"/>
          <w:sz w:val="24"/>
          <w:szCs w:val="24"/>
          <w:lang w:eastAsia="en-IN"/>
        </w:rPr>
        <w:t xml:space="preserve"> efficient PVK halo formation, </w:t>
      </w:r>
      <w:r w:rsidRPr="00EE466E">
        <w:rPr>
          <w:rFonts w:ascii="Times New Roman" w:eastAsia="Times New Roman" w:hAnsi="Times New Roman" w:cs="Times New Roman"/>
          <w:sz w:val="24"/>
          <w:szCs w:val="24"/>
          <w:lang w:eastAsia="en-IN"/>
        </w:rPr>
        <w:t>(ii)</w:t>
      </w:r>
      <w:r w:rsidRPr="009E2A87">
        <w:rPr>
          <w:rFonts w:ascii="Times New Roman" w:eastAsia="Times New Roman" w:hAnsi="Times New Roman" w:cs="Times New Roman"/>
          <w:sz w:val="24"/>
          <w:szCs w:val="24"/>
          <w:lang w:eastAsia="en-IN"/>
        </w:rPr>
        <w:t xml:space="preserve"> sustained increase in soluble P, </w:t>
      </w:r>
      <w:r w:rsidRPr="00EE466E">
        <w:rPr>
          <w:rFonts w:ascii="Times New Roman" w:eastAsia="Times New Roman" w:hAnsi="Times New Roman" w:cs="Times New Roman"/>
          <w:sz w:val="24"/>
          <w:szCs w:val="24"/>
          <w:lang w:eastAsia="en-IN"/>
        </w:rPr>
        <w:t>(iii)</w:t>
      </w:r>
      <w:r w:rsidRPr="009E2A87">
        <w:rPr>
          <w:rFonts w:ascii="Times New Roman" w:eastAsia="Times New Roman" w:hAnsi="Times New Roman" w:cs="Times New Roman"/>
          <w:sz w:val="24"/>
          <w:szCs w:val="24"/>
          <w:lang w:eastAsia="en-IN"/>
        </w:rPr>
        <w:t xml:space="preserve"> pronounced acidification, </w:t>
      </w:r>
      <w:r w:rsidRPr="00EE466E">
        <w:rPr>
          <w:rFonts w:ascii="Times New Roman" w:eastAsia="Times New Roman" w:hAnsi="Times New Roman" w:cs="Times New Roman"/>
          <w:sz w:val="24"/>
          <w:szCs w:val="24"/>
          <w:lang w:eastAsia="en-IN"/>
        </w:rPr>
        <w:t>(iv)</w:t>
      </w:r>
      <w:r w:rsidRPr="009E2A87">
        <w:rPr>
          <w:rFonts w:ascii="Times New Roman" w:eastAsia="Times New Roman" w:hAnsi="Times New Roman" w:cs="Times New Roman"/>
          <w:sz w:val="24"/>
          <w:szCs w:val="24"/>
          <w:lang w:eastAsia="en-IN"/>
        </w:rPr>
        <w:t xml:space="preserve"> gluconate-rich organic-acid profile, and </w:t>
      </w:r>
      <w:r w:rsidRPr="00EE466E">
        <w:rPr>
          <w:rFonts w:ascii="Times New Roman" w:eastAsia="Times New Roman" w:hAnsi="Times New Roman" w:cs="Times New Roman"/>
          <w:sz w:val="24"/>
          <w:szCs w:val="24"/>
          <w:lang w:eastAsia="en-IN"/>
        </w:rPr>
        <w:t>(v)</w:t>
      </w:r>
      <w:r w:rsidRPr="009E2A87">
        <w:rPr>
          <w:rFonts w:ascii="Times New Roman" w:eastAsia="Times New Roman" w:hAnsi="Times New Roman" w:cs="Times New Roman"/>
          <w:sz w:val="24"/>
          <w:szCs w:val="24"/>
          <w:lang w:eastAsia="en-IN"/>
        </w:rPr>
        <w:t xml:space="preserve"> stable nitrogen fixation, align with the mechanistic and performance benchmarks established for high-value PSB/PGPR. From an application standpoint, such dual-function inoculants can reduce dependence on chemical P and N fertilizers and improve nutrient-use efficiency. Future work should validate FB2 under soil and field conditions, optimize formulation (carrier, protectants), and test compatibility with NBRIP-based scale-up to maximize solubilization yields. (Sharma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2013; Silva </w:t>
      </w:r>
      <w:r w:rsidRPr="009E2A87">
        <w:rPr>
          <w:rFonts w:ascii="Times New Roman" w:eastAsia="Times New Roman" w:hAnsi="Times New Roman" w:cs="Times New Roman"/>
          <w:i/>
          <w:iCs/>
          <w:sz w:val="24"/>
          <w:szCs w:val="24"/>
          <w:lang w:eastAsia="en-IN"/>
        </w:rPr>
        <w:t>et al.,</w:t>
      </w:r>
      <w:r w:rsidRPr="009E2A87">
        <w:rPr>
          <w:rFonts w:ascii="Times New Roman" w:eastAsia="Times New Roman" w:hAnsi="Times New Roman" w:cs="Times New Roman"/>
          <w:sz w:val="24"/>
          <w:szCs w:val="24"/>
          <w:lang w:eastAsia="en-IN"/>
        </w:rPr>
        <w:t xml:space="preserve"> 2023). </w:t>
      </w:r>
    </w:p>
    <w:p w14:paraId="76077E14" w14:textId="77777777" w:rsidR="007A27A8" w:rsidRDefault="007A27A8" w:rsidP="007A27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87CC9AB" w14:textId="77777777" w:rsidR="00C66D2C" w:rsidRPr="00DC162D" w:rsidRDefault="00C66D2C" w:rsidP="00DC162D">
      <w:pPr>
        <w:pStyle w:val="NormalWeb"/>
        <w:numPr>
          <w:ilvl w:val="0"/>
          <w:numId w:val="5"/>
        </w:numPr>
        <w:spacing w:before="0" w:beforeAutospacing="0" w:after="0" w:afterAutospacing="0" w:line="360" w:lineRule="auto"/>
        <w:ind w:left="142"/>
        <w:jc w:val="both"/>
        <w:rPr>
          <w:color w:val="000000" w:themeColor="text1"/>
        </w:rPr>
      </w:pPr>
      <w:proofErr w:type="spellStart"/>
      <w:r w:rsidRPr="00DC162D">
        <w:rPr>
          <w:color w:val="000000" w:themeColor="text1"/>
        </w:rPr>
        <w:t>Aasfar</w:t>
      </w:r>
      <w:proofErr w:type="spellEnd"/>
      <w:r w:rsidRPr="00DC162D">
        <w:rPr>
          <w:color w:val="000000" w:themeColor="text1"/>
        </w:rPr>
        <w:t xml:space="preserve">, A. (2021). </w:t>
      </w:r>
      <w:r w:rsidRPr="00DC162D">
        <w:rPr>
          <w:rStyle w:val="Strong"/>
          <w:b w:val="0"/>
          <w:bCs w:val="0"/>
          <w:color w:val="000000" w:themeColor="text1"/>
        </w:rPr>
        <w:t xml:space="preserve">Nitrogen Fixing </w:t>
      </w:r>
      <w:proofErr w:type="spellStart"/>
      <w:r w:rsidRPr="00DC162D">
        <w:rPr>
          <w:rStyle w:val="Strong"/>
          <w:b w:val="0"/>
          <w:bCs w:val="0"/>
          <w:color w:val="000000" w:themeColor="text1"/>
        </w:rPr>
        <w:t>Azotobacter</w:t>
      </w:r>
      <w:proofErr w:type="spellEnd"/>
      <w:r w:rsidRPr="00DC162D">
        <w:rPr>
          <w:rStyle w:val="Strong"/>
          <w:b w:val="0"/>
          <w:bCs w:val="0"/>
          <w:color w:val="000000" w:themeColor="text1"/>
        </w:rPr>
        <w:t xml:space="preserve"> Species as Potential Soil Fertilizer</w:t>
      </w:r>
      <w:r w:rsidRPr="00DC162D">
        <w:rPr>
          <w:color w:val="000000" w:themeColor="text1"/>
        </w:rPr>
        <w:t xml:space="preserve">. </w:t>
      </w:r>
      <w:r w:rsidRPr="00DC162D">
        <w:rPr>
          <w:rStyle w:val="Emphasis"/>
          <w:color w:val="000000" w:themeColor="text1"/>
        </w:rPr>
        <w:t>Microorganisms</w:t>
      </w:r>
      <w:r w:rsidRPr="00DC162D">
        <w:rPr>
          <w:color w:val="000000" w:themeColor="text1"/>
        </w:rPr>
        <w:t xml:space="preserve">, 9(5), 981. https://doi.org/10.3390/microorganisms9050981 </w:t>
      </w:r>
    </w:p>
    <w:p w14:paraId="0651571A" w14:textId="77777777" w:rsidR="009265A3" w:rsidRPr="00DC162D" w:rsidRDefault="009265A3"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t>Alori</w:t>
      </w:r>
      <w:proofErr w:type="spellEnd"/>
      <w:r w:rsidRPr="00DC162D">
        <w:rPr>
          <w:rFonts w:ascii="Times New Roman" w:hAnsi="Times New Roman" w:cs="Times New Roman"/>
          <w:color w:val="000000" w:themeColor="text1"/>
          <w:sz w:val="24"/>
          <w:szCs w:val="24"/>
        </w:rPr>
        <w:t xml:space="preserve">, E. T., Glick, B. R., &amp; Babalola, O. O. (2017). </w:t>
      </w:r>
      <w:r w:rsidRPr="00DC162D">
        <w:rPr>
          <w:rStyle w:val="Strong"/>
          <w:rFonts w:ascii="Times New Roman" w:hAnsi="Times New Roman" w:cs="Times New Roman"/>
          <w:b w:val="0"/>
          <w:bCs w:val="0"/>
          <w:color w:val="000000" w:themeColor="text1"/>
          <w:sz w:val="24"/>
          <w:szCs w:val="24"/>
        </w:rPr>
        <w:t>Microbial Phosphorus Solubilization and Its Potential for Use in Sustainable Agriculture</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Frontiers in Microbiology</w:t>
      </w:r>
      <w:r w:rsidRPr="00DC162D">
        <w:rPr>
          <w:rFonts w:ascii="Times New Roman" w:hAnsi="Times New Roman" w:cs="Times New Roman"/>
          <w:color w:val="000000" w:themeColor="text1"/>
          <w:sz w:val="24"/>
          <w:szCs w:val="24"/>
        </w:rPr>
        <w:t>, 8, 971. https://doi.org/10.3389/fmicb.2017.00971</w:t>
      </w:r>
    </w:p>
    <w:p w14:paraId="798739D6" w14:textId="77777777" w:rsidR="009265A3" w:rsidRPr="00DC162D" w:rsidRDefault="009265A3"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t>Amri</w:t>
      </w:r>
      <w:proofErr w:type="spellEnd"/>
      <w:r w:rsidRPr="00DC162D">
        <w:rPr>
          <w:rFonts w:ascii="Times New Roman" w:hAnsi="Times New Roman" w:cs="Times New Roman"/>
          <w:color w:val="000000" w:themeColor="text1"/>
          <w:sz w:val="24"/>
          <w:szCs w:val="24"/>
        </w:rPr>
        <w:t xml:space="preserve">, M. (2023). </w:t>
      </w:r>
      <w:r w:rsidRPr="00DC162D">
        <w:rPr>
          <w:rStyle w:val="Strong"/>
          <w:rFonts w:ascii="Times New Roman" w:hAnsi="Times New Roman" w:cs="Times New Roman"/>
          <w:b w:val="0"/>
          <w:bCs w:val="0"/>
          <w:color w:val="000000" w:themeColor="text1"/>
          <w:sz w:val="24"/>
          <w:szCs w:val="24"/>
        </w:rPr>
        <w:t>Isolation, Identification, and Characterization of Phosphate-Solubilizing Bacteria from Tunisian Soils</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Microorganisms</w:t>
      </w:r>
      <w:r w:rsidRPr="00DC162D">
        <w:rPr>
          <w:rFonts w:ascii="Times New Roman" w:hAnsi="Times New Roman" w:cs="Times New Roman"/>
          <w:color w:val="000000" w:themeColor="text1"/>
          <w:sz w:val="24"/>
          <w:szCs w:val="24"/>
        </w:rPr>
        <w:t>, 11(3), 783. https://doi.org/10.3390/microorganisms11030783</w:t>
      </w:r>
    </w:p>
    <w:p w14:paraId="53C2CC30" w14:textId="77777777" w:rsidR="00335628" w:rsidRPr="00DC162D" w:rsidRDefault="00335628"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eastAsia="Times New Roman" w:hAnsi="Times New Roman" w:cs="Times New Roman"/>
          <w:color w:val="000000" w:themeColor="text1"/>
          <w:sz w:val="24"/>
          <w:szCs w:val="24"/>
          <w:lang w:eastAsia="en-IN"/>
        </w:rPr>
        <w:t xml:space="preserve">Chen, J., Liu, X., Zheng, J., Zhang, B., &amp; Lu, H. (2006). Effects of long-term fertilization on phosphorus adsorption and desorption characteristics in purple paddy soils. </w:t>
      </w:r>
      <w:r w:rsidRPr="00DC162D">
        <w:rPr>
          <w:rFonts w:ascii="Times New Roman" w:eastAsia="Times New Roman" w:hAnsi="Times New Roman" w:cs="Times New Roman"/>
          <w:i/>
          <w:iCs/>
          <w:color w:val="000000" w:themeColor="text1"/>
          <w:sz w:val="24"/>
          <w:szCs w:val="24"/>
          <w:lang w:eastAsia="en-IN"/>
        </w:rPr>
        <w:t>Journal of Environmental Sciences</w:t>
      </w:r>
      <w:r w:rsidRPr="00DC162D">
        <w:rPr>
          <w:rFonts w:ascii="Times New Roman" w:eastAsia="Times New Roman" w:hAnsi="Times New Roman" w:cs="Times New Roman"/>
          <w:color w:val="000000" w:themeColor="text1"/>
          <w:sz w:val="24"/>
          <w:szCs w:val="24"/>
          <w:lang w:eastAsia="en-IN"/>
        </w:rPr>
        <w:t>, 18(6), 1236–1242.</w:t>
      </w:r>
    </w:p>
    <w:p w14:paraId="73203A9B" w14:textId="77777777" w:rsidR="00335628" w:rsidRPr="00DC162D" w:rsidRDefault="00335628" w:rsidP="00DC162D">
      <w:pPr>
        <w:pStyle w:val="NormalWeb"/>
        <w:numPr>
          <w:ilvl w:val="0"/>
          <w:numId w:val="5"/>
        </w:numPr>
        <w:spacing w:before="0" w:beforeAutospacing="0" w:after="0" w:afterAutospacing="0" w:line="360" w:lineRule="auto"/>
        <w:ind w:left="142"/>
        <w:jc w:val="both"/>
        <w:rPr>
          <w:color w:val="000000" w:themeColor="text1"/>
        </w:rPr>
      </w:pPr>
      <w:r w:rsidRPr="00DC162D">
        <w:rPr>
          <w:color w:val="000000" w:themeColor="text1"/>
        </w:rPr>
        <w:t xml:space="preserve">Gomez, K. A., &amp; Gomez, A. A. (1984). </w:t>
      </w:r>
      <w:r w:rsidRPr="00DC162D">
        <w:rPr>
          <w:rStyle w:val="Emphasis"/>
          <w:color w:val="000000" w:themeColor="text1"/>
        </w:rPr>
        <w:t>Statistical Procedures for Agricultural Research</w:t>
      </w:r>
      <w:r w:rsidRPr="00DC162D">
        <w:rPr>
          <w:color w:val="000000" w:themeColor="text1"/>
        </w:rPr>
        <w:t xml:space="preserve"> (2</w:t>
      </w:r>
      <w:r w:rsidRPr="00DC162D">
        <w:rPr>
          <w:color w:val="000000" w:themeColor="text1"/>
          <w:vertAlign w:val="superscript"/>
        </w:rPr>
        <w:t>nd</w:t>
      </w:r>
      <w:r w:rsidRPr="00DC162D">
        <w:rPr>
          <w:color w:val="000000" w:themeColor="text1"/>
        </w:rPr>
        <w:t xml:space="preserve"> ed.). John Wiley &amp; Sons.</w:t>
      </w:r>
    </w:p>
    <w:p w14:paraId="36753F1A" w14:textId="77777777" w:rsidR="00335628" w:rsidRPr="00DC162D" w:rsidRDefault="00335628" w:rsidP="00DC162D">
      <w:pPr>
        <w:pStyle w:val="NormalWeb"/>
        <w:numPr>
          <w:ilvl w:val="0"/>
          <w:numId w:val="5"/>
        </w:numPr>
        <w:spacing w:before="0" w:beforeAutospacing="0" w:after="0" w:afterAutospacing="0" w:line="360" w:lineRule="auto"/>
        <w:ind w:left="142"/>
        <w:jc w:val="both"/>
        <w:rPr>
          <w:color w:val="000000" w:themeColor="text1"/>
        </w:rPr>
      </w:pPr>
      <w:r w:rsidRPr="00DC162D">
        <w:rPr>
          <w:color w:val="000000" w:themeColor="text1"/>
        </w:rPr>
        <w:lastRenderedPageBreak/>
        <w:t xml:space="preserve">Hardy, R. W. F., Holsten, R. D., Jackson, E. K., &amp; Burns, R. C. (1968). The acetylene-ethylene assay for N₂ fixation: Laboratory and field evaluation. </w:t>
      </w:r>
      <w:r w:rsidRPr="00DC162D">
        <w:rPr>
          <w:rStyle w:val="Emphasis"/>
          <w:color w:val="000000" w:themeColor="text1"/>
        </w:rPr>
        <w:t>Plant Physiology</w:t>
      </w:r>
      <w:r w:rsidRPr="00DC162D">
        <w:rPr>
          <w:color w:val="000000" w:themeColor="text1"/>
        </w:rPr>
        <w:t>, 43(8), 1185–1207.</w:t>
      </w:r>
    </w:p>
    <w:p w14:paraId="4B028669" w14:textId="77777777" w:rsidR="00335628" w:rsidRPr="00DC162D" w:rsidRDefault="00335628"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eastAsia="Times New Roman" w:hAnsi="Times New Roman" w:cs="Times New Roman"/>
          <w:color w:val="000000" w:themeColor="text1"/>
          <w:sz w:val="24"/>
          <w:szCs w:val="24"/>
          <w:lang w:eastAsia="en-IN"/>
        </w:rPr>
        <w:t xml:space="preserve">Holford, I. C. R. (1997). Soil phosphorus: Its measurement, and its uptake by plants. </w:t>
      </w:r>
      <w:r w:rsidRPr="00DC162D">
        <w:rPr>
          <w:rFonts w:ascii="Times New Roman" w:eastAsia="Times New Roman" w:hAnsi="Times New Roman" w:cs="Times New Roman"/>
          <w:i/>
          <w:iCs/>
          <w:color w:val="000000" w:themeColor="text1"/>
          <w:sz w:val="24"/>
          <w:szCs w:val="24"/>
          <w:lang w:eastAsia="en-IN"/>
        </w:rPr>
        <w:t>Australian Journal of Soil Research</w:t>
      </w:r>
      <w:r w:rsidRPr="00DC162D">
        <w:rPr>
          <w:rFonts w:ascii="Times New Roman" w:eastAsia="Times New Roman" w:hAnsi="Times New Roman" w:cs="Times New Roman"/>
          <w:color w:val="000000" w:themeColor="text1"/>
          <w:sz w:val="24"/>
          <w:szCs w:val="24"/>
          <w:lang w:eastAsia="en-IN"/>
        </w:rPr>
        <w:t>, 35(2), 227–240. https://doi.org/10.1071/S96047</w:t>
      </w:r>
    </w:p>
    <w:p w14:paraId="3AEB4C4D" w14:textId="77777777" w:rsidR="00335628" w:rsidRPr="00DC162D" w:rsidRDefault="00335628"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eastAsia="Times New Roman" w:hAnsi="Times New Roman" w:cs="Times New Roman"/>
          <w:color w:val="000000" w:themeColor="text1"/>
          <w:sz w:val="24"/>
          <w:szCs w:val="24"/>
          <w:lang w:eastAsia="en-IN"/>
        </w:rPr>
        <w:t>Illmer</w:t>
      </w:r>
      <w:proofErr w:type="spellEnd"/>
      <w:r w:rsidRPr="00DC162D">
        <w:rPr>
          <w:rFonts w:ascii="Times New Roman" w:eastAsia="Times New Roman" w:hAnsi="Times New Roman" w:cs="Times New Roman"/>
          <w:color w:val="000000" w:themeColor="text1"/>
          <w:sz w:val="24"/>
          <w:szCs w:val="24"/>
          <w:lang w:eastAsia="en-IN"/>
        </w:rPr>
        <w:t xml:space="preserve">, P., &amp; Schinner, F. (1995). Solubilization of inorganic phosphates by microorganisms isolated from forest soils. </w:t>
      </w:r>
      <w:r w:rsidRPr="00DC162D">
        <w:rPr>
          <w:rFonts w:ascii="Times New Roman" w:eastAsia="Times New Roman" w:hAnsi="Times New Roman" w:cs="Times New Roman"/>
          <w:i/>
          <w:iCs/>
          <w:color w:val="000000" w:themeColor="text1"/>
          <w:sz w:val="24"/>
          <w:szCs w:val="24"/>
          <w:lang w:eastAsia="en-IN"/>
        </w:rPr>
        <w:t>Soil Biology and Biochemistry</w:t>
      </w:r>
      <w:r w:rsidRPr="00DC162D">
        <w:rPr>
          <w:rFonts w:ascii="Times New Roman" w:eastAsia="Times New Roman" w:hAnsi="Times New Roman" w:cs="Times New Roman"/>
          <w:color w:val="000000" w:themeColor="text1"/>
          <w:sz w:val="24"/>
          <w:szCs w:val="24"/>
          <w:lang w:eastAsia="en-IN"/>
        </w:rPr>
        <w:t>, 27(3), 257–263. https://doi.org/10.1016/0038-0717(94)00190-7</w:t>
      </w:r>
    </w:p>
    <w:p w14:paraId="6FDAFDDC" w14:textId="77777777" w:rsidR="00A43529" w:rsidRPr="00DC162D" w:rsidRDefault="00A43529" w:rsidP="00DC162D">
      <w:pPr>
        <w:pStyle w:val="NormalWeb"/>
        <w:numPr>
          <w:ilvl w:val="0"/>
          <w:numId w:val="5"/>
        </w:numPr>
        <w:spacing w:before="0" w:beforeAutospacing="0" w:after="0" w:afterAutospacing="0" w:line="360" w:lineRule="auto"/>
        <w:ind w:left="142"/>
        <w:jc w:val="both"/>
        <w:rPr>
          <w:color w:val="000000" w:themeColor="text1"/>
        </w:rPr>
      </w:pPr>
      <w:r w:rsidRPr="00DC162D">
        <w:rPr>
          <w:color w:val="000000" w:themeColor="text1"/>
        </w:rPr>
        <w:t xml:space="preserve">Jackson, M. L. (1973). </w:t>
      </w:r>
      <w:r w:rsidRPr="00DC162D">
        <w:rPr>
          <w:rStyle w:val="Emphasis"/>
          <w:color w:val="000000" w:themeColor="text1"/>
        </w:rPr>
        <w:t>Soil Chemical Analysis</w:t>
      </w:r>
      <w:r w:rsidRPr="00DC162D">
        <w:rPr>
          <w:color w:val="000000" w:themeColor="text1"/>
        </w:rPr>
        <w:t>. Prentice Hall of India, New Delhi.</w:t>
      </w:r>
    </w:p>
    <w:p w14:paraId="3F49E399" w14:textId="77777777" w:rsidR="009265A3" w:rsidRPr="00DC162D" w:rsidRDefault="009265A3"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hAnsi="Times New Roman" w:cs="Times New Roman"/>
          <w:color w:val="000000" w:themeColor="text1"/>
          <w:sz w:val="24"/>
          <w:szCs w:val="24"/>
        </w:rPr>
        <w:t xml:space="preserve">Li, Y. (2020). </w:t>
      </w:r>
      <w:r w:rsidRPr="00DC162D">
        <w:rPr>
          <w:rStyle w:val="Strong"/>
          <w:rFonts w:ascii="Times New Roman" w:hAnsi="Times New Roman" w:cs="Times New Roman"/>
          <w:b w:val="0"/>
          <w:bCs w:val="0"/>
          <w:color w:val="000000" w:themeColor="text1"/>
          <w:sz w:val="24"/>
          <w:szCs w:val="24"/>
        </w:rPr>
        <w:t>Identification of phosphate-solubilizing microorganisms and determination of their phosphate-solubilizing activity</w:t>
      </w:r>
      <w:r w:rsidRPr="00DC162D">
        <w:rPr>
          <w:rFonts w:ascii="Times New Roman" w:hAnsi="Times New Roman" w:cs="Times New Roman"/>
          <w:color w:val="000000" w:themeColor="text1"/>
          <w:sz w:val="24"/>
          <w:szCs w:val="24"/>
        </w:rPr>
        <w:t xml:space="preserve">. </w:t>
      </w:r>
      <w:proofErr w:type="spellStart"/>
      <w:r w:rsidRPr="00DC162D">
        <w:rPr>
          <w:rStyle w:val="Emphasis"/>
          <w:rFonts w:ascii="Times New Roman" w:hAnsi="Times New Roman" w:cs="Times New Roman"/>
          <w:color w:val="000000" w:themeColor="text1"/>
          <w:sz w:val="24"/>
          <w:szCs w:val="24"/>
        </w:rPr>
        <w:t>BioResources</w:t>
      </w:r>
      <w:proofErr w:type="spellEnd"/>
      <w:r w:rsidRPr="00DC162D">
        <w:rPr>
          <w:rFonts w:ascii="Times New Roman" w:hAnsi="Times New Roman" w:cs="Times New Roman"/>
          <w:color w:val="000000" w:themeColor="text1"/>
          <w:sz w:val="24"/>
          <w:szCs w:val="24"/>
        </w:rPr>
        <w:t>, 15(2), 3627–3646.</w:t>
      </w:r>
    </w:p>
    <w:p w14:paraId="10AD3608" w14:textId="77777777" w:rsidR="00335628" w:rsidRPr="00DC162D" w:rsidRDefault="00335628"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eastAsia="Times New Roman" w:hAnsi="Times New Roman" w:cs="Times New Roman"/>
          <w:color w:val="000000" w:themeColor="text1"/>
          <w:sz w:val="24"/>
          <w:szCs w:val="24"/>
          <w:lang w:eastAsia="en-IN"/>
        </w:rPr>
        <w:t xml:space="preserve">Mahdi, S. S., Hassan, G. I., </w:t>
      </w:r>
      <w:proofErr w:type="spellStart"/>
      <w:r w:rsidRPr="00DC162D">
        <w:rPr>
          <w:rFonts w:ascii="Times New Roman" w:eastAsia="Times New Roman" w:hAnsi="Times New Roman" w:cs="Times New Roman"/>
          <w:color w:val="000000" w:themeColor="text1"/>
          <w:sz w:val="24"/>
          <w:szCs w:val="24"/>
          <w:lang w:eastAsia="en-IN"/>
        </w:rPr>
        <w:t>Samoon</w:t>
      </w:r>
      <w:proofErr w:type="spellEnd"/>
      <w:r w:rsidRPr="00DC162D">
        <w:rPr>
          <w:rFonts w:ascii="Times New Roman" w:eastAsia="Times New Roman" w:hAnsi="Times New Roman" w:cs="Times New Roman"/>
          <w:color w:val="000000" w:themeColor="text1"/>
          <w:sz w:val="24"/>
          <w:szCs w:val="24"/>
          <w:lang w:eastAsia="en-IN"/>
        </w:rPr>
        <w:t xml:space="preserve">, S. A., Rather, H. A., Dar, S. A., &amp; Zehra, B. (2010). Bio-fertilizers in organic agriculture. </w:t>
      </w:r>
      <w:r w:rsidRPr="00DC162D">
        <w:rPr>
          <w:rFonts w:ascii="Times New Roman" w:eastAsia="Times New Roman" w:hAnsi="Times New Roman" w:cs="Times New Roman"/>
          <w:i/>
          <w:iCs/>
          <w:color w:val="000000" w:themeColor="text1"/>
          <w:sz w:val="24"/>
          <w:szCs w:val="24"/>
          <w:lang w:eastAsia="en-IN"/>
        </w:rPr>
        <w:t>Journal of Phytology</w:t>
      </w:r>
      <w:r w:rsidRPr="00DC162D">
        <w:rPr>
          <w:rFonts w:ascii="Times New Roman" w:eastAsia="Times New Roman" w:hAnsi="Times New Roman" w:cs="Times New Roman"/>
          <w:color w:val="000000" w:themeColor="text1"/>
          <w:sz w:val="24"/>
          <w:szCs w:val="24"/>
          <w:lang w:eastAsia="en-IN"/>
        </w:rPr>
        <w:t>, 2(10), 42–54.</w:t>
      </w:r>
    </w:p>
    <w:p w14:paraId="5FFE9564" w14:textId="77777777" w:rsidR="00335628" w:rsidRPr="00DC162D" w:rsidRDefault="00335628"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eastAsia="Times New Roman" w:hAnsi="Times New Roman" w:cs="Times New Roman"/>
          <w:color w:val="000000" w:themeColor="text1"/>
          <w:sz w:val="24"/>
          <w:szCs w:val="24"/>
          <w:lang w:eastAsia="en-IN"/>
        </w:rPr>
        <w:t>Mrkovacki</w:t>
      </w:r>
      <w:proofErr w:type="spellEnd"/>
      <w:r w:rsidRPr="00DC162D">
        <w:rPr>
          <w:rFonts w:ascii="Times New Roman" w:eastAsia="Times New Roman" w:hAnsi="Times New Roman" w:cs="Times New Roman"/>
          <w:color w:val="000000" w:themeColor="text1"/>
          <w:sz w:val="24"/>
          <w:szCs w:val="24"/>
          <w:lang w:eastAsia="en-IN"/>
        </w:rPr>
        <w:t xml:space="preserve">, N., &amp; </w:t>
      </w:r>
      <w:proofErr w:type="spellStart"/>
      <w:r w:rsidRPr="00DC162D">
        <w:rPr>
          <w:rFonts w:ascii="Times New Roman" w:eastAsia="Times New Roman" w:hAnsi="Times New Roman" w:cs="Times New Roman"/>
          <w:color w:val="000000" w:themeColor="text1"/>
          <w:sz w:val="24"/>
          <w:szCs w:val="24"/>
          <w:lang w:eastAsia="en-IN"/>
        </w:rPr>
        <w:t>Milic</w:t>
      </w:r>
      <w:proofErr w:type="spellEnd"/>
      <w:r w:rsidRPr="00DC162D">
        <w:rPr>
          <w:rFonts w:ascii="Times New Roman" w:eastAsia="Times New Roman" w:hAnsi="Times New Roman" w:cs="Times New Roman"/>
          <w:color w:val="000000" w:themeColor="text1"/>
          <w:sz w:val="24"/>
          <w:szCs w:val="24"/>
          <w:lang w:eastAsia="en-IN"/>
        </w:rPr>
        <w:t xml:space="preserve">, V. (2001). Use of </w:t>
      </w:r>
      <w:proofErr w:type="spellStart"/>
      <w:r w:rsidRPr="00DC162D">
        <w:rPr>
          <w:rFonts w:ascii="Times New Roman" w:eastAsia="Times New Roman" w:hAnsi="Times New Roman" w:cs="Times New Roman"/>
          <w:i/>
          <w:iCs/>
          <w:color w:val="000000" w:themeColor="text1"/>
          <w:sz w:val="24"/>
          <w:szCs w:val="24"/>
          <w:lang w:eastAsia="en-IN"/>
        </w:rPr>
        <w:t>Azotobacter</w:t>
      </w:r>
      <w:proofErr w:type="spellEnd"/>
      <w:r w:rsidRPr="00DC162D">
        <w:rPr>
          <w:rFonts w:ascii="Times New Roman" w:eastAsia="Times New Roman" w:hAnsi="Times New Roman" w:cs="Times New Roman"/>
          <w:i/>
          <w:iCs/>
          <w:color w:val="000000" w:themeColor="text1"/>
          <w:sz w:val="24"/>
          <w:szCs w:val="24"/>
          <w:lang w:eastAsia="en-IN"/>
        </w:rPr>
        <w:t xml:space="preserve"> </w:t>
      </w:r>
      <w:proofErr w:type="spellStart"/>
      <w:r w:rsidRPr="00DC162D">
        <w:rPr>
          <w:rFonts w:ascii="Times New Roman" w:eastAsia="Times New Roman" w:hAnsi="Times New Roman" w:cs="Times New Roman"/>
          <w:i/>
          <w:iCs/>
          <w:color w:val="000000" w:themeColor="text1"/>
          <w:sz w:val="24"/>
          <w:szCs w:val="24"/>
          <w:lang w:eastAsia="en-IN"/>
        </w:rPr>
        <w:t>chroococcum</w:t>
      </w:r>
      <w:proofErr w:type="spellEnd"/>
      <w:r w:rsidRPr="00DC162D">
        <w:rPr>
          <w:rFonts w:ascii="Times New Roman" w:eastAsia="Times New Roman" w:hAnsi="Times New Roman" w:cs="Times New Roman"/>
          <w:color w:val="000000" w:themeColor="text1"/>
          <w:sz w:val="24"/>
          <w:szCs w:val="24"/>
          <w:lang w:eastAsia="en-IN"/>
        </w:rPr>
        <w:t xml:space="preserve"> as potentially useful in agricultural application. </w:t>
      </w:r>
      <w:r w:rsidRPr="00DC162D">
        <w:rPr>
          <w:rFonts w:ascii="Times New Roman" w:eastAsia="Times New Roman" w:hAnsi="Times New Roman" w:cs="Times New Roman"/>
          <w:i/>
          <w:iCs/>
          <w:color w:val="000000" w:themeColor="text1"/>
          <w:sz w:val="24"/>
          <w:szCs w:val="24"/>
          <w:lang w:eastAsia="en-IN"/>
        </w:rPr>
        <w:t>Annals of Microbiology</w:t>
      </w:r>
      <w:r w:rsidRPr="00DC162D">
        <w:rPr>
          <w:rFonts w:ascii="Times New Roman" w:eastAsia="Times New Roman" w:hAnsi="Times New Roman" w:cs="Times New Roman"/>
          <w:color w:val="000000" w:themeColor="text1"/>
          <w:sz w:val="24"/>
          <w:szCs w:val="24"/>
          <w:lang w:eastAsia="en-IN"/>
        </w:rPr>
        <w:t>, 51(2), 145–158.</w:t>
      </w:r>
    </w:p>
    <w:p w14:paraId="44B5F7EB" w14:textId="77777777" w:rsidR="00205473" w:rsidRPr="00DC162D" w:rsidRDefault="00205473" w:rsidP="00DC162D">
      <w:pPr>
        <w:pStyle w:val="NormalWeb"/>
        <w:numPr>
          <w:ilvl w:val="0"/>
          <w:numId w:val="5"/>
        </w:numPr>
        <w:spacing w:before="0" w:beforeAutospacing="0" w:after="0" w:afterAutospacing="0" w:line="360" w:lineRule="auto"/>
        <w:ind w:left="142"/>
        <w:jc w:val="both"/>
        <w:rPr>
          <w:color w:val="000000" w:themeColor="text1"/>
        </w:rPr>
      </w:pPr>
      <w:r w:rsidRPr="00DC162D">
        <w:rPr>
          <w:color w:val="000000" w:themeColor="text1"/>
        </w:rPr>
        <w:t xml:space="preserve">Narula, N., Gupta, K. G., &amp; Singh, B. (2000). Amelioration of the adverse effect of pesticides on free-living nitrogen fixers and phosphate solubilizers by </w:t>
      </w:r>
      <w:proofErr w:type="spellStart"/>
      <w:r w:rsidRPr="00DC162D">
        <w:rPr>
          <w:color w:val="000000" w:themeColor="text1"/>
        </w:rPr>
        <w:t>Azotobacter</w:t>
      </w:r>
      <w:proofErr w:type="spellEnd"/>
      <w:r w:rsidRPr="00DC162D">
        <w:rPr>
          <w:color w:val="000000" w:themeColor="text1"/>
        </w:rPr>
        <w:t xml:space="preserve"> </w:t>
      </w:r>
      <w:proofErr w:type="spellStart"/>
      <w:r w:rsidRPr="00DC162D">
        <w:rPr>
          <w:color w:val="000000" w:themeColor="text1"/>
        </w:rPr>
        <w:t>chroococcum</w:t>
      </w:r>
      <w:proofErr w:type="spellEnd"/>
      <w:r w:rsidRPr="00DC162D">
        <w:rPr>
          <w:color w:val="000000" w:themeColor="text1"/>
        </w:rPr>
        <w:t xml:space="preserve">. </w:t>
      </w:r>
      <w:r w:rsidRPr="00DC162D">
        <w:rPr>
          <w:rStyle w:val="Emphasis"/>
          <w:color w:val="000000" w:themeColor="text1"/>
        </w:rPr>
        <w:t>Biology and Fertility of Soils</w:t>
      </w:r>
      <w:r w:rsidRPr="00DC162D">
        <w:rPr>
          <w:color w:val="000000" w:themeColor="text1"/>
        </w:rPr>
        <w:t>, 31(4), 409–413.</w:t>
      </w:r>
    </w:p>
    <w:p w14:paraId="13F4BD01" w14:textId="77777777" w:rsidR="009265A3" w:rsidRPr="00DC162D" w:rsidRDefault="009265A3"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t>Nautiyal</w:t>
      </w:r>
      <w:proofErr w:type="spellEnd"/>
      <w:r w:rsidRPr="00DC162D">
        <w:rPr>
          <w:rFonts w:ascii="Times New Roman" w:hAnsi="Times New Roman" w:cs="Times New Roman"/>
          <w:color w:val="000000" w:themeColor="text1"/>
          <w:sz w:val="24"/>
          <w:szCs w:val="24"/>
        </w:rPr>
        <w:t xml:space="preserve">, C. S. (1999). </w:t>
      </w:r>
      <w:r w:rsidRPr="00DC162D">
        <w:rPr>
          <w:rStyle w:val="Strong"/>
          <w:rFonts w:ascii="Times New Roman" w:hAnsi="Times New Roman" w:cs="Times New Roman"/>
          <w:b w:val="0"/>
          <w:bCs w:val="0"/>
          <w:color w:val="000000" w:themeColor="text1"/>
          <w:sz w:val="24"/>
          <w:szCs w:val="24"/>
        </w:rPr>
        <w:t>An efficient microbiological growth medium for screening phosphate-solubilizing microorganisms</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FEMS Microbiology Letters</w:t>
      </w:r>
      <w:r w:rsidRPr="00DC162D">
        <w:rPr>
          <w:rFonts w:ascii="Times New Roman" w:hAnsi="Times New Roman" w:cs="Times New Roman"/>
          <w:color w:val="000000" w:themeColor="text1"/>
          <w:sz w:val="24"/>
          <w:szCs w:val="24"/>
        </w:rPr>
        <w:t>, 170(1), 265–270. https://doi.org/10.1111/j.1574-6968.1999.tb13383.x</w:t>
      </w:r>
    </w:p>
    <w:p w14:paraId="2F037F8B" w14:textId="77777777" w:rsidR="0011689E" w:rsidRPr="00DC162D" w:rsidRDefault="0011689E"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t>Nosrati</w:t>
      </w:r>
      <w:proofErr w:type="spellEnd"/>
      <w:r w:rsidRPr="00DC162D">
        <w:rPr>
          <w:rFonts w:ascii="Times New Roman" w:hAnsi="Times New Roman" w:cs="Times New Roman"/>
          <w:color w:val="000000" w:themeColor="text1"/>
          <w:sz w:val="24"/>
          <w:szCs w:val="24"/>
        </w:rPr>
        <w:t xml:space="preserve">, R. (2014). </w:t>
      </w:r>
      <w:r w:rsidRPr="00DC162D">
        <w:rPr>
          <w:rStyle w:val="Strong"/>
          <w:rFonts w:ascii="Times New Roman" w:hAnsi="Times New Roman" w:cs="Times New Roman"/>
          <w:b w:val="0"/>
          <w:bCs w:val="0"/>
          <w:color w:val="000000" w:themeColor="text1"/>
          <w:sz w:val="24"/>
          <w:szCs w:val="24"/>
        </w:rPr>
        <w:t xml:space="preserve">Phosphate solubilization characteristics of efficient nitrogen-fixing soil </w:t>
      </w:r>
      <w:proofErr w:type="spellStart"/>
      <w:r w:rsidRPr="00DC162D">
        <w:rPr>
          <w:rStyle w:val="Strong"/>
          <w:rFonts w:ascii="Times New Roman" w:hAnsi="Times New Roman" w:cs="Times New Roman"/>
          <w:b w:val="0"/>
          <w:bCs w:val="0"/>
          <w:color w:val="000000" w:themeColor="text1"/>
          <w:sz w:val="24"/>
          <w:szCs w:val="24"/>
        </w:rPr>
        <w:t>Azotobacter</w:t>
      </w:r>
      <w:proofErr w:type="spellEnd"/>
      <w:r w:rsidRPr="00DC162D">
        <w:rPr>
          <w:rStyle w:val="Strong"/>
          <w:rFonts w:ascii="Times New Roman" w:hAnsi="Times New Roman" w:cs="Times New Roman"/>
          <w:b w:val="0"/>
          <w:bCs w:val="0"/>
          <w:color w:val="000000" w:themeColor="text1"/>
          <w:sz w:val="24"/>
          <w:szCs w:val="24"/>
        </w:rPr>
        <w:t xml:space="preserve"> strains</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Iranian Journal of Microbiology</w:t>
      </w:r>
      <w:r w:rsidRPr="00DC162D">
        <w:rPr>
          <w:rFonts w:ascii="Times New Roman" w:hAnsi="Times New Roman" w:cs="Times New Roman"/>
          <w:color w:val="000000" w:themeColor="text1"/>
          <w:sz w:val="24"/>
          <w:szCs w:val="24"/>
        </w:rPr>
        <w:t>, 6(4), 285–295.</w:t>
      </w:r>
    </w:p>
    <w:p w14:paraId="3440C978" w14:textId="77777777" w:rsidR="00F82766" w:rsidRPr="00DC162D" w:rsidRDefault="00F82766"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t>Pande</w:t>
      </w:r>
      <w:proofErr w:type="spellEnd"/>
      <w:r w:rsidRPr="00DC162D">
        <w:rPr>
          <w:rFonts w:ascii="Times New Roman" w:hAnsi="Times New Roman" w:cs="Times New Roman"/>
          <w:color w:val="000000" w:themeColor="text1"/>
          <w:sz w:val="24"/>
          <w:szCs w:val="24"/>
        </w:rPr>
        <w:t xml:space="preserve">, A. (2017). </w:t>
      </w:r>
      <w:r w:rsidRPr="00DC162D">
        <w:rPr>
          <w:rStyle w:val="Strong"/>
          <w:rFonts w:ascii="Times New Roman" w:hAnsi="Times New Roman" w:cs="Times New Roman"/>
          <w:b w:val="0"/>
          <w:bCs w:val="0"/>
          <w:color w:val="000000" w:themeColor="text1"/>
          <w:sz w:val="24"/>
          <w:szCs w:val="24"/>
        </w:rPr>
        <w:t>Phenotypic and genotypic characterization of phosphate-solubilizing bacteria and their plant growth-promoting activities</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3 Biotech</w:t>
      </w:r>
      <w:r w:rsidRPr="00DC162D">
        <w:rPr>
          <w:rFonts w:ascii="Times New Roman" w:hAnsi="Times New Roman" w:cs="Times New Roman"/>
          <w:color w:val="000000" w:themeColor="text1"/>
          <w:sz w:val="24"/>
          <w:szCs w:val="24"/>
        </w:rPr>
        <w:t>, 7, 140. https://doi.org/10.1007/s13205-017-0846-9</w:t>
      </w:r>
    </w:p>
    <w:p w14:paraId="347DCF7F" w14:textId="77777777" w:rsidR="00335628" w:rsidRPr="00DC162D" w:rsidRDefault="00335628"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eastAsia="Times New Roman" w:hAnsi="Times New Roman" w:cs="Times New Roman"/>
          <w:color w:val="000000" w:themeColor="text1"/>
          <w:sz w:val="24"/>
          <w:szCs w:val="24"/>
          <w:lang w:eastAsia="en-IN"/>
        </w:rPr>
        <w:t xml:space="preserve">Rodríguez, H., &amp; Fraga, R. (1999). Phosphate solubilizing bacteria and their role in plant growth promotion. </w:t>
      </w:r>
      <w:r w:rsidRPr="00DC162D">
        <w:rPr>
          <w:rFonts w:ascii="Times New Roman" w:eastAsia="Times New Roman" w:hAnsi="Times New Roman" w:cs="Times New Roman"/>
          <w:i/>
          <w:iCs/>
          <w:color w:val="000000" w:themeColor="text1"/>
          <w:sz w:val="24"/>
          <w:szCs w:val="24"/>
          <w:lang w:eastAsia="en-IN"/>
        </w:rPr>
        <w:t>Biotechnology Advances</w:t>
      </w:r>
      <w:r w:rsidRPr="00DC162D">
        <w:rPr>
          <w:rFonts w:ascii="Times New Roman" w:eastAsia="Times New Roman" w:hAnsi="Times New Roman" w:cs="Times New Roman"/>
          <w:color w:val="000000" w:themeColor="text1"/>
          <w:sz w:val="24"/>
          <w:szCs w:val="24"/>
          <w:lang w:eastAsia="en-IN"/>
        </w:rPr>
        <w:t>, 17(4–5), 319–339. https://doi.org/10.1016/S0734-9750(99)00014-2</w:t>
      </w:r>
    </w:p>
    <w:p w14:paraId="598DF8E0" w14:textId="77777777" w:rsidR="00F82766" w:rsidRPr="00DC162D" w:rsidRDefault="00F82766"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hAnsi="Times New Roman" w:cs="Times New Roman"/>
          <w:color w:val="000000" w:themeColor="text1"/>
          <w:sz w:val="24"/>
          <w:szCs w:val="24"/>
        </w:rPr>
        <w:t xml:space="preserve">Saranya, K. (2022). </w:t>
      </w:r>
      <w:r w:rsidRPr="00DC162D">
        <w:rPr>
          <w:rStyle w:val="Strong"/>
          <w:rFonts w:ascii="Times New Roman" w:hAnsi="Times New Roman" w:cs="Times New Roman"/>
          <w:b w:val="0"/>
          <w:bCs w:val="0"/>
          <w:color w:val="000000" w:themeColor="text1"/>
          <w:sz w:val="24"/>
          <w:szCs w:val="24"/>
        </w:rPr>
        <w:t>Screening of multi-faceted phosphate-solubilising bacteria for enhanced P availability</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Applied Soil Ecology</w:t>
      </w:r>
      <w:r w:rsidRPr="00DC162D">
        <w:rPr>
          <w:rFonts w:ascii="Times New Roman" w:hAnsi="Times New Roman" w:cs="Times New Roman"/>
          <w:color w:val="000000" w:themeColor="text1"/>
          <w:sz w:val="24"/>
          <w:szCs w:val="24"/>
        </w:rPr>
        <w:t>, 176, 104470. https://doi.org/10.1016/j.apsoil.2022.104470</w:t>
      </w:r>
    </w:p>
    <w:p w14:paraId="36919CFE" w14:textId="77777777" w:rsidR="00CF7C71" w:rsidRPr="00DC162D" w:rsidRDefault="00CF7C71"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lastRenderedPageBreak/>
        <w:t>Sashidhar</w:t>
      </w:r>
      <w:proofErr w:type="spellEnd"/>
      <w:r w:rsidRPr="00DC162D">
        <w:rPr>
          <w:rFonts w:ascii="Times New Roman" w:hAnsi="Times New Roman" w:cs="Times New Roman"/>
          <w:color w:val="000000" w:themeColor="text1"/>
          <w:sz w:val="24"/>
          <w:szCs w:val="24"/>
        </w:rPr>
        <w:t xml:space="preserve">, B. (2009). </w:t>
      </w:r>
      <w:r w:rsidRPr="00DC162D">
        <w:rPr>
          <w:rStyle w:val="Strong"/>
          <w:rFonts w:ascii="Times New Roman" w:hAnsi="Times New Roman" w:cs="Times New Roman"/>
          <w:b w:val="0"/>
          <w:bCs w:val="0"/>
          <w:color w:val="000000" w:themeColor="text1"/>
          <w:sz w:val="24"/>
          <w:szCs w:val="24"/>
        </w:rPr>
        <w:t xml:space="preserve">Transgenic expression of glucose dehydrogenase in </w:t>
      </w:r>
      <w:proofErr w:type="spellStart"/>
      <w:r w:rsidRPr="00DC162D">
        <w:rPr>
          <w:rStyle w:val="Emphasis"/>
          <w:rFonts w:ascii="Times New Roman" w:hAnsi="Times New Roman" w:cs="Times New Roman"/>
          <w:color w:val="000000" w:themeColor="text1"/>
          <w:sz w:val="24"/>
          <w:szCs w:val="24"/>
        </w:rPr>
        <w:t>Azotobacter</w:t>
      </w:r>
      <w:proofErr w:type="spellEnd"/>
      <w:r w:rsidRPr="00DC162D">
        <w:rPr>
          <w:rStyle w:val="Emphasis"/>
          <w:rFonts w:ascii="Times New Roman" w:hAnsi="Times New Roman" w:cs="Times New Roman"/>
          <w:color w:val="000000" w:themeColor="text1"/>
          <w:sz w:val="24"/>
          <w:szCs w:val="24"/>
        </w:rPr>
        <w:t xml:space="preserve"> </w:t>
      </w:r>
      <w:proofErr w:type="spellStart"/>
      <w:r w:rsidRPr="00DC162D">
        <w:rPr>
          <w:rStyle w:val="Emphasis"/>
          <w:rFonts w:ascii="Times New Roman" w:hAnsi="Times New Roman" w:cs="Times New Roman"/>
          <w:color w:val="000000" w:themeColor="text1"/>
          <w:sz w:val="24"/>
          <w:szCs w:val="24"/>
        </w:rPr>
        <w:t>vinelandii</w:t>
      </w:r>
      <w:proofErr w:type="spellEnd"/>
      <w:r w:rsidRPr="00DC162D">
        <w:rPr>
          <w:rStyle w:val="Strong"/>
          <w:rFonts w:ascii="Times New Roman" w:hAnsi="Times New Roman" w:cs="Times New Roman"/>
          <w:b w:val="0"/>
          <w:bCs w:val="0"/>
          <w:color w:val="000000" w:themeColor="text1"/>
          <w:sz w:val="24"/>
          <w:szCs w:val="24"/>
        </w:rPr>
        <w:t xml:space="preserve"> enhances mineral phosphate solubilization and growth of sorghum seedlings</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Microbial Biotechnology</w:t>
      </w:r>
      <w:r w:rsidRPr="00DC162D">
        <w:rPr>
          <w:rFonts w:ascii="Times New Roman" w:hAnsi="Times New Roman" w:cs="Times New Roman"/>
          <w:color w:val="000000" w:themeColor="text1"/>
          <w:sz w:val="24"/>
          <w:szCs w:val="24"/>
        </w:rPr>
        <w:t>, 2(4), 521–529</w:t>
      </w:r>
      <w:r w:rsidRPr="00CD2637">
        <w:rPr>
          <w:rFonts w:ascii="Times New Roman" w:hAnsi="Times New Roman" w:cs="Times New Roman"/>
          <w:color w:val="000000" w:themeColor="text1"/>
          <w:sz w:val="24"/>
          <w:szCs w:val="24"/>
        </w:rPr>
        <w:t xml:space="preserve">. </w:t>
      </w:r>
      <w:hyperlink r:id="rId11" w:history="1">
        <w:r w:rsidR="00461E69" w:rsidRPr="00CD2637">
          <w:rPr>
            <w:rStyle w:val="Hyperlink"/>
            <w:rFonts w:ascii="Times New Roman" w:hAnsi="Times New Roman" w:cs="Times New Roman"/>
            <w:color w:val="000000" w:themeColor="text1"/>
            <w:sz w:val="24"/>
            <w:szCs w:val="24"/>
            <w:u w:val="none"/>
          </w:rPr>
          <w:t>https://doi.org/10.1111/j.1751-7915.2009.00119.x</w:t>
        </w:r>
      </w:hyperlink>
    </w:p>
    <w:p w14:paraId="0B407A2B" w14:textId="77777777" w:rsidR="00461E69" w:rsidRPr="00DC162D" w:rsidRDefault="00461E69"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proofErr w:type="spellStart"/>
      <w:r w:rsidRPr="00DC162D">
        <w:rPr>
          <w:rFonts w:ascii="Times New Roman" w:hAnsi="Times New Roman" w:cs="Times New Roman"/>
          <w:color w:val="000000" w:themeColor="text1"/>
          <w:sz w:val="24"/>
          <w:szCs w:val="24"/>
        </w:rPr>
        <w:t>Sashidhar</w:t>
      </w:r>
      <w:proofErr w:type="spellEnd"/>
      <w:r w:rsidRPr="00DC162D">
        <w:rPr>
          <w:rFonts w:ascii="Times New Roman" w:hAnsi="Times New Roman" w:cs="Times New Roman"/>
          <w:color w:val="000000" w:themeColor="text1"/>
          <w:sz w:val="24"/>
          <w:szCs w:val="24"/>
        </w:rPr>
        <w:t xml:space="preserve">, B., &amp; </w:t>
      </w:r>
      <w:proofErr w:type="spellStart"/>
      <w:r w:rsidRPr="00DC162D">
        <w:rPr>
          <w:rFonts w:ascii="Times New Roman" w:hAnsi="Times New Roman" w:cs="Times New Roman"/>
          <w:color w:val="000000" w:themeColor="text1"/>
          <w:sz w:val="24"/>
          <w:szCs w:val="24"/>
        </w:rPr>
        <w:t>Podile</w:t>
      </w:r>
      <w:proofErr w:type="spellEnd"/>
      <w:r w:rsidRPr="00DC162D">
        <w:rPr>
          <w:rFonts w:ascii="Times New Roman" w:hAnsi="Times New Roman" w:cs="Times New Roman"/>
          <w:color w:val="000000" w:themeColor="text1"/>
          <w:sz w:val="24"/>
          <w:szCs w:val="24"/>
        </w:rPr>
        <w:t xml:space="preserve">, A. R. (2010). </w:t>
      </w:r>
      <w:r w:rsidRPr="00DC162D">
        <w:rPr>
          <w:rStyle w:val="Strong"/>
          <w:rFonts w:ascii="Times New Roman" w:hAnsi="Times New Roman" w:cs="Times New Roman"/>
          <w:b w:val="0"/>
          <w:bCs w:val="0"/>
          <w:color w:val="000000" w:themeColor="text1"/>
          <w:sz w:val="24"/>
          <w:szCs w:val="24"/>
        </w:rPr>
        <w:t>Mineral phosphate solubilization by rhizosphere bacteria</w:t>
      </w:r>
      <w:r w:rsidRPr="00DC162D">
        <w:rPr>
          <w:rFonts w:ascii="Times New Roman" w:hAnsi="Times New Roman" w:cs="Times New Roman"/>
          <w:color w:val="000000" w:themeColor="text1"/>
          <w:sz w:val="24"/>
          <w:szCs w:val="24"/>
        </w:rPr>
        <w:t xml:space="preserve">. </w:t>
      </w:r>
      <w:r w:rsidRPr="00DC162D">
        <w:rPr>
          <w:rStyle w:val="Emphasis"/>
          <w:rFonts w:ascii="Times New Roman" w:hAnsi="Times New Roman" w:cs="Times New Roman"/>
          <w:color w:val="000000" w:themeColor="text1"/>
          <w:sz w:val="24"/>
          <w:szCs w:val="24"/>
        </w:rPr>
        <w:t>Journal of Applied Microbiology</w:t>
      </w:r>
      <w:r w:rsidRPr="00DC162D">
        <w:rPr>
          <w:rFonts w:ascii="Times New Roman" w:hAnsi="Times New Roman" w:cs="Times New Roman"/>
          <w:color w:val="000000" w:themeColor="text1"/>
          <w:sz w:val="24"/>
          <w:szCs w:val="24"/>
        </w:rPr>
        <w:t>, 109(3), 1–14. https://doi.org/10.1111/j.1365-2672.2009.04654.x</w:t>
      </w:r>
    </w:p>
    <w:p w14:paraId="439B7872" w14:textId="77777777" w:rsidR="00461E69" w:rsidRPr="00DC162D" w:rsidRDefault="00461E69" w:rsidP="00DC162D">
      <w:pPr>
        <w:pStyle w:val="NormalWeb"/>
        <w:numPr>
          <w:ilvl w:val="0"/>
          <w:numId w:val="5"/>
        </w:numPr>
        <w:spacing w:before="0" w:beforeAutospacing="0" w:after="0" w:afterAutospacing="0" w:line="360" w:lineRule="auto"/>
        <w:ind w:left="142"/>
        <w:jc w:val="both"/>
        <w:rPr>
          <w:color w:val="000000" w:themeColor="text1"/>
        </w:rPr>
      </w:pPr>
      <w:r w:rsidRPr="00DC162D">
        <w:rPr>
          <w:color w:val="000000" w:themeColor="text1"/>
        </w:rPr>
        <w:t xml:space="preserve">Sharma, S. B. (2013). </w:t>
      </w:r>
      <w:r w:rsidRPr="00DC162D">
        <w:rPr>
          <w:rStyle w:val="Strong"/>
          <w:b w:val="0"/>
          <w:bCs w:val="0"/>
          <w:color w:val="000000" w:themeColor="text1"/>
        </w:rPr>
        <w:t>Phosphate solubilizing microbes: Sustainable approach for managing phosphorus deficiency in agricultural soils</w:t>
      </w:r>
      <w:r w:rsidRPr="00DC162D">
        <w:rPr>
          <w:color w:val="000000" w:themeColor="text1"/>
        </w:rPr>
        <w:t xml:space="preserve">. </w:t>
      </w:r>
      <w:proofErr w:type="spellStart"/>
      <w:r w:rsidRPr="00DC162D">
        <w:rPr>
          <w:rStyle w:val="Emphasis"/>
          <w:color w:val="000000" w:themeColor="text1"/>
        </w:rPr>
        <w:t>SpringerPlus</w:t>
      </w:r>
      <w:proofErr w:type="spellEnd"/>
      <w:r w:rsidRPr="00DC162D">
        <w:rPr>
          <w:color w:val="000000" w:themeColor="text1"/>
        </w:rPr>
        <w:t xml:space="preserve">, 2, 587. </w:t>
      </w:r>
      <w:hyperlink r:id="rId12" w:history="1">
        <w:r w:rsidR="00D84DFD" w:rsidRPr="00CD2637">
          <w:rPr>
            <w:rStyle w:val="Hyperlink"/>
            <w:color w:val="000000" w:themeColor="text1"/>
            <w:u w:val="none"/>
          </w:rPr>
          <w:t>https://doi.org/10.1186/2193-1801-2-587</w:t>
        </w:r>
      </w:hyperlink>
    </w:p>
    <w:p w14:paraId="3E68896D" w14:textId="77777777" w:rsidR="00D84DFD" w:rsidRPr="00DC162D" w:rsidRDefault="00D84DFD" w:rsidP="00DC162D">
      <w:pPr>
        <w:numPr>
          <w:ilvl w:val="0"/>
          <w:numId w:val="5"/>
        </w:numPr>
        <w:spacing w:after="0" w:line="360" w:lineRule="auto"/>
        <w:ind w:left="142"/>
        <w:jc w:val="both"/>
        <w:rPr>
          <w:rFonts w:ascii="Times New Roman" w:eastAsia="Times New Roman" w:hAnsi="Times New Roman" w:cs="Times New Roman"/>
          <w:color w:val="000000" w:themeColor="text1"/>
          <w:sz w:val="24"/>
          <w:szCs w:val="24"/>
          <w:lang w:eastAsia="en-IN"/>
        </w:rPr>
      </w:pPr>
      <w:r w:rsidRPr="00DC162D">
        <w:rPr>
          <w:rFonts w:ascii="Times New Roman" w:eastAsia="Times New Roman" w:hAnsi="Times New Roman" w:cs="Times New Roman"/>
          <w:color w:val="000000" w:themeColor="text1"/>
          <w:sz w:val="24"/>
          <w:szCs w:val="24"/>
          <w:lang w:eastAsia="en-IN"/>
        </w:rPr>
        <w:t xml:space="preserve">Sharma, S. B., Sayyed, R. Z., Trivedi, M. H., &amp; Gobi, T. A. (2013). Phosphate solubilizing microbes: Sustainable approach for managing phosphorus deficiency in agricultural soils. </w:t>
      </w:r>
      <w:proofErr w:type="spellStart"/>
      <w:r w:rsidRPr="00DC162D">
        <w:rPr>
          <w:rFonts w:ascii="Times New Roman" w:eastAsia="Times New Roman" w:hAnsi="Times New Roman" w:cs="Times New Roman"/>
          <w:i/>
          <w:iCs/>
          <w:color w:val="000000" w:themeColor="text1"/>
          <w:sz w:val="24"/>
          <w:szCs w:val="24"/>
          <w:lang w:eastAsia="en-IN"/>
        </w:rPr>
        <w:t>SpringerPlus</w:t>
      </w:r>
      <w:proofErr w:type="spellEnd"/>
      <w:r w:rsidRPr="00DC162D">
        <w:rPr>
          <w:rFonts w:ascii="Times New Roman" w:eastAsia="Times New Roman" w:hAnsi="Times New Roman" w:cs="Times New Roman"/>
          <w:color w:val="000000" w:themeColor="text1"/>
          <w:sz w:val="24"/>
          <w:szCs w:val="24"/>
          <w:lang w:eastAsia="en-IN"/>
        </w:rPr>
        <w:t>, 2, 587.</w:t>
      </w:r>
      <w:r w:rsidRPr="00CD2637">
        <w:rPr>
          <w:rFonts w:ascii="Times New Roman" w:eastAsia="Times New Roman" w:hAnsi="Times New Roman" w:cs="Times New Roman"/>
          <w:color w:val="000000" w:themeColor="text1"/>
          <w:sz w:val="24"/>
          <w:szCs w:val="24"/>
          <w:lang w:eastAsia="en-IN"/>
        </w:rPr>
        <w:t xml:space="preserve"> </w:t>
      </w:r>
      <w:hyperlink r:id="rId13" w:history="1">
        <w:r w:rsidRPr="00CD2637">
          <w:rPr>
            <w:rStyle w:val="Hyperlink"/>
            <w:rFonts w:ascii="Times New Roman" w:eastAsia="Times New Roman" w:hAnsi="Times New Roman" w:cs="Times New Roman"/>
            <w:color w:val="000000" w:themeColor="text1"/>
            <w:sz w:val="24"/>
            <w:szCs w:val="24"/>
            <w:u w:val="none"/>
            <w:lang w:eastAsia="en-IN"/>
          </w:rPr>
          <w:t>https://doi.org/10.1186/2193-1801-2-587</w:t>
        </w:r>
      </w:hyperlink>
    </w:p>
    <w:p w14:paraId="4B6CF689" w14:textId="77777777" w:rsidR="00DC162D" w:rsidRPr="00DC162D" w:rsidRDefault="00DC162D" w:rsidP="00DC162D">
      <w:pPr>
        <w:pStyle w:val="NormalWeb"/>
        <w:numPr>
          <w:ilvl w:val="0"/>
          <w:numId w:val="5"/>
        </w:numPr>
        <w:spacing w:before="0" w:beforeAutospacing="0" w:after="0" w:afterAutospacing="0" w:line="360" w:lineRule="auto"/>
        <w:ind w:left="142"/>
        <w:jc w:val="both"/>
        <w:rPr>
          <w:color w:val="000000" w:themeColor="text1"/>
        </w:rPr>
      </w:pPr>
      <w:r w:rsidRPr="00DC162D">
        <w:rPr>
          <w:color w:val="000000" w:themeColor="text1"/>
        </w:rPr>
        <w:t>Silva, L. I</w:t>
      </w:r>
      <w:r w:rsidR="000C64D9">
        <w:rPr>
          <w:color w:val="000000" w:themeColor="text1"/>
        </w:rPr>
        <w:t>.</w:t>
      </w:r>
      <w:r w:rsidRPr="00DC162D">
        <w:rPr>
          <w:color w:val="000000" w:themeColor="text1"/>
        </w:rPr>
        <w:t xml:space="preserve"> (2023). </w:t>
      </w:r>
      <w:r w:rsidRPr="00DC162D">
        <w:rPr>
          <w:rStyle w:val="Strong"/>
          <w:b w:val="0"/>
          <w:bCs w:val="0"/>
          <w:color w:val="000000" w:themeColor="text1"/>
        </w:rPr>
        <w:t>Phosphorus-Solubilizing Microorganisms: A Key to Sustainable Agriculture</w:t>
      </w:r>
      <w:r w:rsidRPr="00DC162D">
        <w:rPr>
          <w:color w:val="000000" w:themeColor="text1"/>
        </w:rPr>
        <w:t xml:space="preserve">. </w:t>
      </w:r>
      <w:r w:rsidRPr="00DC162D">
        <w:rPr>
          <w:rStyle w:val="Emphasis"/>
          <w:color w:val="000000" w:themeColor="text1"/>
        </w:rPr>
        <w:t>Agriculture</w:t>
      </w:r>
      <w:r w:rsidRPr="00DC162D">
        <w:rPr>
          <w:color w:val="000000" w:themeColor="text1"/>
        </w:rPr>
        <w:t>, 13(2), 462. https://doi.org/10.3390/agriculture13020462</w:t>
      </w:r>
    </w:p>
    <w:p w14:paraId="2E3ABABD" w14:textId="77777777" w:rsidR="00205473" w:rsidRPr="00DC162D" w:rsidRDefault="00205473" w:rsidP="00DC162D">
      <w:pPr>
        <w:pStyle w:val="NormalWeb"/>
        <w:numPr>
          <w:ilvl w:val="0"/>
          <w:numId w:val="5"/>
        </w:numPr>
        <w:spacing w:before="0" w:beforeAutospacing="0" w:after="0" w:afterAutospacing="0" w:line="360" w:lineRule="auto"/>
        <w:ind w:left="142"/>
        <w:jc w:val="both"/>
        <w:rPr>
          <w:color w:val="000000" w:themeColor="text1"/>
        </w:rPr>
      </w:pPr>
      <w:proofErr w:type="spellStart"/>
      <w:r w:rsidRPr="00DC162D">
        <w:rPr>
          <w:color w:val="000000" w:themeColor="text1"/>
        </w:rPr>
        <w:t>Subba</w:t>
      </w:r>
      <w:proofErr w:type="spellEnd"/>
      <w:r w:rsidRPr="00DC162D">
        <w:rPr>
          <w:color w:val="000000" w:themeColor="text1"/>
        </w:rPr>
        <w:t xml:space="preserve"> Rao, N. S. (1999). </w:t>
      </w:r>
      <w:r w:rsidRPr="00DC162D">
        <w:rPr>
          <w:rStyle w:val="Emphasis"/>
          <w:color w:val="000000" w:themeColor="text1"/>
        </w:rPr>
        <w:t>Soil Microbiology</w:t>
      </w:r>
      <w:r w:rsidRPr="00DC162D">
        <w:rPr>
          <w:color w:val="000000" w:themeColor="text1"/>
        </w:rPr>
        <w:t xml:space="preserve"> (4</w:t>
      </w:r>
      <w:r w:rsidRPr="00FB6A43">
        <w:rPr>
          <w:color w:val="000000" w:themeColor="text1"/>
          <w:vertAlign w:val="superscript"/>
        </w:rPr>
        <w:t>th</w:t>
      </w:r>
      <w:r w:rsidRPr="00DC162D">
        <w:rPr>
          <w:color w:val="000000" w:themeColor="text1"/>
        </w:rPr>
        <w:t xml:space="preserve"> ed.). Oxford &amp; IBH Publishing, New Delhi.</w:t>
      </w:r>
    </w:p>
    <w:p w14:paraId="1E1ABDC1" w14:textId="77777777" w:rsidR="00205473" w:rsidRPr="00DC162D" w:rsidRDefault="00205473" w:rsidP="00DC162D">
      <w:pPr>
        <w:spacing w:after="0" w:line="360" w:lineRule="auto"/>
        <w:ind w:left="142"/>
        <w:jc w:val="both"/>
        <w:rPr>
          <w:rFonts w:ascii="Times New Roman" w:eastAsia="Times New Roman" w:hAnsi="Times New Roman" w:cs="Times New Roman"/>
          <w:color w:val="000000" w:themeColor="text1"/>
          <w:sz w:val="24"/>
          <w:szCs w:val="24"/>
          <w:lang w:eastAsia="en-IN"/>
        </w:rPr>
      </w:pPr>
    </w:p>
    <w:p w14:paraId="02EE4778" w14:textId="77777777" w:rsidR="00EE4642" w:rsidRPr="00DC162D" w:rsidRDefault="00EE4642" w:rsidP="00DC162D">
      <w:pPr>
        <w:spacing w:after="0" w:line="360" w:lineRule="auto"/>
        <w:ind w:left="142"/>
        <w:jc w:val="both"/>
        <w:rPr>
          <w:rFonts w:ascii="Times New Roman" w:hAnsi="Times New Roman" w:cs="Times New Roman"/>
          <w:color w:val="000000" w:themeColor="text1"/>
          <w:sz w:val="24"/>
          <w:szCs w:val="24"/>
        </w:rPr>
      </w:pPr>
    </w:p>
    <w:sectPr w:rsidR="00EE4642" w:rsidRPr="00DC162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63871" w14:textId="77777777" w:rsidR="000363A0" w:rsidRDefault="000363A0" w:rsidP="00F0759F">
      <w:pPr>
        <w:spacing w:after="0" w:line="240" w:lineRule="auto"/>
      </w:pPr>
      <w:r>
        <w:separator/>
      </w:r>
    </w:p>
  </w:endnote>
  <w:endnote w:type="continuationSeparator" w:id="0">
    <w:p w14:paraId="1BE3DFC1" w14:textId="77777777" w:rsidR="000363A0" w:rsidRDefault="000363A0" w:rsidP="00F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F83D" w14:textId="77777777" w:rsidR="001E5584" w:rsidRDefault="001E5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196115"/>
      <w:docPartObj>
        <w:docPartGallery w:val="Page Numbers (Bottom of Page)"/>
        <w:docPartUnique/>
      </w:docPartObj>
    </w:sdtPr>
    <w:sdtEndPr>
      <w:rPr>
        <w:noProof/>
      </w:rPr>
    </w:sdtEndPr>
    <w:sdtContent>
      <w:p w14:paraId="12111CF8" w14:textId="77777777" w:rsidR="00F0759F" w:rsidRDefault="00F0759F">
        <w:pPr>
          <w:pStyle w:val="Footer"/>
          <w:jc w:val="center"/>
        </w:pPr>
        <w:r>
          <w:fldChar w:fldCharType="begin"/>
        </w:r>
        <w:r>
          <w:instrText xml:space="preserve"> PAGE   \* MERGEFORMAT </w:instrText>
        </w:r>
        <w:r>
          <w:fldChar w:fldCharType="separate"/>
        </w:r>
        <w:r w:rsidR="00931CE6">
          <w:rPr>
            <w:noProof/>
          </w:rPr>
          <w:t>12</w:t>
        </w:r>
        <w:r>
          <w:rPr>
            <w:noProof/>
          </w:rPr>
          <w:fldChar w:fldCharType="end"/>
        </w:r>
      </w:p>
    </w:sdtContent>
  </w:sdt>
  <w:p w14:paraId="359107FF" w14:textId="77777777" w:rsidR="00F0759F" w:rsidRDefault="00F07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5059" w14:textId="77777777" w:rsidR="001E5584" w:rsidRDefault="001E5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48D33" w14:textId="77777777" w:rsidR="000363A0" w:rsidRDefault="000363A0" w:rsidP="00F0759F">
      <w:pPr>
        <w:spacing w:after="0" w:line="240" w:lineRule="auto"/>
      </w:pPr>
      <w:r>
        <w:separator/>
      </w:r>
    </w:p>
  </w:footnote>
  <w:footnote w:type="continuationSeparator" w:id="0">
    <w:p w14:paraId="71AF938F" w14:textId="77777777" w:rsidR="000363A0" w:rsidRDefault="000363A0" w:rsidP="00F07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F06C" w14:textId="7B0C6ED5" w:rsidR="001E5584" w:rsidRDefault="000363A0">
    <w:pPr>
      <w:pStyle w:val="Header"/>
    </w:pPr>
    <w:r>
      <w:rPr>
        <w:noProof/>
      </w:rPr>
      <w:pict w14:anchorId="25E27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AF5A" w14:textId="6017FAF9" w:rsidR="001E5584" w:rsidRDefault="000363A0">
    <w:pPr>
      <w:pStyle w:val="Header"/>
    </w:pPr>
    <w:r>
      <w:rPr>
        <w:noProof/>
      </w:rPr>
      <w:pict w14:anchorId="4C89D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DD02" w14:textId="5F2C9920" w:rsidR="001E5584" w:rsidRDefault="000363A0">
    <w:pPr>
      <w:pStyle w:val="Header"/>
    </w:pPr>
    <w:r>
      <w:rPr>
        <w:noProof/>
      </w:rPr>
      <w:pict w14:anchorId="28B26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C6AE6"/>
    <w:multiLevelType w:val="multilevel"/>
    <w:tmpl w:val="C2A85FFE"/>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6EA2579"/>
    <w:multiLevelType w:val="multilevel"/>
    <w:tmpl w:val="82D2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E5C3C"/>
    <w:multiLevelType w:val="multilevel"/>
    <w:tmpl w:val="4AC0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965F5"/>
    <w:multiLevelType w:val="multilevel"/>
    <w:tmpl w:val="6D84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87CB7"/>
    <w:multiLevelType w:val="multilevel"/>
    <w:tmpl w:val="7A7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4B"/>
    <w:rsid w:val="00013C17"/>
    <w:rsid w:val="00015F63"/>
    <w:rsid w:val="0001774B"/>
    <w:rsid w:val="00035C7E"/>
    <w:rsid w:val="000363A0"/>
    <w:rsid w:val="00091FA9"/>
    <w:rsid w:val="000C5EF1"/>
    <w:rsid w:val="000C64D9"/>
    <w:rsid w:val="0011689E"/>
    <w:rsid w:val="001637F5"/>
    <w:rsid w:val="001641D1"/>
    <w:rsid w:val="001D05DA"/>
    <w:rsid w:val="001E5584"/>
    <w:rsid w:val="00205473"/>
    <w:rsid w:val="002566C0"/>
    <w:rsid w:val="002603CD"/>
    <w:rsid w:val="002733FE"/>
    <w:rsid w:val="0028221C"/>
    <w:rsid w:val="002B4A5A"/>
    <w:rsid w:val="00311C6F"/>
    <w:rsid w:val="00332B8F"/>
    <w:rsid w:val="00335628"/>
    <w:rsid w:val="003650BD"/>
    <w:rsid w:val="0037006E"/>
    <w:rsid w:val="00384B1B"/>
    <w:rsid w:val="00461E69"/>
    <w:rsid w:val="004A7E46"/>
    <w:rsid w:val="004D65CC"/>
    <w:rsid w:val="005265EE"/>
    <w:rsid w:val="005873E0"/>
    <w:rsid w:val="005B7A05"/>
    <w:rsid w:val="005D5870"/>
    <w:rsid w:val="006403AC"/>
    <w:rsid w:val="00682839"/>
    <w:rsid w:val="00755ABF"/>
    <w:rsid w:val="00756EE1"/>
    <w:rsid w:val="007A27A8"/>
    <w:rsid w:val="007A7153"/>
    <w:rsid w:val="007B0FD9"/>
    <w:rsid w:val="007B67C5"/>
    <w:rsid w:val="007D2E08"/>
    <w:rsid w:val="007F725C"/>
    <w:rsid w:val="008034F5"/>
    <w:rsid w:val="008063CD"/>
    <w:rsid w:val="00814C26"/>
    <w:rsid w:val="0085083C"/>
    <w:rsid w:val="008C6B69"/>
    <w:rsid w:val="009265A3"/>
    <w:rsid w:val="00931CE6"/>
    <w:rsid w:val="00954374"/>
    <w:rsid w:val="00961DF2"/>
    <w:rsid w:val="00977E2C"/>
    <w:rsid w:val="009A1F29"/>
    <w:rsid w:val="009E2A87"/>
    <w:rsid w:val="009F2C40"/>
    <w:rsid w:val="00A00E18"/>
    <w:rsid w:val="00A43529"/>
    <w:rsid w:val="00A51705"/>
    <w:rsid w:val="00AC4CB8"/>
    <w:rsid w:val="00B24270"/>
    <w:rsid w:val="00BC75AA"/>
    <w:rsid w:val="00C25138"/>
    <w:rsid w:val="00C66D2C"/>
    <w:rsid w:val="00CB1480"/>
    <w:rsid w:val="00CC156F"/>
    <w:rsid w:val="00CD2637"/>
    <w:rsid w:val="00CF7C71"/>
    <w:rsid w:val="00D84DFD"/>
    <w:rsid w:val="00D9000D"/>
    <w:rsid w:val="00DA7C1F"/>
    <w:rsid w:val="00DC162D"/>
    <w:rsid w:val="00E858A6"/>
    <w:rsid w:val="00EA4FF7"/>
    <w:rsid w:val="00EB293E"/>
    <w:rsid w:val="00EE4642"/>
    <w:rsid w:val="00EE466E"/>
    <w:rsid w:val="00EE6D01"/>
    <w:rsid w:val="00F0759F"/>
    <w:rsid w:val="00F325BB"/>
    <w:rsid w:val="00F45F85"/>
    <w:rsid w:val="00F5437B"/>
    <w:rsid w:val="00F725EF"/>
    <w:rsid w:val="00F82766"/>
    <w:rsid w:val="00FA710E"/>
    <w:rsid w:val="00FB6A43"/>
    <w:rsid w:val="00FC49CF"/>
    <w:rsid w:val="00FD5ED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D2534"/>
  <w15:docId w15:val="{01FE20A3-33AD-489F-902E-89381DE7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D01"/>
    <w:rPr>
      <w:rFonts w:cs="Mangal"/>
    </w:rPr>
  </w:style>
  <w:style w:type="paragraph" w:styleId="Heading3">
    <w:name w:val="heading 3"/>
    <w:basedOn w:val="Normal"/>
    <w:link w:val="Heading3Char"/>
    <w:uiPriority w:val="9"/>
    <w:qFormat/>
    <w:rsid w:val="006828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F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B0FD9"/>
    <w:rPr>
      <w:i/>
      <w:iCs/>
    </w:rPr>
  </w:style>
  <w:style w:type="character" w:customStyle="1" w:styleId="Heading3Char">
    <w:name w:val="Heading 3 Char"/>
    <w:basedOn w:val="DefaultParagraphFont"/>
    <w:link w:val="Heading3"/>
    <w:uiPriority w:val="9"/>
    <w:rsid w:val="00682839"/>
    <w:rPr>
      <w:rFonts w:ascii="Times New Roman" w:eastAsia="Times New Roman" w:hAnsi="Times New Roman" w:cs="Times New Roman"/>
      <w:b/>
      <w:bCs/>
      <w:sz w:val="27"/>
      <w:szCs w:val="27"/>
      <w:lang w:eastAsia="en-IN"/>
    </w:rPr>
  </w:style>
  <w:style w:type="table" w:styleId="TableGrid">
    <w:name w:val="Table Grid"/>
    <w:basedOn w:val="TableNormal"/>
    <w:uiPriority w:val="59"/>
    <w:rsid w:val="0031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C2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14C26"/>
    <w:rPr>
      <w:rFonts w:ascii="Tahoma" w:hAnsi="Tahoma" w:cs="Tahoma"/>
      <w:sz w:val="16"/>
      <w:szCs w:val="14"/>
    </w:rPr>
  </w:style>
  <w:style w:type="character" w:styleId="Strong">
    <w:name w:val="Strong"/>
    <w:basedOn w:val="DefaultParagraphFont"/>
    <w:uiPriority w:val="22"/>
    <w:qFormat/>
    <w:rsid w:val="002566C0"/>
    <w:rPr>
      <w:b/>
      <w:bCs/>
    </w:rPr>
  </w:style>
  <w:style w:type="paragraph" w:styleId="Header">
    <w:name w:val="header"/>
    <w:basedOn w:val="Normal"/>
    <w:link w:val="HeaderChar"/>
    <w:uiPriority w:val="99"/>
    <w:unhideWhenUsed/>
    <w:rsid w:val="00F07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59F"/>
    <w:rPr>
      <w:rFonts w:cs="Mangal"/>
    </w:rPr>
  </w:style>
  <w:style w:type="paragraph" w:styleId="Footer">
    <w:name w:val="footer"/>
    <w:basedOn w:val="Normal"/>
    <w:link w:val="FooterChar"/>
    <w:uiPriority w:val="99"/>
    <w:unhideWhenUsed/>
    <w:rsid w:val="00F07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59F"/>
    <w:rPr>
      <w:rFonts w:cs="Mangal"/>
    </w:rPr>
  </w:style>
  <w:style w:type="character" w:customStyle="1" w:styleId="ms-1">
    <w:name w:val="ms-1"/>
    <w:basedOn w:val="DefaultParagraphFont"/>
    <w:rsid w:val="009E2A87"/>
  </w:style>
  <w:style w:type="character" w:customStyle="1" w:styleId="max-w-full">
    <w:name w:val="max-w-full"/>
    <w:basedOn w:val="DefaultParagraphFont"/>
    <w:rsid w:val="009E2A87"/>
  </w:style>
  <w:style w:type="character" w:customStyle="1" w:styleId="-me-1">
    <w:name w:val="-me-1"/>
    <w:basedOn w:val="DefaultParagraphFont"/>
    <w:rsid w:val="009E2A87"/>
  </w:style>
  <w:style w:type="character" w:styleId="Hyperlink">
    <w:name w:val="Hyperlink"/>
    <w:basedOn w:val="DefaultParagraphFont"/>
    <w:uiPriority w:val="99"/>
    <w:unhideWhenUsed/>
    <w:rsid w:val="00205473"/>
    <w:rPr>
      <w:color w:val="0000FF" w:themeColor="hyperlink"/>
      <w:u w:val="single"/>
    </w:rPr>
  </w:style>
  <w:style w:type="character" w:styleId="UnresolvedMention">
    <w:name w:val="Unresolved Mention"/>
    <w:basedOn w:val="DefaultParagraphFont"/>
    <w:uiPriority w:val="99"/>
    <w:semiHidden/>
    <w:unhideWhenUsed/>
    <w:rsid w:val="007B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7619">
      <w:bodyDiv w:val="1"/>
      <w:marLeft w:val="0"/>
      <w:marRight w:val="0"/>
      <w:marTop w:val="0"/>
      <w:marBottom w:val="0"/>
      <w:divBdr>
        <w:top w:val="none" w:sz="0" w:space="0" w:color="auto"/>
        <w:left w:val="none" w:sz="0" w:space="0" w:color="auto"/>
        <w:bottom w:val="none" w:sz="0" w:space="0" w:color="auto"/>
        <w:right w:val="none" w:sz="0" w:space="0" w:color="auto"/>
      </w:divBdr>
    </w:div>
    <w:div w:id="119810357">
      <w:bodyDiv w:val="1"/>
      <w:marLeft w:val="0"/>
      <w:marRight w:val="0"/>
      <w:marTop w:val="0"/>
      <w:marBottom w:val="0"/>
      <w:divBdr>
        <w:top w:val="none" w:sz="0" w:space="0" w:color="auto"/>
        <w:left w:val="none" w:sz="0" w:space="0" w:color="auto"/>
        <w:bottom w:val="none" w:sz="0" w:space="0" w:color="auto"/>
        <w:right w:val="none" w:sz="0" w:space="0" w:color="auto"/>
      </w:divBdr>
    </w:div>
    <w:div w:id="604071095">
      <w:bodyDiv w:val="1"/>
      <w:marLeft w:val="0"/>
      <w:marRight w:val="0"/>
      <w:marTop w:val="0"/>
      <w:marBottom w:val="0"/>
      <w:divBdr>
        <w:top w:val="none" w:sz="0" w:space="0" w:color="auto"/>
        <w:left w:val="none" w:sz="0" w:space="0" w:color="auto"/>
        <w:bottom w:val="none" w:sz="0" w:space="0" w:color="auto"/>
        <w:right w:val="none" w:sz="0" w:space="0" w:color="auto"/>
      </w:divBdr>
    </w:div>
    <w:div w:id="1173835951">
      <w:bodyDiv w:val="1"/>
      <w:marLeft w:val="0"/>
      <w:marRight w:val="0"/>
      <w:marTop w:val="0"/>
      <w:marBottom w:val="0"/>
      <w:divBdr>
        <w:top w:val="none" w:sz="0" w:space="0" w:color="auto"/>
        <w:left w:val="none" w:sz="0" w:space="0" w:color="auto"/>
        <w:bottom w:val="none" w:sz="0" w:space="0" w:color="auto"/>
        <w:right w:val="none" w:sz="0" w:space="0" w:color="auto"/>
      </w:divBdr>
    </w:div>
    <w:div w:id="1227647838">
      <w:bodyDiv w:val="1"/>
      <w:marLeft w:val="0"/>
      <w:marRight w:val="0"/>
      <w:marTop w:val="0"/>
      <w:marBottom w:val="0"/>
      <w:divBdr>
        <w:top w:val="none" w:sz="0" w:space="0" w:color="auto"/>
        <w:left w:val="none" w:sz="0" w:space="0" w:color="auto"/>
        <w:bottom w:val="none" w:sz="0" w:space="0" w:color="auto"/>
        <w:right w:val="none" w:sz="0" w:space="0" w:color="auto"/>
      </w:divBdr>
    </w:div>
    <w:div w:id="1273244942">
      <w:bodyDiv w:val="1"/>
      <w:marLeft w:val="0"/>
      <w:marRight w:val="0"/>
      <w:marTop w:val="0"/>
      <w:marBottom w:val="0"/>
      <w:divBdr>
        <w:top w:val="none" w:sz="0" w:space="0" w:color="auto"/>
        <w:left w:val="none" w:sz="0" w:space="0" w:color="auto"/>
        <w:bottom w:val="none" w:sz="0" w:space="0" w:color="auto"/>
        <w:right w:val="none" w:sz="0" w:space="0" w:color="auto"/>
      </w:divBdr>
    </w:div>
    <w:div w:id="1362366791">
      <w:bodyDiv w:val="1"/>
      <w:marLeft w:val="0"/>
      <w:marRight w:val="0"/>
      <w:marTop w:val="0"/>
      <w:marBottom w:val="0"/>
      <w:divBdr>
        <w:top w:val="none" w:sz="0" w:space="0" w:color="auto"/>
        <w:left w:val="none" w:sz="0" w:space="0" w:color="auto"/>
        <w:bottom w:val="none" w:sz="0" w:space="0" w:color="auto"/>
        <w:right w:val="none" w:sz="0" w:space="0" w:color="auto"/>
      </w:divBdr>
    </w:div>
    <w:div w:id="210036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2193-1801-2-58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86/2193-1801-2-58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51-7915.2009.00119.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1167</cp:lastModifiedBy>
  <cp:revision>9</cp:revision>
  <dcterms:created xsi:type="dcterms:W3CDTF">2025-11-04T09:45:00Z</dcterms:created>
  <dcterms:modified xsi:type="dcterms:W3CDTF">2025-11-07T08:13:00Z</dcterms:modified>
</cp:coreProperties>
</file>