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27CA1" w14:textId="77777777" w:rsidR="00DB0202" w:rsidRPr="00DB0202" w:rsidRDefault="00DB0202" w:rsidP="00DB0202">
      <w:pPr>
        <w:pStyle w:val="Author"/>
        <w:rPr>
          <w:rFonts w:ascii="Arial" w:hAnsi="Arial" w:cs="Arial"/>
          <w:bCs/>
          <w:i/>
          <w:iCs/>
          <w:kern w:val="28"/>
          <w:sz w:val="18"/>
          <w:szCs w:val="18"/>
          <w:u w:val="single"/>
        </w:rPr>
      </w:pPr>
      <w:r w:rsidRPr="00DB0202">
        <w:rPr>
          <w:rFonts w:ascii="Arial" w:hAnsi="Arial" w:cs="Arial"/>
          <w:bCs/>
          <w:i/>
          <w:iCs/>
          <w:kern w:val="28"/>
          <w:sz w:val="18"/>
          <w:szCs w:val="18"/>
          <w:u w:val="single"/>
        </w:rPr>
        <w:t>Original Research Article</w:t>
      </w:r>
    </w:p>
    <w:p w14:paraId="3982B960" w14:textId="77777777" w:rsidR="00DB0202" w:rsidRPr="00DB0202" w:rsidRDefault="00DB0202" w:rsidP="00DB0202">
      <w:pPr>
        <w:pStyle w:val="Author"/>
        <w:rPr>
          <w:rFonts w:ascii="Arial" w:hAnsi="Arial" w:cs="Arial"/>
          <w:bCs/>
          <w:i/>
          <w:iCs/>
          <w:kern w:val="28"/>
          <w:sz w:val="36"/>
          <w:u w:val="single"/>
        </w:rPr>
      </w:pPr>
    </w:p>
    <w:p w14:paraId="4B078831" w14:textId="77777777" w:rsidR="006D32CB" w:rsidRDefault="00646E4D">
      <w:pPr>
        <w:pStyle w:val="Author"/>
        <w:spacing w:line="240" w:lineRule="auto"/>
        <w:rPr>
          <w:rFonts w:ascii="Arial" w:hAnsi="Arial" w:cs="Arial"/>
          <w:bCs/>
          <w:iCs/>
          <w:kern w:val="28"/>
          <w:sz w:val="36"/>
        </w:rPr>
      </w:pPr>
      <w:r>
        <w:rPr>
          <w:rFonts w:ascii="Arial" w:hAnsi="Arial" w:cs="Arial"/>
          <w:bCs/>
          <w:iCs/>
          <w:kern w:val="28"/>
          <w:sz w:val="36"/>
        </w:rPr>
        <w:t xml:space="preserve">Evaluation of </w:t>
      </w:r>
      <w:proofErr w:type="spellStart"/>
      <w:r>
        <w:rPr>
          <w:rFonts w:ascii="Arial" w:hAnsi="Arial" w:cs="Arial"/>
          <w:bCs/>
          <w:iCs/>
          <w:kern w:val="28"/>
          <w:sz w:val="36"/>
        </w:rPr>
        <w:t>Parijoto</w:t>
      </w:r>
      <w:proofErr w:type="spellEnd"/>
      <w:r>
        <w:rPr>
          <w:rFonts w:ascii="Arial" w:hAnsi="Arial" w:cs="Arial"/>
          <w:bCs/>
          <w:iCs/>
          <w:kern w:val="28"/>
          <w:sz w:val="36"/>
        </w:rPr>
        <w:t xml:space="preserve"> Fruit Extract Encapsulated on Liver Function and Final Weight of High-Density Broiler Chickens</w:t>
      </w:r>
    </w:p>
    <w:p w14:paraId="7B0091B2" w14:textId="77777777" w:rsidR="006D32CB" w:rsidRDefault="006D32CB">
      <w:pPr>
        <w:pStyle w:val="Author"/>
        <w:spacing w:line="240" w:lineRule="auto"/>
        <w:jc w:val="both"/>
        <w:rPr>
          <w:rFonts w:ascii="Arial" w:hAnsi="Arial" w:cs="Arial"/>
          <w:sz w:val="36"/>
        </w:rPr>
      </w:pPr>
    </w:p>
    <w:p w14:paraId="6A0EA910" w14:textId="77777777" w:rsidR="00B0508F" w:rsidRDefault="00B0508F">
      <w:pPr>
        <w:pStyle w:val="Copyright"/>
        <w:spacing w:after="0" w:line="240" w:lineRule="auto"/>
        <w:jc w:val="both"/>
        <w:rPr>
          <w:rFonts w:ascii="Arial" w:hAnsi="Arial" w:cs="Arial"/>
        </w:rPr>
      </w:pPr>
    </w:p>
    <w:p w14:paraId="67817097" w14:textId="77777777" w:rsidR="00B0508F" w:rsidRDefault="00B0508F">
      <w:pPr>
        <w:pStyle w:val="Copyright"/>
        <w:spacing w:after="0" w:line="240" w:lineRule="auto"/>
        <w:jc w:val="both"/>
        <w:rPr>
          <w:rFonts w:ascii="Arial" w:hAnsi="Arial" w:cs="Arial"/>
        </w:rPr>
      </w:pPr>
    </w:p>
    <w:p w14:paraId="18AC0F5D" w14:textId="4F78C745" w:rsidR="006D32CB" w:rsidRDefault="00646E4D">
      <w:pPr>
        <w:pStyle w:val="Copyright"/>
        <w:spacing w:after="0" w:line="240" w:lineRule="auto"/>
        <w:jc w:val="both"/>
        <w:rPr>
          <w:rFonts w:ascii="Arial" w:hAnsi="Arial" w:cs="Arial"/>
        </w:rPr>
        <w:sectPr w:rsidR="006D32CB" w:rsidSect="00B0508F">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6DD5EA6" wp14:editId="3584D954">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type w14:anchorId="71D9F71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" strokeweight="1.5pt">
                <w10:anchorlock/>
              </v:shape>
            </w:pict>
          </mc:Fallback>
        </mc:AlternateContent>
      </w:r>
      <w:r>
        <w:rPr>
          <w:rFonts w:ascii="Arial" w:hAnsi="Arial" w:cs="Arial"/>
        </w:rPr>
        <w:t>.</w:t>
      </w:r>
    </w:p>
    <w:p w14:paraId="1BD62074" w14:textId="77777777" w:rsidR="006D32CB" w:rsidRDefault="00646E4D">
      <w:pPr>
        <w:pStyle w:val="AbstHead"/>
        <w:spacing w:after="0"/>
        <w:jc w:val="both"/>
        <w:rPr>
          <w:rFonts w:ascii="Arial" w:hAnsi="Arial" w:cs="Arial"/>
        </w:rPr>
      </w:pPr>
      <w:r>
        <w:rPr>
          <w:rFonts w:ascii="Arial" w:hAnsi="Arial" w:cs="Arial"/>
        </w:rPr>
        <w:t xml:space="preserve">ABSTRACT </w:t>
      </w:r>
    </w:p>
    <w:p w14:paraId="00A7C86D" w14:textId="77777777" w:rsidR="006D32CB" w:rsidRDefault="006D32C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D32CB" w14:paraId="5442D843" w14:textId="77777777">
        <w:tc>
          <w:tcPr>
            <w:tcW w:w="9576" w:type="dxa"/>
            <w:shd w:val="clear" w:color="auto" w:fill="F2F2F2"/>
          </w:tcPr>
          <w:p w14:paraId="3FC0BF9C" w14:textId="77777777" w:rsidR="006D32CB" w:rsidRDefault="00646E4D">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 xml:space="preserve">to examine the addition of </w:t>
            </w:r>
            <w:proofErr w:type="spellStart"/>
            <w:r>
              <w:rPr>
                <w:rFonts w:ascii="Arial" w:eastAsia="Calibri" w:hAnsi="Arial" w:cs="Arial"/>
                <w:szCs w:val="22"/>
              </w:rPr>
              <w:t>parijoto</w:t>
            </w:r>
            <w:proofErr w:type="spellEnd"/>
            <w:r>
              <w:rPr>
                <w:rFonts w:ascii="Arial" w:eastAsia="Calibri" w:hAnsi="Arial" w:cs="Arial"/>
                <w:szCs w:val="22"/>
              </w:rPr>
              <w:t xml:space="preserve"> fruit extract encaps</w:t>
            </w:r>
            <w:r>
              <w:rPr>
                <w:rFonts w:ascii="Arial" w:eastAsia="Calibri" w:hAnsi="Arial" w:cs="Arial"/>
                <w:szCs w:val="22"/>
              </w:rPr>
              <w:t>ulated in feed on liver indicators and final body weight of broiler chickens raised at high density.</w:t>
            </w:r>
          </w:p>
          <w:p w14:paraId="60839E7C" w14:textId="77777777" w:rsidR="006D32CB" w:rsidRDefault="00646E4D">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A completely randomized design with 4 treatments and 5 replicates, resulting in 20 experimental units. The treatment applied includes T0=Chi</w:t>
            </w:r>
            <w:r>
              <w:rPr>
                <w:rFonts w:ascii="Arial" w:eastAsia="Calibri" w:hAnsi="Arial" w:cs="Arial"/>
                <w:szCs w:val="22"/>
              </w:rPr>
              <w:t>ckens were raised at normal density (10 birds/m</w:t>
            </w:r>
            <w:r>
              <w:rPr>
                <w:rFonts w:ascii="Arial" w:eastAsia="Calibri" w:hAnsi="Arial" w:cs="Arial"/>
                <w:szCs w:val="22"/>
                <w:vertAlign w:val="superscript"/>
              </w:rPr>
              <w:t>2</w:t>
            </w:r>
            <w:r>
              <w:rPr>
                <w:rFonts w:ascii="Arial" w:eastAsia="Calibri" w:hAnsi="Arial" w:cs="Arial"/>
                <w:szCs w:val="22"/>
              </w:rPr>
              <w:t xml:space="preserve">) without </w:t>
            </w:r>
            <w:proofErr w:type="spellStart"/>
            <w:r>
              <w:rPr>
                <w:rFonts w:ascii="Arial" w:eastAsia="Calibri" w:hAnsi="Arial" w:cs="Arial"/>
                <w:szCs w:val="22"/>
              </w:rPr>
              <w:t>parijoto</w:t>
            </w:r>
            <w:proofErr w:type="spellEnd"/>
            <w:r>
              <w:rPr>
                <w:rFonts w:ascii="Arial" w:eastAsia="Calibri" w:hAnsi="Arial" w:cs="Arial"/>
                <w:szCs w:val="22"/>
              </w:rPr>
              <w:t xml:space="preserve"> fruit extract or extract encapsulated, T1= Chickens were raised at high density (16 birds/m</w:t>
            </w:r>
            <w:r>
              <w:rPr>
                <w:rFonts w:ascii="Arial" w:eastAsia="Calibri" w:hAnsi="Arial" w:cs="Arial"/>
                <w:szCs w:val="22"/>
                <w:vertAlign w:val="superscript"/>
              </w:rPr>
              <w:t>2</w:t>
            </w:r>
            <w:r>
              <w:rPr>
                <w:rFonts w:ascii="Arial" w:eastAsia="Calibri" w:hAnsi="Arial" w:cs="Arial"/>
                <w:szCs w:val="22"/>
              </w:rPr>
              <w:t xml:space="preserve">) without </w:t>
            </w:r>
            <w:proofErr w:type="spellStart"/>
            <w:r>
              <w:rPr>
                <w:rFonts w:ascii="Arial" w:eastAsia="Calibri" w:hAnsi="Arial" w:cs="Arial"/>
                <w:szCs w:val="22"/>
              </w:rPr>
              <w:t>parijoto</w:t>
            </w:r>
            <w:proofErr w:type="spellEnd"/>
            <w:r>
              <w:rPr>
                <w:rFonts w:ascii="Arial" w:eastAsia="Calibri" w:hAnsi="Arial" w:cs="Arial"/>
                <w:szCs w:val="22"/>
              </w:rPr>
              <w:t xml:space="preserve"> fruit extract or extract encapsulated, T2= Chickens were raised at high density (16 birds/m</w:t>
            </w:r>
            <w:r>
              <w:rPr>
                <w:rFonts w:ascii="Arial" w:eastAsia="Calibri" w:hAnsi="Arial" w:cs="Arial"/>
                <w:szCs w:val="22"/>
                <w:vertAlign w:val="superscript"/>
              </w:rPr>
              <w:t>2</w:t>
            </w:r>
            <w:r>
              <w:rPr>
                <w:rFonts w:ascii="Arial" w:eastAsia="Calibri" w:hAnsi="Arial" w:cs="Arial"/>
                <w:szCs w:val="22"/>
              </w:rPr>
              <w:t xml:space="preserve">) + 0.08% </w:t>
            </w:r>
            <w:proofErr w:type="spellStart"/>
            <w:r>
              <w:rPr>
                <w:rFonts w:ascii="Arial" w:eastAsia="Calibri" w:hAnsi="Arial" w:cs="Arial"/>
                <w:szCs w:val="22"/>
              </w:rPr>
              <w:t>parijoto</w:t>
            </w:r>
            <w:proofErr w:type="spellEnd"/>
            <w:r>
              <w:rPr>
                <w:rFonts w:ascii="Arial" w:eastAsia="Calibri" w:hAnsi="Arial" w:cs="Arial"/>
                <w:szCs w:val="22"/>
              </w:rPr>
              <w:t xml:space="preserve"> fruit extract, dan T3=</w:t>
            </w:r>
            <w:r>
              <w:t xml:space="preserve"> </w:t>
            </w:r>
            <w:r>
              <w:rPr>
                <w:rFonts w:ascii="Arial" w:eastAsia="Calibri" w:hAnsi="Arial" w:cs="Arial"/>
                <w:szCs w:val="22"/>
              </w:rPr>
              <w:t>chickens raised at high density (16 birds/m</w:t>
            </w:r>
            <w:r>
              <w:rPr>
                <w:rFonts w:ascii="Arial" w:eastAsia="Calibri" w:hAnsi="Arial" w:cs="Arial"/>
                <w:szCs w:val="22"/>
                <w:vertAlign w:val="superscript"/>
              </w:rPr>
              <w:t>2</w:t>
            </w:r>
            <w:r>
              <w:rPr>
                <w:rFonts w:ascii="Arial" w:eastAsia="Calibri" w:hAnsi="Arial" w:cs="Arial"/>
                <w:szCs w:val="22"/>
              </w:rPr>
              <w:t xml:space="preserve">) + 0.08% </w:t>
            </w:r>
            <w:proofErr w:type="spellStart"/>
            <w:r>
              <w:rPr>
                <w:rFonts w:ascii="Arial" w:eastAsia="Calibri" w:hAnsi="Arial" w:cs="Arial"/>
                <w:szCs w:val="22"/>
              </w:rPr>
              <w:t>parijoto</w:t>
            </w:r>
            <w:proofErr w:type="spellEnd"/>
            <w:r>
              <w:rPr>
                <w:rFonts w:ascii="Arial" w:eastAsia="Calibri" w:hAnsi="Arial" w:cs="Arial"/>
                <w:szCs w:val="22"/>
              </w:rPr>
              <w:t xml:space="preserve"> fruit extract encapsulated.</w:t>
            </w:r>
          </w:p>
          <w:p w14:paraId="3463E60C" w14:textId="77777777" w:rsidR="006D32CB" w:rsidRDefault="00646E4D">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T</w:t>
            </w:r>
            <w:r>
              <w:rPr>
                <w:rFonts w:ascii="Arial" w:eastAsia="Calibri" w:hAnsi="Arial" w:cs="Arial"/>
                <w:szCs w:val="22"/>
              </w:rPr>
              <w:t xml:space="preserve">he research was conducted for 35 days in November-December 2024 at the teaching farm of the Faculty of Animal and Agricultural Sciences, </w:t>
            </w:r>
            <w:proofErr w:type="spellStart"/>
            <w:r>
              <w:rPr>
                <w:rFonts w:ascii="Arial" w:eastAsia="Calibri" w:hAnsi="Arial" w:cs="Arial"/>
                <w:szCs w:val="22"/>
              </w:rPr>
              <w:t>Universitas</w:t>
            </w:r>
            <w:proofErr w:type="spellEnd"/>
            <w:r>
              <w:rPr>
                <w:rFonts w:ascii="Arial" w:eastAsia="Calibri" w:hAnsi="Arial" w:cs="Arial"/>
                <w:szCs w:val="22"/>
              </w:rPr>
              <w:t xml:space="preserve"> </w:t>
            </w:r>
            <w:proofErr w:type="spellStart"/>
            <w:r>
              <w:rPr>
                <w:rFonts w:ascii="Arial" w:eastAsia="Calibri" w:hAnsi="Arial" w:cs="Arial"/>
                <w:szCs w:val="22"/>
              </w:rPr>
              <w:t>Diponegoro</w:t>
            </w:r>
            <w:proofErr w:type="spellEnd"/>
            <w:r>
              <w:rPr>
                <w:rFonts w:ascii="Arial" w:eastAsia="Calibri" w:hAnsi="Arial" w:cs="Arial"/>
                <w:szCs w:val="22"/>
              </w:rPr>
              <w:t xml:space="preserve"> Semarang.</w:t>
            </w:r>
          </w:p>
          <w:p w14:paraId="777D1C85" w14:textId="77777777" w:rsidR="006D32CB" w:rsidRDefault="00646E4D">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Extraction was performed using sonication and maceration methods, and enc</w:t>
            </w:r>
            <w:r>
              <w:rPr>
                <w:rFonts w:ascii="Arial" w:eastAsia="Calibri" w:hAnsi="Arial" w:cs="Arial"/>
                <w:szCs w:val="22"/>
              </w:rPr>
              <w:t>apsulation using freeze dryer drying techniques. Treatment was administered from 8 to 35 days of age. Data collection was performed at 35 days of age, including relative daily weight, serum glutamic oxaloacetic transaminase (SGOT) and serum glutamic pyruvi</w:t>
            </w:r>
            <w:r>
              <w:rPr>
                <w:rFonts w:ascii="Arial" w:eastAsia="Calibri" w:hAnsi="Arial" w:cs="Arial"/>
                <w:szCs w:val="22"/>
              </w:rPr>
              <w:t>c transaminase (SGPT) levels, and final weight. The data were analyzed using analysis of variance at a significance level of 5%. If significant, Duncan's test was performed at a significance level of 5%.</w:t>
            </w:r>
          </w:p>
          <w:p w14:paraId="15BC0312" w14:textId="77777777" w:rsidR="006D32CB" w:rsidRDefault="00646E4D">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The addition of </w:t>
            </w:r>
            <w:proofErr w:type="spellStart"/>
            <w:r>
              <w:rPr>
                <w:rFonts w:ascii="Arial" w:eastAsia="Calibri" w:hAnsi="Arial" w:cs="Arial"/>
                <w:szCs w:val="22"/>
              </w:rPr>
              <w:t>parijoto</w:t>
            </w:r>
            <w:proofErr w:type="spellEnd"/>
            <w:r>
              <w:rPr>
                <w:rFonts w:ascii="Arial" w:eastAsia="Calibri" w:hAnsi="Arial" w:cs="Arial"/>
                <w:szCs w:val="22"/>
              </w:rPr>
              <w:t xml:space="preserve"> fruit extract or e</w:t>
            </w:r>
            <w:r>
              <w:rPr>
                <w:rFonts w:ascii="Arial" w:eastAsia="Calibri" w:hAnsi="Arial" w:cs="Arial"/>
                <w:szCs w:val="22"/>
              </w:rPr>
              <w:t xml:space="preserve">ncapsulated extract to the feed had a significant effect (P&lt;0.05) on the final weight of broiler chickens raised at high density, but had no significant effect (P&gt;0.05) on the relative weight of the liver, serum SGOT and SGPT levels in chickens. The color </w:t>
            </w:r>
            <w:r>
              <w:rPr>
                <w:rFonts w:ascii="Arial" w:eastAsia="Calibri" w:hAnsi="Arial" w:cs="Arial"/>
                <w:szCs w:val="22"/>
              </w:rPr>
              <w:t xml:space="preserve">of the liver showed that all treatments were brownish </w:t>
            </w:r>
            <w:proofErr w:type="gramStart"/>
            <w:r>
              <w:rPr>
                <w:rFonts w:ascii="Arial" w:eastAsia="Calibri" w:hAnsi="Arial" w:cs="Arial"/>
                <w:szCs w:val="22"/>
              </w:rPr>
              <w:t>red..</w:t>
            </w:r>
            <w:proofErr w:type="gramEnd"/>
          </w:p>
          <w:p w14:paraId="68CE7A9D" w14:textId="77777777" w:rsidR="006D32CB" w:rsidRDefault="00646E4D">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The addition of </w:t>
            </w:r>
            <w:proofErr w:type="spellStart"/>
            <w:r>
              <w:rPr>
                <w:rFonts w:ascii="Arial" w:eastAsia="Calibri" w:hAnsi="Arial" w:cs="Arial"/>
                <w:szCs w:val="22"/>
              </w:rPr>
              <w:t>parijoto</w:t>
            </w:r>
            <w:proofErr w:type="spellEnd"/>
            <w:r>
              <w:rPr>
                <w:rFonts w:ascii="Arial" w:eastAsia="Calibri" w:hAnsi="Arial" w:cs="Arial"/>
                <w:szCs w:val="22"/>
              </w:rPr>
              <w:t xml:space="preserve"> fruit extract or encapsulated extract to the feed had a significant effect (P&lt;0.05) on the final weight of broiler chickens raised at high density, but had no </w:t>
            </w:r>
            <w:r>
              <w:rPr>
                <w:rFonts w:ascii="Arial" w:eastAsia="Calibri" w:hAnsi="Arial" w:cs="Arial"/>
                <w:szCs w:val="22"/>
              </w:rPr>
              <w:t>significant effect (P&gt;0.05) on the relative weight of the liver, serum SGOT and SGPT levels in chickens. The color of the liver showed that all treatments were brownish red.</w:t>
            </w:r>
          </w:p>
        </w:tc>
      </w:tr>
    </w:tbl>
    <w:p w14:paraId="236F6C84" w14:textId="77777777" w:rsidR="006D32CB" w:rsidRDefault="006D32CB">
      <w:pPr>
        <w:pStyle w:val="Body"/>
        <w:spacing w:after="0"/>
        <w:rPr>
          <w:rFonts w:ascii="Arial" w:hAnsi="Arial" w:cs="Arial"/>
          <w:i/>
        </w:rPr>
      </w:pPr>
    </w:p>
    <w:p w14:paraId="04A2C632" w14:textId="77777777" w:rsidR="006D32CB" w:rsidRDefault="00646E4D">
      <w:pPr>
        <w:pStyle w:val="Body"/>
        <w:spacing w:after="0"/>
        <w:rPr>
          <w:rFonts w:ascii="Arial" w:hAnsi="Arial" w:cs="Arial"/>
          <w:i/>
        </w:rPr>
      </w:pPr>
      <w:r>
        <w:rPr>
          <w:rFonts w:ascii="Arial" w:hAnsi="Arial" w:cs="Arial"/>
          <w:i/>
        </w:rPr>
        <w:t xml:space="preserve">Keywords: broiler chicken; </w:t>
      </w:r>
      <w:proofErr w:type="spellStart"/>
      <w:r>
        <w:rPr>
          <w:rFonts w:ascii="Arial" w:hAnsi="Arial" w:cs="Arial"/>
          <w:i/>
        </w:rPr>
        <w:t>parijoto</w:t>
      </w:r>
      <w:proofErr w:type="spellEnd"/>
      <w:r>
        <w:rPr>
          <w:rFonts w:ascii="Arial" w:hAnsi="Arial" w:cs="Arial"/>
          <w:i/>
        </w:rPr>
        <w:t xml:space="preserve"> fruit extract </w:t>
      </w:r>
      <w:r>
        <w:rPr>
          <w:rFonts w:ascii="Arial" w:eastAsia="Calibri" w:hAnsi="Arial" w:cs="Arial"/>
          <w:i/>
          <w:szCs w:val="22"/>
        </w:rPr>
        <w:t>encapsulated</w:t>
      </w:r>
      <w:r>
        <w:rPr>
          <w:rFonts w:ascii="Arial" w:hAnsi="Arial" w:cs="Arial"/>
          <w:i/>
        </w:rPr>
        <w:t xml:space="preserve">; high density; </w:t>
      </w:r>
      <w:r>
        <w:rPr>
          <w:rFonts w:ascii="Arial" w:hAnsi="Arial" w:cs="Arial"/>
          <w:i/>
        </w:rPr>
        <w:t>liver function</w:t>
      </w:r>
    </w:p>
    <w:p w14:paraId="739A0F27" w14:textId="77777777" w:rsidR="006D32CB" w:rsidRDefault="006D32CB">
      <w:pPr>
        <w:pStyle w:val="Body"/>
        <w:spacing w:after="0"/>
        <w:rPr>
          <w:rFonts w:ascii="Arial" w:hAnsi="Arial" w:cs="Arial"/>
          <w:i/>
          <w:sz w:val="18"/>
        </w:rPr>
      </w:pPr>
    </w:p>
    <w:p w14:paraId="784444B3" w14:textId="77777777" w:rsidR="006D32CB" w:rsidRDefault="006D32CB">
      <w:pPr>
        <w:pStyle w:val="Body"/>
        <w:spacing w:after="0"/>
        <w:rPr>
          <w:rFonts w:ascii="Arial" w:hAnsi="Arial" w:cs="Arial"/>
          <w:i/>
        </w:rPr>
      </w:pPr>
    </w:p>
    <w:p w14:paraId="6E0C78D7" w14:textId="77777777" w:rsidR="006D32CB" w:rsidRDefault="00646E4D">
      <w:pPr>
        <w:pStyle w:val="AbstHead"/>
        <w:spacing w:after="0"/>
        <w:jc w:val="both"/>
        <w:rPr>
          <w:rFonts w:ascii="Arial" w:hAnsi="Arial" w:cs="Arial"/>
        </w:rPr>
      </w:pPr>
      <w:r>
        <w:rPr>
          <w:rFonts w:ascii="Arial" w:hAnsi="Arial" w:cs="Arial"/>
        </w:rPr>
        <w:t>1. INTRODUCTION</w:t>
      </w:r>
    </w:p>
    <w:p w14:paraId="6F84CD02" w14:textId="77777777" w:rsidR="006D32CB" w:rsidRDefault="006D32CB">
      <w:pPr>
        <w:pStyle w:val="AbstHead"/>
        <w:spacing w:after="0"/>
        <w:jc w:val="both"/>
        <w:rPr>
          <w:rFonts w:ascii="Arial" w:hAnsi="Arial" w:cs="Arial"/>
        </w:rPr>
      </w:pPr>
    </w:p>
    <w:p w14:paraId="54B9BE23" w14:textId="77777777" w:rsidR="006D32CB" w:rsidRDefault="00646E4D">
      <w:pPr>
        <w:pStyle w:val="Body"/>
        <w:spacing w:after="0"/>
        <w:rPr>
          <w:rFonts w:ascii="Arial" w:hAnsi="Arial" w:cs="Arial"/>
        </w:rPr>
      </w:pPr>
      <w:r>
        <w:rPr>
          <w:rFonts w:ascii="Arial" w:hAnsi="Arial"/>
        </w:rPr>
        <w:t>The contemporary broiler industry presents major challenges when increasing the productivity of broiler chickens while not affecting the health of organs such as liver. Aside from its contribution to nutrient metabolism, t</w:t>
      </w:r>
      <w:r>
        <w:rPr>
          <w:rFonts w:ascii="Arial" w:hAnsi="Arial"/>
        </w:rPr>
        <w:t>he liver is involved in detoxification of xenobiotics and regulation of fat and protein metabolism (</w:t>
      </w:r>
      <w:proofErr w:type="spellStart"/>
      <w:r>
        <w:rPr>
          <w:rFonts w:ascii="Arial" w:hAnsi="Arial"/>
        </w:rPr>
        <w:t>Zaefarian</w:t>
      </w:r>
      <w:proofErr w:type="spellEnd"/>
      <w:r>
        <w:rPr>
          <w:rFonts w:ascii="Arial" w:hAnsi="Arial"/>
        </w:rPr>
        <w:t xml:space="preserve"> et al., 2019). Many production stressors, including high stocking density, exposure to pathogens and low-quality feed composition result in liver </w:t>
      </w:r>
      <w:r>
        <w:rPr>
          <w:rFonts w:ascii="Arial" w:hAnsi="Arial"/>
        </w:rPr>
        <w:t xml:space="preserve">injury and bring about a decline in chicken growth </w:t>
      </w:r>
      <w:r>
        <w:rPr>
          <w:rFonts w:ascii="Arial" w:hAnsi="Arial"/>
        </w:rPr>
        <w:lastRenderedPageBreak/>
        <w:t>performance such as final body weight. This emphasizes the necessity of natural feed additive alternatives that can enhance organ health and simultaneously boost production performance</w:t>
      </w:r>
      <w:r>
        <w:rPr>
          <w:rFonts w:ascii="Arial" w:hAnsi="Arial" w:cs="Arial"/>
        </w:rPr>
        <w:t xml:space="preserve">. </w:t>
      </w:r>
    </w:p>
    <w:p w14:paraId="74C01AA8" w14:textId="77777777" w:rsidR="006D32CB" w:rsidRDefault="00646E4D">
      <w:pPr>
        <w:pStyle w:val="Body"/>
        <w:spacing w:after="0"/>
        <w:rPr>
          <w:rFonts w:ascii="Arial" w:hAnsi="Arial"/>
        </w:rPr>
      </w:pPr>
      <w:proofErr w:type="spellStart"/>
      <w:r>
        <w:rPr>
          <w:rFonts w:ascii="Arial" w:hAnsi="Arial"/>
        </w:rPr>
        <w:t>Parijoto</w:t>
      </w:r>
      <w:proofErr w:type="spellEnd"/>
      <w:r>
        <w:rPr>
          <w:rFonts w:ascii="Arial" w:hAnsi="Arial"/>
        </w:rPr>
        <w:t xml:space="preserve"> fruit (Me</w:t>
      </w:r>
      <w:r>
        <w:rPr>
          <w:rFonts w:ascii="Arial" w:hAnsi="Arial"/>
        </w:rPr>
        <w:t xml:space="preserve">dinilla </w:t>
      </w:r>
      <w:proofErr w:type="spellStart"/>
      <w:r>
        <w:rPr>
          <w:rFonts w:ascii="Arial" w:hAnsi="Arial"/>
        </w:rPr>
        <w:t>speciosa</w:t>
      </w:r>
      <w:proofErr w:type="spellEnd"/>
      <w:r>
        <w:rPr>
          <w:rFonts w:ascii="Arial" w:hAnsi="Arial"/>
        </w:rPr>
        <w:t>), an indigenous plant, is rich in bioactive compounds such as flavonoids, anthocyanins and polyphenols. These constituents are known for their anti-oxidant, anti-inflammatory and hepatoprotective properties could be beneficial in improving</w:t>
      </w:r>
      <w:r>
        <w:rPr>
          <w:rFonts w:ascii="Arial" w:hAnsi="Arial"/>
        </w:rPr>
        <w:t xml:space="preserve"> hepatic function and preventing oxidative tissue injury (</w:t>
      </w:r>
      <w:proofErr w:type="spellStart"/>
      <w:r>
        <w:rPr>
          <w:rFonts w:ascii="Arial" w:hAnsi="Arial"/>
        </w:rPr>
        <w:t>Krismiyanto</w:t>
      </w:r>
      <w:proofErr w:type="spellEnd"/>
      <w:r>
        <w:rPr>
          <w:rFonts w:ascii="Arial" w:hAnsi="Arial"/>
        </w:rPr>
        <w:t xml:space="preserve"> et al., 2025a). However, the immediate use of </w:t>
      </w:r>
      <w:proofErr w:type="spellStart"/>
      <w:r>
        <w:rPr>
          <w:rFonts w:ascii="Arial" w:hAnsi="Arial"/>
        </w:rPr>
        <w:t>parijoto</w:t>
      </w:r>
      <w:proofErr w:type="spellEnd"/>
      <w:r>
        <w:rPr>
          <w:rFonts w:ascii="Arial" w:hAnsi="Arial"/>
        </w:rPr>
        <w:t xml:space="preserve"> fruit extract is often problematic since it is vulnerable to be damaged in the digestive system and unstable.</w:t>
      </w:r>
    </w:p>
    <w:p w14:paraId="08CB85FD" w14:textId="77777777" w:rsidR="006D32CB" w:rsidRDefault="00646E4D">
      <w:pPr>
        <w:pStyle w:val="Body"/>
        <w:spacing w:after="0"/>
        <w:rPr>
          <w:rFonts w:ascii="Arial" w:hAnsi="Arial"/>
        </w:rPr>
      </w:pPr>
      <w:r>
        <w:rPr>
          <w:rFonts w:ascii="Arial" w:hAnsi="Arial"/>
        </w:rPr>
        <w:t>To mitigate these con</w:t>
      </w:r>
      <w:r>
        <w:rPr>
          <w:rFonts w:ascii="Arial" w:hAnsi="Arial"/>
        </w:rPr>
        <w:t>straints, encapsulation technology is employed to shield extracts, thereby enhancing their resilience against enzymatic breakdown and harsh conditions within the gastrointestinal tract. This encapsulation process can augment the bioavailability of active c</w:t>
      </w:r>
      <w:r>
        <w:rPr>
          <w:rFonts w:ascii="Arial" w:hAnsi="Arial"/>
        </w:rPr>
        <w:t>onstituents, thus optimizing their physiological impacts on both hepatic function and the overall performance of chickens (</w:t>
      </w:r>
      <w:proofErr w:type="spellStart"/>
      <w:r>
        <w:rPr>
          <w:rFonts w:ascii="Arial" w:hAnsi="Arial"/>
        </w:rPr>
        <w:t>Krismiyanto</w:t>
      </w:r>
      <w:proofErr w:type="spellEnd"/>
      <w:r>
        <w:rPr>
          <w:rFonts w:ascii="Arial" w:hAnsi="Arial"/>
        </w:rPr>
        <w:t xml:space="preserve"> et al., 2025b). While research into the encapsulation of indigenous plant extracts is ongoing, there remains a paucity of</w:t>
      </w:r>
      <w:r>
        <w:rPr>
          <w:rFonts w:ascii="Arial" w:hAnsi="Arial"/>
        </w:rPr>
        <w:t xml:space="preserve"> specific data concerning the effects of </w:t>
      </w:r>
      <w:proofErr w:type="spellStart"/>
      <w:r>
        <w:rPr>
          <w:rFonts w:ascii="Arial" w:hAnsi="Arial"/>
        </w:rPr>
        <w:t>parijoto</w:t>
      </w:r>
      <w:proofErr w:type="spellEnd"/>
      <w:r>
        <w:rPr>
          <w:rFonts w:ascii="Arial" w:hAnsi="Arial"/>
        </w:rPr>
        <w:t xml:space="preserve"> fruit extract encapsulation on the hepatic quality and ultimate body weight of broiler chickens.</w:t>
      </w:r>
    </w:p>
    <w:p w14:paraId="02DFDE35" w14:textId="77777777" w:rsidR="006D32CB" w:rsidRDefault="00646E4D">
      <w:pPr>
        <w:pStyle w:val="Body"/>
        <w:spacing w:after="0"/>
      </w:pPr>
      <w:r>
        <w:rPr>
          <w:rFonts w:ascii="Arial" w:hAnsi="Arial"/>
        </w:rPr>
        <w:t xml:space="preserve">Consequently, assessing the impact of encapsulated </w:t>
      </w:r>
      <w:proofErr w:type="spellStart"/>
      <w:r>
        <w:rPr>
          <w:rFonts w:ascii="Arial" w:hAnsi="Arial"/>
        </w:rPr>
        <w:t>parijoto</w:t>
      </w:r>
      <w:proofErr w:type="spellEnd"/>
      <w:r>
        <w:rPr>
          <w:rFonts w:ascii="Arial" w:hAnsi="Arial"/>
        </w:rPr>
        <w:t xml:space="preserve"> fruit extract is crucial for ascertaining the deg</w:t>
      </w:r>
      <w:r>
        <w:rPr>
          <w:rFonts w:ascii="Arial" w:hAnsi="Arial"/>
        </w:rPr>
        <w:t>ree to which this technological approach can enhance liver function, mitigate potential tissue injury, and facilitate the attainment of ideal final body weight. This investigation is anticipated to provide scientific insights and present a prospective natu</w:t>
      </w:r>
      <w:r>
        <w:rPr>
          <w:rFonts w:ascii="Arial" w:hAnsi="Arial"/>
        </w:rPr>
        <w:t>ral additive alternative for sustainably augmenting broiler chicken productivity</w:t>
      </w:r>
      <w:r>
        <w:t>.</w:t>
      </w:r>
    </w:p>
    <w:p w14:paraId="615C3992" w14:textId="77777777" w:rsidR="006D32CB" w:rsidRDefault="006D32CB">
      <w:pPr>
        <w:pStyle w:val="Body"/>
        <w:spacing w:after="0"/>
        <w:rPr>
          <w:rFonts w:ascii="Arial" w:hAnsi="Arial" w:cs="Arial"/>
        </w:rPr>
      </w:pPr>
    </w:p>
    <w:p w14:paraId="2A19773A" w14:textId="77777777" w:rsidR="006D32CB" w:rsidRDefault="00646E4D">
      <w:pPr>
        <w:pStyle w:val="AbstHead"/>
        <w:spacing w:after="0"/>
        <w:jc w:val="both"/>
        <w:rPr>
          <w:rFonts w:ascii="Arial" w:hAnsi="Arial" w:cs="Arial"/>
        </w:rPr>
      </w:pPr>
      <w:r>
        <w:rPr>
          <w:rFonts w:ascii="Arial" w:hAnsi="Arial" w:cs="Arial"/>
        </w:rPr>
        <w:t>2. material and methods</w:t>
      </w:r>
    </w:p>
    <w:p w14:paraId="2DFFA6BE" w14:textId="77777777" w:rsidR="006D32CB" w:rsidRDefault="006D32CB">
      <w:pPr>
        <w:pStyle w:val="Body"/>
        <w:spacing w:after="0"/>
        <w:rPr>
          <w:rFonts w:ascii="Arial" w:hAnsi="Arial" w:cs="Arial"/>
        </w:rPr>
      </w:pPr>
    </w:p>
    <w:p w14:paraId="43AC831E" w14:textId="77777777" w:rsidR="006D32CB" w:rsidRDefault="00646E4D">
      <w:pPr>
        <w:pStyle w:val="Body"/>
        <w:spacing w:after="0"/>
        <w:rPr>
          <w:rFonts w:ascii="Arial" w:hAnsi="Arial" w:cs="Arial"/>
          <w:b/>
          <w:sz w:val="22"/>
          <w:szCs w:val="22"/>
        </w:rPr>
      </w:pPr>
      <w:r>
        <w:rPr>
          <w:rFonts w:ascii="Arial" w:hAnsi="Arial" w:cs="Arial"/>
          <w:b/>
          <w:sz w:val="22"/>
          <w:szCs w:val="22"/>
        </w:rPr>
        <w:t>2.1. Research Implementation</w:t>
      </w:r>
    </w:p>
    <w:p w14:paraId="4C2EE34D" w14:textId="77777777" w:rsidR="006D32CB" w:rsidRDefault="006D32CB">
      <w:pPr>
        <w:pStyle w:val="Body"/>
        <w:spacing w:after="0"/>
        <w:rPr>
          <w:rFonts w:ascii="Arial" w:hAnsi="Arial" w:cs="Arial"/>
        </w:rPr>
      </w:pPr>
    </w:p>
    <w:p w14:paraId="3DD2CCCD" w14:textId="77777777" w:rsidR="006D32CB" w:rsidRDefault="00646E4D">
      <w:pPr>
        <w:pStyle w:val="Body"/>
        <w:spacing w:after="0"/>
        <w:rPr>
          <w:rFonts w:ascii="Arial" w:hAnsi="Arial" w:cs="Arial"/>
        </w:rPr>
      </w:pPr>
      <w:r>
        <w:rPr>
          <w:rFonts w:ascii="Arial" w:hAnsi="Arial" w:cs="Arial"/>
        </w:rPr>
        <w:t xml:space="preserve">The study was conducted over a period of 35 days, from November to December 2024, at the Poultry House of the Laboratory of Nutrition and Feed Science, Faculty of Animal Husbandry and Agriculture, </w:t>
      </w:r>
      <w:proofErr w:type="spellStart"/>
      <w:r>
        <w:rPr>
          <w:rFonts w:ascii="Arial" w:hAnsi="Arial" w:cs="Arial"/>
        </w:rPr>
        <w:t>Diponegoro</w:t>
      </w:r>
      <w:proofErr w:type="spellEnd"/>
      <w:r>
        <w:rPr>
          <w:rFonts w:ascii="Arial" w:hAnsi="Arial" w:cs="Arial"/>
        </w:rPr>
        <w:t xml:space="preserve"> University. The SGPT and SGOT blood tests were c</w:t>
      </w:r>
      <w:r>
        <w:rPr>
          <w:rFonts w:ascii="Arial" w:hAnsi="Arial" w:cs="Arial"/>
        </w:rPr>
        <w:t xml:space="preserve">onducted at the Laboratory of Nutrition and Feed Science, Faculty of Animal and Agricultural Sciences, </w:t>
      </w:r>
      <w:proofErr w:type="spellStart"/>
      <w:r>
        <w:rPr>
          <w:rFonts w:ascii="Arial" w:hAnsi="Arial" w:cs="Arial"/>
        </w:rPr>
        <w:t>Universitas</w:t>
      </w:r>
      <w:proofErr w:type="spellEnd"/>
      <w:r>
        <w:rPr>
          <w:rFonts w:ascii="Arial" w:hAnsi="Arial" w:cs="Arial"/>
        </w:rPr>
        <w:t xml:space="preserve"> </w:t>
      </w:r>
      <w:proofErr w:type="spellStart"/>
      <w:r>
        <w:rPr>
          <w:rFonts w:ascii="Arial" w:hAnsi="Arial" w:cs="Arial"/>
        </w:rPr>
        <w:t>Diponegoro</w:t>
      </w:r>
      <w:proofErr w:type="spellEnd"/>
      <w:r>
        <w:rPr>
          <w:rFonts w:ascii="Arial" w:hAnsi="Arial" w:cs="Arial"/>
        </w:rPr>
        <w:t xml:space="preserve">.  </w:t>
      </w:r>
    </w:p>
    <w:p w14:paraId="5B07A76B" w14:textId="77777777" w:rsidR="006D32CB" w:rsidRDefault="006D32CB">
      <w:pPr>
        <w:pStyle w:val="Body"/>
        <w:spacing w:after="0"/>
        <w:rPr>
          <w:rFonts w:ascii="Arial" w:hAnsi="Arial" w:cs="Arial"/>
        </w:rPr>
      </w:pPr>
    </w:p>
    <w:p w14:paraId="4FAE90A2" w14:textId="77777777" w:rsidR="006D32CB" w:rsidRDefault="00646E4D">
      <w:pPr>
        <w:pStyle w:val="Body"/>
        <w:spacing w:after="0"/>
        <w:rPr>
          <w:rFonts w:ascii="Arial" w:hAnsi="Arial" w:cs="Arial"/>
          <w:b/>
        </w:rPr>
      </w:pPr>
      <w:r>
        <w:rPr>
          <w:rFonts w:ascii="Arial" w:hAnsi="Arial" w:cs="Arial"/>
          <w:b/>
        </w:rPr>
        <w:t>2.2. Ethical Approval</w:t>
      </w:r>
    </w:p>
    <w:p w14:paraId="76EF6BBE" w14:textId="77777777" w:rsidR="006D32CB" w:rsidRDefault="006D32CB">
      <w:pPr>
        <w:pStyle w:val="Body"/>
        <w:spacing w:after="0"/>
        <w:rPr>
          <w:rFonts w:ascii="Arial" w:hAnsi="Arial" w:cs="Arial"/>
          <w:b/>
        </w:rPr>
      </w:pPr>
    </w:p>
    <w:p w14:paraId="5A055082" w14:textId="77777777" w:rsidR="006D32CB" w:rsidRDefault="00646E4D">
      <w:pPr>
        <w:pStyle w:val="Body"/>
        <w:spacing w:after="0"/>
        <w:rPr>
          <w:rFonts w:ascii="Arial" w:hAnsi="Arial" w:cs="Arial"/>
        </w:rPr>
      </w:pPr>
      <w:r>
        <w:rPr>
          <w:rFonts w:ascii="Arial" w:hAnsi="Arial" w:cs="Arial"/>
        </w:rPr>
        <w:t xml:space="preserve">This study followed a standard procedure certified by the Ethical Board of the Faculty of Animal and </w:t>
      </w:r>
      <w:r>
        <w:rPr>
          <w:rFonts w:ascii="Arial" w:hAnsi="Arial" w:cs="Arial"/>
        </w:rPr>
        <w:t xml:space="preserve">Agricultural Sciences, </w:t>
      </w:r>
      <w:proofErr w:type="spellStart"/>
      <w:r>
        <w:rPr>
          <w:rFonts w:ascii="Arial" w:hAnsi="Arial" w:cs="Arial"/>
        </w:rPr>
        <w:t>Universitas</w:t>
      </w:r>
      <w:proofErr w:type="spellEnd"/>
      <w:r>
        <w:rPr>
          <w:rFonts w:ascii="Arial" w:hAnsi="Arial" w:cs="Arial"/>
        </w:rPr>
        <w:t xml:space="preserve"> Di-</w:t>
      </w:r>
      <w:proofErr w:type="spellStart"/>
      <w:r>
        <w:rPr>
          <w:rFonts w:ascii="Arial" w:hAnsi="Arial" w:cs="Arial"/>
        </w:rPr>
        <w:t>ponegoro</w:t>
      </w:r>
      <w:proofErr w:type="spellEnd"/>
      <w:r>
        <w:rPr>
          <w:rFonts w:ascii="Arial" w:hAnsi="Arial" w:cs="Arial"/>
        </w:rPr>
        <w:t>, Semarang, Indonesia, under the certification number 60-08/A-16/KEP-FPP.</w:t>
      </w:r>
    </w:p>
    <w:p w14:paraId="18EE6811" w14:textId="77777777" w:rsidR="006D32CB" w:rsidRDefault="006D32CB">
      <w:pPr>
        <w:pStyle w:val="Body"/>
        <w:spacing w:after="0"/>
        <w:rPr>
          <w:rFonts w:ascii="Arial" w:hAnsi="Arial" w:cs="Arial"/>
        </w:rPr>
      </w:pPr>
    </w:p>
    <w:p w14:paraId="0D1B09AE" w14:textId="3529BD64" w:rsidR="006D32CB" w:rsidRDefault="00646E4D">
      <w:pPr>
        <w:pStyle w:val="Body"/>
        <w:spacing w:after="0"/>
        <w:rPr>
          <w:rFonts w:ascii="Arial" w:hAnsi="Arial" w:cs="Arial"/>
          <w:b/>
        </w:rPr>
      </w:pPr>
      <w:r>
        <w:rPr>
          <w:rFonts w:ascii="Arial" w:hAnsi="Arial" w:cs="Arial"/>
          <w:b/>
        </w:rPr>
        <w:t xml:space="preserve">2.3. </w:t>
      </w:r>
      <w:r w:rsidR="003E1BFB" w:rsidRPr="003E1BFB">
        <w:rPr>
          <w:rFonts w:ascii="Arial" w:hAnsi="Arial" w:cs="Arial"/>
          <w:b/>
        </w:rPr>
        <w:t>Livestock, Materials and Equipment</w:t>
      </w:r>
    </w:p>
    <w:p w14:paraId="614EFFD9" w14:textId="77777777" w:rsidR="006D32CB" w:rsidRDefault="006D32CB">
      <w:pPr>
        <w:pStyle w:val="Body"/>
        <w:spacing w:after="0"/>
        <w:rPr>
          <w:rFonts w:ascii="Arial" w:hAnsi="Arial" w:cs="Arial"/>
        </w:rPr>
      </w:pPr>
    </w:p>
    <w:p w14:paraId="2EBA050B" w14:textId="77777777" w:rsidR="006D32CB" w:rsidRDefault="00646E4D">
      <w:pPr>
        <w:pStyle w:val="Body"/>
        <w:rPr>
          <w:rFonts w:ascii="Arial" w:hAnsi="Arial" w:cs="Arial"/>
        </w:rPr>
      </w:pPr>
      <w:r>
        <w:rPr>
          <w:rFonts w:ascii="Arial" w:hAnsi="Arial" w:cs="Arial"/>
        </w:rPr>
        <w:t>The experimental livestock used were 290 unsexed Ross broiler chickens aged 8 days with an ave</w:t>
      </w:r>
      <w:r>
        <w:rPr>
          <w:rFonts w:ascii="Arial" w:hAnsi="Arial" w:cs="Arial"/>
        </w:rPr>
        <w:t xml:space="preserve">rage body weight of 196.01±1.12 g. </w:t>
      </w:r>
      <w:proofErr w:type="spellStart"/>
      <w:r>
        <w:rPr>
          <w:rFonts w:ascii="Arial" w:hAnsi="Arial" w:cs="Arial"/>
        </w:rPr>
        <w:t>Parijoto</w:t>
      </w:r>
      <w:proofErr w:type="spellEnd"/>
      <w:r>
        <w:rPr>
          <w:rFonts w:ascii="Arial" w:hAnsi="Arial" w:cs="Arial"/>
        </w:rPr>
        <w:t xml:space="preserve"> fruit extract (PFE) and encapsulated </w:t>
      </w:r>
      <w:proofErr w:type="spellStart"/>
      <w:r>
        <w:rPr>
          <w:rFonts w:ascii="Arial" w:hAnsi="Arial" w:cs="Arial"/>
        </w:rPr>
        <w:t>parijoto</w:t>
      </w:r>
      <w:proofErr w:type="spellEnd"/>
      <w:r>
        <w:rPr>
          <w:rFonts w:ascii="Arial" w:hAnsi="Arial" w:cs="Arial"/>
        </w:rPr>
        <w:t xml:space="preserve"> fruit extract (EPFE) were used as </w:t>
      </w:r>
      <w:proofErr w:type="spellStart"/>
      <w:r>
        <w:rPr>
          <w:rFonts w:ascii="Arial" w:hAnsi="Arial" w:cs="Arial"/>
        </w:rPr>
        <w:t>phytobiotic</w:t>
      </w:r>
      <w:proofErr w:type="spellEnd"/>
      <w:r>
        <w:rPr>
          <w:rFonts w:ascii="Arial" w:hAnsi="Arial" w:cs="Arial"/>
        </w:rPr>
        <w:t xml:space="preserve"> sources. The research ration was composed of a mixture of yellow corn, rice bran, soybean meal, fish meal, limestone, pr</w:t>
      </w:r>
      <w:r>
        <w:rPr>
          <w:rFonts w:ascii="Arial" w:hAnsi="Arial" w:cs="Arial"/>
        </w:rPr>
        <w:t>emix, lysine, and methionine. The nutrient content of the starter phase ration (8-21 days) was 2,996.85 kcal/kg of metabolizable energy and 21.33% protein, while the finisher phase (22-35 days) was 3,026.32 kcal/kg of metabolizable energy and 19.25% protei</w:t>
      </w:r>
      <w:r>
        <w:rPr>
          <w:rFonts w:ascii="Arial" w:hAnsi="Arial" w:cs="Arial"/>
        </w:rPr>
        <w:t xml:space="preserve">n. The materials and equipment used for extraction and encapsulation included </w:t>
      </w:r>
      <w:proofErr w:type="spellStart"/>
      <w:r>
        <w:rPr>
          <w:rFonts w:ascii="Arial" w:hAnsi="Arial" w:cs="Arial"/>
        </w:rPr>
        <w:t>Parijoto</w:t>
      </w:r>
      <w:proofErr w:type="spellEnd"/>
      <w:r>
        <w:rPr>
          <w:rFonts w:ascii="Arial" w:hAnsi="Arial" w:cs="Arial"/>
        </w:rPr>
        <w:t xml:space="preserve"> fruit flour, maltodextrin, distilled water, 96% ethanol, filter paper, glass beakers, measuring cups, magnetic stirrers, </w:t>
      </w:r>
      <w:proofErr w:type="spellStart"/>
      <w:r>
        <w:rPr>
          <w:rFonts w:ascii="Arial" w:hAnsi="Arial" w:cs="Arial"/>
        </w:rPr>
        <w:t>sonicators</w:t>
      </w:r>
      <w:proofErr w:type="spellEnd"/>
      <w:r>
        <w:rPr>
          <w:rFonts w:ascii="Arial" w:hAnsi="Arial" w:cs="Arial"/>
        </w:rPr>
        <w:t>, evaporators, and freeze-dryers.</w:t>
      </w:r>
    </w:p>
    <w:p w14:paraId="31604F56" w14:textId="77777777" w:rsidR="006D32CB" w:rsidRDefault="00646E4D">
      <w:pPr>
        <w:pStyle w:val="Body"/>
        <w:rPr>
          <w:rFonts w:ascii="Arial" w:hAnsi="Arial" w:cs="Arial"/>
          <w:b/>
        </w:rPr>
      </w:pPr>
      <w:r>
        <w:rPr>
          <w:rFonts w:ascii="Arial" w:hAnsi="Arial" w:cs="Arial"/>
          <w:b/>
        </w:rPr>
        <w:t>2.4.</w:t>
      </w:r>
      <w:r>
        <w:rPr>
          <w:rFonts w:ascii="Arial" w:hAnsi="Arial" w:cs="Arial"/>
          <w:b/>
        </w:rPr>
        <w:t xml:space="preserve"> Extraction and Encapsulation Process</w:t>
      </w:r>
    </w:p>
    <w:p w14:paraId="56D07600" w14:textId="77777777" w:rsidR="006D32CB" w:rsidRDefault="00646E4D">
      <w:pPr>
        <w:pStyle w:val="Body"/>
        <w:rPr>
          <w:rFonts w:ascii="Arial" w:hAnsi="Arial" w:cs="Arial"/>
        </w:rPr>
      </w:pPr>
      <w:r>
        <w:rPr>
          <w:rFonts w:ascii="Arial" w:hAnsi="Arial" w:cs="Arial"/>
        </w:rPr>
        <w:lastRenderedPageBreak/>
        <w:t xml:space="preserve">Medinilla  speciosa  fruit  encapsulation  begins  with  extraction  based  on the modified method of </w:t>
      </w:r>
      <w:r>
        <w:rPr>
          <w:rFonts w:ascii="Arial" w:hAnsi="Arial" w:cs="Arial"/>
        </w:rPr>
        <w:fldChar w:fldCharType="begin" w:fldLock="1"/>
      </w:r>
      <w:r>
        <w:rPr>
          <w:rFonts w:ascii="Arial" w:hAnsi="Arial" w:cs="Arial"/>
        </w:rPr>
        <w:instrText>ADDIN CSL_CITATION {"citationItems":[{"id":"ITEM-1","itemData":{"ISSN":"1350-4177","author":[{"dropping-particle":""</w:instrText>
      </w:r>
      <w:r>
        <w:rPr>
          <w:rFonts w:ascii="Arial" w:hAnsi="Arial" w:cs="Arial"/>
        </w:rPr>
        <w:instrText>,"family":"Gouda","given":"Mostafa","non-dropping-particle":"","parse-names":false,"suffix":""},{"dropping-particle":"","family":"Bekhit","given":"Alaa El-Din","non-dropping-particle":"","parse-names":false,"suffix":""},{"dropping-particle":"","family":"Ta</w:instrText>
      </w:r>
      <w:r>
        <w:rPr>
          <w:rFonts w:ascii="Arial" w:hAnsi="Arial" w:cs="Arial"/>
        </w:rPr>
        <w:instrText>ng","given":"Yu","non-dropping-particle":"","parse-names":false,"suffix":""},{"dropping-particle":"","family":"Huang","given":"Yifeng","non-dropping-particle":"","parse-names":false,"suffix":""},{"dropping-particle":"","family":"Huang","given":"Lingxia","n</w:instrText>
      </w:r>
      <w:r>
        <w:rPr>
          <w:rFonts w:ascii="Arial" w:hAnsi="Arial" w:cs="Arial"/>
        </w:rPr>
        <w:instrText>on-dropping-particle":"","parse-names":false,"suffix":""},{"dropping-particle":"","family":"He","given":"Yong","non-dropping-particle":"","parse-names":false,"suffix":""},{"dropping-particle":"","family":"Li","given":"Xiaoli","non-dropping-particle":"","pa</w:instrText>
      </w:r>
      <w:r>
        <w:rPr>
          <w:rFonts w:ascii="Arial" w:hAnsi="Arial" w:cs="Arial"/>
        </w:rPr>
        <w:instrText>rse-names":false,"suffix":""}],"container-title":"Ultrasonics sonochemistry","id":"ITEM-1","issued":{"date-parts":[["2021"]]},"page":"105538","publisher":"Elsevier","title":"Recent innovations of ultrasound green technology in herbal phytochemistry: A revi</w:instrText>
      </w:r>
      <w:r>
        <w:rPr>
          <w:rFonts w:ascii="Arial" w:hAnsi="Arial" w:cs="Arial"/>
        </w:rPr>
        <w:instrText>ew","type":"article-journal","volume":"73"},"uris":["http://www.mendeley.com/documents/?uuid=360e8136-a488-482e-b73b-3a1f782bfbb7"]}],"mendeley":{"formattedCitation":"(Gouda et al., 2021)","plainTextFormattedCitation":"(Gouda et al., 2021)","previouslyForm</w:instrText>
      </w:r>
      <w:r>
        <w:rPr>
          <w:rFonts w:ascii="Arial" w:hAnsi="Arial" w:cs="Arial"/>
        </w:rPr>
        <w:instrText>attedCitation":"(Gouda et al., 2021)"},"properties":{"noteIndex":0},"schema":"https://github.com/citation-style-language/schema/raw/master/csl-citation.json"}</w:instrText>
      </w:r>
      <w:r>
        <w:rPr>
          <w:rFonts w:ascii="Arial" w:hAnsi="Arial" w:cs="Arial"/>
        </w:rPr>
        <w:fldChar w:fldCharType="separate"/>
      </w:r>
      <w:r>
        <w:rPr>
          <w:rFonts w:ascii="Arial" w:hAnsi="Arial" w:cs="Arial"/>
        </w:rPr>
        <w:t>(Gouda et al., 2021)</w:t>
      </w:r>
      <w:r>
        <w:rPr>
          <w:rFonts w:ascii="Arial" w:hAnsi="Arial" w:cs="Arial"/>
        </w:rPr>
        <w:fldChar w:fldCharType="end"/>
      </w:r>
      <w:r>
        <w:rPr>
          <w:rFonts w:ascii="Arial" w:hAnsi="Arial" w:cs="Arial"/>
        </w:rPr>
        <w:t>. The fruit was dried in an oven at 50°C and pulverized into flour. Medinil</w:t>
      </w:r>
      <w:r>
        <w:rPr>
          <w:rFonts w:ascii="Arial" w:hAnsi="Arial" w:cs="Arial"/>
        </w:rPr>
        <w:t xml:space="preserve">la speciosa fruit flour was dissolved in 96% ethanol at a ratio of 1:10 (b/v), stirred until homogeneous, and filtered through Whatman 41 filter paper. The filtered </w:t>
      </w:r>
      <w:proofErr w:type="gramStart"/>
      <w:r>
        <w:rPr>
          <w:rFonts w:ascii="Arial" w:hAnsi="Arial" w:cs="Arial"/>
        </w:rPr>
        <w:t>solution  was</w:t>
      </w:r>
      <w:proofErr w:type="gramEnd"/>
      <w:r>
        <w:rPr>
          <w:rFonts w:ascii="Arial" w:hAnsi="Arial" w:cs="Arial"/>
        </w:rPr>
        <w:t xml:space="preserve">  sonicated  at  37°C  and  room  temperature  for 30 min at  a  wavelength  o</w:t>
      </w:r>
      <w:r>
        <w:rPr>
          <w:rFonts w:ascii="Arial" w:hAnsi="Arial" w:cs="Arial"/>
        </w:rPr>
        <w:t xml:space="preserve">f 50 Hz. Sonication was performed at 45°C to evaporate the ethanol and obtain a thick extract. The next process was encapsulation based on the method of </w:t>
      </w:r>
      <w:proofErr w:type="spellStart"/>
      <w:r>
        <w:rPr>
          <w:rFonts w:ascii="Arial" w:hAnsi="Arial" w:cs="Arial"/>
        </w:rPr>
        <w:t>Krismiyanto</w:t>
      </w:r>
      <w:proofErr w:type="spellEnd"/>
      <w:r>
        <w:rPr>
          <w:rFonts w:ascii="Arial" w:hAnsi="Arial" w:cs="Arial"/>
        </w:rPr>
        <w:t xml:space="preserve"> </w:t>
      </w:r>
      <w:proofErr w:type="gramStart"/>
      <w:r>
        <w:rPr>
          <w:rFonts w:ascii="Arial" w:hAnsi="Arial" w:cs="Arial"/>
        </w:rPr>
        <w:t>et  al.</w:t>
      </w:r>
      <w:proofErr w:type="gramEnd"/>
      <w:r>
        <w:rPr>
          <w:rFonts w:ascii="Arial" w:hAnsi="Arial" w:cs="Arial"/>
        </w:rPr>
        <w:t xml:space="preserve"> (2025), which started with the preparation of a mixture of maltodextrin and distill</w:t>
      </w:r>
      <w:r>
        <w:rPr>
          <w:rFonts w:ascii="Arial" w:hAnsi="Arial" w:cs="Arial"/>
        </w:rPr>
        <w:t xml:space="preserve">ed water in a ratio of 1:3 (b/v). The evaporation results were mixed with the dressing solution at a ratio of 1:3 (v/v) and then dried using </w:t>
      </w:r>
      <w:proofErr w:type="gramStart"/>
      <w:r>
        <w:rPr>
          <w:rFonts w:ascii="Arial" w:hAnsi="Arial" w:cs="Arial"/>
        </w:rPr>
        <w:t>the  freeze</w:t>
      </w:r>
      <w:proofErr w:type="gramEnd"/>
      <w:r>
        <w:rPr>
          <w:rFonts w:ascii="Arial" w:hAnsi="Arial" w:cs="Arial"/>
        </w:rPr>
        <w:t xml:space="preserve">-drying  method  at  -50°C  until  a  dry  form  was  obtained.  </w:t>
      </w:r>
      <w:proofErr w:type="gramStart"/>
      <w:r>
        <w:rPr>
          <w:rFonts w:ascii="Arial" w:hAnsi="Arial" w:cs="Arial"/>
        </w:rPr>
        <w:t>The  encapsulated</w:t>
      </w:r>
      <w:proofErr w:type="gramEnd"/>
      <w:r>
        <w:rPr>
          <w:rFonts w:ascii="Arial" w:hAnsi="Arial" w:cs="Arial"/>
        </w:rPr>
        <w:t xml:space="preserve">  products  were  pulv</w:t>
      </w:r>
      <w:r>
        <w:rPr>
          <w:rFonts w:ascii="Arial" w:hAnsi="Arial" w:cs="Arial"/>
        </w:rPr>
        <w:t xml:space="preserve">erized  using  a  mortar  and  pestle.  </w:t>
      </w:r>
    </w:p>
    <w:p w14:paraId="164BBD16" w14:textId="77777777" w:rsidR="006D32CB" w:rsidRDefault="00646E4D">
      <w:pPr>
        <w:pStyle w:val="Body"/>
        <w:rPr>
          <w:rFonts w:ascii="Arial" w:hAnsi="Arial" w:cs="Arial"/>
          <w:b/>
        </w:rPr>
      </w:pPr>
      <w:r>
        <w:rPr>
          <w:rFonts w:ascii="Arial" w:hAnsi="Arial" w:cs="Arial"/>
          <w:b/>
        </w:rPr>
        <w:t>2.5. Experimental Design and Treatment</w:t>
      </w:r>
    </w:p>
    <w:p w14:paraId="72A1BBB9" w14:textId="77777777" w:rsidR="006D32CB" w:rsidRDefault="00646E4D">
      <w:pPr>
        <w:pStyle w:val="Body"/>
        <w:spacing w:after="0"/>
        <w:rPr>
          <w:rFonts w:ascii="Arial" w:hAnsi="Arial" w:cs="Arial"/>
        </w:rPr>
      </w:pPr>
      <w:r>
        <w:rPr>
          <w:rFonts w:ascii="Arial" w:hAnsi="Arial" w:cs="Arial"/>
        </w:rPr>
        <w:t>The study was conducted using a completely randomized design with four treatments and five replicates, resulting in 20 experimental units. The treatments were as follows.</w:t>
      </w:r>
    </w:p>
    <w:p w14:paraId="41AB9407" w14:textId="77777777" w:rsidR="006D32CB" w:rsidRDefault="00646E4D">
      <w:pPr>
        <w:pStyle w:val="Body"/>
        <w:spacing w:after="0"/>
        <w:rPr>
          <w:rFonts w:ascii="Arial" w:hAnsi="Arial" w:cs="Arial"/>
        </w:rPr>
      </w:pPr>
      <w:r>
        <w:rPr>
          <w:rFonts w:ascii="Arial" w:hAnsi="Arial" w:cs="Arial"/>
        </w:rPr>
        <w:t>T0: c</w:t>
      </w:r>
      <w:r>
        <w:rPr>
          <w:rFonts w:ascii="Arial" w:hAnsi="Arial" w:cs="Arial"/>
        </w:rPr>
        <w:t>hickens are raised at normal density (10 birds/m</w:t>
      </w:r>
      <w:r>
        <w:rPr>
          <w:rFonts w:ascii="Arial" w:hAnsi="Arial" w:cs="Arial"/>
          <w:vertAlign w:val="superscript"/>
        </w:rPr>
        <w:t>2</w:t>
      </w:r>
      <w:r>
        <w:rPr>
          <w:rFonts w:ascii="Arial" w:hAnsi="Arial" w:cs="Arial"/>
        </w:rPr>
        <w:t>)</w:t>
      </w:r>
    </w:p>
    <w:p w14:paraId="6E5AB911" w14:textId="77777777" w:rsidR="006D32CB" w:rsidRDefault="00646E4D">
      <w:pPr>
        <w:pStyle w:val="Body"/>
        <w:spacing w:after="0"/>
        <w:rPr>
          <w:rFonts w:ascii="Arial" w:hAnsi="Arial" w:cs="Arial"/>
        </w:rPr>
      </w:pPr>
      <w:r>
        <w:rPr>
          <w:rFonts w:ascii="Arial" w:hAnsi="Arial" w:cs="Arial"/>
        </w:rPr>
        <w:t>T1: chickens are raised at high density (16 birds/m</w:t>
      </w:r>
      <w:r>
        <w:rPr>
          <w:rFonts w:ascii="Arial" w:hAnsi="Arial" w:cs="Arial"/>
          <w:vertAlign w:val="superscript"/>
        </w:rPr>
        <w:t>2</w:t>
      </w:r>
      <w:r>
        <w:rPr>
          <w:rFonts w:ascii="Arial" w:hAnsi="Arial" w:cs="Arial"/>
        </w:rPr>
        <w:t>)</w:t>
      </w:r>
    </w:p>
    <w:p w14:paraId="297AA9ED" w14:textId="77777777" w:rsidR="006D32CB" w:rsidRDefault="00646E4D">
      <w:pPr>
        <w:pStyle w:val="Body"/>
        <w:spacing w:after="0"/>
        <w:rPr>
          <w:rFonts w:ascii="Arial" w:hAnsi="Arial" w:cs="Arial"/>
        </w:rPr>
      </w:pPr>
      <w:r>
        <w:rPr>
          <w:rFonts w:ascii="Arial" w:hAnsi="Arial" w:cs="Arial"/>
        </w:rPr>
        <w:t>T2: chickens raised at high density (16 birds /m</w:t>
      </w:r>
      <w:r>
        <w:rPr>
          <w:rFonts w:ascii="Arial" w:hAnsi="Arial" w:cs="Arial"/>
          <w:vertAlign w:val="superscript"/>
        </w:rPr>
        <w:t>2</w:t>
      </w:r>
      <w:r>
        <w:rPr>
          <w:rFonts w:ascii="Arial" w:hAnsi="Arial" w:cs="Arial"/>
        </w:rPr>
        <w:t xml:space="preserve">) + PFE 0.08% </w:t>
      </w:r>
    </w:p>
    <w:p w14:paraId="61D5C08A" w14:textId="77777777" w:rsidR="006D32CB" w:rsidRDefault="00646E4D">
      <w:pPr>
        <w:pStyle w:val="Body"/>
        <w:spacing w:after="0"/>
        <w:rPr>
          <w:rFonts w:ascii="Arial" w:hAnsi="Arial" w:cs="Arial"/>
        </w:rPr>
      </w:pPr>
      <w:r>
        <w:rPr>
          <w:rFonts w:ascii="Arial" w:hAnsi="Arial" w:cs="Arial"/>
        </w:rPr>
        <w:t>T3: chickens raised at high density (16 birds /m</w:t>
      </w:r>
      <w:r>
        <w:rPr>
          <w:rFonts w:ascii="Arial" w:hAnsi="Arial" w:cs="Arial"/>
          <w:vertAlign w:val="superscript"/>
        </w:rPr>
        <w:t>2</w:t>
      </w:r>
      <w:r>
        <w:rPr>
          <w:rFonts w:ascii="Arial" w:hAnsi="Arial" w:cs="Arial"/>
        </w:rPr>
        <w:t xml:space="preserve">) + EPFE 0.08% </w:t>
      </w:r>
    </w:p>
    <w:p w14:paraId="604846FF" w14:textId="77777777" w:rsidR="006D32CB" w:rsidRDefault="006D32CB">
      <w:pPr>
        <w:pStyle w:val="Body"/>
        <w:spacing w:after="0"/>
        <w:rPr>
          <w:rFonts w:ascii="Arial" w:hAnsi="Arial" w:cs="Arial"/>
        </w:rPr>
      </w:pPr>
    </w:p>
    <w:p w14:paraId="4FD88ECF" w14:textId="77777777" w:rsidR="006D32CB" w:rsidRDefault="00646E4D">
      <w:pPr>
        <w:pStyle w:val="Body"/>
        <w:rPr>
          <w:rFonts w:ascii="Arial" w:hAnsi="Arial" w:cs="Arial"/>
          <w:b/>
        </w:rPr>
      </w:pPr>
      <w:r>
        <w:rPr>
          <w:rFonts w:ascii="Arial" w:hAnsi="Arial" w:cs="Arial"/>
          <w:b/>
        </w:rPr>
        <w:t>2.6. Chicken Maintena</w:t>
      </w:r>
      <w:r>
        <w:rPr>
          <w:rFonts w:ascii="Arial" w:hAnsi="Arial" w:cs="Arial"/>
          <w:b/>
        </w:rPr>
        <w:t>nce and Data Collection</w:t>
      </w:r>
    </w:p>
    <w:p w14:paraId="41EB83CD" w14:textId="77777777" w:rsidR="006D32CB" w:rsidRDefault="00646E4D">
      <w:pPr>
        <w:pStyle w:val="Body"/>
        <w:spacing w:after="0"/>
        <w:rPr>
          <w:rFonts w:ascii="Arial" w:hAnsi="Arial" w:cs="Arial"/>
        </w:rPr>
      </w:pPr>
      <w:r>
        <w:rPr>
          <w:rFonts w:ascii="Arial" w:hAnsi="Arial" w:cs="Arial"/>
        </w:rPr>
        <w:t>The chickens were raised for 35 days in 20 postal cages measuring 1 × 1 m2. The research ratio was 100% when the chickens were 8 days old, accompanied by additional treatment. The treatment was administered every morning by mixing t</w:t>
      </w:r>
      <w:r>
        <w:rPr>
          <w:rFonts w:ascii="Arial" w:hAnsi="Arial" w:cs="Arial"/>
        </w:rPr>
        <w:t xml:space="preserve">he encapsulated </w:t>
      </w:r>
      <w:proofErr w:type="spellStart"/>
      <w:r>
        <w:rPr>
          <w:rFonts w:ascii="Arial" w:hAnsi="Arial" w:cs="Arial"/>
        </w:rPr>
        <w:t>Parijoto</w:t>
      </w:r>
      <w:proofErr w:type="spellEnd"/>
      <w:r>
        <w:rPr>
          <w:rFonts w:ascii="Arial" w:hAnsi="Arial" w:cs="Arial"/>
        </w:rPr>
        <w:t xml:space="preserve"> fruit extract with the ration based on ration consumption. Drinking water was provided ad libitum.</w:t>
      </w:r>
    </w:p>
    <w:p w14:paraId="032C18D5" w14:textId="77777777" w:rsidR="006D32CB" w:rsidRDefault="006D32CB">
      <w:pPr>
        <w:pStyle w:val="Body"/>
        <w:spacing w:after="0"/>
        <w:rPr>
          <w:rFonts w:ascii="Arial" w:hAnsi="Arial" w:cs="Arial"/>
        </w:rPr>
      </w:pPr>
    </w:p>
    <w:p w14:paraId="4DC1502F" w14:textId="77777777" w:rsidR="006D32CB" w:rsidRDefault="006D32CB">
      <w:pPr>
        <w:pStyle w:val="Body"/>
        <w:spacing w:after="0"/>
        <w:rPr>
          <w:rFonts w:ascii="Arial" w:hAnsi="Arial" w:cs="Arial"/>
        </w:rPr>
      </w:pPr>
    </w:p>
    <w:p w14:paraId="0C2E0CBF" w14:textId="77777777" w:rsidR="006D32CB" w:rsidRDefault="00646E4D">
      <w:pPr>
        <w:pStyle w:val="Body"/>
        <w:spacing w:after="0"/>
        <w:rPr>
          <w:rFonts w:ascii="Arial" w:hAnsi="Arial" w:cs="Arial"/>
          <w:b/>
          <w:u w:val="single"/>
        </w:rPr>
      </w:pPr>
      <w:r>
        <w:rPr>
          <w:rFonts w:ascii="Arial" w:hAnsi="Arial" w:cs="Arial"/>
          <w:b/>
          <w:u w:val="single"/>
        </w:rPr>
        <w:t>2.6.1 Liver weight measurement</w:t>
      </w:r>
    </w:p>
    <w:p w14:paraId="5DABB48E" w14:textId="77777777" w:rsidR="006D32CB" w:rsidRDefault="006D32CB">
      <w:pPr>
        <w:pStyle w:val="Body"/>
        <w:spacing w:after="0"/>
        <w:rPr>
          <w:rFonts w:ascii="Arial" w:hAnsi="Arial" w:cs="Arial"/>
        </w:rPr>
      </w:pPr>
    </w:p>
    <w:p w14:paraId="1F3A9C21" w14:textId="77777777" w:rsidR="006D32CB" w:rsidRDefault="00646E4D">
      <w:pPr>
        <w:pStyle w:val="Body"/>
        <w:spacing w:after="0"/>
        <w:rPr>
          <w:rFonts w:ascii="Arial" w:hAnsi="Arial" w:cs="Arial"/>
        </w:rPr>
      </w:pPr>
      <w:r>
        <w:rPr>
          <w:rFonts w:ascii="Arial" w:hAnsi="Arial" w:cs="Arial"/>
        </w:rPr>
        <w:t>At 35 days of age, the chickens were slaughtered in accordance with the animal welfare procedures. After slaughter, the abdominal cavity was carefully opened and the liver was removed by separating it from the gallbladder. The liver was cleaned of any rema</w:t>
      </w:r>
      <w:r>
        <w:rPr>
          <w:rFonts w:ascii="Arial" w:hAnsi="Arial" w:cs="Arial"/>
        </w:rPr>
        <w:t>ining blood using dry tissue without washing with water, so that its weight would not increase. Next, the liver was weighed using a digital scale with an accuracy of 0.001 g to obtain liver weight in grams. The body weight and liver weight data were then u</w:t>
      </w:r>
      <w:r>
        <w:rPr>
          <w:rFonts w:ascii="Arial" w:hAnsi="Arial" w:cs="Arial"/>
        </w:rPr>
        <w:t>sed to calculate the relative liver weight according to (</w:t>
      </w:r>
      <w:proofErr w:type="spellStart"/>
      <w:r>
        <w:rPr>
          <w:rFonts w:ascii="Arial" w:hAnsi="Arial" w:cs="Arial"/>
        </w:rPr>
        <w:t>Iwujia</w:t>
      </w:r>
      <w:proofErr w:type="spellEnd"/>
      <w:r>
        <w:rPr>
          <w:rFonts w:ascii="Arial" w:hAnsi="Arial" w:cs="Arial"/>
        </w:rPr>
        <w:t xml:space="preserve"> et al., 2022) using the following formula: </w:t>
      </w:r>
    </w:p>
    <w:p w14:paraId="26847116" w14:textId="77777777" w:rsidR="006D32CB" w:rsidRDefault="00646E4D">
      <w:pPr>
        <w:pStyle w:val="Body"/>
        <w:spacing w:after="0"/>
        <w:rPr>
          <w:rFonts w:ascii="Arial" w:hAnsi="Arial" w:cs="Arial"/>
        </w:rPr>
      </w:pPr>
      <w:r>
        <w:rPr>
          <w:rFonts w:ascii="Arial" w:hAnsi="Arial" w:cs="Arial"/>
        </w:rPr>
        <w:t xml:space="preserve">Relative weight of the liver (%) = </w:t>
      </w:r>
      <m:oMath>
        <m:f>
          <m:fPr>
            <m:ctrlPr>
              <w:rPr>
                <w:rFonts w:ascii="Cambria Math" w:hAnsi="Cambria Math" w:cs="Arial"/>
                <w:i/>
                <w:sz w:val="24"/>
                <w:szCs w:val="24"/>
              </w:rPr>
            </m:ctrlPr>
          </m:fPr>
          <m:num>
            <m:r>
              <m:rPr>
                <m:nor/>
              </m:rPr>
              <w:rPr>
                <w:rFonts w:ascii="Cambria Math" w:hAnsi="Cambria Math" w:cs="Arial"/>
                <w:sz w:val="24"/>
                <w:szCs w:val="24"/>
              </w:rPr>
              <m:t>liver weight</m:t>
            </m:r>
          </m:num>
          <m:den>
            <m:r>
              <m:rPr>
                <m:nor/>
              </m:rPr>
              <w:rPr>
                <w:rFonts w:ascii="Cambria Math" w:hAnsi="Cambria Math" w:cs="Arial"/>
                <w:sz w:val="24"/>
                <w:szCs w:val="24"/>
              </w:rPr>
              <m:t>live weight</m:t>
            </m:r>
          </m:den>
        </m:f>
      </m:oMath>
      <w:r>
        <w:rPr>
          <w:rFonts w:ascii="Arial" w:hAnsi="Arial" w:cs="Arial"/>
          <w:sz w:val="24"/>
          <w:szCs w:val="24"/>
        </w:rPr>
        <w:t xml:space="preserve"> </w:t>
      </w:r>
      <w:r>
        <w:rPr>
          <w:rFonts w:ascii="Arial" w:hAnsi="Arial" w:cs="Arial"/>
        </w:rPr>
        <w:t>x 100%</w:t>
      </w:r>
    </w:p>
    <w:p w14:paraId="41F31D54" w14:textId="77777777" w:rsidR="006D32CB" w:rsidRDefault="006D32CB">
      <w:pPr>
        <w:pStyle w:val="Body"/>
        <w:spacing w:after="0"/>
        <w:rPr>
          <w:rFonts w:ascii="Arial" w:hAnsi="Arial" w:cs="Arial"/>
        </w:rPr>
      </w:pPr>
    </w:p>
    <w:p w14:paraId="26B8EC2B" w14:textId="77777777" w:rsidR="006D32CB" w:rsidRDefault="00646E4D">
      <w:pPr>
        <w:pStyle w:val="Body"/>
        <w:spacing w:after="0"/>
        <w:rPr>
          <w:rFonts w:ascii="Arial" w:hAnsi="Arial" w:cs="Arial"/>
          <w:b/>
          <w:u w:val="single"/>
        </w:rPr>
      </w:pPr>
      <w:r>
        <w:rPr>
          <w:rFonts w:ascii="Arial" w:hAnsi="Arial" w:cs="Arial"/>
          <w:b/>
          <w:u w:val="single"/>
        </w:rPr>
        <w:t>2.6.2 Measurement of SGPT and SGOT</w:t>
      </w:r>
    </w:p>
    <w:p w14:paraId="1F49007E" w14:textId="77777777" w:rsidR="006D32CB" w:rsidRDefault="00646E4D">
      <w:pPr>
        <w:pStyle w:val="Body"/>
        <w:tabs>
          <w:tab w:val="left" w:pos="2266"/>
        </w:tabs>
        <w:spacing w:after="0"/>
        <w:rPr>
          <w:rFonts w:ascii="Arial" w:hAnsi="Arial" w:cs="Arial"/>
          <w:b/>
        </w:rPr>
      </w:pPr>
      <w:r>
        <w:rPr>
          <w:rFonts w:ascii="Arial" w:hAnsi="Arial" w:cs="Arial"/>
          <w:b/>
        </w:rPr>
        <w:tab/>
      </w:r>
    </w:p>
    <w:p w14:paraId="4EA4B791" w14:textId="77777777" w:rsidR="006D32CB" w:rsidRDefault="00646E4D">
      <w:pPr>
        <w:pStyle w:val="Body"/>
        <w:spacing w:after="0"/>
        <w:rPr>
          <w:rFonts w:ascii="Arial" w:hAnsi="Arial" w:cs="Arial"/>
        </w:rPr>
      </w:pPr>
      <w:r>
        <w:rPr>
          <w:rFonts w:ascii="Arial" w:hAnsi="Arial" w:cs="Arial"/>
        </w:rPr>
        <w:t>Blood samples were taken from chickens at 35</w:t>
      </w:r>
      <w:r>
        <w:rPr>
          <w:rFonts w:ascii="Arial" w:hAnsi="Arial" w:cs="Arial"/>
        </w:rPr>
        <w:t xml:space="preserve"> days of age. Blood was drawn from the brachial vein (blood vessels in the wings). The obtained blood samples were placed in tubes without anticoagulants and left at room temperature until clotting occurred. After blood clotting, the tubes were centrifuged</w:t>
      </w:r>
      <w:r>
        <w:rPr>
          <w:rFonts w:ascii="Arial" w:hAnsi="Arial" w:cs="Arial"/>
        </w:rPr>
        <w:t xml:space="preserve"> to separate the serum from blood cells. The clear serum was then pipetted and used for testing SGPT and SGOT enzyme levels. SGPT and SGOT measurements were performed using spectrophotometry with a special liver enzyme reagent kit. Serum was mixed with the</w:t>
      </w:r>
      <w:r>
        <w:rPr>
          <w:rFonts w:ascii="Arial" w:hAnsi="Arial" w:cs="Arial"/>
        </w:rPr>
        <w:t xml:space="preserve"> reagent and incubated at room temperature (270C). After the reaction, the change in absorbance of the solution was measured using a spectrophotometer at a wavelength of 340 nm. The absorbance value obtained was converted into enzyme activity units (U/L) b</w:t>
      </w:r>
      <w:r>
        <w:rPr>
          <w:rFonts w:ascii="Arial" w:hAnsi="Arial" w:cs="Arial"/>
        </w:rPr>
        <w:t>ased on a formula or conversion factor.</w:t>
      </w:r>
    </w:p>
    <w:p w14:paraId="20230EB1" w14:textId="77777777" w:rsidR="006D32CB" w:rsidRDefault="006D32CB">
      <w:pPr>
        <w:pStyle w:val="Body"/>
        <w:spacing w:after="0"/>
        <w:rPr>
          <w:rFonts w:ascii="Arial" w:hAnsi="Arial" w:cs="Arial"/>
        </w:rPr>
      </w:pPr>
    </w:p>
    <w:p w14:paraId="7BF76E0B" w14:textId="77777777" w:rsidR="006D32CB" w:rsidRDefault="00646E4D">
      <w:pPr>
        <w:pStyle w:val="Body"/>
        <w:spacing w:after="0"/>
        <w:rPr>
          <w:rFonts w:ascii="Arial" w:hAnsi="Arial" w:cs="Arial"/>
          <w:b/>
          <w:u w:val="single"/>
        </w:rPr>
      </w:pPr>
      <w:r>
        <w:rPr>
          <w:rFonts w:ascii="Arial" w:hAnsi="Arial" w:cs="Arial"/>
          <w:b/>
          <w:u w:val="single"/>
        </w:rPr>
        <w:t>2.6.3 Observation of liver color</w:t>
      </w:r>
    </w:p>
    <w:p w14:paraId="5E45A2B7" w14:textId="77777777" w:rsidR="006D32CB" w:rsidRDefault="006D32CB">
      <w:pPr>
        <w:pStyle w:val="Body"/>
        <w:spacing w:after="0"/>
        <w:rPr>
          <w:rFonts w:ascii="Arial" w:hAnsi="Arial" w:cs="Arial"/>
          <w:b/>
          <w:u w:val="single"/>
        </w:rPr>
      </w:pPr>
    </w:p>
    <w:p w14:paraId="30803719" w14:textId="77777777" w:rsidR="006D32CB" w:rsidRDefault="00646E4D">
      <w:pPr>
        <w:pStyle w:val="Body"/>
        <w:spacing w:after="0"/>
        <w:rPr>
          <w:rFonts w:ascii="Arial" w:hAnsi="Arial" w:cs="Arial"/>
        </w:rPr>
      </w:pPr>
      <w:r>
        <w:rPr>
          <w:rFonts w:ascii="Arial" w:hAnsi="Arial" w:cs="Arial"/>
        </w:rPr>
        <w:t>The heart was weighed, placed on a white base or stainless-steel tray, and visually examined under adequate lighting.</w:t>
      </w:r>
    </w:p>
    <w:p w14:paraId="41CE9425" w14:textId="77777777" w:rsidR="006D32CB" w:rsidRDefault="006D32CB">
      <w:pPr>
        <w:pStyle w:val="Body"/>
        <w:spacing w:after="0"/>
        <w:rPr>
          <w:rFonts w:ascii="Arial" w:hAnsi="Arial" w:cs="Arial"/>
        </w:rPr>
      </w:pPr>
    </w:p>
    <w:p w14:paraId="2D163605" w14:textId="77777777" w:rsidR="006D32CB" w:rsidRDefault="00646E4D">
      <w:pPr>
        <w:pStyle w:val="Body"/>
        <w:spacing w:after="0"/>
        <w:rPr>
          <w:rFonts w:ascii="Arial" w:hAnsi="Arial" w:cs="Arial"/>
          <w:b/>
        </w:rPr>
      </w:pPr>
      <w:r>
        <w:rPr>
          <w:rFonts w:ascii="Arial" w:hAnsi="Arial" w:cs="Arial"/>
          <w:b/>
        </w:rPr>
        <w:t>Table 1. Liver Color Indicators and Indications</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2143"/>
        <w:gridCol w:w="3010"/>
      </w:tblGrid>
      <w:tr w:rsidR="006D32CB" w14:paraId="1EE18C7B" w14:textId="77777777">
        <w:trPr>
          <w:tblHeader/>
          <w:tblCellSpacing w:w="15" w:type="dxa"/>
        </w:trPr>
        <w:tc>
          <w:tcPr>
            <w:tcW w:w="0" w:type="auto"/>
            <w:tcBorders>
              <w:top w:val="single" w:sz="4" w:space="0" w:color="auto"/>
              <w:bottom w:val="single" w:sz="4" w:space="0" w:color="auto"/>
            </w:tcBorders>
            <w:vAlign w:val="center"/>
          </w:tcPr>
          <w:p w14:paraId="48232AD8" w14:textId="77777777" w:rsidR="006D32CB" w:rsidRDefault="00646E4D">
            <w:pPr>
              <w:jc w:val="center"/>
              <w:rPr>
                <w:rFonts w:ascii="Arial" w:hAnsi="Arial" w:cs="Arial"/>
                <w:bCs/>
              </w:rPr>
            </w:pPr>
            <w:r>
              <w:rPr>
                <w:rFonts w:ascii="Arial" w:hAnsi="Arial" w:cs="Arial"/>
                <w:bCs/>
              </w:rPr>
              <w:t>Liver Color</w:t>
            </w:r>
          </w:p>
        </w:tc>
        <w:tc>
          <w:tcPr>
            <w:tcW w:w="0" w:type="auto"/>
            <w:tcBorders>
              <w:top w:val="single" w:sz="4" w:space="0" w:color="auto"/>
              <w:bottom w:val="single" w:sz="4" w:space="0" w:color="auto"/>
            </w:tcBorders>
            <w:vAlign w:val="center"/>
          </w:tcPr>
          <w:p w14:paraId="082F6FD2" w14:textId="77777777" w:rsidR="006D32CB" w:rsidRDefault="00646E4D">
            <w:pPr>
              <w:jc w:val="center"/>
              <w:rPr>
                <w:rFonts w:ascii="Arial" w:hAnsi="Arial" w:cs="Arial"/>
                <w:bCs/>
              </w:rPr>
            </w:pPr>
            <w:r>
              <w:rPr>
                <w:rFonts w:ascii="Arial" w:hAnsi="Arial" w:cs="Arial"/>
                <w:bCs/>
              </w:rPr>
              <w:t>General Indications</w:t>
            </w:r>
          </w:p>
        </w:tc>
      </w:tr>
      <w:tr w:rsidR="006D32CB" w14:paraId="22B72A89" w14:textId="77777777">
        <w:trPr>
          <w:tblCellSpacing w:w="15" w:type="dxa"/>
        </w:trPr>
        <w:tc>
          <w:tcPr>
            <w:tcW w:w="0" w:type="auto"/>
            <w:vAlign w:val="center"/>
          </w:tcPr>
          <w:p w14:paraId="4DD6FF35" w14:textId="77777777" w:rsidR="006D32CB" w:rsidRDefault="00646E4D">
            <w:pPr>
              <w:rPr>
                <w:rFonts w:ascii="Arial" w:hAnsi="Arial" w:cs="Arial"/>
              </w:rPr>
            </w:pPr>
            <w:r>
              <w:rPr>
                <w:rFonts w:ascii="Arial" w:hAnsi="Arial" w:cs="Arial"/>
              </w:rPr>
              <w:t>Brownish red / dark red</w:t>
            </w:r>
          </w:p>
        </w:tc>
        <w:tc>
          <w:tcPr>
            <w:tcW w:w="0" w:type="auto"/>
            <w:vAlign w:val="center"/>
          </w:tcPr>
          <w:p w14:paraId="4C097AC1" w14:textId="77777777" w:rsidR="006D32CB" w:rsidRDefault="00646E4D">
            <w:pPr>
              <w:rPr>
                <w:rFonts w:ascii="Arial" w:hAnsi="Arial" w:cs="Arial"/>
              </w:rPr>
            </w:pPr>
            <w:r>
              <w:rPr>
                <w:rFonts w:ascii="Arial" w:hAnsi="Arial" w:cs="Arial"/>
              </w:rPr>
              <w:t>Normal and healthy heart</w:t>
            </w:r>
          </w:p>
        </w:tc>
      </w:tr>
      <w:tr w:rsidR="006D32CB" w14:paraId="6E8105A6" w14:textId="77777777">
        <w:trPr>
          <w:tblCellSpacing w:w="15" w:type="dxa"/>
        </w:trPr>
        <w:tc>
          <w:tcPr>
            <w:tcW w:w="0" w:type="auto"/>
            <w:vAlign w:val="center"/>
          </w:tcPr>
          <w:p w14:paraId="67E79D3D" w14:textId="77777777" w:rsidR="006D32CB" w:rsidRDefault="00646E4D">
            <w:pPr>
              <w:rPr>
                <w:rFonts w:ascii="Arial" w:hAnsi="Arial" w:cs="Arial"/>
              </w:rPr>
            </w:pPr>
            <w:r>
              <w:rPr>
                <w:rFonts w:ascii="Arial" w:hAnsi="Arial" w:cs="Arial"/>
              </w:rPr>
              <w:t>Pale yellow / yellowish</w:t>
            </w:r>
          </w:p>
        </w:tc>
        <w:tc>
          <w:tcPr>
            <w:tcW w:w="0" w:type="auto"/>
            <w:vAlign w:val="center"/>
          </w:tcPr>
          <w:p w14:paraId="3B881456" w14:textId="77777777" w:rsidR="006D32CB" w:rsidRDefault="00646E4D">
            <w:pPr>
              <w:rPr>
                <w:rFonts w:ascii="Arial" w:hAnsi="Arial" w:cs="Arial"/>
              </w:rPr>
            </w:pPr>
            <w:r>
              <w:rPr>
                <w:rFonts w:ascii="Arial" w:hAnsi="Arial" w:cs="Arial"/>
              </w:rPr>
              <w:t>Fatty liver</w:t>
            </w:r>
          </w:p>
        </w:tc>
      </w:tr>
      <w:tr w:rsidR="006D32CB" w14:paraId="710BA53F" w14:textId="77777777">
        <w:trPr>
          <w:tblCellSpacing w:w="15" w:type="dxa"/>
        </w:trPr>
        <w:tc>
          <w:tcPr>
            <w:tcW w:w="0" w:type="auto"/>
            <w:vAlign w:val="center"/>
          </w:tcPr>
          <w:p w14:paraId="66C2AC69" w14:textId="77777777" w:rsidR="006D32CB" w:rsidRDefault="00646E4D">
            <w:pPr>
              <w:rPr>
                <w:rFonts w:ascii="Arial" w:hAnsi="Arial" w:cs="Arial"/>
              </w:rPr>
            </w:pPr>
            <w:r>
              <w:rPr>
                <w:rFonts w:ascii="Arial" w:hAnsi="Arial" w:cs="Arial"/>
              </w:rPr>
              <w:t>Pale grayish</w:t>
            </w:r>
          </w:p>
        </w:tc>
        <w:tc>
          <w:tcPr>
            <w:tcW w:w="0" w:type="auto"/>
            <w:vAlign w:val="center"/>
          </w:tcPr>
          <w:p w14:paraId="555D22C4" w14:textId="77777777" w:rsidR="006D32CB" w:rsidRDefault="00646E4D">
            <w:pPr>
              <w:rPr>
                <w:rFonts w:ascii="Arial" w:hAnsi="Arial" w:cs="Arial"/>
              </w:rPr>
            </w:pPr>
            <w:r>
              <w:rPr>
                <w:rFonts w:ascii="Arial" w:hAnsi="Arial" w:cs="Arial"/>
              </w:rPr>
              <w:t>Anemia, circulatory disorders</w:t>
            </w:r>
          </w:p>
        </w:tc>
      </w:tr>
      <w:tr w:rsidR="006D32CB" w14:paraId="6DCBB3F5" w14:textId="77777777">
        <w:trPr>
          <w:tblCellSpacing w:w="15" w:type="dxa"/>
        </w:trPr>
        <w:tc>
          <w:tcPr>
            <w:tcW w:w="0" w:type="auto"/>
            <w:vAlign w:val="center"/>
          </w:tcPr>
          <w:p w14:paraId="66CF5F3D" w14:textId="77777777" w:rsidR="006D32CB" w:rsidRDefault="00646E4D">
            <w:pPr>
              <w:rPr>
                <w:rFonts w:ascii="Arial" w:hAnsi="Arial" w:cs="Arial"/>
              </w:rPr>
            </w:pPr>
            <w:r>
              <w:rPr>
                <w:rFonts w:ascii="Arial" w:hAnsi="Arial" w:cs="Arial"/>
              </w:rPr>
              <w:t>Greenery</w:t>
            </w:r>
          </w:p>
        </w:tc>
        <w:tc>
          <w:tcPr>
            <w:tcW w:w="0" w:type="auto"/>
            <w:vAlign w:val="center"/>
          </w:tcPr>
          <w:p w14:paraId="3C85A304" w14:textId="77777777" w:rsidR="006D32CB" w:rsidRDefault="00646E4D">
            <w:pPr>
              <w:rPr>
                <w:rFonts w:ascii="Arial" w:hAnsi="Arial" w:cs="Arial"/>
              </w:rPr>
            </w:pPr>
            <w:r>
              <w:rPr>
                <w:rFonts w:ascii="Arial" w:hAnsi="Arial" w:cs="Arial"/>
              </w:rPr>
              <w:t>Gallbladder problems or infection</w:t>
            </w:r>
          </w:p>
        </w:tc>
      </w:tr>
      <w:tr w:rsidR="006D32CB" w14:paraId="217A7118" w14:textId="77777777">
        <w:trPr>
          <w:tblCellSpacing w:w="15" w:type="dxa"/>
        </w:trPr>
        <w:tc>
          <w:tcPr>
            <w:tcW w:w="0" w:type="auto"/>
            <w:vAlign w:val="center"/>
          </w:tcPr>
          <w:p w14:paraId="3AC3A03C" w14:textId="77777777" w:rsidR="006D32CB" w:rsidRDefault="00646E4D">
            <w:pPr>
              <w:rPr>
                <w:rFonts w:ascii="Arial" w:hAnsi="Arial" w:cs="Arial"/>
              </w:rPr>
            </w:pPr>
            <w:r>
              <w:rPr>
                <w:rFonts w:ascii="Arial" w:hAnsi="Arial" w:cs="Arial"/>
              </w:rPr>
              <w:t>White spots</w:t>
            </w:r>
          </w:p>
        </w:tc>
        <w:tc>
          <w:tcPr>
            <w:tcW w:w="0" w:type="auto"/>
            <w:vAlign w:val="center"/>
          </w:tcPr>
          <w:p w14:paraId="7DE6FCBA" w14:textId="77777777" w:rsidR="006D32CB" w:rsidRDefault="00646E4D">
            <w:pPr>
              <w:rPr>
                <w:rFonts w:ascii="Arial" w:hAnsi="Arial" w:cs="Arial"/>
              </w:rPr>
            </w:pPr>
            <w:r>
              <w:rPr>
                <w:rFonts w:ascii="Arial" w:hAnsi="Arial" w:cs="Arial"/>
              </w:rPr>
              <w:t>Cell degeneration / infection</w:t>
            </w:r>
          </w:p>
        </w:tc>
      </w:tr>
      <w:tr w:rsidR="006D32CB" w14:paraId="04AD18CD" w14:textId="77777777">
        <w:trPr>
          <w:tblCellSpacing w:w="15" w:type="dxa"/>
        </w:trPr>
        <w:tc>
          <w:tcPr>
            <w:tcW w:w="0" w:type="auto"/>
            <w:tcBorders>
              <w:top w:val="nil"/>
              <w:bottom w:val="single" w:sz="4" w:space="0" w:color="auto"/>
            </w:tcBorders>
            <w:vAlign w:val="center"/>
          </w:tcPr>
          <w:p w14:paraId="71517391" w14:textId="77777777" w:rsidR="006D32CB" w:rsidRDefault="00646E4D">
            <w:pPr>
              <w:rPr>
                <w:rFonts w:ascii="Arial" w:hAnsi="Arial" w:cs="Arial"/>
              </w:rPr>
            </w:pPr>
            <w:r>
              <w:rPr>
                <w:rFonts w:ascii="Arial" w:hAnsi="Arial" w:cs="Arial"/>
              </w:rPr>
              <w:t>Pitch black</w:t>
            </w:r>
          </w:p>
        </w:tc>
        <w:tc>
          <w:tcPr>
            <w:tcW w:w="0" w:type="auto"/>
            <w:tcBorders>
              <w:top w:val="nil"/>
              <w:bottom w:val="single" w:sz="4" w:space="0" w:color="auto"/>
            </w:tcBorders>
            <w:vAlign w:val="center"/>
          </w:tcPr>
          <w:p w14:paraId="5CCB7750" w14:textId="77777777" w:rsidR="006D32CB" w:rsidRDefault="00646E4D">
            <w:pPr>
              <w:rPr>
                <w:rFonts w:ascii="Arial" w:hAnsi="Arial" w:cs="Arial"/>
              </w:rPr>
            </w:pPr>
            <w:r>
              <w:rPr>
                <w:rFonts w:ascii="Arial" w:hAnsi="Arial" w:cs="Arial"/>
              </w:rPr>
              <w:t>Poisoning or necrosis</w:t>
            </w:r>
          </w:p>
        </w:tc>
      </w:tr>
    </w:tbl>
    <w:p w14:paraId="7F9D10B0" w14:textId="77777777" w:rsidR="006D32CB" w:rsidRDefault="00646E4D">
      <w:pPr>
        <w:pStyle w:val="Body"/>
        <w:spacing w:after="0"/>
        <w:rPr>
          <w:rFonts w:ascii="Arial" w:hAnsi="Arial" w:cs="Arial"/>
        </w:rPr>
      </w:pPr>
      <w:r>
        <w:rPr>
          <w:rFonts w:ascii="Arial" w:hAnsi="Arial" w:cs="Arial"/>
        </w:rPr>
        <w:t xml:space="preserve">Source : </w:t>
      </w:r>
      <w:r>
        <w:rPr>
          <w:rFonts w:ascii="Arial" w:hAnsi="Arial" w:cs="Arial"/>
        </w:rPr>
        <w:fldChar w:fldCharType="begin" w:fldLock="1"/>
      </w:r>
      <w:r>
        <w:rPr>
          <w:rFonts w:ascii="Arial" w:hAnsi="Arial" w:cs="Arial"/>
        </w:rPr>
        <w:instrText xml:space="preserve">ADDIN CSL_CITATION </w:instrText>
      </w:r>
      <w:r>
        <w:rPr>
          <w:rFonts w:ascii="Arial" w:hAnsi="Arial" w:cs="Arial"/>
        </w:rPr>
        <w:instrText>{"citationItems":[{"id":"ITEM-1","itemData":{"ISSN":"1344-3941","author":[{"dropping-particle":"","family":"Xiong","given":"Guoyuan","non-dropping-particle":"","parse-names":false,"suffix":""},{"dropping-particle":"","family":"Gao","given":"Xueqin","non-dr</w:instrText>
      </w:r>
      <w:r>
        <w:rPr>
          <w:rFonts w:ascii="Arial" w:hAnsi="Arial" w:cs="Arial"/>
        </w:rPr>
        <w:instrText>opping-particle":"","parse-names":false,"suffix":""},{"dropping-particle":"","family":"Zheng","given":"Haibo","non-dropping-particle":"","parse-names":false,"suffix":""},{"dropping-particle":"","family":"Li","given":"Xin","non-dropping-particle":"","parse-</w:instrText>
      </w:r>
      <w:r>
        <w:rPr>
          <w:rFonts w:ascii="Arial" w:hAnsi="Arial" w:cs="Arial"/>
        </w:rPr>
        <w:instrText>names":false,"suffix":""},{"dropping-particle":"","family":"Xu","given":"Xinglian","non-dropping-particle":"","parse-names":false,"suffix":""},{"dropping-particle":"","family":"Zhou","given":"Guanghong","non-dropping-particle":"","parse-names":false,"suffi</w:instrText>
      </w:r>
      <w:r>
        <w:rPr>
          <w:rFonts w:ascii="Arial" w:hAnsi="Arial" w:cs="Arial"/>
        </w:rPr>
        <w:instrText>x":""}],"container-title":"Animal Science Journal","id":"ITEM-1","issue":"6","issued":{"date-parts":[["2017"]]},"page":"893-899","publisher":"Wiley Online Library","title":"Comparison on the physico</w:instrText>
      </w:r>
      <w:r>
        <w:rPr>
          <w:rFonts w:ascii="Cambria Math" w:hAnsi="Cambria Math" w:cs="Cambria Math"/>
        </w:rPr>
        <w:instrText>‐</w:instrText>
      </w:r>
      <w:r>
        <w:rPr>
          <w:rFonts w:ascii="Arial" w:hAnsi="Arial" w:cs="Arial"/>
        </w:rPr>
        <w:instrText>chemical and nutritional qualities of normal and abnormal</w:instrText>
      </w:r>
      <w:r>
        <w:rPr>
          <w:rFonts w:ascii="Arial" w:hAnsi="Arial" w:cs="Arial"/>
        </w:rPr>
        <w:instrText xml:space="preserve"> colored fresh chicken liver","type":"article-journal","volume":"88"},"uris":["http://www.mendeley.com/documents/?uuid=20d01459-2200-4db8-abc2-b12a0ad8679f"]}],"mendeley":{"formattedCitation":"(G. Xiong et al., 2017)","manualFormatting":"Xiong et al. (2017</w:instrText>
      </w:r>
      <w:r>
        <w:rPr>
          <w:rFonts w:ascii="Arial" w:hAnsi="Arial" w:cs="Arial"/>
        </w:rPr>
        <w:instrText>)","plainTextFormattedCitation":"(G. Xiong et al., 2017)","previouslyFormattedCitation":"(G. Xiong et al., 2017)"},"properties":{"noteIndex":0},"schema":"https://github.com/citation-style-language/schema/raw/master/csl-citation.json"}</w:instrText>
      </w:r>
      <w:r>
        <w:rPr>
          <w:rFonts w:ascii="Arial" w:hAnsi="Arial" w:cs="Arial"/>
        </w:rPr>
        <w:fldChar w:fldCharType="separate"/>
      </w:r>
      <w:r>
        <w:rPr>
          <w:rFonts w:ascii="Arial" w:hAnsi="Arial" w:cs="Arial"/>
        </w:rPr>
        <w:t>Xiong et al. (2017)</w:t>
      </w:r>
      <w:r>
        <w:rPr>
          <w:rFonts w:ascii="Arial" w:hAnsi="Arial" w:cs="Arial"/>
        </w:rPr>
        <w:fldChar w:fldCharType="end"/>
      </w:r>
    </w:p>
    <w:p w14:paraId="47963430" w14:textId="77777777" w:rsidR="006D32CB" w:rsidRDefault="006D32CB">
      <w:pPr>
        <w:pStyle w:val="Body"/>
        <w:spacing w:after="0"/>
        <w:rPr>
          <w:rFonts w:ascii="Arial" w:hAnsi="Arial" w:cs="Arial"/>
        </w:rPr>
      </w:pPr>
    </w:p>
    <w:p w14:paraId="685CDFD7" w14:textId="77777777" w:rsidR="006D32CB" w:rsidRDefault="00646E4D">
      <w:pPr>
        <w:pStyle w:val="Body"/>
        <w:spacing w:after="0"/>
        <w:rPr>
          <w:rFonts w:ascii="Arial" w:hAnsi="Arial" w:cs="Arial"/>
          <w:b/>
          <w:sz w:val="22"/>
          <w:szCs w:val="22"/>
        </w:rPr>
      </w:pPr>
      <w:r>
        <w:rPr>
          <w:rFonts w:ascii="Arial" w:hAnsi="Arial" w:cs="Arial"/>
          <w:b/>
          <w:sz w:val="22"/>
          <w:szCs w:val="22"/>
        </w:rPr>
        <w:t>2.7 Statistical Analysis</w:t>
      </w:r>
    </w:p>
    <w:p w14:paraId="4E04231B" w14:textId="77777777" w:rsidR="006D32CB" w:rsidRDefault="006D32CB">
      <w:pPr>
        <w:pStyle w:val="Body"/>
        <w:spacing w:after="0"/>
        <w:rPr>
          <w:rFonts w:ascii="Arial" w:hAnsi="Arial" w:cs="Arial"/>
        </w:rPr>
      </w:pPr>
    </w:p>
    <w:p w14:paraId="0FC3A126" w14:textId="77777777" w:rsidR="006D32CB" w:rsidRDefault="00646E4D">
      <w:pPr>
        <w:pStyle w:val="Body"/>
        <w:spacing w:after="0"/>
        <w:rPr>
          <w:rFonts w:ascii="Arial" w:hAnsi="Arial" w:cs="Arial"/>
        </w:rPr>
      </w:pPr>
      <w:r>
        <w:rPr>
          <w:rFonts w:ascii="Arial" w:hAnsi="Arial" w:cs="Arial"/>
        </w:rPr>
        <w:t>Data were analyzed at a significance level of 5%. If a significant effect was observed, Duncan's test was performed at a significance level of 5% to determine the differences between treatments (</w:t>
      </w:r>
      <w:proofErr w:type="spellStart"/>
      <w:r>
        <w:rPr>
          <w:rFonts w:ascii="Arial" w:hAnsi="Arial" w:cs="Arial"/>
        </w:rPr>
        <w:t>Gasperz</w:t>
      </w:r>
      <w:proofErr w:type="spellEnd"/>
      <w:r>
        <w:rPr>
          <w:rFonts w:ascii="Arial" w:hAnsi="Arial" w:cs="Arial"/>
        </w:rPr>
        <w:t>, 2006).</w:t>
      </w:r>
    </w:p>
    <w:p w14:paraId="5F09D637" w14:textId="77777777" w:rsidR="006D32CB" w:rsidRDefault="006D32CB">
      <w:pPr>
        <w:pStyle w:val="Body"/>
        <w:spacing w:after="0"/>
        <w:rPr>
          <w:rFonts w:ascii="Arial" w:hAnsi="Arial" w:cs="Arial"/>
        </w:rPr>
      </w:pPr>
    </w:p>
    <w:p w14:paraId="176BEAA7" w14:textId="77777777" w:rsidR="006D32CB" w:rsidRDefault="00646E4D">
      <w:pPr>
        <w:pStyle w:val="Head1"/>
        <w:spacing w:after="0"/>
        <w:jc w:val="both"/>
        <w:rPr>
          <w:rFonts w:ascii="Arial" w:hAnsi="Arial" w:cs="Arial"/>
        </w:rPr>
      </w:pPr>
      <w:r>
        <w:rPr>
          <w:rFonts w:ascii="Arial" w:hAnsi="Arial" w:cs="Arial"/>
        </w:rPr>
        <w:t>3. results and d</w:t>
      </w:r>
      <w:r>
        <w:rPr>
          <w:rFonts w:ascii="Arial" w:hAnsi="Arial" w:cs="Arial"/>
        </w:rPr>
        <w:t>iscussion</w:t>
      </w:r>
    </w:p>
    <w:p w14:paraId="317BB7F3" w14:textId="77777777" w:rsidR="00EB74B6" w:rsidRDefault="00EB74B6">
      <w:pPr>
        <w:pStyle w:val="Head1"/>
        <w:spacing w:after="0"/>
        <w:jc w:val="both"/>
        <w:rPr>
          <w:rFonts w:ascii="Arial" w:hAnsi="Arial" w:cs="Arial"/>
        </w:rPr>
      </w:pPr>
    </w:p>
    <w:p w14:paraId="60B99477" w14:textId="77777777" w:rsidR="00671583" w:rsidRPr="00671583" w:rsidRDefault="00731E9A" w:rsidP="00671583">
      <w:pPr>
        <w:pStyle w:val="Head1"/>
        <w:spacing w:after="0"/>
        <w:jc w:val="both"/>
        <w:rPr>
          <w:rFonts w:ascii="Arial" w:hAnsi="Arial" w:cs="Arial"/>
          <w:sz w:val="20"/>
          <w:szCs w:val="18"/>
        </w:rPr>
      </w:pPr>
      <w:r w:rsidRPr="00671583">
        <w:rPr>
          <w:rFonts w:ascii="Arial" w:hAnsi="Arial" w:cs="Arial"/>
          <w:sz w:val="20"/>
          <w:szCs w:val="18"/>
        </w:rPr>
        <w:t>Table</w:t>
      </w:r>
      <w:r w:rsidR="00EB74B6" w:rsidRPr="00671583">
        <w:rPr>
          <w:rFonts w:ascii="Arial" w:hAnsi="Arial" w:cs="Arial"/>
          <w:sz w:val="20"/>
          <w:szCs w:val="18"/>
        </w:rPr>
        <w:t xml:space="preserve"> 2: </w:t>
      </w:r>
      <w:r w:rsidR="00671583" w:rsidRPr="00671583">
        <w:rPr>
          <w:rFonts w:ascii="Arial" w:hAnsi="Arial" w:cs="Arial"/>
          <w:caps w:val="0"/>
          <w:sz w:val="20"/>
          <w:szCs w:val="18"/>
        </w:rPr>
        <w:t>Measurement of Liver Weight, SGPT, SGOT and Final Weight after four Treatments</w:t>
      </w:r>
    </w:p>
    <w:p w14:paraId="2215C703" w14:textId="4A819191" w:rsidR="006D32CB" w:rsidRDefault="006D32CB" w:rsidP="00671583">
      <w:pPr>
        <w:pStyle w:val="Head1"/>
        <w:spacing w:after="0"/>
        <w:jc w:val="both"/>
        <w:rPr>
          <w:rFonts w:ascii="Arial" w:hAnsi="Arial" w:cs="Arial"/>
        </w:rPr>
      </w:pP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279"/>
        <w:gridCol w:w="1279"/>
        <w:gridCol w:w="1279"/>
        <w:gridCol w:w="1279"/>
        <w:gridCol w:w="1275"/>
      </w:tblGrid>
      <w:tr w:rsidR="006D32CB" w14:paraId="5E29104B" w14:textId="77777777" w:rsidTr="00EB74B6">
        <w:trPr>
          <w:jc w:val="center"/>
        </w:trPr>
        <w:tc>
          <w:tcPr>
            <w:tcW w:w="1207" w:type="pct"/>
            <w:tcBorders>
              <w:top w:val="single" w:sz="4" w:space="0" w:color="000000"/>
              <w:bottom w:val="single" w:sz="4" w:space="0" w:color="auto"/>
            </w:tcBorders>
          </w:tcPr>
          <w:p w14:paraId="3880765D"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Parameter</w:t>
            </w:r>
          </w:p>
        </w:tc>
        <w:tc>
          <w:tcPr>
            <w:tcW w:w="759" w:type="pct"/>
            <w:tcBorders>
              <w:top w:val="single" w:sz="4" w:space="0" w:color="000000"/>
              <w:bottom w:val="single" w:sz="4" w:space="0" w:color="auto"/>
            </w:tcBorders>
          </w:tcPr>
          <w:p w14:paraId="33499112"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T0</w:t>
            </w:r>
          </w:p>
        </w:tc>
        <w:tc>
          <w:tcPr>
            <w:tcW w:w="759" w:type="pct"/>
            <w:tcBorders>
              <w:top w:val="single" w:sz="4" w:space="0" w:color="000000"/>
              <w:bottom w:val="single" w:sz="4" w:space="0" w:color="auto"/>
            </w:tcBorders>
          </w:tcPr>
          <w:p w14:paraId="284F3DBA"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T1</w:t>
            </w:r>
          </w:p>
        </w:tc>
        <w:tc>
          <w:tcPr>
            <w:tcW w:w="759" w:type="pct"/>
            <w:tcBorders>
              <w:top w:val="single" w:sz="4" w:space="0" w:color="000000"/>
              <w:bottom w:val="single" w:sz="4" w:space="0" w:color="auto"/>
            </w:tcBorders>
          </w:tcPr>
          <w:p w14:paraId="02FFC86A"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T2</w:t>
            </w:r>
          </w:p>
        </w:tc>
        <w:tc>
          <w:tcPr>
            <w:tcW w:w="759" w:type="pct"/>
            <w:tcBorders>
              <w:top w:val="single" w:sz="4" w:space="0" w:color="000000"/>
              <w:bottom w:val="single" w:sz="4" w:space="0" w:color="auto"/>
            </w:tcBorders>
          </w:tcPr>
          <w:p w14:paraId="29B834B2"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T3</w:t>
            </w:r>
          </w:p>
        </w:tc>
        <w:tc>
          <w:tcPr>
            <w:tcW w:w="759" w:type="pct"/>
            <w:tcBorders>
              <w:top w:val="single" w:sz="4" w:space="0" w:color="000000"/>
              <w:bottom w:val="single" w:sz="4" w:space="0" w:color="auto"/>
            </w:tcBorders>
          </w:tcPr>
          <w:p w14:paraId="1ACA4E43"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P-Value</w:t>
            </w:r>
          </w:p>
        </w:tc>
      </w:tr>
      <w:tr w:rsidR="006D32CB" w14:paraId="5A0B8D50" w14:textId="77777777" w:rsidTr="00EB74B6">
        <w:trPr>
          <w:jc w:val="center"/>
        </w:trPr>
        <w:tc>
          <w:tcPr>
            <w:tcW w:w="1207" w:type="pct"/>
            <w:tcBorders>
              <w:top w:val="single" w:sz="4" w:space="0" w:color="auto"/>
            </w:tcBorders>
          </w:tcPr>
          <w:p w14:paraId="6862F0AC" w14:textId="77777777" w:rsidR="006D32CB" w:rsidRDefault="00646E4D">
            <w:pPr>
              <w:jc w:val="both"/>
              <w:rPr>
                <w:rFonts w:ascii="Arial" w:eastAsia="Calibri" w:hAnsi="Arial" w:cs="Arial"/>
                <w:sz w:val="20"/>
                <w:szCs w:val="20"/>
                <w:lang w:val="en-GB" w:eastAsia="en-GB"/>
              </w:rPr>
            </w:pPr>
            <w:r>
              <w:rPr>
                <w:rFonts w:ascii="Arial" w:eastAsia="Calibri" w:hAnsi="Arial" w:cs="Arial"/>
                <w:sz w:val="20"/>
                <w:szCs w:val="20"/>
                <w:lang w:val="en-GB" w:eastAsia="en-GB"/>
              </w:rPr>
              <w:t>Relative weight of the liver (%)</w:t>
            </w:r>
          </w:p>
        </w:tc>
        <w:tc>
          <w:tcPr>
            <w:tcW w:w="759" w:type="pct"/>
            <w:tcBorders>
              <w:top w:val="single" w:sz="4" w:space="0" w:color="auto"/>
            </w:tcBorders>
          </w:tcPr>
          <w:p w14:paraId="36B7F81C"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2,68</w:t>
            </w:r>
          </w:p>
        </w:tc>
        <w:tc>
          <w:tcPr>
            <w:tcW w:w="759" w:type="pct"/>
            <w:tcBorders>
              <w:top w:val="single" w:sz="4" w:space="0" w:color="auto"/>
            </w:tcBorders>
          </w:tcPr>
          <w:p w14:paraId="4AB62D27"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2,48</w:t>
            </w:r>
          </w:p>
        </w:tc>
        <w:tc>
          <w:tcPr>
            <w:tcW w:w="759" w:type="pct"/>
            <w:tcBorders>
              <w:top w:val="single" w:sz="4" w:space="0" w:color="auto"/>
            </w:tcBorders>
          </w:tcPr>
          <w:p w14:paraId="49EF08FC"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2,69</w:t>
            </w:r>
          </w:p>
        </w:tc>
        <w:tc>
          <w:tcPr>
            <w:tcW w:w="759" w:type="pct"/>
            <w:tcBorders>
              <w:top w:val="single" w:sz="4" w:space="0" w:color="auto"/>
            </w:tcBorders>
          </w:tcPr>
          <w:p w14:paraId="723880E3"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2,57</w:t>
            </w:r>
          </w:p>
        </w:tc>
        <w:tc>
          <w:tcPr>
            <w:tcW w:w="759" w:type="pct"/>
            <w:tcBorders>
              <w:top w:val="single" w:sz="4" w:space="0" w:color="auto"/>
            </w:tcBorders>
          </w:tcPr>
          <w:p w14:paraId="7CB58065"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0.84</w:t>
            </w:r>
          </w:p>
        </w:tc>
      </w:tr>
      <w:tr w:rsidR="006D32CB" w14:paraId="7D1B6B7D" w14:textId="77777777" w:rsidTr="00EB74B6">
        <w:trPr>
          <w:jc w:val="center"/>
        </w:trPr>
        <w:tc>
          <w:tcPr>
            <w:tcW w:w="1207" w:type="pct"/>
          </w:tcPr>
          <w:p w14:paraId="08392230" w14:textId="77777777" w:rsidR="006D32CB" w:rsidRDefault="00646E4D">
            <w:pPr>
              <w:jc w:val="both"/>
              <w:rPr>
                <w:rFonts w:ascii="Arial" w:eastAsia="Calibri" w:hAnsi="Arial" w:cs="Arial"/>
                <w:sz w:val="20"/>
                <w:szCs w:val="20"/>
                <w:lang w:val="en-GB" w:eastAsia="en-GB"/>
              </w:rPr>
            </w:pPr>
            <w:r>
              <w:rPr>
                <w:rFonts w:ascii="Arial" w:eastAsia="Calibri" w:hAnsi="Arial" w:cs="Arial"/>
                <w:sz w:val="20"/>
                <w:szCs w:val="20"/>
                <w:lang w:val="en-GB" w:eastAsia="en-GB"/>
              </w:rPr>
              <w:t>SGPT (U/L)</w:t>
            </w:r>
          </w:p>
        </w:tc>
        <w:tc>
          <w:tcPr>
            <w:tcW w:w="759" w:type="pct"/>
          </w:tcPr>
          <w:p w14:paraId="12E1430A"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10,45</w:t>
            </w:r>
          </w:p>
        </w:tc>
        <w:tc>
          <w:tcPr>
            <w:tcW w:w="759" w:type="pct"/>
          </w:tcPr>
          <w:p w14:paraId="66D58191"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12,72</w:t>
            </w:r>
          </w:p>
        </w:tc>
        <w:tc>
          <w:tcPr>
            <w:tcW w:w="759" w:type="pct"/>
          </w:tcPr>
          <w:p w14:paraId="27D87497"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11,84</w:t>
            </w:r>
          </w:p>
        </w:tc>
        <w:tc>
          <w:tcPr>
            <w:tcW w:w="759" w:type="pct"/>
          </w:tcPr>
          <w:p w14:paraId="35FD8153"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11,90</w:t>
            </w:r>
          </w:p>
        </w:tc>
        <w:tc>
          <w:tcPr>
            <w:tcW w:w="759" w:type="pct"/>
          </w:tcPr>
          <w:p w14:paraId="59571708"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0.28</w:t>
            </w:r>
          </w:p>
        </w:tc>
      </w:tr>
      <w:tr w:rsidR="006D32CB" w14:paraId="385C07B6" w14:textId="77777777" w:rsidTr="00EB74B6">
        <w:trPr>
          <w:jc w:val="center"/>
        </w:trPr>
        <w:tc>
          <w:tcPr>
            <w:tcW w:w="1207" w:type="pct"/>
          </w:tcPr>
          <w:p w14:paraId="1FF79598" w14:textId="77777777" w:rsidR="006D32CB" w:rsidRDefault="00646E4D">
            <w:pPr>
              <w:jc w:val="both"/>
              <w:rPr>
                <w:rFonts w:ascii="Arial" w:eastAsia="Calibri" w:hAnsi="Arial" w:cs="Arial"/>
                <w:sz w:val="20"/>
                <w:szCs w:val="20"/>
                <w:lang w:val="en-GB" w:eastAsia="en-GB"/>
              </w:rPr>
            </w:pPr>
            <w:r>
              <w:rPr>
                <w:rFonts w:ascii="Arial" w:eastAsia="Calibri" w:hAnsi="Arial" w:cs="Arial"/>
                <w:sz w:val="20"/>
                <w:szCs w:val="20"/>
                <w:lang w:val="en-GB" w:eastAsia="en-GB"/>
              </w:rPr>
              <w:t>SGOT (U/L)</w:t>
            </w:r>
          </w:p>
        </w:tc>
        <w:tc>
          <w:tcPr>
            <w:tcW w:w="759" w:type="pct"/>
          </w:tcPr>
          <w:p w14:paraId="7832B35E"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110,43</w:t>
            </w:r>
          </w:p>
        </w:tc>
        <w:tc>
          <w:tcPr>
            <w:tcW w:w="759" w:type="pct"/>
          </w:tcPr>
          <w:p w14:paraId="4C182478"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120,42</w:t>
            </w:r>
          </w:p>
        </w:tc>
        <w:tc>
          <w:tcPr>
            <w:tcW w:w="759" w:type="pct"/>
          </w:tcPr>
          <w:p w14:paraId="553BEB3B"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115,23</w:t>
            </w:r>
          </w:p>
        </w:tc>
        <w:tc>
          <w:tcPr>
            <w:tcW w:w="759" w:type="pct"/>
          </w:tcPr>
          <w:p w14:paraId="76BC15E4"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115,42</w:t>
            </w:r>
          </w:p>
        </w:tc>
        <w:tc>
          <w:tcPr>
            <w:tcW w:w="759" w:type="pct"/>
          </w:tcPr>
          <w:p w14:paraId="28A0B567"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0.09</w:t>
            </w:r>
          </w:p>
        </w:tc>
      </w:tr>
      <w:tr w:rsidR="006D32CB" w14:paraId="09D8D554" w14:textId="77777777" w:rsidTr="00EB74B6">
        <w:trPr>
          <w:jc w:val="center"/>
        </w:trPr>
        <w:tc>
          <w:tcPr>
            <w:tcW w:w="1207" w:type="pct"/>
          </w:tcPr>
          <w:p w14:paraId="3DA09C0C" w14:textId="77777777" w:rsidR="006D32CB" w:rsidRDefault="00646E4D">
            <w:pPr>
              <w:jc w:val="both"/>
              <w:rPr>
                <w:rFonts w:ascii="Arial" w:eastAsia="Calibri" w:hAnsi="Arial" w:cs="Arial"/>
                <w:sz w:val="20"/>
                <w:szCs w:val="20"/>
                <w:lang w:val="en-GB" w:eastAsia="en-GB"/>
              </w:rPr>
            </w:pPr>
            <w:r>
              <w:rPr>
                <w:rFonts w:ascii="Arial" w:eastAsia="Calibri" w:hAnsi="Arial" w:cs="Arial"/>
                <w:sz w:val="20"/>
                <w:szCs w:val="20"/>
                <w:lang w:val="en-GB" w:eastAsia="en-GB"/>
              </w:rPr>
              <w:t>Final Weight (kg)</w:t>
            </w:r>
          </w:p>
        </w:tc>
        <w:tc>
          <w:tcPr>
            <w:tcW w:w="759" w:type="pct"/>
          </w:tcPr>
          <w:p w14:paraId="558F4469"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2.00</w:t>
            </w:r>
            <w:r>
              <w:rPr>
                <w:rFonts w:ascii="Arial" w:eastAsia="Calibri" w:hAnsi="Arial" w:cs="Arial"/>
                <w:sz w:val="20"/>
                <w:szCs w:val="20"/>
                <w:vertAlign w:val="superscript"/>
                <w:lang w:val="en-GB" w:eastAsia="en-GB"/>
              </w:rPr>
              <w:t>b</w:t>
            </w:r>
          </w:p>
        </w:tc>
        <w:tc>
          <w:tcPr>
            <w:tcW w:w="759" w:type="pct"/>
          </w:tcPr>
          <w:p w14:paraId="744057FE"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1.87</w:t>
            </w:r>
            <w:r>
              <w:rPr>
                <w:rFonts w:ascii="Arial" w:eastAsia="Calibri" w:hAnsi="Arial" w:cs="Arial"/>
                <w:sz w:val="20"/>
                <w:szCs w:val="20"/>
                <w:vertAlign w:val="superscript"/>
                <w:lang w:val="en-GB" w:eastAsia="en-GB"/>
              </w:rPr>
              <w:t>c</w:t>
            </w:r>
          </w:p>
        </w:tc>
        <w:tc>
          <w:tcPr>
            <w:tcW w:w="759" w:type="pct"/>
          </w:tcPr>
          <w:p w14:paraId="637CA208"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2.05</w:t>
            </w:r>
            <w:r>
              <w:rPr>
                <w:rFonts w:ascii="Arial" w:eastAsia="Calibri" w:hAnsi="Arial" w:cs="Arial"/>
                <w:sz w:val="20"/>
                <w:szCs w:val="20"/>
                <w:vertAlign w:val="superscript"/>
                <w:lang w:val="en-GB" w:eastAsia="en-GB"/>
              </w:rPr>
              <w:t>b</w:t>
            </w:r>
          </w:p>
        </w:tc>
        <w:tc>
          <w:tcPr>
            <w:tcW w:w="759" w:type="pct"/>
          </w:tcPr>
          <w:p w14:paraId="3F61095D"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2.16</w:t>
            </w:r>
            <w:r>
              <w:rPr>
                <w:rFonts w:ascii="Arial" w:eastAsia="Calibri" w:hAnsi="Arial" w:cs="Arial"/>
                <w:sz w:val="20"/>
                <w:szCs w:val="20"/>
                <w:vertAlign w:val="superscript"/>
                <w:lang w:val="en-GB" w:eastAsia="en-GB"/>
              </w:rPr>
              <w:t>a</w:t>
            </w:r>
          </w:p>
        </w:tc>
        <w:tc>
          <w:tcPr>
            <w:tcW w:w="759" w:type="pct"/>
          </w:tcPr>
          <w:p w14:paraId="08B10350" w14:textId="77777777" w:rsidR="006D32CB" w:rsidRDefault="00646E4D">
            <w:pPr>
              <w:jc w:val="center"/>
              <w:rPr>
                <w:rFonts w:ascii="Arial" w:eastAsia="Calibri" w:hAnsi="Arial" w:cs="Arial"/>
                <w:sz w:val="20"/>
                <w:szCs w:val="20"/>
                <w:lang w:val="en-GB" w:eastAsia="en-GB"/>
              </w:rPr>
            </w:pPr>
            <w:r>
              <w:rPr>
                <w:rFonts w:ascii="Arial" w:eastAsia="Calibri" w:hAnsi="Arial" w:cs="Arial"/>
                <w:sz w:val="20"/>
                <w:szCs w:val="20"/>
                <w:lang w:val="en-GB" w:eastAsia="en-GB"/>
              </w:rPr>
              <w:t>0.00</w:t>
            </w:r>
          </w:p>
        </w:tc>
      </w:tr>
    </w:tbl>
    <w:p w14:paraId="5E7CB302" w14:textId="77777777" w:rsidR="006D32CB" w:rsidRDefault="00646E4D">
      <w:pPr>
        <w:jc w:val="both"/>
        <w:rPr>
          <w:rFonts w:ascii="Arial" w:hAnsi="Arial" w:cs="Arial"/>
          <w:lang w:val="en-GB" w:eastAsia="en-GB"/>
        </w:rPr>
      </w:pPr>
      <w:proofErr w:type="spellStart"/>
      <w:r>
        <w:rPr>
          <w:rFonts w:ascii="Arial" w:hAnsi="Arial" w:cs="Arial"/>
          <w:vertAlign w:val="superscript"/>
          <w:lang w:val="en-GB" w:eastAsia="en-GB"/>
        </w:rPr>
        <w:t>abc</w:t>
      </w:r>
      <w:r>
        <w:rPr>
          <w:rFonts w:ascii="Arial" w:hAnsi="Arial" w:cs="Arial"/>
          <w:lang w:val="en-GB" w:eastAsia="en-GB"/>
        </w:rPr>
        <w:t>Different</w:t>
      </w:r>
      <w:proofErr w:type="spellEnd"/>
      <w:r>
        <w:rPr>
          <w:rFonts w:ascii="Arial" w:hAnsi="Arial" w:cs="Arial"/>
          <w:lang w:val="en-GB" w:eastAsia="en-GB"/>
        </w:rPr>
        <w:t xml:space="preserve"> superscripts on the same line indicate significant differences (P&lt;0.05)</w:t>
      </w:r>
    </w:p>
    <w:p w14:paraId="70EC361B" w14:textId="77777777" w:rsidR="006D32CB" w:rsidRDefault="006D32CB">
      <w:pPr>
        <w:jc w:val="both"/>
        <w:rPr>
          <w:rFonts w:ascii="Arial" w:hAnsi="Arial" w:cs="Arial"/>
          <w:lang w:val="en-GB" w:eastAsia="en-GB"/>
        </w:rPr>
      </w:pPr>
    </w:p>
    <w:p w14:paraId="30E4969B" w14:textId="77777777" w:rsidR="006D32CB" w:rsidRDefault="00646E4D">
      <w:pPr>
        <w:jc w:val="both"/>
        <w:rPr>
          <w:rFonts w:ascii="Arial" w:hAnsi="Arial" w:cs="Arial"/>
          <w:b/>
          <w:lang w:val="en-GB" w:eastAsia="en-GB"/>
        </w:rPr>
      </w:pPr>
      <w:r>
        <w:rPr>
          <w:rFonts w:ascii="Arial" w:hAnsi="Arial" w:cs="Arial"/>
          <w:b/>
          <w:lang w:val="en-GB" w:eastAsia="en-GB"/>
        </w:rPr>
        <w:t>3.1. Relative Weight of Broiler Chicken Livers</w:t>
      </w:r>
    </w:p>
    <w:p w14:paraId="4C728842" w14:textId="77777777" w:rsidR="006D32CB" w:rsidRDefault="006D32CB">
      <w:pPr>
        <w:jc w:val="both"/>
        <w:rPr>
          <w:rFonts w:ascii="Arial" w:hAnsi="Arial" w:cs="Arial"/>
          <w:lang w:val="en-GB" w:eastAsia="en-GB"/>
        </w:rPr>
      </w:pPr>
    </w:p>
    <w:p w14:paraId="60E21E8C" w14:textId="77777777" w:rsidR="006D32CB" w:rsidRDefault="00646E4D">
      <w:pPr>
        <w:jc w:val="both"/>
        <w:rPr>
          <w:rFonts w:ascii="Arial" w:hAnsi="Arial" w:cs="Arial"/>
          <w:lang w:val="en-GB" w:eastAsia="en-GB"/>
        </w:rPr>
      </w:pPr>
      <w:r>
        <w:rPr>
          <w:rFonts w:ascii="Arial" w:hAnsi="Arial" w:cs="Arial"/>
          <w:lang w:val="en-GB" w:eastAsia="en-GB"/>
        </w:rPr>
        <w:t xml:space="preserve">The relative weight of the liver in 35-day-old broiler chickens administered </w:t>
      </w:r>
      <w:proofErr w:type="spellStart"/>
      <w:r>
        <w:rPr>
          <w:rFonts w:ascii="Arial" w:hAnsi="Arial" w:cs="Arial"/>
          <w:lang w:val="en-GB" w:eastAsia="en-GB"/>
        </w:rPr>
        <w:t>parijoto</w:t>
      </w:r>
      <w:proofErr w:type="spellEnd"/>
      <w:r>
        <w:rPr>
          <w:rFonts w:ascii="Arial" w:hAnsi="Arial" w:cs="Arial"/>
          <w:lang w:val="en-GB" w:eastAsia="en-GB"/>
        </w:rPr>
        <w:t xml:space="preserve"> fruit extract </w:t>
      </w:r>
      <w:proofErr w:type="spellStart"/>
      <w:r>
        <w:rPr>
          <w:rFonts w:ascii="Arial" w:hAnsi="Arial" w:cs="Arial"/>
          <w:lang w:eastAsia="en-GB"/>
        </w:rPr>
        <w:t>en</w:t>
      </w:r>
      <w:r>
        <w:rPr>
          <w:rFonts w:ascii="Arial" w:hAnsi="Arial" w:cs="Arial"/>
          <w:lang w:val="en-GB" w:eastAsia="en-GB"/>
        </w:rPr>
        <w:t>capsul</w:t>
      </w:r>
      <w:r>
        <w:rPr>
          <w:rFonts w:ascii="Arial" w:hAnsi="Arial" w:cs="Arial"/>
          <w:lang w:eastAsia="en-GB"/>
        </w:rPr>
        <w:t>ated</w:t>
      </w:r>
      <w:proofErr w:type="spellEnd"/>
      <w:r>
        <w:rPr>
          <w:rFonts w:ascii="Arial" w:hAnsi="Arial" w:cs="Arial"/>
          <w:lang w:val="en-GB" w:eastAsia="en-GB"/>
        </w:rPr>
        <w:t xml:space="preserve"> daily did not interfere with the liver weight. The addition of </w:t>
      </w:r>
      <w:proofErr w:type="spellStart"/>
      <w:r>
        <w:rPr>
          <w:rFonts w:ascii="Arial" w:hAnsi="Arial" w:cs="Arial"/>
          <w:lang w:val="en-GB" w:eastAsia="en-GB"/>
        </w:rPr>
        <w:t>parijoto</w:t>
      </w:r>
      <w:proofErr w:type="spellEnd"/>
      <w:r>
        <w:rPr>
          <w:rFonts w:ascii="Arial" w:hAnsi="Arial" w:cs="Arial"/>
          <w:lang w:val="en-GB" w:eastAsia="en-GB"/>
        </w:rPr>
        <w:t xml:space="preserve"> fruit extract </w:t>
      </w:r>
      <w:proofErr w:type="spellStart"/>
      <w:r>
        <w:rPr>
          <w:rFonts w:ascii="Arial" w:hAnsi="Arial" w:cs="Arial"/>
          <w:lang w:eastAsia="en-GB"/>
        </w:rPr>
        <w:t>en</w:t>
      </w:r>
      <w:r>
        <w:rPr>
          <w:rFonts w:ascii="Arial" w:hAnsi="Arial" w:cs="Arial"/>
          <w:lang w:val="en-GB" w:eastAsia="en-GB"/>
        </w:rPr>
        <w:t>capsul</w:t>
      </w:r>
      <w:r>
        <w:rPr>
          <w:rFonts w:ascii="Arial" w:hAnsi="Arial" w:cs="Arial"/>
          <w:lang w:eastAsia="en-GB"/>
        </w:rPr>
        <w:t>ated</w:t>
      </w:r>
      <w:proofErr w:type="spellEnd"/>
      <w:r>
        <w:rPr>
          <w:rFonts w:ascii="Arial" w:hAnsi="Arial" w:cs="Arial"/>
          <w:lang w:val="en-GB" w:eastAsia="en-GB"/>
        </w:rPr>
        <w:t xml:space="preserve"> in the feed did not have a significant effec</w:t>
      </w:r>
      <w:r>
        <w:rPr>
          <w:rFonts w:ascii="Arial" w:hAnsi="Arial" w:cs="Arial"/>
          <w:lang w:val="en-GB" w:eastAsia="en-GB"/>
        </w:rPr>
        <w:t>t on the liver weight of broiler chickens because its bioactive compounds, such as flavonoids, tannins, and antioxidants, work more effectively than causing structural changes in the liver. These compounds help maintain liver cell function against oxidativ</w:t>
      </w:r>
      <w:r>
        <w:rPr>
          <w:rFonts w:ascii="Arial" w:hAnsi="Arial" w:cs="Arial"/>
          <w:lang w:val="en-GB" w:eastAsia="en-GB"/>
        </w:rPr>
        <w:t xml:space="preserve">e stress and toxins, thereby preventing enlargement (hepatomegaly) or shrinkage of the organ (Y. Li, Wang, &amp; Li, 2024). In addition, the doses of </w:t>
      </w:r>
      <w:proofErr w:type="spellStart"/>
      <w:r>
        <w:rPr>
          <w:rFonts w:ascii="Arial" w:hAnsi="Arial" w:cs="Arial"/>
          <w:lang w:val="en-GB" w:eastAsia="en-GB"/>
        </w:rPr>
        <w:t>parijoto</w:t>
      </w:r>
      <w:proofErr w:type="spellEnd"/>
      <w:r>
        <w:rPr>
          <w:rFonts w:ascii="Arial" w:hAnsi="Arial" w:cs="Arial"/>
          <w:lang w:val="en-GB" w:eastAsia="en-GB"/>
        </w:rPr>
        <w:t xml:space="preserve"> extract and encapsulated extract administered were still within safe limits; therefore, they did not </w:t>
      </w:r>
      <w:r>
        <w:rPr>
          <w:rFonts w:ascii="Arial" w:hAnsi="Arial" w:cs="Arial"/>
          <w:lang w:val="en-GB" w:eastAsia="en-GB"/>
        </w:rPr>
        <w:t xml:space="preserve">cause toxic effects that could stimulate excessive increases in liver metabolic activity. The liver continues to function normally in detoxification, fat metabolism, and protein metabolism without significant changes in size. The absence of differences in </w:t>
      </w:r>
      <w:r>
        <w:rPr>
          <w:rFonts w:ascii="Arial" w:hAnsi="Arial" w:cs="Arial"/>
          <w:lang w:val="en-GB" w:eastAsia="en-GB"/>
        </w:rPr>
        <w:t xml:space="preserve">liver weight also indicates that </w:t>
      </w:r>
      <w:proofErr w:type="spellStart"/>
      <w:r>
        <w:rPr>
          <w:rFonts w:ascii="Arial" w:hAnsi="Arial" w:cs="Arial"/>
          <w:lang w:val="en-GB" w:eastAsia="en-GB"/>
        </w:rPr>
        <w:t>parijoto</w:t>
      </w:r>
      <w:proofErr w:type="spellEnd"/>
      <w:r>
        <w:rPr>
          <w:rFonts w:ascii="Arial" w:hAnsi="Arial" w:cs="Arial"/>
          <w:lang w:val="en-GB" w:eastAsia="en-GB"/>
        </w:rPr>
        <w:t xml:space="preserve"> extract and </w:t>
      </w:r>
      <w:proofErr w:type="spellStart"/>
      <w:r>
        <w:rPr>
          <w:rFonts w:ascii="Arial" w:hAnsi="Arial" w:cs="Arial"/>
          <w:lang w:eastAsia="en-GB"/>
        </w:rPr>
        <w:t>en</w:t>
      </w:r>
      <w:r>
        <w:rPr>
          <w:rFonts w:ascii="Arial" w:hAnsi="Arial" w:cs="Arial"/>
          <w:lang w:val="en-GB" w:eastAsia="en-GB"/>
        </w:rPr>
        <w:t>capsul</w:t>
      </w:r>
      <w:r>
        <w:rPr>
          <w:rFonts w:ascii="Arial" w:hAnsi="Arial" w:cs="Arial"/>
          <w:lang w:eastAsia="en-GB"/>
        </w:rPr>
        <w:t>ation</w:t>
      </w:r>
      <w:proofErr w:type="spellEnd"/>
      <w:r>
        <w:rPr>
          <w:rFonts w:ascii="Arial" w:hAnsi="Arial" w:cs="Arial"/>
          <w:lang w:val="en-GB" w:eastAsia="en-GB"/>
        </w:rPr>
        <w:t xml:space="preserve"> do not cause fat accumulation in the liver (fatty liver) or liver tissue damage. This indicates that nutrient metabolism remains balanced, so liver weight remains relatively stable</w:t>
      </w:r>
      <w:r>
        <w:t>.</w:t>
      </w:r>
    </w:p>
    <w:p w14:paraId="5DBAC124" w14:textId="77777777" w:rsidR="006D32CB" w:rsidRDefault="006D32CB">
      <w:pPr>
        <w:jc w:val="both"/>
      </w:pPr>
    </w:p>
    <w:p w14:paraId="60906B93" w14:textId="77777777" w:rsidR="006D32CB" w:rsidRDefault="00646E4D">
      <w:pPr>
        <w:jc w:val="both"/>
        <w:rPr>
          <w:rFonts w:ascii="Arial" w:hAnsi="Arial" w:cs="Arial"/>
          <w:b/>
          <w:lang w:val="en-GB" w:eastAsia="en-GB"/>
        </w:rPr>
      </w:pPr>
      <w:r>
        <w:rPr>
          <w:rFonts w:ascii="Arial" w:hAnsi="Arial" w:cs="Arial"/>
          <w:b/>
          <w:lang w:val="en-GB" w:eastAsia="en-GB"/>
        </w:rPr>
        <w:t xml:space="preserve">3.2. </w:t>
      </w:r>
      <w:r>
        <w:rPr>
          <w:rFonts w:ascii="Arial" w:hAnsi="Arial" w:cs="Arial"/>
          <w:b/>
          <w:lang w:val="en-GB" w:eastAsia="en-GB"/>
        </w:rPr>
        <w:t>Serum SGOT and SGPT Levels in Broiler Chicken Blood</w:t>
      </w:r>
    </w:p>
    <w:p w14:paraId="1F7BDD04" w14:textId="77777777" w:rsidR="006D32CB" w:rsidRDefault="006D32CB">
      <w:pPr>
        <w:jc w:val="both"/>
        <w:rPr>
          <w:rFonts w:ascii="Arial" w:hAnsi="Arial" w:cs="Arial"/>
          <w:lang w:val="en-GB" w:eastAsia="en-GB"/>
        </w:rPr>
      </w:pPr>
    </w:p>
    <w:p w14:paraId="6DDAAA88" w14:textId="77777777" w:rsidR="006D32CB" w:rsidRDefault="00646E4D">
      <w:pPr>
        <w:jc w:val="both"/>
        <w:rPr>
          <w:rFonts w:ascii="Arial" w:hAnsi="Arial" w:cs="Arial"/>
        </w:rPr>
      </w:pPr>
      <w:r>
        <w:t xml:space="preserve">The addition of </w:t>
      </w:r>
      <w:proofErr w:type="spellStart"/>
      <w:r>
        <w:t>parijoto</w:t>
      </w:r>
      <w:proofErr w:type="spellEnd"/>
      <w:r>
        <w:t xml:space="preserve"> fruit extract or </w:t>
      </w:r>
      <w:proofErr w:type="spellStart"/>
      <w:r>
        <w:rPr>
          <w:rFonts w:ascii="Arial" w:hAnsi="Arial" w:cs="Arial"/>
          <w:lang w:eastAsia="en-GB"/>
        </w:rPr>
        <w:t>en</w:t>
      </w:r>
      <w:r>
        <w:rPr>
          <w:rFonts w:ascii="Arial" w:hAnsi="Arial" w:cs="Arial"/>
          <w:lang w:val="en-GB" w:eastAsia="en-GB"/>
        </w:rPr>
        <w:t>capsul</w:t>
      </w:r>
      <w:r>
        <w:rPr>
          <w:rFonts w:ascii="Arial" w:hAnsi="Arial" w:cs="Arial"/>
          <w:lang w:eastAsia="en-GB"/>
        </w:rPr>
        <w:t>ated</w:t>
      </w:r>
      <w:proofErr w:type="spellEnd"/>
      <w:r>
        <w:t xml:space="preserve"> in the feed did not have a significant effect on serum SGOT and SGPT levels in broiler chickens because the bioactive compounds contained therein, s</w:t>
      </w:r>
      <w:r>
        <w:t xml:space="preserve">uch as flavonoids, tannins, and antioxidants, act more as liver cell protectors (hepatoprotective) than toxic compounds. Flavonoids have the ability to remove free radicals and reduce oxidative stress in hepatocyte cells (S. Li et al., 2015) by protecting </w:t>
      </w:r>
      <w:r>
        <w:t>liver cell membranes and preventing SGOT and SGPT enzymes from leaking into the bloodstream. Consequently, the levels of these two enzymes remained within the normal range. The normal range for SGOT is approximately 90–226 U/L, and that for SGPT is approxi</w:t>
      </w:r>
      <w:r>
        <w:t>mately 9–14 U/L in 35-day-old broiler chickens (</w:t>
      </w:r>
      <w:proofErr w:type="spellStart"/>
      <w:r>
        <w:t>Zálešáková</w:t>
      </w:r>
      <w:proofErr w:type="spellEnd"/>
      <w:r>
        <w:t xml:space="preserve"> et al., 2025).</w:t>
      </w:r>
    </w:p>
    <w:p w14:paraId="78CD1991" w14:textId="77777777" w:rsidR="006D32CB" w:rsidRDefault="00646E4D">
      <w:pPr>
        <w:jc w:val="both"/>
        <w:rPr>
          <w:rFonts w:ascii="Arial" w:hAnsi="Arial" w:cs="Arial"/>
        </w:rPr>
      </w:pPr>
      <w:r>
        <w:rPr>
          <w:rFonts w:ascii="Arial" w:hAnsi="Arial" w:cs="Arial"/>
        </w:rPr>
        <w:t xml:space="preserve">In addition, the doses of </w:t>
      </w:r>
      <w:proofErr w:type="spellStart"/>
      <w:r>
        <w:rPr>
          <w:rFonts w:ascii="Arial" w:hAnsi="Arial" w:cs="Arial"/>
        </w:rPr>
        <w:t>parijoto</w:t>
      </w:r>
      <w:proofErr w:type="spellEnd"/>
      <w:r>
        <w:rPr>
          <w:rFonts w:ascii="Arial" w:hAnsi="Arial" w:cs="Arial"/>
        </w:rPr>
        <w:t xml:space="preserve"> extract and 0.08% </w:t>
      </w:r>
      <w:proofErr w:type="spellStart"/>
      <w:r>
        <w:rPr>
          <w:rFonts w:ascii="Arial" w:hAnsi="Arial" w:cs="Arial"/>
          <w:lang w:eastAsia="en-GB"/>
        </w:rPr>
        <w:t>en</w:t>
      </w:r>
      <w:r>
        <w:rPr>
          <w:rFonts w:ascii="Arial" w:hAnsi="Arial" w:cs="Arial"/>
          <w:lang w:val="en-GB" w:eastAsia="en-GB"/>
        </w:rPr>
        <w:t>capsul</w:t>
      </w:r>
      <w:r>
        <w:rPr>
          <w:rFonts w:ascii="Arial" w:hAnsi="Arial" w:cs="Arial"/>
          <w:lang w:eastAsia="en-GB"/>
        </w:rPr>
        <w:t>ated</w:t>
      </w:r>
      <w:proofErr w:type="spellEnd"/>
      <w:r>
        <w:rPr>
          <w:rFonts w:ascii="Arial" w:hAnsi="Arial" w:cs="Arial"/>
        </w:rPr>
        <w:t xml:space="preserve"> used were still within safe limits; therefore, they did not cause excessive metabolic burden on the liver. The liver</w:t>
      </w:r>
      <w:r>
        <w:rPr>
          <w:rFonts w:ascii="Arial" w:hAnsi="Arial" w:cs="Arial"/>
        </w:rPr>
        <w:t xml:space="preserve"> continues to perform detoxification, and protein, fat, and carbohydrate metabolism functions normally without experiencing tissue damage (Alamri, 2018). The absence of an increase in SGOT and SGPT also indicates that </w:t>
      </w:r>
      <w:proofErr w:type="spellStart"/>
      <w:r>
        <w:rPr>
          <w:rFonts w:ascii="Arial" w:hAnsi="Arial" w:cs="Arial"/>
        </w:rPr>
        <w:t>parijoto</w:t>
      </w:r>
      <w:proofErr w:type="spellEnd"/>
      <w:r>
        <w:rPr>
          <w:rFonts w:ascii="Arial" w:hAnsi="Arial" w:cs="Arial"/>
        </w:rPr>
        <w:t xml:space="preserve"> extract does not cause necros</w:t>
      </w:r>
      <w:r>
        <w:rPr>
          <w:rFonts w:ascii="Arial" w:hAnsi="Arial" w:cs="Arial"/>
        </w:rPr>
        <w:t>is or degeneration of liver cells. If hepatocyte damage occurs, these enzymes are released into the blood, causing their levels to significantly increase.</w:t>
      </w:r>
    </w:p>
    <w:p w14:paraId="6F5ABABF" w14:textId="77777777" w:rsidR="006D32CB" w:rsidRDefault="006D32CB">
      <w:pPr>
        <w:jc w:val="both"/>
        <w:rPr>
          <w:rFonts w:ascii="Arial" w:hAnsi="Arial" w:cs="Arial"/>
        </w:rPr>
      </w:pPr>
    </w:p>
    <w:p w14:paraId="06BB20F5" w14:textId="77777777" w:rsidR="006D32CB" w:rsidRDefault="00646E4D">
      <w:pPr>
        <w:jc w:val="both"/>
        <w:rPr>
          <w:rFonts w:ascii="Arial" w:hAnsi="Arial" w:cs="Arial"/>
          <w:b/>
        </w:rPr>
      </w:pPr>
      <w:r>
        <w:rPr>
          <w:rFonts w:ascii="Arial" w:hAnsi="Arial" w:cs="Arial"/>
          <w:b/>
        </w:rPr>
        <w:t>3.3. The Color of Broiler Chicken Livers</w:t>
      </w:r>
    </w:p>
    <w:p w14:paraId="53EC1C50" w14:textId="77777777" w:rsidR="006D32CB" w:rsidRDefault="006D32CB">
      <w:pPr>
        <w:jc w:val="both"/>
        <w:rPr>
          <w:rFonts w:ascii="Arial" w:hAnsi="Arial" w:cs="Arial"/>
        </w:rPr>
      </w:pPr>
    </w:p>
    <w:p w14:paraId="24070394" w14:textId="77777777" w:rsidR="006D32CB" w:rsidRDefault="00646E4D">
      <w:pPr>
        <w:jc w:val="both"/>
        <w:rPr>
          <w:rFonts w:ascii="Arial" w:hAnsi="Arial" w:cs="Arial"/>
          <w:lang w:val="en-GB" w:eastAsia="en-GB"/>
        </w:rPr>
      </w:pPr>
      <w:r>
        <w:rPr>
          <w:rFonts w:ascii="Arial" w:hAnsi="Arial" w:cs="Arial"/>
          <w:lang w:val="en-GB" w:eastAsia="en-GB"/>
        </w:rPr>
        <w:t xml:space="preserve">The addition of </w:t>
      </w:r>
      <w:proofErr w:type="spellStart"/>
      <w:r>
        <w:rPr>
          <w:rFonts w:ascii="Arial" w:hAnsi="Arial" w:cs="Arial"/>
          <w:lang w:val="en-GB" w:eastAsia="en-GB"/>
        </w:rPr>
        <w:t>parijoto</w:t>
      </w:r>
      <w:proofErr w:type="spellEnd"/>
      <w:r>
        <w:rPr>
          <w:rFonts w:ascii="Arial" w:hAnsi="Arial" w:cs="Arial"/>
          <w:lang w:val="en-GB" w:eastAsia="en-GB"/>
        </w:rPr>
        <w:t xml:space="preserve"> fruit extract or </w:t>
      </w:r>
      <w:proofErr w:type="spellStart"/>
      <w:r>
        <w:rPr>
          <w:rFonts w:ascii="Arial" w:hAnsi="Arial" w:cs="Arial"/>
          <w:lang w:eastAsia="en-GB"/>
        </w:rPr>
        <w:t>parijoto</w:t>
      </w:r>
      <w:proofErr w:type="spellEnd"/>
      <w:r>
        <w:rPr>
          <w:rFonts w:ascii="Arial" w:hAnsi="Arial" w:cs="Arial"/>
          <w:lang w:eastAsia="en-GB"/>
        </w:rPr>
        <w:t xml:space="preserve"> </w:t>
      </w:r>
      <w:proofErr w:type="spellStart"/>
      <w:r>
        <w:rPr>
          <w:rFonts w:ascii="Arial" w:hAnsi="Arial" w:cs="Arial"/>
          <w:lang w:eastAsia="en-GB"/>
        </w:rPr>
        <w:t>en</w:t>
      </w:r>
      <w:r>
        <w:rPr>
          <w:rFonts w:ascii="Arial" w:hAnsi="Arial" w:cs="Arial"/>
          <w:lang w:val="en-GB" w:eastAsia="en-GB"/>
        </w:rPr>
        <w:t>capsu</w:t>
      </w:r>
      <w:r>
        <w:rPr>
          <w:rFonts w:ascii="Arial" w:hAnsi="Arial" w:cs="Arial"/>
          <w:lang w:val="en-GB" w:eastAsia="en-GB"/>
        </w:rPr>
        <w:t>l</w:t>
      </w:r>
      <w:r>
        <w:rPr>
          <w:rFonts w:ascii="Arial" w:hAnsi="Arial" w:cs="Arial"/>
          <w:lang w:eastAsia="en-GB"/>
        </w:rPr>
        <w:t>ated</w:t>
      </w:r>
      <w:proofErr w:type="spellEnd"/>
      <w:r>
        <w:rPr>
          <w:rFonts w:ascii="Arial" w:hAnsi="Arial" w:cs="Arial"/>
          <w:lang w:val="en-GB" w:eastAsia="en-GB"/>
        </w:rPr>
        <w:t xml:space="preserve"> in the feed did not affect the </w:t>
      </w:r>
      <w:proofErr w:type="spellStart"/>
      <w:r>
        <w:rPr>
          <w:rFonts w:ascii="Arial" w:hAnsi="Arial" w:cs="Arial"/>
          <w:lang w:val="en-GB" w:eastAsia="en-GB"/>
        </w:rPr>
        <w:t>color</w:t>
      </w:r>
      <w:proofErr w:type="spellEnd"/>
      <w:r>
        <w:rPr>
          <w:rFonts w:ascii="Arial" w:hAnsi="Arial" w:cs="Arial"/>
          <w:lang w:val="en-GB" w:eastAsia="en-GB"/>
        </w:rPr>
        <w:t xml:space="preserve"> of broiler chicken livers. The results are shown in Illustration 1, which shows the same reddish-brown </w:t>
      </w:r>
      <w:proofErr w:type="spellStart"/>
      <w:r>
        <w:rPr>
          <w:rFonts w:ascii="Arial" w:hAnsi="Arial" w:cs="Arial"/>
          <w:lang w:val="en-GB" w:eastAsia="en-GB"/>
        </w:rPr>
        <w:t>color</w:t>
      </w:r>
      <w:proofErr w:type="spellEnd"/>
      <w:r>
        <w:rPr>
          <w:rFonts w:ascii="Arial" w:hAnsi="Arial" w:cs="Arial"/>
          <w:lang w:val="en-GB" w:eastAsia="en-GB"/>
        </w:rPr>
        <w:t xml:space="preserve">. The normal liver </w:t>
      </w:r>
      <w:proofErr w:type="spellStart"/>
      <w:r>
        <w:rPr>
          <w:rFonts w:ascii="Arial" w:hAnsi="Arial" w:cs="Arial"/>
          <w:lang w:val="en-GB" w:eastAsia="en-GB"/>
        </w:rPr>
        <w:t>color</w:t>
      </w:r>
      <w:proofErr w:type="spellEnd"/>
      <w:r>
        <w:rPr>
          <w:rFonts w:ascii="Arial" w:hAnsi="Arial" w:cs="Arial"/>
          <w:lang w:val="en-GB" w:eastAsia="en-GB"/>
        </w:rPr>
        <w:t xml:space="preserve">, which is reddish-brown (Table 1), indicates that blood flow, </w:t>
      </w:r>
      <w:proofErr w:type="spellStart"/>
      <w:r>
        <w:rPr>
          <w:rFonts w:ascii="Arial" w:hAnsi="Arial" w:cs="Arial"/>
          <w:lang w:val="en-GB" w:eastAsia="en-GB"/>
        </w:rPr>
        <w:t>hemoglobin</w:t>
      </w:r>
      <w:proofErr w:type="spellEnd"/>
      <w:r>
        <w:rPr>
          <w:rFonts w:ascii="Arial" w:hAnsi="Arial" w:cs="Arial"/>
          <w:lang w:val="en-GB" w:eastAsia="en-GB"/>
        </w:rPr>
        <w:t xml:space="preserve"> content</w:t>
      </w:r>
      <w:r>
        <w:rPr>
          <w:rFonts w:ascii="Arial" w:hAnsi="Arial" w:cs="Arial"/>
          <w:lang w:val="en-GB" w:eastAsia="en-GB"/>
        </w:rPr>
        <w:t xml:space="preserve">, and liver tissue structure remain in good physiological conditions (G. Xiong et al., 2017). The absence of </w:t>
      </w:r>
      <w:proofErr w:type="spellStart"/>
      <w:r>
        <w:rPr>
          <w:rFonts w:ascii="Arial" w:hAnsi="Arial" w:cs="Arial"/>
          <w:lang w:val="en-GB" w:eastAsia="en-GB"/>
        </w:rPr>
        <w:t>color</w:t>
      </w:r>
      <w:proofErr w:type="spellEnd"/>
      <w:r>
        <w:rPr>
          <w:rFonts w:ascii="Arial" w:hAnsi="Arial" w:cs="Arial"/>
          <w:lang w:val="en-GB" w:eastAsia="en-GB"/>
        </w:rPr>
        <w:t xml:space="preserve"> changes to pale, yellowish, or greenish indicates that there was no </w:t>
      </w:r>
      <w:proofErr w:type="spellStart"/>
      <w:r>
        <w:rPr>
          <w:rFonts w:ascii="Arial" w:hAnsi="Arial" w:cs="Arial"/>
          <w:lang w:val="en-GB" w:eastAsia="en-GB"/>
        </w:rPr>
        <w:t>anemia</w:t>
      </w:r>
      <w:proofErr w:type="spellEnd"/>
      <w:r>
        <w:rPr>
          <w:rFonts w:ascii="Arial" w:hAnsi="Arial" w:cs="Arial"/>
          <w:lang w:val="en-GB" w:eastAsia="en-GB"/>
        </w:rPr>
        <w:t xml:space="preserve">, fatty liver, or bile disorders due to the administration of </w:t>
      </w:r>
      <w:proofErr w:type="spellStart"/>
      <w:r>
        <w:rPr>
          <w:rFonts w:ascii="Arial" w:hAnsi="Arial" w:cs="Arial"/>
          <w:lang w:val="en-GB" w:eastAsia="en-GB"/>
        </w:rPr>
        <w:t>parij</w:t>
      </w:r>
      <w:r>
        <w:rPr>
          <w:rFonts w:ascii="Arial" w:hAnsi="Arial" w:cs="Arial"/>
          <w:lang w:val="en-GB" w:eastAsia="en-GB"/>
        </w:rPr>
        <w:t>oto</w:t>
      </w:r>
      <w:proofErr w:type="spellEnd"/>
      <w:r>
        <w:rPr>
          <w:rFonts w:ascii="Arial" w:hAnsi="Arial" w:cs="Arial"/>
          <w:lang w:val="en-GB" w:eastAsia="en-GB"/>
        </w:rPr>
        <w:t xml:space="preserve"> fruit extract or encapsulation. In addition, the doses of </w:t>
      </w:r>
      <w:proofErr w:type="spellStart"/>
      <w:r>
        <w:rPr>
          <w:rFonts w:ascii="Arial" w:hAnsi="Arial" w:cs="Arial"/>
          <w:lang w:val="en-GB" w:eastAsia="en-GB"/>
        </w:rPr>
        <w:t>parijoto</w:t>
      </w:r>
      <w:proofErr w:type="spellEnd"/>
      <w:r>
        <w:rPr>
          <w:rFonts w:ascii="Arial" w:hAnsi="Arial" w:cs="Arial"/>
          <w:lang w:val="en-GB" w:eastAsia="en-GB"/>
        </w:rPr>
        <w:t xml:space="preserve"> extract and </w:t>
      </w:r>
      <w:proofErr w:type="spellStart"/>
      <w:r>
        <w:rPr>
          <w:rFonts w:ascii="Arial" w:hAnsi="Arial" w:cs="Arial"/>
          <w:lang w:eastAsia="en-GB"/>
        </w:rPr>
        <w:t>en</w:t>
      </w:r>
      <w:r>
        <w:rPr>
          <w:rFonts w:ascii="Arial" w:hAnsi="Arial" w:cs="Arial"/>
          <w:lang w:val="en-GB" w:eastAsia="en-GB"/>
        </w:rPr>
        <w:t>capsul</w:t>
      </w:r>
      <w:r>
        <w:rPr>
          <w:rFonts w:ascii="Arial" w:hAnsi="Arial" w:cs="Arial"/>
          <w:lang w:eastAsia="en-GB"/>
        </w:rPr>
        <w:t>ated</w:t>
      </w:r>
      <w:proofErr w:type="spellEnd"/>
      <w:r>
        <w:rPr>
          <w:rFonts w:ascii="Arial" w:hAnsi="Arial" w:cs="Arial"/>
          <w:lang w:val="en-GB" w:eastAsia="en-GB"/>
        </w:rPr>
        <w:t xml:space="preserve"> administered are still within safe limits, so they do not cause the accumulation of pigments or metabolites that can change the </w:t>
      </w:r>
      <w:proofErr w:type="spellStart"/>
      <w:r>
        <w:rPr>
          <w:rFonts w:ascii="Arial" w:hAnsi="Arial" w:cs="Arial"/>
          <w:lang w:val="en-GB" w:eastAsia="en-GB"/>
        </w:rPr>
        <w:t>color</w:t>
      </w:r>
      <w:proofErr w:type="spellEnd"/>
      <w:r>
        <w:rPr>
          <w:rFonts w:ascii="Arial" w:hAnsi="Arial" w:cs="Arial"/>
          <w:lang w:val="en-GB" w:eastAsia="en-GB"/>
        </w:rPr>
        <w:t xml:space="preserve"> of the liver tissue. The m</w:t>
      </w:r>
      <w:r>
        <w:rPr>
          <w:rFonts w:ascii="Arial" w:hAnsi="Arial" w:cs="Arial"/>
          <w:lang w:val="en-GB" w:eastAsia="en-GB"/>
        </w:rPr>
        <w:t xml:space="preserve">etabolism of active compounds by </w:t>
      </w:r>
      <w:proofErr w:type="spellStart"/>
      <w:r>
        <w:rPr>
          <w:rFonts w:ascii="Arial" w:hAnsi="Arial" w:cs="Arial"/>
          <w:lang w:val="en-GB" w:eastAsia="en-GB"/>
        </w:rPr>
        <w:t>parijoto</w:t>
      </w:r>
      <w:proofErr w:type="spellEnd"/>
      <w:r>
        <w:rPr>
          <w:rFonts w:ascii="Arial" w:hAnsi="Arial" w:cs="Arial"/>
          <w:lang w:val="en-GB" w:eastAsia="en-GB"/>
        </w:rPr>
        <w:t xml:space="preserve"> occurs normally in the liver, without causing inflammation or cell damage.</w:t>
      </w:r>
    </w:p>
    <w:p w14:paraId="1C77E1C6" w14:textId="77777777" w:rsidR="00114BA7" w:rsidRDefault="00114BA7">
      <w:pPr>
        <w:jc w:val="both"/>
        <w:rPr>
          <w:rFonts w:ascii="Arial" w:hAnsi="Arial" w:cs="Arial"/>
          <w:lang w:val="en-GB" w:eastAsia="en-GB"/>
        </w:rPr>
      </w:pPr>
    </w:p>
    <w:p w14:paraId="3C21086D" w14:textId="77777777" w:rsidR="006D32CB" w:rsidRDefault="006D32CB">
      <w:pPr>
        <w:jc w:val="both"/>
        <w:rPr>
          <w:rFonts w:ascii="Arial" w:hAnsi="Arial" w:cs="Arial"/>
          <w:lang w:val="en-GB" w:eastAsia="en-GB"/>
        </w:rPr>
      </w:pPr>
    </w:p>
    <w:p w14:paraId="5A4D1842" w14:textId="77777777" w:rsidR="006D32CB" w:rsidRDefault="00646E4D">
      <w:pPr>
        <w:jc w:val="both"/>
        <w:rPr>
          <w:rFonts w:ascii="Arial" w:hAnsi="Arial" w:cs="Arial"/>
          <w:lang w:val="en-GB" w:eastAsia="en-GB"/>
        </w:rPr>
      </w:pPr>
      <w:r>
        <w:rPr>
          <w:rFonts w:ascii="Arial" w:hAnsi="Arial" w:cs="Arial"/>
          <w:noProof/>
        </w:rPr>
        <w:drawing>
          <wp:anchor distT="0" distB="0" distL="114300" distR="114300" simplePos="0" relativeHeight="251663360" behindDoc="1" locked="0" layoutInCell="1" allowOverlap="1" wp14:anchorId="449228E2" wp14:editId="363736E0">
            <wp:simplePos x="0" y="0"/>
            <wp:positionH relativeFrom="column">
              <wp:posOffset>4046220</wp:posOffset>
            </wp:positionH>
            <wp:positionV relativeFrom="paragraph">
              <wp:posOffset>131445</wp:posOffset>
            </wp:positionV>
            <wp:extent cx="1272540" cy="1489075"/>
            <wp:effectExtent l="0" t="0" r="3810" b="0"/>
            <wp:wrapNone/>
            <wp:docPr id="6" name="Picture 6" descr="C:\Users\Lenovo\Downloads\T0U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Lenovo\Downloads\T0U4.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72540" cy="1489075"/>
                    </a:xfrm>
                    <a:prstGeom prst="rect">
                      <a:avLst/>
                    </a:prstGeom>
                    <a:noFill/>
                    <a:ln>
                      <a:noFill/>
                    </a:ln>
                  </pic:spPr>
                </pic:pic>
              </a:graphicData>
            </a:graphic>
          </wp:anchor>
        </w:drawing>
      </w:r>
      <w:r>
        <w:rPr>
          <w:rFonts w:ascii="Arial" w:hAnsi="Arial" w:cs="Arial"/>
          <w:noProof/>
        </w:rPr>
        <w:drawing>
          <wp:anchor distT="0" distB="0" distL="114300" distR="114300" simplePos="0" relativeHeight="251662336" behindDoc="1" locked="0" layoutInCell="1" allowOverlap="1" wp14:anchorId="7F4101DE" wp14:editId="7BF1A153">
            <wp:simplePos x="0" y="0"/>
            <wp:positionH relativeFrom="column">
              <wp:posOffset>2606040</wp:posOffset>
            </wp:positionH>
            <wp:positionV relativeFrom="paragraph">
              <wp:posOffset>122555</wp:posOffset>
            </wp:positionV>
            <wp:extent cx="1280160" cy="1490980"/>
            <wp:effectExtent l="0" t="0" r="0" b="0"/>
            <wp:wrapNone/>
            <wp:docPr id="5" name="Picture 5" descr="C:\Users\Lenovo\Downloads\T1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Lenovo\Downloads\T1U1.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80160" cy="1490980"/>
                    </a:xfrm>
                    <a:prstGeom prst="rect">
                      <a:avLst/>
                    </a:prstGeom>
                    <a:noFill/>
                    <a:ln>
                      <a:noFill/>
                    </a:ln>
                  </pic:spPr>
                </pic:pic>
              </a:graphicData>
            </a:graphic>
          </wp:anchor>
        </w:drawing>
      </w:r>
      <w:r>
        <w:rPr>
          <w:rFonts w:ascii="Arial" w:hAnsi="Arial" w:cs="Arial"/>
          <w:noProof/>
        </w:rPr>
        <w:drawing>
          <wp:anchor distT="0" distB="0" distL="114300" distR="114300" simplePos="0" relativeHeight="251661312" behindDoc="1" locked="0" layoutInCell="1" allowOverlap="1" wp14:anchorId="7FC6DAC5" wp14:editId="0AC3ADE2">
            <wp:simplePos x="0" y="0"/>
            <wp:positionH relativeFrom="column">
              <wp:posOffset>1129030</wp:posOffset>
            </wp:positionH>
            <wp:positionV relativeFrom="paragraph">
              <wp:posOffset>131445</wp:posOffset>
            </wp:positionV>
            <wp:extent cx="1301115" cy="1395095"/>
            <wp:effectExtent l="0" t="0" r="0" b="0"/>
            <wp:wrapNone/>
            <wp:docPr id="4" name="Picture 4" descr="C:\Users\Lenovo\Downloads\AA0AC84C-A401-4ACB-9C59-56CDDCB19D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Lenovo\Downloads\AA0AC84C-A401-4ACB-9C59-56CDDCB19DD7.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01115" cy="1395095"/>
                    </a:xfrm>
                    <a:prstGeom prst="rect">
                      <a:avLst/>
                    </a:prstGeom>
                    <a:noFill/>
                    <a:ln>
                      <a:noFill/>
                    </a:ln>
                  </pic:spPr>
                </pic:pic>
              </a:graphicData>
            </a:graphic>
          </wp:anchor>
        </w:drawing>
      </w:r>
      <w:r>
        <w:rPr>
          <w:rFonts w:ascii="Arial" w:hAnsi="Arial" w:cs="Arial"/>
          <w:noProof/>
        </w:rPr>
        <w:drawing>
          <wp:anchor distT="0" distB="0" distL="114300" distR="114300" simplePos="0" relativeHeight="251660288" behindDoc="1" locked="0" layoutInCell="1" allowOverlap="1" wp14:anchorId="0FF26363" wp14:editId="60DB8DDA">
            <wp:simplePos x="0" y="0"/>
            <wp:positionH relativeFrom="column">
              <wp:posOffset>-40640</wp:posOffset>
            </wp:positionH>
            <wp:positionV relativeFrom="paragraph">
              <wp:posOffset>123190</wp:posOffset>
            </wp:positionV>
            <wp:extent cx="993775" cy="1398905"/>
            <wp:effectExtent l="0" t="0" r="0" b="0"/>
            <wp:wrapNone/>
            <wp:docPr id="3" name="Picture 3" descr="C:\Users\Lenovo\Downloads\35A706B8-7953-4ECB-ABDD-87A2E5518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Lenovo\Downloads\35A706B8-7953-4ECB-ABDD-87A2E5518536.jp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93775" cy="1398905"/>
                    </a:xfrm>
                    <a:prstGeom prst="rect">
                      <a:avLst/>
                    </a:prstGeom>
                    <a:noFill/>
                    <a:ln>
                      <a:noFill/>
                    </a:ln>
                  </pic:spPr>
                </pic:pic>
              </a:graphicData>
            </a:graphic>
          </wp:anchor>
        </w:drawing>
      </w:r>
    </w:p>
    <w:p w14:paraId="5AA893EF" w14:textId="77777777" w:rsidR="006D32CB" w:rsidRDefault="006D32CB">
      <w:pPr>
        <w:jc w:val="both"/>
        <w:rPr>
          <w:rFonts w:ascii="Arial" w:hAnsi="Arial" w:cs="Arial"/>
          <w:lang w:val="en-GB" w:eastAsia="en-GB"/>
        </w:rPr>
      </w:pPr>
    </w:p>
    <w:p w14:paraId="1040309D" w14:textId="77777777" w:rsidR="006D32CB" w:rsidRDefault="006D32CB">
      <w:pPr>
        <w:jc w:val="both"/>
        <w:rPr>
          <w:rFonts w:ascii="Arial" w:hAnsi="Arial" w:cs="Arial"/>
          <w:lang w:val="en-GB" w:eastAsia="en-GB"/>
        </w:rPr>
      </w:pPr>
    </w:p>
    <w:p w14:paraId="0995A306" w14:textId="77777777" w:rsidR="006D32CB" w:rsidRDefault="006D32CB">
      <w:pPr>
        <w:jc w:val="both"/>
        <w:rPr>
          <w:rFonts w:ascii="Arial" w:hAnsi="Arial" w:cs="Arial"/>
          <w:lang w:val="en-GB" w:eastAsia="en-GB"/>
        </w:rPr>
      </w:pPr>
    </w:p>
    <w:p w14:paraId="4C9BC232" w14:textId="77777777" w:rsidR="006D32CB" w:rsidRDefault="006D32CB">
      <w:pPr>
        <w:jc w:val="both"/>
        <w:rPr>
          <w:rFonts w:ascii="Arial" w:hAnsi="Arial" w:cs="Arial"/>
          <w:lang w:val="en-GB" w:eastAsia="en-GB"/>
        </w:rPr>
      </w:pPr>
    </w:p>
    <w:p w14:paraId="0E75C7AB" w14:textId="77777777" w:rsidR="006D32CB" w:rsidRDefault="006D32CB">
      <w:pPr>
        <w:jc w:val="both"/>
        <w:rPr>
          <w:rFonts w:ascii="Arial" w:hAnsi="Arial" w:cs="Arial"/>
          <w:lang w:val="en-GB" w:eastAsia="en-GB"/>
        </w:rPr>
      </w:pPr>
    </w:p>
    <w:p w14:paraId="577993E2" w14:textId="77777777" w:rsidR="006D32CB" w:rsidRDefault="006D32CB">
      <w:pPr>
        <w:jc w:val="both"/>
        <w:rPr>
          <w:rFonts w:ascii="Arial" w:hAnsi="Arial" w:cs="Arial"/>
          <w:lang w:val="en-GB" w:eastAsia="en-GB"/>
        </w:rPr>
      </w:pPr>
    </w:p>
    <w:p w14:paraId="6E2B17BF" w14:textId="77777777" w:rsidR="006D32CB" w:rsidRDefault="006D32CB">
      <w:pPr>
        <w:jc w:val="both"/>
        <w:rPr>
          <w:rFonts w:ascii="Arial" w:hAnsi="Arial" w:cs="Arial"/>
          <w:lang w:val="en-GB" w:eastAsia="en-GB"/>
        </w:rPr>
      </w:pPr>
    </w:p>
    <w:p w14:paraId="063AE1A4" w14:textId="77777777" w:rsidR="006D32CB" w:rsidRDefault="006D32CB">
      <w:pPr>
        <w:jc w:val="both"/>
        <w:rPr>
          <w:rFonts w:ascii="Arial" w:hAnsi="Arial" w:cs="Arial"/>
          <w:lang w:val="en-GB" w:eastAsia="en-GB"/>
        </w:rPr>
      </w:pPr>
    </w:p>
    <w:p w14:paraId="1BEF0FBF" w14:textId="77777777" w:rsidR="006D32CB" w:rsidRDefault="006D32CB">
      <w:pPr>
        <w:jc w:val="both"/>
        <w:rPr>
          <w:rFonts w:ascii="Arial" w:hAnsi="Arial" w:cs="Arial"/>
          <w:lang w:val="en-GB" w:eastAsia="en-GB"/>
        </w:rPr>
      </w:pPr>
    </w:p>
    <w:p w14:paraId="3D3BCA95" w14:textId="77777777" w:rsidR="006D32CB" w:rsidRDefault="006D32CB">
      <w:pPr>
        <w:jc w:val="both"/>
        <w:rPr>
          <w:rFonts w:ascii="Arial" w:hAnsi="Arial" w:cs="Arial"/>
          <w:lang w:val="en-GB" w:eastAsia="en-GB"/>
        </w:rPr>
      </w:pPr>
    </w:p>
    <w:p w14:paraId="39D798CF" w14:textId="77777777" w:rsidR="006D32CB" w:rsidRDefault="006D32CB">
      <w:pPr>
        <w:jc w:val="both"/>
        <w:rPr>
          <w:rFonts w:ascii="Arial" w:hAnsi="Arial" w:cs="Arial"/>
          <w:b/>
          <w:lang w:val="en-GB" w:eastAsia="en-GB"/>
        </w:rPr>
      </w:pPr>
    </w:p>
    <w:p w14:paraId="1F0E1F82" w14:textId="0BD098E6" w:rsidR="006D32CB" w:rsidRDefault="00114BA7">
      <w:pPr>
        <w:jc w:val="center"/>
        <w:rPr>
          <w:rFonts w:ascii="Arial" w:hAnsi="Arial" w:cs="Arial"/>
          <w:b/>
          <w:lang w:val="en-GB" w:eastAsia="en-GB"/>
        </w:rPr>
      </w:pPr>
      <w:r>
        <w:rPr>
          <w:rFonts w:ascii="Arial" w:hAnsi="Arial" w:cs="Arial"/>
          <w:b/>
          <w:lang w:val="en-GB" w:eastAsia="en-GB"/>
        </w:rPr>
        <w:t xml:space="preserve">Fig 1. Picture of Liver </w:t>
      </w:r>
      <w:proofErr w:type="spellStart"/>
      <w:r>
        <w:rPr>
          <w:rFonts w:ascii="Arial" w:hAnsi="Arial" w:cs="Arial"/>
          <w:b/>
          <w:lang w:val="en-GB" w:eastAsia="en-GB"/>
        </w:rPr>
        <w:t>Color</w:t>
      </w:r>
      <w:proofErr w:type="spellEnd"/>
      <w:r>
        <w:rPr>
          <w:rFonts w:ascii="Arial" w:hAnsi="Arial" w:cs="Arial"/>
          <w:b/>
          <w:lang w:val="en-GB" w:eastAsia="en-GB"/>
        </w:rPr>
        <w:t xml:space="preserve"> Condition</w:t>
      </w:r>
    </w:p>
    <w:p w14:paraId="7BDB7DB0" w14:textId="77777777" w:rsidR="006D32CB" w:rsidRDefault="00646E4D">
      <w:pPr>
        <w:jc w:val="both"/>
        <w:rPr>
          <w:rFonts w:ascii="Arial" w:hAnsi="Arial" w:cs="Arial"/>
          <w:b/>
          <w:lang w:val="en-GB" w:eastAsia="en-GB"/>
        </w:rPr>
      </w:pPr>
      <w:r>
        <w:rPr>
          <w:rFonts w:ascii="Arial" w:hAnsi="Arial" w:cs="Arial"/>
          <w:b/>
          <w:lang w:val="en-GB" w:eastAsia="en-GB"/>
        </w:rPr>
        <w:t>3.4. Final Weight of Broiler Chickens</w:t>
      </w:r>
    </w:p>
    <w:p w14:paraId="2E71C35F" w14:textId="77777777" w:rsidR="006D32CB" w:rsidRDefault="006D32CB">
      <w:pPr>
        <w:jc w:val="both"/>
        <w:rPr>
          <w:rFonts w:ascii="Arial" w:hAnsi="Arial" w:cs="Arial"/>
          <w:lang w:val="en-GB" w:eastAsia="en-GB"/>
        </w:rPr>
      </w:pPr>
    </w:p>
    <w:p w14:paraId="5D60E5DB" w14:textId="77777777" w:rsidR="006D32CB" w:rsidRDefault="00646E4D">
      <w:pPr>
        <w:jc w:val="both"/>
        <w:rPr>
          <w:rFonts w:ascii="Arial" w:hAnsi="Arial" w:cs="Arial"/>
          <w:lang w:val="en-GB" w:eastAsia="en-GB"/>
        </w:rPr>
      </w:pPr>
      <w:r>
        <w:rPr>
          <w:rFonts w:ascii="Arial" w:hAnsi="Arial" w:cs="Arial"/>
          <w:lang w:val="en-GB" w:eastAsia="en-GB"/>
        </w:rPr>
        <w:t xml:space="preserve">The final weight of broiler chickens in T3 was significantly (P&lt;0.05) higher than those in T0, T1, and T2. The addition of encapsulated </w:t>
      </w:r>
      <w:proofErr w:type="spellStart"/>
      <w:r>
        <w:rPr>
          <w:rFonts w:ascii="Arial" w:hAnsi="Arial" w:cs="Arial"/>
          <w:lang w:val="en-GB" w:eastAsia="en-GB"/>
        </w:rPr>
        <w:t>parijoto</w:t>
      </w:r>
      <w:proofErr w:type="spellEnd"/>
      <w:r>
        <w:rPr>
          <w:rFonts w:ascii="Arial" w:hAnsi="Arial" w:cs="Arial"/>
          <w:lang w:val="en-GB" w:eastAsia="en-GB"/>
        </w:rPr>
        <w:t xml:space="preserve"> fruit extract increased the live weight of broiler chickens because encapsulation protected bioactive compounds</w:t>
      </w:r>
      <w:r>
        <w:rPr>
          <w:rFonts w:ascii="Arial" w:hAnsi="Arial" w:cs="Arial"/>
          <w:lang w:val="en-GB" w:eastAsia="en-GB"/>
        </w:rPr>
        <w:t xml:space="preserve"> (flavonoids, </w:t>
      </w:r>
      <w:r>
        <w:rPr>
          <w:rFonts w:ascii="Arial" w:hAnsi="Arial" w:cs="Arial"/>
          <w:lang w:val="en-GB" w:eastAsia="en-GB"/>
        </w:rPr>
        <w:lastRenderedPageBreak/>
        <w:t xml:space="preserve">anthocyanins, tannins, and antioxidants) from damage during the digestive process. With this protection, the active compounds can be optimally released into the intestine and absorbed more effectively. </w:t>
      </w:r>
      <w:r>
        <w:rPr>
          <w:rFonts w:ascii="Arial" w:hAnsi="Arial"/>
          <w:lang w:val="en-GB" w:eastAsia="en-GB"/>
        </w:rPr>
        <w:t xml:space="preserve">The antioxidant constituents present in </w:t>
      </w:r>
      <w:proofErr w:type="spellStart"/>
      <w:r>
        <w:rPr>
          <w:rFonts w:ascii="Arial" w:hAnsi="Arial"/>
          <w:lang w:val="en-GB" w:eastAsia="en-GB"/>
        </w:rPr>
        <w:t>parijoto</w:t>
      </w:r>
      <w:proofErr w:type="spellEnd"/>
      <w:r>
        <w:rPr>
          <w:rFonts w:ascii="Arial" w:hAnsi="Arial"/>
          <w:lang w:val="en-GB" w:eastAsia="en-GB"/>
        </w:rPr>
        <w:t xml:space="preserve"> contribute to the mitigation of oxidative stress, a function attributable to their elevated concentration (</w:t>
      </w:r>
      <w:proofErr w:type="spellStart"/>
      <w:r>
        <w:rPr>
          <w:rFonts w:ascii="Arial" w:hAnsi="Arial"/>
          <w:lang w:val="en-GB" w:eastAsia="en-GB"/>
        </w:rPr>
        <w:t>Krismiyanto</w:t>
      </w:r>
      <w:proofErr w:type="spellEnd"/>
      <w:r>
        <w:rPr>
          <w:rFonts w:ascii="Arial" w:hAnsi="Arial"/>
          <w:lang w:val="en-GB" w:eastAsia="en-GB"/>
        </w:rPr>
        <w:t xml:space="preserve"> et al., 2025b). Reduced oxidative stress is beneficial for cellular integrity, enhances the efficacy of energy and protein metab</w:t>
      </w:r>
      <w:r>
        <w:rPr>
          <w:rFonts w:ascii="Arial" w:hAnsi="Arial"/>
          <w:lang w:val="en-GB" w:eastAsia="en-GB"/>
        </w:rPr>
        <w:t>olism, and bolsters immune system performance (Lauridsen, 2019). Consequently, the utilization of dietary nutrients for the development of bodily tissues is optimized. Furthermore, flavonoids possess the capacity to promote digestive tract health by inhibi</w:t>
      </w:r>
      <w:r>
        <w:rPr>
          <w:rFonts w:ascii="Arial" w:hAnsi="Arial"/>
          <w:lang w:val="en-GB" w:eastAsia="en-GB"/>
        </w:rPr>
        <w:t>ting pathogenic bacteria and fostering the proliferation of beneficial microflora (H.-H. Xiong, Lin, Chen, Ouyang, &amp; Wang, 2023). A well-functioning gastrointestinal tract enhances both digestion and nutrient assimilation, thereby facilitating optimal weig</w:t>
      </w:r>
      <w:r>
        <w:rPr>
          <w:rFonts w:ascii="Arial" w:hAnsi="Arial"/>
          <w:lang w:val="en-GB" w:eastAsia="en-GB"/>
        </w:rPr>
        <w:t xml:space="preserve">ht gain in chickens, even within high-density rearing environments. Broiler chickens receiving encapsulated </w:t>
      </w:r>
      <w:proofErr w:type="spellStart"/>
      <w:r>
        <w:rPr>
          <w:rFonts w:ascii="Arial" w:hAnsi="Arial"/>
          <w:lang w:val="en-GB" w:eastAsia="en-GB"/>
        </w:rPr>
        <w:t>parijoto</w:t>
      </w:r>
      <w:proofErr w:type="spellEnd"/>
      <w:r>
        <w:rPr>
          <w:rFonts w:ascii="Arial" w:hAnsi="Arial"/>
          <w:lang w:val="en-GB" w:eastAsia="en-GB"/>
        </w:rPr>
        <w:t xml:space="preserve"> extract exhibited normal SGOT and SGPT levels, which suggested the preservation of hepatic function. Consequently, a healthy liver allows f</w:t>
      </w:r>
      <w:r>
        <w:rPr>
          <w:rFonts w:ascii="Arial" w:hAnsi="Arial"/>
          <w:lang w:val="en-GB" w:eastAsia="en-GB"/>
        </w:rPr>
        <w:t>or the efficient execution of metabolic processes, which in turn supports greater body weight gain, even under conditions of high-density housing.</w:t>
      </w:r>
    </w:p>
    <w:p w14:paraId="695EF44C" w14:textId="77777777" w:rsidR="006D32CB" w:rsidRDefault="00646E4D">
      <w:pPr>
        <w:jc w:val="both"/>
        <w:rPr>
          <w:rFonts w:ascii="Arial" w:hAnsi="Arial" w:cs="Arial"/>
          <w:lang w:val="en-GB" w:eastAsia="en-GB"/>
        </w:rPr>
      </w:pPr>
      <w:r>
        <w:rPr>
          <w:rFonts w:ascii="Arial" w:hAnsi="Arial" w:cs="Arial"/>
          <w:lang w:val="en-GB" w:eastAsia="en-GB"/>
        </w:rPr>
        <w:t>The final weight of chickens in T1 was significantly lower (P&lt;0.05) than that in T0, T2, and T3. Broiler chic</w:t>
      </w:r>
      <w:r>
        <w:rPr>
          <w:rFonts w:ascii="Arial" w:hAnsi="Arial" w:cs="Arial"/>
          <w:lang w:val="en-GB" w:eastAsia="en-GB"/>
        </w:rPr>
        <w:t>kens raised at high densities tend to experience a decrease in live weight because of increased environmental stress, such as hotter cage temperatures, competition for feed and drinking water, limited space for movement, and poor air quality. These conditi</w:t>
      </w:r>
      <w:r>
        <w:rPr>
          <w:rFonts w:ascii="Arial" w:hAnsi="Arial" w:cs="Arial"/>
          <w:lang w:val="en-GB" w:eastAsia="en-GB"/>
        </w:rPr>
        <w:t>ons trigger physiological stress, which directly affects feed intake and nutrient utilization efficiency. Heat stress and social stress cause chickens to divert energy that should be used for growth to maintain body balance (homeostasis), such as body temp</w:t>
      </w:r>
      <w:r>
        <w:rPr>
          <w:rFonts w:ascii="Arial" w:hAnsi="Arial" w:cs="Arial"/>
          <w:lang w:val="en-GB" w:eastAsia="en-GB"/>
        </w:rPr>
        <w:t>erature regulation and immune responses (Sesay, 2022). As a result, the energy required for muscle tissue formation is reduced, leading to lower weight gain. However, the serum SGOT and SGPT levels in chickens remained within the normal range, indicating t</w:t>
      </w:r>
      <w:r>
        <w:rPr>
          <w:rFonts w:ascii="Arial" w:hAnsi="Arial" w:cs="Arial"/>
          <w:lang w:val="en-GB" w:eastAsia="en-GB"/>
        </w:rPr>
        <w:t>hat liver function was not impaired. This means that the decrease in live weight is not caused by liver cell damage or dysfunction but rather by environmental and management factors. The liver is still capable of performing normal nutrient metabolism funct</w:t>
      </w:r>
      <w:r>
        <w:rPr>
          <w:rFonts w:ascii="Arial" w:hAnsi="Arial" w:cs="Arial"/>
          <w:lang w:val="en-GB" w:eastAsia="en-GB"/>
        </w:rPr>
        <w:t>ions, but stress conditions prevent nutrients from being optimally utilized for growth (Hou et al., 2020).</w:t>
      </w:r>
    </w:p>
    <w:p w14:paraId="7ACEFD78" w14:textId="77777777" w:rsidR="006D32CB" w:rsidRDefault="006D32CB">
      <w:pPr>
        <w:pStyle w:val="Body"/>
        <w:spacing w:after="0"/>
        <w:rPr>
          <w:rFonts w:ascii="Arial" w:hAnsi="Arial" w:cs="Arial"/>
        </w:rPr>
      </w:pPr>
    </w:p>
    <w:p w14:paraId="71DEDA14" w14:textId="77777777" w:rsidR="006D32CB" w:rsidRDefault="00646E4D">
      <w:pPr>
        <w:pStyle w:val="ConcHead"/>
        <w:spacing w:after="0"/>
        <w:jc w:val="both"/>
        <w:rPr>
          <w:rFonts w:ascii="Arial" w:hAnsi="Arial" w:cs="Arial"/>
        </w:rPr>
      </w:pPr>
      <w:r>
        <w:rPr>
          <w:rFonts w:ascii="Arial" w:hAnsi="Arial" w:cs="Arial"/>
        </w:rPr>
        <w:t>4. Conclusion</w:t>
      </w:r>
    </w:p>
    <w:p w14:paraId="0D612A47" w14:textId="77777777" w:rsidR="006D32CB" w:rsidRDefault="006D32CB">
      <w:pPr>
        <w:pStyle w:val="ConcHead"/>
        <w:spacing w:after="0"/>
        <w:jc w:val="both"/>
        <w:rPr>
          <w:rFonts w:ascii="Arial" w:hAnsi="Arial" w:cs="Arial"/>
        </w:rPr>
      </w:pPr>
    </w:p>
    <w:p w14:paraId="639FA6C1" w14:textId="77777777" w:rsidR="006D32CB" w:rsidRDefault="00646E4D">
      <w:pPr>
        <w:pStyle w:val="Body"/>
        <w:spacing w:after="0"/>
        <w:rPr>
          <w:rFonts w:ascii="Arial" w:hAnsi="Arial" w:cs="Arial"/>
        </w:rPr>
      </w:pPr>
      <w:r>
        <w:rPr>
          <w:rFonts w:ascii="Arial" w:eastAsia="Calibri" w:hAnsi="Arial" w:cs="Arial"/>
          <w:szCs w:val="22"/>
        </w:rPr>
        <w:t xml:space="preserve">The addition of 0.08% </w:t>
      </w:r>
      <w:proofErr w:type="spellStart"/>
      <w:r>
        <w:rPr>
          <w:rFonts w:ascii="Arial" w:eastAsia="Calibri" w:hAnsi="Arial" w:cs="Arial"/>
          <w:szCs w:val="22"/>
        </w:rPr>
        <w:t>parijoto</w:t>
      </w:r>
      <w:proofErr w:type="spellEnd"/>
      <w:r>
        <w:rPr>
          <w:rFonts w:ascii="Arial" w:eastAsia="Calibri" w:hAnsi="Arial" w:cs="Arial"/>
          <w:szCs w:val="22"/>
        </w:rPr>
        <w:t xml:space="preserve"> fruit extract </w:t>
      </w:r>
      <w:proofErr w:type="spellStart"/>
      <w:r>
        <w:rPr>
          <w:rFonts w:ascii="Arial" w:hAnsi="Arial" w:cs="Arial"/>
          <w:lang w:eastAsia="en-GB"/>
        </w:rPr>
        <w:t>en</w:t>
      </w:r>
      <w:r>
        <w:rPr>
          <w:rFonts w:ascii="Arial" w:hAnsi="Arial" w:cs="Arial"/>
          <w:lang w:val="en-GB" w:eastAsia="en-GB"/>
        </w:rPr>
        <w:t>capsul</w:t>
      </w:r>
      <w:r>
        <w:rPr>
          <w:rFonts w:ascii="Arial" w:hAnsi="Arial" w:cs="Arial"/>
          <w:lang w:eastAsia="en-GB"/>
        </w:rPr>
        <w:t>ated</w:t>
      </w:r>
      <w:proofErr w:type="spellEnd"/>
      <w:r>
        <w:rPr>
          <w:rFonts w:ascii="Arial" w:eastAsia="Calibri" w:hAnsi="Arial" w:cs="Arial"/>
          <w:szCs w:val="22"/>
        </w:rPr>
        <w:t xml:space="preserve"> in the feed did not cause changes in color, liver weight, and liver functio</w:t>
      </w:r>
      <w:r>
        <w:rPr>
          <w:rFonts w:ascii="Arial" w:eastAsia="Calibri" w:hAnsi="Arial" w:cs="Arial"/>
          <w:szCs w:val="22"/>
        </w:rPr>
        <w:t>n and increased the final weight of broiler chickens raised at high density.</w:t>
      </w:r>
    </w:p>
    <w:p w14:paraId="7ECD2675" w14:textId="77777777" w:rsidR="006D32CB" w:rsidRDefault="006D32CB">
      <w:pPr>
        <w:pStyle w:val="Body"/>
        <w:spacing w:after="0"/>
        <w:rPr>
          <w:rFonts w:ascii="Arial" w:hAnsi="Arial" w:cs="Arial"/>
        </w:rPr>
      </w:pPr>
    </w:p>
    <w:p w14:paraId="0FA59376" w14:textId="77777777" w:rsidR="006D32CB" w:rsidRDefault="006D32CB">
      <w:pPr>
        <w:pStyle w:val="ReferHead"/>
        <w:spacing w:after="0"/>
        <w:jc w:val="both"/>
        <w:rPr>
          <w:rFonts w:ascii="Arial" w:hAnsi="Arial" w:cs="Arial"/>
          <w:b w:val="0"/>
          <w:caps w:val="0"/>
          <w:sz w:val="20"/>
        </w:rPr>
      </w:pPr>
    </w:p>
    <w:p w14:paraId="5E16C90B" w14:textId="77777777" w:rsidR="006D32CB" w:rsidRDefault="00646E4D">
      <w:pPr>
        <w:pStyle w:val="ReferHead"/>
        <w:spacing w:after="0"/>
        <w:jc w:val="both"/>
        <w:rPr>
          <w:rFonts w:ascii="Arial" w:hAnsi="Arial" w:cs="Arial"/>
        </w:rPr>
      </w:pPr>
      <w:r>
        <w:rPr>
          <w:rFonts w:ascii="Arial" w:hAnsi="Arial" w:cs="Arial"/>
        </w:rPr>
        <w:t>References</w:t>
      </w:r>
    </w:p>
    <w:p w14:paraId="2B2B8729" w14:textId="77777777" w:rsidR="006D32CB" w:rsidRDefault="006D32CB">
      <w:pPr>
        <w:pStyle w:val="ReferHead"/>
        <w:spacing w:after="0"/>
        <w:jc w:val="both"/>
        <w:rPr>
          <w:rFonts w:ascii="Arial" w:hAnsi="Arial" w:cs="Arial"/>
        </w:rPr>
      </w:pPr>
    </w:p>
    <w:p w14:paraId="3FECF368" w14:textId="77777777" w:rsidR="006D32CB" w:rsidRDefault="00646E4D">
      <w:pPr>
        <w:widowControl w:val="0"/>
        <w:autoSpaceDE w:val="0"/>
        <w:autoSpaceDN w:val="0"/>
        <w:adjustRightInd w:val="0"/>
        <w:ind w:left="480" w:hanging="480"/>
        <w:jc w:val="both"/>
        <w:rPr>
          <w:rFonts w:ascii="Arial" w:hAnsi="Arial" w:cs="Arial"/>
          <w:szCs w:val="24"/>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Pr>
          <w:rFonts w:ascii="Arial" w:hAnsi="Arial" w:cs="Arial"/>
          <w:szCs w:val="24"/>
        </w:rPr>
        <w:t xml:space="preserve">Alamri, Z. Z. (2018). The role of liver in metabolism: an updated review with physiological emphasis. </w:t>
      </w:r>
      <w:r>
        <w:rPr>
          <w:rFonts w:ascii="Arial" w:hAnsi="Arial" w:cs="Arial"/>
          <w:i/>
          <w:iCs/>
          <w:szCs w:val="24"/>
        </w:rPr>
        <w:t>Int J Basic Clin Pharmacol</w:t>
      </w:r>
      <w:r>
        <w:rPr>
          <w:rFonts w:ascii="Arial" w:hAnsi="Arial" w:cs="Arial"/>
          <w:szCs w:val="24"/>
        </w:rPr>
        <w:t xml:space="preserve">, </w:t>
      </w:r>
      <w:r>
        <w:rPr>
          <w:rFonts w:ascii="Arial" w:hAnsi="Arial" w:cs="Arial"/>
          <w:i/>
          <w:iCs/>
          <w:szCs w:val="24"/>
        </w:rPr>
        <w:t>7</w:t>
      </w:r>
      <w:r>
        <w:rPr>
          <w:rFonts w:ascii="Arial" w:hAnsi="Arial" w:cs="Arial"/>
          <w:szCs w:val="24"/>
        </w:rPr>
        <w:t>(11), 2271–2276.</w:t>
      </w:r>
    </w:p>
    <w:p w14:paraId="0042A983" w14:textId="77777777" w:rsidR="006D32CB" w:rsidRDefault="00646E4D">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Gasperz, V. (2006). </w:t>
      </w:r>
      <w:r>
        <w:rPr>
          <w:rFonts w:ascii="Arial" w:hAnsi="Arial" w:cs="Arial"/>
          <w:i/>
          <w:iCs/>
          <w:szCs w:val="24"/>
        </w:rPr>
        <w:t>Teknik An</w:t>
      </w:r>
      <w:r>
        <w:rPr>
          <w:rFonts w:ascii="Arial" w:hAnsi="Arial" w:cs="Arial"/>
          <w:i/>
          <w:iCs/>
          <w:szCs w:val="24"/>
        </w:rPr>
        <w:t>alisis dam Penelitian Percobaan</w:t>
      </w:r>
      <w:r>
        <w:rPr>
          <w:rFonts w:ascii="Arial" w:hAnsi="Arial" w:cs="Arial"/>
          <w:szCs w:val="24"/>
        </w:rPr>
        <w:t xml:space="preserve"> (3rd ed.). Bandung: CV Tarsito.</w:t>
      </w:r>
    </w:p>
    <w:p w14:paraId="186DBA11" w14:textId="77777777" w:rsidR="006D32CB" w:rsidRDefault="00646E4D">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Gouda, M., Bekhit, A. E.-D., Tang, Y., Huang, Y., Huang, L., He, Y., &amp; Li, X. (2021). Recent innovations of ultrasound green technology in herbal phytochemistry: A review. </w:t>
      </w:r>
      <w:r>
        <w:rPr>
          <w:rFonts w:ascii="Arial" w:hAnsi="Arial" w:cs="Arial"/>
          <w:i/>
          <w:iCs/>
          <w:szCs w:val="24"/>
        </w:rPr>
        <w:t>Ultrasonics Sonochem</w:t>
      </w:r>
      <w:r>
        <w:rPr>
          <w:rFonts w:ascii="Arial" w:hAnsi="Arial" w:cs="Arial"/>
          <w:i/>
          <w:iCs/>
          <w:szCs w:val="24"/>
        </w:rPr>
        <w:t>istry</w:t>
      </w:r>
      <w:r>
        <w:rPr>
          <w:rFonts w:ascii="Arial" w:hAnsi="Arial" w:cs="Arial"/>
          <w:szCs w:val="24"/>
        </w:rPr>
        <w:t xml:space="preserve">, </w:t>
      </w:r>
      <w:r>
        <w:rPr>
          <w:rFonts w:ascii="Arial" w:hAnsi="Arial" w:cs="Arial"/>
          <w:i/>
          <w:iCs/>
          <w:szCs w:val="24"/>
        </w:rPr>
        <w:t>73</w:t>
      </w:r>
      <w:r>
        <w:rPr>
          <w:rFonts w:ascii="Arial" w:hAnsi="Arial" w:cs="Arial"/>
          <w:szCs w:val="24"/>
        </w:rPr>
        <w:t>, 105538.</w:t>
      </w:r>
    </w:p>
    <w:p w14:paraId="4487EFD9" w14:textId="77777777" w:rsidR="006D32CB" w:rsidRDefault="00646E4D">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Hou, Y., Hu, S., Li, X., He, W., &amp; Wu, G. (2020). Amino acid metabolism in the liver: nutritional and physiological significance. </w:t>
      </w:r>
      <w:r>
        <w:rPr>
          <w:rFonts w:ascii="Arial" w:hAnsi="Arial" w:cs="Arial"/>
          <w:i/>
          <w:iCs/>
          <w:szCs w:val="24"/>
        </w:rPr>
        <w:t>Amino Acids in Nutrition and Health: Amino Acids in Systems Function and Health</w:t>
      </w:r>
      <w:r>
        <w:rPr>
          <w:rFonts w:ascii="Arial" w:hAnsi="Arial" w:cs="Arial"/>
          <w:szCs w:val="24"/>
        </w:rPr>
        <w:t>, 21–37.</w:t>
      </w:r>
    </w:p>
    <w:p w14:paraId="2E093F97" w14:textId="77777777" w:rsidR="006D32CB" w:rsidRDefault="00646E4D">
      <w:pPr>
        <w:widowControl w:val="0"/>
        <w:autoSpaceDE w:val="0"/>
        <w:autoSpaceDN w:val="0"/>
        <w:adjustRightInd w:val="0"/>
        <w:ind w:left="480" w:hanging="480"/>
        <w:jc w:val="both"/>
        <w:rPr>
          <w:rFonts w:ascii="Arial" w:hAnsi="Arial" w:cs="Arial"/>
          <w:szCs w:val="24"/>
        </w:rPr>
      </w:pPr>
      <w:r w:rsidRPr="00731E9A">
        <w:rPr>
          <w:rFonts w:ascii="Arial" w:hAnsi="Arial" w:cs="Arial"/>
          <w:szCs w:val="24"/>
          <w:lang w:val="es-US"/>
        </w:rPr>
        <w:t xml:space="preserve">Iwujia, T., </w:t>
      </w:r>
      <w:r w:rsidRPr="00731E9A">
        <w:rPr>
          <w:rFonts w:ascii="Arial" w:hAnsi="Arial" w:cs="Arial"/>
          <w:szCs w:val="24"/>
          <w:lang w:val="es-US"/>
        </w:rPr>
        <w:t xml:space="preserve">Iheanachoa, G., Ogambaa, M., &amp; Odunfab, O. (2022). </w:t>
      </w:r>
      <w:r>
        <w:rPr>
          <w:rFonts w:ascii="Arial" w:hAnsi="Arial" w:cs="Arial"/>
          <w:szCs w:val="24"/>
        </w:rPr>
        <w:t xml:space="preserve">Relationship between live weight, internal organs, and body part weights of broiler chickens. </w:t>
      </w:r>
      <w:r>
        <w:rPr>
          <w:rFonts w:ascii="Arial" w:hAnsi="Arial" w:cs="Arial"/>
          <w:i/>
          <w:iCs/>
          <w:szCs w:val="24"/>
        </w:rPr>
        <w:t>Malay. Anim. Husband. J</w:t>
      </w:r>
      <w:r>
        <w:rPr>
          <w:rFonts w:ascii="Arial" w:hAnsi="Arial" w:cs="Arial"/>
          <w:szCs w:val="24"/>
        </w:rPr>
        <w:t xml:space="preserve">, </w:t>
      </w:r>
      <w:r>
        <w:rPr>
          <w:rFonts w:ascii="Arial" w:hAnsi="Arial" w:cs="Arial"/>
          <w:i/>
          <w:iCs/>
          <w:szCs w:val="24"/>
        </w:rPr>
        <w:t>2</w:t>
      </w:r>
      <w:r>
        <w:rPr>
          <w:rFonts w:ascii="Arial" w:hAnsi="Arial" w:cs="Arial"/>
          <w:szCs w:val="24"/>
        </w:rPr>
        <w:t>, 64–66.</w:t>
      </w:r>
    </w:p>
    <w:p w14:paraId="33D95527" w14:textId="77777777" w:rsidR="006D32CB" w:rsidRDefault="00646E4D">
      <w:pPr>
        <w:widowControl w:val="0"/>
        <w:autoSpaceDE w:val="0"/>
        <w:autoSpaceDN w:val="0"/>
        <w:adjustRightInd w:val="0"/>
        <w:ind w:left="480" w:hanging="480"/>
        <w:jc w:val="both"/>
        <w:rPr>
          <w:rFonts w:ascii="Arial" w:hAnsi="Arial" w:cs="Arial"/>
          <w:szCs w:val="24"/>
        </w:rPr>
      </w:pPr>
      <w:r>
        <w:rPr>
          <w:rFonts w:ascii="Arial" w:hAnsi="Arial" w:cs="Arial"/>
          <w:szCs w:val="24"/>
        </w:rPr>
        <w:lastRenderedPageBreak/>
        <w:t>Krismiyanto, L., Yunianto, V. D., Sumarsih, S., &amp; Sugiharto, S. (2025a). Cha</w:t>
      </w:r>
      <w:r>
        <w:rPr>
          <w:rFonts w:ascii="Arial" w:hAnsi="Arial" w:cs="Arial"/>
          <w:szCs w:val="24"/>
        </w:rPr>
        <w:t xml:space="preserve">racteristics of cecal and short-chain fatty acid production in broiler chickens fed diets with encapsulated Medinilla speciosa fruit extract. </w:t>
      </w:r>
      <w:r>
        <w:rPr>
          <w:rFonts w:ascii="Arial" w:hAnsi="Arial" w:cs="Arial"/>
          <w:i/>
          <w:iCs/>
          <w:szCs w:val="24"/>
        </w:rPr>
        <w:t>Journal of Advanced Veterinary Research</w:t>
      </w:r>
      <w:r>
        <w:rPr>
          <w:rFonts w:ascii="Arial" w:hAnsi="Arial" w:cs="Arial"/>
          <w:szCs w:val="24"/>
        </w:rPr>
        <w:t xml:space="preserve">, </w:t>
      </w:r>
      <w:r>
        <w:rPr>
          <w:rFonts w:ascii="Arial" w:hAnsi="Arial" w:cs="Arial"/>
          <w:i/>
          <w:iCs/>
          <w:szCs w:val="24"/>
        </w:rPr>
        <w:t>15</w:t>
      </w:r>
      <w:r>
        <w:rPr>
          <w:rFonts w:ascii="Arial" w:hAnsi="Arial" w:cs="Arial"/>
          <w:szCs w:val="24"/>
        </w:rPr>
        <w:t>(6), 881–884.</w:t>
      </w:r>
    </w:p>
    <w:p w14:paraId="33A49615" w14:textId="77777777" w:rsidR="006D32CB" w:rsidRDefault="00646E4D">
      <w:pPr>
        <w:widowControl w:val="0"/>
        <w:autoSpaceDE w:val="0"/>
        <w:autoSpaceDN w:val="0"/>
        <w:adjustRightInd w:val="0"/>
        <w:ind w:left="480" w:hanging="480"/>
        <w:jc w:val="both"/>
        <w:rPr>
          <w:rFonts w:ascii="Arial" w:hAnsi="Arial" w:cs="Arial"/>
          <w:szCs w:val="24"/>
        </w:rPr>
      </w:pPr>
      <w:r>
        <w:rPr>
          <w:rFonts w:ascii="Arial" w:hAnsi="Arial" w:cs="Arial"/>
          <w:szCs w:val="24"/>
        </w:rPr>
        <w:t>Krismiyanto, L., Yunianto, V. D., Sumarsih, S., &amp; Sugihar</w:t>
      </w:r>
      <w:r>
        <w:rPr>
          <w:rFonts w:ascii="Arial" w:hAnsi="Arial" w:cs="Arial"/>
          <w:szCs w:val="24"/>
        </w:rPr>
        <w:t xml:space="preserve">to, S. (2025b). Evaluation of Medinilla speciosa fruit as natural feed additive for poultry through inhibition, resistance and antioxidant capacity tests. </w:t>
      </w:r>
      <w:r>
        <w:rPr>
          <w:rFonts w:ascii="Arial" w:hAnsi="Arial" w:cs="Arial"/>
          <w:i/>
          <w:iCs/>
          <w:szCs w:val="24"/>
        </w:rPr>
        <w:t>Journal of Advanced Veterinary Research</w:t>
      </w:r>
      <w:r>
        <w:rPr>
          <w:rFonts w:ascii="Arial" w:hAnsi="Arial" w:cs="Arial"/>
          <w:szCs w:val="24"/>
        </w:rPr>
        <w:t xml:space="preserve">, </w:t>
      </w:r>
      <w:r>
        <w:rPr>
          <w:rFonts w:ascii="Arial" w:hAnsi="Arial" w:cs="Arial"/>
          <w:i/>
          <w:iCs/>
          <w:szCs w:val="24"/>
        </w:rPr>
        <w:t>15</w:t>
      </w:r>
      <w:r>
        <w:rPr>
          <w:rFonts w:ascii="Arial" w:hAnsi="Arial" w:cs="Arial"/>
          <w:szCs w:val="24"/>
        </w:rPr>
        <w:t>(6), 838–842.</w:t>
      </w:r>
    </w:p>
    <w:p w14:paraId="4C1E6018" w14:textId="77777777" w:rsidR="006D32CB" w:rsidRDefault="00646E4D">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Lauridsen, C. (2019). From oxidative stress </w:t>
      </w:r>
      <w:r>
        <w:rPr>
          <w:rFonts w:ascii="Arial" w:hAnsi="Arial" w:cs="Arial"/>
          <w:szCs w:val="24"/>
        </w:rPr>
        <w:t xml:space="preserve">to inflammation: redox balance and immune system. </w:t>
      </w:r>
      <w:r>
        <w:rPr>
          <w:rFonts w:ascii="Arial" w:hAnsi="Arial" w:cs="Arial"/>
          <w:i/>
          <w:iCs/>
          <w:szCs w:val="24"/>
        </w:rPr>
        <w:t>Poultry Science</w:t>
      </w:r>
      <w:r>
        <w:rPr>
          <w:rFonts w:ascii="Arial" w:hAnsi="Arial" w:cs="Arial"/>
          <w:szCs w:val="24"/>
        </w:rPr>
        <w:t xml:space="preserve">, </w:t>
      </w:r>
      <w:r>
        <w:rPr>
          <w:rFonts w:ascii="Arial" w:hAnsi="Arial" w:cs="Arial"/>
          <w:i/>
          <w:iCs/>
          <w:szCs w:val="24"/>
        </w:rPr>
        <w:t>98</w:t>
      </w:r>
      <w:r>
        <w:rPr>
          <w:rFonts w:ascii="Arial" w:hAnsi="Arial" w:cs="Arial"/>
          <w:szCs w:val="24"/>
        </w:rPr>
        <w:t>(10), 4240–4246.</w:t>
      </w:r>
    </w:p>
    <w:p w14:paraId="445968F6" w14:textId="77777777" w:rsidR="006D32CB" w:rsidRDefault="00646E4D">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Li, S., Tan, H.-Y., Wang, N., Zhang, Z.-J., Lao, L., Wong, C.-W., &amp; Feng, Y. (2015). The role of oxidative stress and antioxidants in liver diseases. </w:t>
      </w:r>
      <w:r>
        <w:rPr>
          <w:rFonts w:ascii="Arial" w:hAnsi="Arial" w:cs="Arial"/>
          <w:i/>
          <w:iCs/>
          <w:szCs w:val="24"/>
        </w:rPr>
        <w:t xml:space="preserve">International </w:t>
      </w:r>
      <w:r>
        <w:rPr>
          <w:rFonts w:ascii="Arial" w:hAnsi="Arial" w:cs="Arial"/>
          <w:i/>
          <w:iCs/>
          <w:szCs w:val="24"/>
        </w:rPr>
        <w:t>Journal of Molecular Sciences</w:t>
      </w:r>
      <w:r>
        <w:rPr>
          <w:rFonts w:ascii="Arial" w:hAnsi="Arial" w:cs="Arial"/>
          <w:szCs w:val="24"/>
        </w:rPr>
        <w:t xml:space="preserve">, </w:t>
      </w:r>
      <w:r>
        <w:rPr>
          <w:rFonts w:ascii="Arial" w:hAnsi="Arial" w:cs="Arial"/>
          <w:i/>
          <w:iCs/>
          <w:szCs w:val="24"/>
        </w:rPr>
        <w:t>16</w:t>
      </w:r>
      <w:r>
        <w:rPr>
          <w:rFonts w:ascii="Arial" w:hAnsi="Arial" w:cs="Arial"/>
          <w:szCs w:val="24"/>
        </w:rPr>
        <w:t>(11), 26087–26124.</w:t>
      </w:r>
    </w:p>
    <w:p w14:paraId="351C82F4" w14:textId="77777777" w:rsidR="006D32CB" w:rsidRDefault="00646E4D">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Li, Y., Wang, K., &amp; Li, C. (2024). Oxidative stress in poultry and the therapeutic role of herbal medicine in intestinal health. </w:t>
      </w:r>
      <w:r>
        <w:rPr>
          <w:rFonts w:ascii="Arial" w:hAnsi="Arial" w:cs="Arial"/>
          <w:i/>
          <w:iCs/>
          <w:szCs w:val="24"/>
        </w:rPr>
        <w:t>Antioxidants</w:t>
      </w:r>
      <w:r>
        <w:rPr>
          <w:rFonts w:ascii="Arial" w:hAnsi="Arial" w:cs="Arial"/>
          <w:szCs w:val="24"/>
        </w:rPr>
        <w:t xml:space="preserve">, </w:t>
      </w:r>
      <w:r>
        <w:rPr>
          <w:rFonts w:ascii="Arial" w:hAnsi="Arial" w:cs="Arial"/>
          <w:i/>
          <w:iCs/>
          <w:szCs w:val="24"/>
        </w:rPr>
        <w:t>13</w:t>
      </w:r>
      <w:r>
        <w:rPr>
          <w:rFonts w:ascii="Arial" w:hAnsi="Arial" w:cs="Arial"/>
          <w:szCs w:val="24"/>
        </w:rPr>
        <w:t>(11), 1375.</w:t>
      </w:r>
    </w:p>
    <w:p w14:paraId="21D89F76" w14:textId="77777777" w:rsidR="006D32CB" w:rsidRDefault="00646E4D">
      <w:pPr>
        <w:widowControl w:val="0"/>
        <w:autoSpaceDE w:val="0"/>
        <w:autoSpaceDN w:val="0"/>
        <w:adjustRightInd w:val="0"/>
        <w:ind w:left="480" w:hanging="480"/>
        <w:jc w:val="both"/>
        <w:rPr>
          <w:rFonts w:ascii="Arial" w:hAnsi="Arial" w:cs="Arial"/>
          <w:szCs w:val="24"/>
        </w:rPr>
      </w:pPr>
      <w:r>
        <w:rPr>
          <w:rFonts w:ascii="Arial" w:hAnsi="Arial" w:cs="Arial"/>
          <w:szCs w:val="24"/>
        </w:rPr>
        <w:t>Sesay, A. R. (2022). Impact of heat stress on c</w:t>
      </w:r>
      <w:r>
        <w:rPr>
          <w:rFonts w:ascii="Arial" w:hAnsi="Arial" w:cs="Arial"/>
          <w:szCs w:val="24"/>
        </w:rPr>
        <w:t xml:space="preserve">hicken performance, welfare, and probable mitigation strategies. </w:t>
      </w:r>
      <w:r>
        <w:rPr>
          <w:rFonts w:ascii="Arial" w:hAnsi="Arial" w:cs="Arial"/>
          <w:i/>
          <w:iCs/>
          <w:szCs w:val="24"/>
        </w:rPr>
        <w:t>International Journal of Environment and Climate Change</w:t>
      </w:r>
      <w:r>
        <w:rPr>
          <w:rFonts w:ascii="Arial" w:hAnsi="Arial" w:cs="Arial"/>
          <w:szCs w:val="24"/>
        </w:rPr>
        <w:t xml:space="preserve">, </w:t>
      </w:r>
      <w:r>
        <w:rPr>
          <w:rFonts w:ascii="Arial" w:hAnsi="Arial" w:cs="Arial"/>
          <w:i/>
          <w:iCs/>
          <w:szCs w:val="24"/>
        </w:rPr>
        <w:t>12</w:t>
      </w:r>
      <w:r>
        <w:rPr>
          <w:rFonts w:ascii="Arial" w:hAnsi="Arial" w:cs="Arial"/>
          <w:szCs w:val="24"/>
        </w:rPr>
        <w:t>(11), 3120–3133.</w:t>
      </w:r>
    </w:p>
    <w:p w14:paraId="0E6A3D06" w14:textId="77777777" w:rsidR="006D32CB" w:rsidRDefault="00646E4D">
      <w:pPr>
        <w:widowControl w:val="0"/>
        <w:autoSpaceDE w:val="0"/>
        <w:autoSpaceDN w:val="0"/>
        <w:adjustRightInd w:val="0"/>
        <w:ind w:left="480" w:hanging="480"/>
        <w:jc w:val="both"/>
        <w:rPr>
          <w:rFonts w:ascii="Arial" w:hAnsi="Arial" w:cs="Arial"/>
          <w:szCs w:val="24"/>
        </w:rPr>
      </w:pPr>
      <w:r>
        <w:rPr>
          <w:rFonts w:ascii="Arial" w:hAnsi="Arial" w:cs="Arial"/>
          <w:szCs w:val="24"/>
        </w:rPr>
        <w:t>Xiong, G., Gao, X., Zheng, H., Li, X., Xu, X., &amp; Zhou, G. (2017). Comparison on the physico</w:t>
      </w:r>
      <w:r>
        <w:rPr>
          <w:rFonts w:ascii="Cambria Math" w:hAnsi="Cambria Math" w:cs="Cambria Math"/>
          <w:szCs w:val="24"/>
        </w:rPr>
        <w:t>‐</w:t>
      </w:r>
      <w:r>
        <w:rPr>
          <w:rFonts w:ascii="Arial" w:hAnsi="Arial" w:cs="Arial"/>
          <w:szCs w:val="24"/>
        </w:rPr>
        <w:t>chemical and nutritiona</w:t>
      </w:r>
      <w:r>
        <w:rPr>
          <w:rFonts w:ascii="Arial" w:hAnsi="Arial" w:cs="Arial"/>
          <w:szCs w:val="24"/>
        </w:rPr>
        <w:t xml:space="preserve">l qualities of normal and abnormal colored fresh chicken liver. </w:t>
      </w:r>
      <w:r>
        <w:rPr>
          <w:rFonts w:ascii="Arial" w:hAnsi="Arial" w:cs="Arial"/>
          <w:i/>
          <w:iCs/>
          <w:szCs w:val="24"/>
        </w:rPr>
        <w:t>Animal Science Journal</w:t>
      </w:r>
      <w:r>
        <w:rPr>
          <w:rFonts w:ascii="Arial" w:hAnsi="Arial" w:cs="Arial"/>
          <w:szCs w:val="24"/>
        </w:rPr>
        <w:t xml:space="preserve">, </w:t>
      </w:r>
      <w:r>
        <w:rPr>
          <w:rFonts w:ascii="Arial" w:hAnsi="Arial" w:cs="Arial"/>
          <w:i/>
          <w:iCs/>
          <w:szCs w:val="24"/>
        </w:rPr>
        <w:t>88</w:t>
      </w:r>
      <w:r>
        <w:rPr>
          <w:rFonts w:ascii="Arial" w:hAnsi="Arial" w:cs="Arial"/>
          <w:szCs w:val="24"/>
        </w:rPr>
        <w:t>(6), 893–899.</w:t>
      </w:r>
    </w:p>
    <w:p w14:paraId="1CB3C9C7" w14:textId="77777777" w:rsidR="006D32CB" w:rsidRDefault="00646E4D">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Xiong, H.-H., Lin, S.-Y., Chen, L.-L., Ouyang, K.-H., &amp; Wang, W.-J. (2023). The interaction between flavonoids and intestinal microbes: A review. </w:t>
      </w:r>
      <w:r>
        <w:rPr>
          <w:rFonts w:ascii="Arial" w:hAnsi="Arial" w:cs="Arial"/>
          <w:i/>
          <w:iCs/>
          <w:szCs w:val="24"/>
        </w:rPr>
        <w:t>Foods</w:t>
      </w:r>
      <w:r>
        <w:rPr>
          <w:rFonts w:ascii="Arial" w:hAnsi="Arial" w:cs="Arial"/>
          <w:szCs w:val="24"/>
        </w:rPr>
        <w:t>,</w:t>
      </w:r>
      <w:r>
        <w:rPr>
          <w:rFonts w:ascii="Arial" w:hAnsi="Arial" w:cs="Arial"/>
          <w:szCs w:val="24"/>
        </w:rPr>
        <w:t xml:space="preserve"> </w:t>
      </w:r>
      <w:r>
        <w:rPr>
          <w:rFonts w:ascii="Arial" w:hAnsi="Arial" w:cs="Arial"/>
          <w:i/>
          <w:iCs/>
          <w:szCs w:val="24"/>
        </w:rPr>
        <w:t>12</w:t>
      </w:r>
      <w:r>
        <w:rPr>
          <w:rFonts w:ascii="Arial" w:hAnsi="Arial" w:cs="Arial"/>
          <w:szCs w:val="24"/>
        </w:rPr>
        <w:t>(2), 320.</w:t>
      </w:r>
    </w:p>
    <w:p w14:paraId="38508C6B" w14:textId="77777777" w:rsidR="006D32CB" w:rsidRDefault="00646E4D">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Zaefarian, F., Abdollahi, M. R., Cowieson, A., &amp; Ravindran, V. (2019). Avian liver: the forgotten organ. </w:t>
      </w:r>
      <w:r>
        <w:rPr>
          <w:rFonts w:ascii="Arial" w:hAnsi="Arial" w:cs="Arial"/>
          <w:i/>
          <w:iCs/>
          <w:szCs w:val="24"/>
        </w:rPr>
        <w:t>Animals</w:t>
      </w:r>
      <w:r>
        <w:rPr>
          <w:rFonts w:ascii="Arial" w:hAnsi="Arial" w:cs="Arial"/>
          <w:szCs w:val="24"/>
        </w:rPr>
        <w:t xml:space="preserve">, </w:t>
      </w:r>
      <w:r>
        <w:rPr>
          <w:rFonts w:ascii="Arial" w:hAnsi="Arial" w:cs="Arial"/>
          <w:i/>
          <w:iCs/>
          <w:szCs w:val="24"/>
        </w:rPr>
        <w:t>9</w:t>
      </w:r>
      <w:r>
        <w:rPr>
          <w:rFonts w:ascii="Arial" w:hAnsi="Arial" w:cs="Arial"/>
          <w:szCs w:val="24"/>
        </w:rPr>
        <w:t>(2), 63.</w:t>
      </w:r>
    </w:p>
    <w:p w14:paraId="0527B666" w14:textId="77777777" w:rsidR="006D32CB" w:rsidRDefault="00646E4D">
      <w:pPr>
        <w:widowControl w:val="0"/>
        <w:autoSpaceDE w:val="0"/>
        <w:autoSpaceDN w:val="0"/>
        <w:adjustRightInd w:val="0"/>
        <w:ind w:left="480" w:hanging="480"/>
        <w:rPr>
          <w:rFonts w:ascii="Arial" w:hAnsi="Arial" w:cs="Arial"/>
        </w:rPr>
      </w:pPr>
      <w:r>
        <w:rPr>
          <w:rFonts w:ascii="Arial" w:hAnsi="Arial" w:cs="Arial"/>
          <w:szCs w:val="24"/>
        </w:rPr>
        <w:t>Zálešáková, D., Novotný, J., Řiháček, M., Horáková, L., Mrkvicová, E., Šťastník, O., &amp; Pavlata, L. (2025). The blood bi</w:t>
      </w:r>
      <w:r>
        <w:rPr>
          <w:rFonts w:ascii="Arial" w:hAnsi="Arial" w:cs="Arial"/>
          <w:szCs w:val="24"/>
        </w:rPr>
        <w:t xml:space="preserve">ochemical parameters intervals and dynamics in modern broiler chickens. </w:t>
      </w:r>
      <w:r>
        <w:rPr>
          <w:rFonts w:ascii="Arial" w:hAnsi="Arial" w:cs="Arial"/>
          <w:i/>
          <w:iCs/>
          <w:szCs w:val="24"/>
        </w:rPr>
        <w:t>Veterinary and Animal Science</w:t>
      </w:r>
      <w:r>
        <w:rPr>
          <w:rFonts w:ascii="Arial" w:hAnsi="Arial" w:cs="Arial"/>
          <w:szCs w:val="24"/>
        </w:rPr>
        <w:t xml:space="preserve">, </w:t>
      </w:r>
      <w:r>
        <w:rPr>
          <w:rFonts w:ascii="Arial" w:hAnsi="Arial" w:cs="Arial"/>
          <w:i/>
          <w:iCs/>
          <w:szCs w:val="24"/>
        </w:rPr>
        <w:t>29</w:t>
      </w:r>
      <w:r>
        <w:rPr>
          <w:rFonts w:ascii="Arial" w:hAnsi="Arial" w:cs="Arial"/>
          <w:szCs w:val="24"/>
        </w:rPr>
        <w:t>(June). https://doi.org/10.1016/j.vas.2025.100465</w:t>
      </w:r>
    </w:p>
    <w:p w14:paraId="5F8D0C25" w14:textId="77777777" w:rsidR="006D32CB" w:rsidRDefault="00646E4D">
      <w:pPr>
        <w:widowControl w:val="0"/>
        <w:autoSpaceDE w:val="0"/>
        <w:autoSpaceDN w:val="0"/>
        <w:adjustRightInd w:val="0"/>
        <w:ind w:left="480" w:hanging="480"/>
        <w:rPr>
          <w:rFonts w:ascii="Arial" w:hAnsi="Arial" w:cs="Arial"/>
        </w:rPr>
        <w:sectPr w:rsidR="006D32CB" w:rsidSect="00B0508F">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Pr>
          <w:rFonts w:ascii="Arial" w:hAnsi="Arial" w:cs="Arial"/>
        </w:rPr>
        <w:fldChar w:fldCharType="end"/>
      </w:r>
    </w:p>
    <w:p w14:paraId="4117BDE9" w14:textId="77777777" w:rsidR="006D32CB" w:rsidRDefault="006D32CB">
      <w:pPr>
        <w:pStyle w:val="Appendix"/>
        <w:spacing w:after="0"/>
        <w:jc w:val="both"/>
        <w:rPr>
          <w:rFonts w:ascii="Arial" w:hAnsi="Arial" w:cs="Arial"/>
          <w:b w:val="0"/>
        </w:rPr>
      </w:pPr>
    </w:p>
    <w:sectPr w:rsidR="006D32CB" w:rsidSect="00B0508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56246" w14:textId="77777777" w:rsidR="00646E4D" w:rsidRDefault="00646E4D">
      <w:r>
        <w:separator/>
      </w:r>
    </w:p>
  </w:endnote>
  <w:endnote w:type="continuationSeparator" w:id="0">
    <w:p w14:paraId="454693AC" w14:textId="77777777" w:rsidR="00646E4D" w:rsidRDefault="0064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7EAFD" w14:textId="77777777" w:rsidR="00B0508F" w:rsidRDefault="00B05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0E3F8" w14:textId="77777777" w:rsidR="00B0508F" w:rsidRDefault="00B050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13701" w14:textId="230F8D5D" w:rsidR="006D32CB" w:rsidRPr="005E33A6" w:rsidRDefault="006D32CB" w:rsidP="005E33A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C3A60" w14:textId="77777777" w:rsidR="006D32CB" w:rsidRDefault="006D3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2AAD6" w14:textId="77777777" w:rsidR="00646E4D" w:rsidRDefault="00646E4D">
      <w:r>
        <w:separator/>
      </w:r>
    </w:p>
  </w:footnote>
  <w:footnote w:type="continuationSeparator" w:id="0">
    <w:p w14:paraId="505B6DBB" w14:textId="77777777" w:rsidR="00646E4D" w:rsidRDefault="00646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8A88B" w14:textId="5A856AEB" w:rsidR="00B0508F" w:rsidRDefault="00B0508F">
    <w:pPr>
      <w:pStyle w:val="Header"/>
    </w:pPr>
    <w:r>
      <w:rPr>
        <w:noProof/>
      </w:rPr>
      <w:pict w14:anchorId="2941C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2487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B8622" w14:textId="34315166" w:rsidR="00B0508F" w:rsidRDefault="00B0508F">
    <w:pPr>
      <w:pStyle w:val="Header"/>
    </w:pPr>
    <w:r>
      <w:rPr>
        <w:noProof/>
      </w:rPr>
      <w:pict w14:anchorId="59D0A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2487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33A67" w14:textId="082A125F" w:rsidR="006D32CB" w:rsidRDefault="00B0508F">
    <w:pPr>
      <w:ind w:left="2160"/>
      <w:jc w:val="center"/>
      <w:rPr>
        <w:rFonts w:ascii="Times New Roman" w:eastAsia="Calibri" w:hAnsi="Times New Roman"/>
        <w:i/>
        <w:sz w:val="18"/>
        <w:szCs w:val="22"/>
      </w:rPr>
    </w:pPr>
    <w:r>
      <w:rPr>
        <w:noProof/>
      </w:rPr>
      <w:pict w14:anchorId="1EAA5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2487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834527D" w14:textId="77777777" w:rsidR="006D32CB" w:rsidRDefault="00646E4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A4D73C8" w14:textId="77777777" w:rsidR="006D32CB" w:rsidRDefault="00646E4D">
    <w:pPr>
      <w:jc w:val="center"/>
      <w:rPr>
        <w:rFonts w:ascii="Times New Roman" w:eastAsia="Calibri" w:hAnsi="Times New Roman"/>
        <w:i/>
        <w:sz w:val="18"/>
        <w:szCs w:val="22"/>
      </w:rPr>
    </w:pPr>
    <w:r>
      <w:rPr>
        <w:rFonts w:ascii="Times New Roman" w:eastAsia="Calibri" w:hAnsi="Times New Roman"/>
        <w:i/>
        <w:sz w:val="18"/>
        <w:szCs w:val="22"/>
      </w:rPr>
      <w:t>.</w:t>
    </w:r>
  </w:p>
  <w:p w14:paraId="285F887D" w14:textId="77777777" w:rsidR="006D32CB" w:rsidRDefault="00646E4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403EC2A" w14:textId="77777777" w:rsidR="006D32CB" w:rsidRDefault="00646E4D">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587EF68" w14:textId="77777777" w:rsidR="006D32CB" w:rsidRDefault="00646E4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AF85533" w14:textId="77777777" w:rsidR="006D32CB" w:rsidRDefault="00646E4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8209A" w14:textId="26E47A34" w:rsidR="00B0508F" w:rsidRDefault="00B0508F">
    <w:pPr>
      <w:pStyle w:val="Header"/>
    </w:pPr>
    <w:r>
      <w:rPr>
        <w:noProof/>
      </w:rPr>
      <w:pict w14:anchorId="44B67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24870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DDC76" w14:textId="434D80CA" w:rsidR="00B0508F" w:rsidRDefault="00B0508F">
    <w:pPr>
      <w:pStyle w:val="Header"/>
    </w:pPr>
    <w:r>
      <w:rPr>
        <w:noProof/>
      </w:rPr>
      <w:pict w14:anchorId="23CB2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24870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1BBA0" w14:textId="750D57BB" w:rsidR="00B0508F" w:rsidRDefault="00B0508F">
    <w:pPr>
      <w:pStyle w:val="Header"/>
    </w:pPr>
    <w:r>
      <w:rPr>
        <w:noProof/>
      </w:rPr>
      <w:pict w14:anchorId="19087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24870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I0tjA1MzA0MjQEMpR0lIJTi4sz8/NACgxrAeHOyFAsAAAA"/>
  </w:docVars>
  <w:rsids>
    <w:rsidRoot w:val="00AA6219"/>
    <w:rsid w:val="00000F8F"/>
    <w:rsid w:val="00005735"/>
    <w:rsid w:val="00030174"/>
    <w:rsid w:val="00031ACD"/>
    <w:rsid w:val="00033073"/>
    <w:rsid w:val="0004579C"/>
    <w:rsid w:val="000529FD"/>
    <w:rsid w:val="000A2C92"/>
    <w:rsid w:val="000A47FA"/>
    <w:rsid w:val="000A65D3"/>
    <w:rsid w:val="000B1E33"/>
    <w:rsid w:val="000D689F"/>
    <w:rsid w:val="000E7B7B"/>
    <w:rsid w:val="000E7D62"/>
    <w:rsid w:val="00103357"/>
    <w:rsid w:val="00114BA7"/>
    <w:rsid w:val="00123C9F"/>
    <w:rsid w:val="00126190"/>
    <w:rsid w:val="00130272"/>
    <w:rsid w:val="00130F17"/>
    <w:rsid w:val="001320BF"/>
    <w:rsid w:val="001411E1"/>
    <w:rsid w:val="00147A29"/>
    <w:rsid w:val="00163BC4"/>
    <w:rsid w:val="00165FAC"/>
    <w:rsid w:val="0018101D"/>
    <w:rsid w:val="00191062"/>
    <w:rsid w:val="00192B72"/>
    <w:rsid w:val="001A29D8"/>
    <w:rsid w:val="001A5CAA"/>
    <w:rsid w:val="001B0427"/>
    <w:rsid w:val="001B1865"/>
    <w:rsid w:val="001D3A51"/>
    <w:rsid w:val="001D67E4"/>
    <w:rsid w:val="001E10D2"/>
    <w:rsid w:val="001E25B4"/>
    <w:rsid w:val="001E44FE"/>
    <w:rsid w:val="00200595"/>
    <w:rsid w:val="00204835"/>
    <w:rsid w:val="00225B89"/>
    <w:rsid w:val="00231920"/>
    <w:rsid w:val="0023195C"/>
    <w:rsid w:val="00232F77"/>
    <w:rsid w:val="0023467F"/>
    <w:rsid w:val="0024282C"/>
    <w:rsid w:val="002460DC"/>
    <w:rsid w:val="00250985"/>
    <w:rsid w:val="002556F6"/>
    <w:rsid w:val="00264D15"/>
    <w:rsid w:val="00283105"/>
    <w:rsid w:val="00284C4C"/>
    <w:rsid w:val="00287E68"/>
    <w:rsid w:val="00296529"/>
    <w:rsid w:val="002B27FB"/>
    <w:rsid w:val="002B685A"/>
    <w:rsid w:val="002C4696"/>
    <w:rsid w:val="002C57D2"/>
    <w:rsid w:val="002E0D56"/>
    <w:rsid w:val="00315186"/>
    <w:rsid w:val="00321688"/>
    <w:rsid w:val="0033343E"/>
    <w:rsid w:val="003512C2"/>
    <w:rsid w:val="003574C4"/>
    <w:rsid w:val="00371FB6"/>
    <w:rsid w:val="003763C1"/>
    <w:rsid w:val="00376BBE"/>
    <w:rsid w:val="0039224F"/>
    <w:rsid w:val="003A43A4"/>
    <w:rsid w:val="003A7E18"/>
    <w:rsid w:val="003C4C86"/>
    <w:rsid w:val="003C6258"/>
    <w:rsid w:val="003E180E"/>
    <w:rsid w:val="003E1BFB"/>
    <w:rsid w:val="003E2904"/>
    <w:rsid w:val="00401927"/>
    <w:rsid w:val="0041027F"/>
    <w:rsid w:val="00412475"/>
    <w:rsid w:val="00423789"/>
    <w:rsid w:val="00440F43"/>
    <w:rsid w:val="00441B6F"/>
    <w:rsid w:val="00446057"/>
    <w:rsid w:val="00446221"/>
    <w:rsid w:val="00450E62"/>
    <w:rsid w:val="004539DB"/>
    <w:rsid w:val="00465AB8"/>
    <w:rsid w:val="00471A80"/>
    <w:rsid w:val="00490B88"/>
    <w:rsid w:val="0049357B"/>
    <w:rsid w:val="004C2555"/>
    <w:rsid w:val="004D305E"/>
    <w:rsid w:val="004D4277"/>
    <w:rsid w:val="004F1EB5"/>
    <w:rsid w:val="00502516"/>
    <w:rsid w:val="0050536D"/>
    <w:rsid w:val="00505F06"/>
    <w:rsid w:val="00506828"/>
    <w:rsid w:val="005237D9"/>
    <w:rsid w:val="0053056E"/>
    <w:rsid w:val="00553D2C"/>
    <w:rsid w:val="00554FDA"/>
    <w:rsid w:val="005561B4"/>
    <w:rsid w:val="00567800"/>
    <w:rsid w:val="005C784C"/>
    <w:rsid w:val="005D17F6"/>
    <w:rsid w:val="005E33A6"/>
    <w:rsid w:val="005E5539"/>
    <w:rsid w:val="00602BF5"/>
    <w:rsid w:val="00617FDD"/>
    <w:rsid w:val="00633614"/>
    <w:rsid w:val="00633F68"/>
    <w:rsid w:val="00636EB2"/>
    <w:rsid w:val="006375B8"/>
    <w:rsid w:val="00646E4D"/>
    <w:rsid w:val="0066510A"/>
    <w:rsid w:val="00671583"/>
    <w:rsid w:val="00673F9F"/>
    <w:rsid w:val="00686953"/>
    <w:rsid w:val="00687DEA"/>
    <w:rsid w:val="00687E67"/>
    <w:rsid w:val="006967F7"/>
    <w:rsid w:val="006A250C"/>
    <w:rsid w:val="006B21D3"/>
    <w:rsid w:val="006B57D0"/>
    <w:rsid w:val="006D30FF"/>
    <w:rsid w:val="006D32CB"/>
    <w:rsid w:val="006D6940"/>
    <w:rsid w:val="006F11EC"/>
    <w:rsid w:val="006F472E"/>
    <w:rsid w:val="0070082C"/>
    <w:rsid w:val="00704B67"/>
    <w:rsid w:val="00731E9A"/>
    <w:rsid w:val="007369E6"/>
    <w:rsid w:val="00736C4A"/>
    <w:rsid w:val="00746E59"/>
    <w:rsid w:val="00754C9A"/>
    <w:rsid w:val="0075599A"/>
    <w:rsid w:val="00761D52"/>
    <w:rsid w:val="0077749E"/>
    <w:rsid w:val="00782307"/>
    <w:rsid w:val="00790ADA"/>
    <w:rsid w:val="007A3379"/>
    <w:rsid w:val="007D2288"/>
    <w:rsid w:val="007D419C"/>
    <w:rsid w:val="007D777A"/>
    <w:rsid w:val="007E088F"/>
    <w:rsid w:val="007F7B32"/>
    <w:rsid w:val="00804BC2"/>
    <w:rsid w:val="0081431A"/>
    <w:rsid w:val="00830C93"/>
    <w:rsid w:val="0083216F"/>
    <w:rsid w:val="00846D56"/>
    <w:rsid w:val="00860000"/>
    <w:rsid w:val="00863BD3"/>
    <w:rsid w:val="008641ED"/>
    <w:rsid w:val="00866D66"/>
    <w:rsid w:val="008671C6"/>
    <w:rsid w:val="00875803"/>
    <w:rsid w:val="00881C13"/>
    <w:rsid w:val="008B459E"/>
    <w:rsid w:val="008C6D27"/>
    <w:rsid w:val="008E13AE"/>
    <w:rsid w:val="008E1506"/>
    <w:rsid w:val="008E710C"/>
    <w:rsid w:val="008F69D6"/>
    <w:rsid w:val="00902823"/>
    <w:rsid w:val="00915CA6"/>
    <w:rsid w:val="00927834"/>
    <w:rsid w:val="009500A6"/>
    <w:rsid w:val="00954CFE"/>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72A2"/>
    <w:rsid w:val="00A7325C"/>
    <w:rsid w:val="00A94063"/>
    <w:rsid w:val="00AA6219"/>
    <w:rsid w:val="00AA74E0"/>
    <w:rsid w:val="00AB703F"/>
    <w:rsid w:val="00AC6B05"/>
    <w:rsid w:val="00AC6BB8"/>
    <w:rsid w:val="00AE008F"/>
    <w:rsid w:val="00B01FCD"/>
    <w:rsid w:val="00B0508F"/>
    <w:rsid w:val="00B1776C"/>
    <w:rsid w:val="00B258CD"/>
    <w:rsid w:val="00B52583"/>
    <w:rsid w:val="00B52896"/>
    <w:rsid w:val="00B629BC"/>
    <w:rsid w:val="00B7653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796D"/>
    <w:rsid w:val="00CB5436"/>
    <w:rsid w:val="00CD596D"/>
    <w:rsid w:val="00CD6755"/>
    <w:rsid w:val="00CD6856"/>
    <w:rsid w:val="00CE0089"/>
    <w:rsid w:val="00CE793C"/>
    <w:rsid w:val="00CF193C"/>
    <w:rsid w:val="00CF3DF2"/>
    <w:rsid w:val="00D00826"/>
    <w:rsid w:val="00D173F1"/>
    <w:rsid w:val="00D27C58"/>
    <w:rsid w:val="00D319FA"/>
    <w:rsid w:val="00D74CB0"/>
    <w:rsid w:val="00D8295D"/>
    <w:rsid w:val="00DB0202"/>
    <w:rsid w:val="00DC2A65"/>
    <w:rsid w:val="00DE15F0"/>
    <w:rsid w:val="00DE5663"/>
    <w:rsid w:val="00DE78AA"/>
    <w:rsid w:val="00E053D0"/>
    <w:rsid w:val="00E15994"/>
    <w:rsid w:val="00E3114E"/>
    <w:rsid w:val="00E31A70"/>
    <w:rsid w:val="00E35B02"/>
    <w:rsid w:val="00E62308"/>
    <w:rsid w:val="00E66496"/>
    <w:rsid w:val="00E66B35"/>
    <w:rsid w:val="00E66E10"/>
    <w:rsid w:val="00E769F6"/>
    <w:rsid w:val="00E8407C"/>
    <w:rsid w:val="00E84F3C"/>
    <w:rsid w:val="00EA012C"/>
    <w:rsid w:val="00EB74B6"/>
    <w:rsid w:val="00EC6A55"/>
    <w:rsid w:val="00EC77D1"/>
    <w:rsid w:val="00ED0288"/>
    <w:rsid w:val="00EE52CB"/>
    <w:rsid w:val="00EF581D"/>
    <w:rsid w:val="00EF7FD8"/>
    <w:rsid w:val="00F06F59"/>
    <w:rsid w:val="00F17988"/>
    <w:rsid w:val="00F231AF"/>
    <w:rsid w:val="00F408EE"/>
    <w:rsid w:val="00F469F0"/>
    <w:rsid w:val="00F53273"/>
    <w:rsid w:val="00F755E4"/>
    <w:rsid w:val="00F77D02"/>
    <w:rsid w:val="00FB3A86"/>
    <w:rsid w:val="00FD36C8"/>
    <w:rsid w:val="00FF00CA"/>
    <w:rsid w:val="025C2548"/>
    <w:rsid w:val="04A92035"/>
    <w:rsid w:val="19084220"/>
    <w:rsid w:val="25740F4B"/>
    <w:rsid w:val="3258631B"/>
    <w:rsid w:val="47056F93"/>
    <w:rsid w:val="64DA36AF"/>
    <w:rsid w:val="75E1171C"/>
    <w:rsid w:val="7BE74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1571817"/>
  <w15:docId w15:val="{4F15713E-1E26-426E-95EC-29ED7790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semiHidden/>
    <w:unhideWhenUsed/>
    <w:qFormat/>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semiHidden/>
    <w:qFormat/>
    <w:rPr>
      <w:rFonts w:ascii="Helvetica" w:hAnsi="Helvetica"/>
    </w:rPr>
  </w:style>
  <w:style w:type="character" w:styleId="PlaceholderText">
    <w:name w:val="Placeholder Text"/>
    <w:basedOn w:val="DefaultParagraphFont"/>
    <w:uiPriority w:val="99"/>
    <w:unhideWhenUsed/>
    <w:qFormat/>
    <w:rPr>
      <w:color w:val="808080"/>
    </w:rPr>
  </w:style>
  <w:style w:type="paragraph" w:customStyle="1" w:styleId="preflight-heading">
    <w:name w:val="preflight-heading"/>
    <w:qFormat/>
    <w:pPr>
      <w:spacing w:before="60" w:after="60"/>
    </w:pPr>
    <w:rPr>
      <w:rFonts w:eastAsia="Times New Roman"/>
      <w:b/>
      <w:color w:val="000000"/>
      <w:lang w:val="en-US" w:eastAsia="en-US"/>
    </w:rPr>
  </w:style>
  <w:style w:type="paragraph" w:customStyle="1" w:styleId="preflight-description">
    <w:name w:val="preflight-description"/>
    <w:qFormat/>
    <w:pPr>
      <w:spacing w:before="60" w:after="60"/>
    </w:pPr>
    <w:rPr>
      <w:rFonts w:eastAsia="Times New Roman"/>
      <w:color w:val="000000"/>
      <w:lang w:val="en-US" w:eastAsia="en-US"/>
    </w:rPr>
  </w:style>
  <w:style w:type="paragraph" w:customStyle="1" w:styleId="preflight-link">
    <w:name w:val="preflight-link"/>
    <w:qFormat/>
    <w:pPr>
      <w:spacing w:before="60" w:after="60"/>
    </w:pPr>
    <w:rPr>
      <w:rFonts w:eastAsia="Times New Roman"/>
      <w:color w:val="0000FF"/>
      <w:u w:val="single"/>
      <w:lang w:val="en-US" w:eastAsia="en-US"/>
    </w:rPr>
  </w:style>
  <w:style w:type="paragraph" w:customStyle="1" w:styleId="preflight-example">
    <w:name w:val="preflight-example"/>
    <w:qFormat/>
    <w:pPr>
      <w:spacing w:before="180" w:after="60"/>
    </w:pPr>
    <w:rPr>
      <w:rFonts w:eastAsia="Times New Roman"/>
      <w:i/>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EE548C-29D0-44C4-A895-BE61F1DF4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182</TotalTime>
  <Pages>7</Pages>
  <Words>3603</Words>
  <Characters>20541</Characters>
  <Application>Microsoft Office Word</Application>
  <DocSecurity>0</DocSecurity>
  <Lines>171</Lines>
  <Paragraphs>48</Paragraphs>
  <ScaleCrop>false</ScaleCrop>
  <Company>aaaa</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40</cp:revision>
  <cp:lastPrinted>1999-07-06T11:00:00Z</cp:lastPrinted>
  <dcterms:created xsi:type="dcterms:W3CDTF">2025-12-08T02:17:00Z</dcterms:created>
  <dcterms:modified xsi:type="dcterms:W3CDTF">2026-01-15T10:10:00Z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445A8D4E4D2E4FE9804EC9B19DFE1C17_13</vt:lpwstr>
  </property>
  <property fmtid="{D5CDD505-2E9C-101B-9397-08002B2CF9AE}" pid="3" name="KSOProductBuildVer">
    <vt:lpwstr>1033-12.2.0.23196</vt:lpwstr>
  </property>
  <property fmtid="{D5CDD505-2E9C-101B-9397-08002B2CF9AE}" pid="4" name="Mendeley Citation Style_1">
    <vt:lpwstr>http://www.zotero.org/styles/apa</vt:lpwstr>
  </property>
  <property fmtid="{D5CDD505-2E9C-101B-9397-08002B2CF9AE}" pid="5" name="Mendeley Document_1">
    <vt:lpwstr>True</vt:lpwstr>
  </property>
  <property fmtid="{D5CDD505-2E9C-101B-9397-08002B2CF9AE}" pid="6" name="Mendeley Recent Style Id 0_1">
    <vt:lpwstr>http://www.zotero.org/styles/american-political-science-association</vt:lpwstr>
  </property>
  <property fmtid="{D5CDD505-2E9C-101B-9397-08002B2CF9AE}" pid="7" name="Mendeley Recent Style Id 1_1">
    <vt:lpwstr>http://www.zotero.org/styles/apa</vt:lpwstr>
  </property>
  <property fmtid="{D5CDD505-2E9C-101B-9397-08002B2CF9AE}" pid="8" name="Mendeley Recent Style Id 2_1">
    <vt:lpwstr>http://www.zotero.org/styles/american-sociological-association</vt:lpwstr>
  </property>
  <property fmtid="{D5CDD505-2E9C-101B-9397-08002B2CF9AE}" pid="9" name="Mendeley Recent Style Id 3_1">
    <vt:lpwstr>http://www.zotero.org/styles/chicago-author-date</vt:lpwstr>
  </property>
  <property fmtid="{D5CDD505-2E9C-101B-9397-08002B2CF9AE}" pid="10" name="Mendeley Recent Style Id 4_1">
    <vt:lpwstr>http://www.zotero.org/styles/chicago-fullnote-bibliography</vt:lpwstr>
  </property>
  <property fmtid="{D5CDD505-2E9C-101B-9397-08002B2CF9AE}" pid="11" name="Mendeley Recent Style Id 5_1">
    <vt:lpwstr>http://www.zotero.org/styles/harvard-cite-them-right</vt:lpwstr>
  </property>
  <property fmtid="{D5CDD505-2E9C-101B-9397-08002B2CF9AE}" pid="12" name="Mendeley Recent Style Id 6_1">
    <vt:lpwstr>http://csl.mendeley.com/styles/569631951/FPP-UNDIP</vt:lpwstr>
  </property>
  <property fmtid="{D5CDD505-2E9C-101B-9397-08002B2CF9AE}" pid="13" name="Mendeley Recent Style Id 7_1">
    <vt:lpwstr>http://www.zotero.org/styles/harvard1</vt:lpwstr>
  </property>
  <property fmtid="{D5CDD505-2E9C-101B-9397-08002B2CF9AE}" pid="14" name="Mendeley Recent Style Id 8_1">
    <vt:lpwstr>http://www.zotero.org/styles/modern-humanities-research-association</vt:lpwstr>
  </property>
  <property fmtid="{D5CDD505-2E9C-101B-9397-08002B2CF9AE}" pid="15" name="Mendeley Recent Style Id 9_1">
    <vt:lpwstr>http://www.zotero.org/styles/vancouver</vt:lpwstr>
  </property>
  <property fmtid="{D5CDD505-2E9C-101B-9397-08002B2CF9AE}" pid="16" name="Mendeley Recent Style Name 0_1">
    <vt:lpwstr>American Political Science Association</vt:lpwstr>
  </property>
  <property fmtid="{D5CDD505-2E9C-101B-9397-08002B2CF9AE}" pid="17" name="Mendeley Recent Style Name 1_1">
    <vt:lpwstr>American Psychological Association 6th edition</vt:lpwstr>
  </property>
  <property fmtid="{D5CDD505-2E9C-101B-9397-08002B2CF9AE}" pid="18" name="Mendeley Recent Style Name 2_1">
    <vt:lpwstr>American Sociological Association</vt:lpwstr>
  </property>
  <property fmtid="{D5CDD505-2E9C-101B-9397-08002B2CF9AE}" pid="19" name="Mendeley Recent Style Name 3_1">
    <vt:lpwstr>Chicago Manual of Style 17th edition (author-date)</vt:lpwstr>
  </property>
  <property fmtid="{D5CDD505-2E9C-101B-9397-08002B2CF9AE}" pid="20" name="Mendeley Recent Style Name 4_1">
    <vt:lpwstr>Chicago Manual of Style 17th edition (full note)</vt:lpwstr>
  </property>
  <property fmtid="{D5CDD505-2E9C-101B-9397-08002B2CF9AE}" pid="21" name="Mendeley Recent Style Name 5_1">
    <vt:lpwstr>Cite Them Right 10th edition - Harvard</vt:lpwstr>
  </property>
  <property fmtid="{D5CDD505-2E9C-101B-9397-08002B2CF9AE}" pid="22" name="Mendeley Recent Style Name 6_1">
    <vt:lpwstr>Fakultas Peternakan dan Pertanian_UNDIP</vt:lpwstr>
  </property>
  <property fmtid="{D5CDD505-2E9C-101B-9397-08002B2CF9AE}" pid="23" name="Mendeley Recent Style Name 7_1">
    <vt:lpwstr>Harvard reference format 1 (deprecated)</vt:lpwstr>
  </property>
  <property fmtid="{D5CDD505-2E9C-101B-9397-08002B2CF9AE}" pid="24" name="Mendeley Recent Style Name 8_1">
    <vt:lpwstr>Modern Humanities Research Association 3rd edition (note with bibliography)</vt:lpwstr>
  </property>
  <property fmtid="{D5CDD505-2E9C-101B-9397-08002B2CF9AE}" pid="25" name="Mendeley Recent Style Name 9_1">
    <vt:lpwstr>Vancouver</vt:lpwstr>
  </property>
  <property fmtid="{D5CDD505-2E9C-101B-9397-08002B2CF9AE}" pid="26" name="Mendeley Unique User Id_1">
    <vt:lpwstr>df26a564-f47b-3e8d-9a8f-fe20dea96eca</vt:lpwstr>
  </property>
  <property fmtid="{D5CDD505-2E9C-101B-9397-08002B2CF9AE}" pid="27" name="preflight.documentId">
    <vt:lpwstr>realtime-bb6387fc-e106-4d56-abc0-a358464d9e90</vt:lpwstr>
  </property>
  <property fmtid="{D5CDD505-2E9C-101B-9397-08002B2CF9AE}" pid="28" name="preflight.processed">
    <vt:bool>true</vt:bool>
  </property>
  <property fmtid="{D5CDD505-2E9C-101B-9397-08002B2CF9AE}" pid="29" name="preflight.processedAt">
    <vt:lpwstr>2026-01-13T23:01:19.016976933Z</vt:lpwstr>
  </property>
  <property fmtid="{D5CDD505-2E9C-101B-9397-08002B2CF9AE}" pid="30" name="GrammarlyDocumentId">
    <vt:lpwstr>b13d48be-984f-498c-801d-2fcd4354a171</vt:lpwstr>
  </property>
</Properties>
</file>