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2EAD6" w14:textId="77777777" w:rsidR="00602A60" w:rsidRPr="00EF2A58" w:rsidRDefault="00602A60" w:rsidP="00602A60">
      <w:pPr>
        <w:pStyle w:val="Author"/>
        <w:rPr>
          <w:rFonts w:ascii="Arial" w:hAnsi="Arial" w:cs="Arial"/>
          <w:bCs/>
          <w:i/>
          <w:iCs/>
          <w:kern w:val="28"/>
          <w:sz w:val="18"/>
          <w:szCs w:val="18"/>
          <w:u w:val="single"/>
        </w:rPr>
      </w:pPr>
      <w:r w:rsidRPr="00EF2A58">
        <w:rPr>
          <w:rFonts w:ascii="Arial" w:hAnsi="Arial" w:cs="Arial"/>
          <w:bCs/>
          <w:i/>
          <w:iCs/>
          <w:kern w:val="28"/>
          <w:sz w:val="18"/>
          <w:szCs w:val="18"/>
          <w:u w:val="single"/>
        </w:rPr>
        <w:t>Original Research Article</w:t>
      </w:r>
    </w:p>
    <w:p w14:paraId="1254C43A" w14:textId="77777777" w:rsidR="000B467A" w:rsidRPr="000B467A" w:rsidRDefault="000B467A" w:rsidP="000B467A">
      <w:pPr>
        <w:pStyle w:val="Author"/>
        <w:spacing w:line="240" w:lineRule="auto"/>
        <w:rPr>
          <w:rFonts w:ascii="Arial" w:hAnsi="Arial" w:cs="Arial"/>
          <w:bCs/>
          <w:iCs/>
          <w:kern w:val="28"/>
          <w:sz w:val="36"/>
          <w:lang w:val="en-GB"/>
        </w:rPr>
      </w:pPr>
      <w:r w:rsidRPr="000B467A">
        <w:rPr>
          <w:rFonts w:ascii="Arial" w:hAnsi="Arial" w:cs="Arial"/>
          <w:bCs/>
          <w:iCs/>
          <w:kern w:val="28"/>
          <w:sz w:val="36"/>
          <w:lang w:val="en-GB"/>
        </w:rPr>
        <w:t xml:space="preserve">Impact of Slow-Release Fertilizer (SRF) Tablets on The Yield Performance of </w:t>
      </w:r>
      <w:r w:rsidRPr="000B467A">
        <w:rPr>
          <w:rFonts w:ascii="Arial" w:hAnsi="Arial" w:cs="Arial"/>
          <w:bCs/>
          <w:i/>
          <w:kern w:val="28"/>
          <w:sz w:val="36"/>
          <w:lang w:val="en-GB"/>
        </w:rPr>
        <w:t>Boro</w:t>
      </w:r>
      <w:r w:rsidRPr="000B467A">
        <w:rPr>
          <w:rFonts w:ascii="Arial" w:hAnsi="Arial" w:cs="Arial"/>
          <w:bCs/>
          <w:iCs/>
          <w:kern w:val="28"/>
          <w:sz w:val="36"/>
          <w:lang w:val="en-GB"/>
        </w:rPr>
        <w:t xml:space="preserve"> Rice</w:t>
      </w:r>
    </w:p>
    <w:p w14:paraId="59FBDF3E" w14:textId="77777777" w:rsidR="00A258C3" w:rsidRPr="00790ADA" w:rsidRDefault="00A258C3" w:rsidP="00441B6F">
      <w:pPr>
        <w:pStyle w:val="Author"/>
        <w:spacing w:line="240" w:lineRule="auto"/>
        <w:jc w:val="both"/>
        <w:rPr>
          <w:rFonts w:ascii="Arial" w:hAnsi="Arial" w:cs="Arial"/>
          <w:sz w:val="36"/>
        </w:rPr>
      </w:pPr>
    </w:p>
    <w:p w14:paraId="57F0A123" w14:textId="77777777" w:rsidR="002C57D2" w:rsidRPr="00FB3A86" w:rsidRDefault="002C57D2" w:rsidP="00441B6F">
      <w:pPr>
        <w:pStyle w:val="Affiliation"/>
        <w:spacing w:after="0" w:line="240" w:lineRule="auto"/>
        <w:jc w:val="both"/>
        <w:rPr>
          <w:rFonts w:ascii="Arial" w:hAnsi="Arial" w:cs="Arial"/>
        </w:rPr>
      </w:pPr>
    </w:p>
    <w:p w14:paraId="45628EBC" w14:textId="77777777" w:rsidR="00B01FCD" w:rsidRPr="00FB3A86" w:rsidRDefault="008F01E5" w:rsidP="00441B6F">
      <w:pPr>
        <w:pStyle w:val="Copyright"/>
        <w:spacing w:after="0" w:line="240" w:lineRule="auto"/>
        <w:jc w:val="both"/>
        <w:rPr>
          <w:rFonts w:ascii="Arial" w:hAnsi="Arial" w:cs="Arial"/>
        </w:rPr>
        <w:sectPr w:rsidR="00B01FCD" w:rsidRPr="00FB3A86" w:rsidSect="00AD0F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CB2CB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0AA606" w14:textId="633529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902B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B36A360" w14:textId="77777777" w:rsidTr="001E44FE">
        <w:tc>
          <w:tcPr>
            <w:tcW w:w="9576" w:type="dxa"/>
            <w:shd w:val="clear" w:color="auto" w:fill="F2F2F2"/>
          </w:tcPr>
          <w:p w14:paraId="47211A89" w14:textId="77777777" w:rsidR="000B467A" w:rsidRPr="000B467A" w:rsidRDefault="000B467A" w:rsidP="000B467A">
            <w:pPr>
              <w:pStyle w:val="Body"/>
              <w:spacing w:after="0"/>
              <w:rPr>
                <w:rFonts w:ascii="Arial" w:eastAsia="Calibri" w:hAnsi="Arial" w:cs="Arial"/>
                <w:szCs w:val="22"/>
                <w:lang w:val="en-GB"/>
              </w:rPr>
            </w:pPr>
            <w:r w:rsidRPr="000B467A">
              <w:rPr>
                <w:rFonts w:ascii="Arial" w:eastAsia="Calibri" w:hAnsi="Arial" w:cs="Arial"/>
                <w:szCs w:val="22"/>
                <w:lang w:val="en-GB"/>
              </w:rPr>
              <w:t>A pot experiment was conducted at the Agronomy Field Laboratory, Bangladesh Agricultural University, Mymensingh, during the period from November 2021 to May 2022 to evaluate the impact of slow-release fertilizer (SRF) tablets on the yield performance of boro rice. The experimental treatments were consisted with eight different levels of fertilizer management practices viz. T</w:t>
            </w:r>
            <w:r w:rsidRPr="000B467A">
              <w:rPr>
                <w:rFonts w:ascii="Arial" w:eastAsia="Calibri" w:hAnsi="Arial" w:cs="Arial"/>
                <w:szCs w:val="22"/>
                <w:vertAlign w:val="subscript"/>
                <w:lang w:val="en-GB"/>
              </w:rPr>
              <w:t>1</w:t>
            </w:r>
            <w:r w:rsidRPr="000B467A">
              <w:rPr>
                <w:rFonts w:ascii="Arial" w:eastAsia="Calibri" w:hAnsi="Arial" w:cs="Arial"/>
                <w:szCs w:val="22"/>
                <w:lang w:val="en-GB"/>
              </w:rPr>
              <w:t>= Control (unfertilized), T</w:t>
            </w:r>
            <w:r w:rsidRPr="000B467A">
              <w:rPr>
                <w:rFonts w:ascii="Arial" w:eastAsia="Calibri" w:hAnsi="Arial" w:cs="Arial"/>
                <w:szCs w:val="22"/>
                <w:vertAlign w:val="subscript"/>
                <w:lang w:val="en-GB"/>
              </w:rPr>
              <w:t>2</w:t>
            </w:r>
            <w:r w:rsidRPr="000B467A">
              <w:rPr>
                <w:rFonts w:ascii="Arial" w:eastAsia="Calibri" w:hAnsi="Arial" w:cs="Arial"/>
                <w:szCs w:val="22"/>
                <w:lang w:val="en-GB"/>
              </w:rPr>
              <w:t>= full recommended dose of NPK fertilizer, T</w:t>
            </w:r>
            <w:r w:rsidRPr="000B467A">
              <w:rPr>
                <w:rFonts w:ascii="Arial" w:eastAsia="Calibri" w:hAnsi="Arial" w:cs="Arial"/>
                <w:szCs w:val="22"/>
                <w:vertAlign w:val="subscript"/>
                <w:lang w:val="en-GB"/>
              </w:rPr>
              <w:t>3</w:t>
            </w:r>
            <w:r w:rsidRPr="000B467A">
              <w:rPr>
                <w:rFonts w:ascii="Arial" w:eastAsia="Calibri" w:hAnsi="Arial" w:cs="Arial"/>
                <w:szCs w:val="22"/>
                <w:lang w:val="en-GB"/>
              </w:rPr>
              <w:t xml:space="preserve"> = 1 tablet/pot, T</w:t>
            </w:r>
            <w:r w:rsidRPr="000B467A">
              <w:rPr>
                <w:rFonts w:ascii="Arial" w:eastAsia="Calibri" w:hAnsi="Arial" w:cs="Arial"/>
                <w:szCs w:val="22"/>
                <w:vertAlign w:val="subscript"/>
                <w:lang w:val="en-GB"/>
              </w:rPr>
              <w:t>4</w:t>
            </w:r>
            <w:r w:rsidRPr="000B467A">
              <w:rPr>
                <w:rFonts w:ascii="Arial" w:eastAsia="Calibri" w:hAnsi="Arial" w:cs="Arial"/>
                <w:szCs w:val="22"/>
                <w:lang w:val="en-GB"/>
              </w:rPr>
              <w:t xml:space="preserve"> = 2 tablets/pot, T</w:t>
            </w:r>
            <w:r w:rsidRPr="000B467A">
              <w:rPr>
                <w:rFonts w:ascii="Arial" w:eastAsia="Calibri" w:hAnsi="Arial" w:cs="Arial"/>
                <w:szCs w:val="22"/>
                <w:vertAlign w:val="subscript"/>
                <w:lang w:val="en-GB"/>
              </w:rPr>
              <w:t>5</w:t>
            </w:r>
            <w:r w:rsidRPr="000B467A">
              <w:rPr>
                <w:rFonts w:ascii="Arial" w:eastAsia="Calibri" w:hAnsi="Arial" w:cs="Arial"/>
                <w:szCs w:val="22"/>
                <w:lang w:val="en-GB"/>
              </w:rPr>
              <w:t xml:space="preserve"> = 3 tablets/pot, T</w:t>
            </w:r>
            <w:r w:rsidRPr="000B467A">
              <w:rPr>
                <w:rFonts w:ascii="Arial" w:eastAsia="Calibri" w:hAnsi="Arial" w:cs="Arial"/>
                <w:szCs w:val="22"/>
                <w:vertAlign w:val="subscript"/>
                <w:lang w:val="en-GB"/>
              </w:rPr>
              <w:t>6</w:t>
            </w:r>
            <w:r w:rsidRPr="000B467A">
              <w:rPr>
                <w:rFonts w:ascii="Arial" w:eastAsia="Calibri" w:hAnsi="Arial" w:cs="Arial"/>
                <w:szCs w:val="22"/>
                <w:lang w:val="en-GB"/>
              </w:rPr>
              <w:t xml:space="preserve"> = 4 tablets/pot, T</w:t>
            </w:r>
            <w:r w:rsidRPr="000B467A">
              <w:rPr>
                <w:rFonts w:ascii="Arial" w:eastAsia="Calibri" w:hAnsi="Arial" w:cs="Arial"/>
                <w:szCs w:val="22"/>
                <w:vertAlign w:val="subscript"/>
                <w:lang w:val="en-GB"/>
              </w:rPr>
              <w:t>7</w:t>
            </w:r>
            <w:r w:rsidRPr="000B467A">
              <w:rPr>
                <w:rFonts w:ascii="Arial" w:eastAsia="Calibri" w:hAnsi="Arial" w:cs="Arial"/>
                <w:szCs w:val="22"/>
                <w:lang w:val="en-GB"/>
              </w:rPr>
              <w:t xml:space="preserve"> = 5 tablets/pot, T</w:t>
            </w:r>
            <w:r w:rsidRPr="000B467A">
              <w:rPr>
                <w:rFonts w:ascii="Arial" w:eastAsia="Calibri" w:hAnsi="Arial" w:cs="Arial"/>
                <w:szCs w:val="22"/>
                <w:vertAlign w:val="subscript"/>
                <w:lang w:val="en-GB"/>
              </w:rPr>
              <w:t>8</w:t>
            </w:r>
            <w:r w:rsidRPr="000B467A">
              <w:rPr>
                <w:rFonts w:ascii="Arial" w:eastAsia="Calibri" w:hAnsi="Arial" w:cs="Arial"/>
                <w:szCs w:val="22"/>
                <w:lang w:val="en-GB"/>
              </w:rPr>
              <w:t xml:space="preserve"> = 6 tablets/pot. The experiment was laid out in a completely randomized design (CRD) method with three replications. Result indicated that the highest straw yield (156 g/pot) was observed in T</w:t>
            </w:r>
            <w:r w:rsidRPr="000B467A">
              <w:rPr>
                <w:rFonts w:ascii="Arial" w:eastAsia="Calibri" w:hAnsi="Arial" w:cs="Arial"/>
                <w:szCs w:val="22"/>
                <w:vertAlign w:val="subscript"/>
                <w:lang w:val="en-GB"/>
              </w:rPr>
              <w:t>8</w:t>
            </w:r>
            <w:r w:rsidRPr="000B467A">
              <w:rPr>
                <w:rFonts w:ascii="Arial" w:eastAsia="Calibri" w:hAnsi="Arial" w:cs="Arial"/>
                <w:szCs w:val="22"/>
                <w:lang w:val="en-GB"/>
              </w:rPr>
              <w:t xml:space="preserve"> treatment (6 tablets/pot) and the highest grains yield (67.33 g/pot) was recorded in T</w:t>
            </w:r>
            <w:r w:rsidRPr="000B467A">
              <w:rPr>
                <w:rFonts w:ascii="Arial" w:eastAsia="Calibri" w:hAnsi="Arial" w:cs="Arial"/>
                <w:szCs w:val="22"/>
                <w:vertAlign w:val="subscript"/>
                <w:lang w:val="en-GB"/>
              </w:rPr>
              <w:t>4</w:t>
            </w:r>
            <w:r w:rsidRPr="000B467A">
              <w:rPr>
                <w:rFonts w:ascii="Arial" w:eastAsia="Calibri" w:hAnsi="Arial" w:cs="Arial"/>
                <w:szCs w:val="22"/>
                <w:lang w:val="en-GB"/>
              </w:rPr>
              <w:t xml:space="preserve"> treatment (2 tablets/pot).  A wide range of variation was observed during the study period among the T</w:t>
            </w:r>
            <w:r w:rsidRPr="000B467A">
              <w:rPr>
                <w:rFonts w:ascii="Arial" w:eastAsia="Calibri" w:hAnsi="Arial" w:cs="Arial"/>
                <w:szCs w:val="22"/>
                <w:vertAlign w:val="subscript"/>
                <w:lang w:val="en-GB"/>
              </w:rPr>
              <w:t>1</w:t>
            </w:r>
            <w:r w:rsidRPr="000B467A">
              <w:rPr>
                <w:rFonts w:ascii="Arial" w:eastAsia="Calibri" w:hAnsi="Arial" w:cs="Arial"/>
                <w:szCs w:val="22"/>
                <w:lang w:val="en-GB"/>
              </w:rPr>
              <w:t>= Control (Unfertilized), T</w:t>
            </w:r>
            <w:r w:rsidRPr="000B467A">
              <w:rPr>
                <w:rFonts w:ascii="Arial" w:eastAsia="Calibri" w:hAnsi="Arial" w:cs="Arial"/>
                <w:szCs w:val="22"/>
                <w:vertAlign w:val="subscript"/>
                <w:lang w:val="en-GB"/>
              </w:rPr>
              <w:t>2</w:t>
            </w:r>
            <w:r w:rsidRPr="000B467A">
              <w:rPr>
                <w:rFonts w:ascii="Arial" w:eastAsia="Calibri" w:hAnsi="Arial" w:cs="Arial"/>
                <w:szCs w:val="22"/>
                <w:lang w:val="en-GB"/>
              </w:rPr>
              <w:t>= full recommended dose of NPK fertilizer and different level of Gold Lotus (Bua Thong) slow-release fertilizer (SRF) tablets. Among these 2 tablets/pots (T4) was indicated as maximum in grain yield and straw yields production. Results of the study exhibit that 2 tablets/pot showed the best result with yield and yield contributing characters. Therefore, the present study could be a prospective source of improving rice production and useful for future studies to realize the maximum potential of this new technology.</w:t>
            </w:r>
          </w:p>
          <w:p w14:paraId="3A17B990" w14:textId="72EB4774" w:rsidR="00505F06" w:rsidRPr="00BA1B01" w:rsidRDefault="00505F06" w:rsidP="00441B6F">
            <w:pPr>
              <w:pStyle w:val="Body"/>
              <w:spacing w:after="0"/>
              <w:rPr>
                <w:rFonts w:ascii="Arial" w:eastAsia="Calibri" w:hAnsi="Arial" w:cs="Arial"/>
                <w:szCs w:val="22"/>
              </w:rPr>
            </w:pPr>
          </w:p>
        </w:tc>
      </w:tr>
    </w:tbl>
    <w:p w14:paraId="3A268074" w14:textId="77777777" w:rsidR="00636EB2" w:rsidRDefault="00636EB2" w:rsidP="00441B6F">
      <w:pPr>
        <w:pStyle w:val="Body"/>
        <w:spacing w:after="0"/>
        <w:rPr>
          <w:rFonts w:ascii="Arial" w:hAnsi="Arial" w:cs="Arial"/>
          <w:i/>
        </w:rPr>
      </w:pPr>
    </w:p>
    <w:p w14:paraId="04BED3F9" w14:textId="018DA9A2" w:rsidR="00790ADA" w:rsidRDefault="00A24E7E" w:rsidP="00441B6F">
      <w:pPr>
        <w:pStyle w:val="Body"/>
        <w:spacing w:after="0"/>
        <w:rPr>
          <w:rFonts w:ascii="Arial" w:hAnsi="Arial" w:cs="Arial"/>
          <w:i/>
        </w:rPr>
      </w:pPr>
      <w:r>
        <w:rPr>
          <w:rFonts w:ascii="Arial" w:hAnsi="Arial" w:cs="Arial"/>
          <w:i/>
        </w:rPr>
        <w:t xml:space="preserve">Keywords: </w:t>
      </w:r>
      <w:r w:rsidR="000B467A" w:rsidRPr="000B467A">
        <w:rPr>
          <w:rFonts w:ascii="Arial" w:hAnsi="Arial" w:cs="Arial"/>
          <w:i/>
          <w:iCs/>
          <w:lang w:val="en-GB"/>
        </w:rPr>
        <w:t>Boro</w:t>
      </w:r>
      <w:r w:rsidR="000B467A" w:rsidRPr="000B467A">
        <w:rPr>
          <w:rFonts w:ascii="Arial" w:hAnsi="Arial" w:cs="Arial"/>
          <w:i/>
          <w:lang w:val="en-GB"/>
        </w:rPr>
        <w:t xml:space="preserve"> rice, Slow- release fertilizer, Different levels of fertilizer, Yield</w:t>
      </w:r>
    </w:p>
    <w:p w14:paraId="0659B097" w14:textId="77777777" w:rsidR="00505F06" w:rsidRPr="00A24E7E" w:rsidRDefault="00505F06" w:rsidP="00441B6F">
      <w:pPr>
        <w:pStyle w:val="Body"/>
        <w:spacing w:after="0"/>
        <w:rPr>
          <w:rFonts w:ascii="Arial" w:hAnsi="Arial" w:cs="Arial"/>
          <w:i/>
        </w:rPr>
      </w:pPr>
    </w:p>
    <w:p w14:paraId="39D838F1" w14:textId="2AF089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0D5636" w14:textId="77777777" w:rsidR="00790ADA" w:rsidRPr="00FB3A86" w:rsidRDefault="00790ADA" w:rsidP="00441B6F">
      <w:pPr>
        <w:pStyle w:val="AbstHead"/>
        <w:spacing w:after="0"/>
        <w:jc w:val="both"/>
        <w:rPr>
          <w:rFonts w:ascii="Arial" w:hAnsi="Arial" w:cs="Arial"/>
        </w:rPr>
      </w:pPr>
    </w:p>
    <w:p w14:paraId="02FC43EA" w14:textId="0B290EEF" w:rsidR="000B467A" w:rsidRPr="000B467A" w:rsidRDefault="000B467A" w:rsidP="000B467A">
      <w:pPr>
        <w:pStyle w:val="Body"/>
        <w:spacing w:after="0"/>
        <w:rPr>
          <w:rFonts w:ascii="Arial" w:hAnsi="Arial" w:cs="Arial"/>
          <w:lang w:val="en-GB"/>
        </w:rPr>
      </w:pPr>
      <w:r w:rsidRPr="000B467A">
        <w:rPr>
          <w:rFonts w:ascii="Arial" w:hAnsi="Arial" w:cs="Arial"/>
          <w:lang w:val="en-GB"/>
        </w:rPr>
        <w:t>Rice (</w:t>
      </w:r>
      <w:r w:rsidRPr="000B467A">
        <w:rPr>
          <w:rFonts w:ascii="Arial" w:hAnsi="Arial" w:cs="Arial"/>
          <w:i/>
          <w:iCs/>
          <w:lang w:val="en-GB"/>
        </w:rPr>
        <w:t>Oryza sativa</w:t>
      </w:r>
      <w:r w:rsidRPr="000B467A">
        <w:rPr>
          <w:rFonts w:ascii="Arial" w:hAnsi="Arial" w:cs="Arial"/>
          <w:lang w:val="en-GB"/>
        </w:rPr>
        <w:t xml:space="preserve"> L.) is the most significant food crop and is consumed by over 3 </w:t>
      </w:r>
      <w:proofErr w:type="spellStart"/>
      <w:r w:rsidRPr="000B467A">
        <w:rPr>
          <w:rFonts w:ascii="Arial" w:hAnsi="Arial" w:cs="Arial"/>
          <w:lang w:val="en-GB"/>
        </w:rPr>
        <w:t>bilion</w:t>
      </w:r>
      <w:proofErr w:type="spellEnd"/>
      <w:r w:rsidRPr="000B467A">
        <w:rPr>
          <w:rFonts w:ascii="Arial" w:hAnsi="Arial" w:cs="Arial"/>
          <w:lang w:val="en-GB"/>
        </w:rPr>
        <w:t xml:space="preserve"> people or more than half of world population.  Grown in a variety of climatic zones to feed the humans, rice is among the most significant cereal crops available worldwide (Asha </w:t>
      </w:r>
      <w:r w:rsidRPr="000B467A">
        <w:rPr>
          <w:rFonts w:ascii="Arial" w:hAnsi="Arial" w:cs="Arial"/>
          <w:i/>
          <w:iCs/>
          <w:lang w:val="en-GB"/>
        </w:rPr>
        <w:t>et al</w:t>
      </w:r>
      <w:r w:rsidRPr="000B467A">
        <w:rPr>
          <w:rFonts w:ascii="Arial" w:hAnsi="Arial" w:cs="Arial"/>
          <w:lang w:val="en-GB"/>
        </w:rPr>
        <w:t>., 2025). Rice is the predominant commodity in Bangladesh's agrarian economy. Bangladesh's food security is contingent upon the produce of an adequate quantity of paddy. In reality, in Bangladesh and in numerous other rice-growing countries, the terms "rice security" and "food security" are interchangeable (</w:t>
      </w:r>
      <w:r w:rsidR="00A26285">
        <w:rPr>
          <w:rFonts w:ascii="Arial" w:hAnsi="Arial" w:cs="Arial"/>
          <w:lang w:val="en-GB"/>
        </w:rPr>
        <w:t xml:space="preserve">Islam </w:t>
      </w:r>
      <w:r w:rsidR="00A26285" w:rsidRPr="00A26285">
        <w:rPr>
          <w:rFonts w:ascii="Arial" w:hAnsi="Arial" w:cs="Arial"/>
          <w:i/>
          <w:iCs/>
          <w:lang w:val="en-GB"/>
        </w:rPr>
        <w:t>et al</w:t>
      </w:r>
      <w:r w:rsidR="00A26285">
        <w:rPr>
          <w:rFonts w:ascii="Arial" w:hAnsi="Arial" w:cs="Arial"/>
          <w:lang w:val="en-GB"/>
        </w:rPr>
        <w:t xml:space="preserve">., 2024; </w:t>
      </w:r>
      <w:r w:rsidRPr="000B467A">
        <w:rPr>
          <w:rFonts w:ascii="Arial" w:hAnsi="Arial" w:cs="Arial"/>
          <w:lang w:val="en-GB"/>
        </w:rPr>
        <w:t xml:space="preserve">Salam </w:t>
      </w:r>
      <w:r w:rsidRPr="000B467A">
        <w:rPr>
          <w:rFonts w:ascii="Arial" w:hAnsi="Arial" w:cs="Arial"/>
          <w:i/>
          <w:iCs/>
          <w:lang w:val="en-GB"/>
        </w:rPr>
        <w:t>et al</w:t>
      </w:r>
      <w:r w:rsidRPr="000B467A">
        <w:rPr>
          <w:rFonts w:ascii="Arial" w:hAnsi="Arial" w:cs="Arial"/>
          <w:lang w:val="en-GB"/>
        </w:rPr>
        <w:t xml:space="preserve">., 2022; Brolley, 2015). Bangladesh's annual rice consumption requirement is 35 million tonnes, as reported by the Bangladesh Rice Research Institute (BRRI, 2020). In Bangladesh, rice farming takes up about 78.42% of the land. Of the three seasons for growing rice, </w:t>
      </w:r>
      <w:r w:rsidRPr="000B467A">
        <w:rPr>
          <w:rFonts w:ascii="Arial" w:hAnsi="Arial" w:cs="Arial"/>
          <w:i/>
          <w:iCs/>
          <w:lang w:val="en-GB"/>
        </w:rPr>
        <w:t>boro</w:t>
      </w:r>
      <w:r w:rsidRPr="000B467A">
        <w:rPr>
          <w:rFonts w:ascii="Arial" w:hAnsi="Arial" w:cs="Arial"/>
          <w:lang w:val="en-GB"/>
        </w:rPr>
        <w:t xml:space="preserve"> rice takes up the most land, making up about 41.37% of all rice growing land (BBS, 2021). Agriculture accounts for approximately 13.47% of Bangladesh's gross domestic product (GDP) (BBS, 2021). Bangladesh produced 37.8 million tonnes of rice in 2021, as indicated by the Food and Agriculture Organization's Food Outlook June 2022 (FAO, 2022). A significant step toward a resilient rice system in Bangladesh was taken in 2021 with the production of 20.7 million tons of </w:t>
      </w:r>
      <w:r w:rsidRPr="000B467A">
        <w:rPr>
          <w:rFonts w:ascii="Arial" w:hAnsi="Arial" w:cs="Arial"/>
          <w:i/>
          <w:iCs/>
          <w:lang w:val="en-GB"/>
        </w:rPr>
        <w:t>boro</w:t>
      </w:r>
      <w:r w:rsidRPr="000B467A">
        <w:rPr>
          <w:rFonts w:ascii="Arial" w:hAnsi="Arial" w:cs="Arial"/>
          <w:lang w:val="en-GB"/>
        </w:rPr>
        <w:t xml:space="preserve"> rice (MOA, 2021).</w:t>
      </w:r>
    </w:p>
    <w:p w14:paraId="22C61E09"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Bangladesh's food and nutrition security strategically prioritizes a resilient rice system (Timsina </w:t>
      </w:r>
      <w:r w:rsidRPr="000B467A">
        <w:rPr>
          <w:rFonts w:ascii="Arial" w:hAnsi="Arial" w:cs="Arial"/>
          <w:i/>
          <w:iCs/>
          <w:lang w:val="en-GB"/>
        </w:rPr>
        <w:t>et al</w:t>
      </w:r>
      <w:r w:rsidRPr="000B467A">
        <w:rPr>
          <w:rFonts w:ascii="Arial" w:hAnsi="Arial" w:cs="Arial"/>
          <w:lang w:val="en-GB"/>
        </w:rPr>
        <w:t xml:space="preserve">., 2018). Over 165 million people who love rice depend on rice alone for their food and nutrition security (Humaira </w:t>
      </w:r>
      <w:r w:rsidRPr="000B467A">
        <w:rPr>
          <w:rFonts w:ascii="Arial" w:hAnsi="Arial" w:cs="Arial"/>
          <w:i/>
          <w:iCs/>
          <w:lang w:val="en-GB"/>
        </w:rPr>
        <w:t>et al</w:t>
      </w:r>
      <w:r w:rsidRPr="000B467A">
        <w:rPr>
          <w:rFonts w:ascii="Arial" w:hAnsi="Arial" w:cs="Arial"/>
          <w:lang w:val="en-GB"/>
        </w:rPr>
        <w:t xml:space="preserve">., 2025; Kabir </w:t>
      </w:r>
      <w:r w:rsidRPr="000B467A">
        <w:rPr>
          <w:rFonts w:ascii="Arial" w:hAnsi="Arial" w:cs="Arial"/>
          <w:i/>
          <w:iCs/>
          <w:lang w:val="en-GB"/>
        </w:rPr>
        <w:t>et al.,</w:t>
      </w:r>
      <w:r w:rsidRPr="000B467A">
        <w:rPr>
          <w:rFonts w:ascii="Arial" w:hAnsi="Arial" w:cs="Arial"/>
          <w:lang w:val="en-GB"/>
        </w:rPr>
        <w:t xml:space="preserve"> 2020). Peace, stability, and </w:t>
      </w:r>
      <w:r w:rsidRPr="000B467A">
        <w:rPr>
          <w:rFonts w:ascii="Arial" w:hAnsi="Arial" w:cs="Arial"/>
          <w:lang w:val="en-GB"/>
        </w:rPr>
        <w:lastRenderedPageBreak/>
        <w:t xml:space="preserve">socioeconomic growth in Bangladesh have traditionally depended on the supply of rice at a reasonable price (Hossain </w:t>
      </w:r>
      <w:r w:rsidRPr="000B467A">
        <w:rPr>
          <w:rFonts w:ascii="Arial" w:hAnsi="Arial" w:cs="Arial"/>
          <w:i/>
          <w:iCs/>
          <w:lang w:val="en-GB"/>
        </w:rPr>
        <w:t>et al</w:t>
      </w:r>
      <w:r w:rsidRPr="000B467A">
        <w:rPr>
          <w:rFonts w:ascii="Arial" w:hAnsi="Arial" w:cs="Arial"/>
          <w:lang w:val="en-GB"/>
        </w:rPr>
        <w:t xml:space="preserve">., 2024; Kabir </w:t>
      </w:r>
      <w:r w:rsidRPr="000B467A">
        <w:rPr>
          <w:rFonts w:ascii="Arial" w:hAnsi="Arial" w:cs="Arial"/>
          <w:i/>
          <w:iCs/>
          <w:lang w:val="en-GB"/>
        </w:rPr>
        <w:t>et al</w:t>
      </w:r>
      <w:r w:rsidRPr="000B467A">
        <w:rPr>
          <w:rFonts w:ascii="Arial" w:hAnsi="Arial" w:cs="Arial"/>
          <w:lang w:val="en-GB"/>
        </w:rPr>
        <w:t xml:space="preserve">., 2015). The country's primary pillar of rice security, </w:t>
      </w:r>
      <w:r w:rsidRPr="000B467A">
        <w:rPr>
          <w:rFonts w:ascii="Arial" w:hAnsi="Arial" w:cs="Arial"/>
          <w:i/>
          <w:iCs/>
          <w:lang w:val="en-GB"/>
        </w:rPr>
        <w:t>boro</w:t>
      </w:r>
      <w:r w:rsidRPr="000B467A">
        <w:rPr>
          <w:rFonts w:ascii="Arial" w:hAnsi="Arial" w:cs="Arial"/>
          <w:lang w:val="en-GB"/>
        </w:rPr>
        <w:t xml:space="preserve"> rice (dry season rice), has produced two consecutive bumper crops, allaying national and international concerns about food security. Bangladesh is expected to raise its rice production from an estimated 35.8 million tonnes in 2020 to 36 million metric tons during the 2020–21 period, putting it in third position globally, according to a recent US Department of Agriculture (USDA) World Agricultural Production report (USDA, 2021).</w:t>
      </w:r>
    </w:p>
    <w:p w14:paraId="7888D484"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Crop yields may be raised in a number of ways. Among other things, using fertilizers correctly is crucial (Sankaran </w:t>
      </w:r>
      <w:r w:rsidRPr="000B467A">
        <w:rPr>
          <w:rFonts w:ascii="Arial" w:hAnsi="Arial" w:cs="Arial"/>
          <w:i/>
          <w:iCs/>
          <w:lang w:val="en-GB"/>
        </w:rPr>
        <w:t>et al</w:t>
      </w:r>
      <w:r w:rsidRPr="000B467A">
        <w:rPr>
          <w:rFonts w:ascii="Arial" w:hAnsi="Arial" w:cs="Arial"/>
          <w:lang w:val="en-GB"/>
        </w:rPr>
        <w:t>., 2005). Enhancing rice yields requires careful control of nitrogen (N) fertilizers. Fertilizers that include nitrogen (N), phosphorus (P), potassium (K), and other critical plant nutrients are generally necessary for crops to be productive (</w:t>
      </w:r>
      <w:r w:rsidRPr="000B467A">
        <w:rPr>
          <w:rFonts w:ascii="Arial" w:hAnsi="Arial" w:cs="Arial"/>
        </w:rPr>
        <w:t>Tuhin</w:t>
      </w:r>
      <w:r w:rsidRPr="000B467A">
        <w:rPr>
          <w:rFonts w:ascii="Arial" w:hAnsi="Arial" w:cs="Arial"/>
          <w:lang w:val="en-GB"/>
        </w:rPr>
        <w:t xml:space="preserve"> </w:t>
      </w:r>
      <w:r w:rsidRPr="000B467A">
        <w:rPr>
          <w:rFonts w:ascii="Arial" w:hAnsi="Arial" w:cs="Arial"/>
          <w:i/>
          <w:iCs/>
          <w:lang w:val="en-GB"/>
        </w:rPr>
        <w:t>et al</w:t>
      </w:r>
      <w:r w:rsidRPr="000B467A">
        <w:rPr>
          <w:rFonts w:ascii="Arial" w:hAnsi="Arial" w:cs="Arial"/>
          <w:lang w:val="en-GB"/>
        </w:rPr>
        <w:t xml:space="preserve">., 2025; Moe </w:t>
      </w:r>
      <w:r w:rsidRPr="000B467A">
        <w:rPr>
          <w:rFonts w:ascii="Arial" w:hAnsi="Arial" w:cs="Arial"/>
          <w:i/>
          <w:iCs/>
          <w:lang w:val="en-GB"/>
        </w:rPr>
        <w:t>et al</w:t>
      </w:r>
      <w:r w:rsidRPr="000B467A">
        <w:rPr>
          <w:rFonts w:ascii="Arial" w:hAnsi="Arial" w:cs="Arial"/>
          <w:lang w:val="en-GB"/>
        </w:rPr>
        <w:t>., 2019). The rate at which nitrogen (N), phosphorous (P), and potassium (K) fertilizer is applied has significantly grown in crop production during the past few decades (</w:t>
      </w:r>
      <w:proofErr w:type="spellStart"/>
      <w:r w:rsidRPr="000B467A">
        <w:rPr>
          <w:rFonts w:ascii="Arial" w:hAnsi="Arial" w:cs="Arial"/>
          <w:lang w:val="en-GB"/>
        </w:rPr>
        <w:t>Duarah</w:t>
      </w:r>
      <w:proofErr w:type="spellEnd"/>
      <w:r w:rsidRPr="000B467A">
        <w:rPr>
          <w:rFonts w:ascii="Arial" w:hAnsi="Arial" w:cs="Arial"/>
          <w:lang w:val="en-GB"/>
        </w:rPr>
        <w:t xml:space="preserve"> </w:t>
      </w:r>
      <w:r w:rsidRPr="000B467A">
        <w:rPr>
          <w:rFonts w:ascii="Arial" w:hAnsi="Arial" w:cs="Arial"/>
          <w:i/>
          <w:iCs/>
          <w:lang w:val="en-GB"/>
        </w:rPr>
        <w:t>et al.,</w:t>
      </w:r>
      <w:r w:rsidRPr="000B467A">
        <w:rPr>
          <w:rFonts w:ascii="Arial" w:hAnsi="Arial" w:cs="Arial"/>
          <w:lang w:val="en-GB"/>
        </w:rPr>
        <w:t xml:space="preserve"> 2011). However, farmers are seen to apply an uneven amount of N fertilizer, which eventually lowers the fertilizer usage efficiency. Furthermore, after being applied to the field, nitrogenous fertilizers are lost in a variety of ways.</w:t>
      </w:r>
    </w:p>
    <w:p w14:paraId="344DC437"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The most important nutrient and an essential input for rice production is nitrogen. It impacts rice output, development, and vegetative growth (Imran </w:t>
      </w:r>
      <w:r w:rsidRPr="000B467A">
        <w:rPr>
          <w:rFonts w:ascii="Arial" w:hAnsi="Arial" w:cs="Arial"/>
          <w:i/>
          <w:iCs/>
          <w:lang w:val="en-GB"/>
        </w:rPr>
        <w:t>et al</w:t>
      </w:r>
      <w:r w:rsidRPr="000B467A">
        <w:rPr>
          <w:rFonts w:ascii="Arial" w:hAnsi="Arial" w:cs="Arial"/>
          <w:lang w:val="en-GB"/>
        </w:rPr>
        <w:t xml:space="preserve">., 2025; Islam </w:t>
      </w:r>
      <w:r w:rsidRPr="000B467A">
        <w:rPr>
          <w:rFonts w:ascii="Arial" w:hAnsi="Arial" w:cs="Arial"/>
          <w:i/>
          <w:iCs/>
          <w:lang w:val="en-GB"/>
        </w:rPr>
        <w:t>et al</w:t>
      </w:r>
      <w:r w:rsidRPr="000B467A">
        <w:rPr>
          <w:rFonts w:ascii="Arial" w:hAnsi="Arial" w:cs="Arial"/>
          <w:lang w:val="en-GB"/>
        </w:rPr>
        <w:t xml:space="preserve">., 2025). According to Panda </w:t>
      </w:r>
      <w:r w:rsidRPr="000B467A">
        <w:rPr>
          <w:rFonts w:ascii="Arial" w:hAnsi="Arial" w:cs="Arial"/>
          <w:i/>
          <w:iCs/>
          <w:lang w:val="en-GB"/>
        </w:rPr>
        <w:t>et al</w:t>
      </w:r>
      <w:r w:rsidRPr="000B467A">
        <w:rPr>
          <w:rFonts w:ascii="Arial" w:hAnsi="Arial" w:cs="Arial"/>
          <w:lang w:val="en-GB"/>
        </w:rPr>
        <w:t>. (2007), the nitrogen utilization efficiency for rice crops seldom surpasses 50% and typically falls between 25 and 35% when sprayed as urea. Through ammonium volatilization, denitrification, leaching, and surface runoff, nitrogen loss is encouraged by the special circumstances of wet land soil.</w:t>
      </w:r>
    </w:p>
    <w:p w14:paraId="266D39FD"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Nitrogen losses are a problem when cultivating rice in Bangladesh during the </w:t>
      </w:r>
      <w:r w:rsidRPr="000B467A">
        <w:rPr>
          <w:rFonts w:ascii="Arial" w:hAnsi="Arial" w:cs="Arial"/>
          <w:i/>
          <w:iCs/>
          <w:lang w:val="en-GB"/>
        </w:rPr>
        <w:t>boro</w:t>
      </w:r>
      <w:r w:rsidRPr="000B467A">
        <w:rPr>
          <w:rFonts w:ascii="Arial" w:hAnsi="Arial" w:cs="Arial"/>
          <w:lang w:val="en-GB"/>
        </w:rPr>
        <w:t xml:space="preserve"> season. Therefore, there is a need for practical ways to use nitrogenous fertilizer more effectively. Deep placement and a delayed release of nitrogenous fertilizers have been recommended as ways to reduce nitrogen losses (Mia and Salam, 2024). Urea super granules (USG), a fertilizer that may save 30% of nitrogen when compared to prilled urea, can be applied to the rice root zone 8-10 cm deep (also known as the reduced zone of rice soil). This increases absorption rate, enhances soil health, and ultimately increases production (Savant </w:t>
      </w:r>
      <w:r w:rsidRPr="000B467A">
        <w:rPr>
          <w:rFonts w:ascii="Arial" w:hAnsi="Arial" w:cs="Arial"/>
          <w:i/>
          <w:iCs/>
          <w:lang w:val="en-GB"/>
        </w:rPr>
        <w:t>et al</w:t>
      </w:r>
      <w:r w:rsidRPr="000B467A">
        <w:rPr>
          <w:rFonts w:ascii="Arial" w:hAnsi="Arial" w:cs="Arial"/>
          <w:lang w:val="en-GB"/>
        </w:rPr>
        <w:t xml:space="preserve">., 1996). </w:t>
      </w:r>
      <w:proofErr w:type="spellStart"/>
      <w:r w:rsidRPr="000B467A">
        <w:rPr>
          <w:rFonts w:ascii="Arial" w:hAnsi="Arial" w:cs="Arial"/>
          <w:lang w:val="en-GB"/>
        </w:rPr>
        <w:t>Craswell</w:t>
      </w:r>
      <w:proofErr w:type="spellEnd"/>
      <w:r w:rsidRPr="000B467A">
        <w:rPr>
          <w:rFonts w:ascii="Arial" w:hAnsi="Arial" w:cs="Arial"/>
          <w:lang w:val="en-GB"/>
        </w:rPr>
        <w:t xml:space="preserve"> and Datta (1980) claim that while slow-release fertilizer (SRF) applied 8–10 cm deep may result in minimal loss, broadcast urea treatment on the top soil might produce losses of up to 50%. Additionally, they said that deep application of slow-release fertilizers gives the crop and soil an extra boost of nitrogen (</w:t>
      </w:r>
      <w:r w:rsidRPr="000B467A">
        <w:rPr>
          <w:rFonts w:ascii="Arial" w:hAnsi="Arial" w:cs="Arial"/>
        </w:rPr>
        <w:t xml:space="preserve">Sadik </w:t>
      </w:r>
      <w:r w:rsidRPr="000B467A">
        <w:rPr>
          <w:rFonts w:ascii="Arial" w:hAnsi="Arial" w:cs="Arial"/>
          <w:i/>
          <w:iCs/>
        </w:rPr>
        <w:t>et al</w:t>
      </w:r>
      <w:r w:rsidRPr="000B467A">
        <w:rPr>
          <w:rFonts w:ascii="Arial" w:hAnsi="Arial" w:cs="Arial"/>
        </w:rPr>
        <w:t>., 2025</w:t>
      </w:r>
      <w:r w:rsidRPr="000B467A">
        <w:rPr>
          <w:rFonts w:ascii="Arial" w:hAnsi="Arial" w:cs="Arial"/>
          <w:lang w:val="en-GB"/>
        </w:rPr>
        <w:t>). The best way to boost rice output and nitrogen utilization efficiency is to apply slow-release fertilizers to the root zone (Sharma and Prasad, 1999).</w:t>
      </w:r>
    </w:p>
    <w:p w14:paraId="475667BE" w14:textId="77777777" w:rsidR="000B467A" w:rsidRPr="000B467A" w:rsidRDefault="000B467A" w:rsidP="000B467A">
      <w:pPr>
        <w:pStyle w:val="Body"/>
        <w:spacing w:after="0"/>
        <w:rPr>
          <w:rFonts w:ascii="Arial" w:hAnsi="Arial" w:cs="Arial"/>
          <w:lang w:val="en-GB"/>
        </w:rPr>
      </w:pPr>
      <w:r w:rsidRPr="000B467A">
        <w:rPr>
          <w:rFonts w:ascii="Arial" w:hAnsi="Arial" w:cs="Arial"/>
          <w:lang w:val="en-GB"/>
        </w:rPr>
        <w:t xml:space="preserve">As a result, we must figure out how to slow down the rate at which nitrogenous fertilizers are being reduced (Mia </w:t>
      </w:r>
      <w:r w:rsidRPr="000B467A">
        <w:rPr>
          <w:rFonts w:ascii="Arial" w:hAnsi="Arial" w:cs="Arial"/>
          <w:i/>
          <w:iCs/>
          <w:lang w:val="en-GB"/>
        </w:rPr>
        <w:t>et al</w:t>
      </w:r>
      <w:r w:rsidRPr="000B467A">
        <w:rPr>
          <w:rFonts w:ascii="Arial" w:hAnsi="Arial" w:cs="Arial"/>
          <w:lang w:val="en-GB"/>
        </w:rPr>
        <w:t xml:space="preserve">., 2023; Alam </w:t>
      </w:r>
      <w:r w:rsidRPr="000B467A">
        <w:rPr>
          <w:rFonts w:ascii="Arial" w:hAnsi="Arial" w:cs="Arial"/>
          <w:i/>
          <w:iCs/>
          <w:lang w:val="en-GB"/>
        </w:rPr>
        <w:t>et al</w:t>
      </w:r>
      <w:r w:rsidRPr="000B467A">
        <w:rPr>
          <w:rFonts w:ascii="Arial" w:hAnsi="Arial" w:cs="Arial"/>
          <w:lang w:val="en-GB"/>
        </w:rPr>
        <w:t xml:space="preserve">., 2019). Higher agronomic efficiency can be attained with nitrogen fertilizers that are more efficient than conventional fertilizers, such as slow-release fertilizers (SRF). Sparingly soluble alkaline potassium-magnesium phosphate, which has a gradual action and improves the pH of acidic soils, is a key component of slow-release fertilizers. Comparing SRF-treated paddy soil to other forms of nitrogen fertilizers, it was shown to have the highest rice production but the lowest methane emissions. The effects of SRF tablets on rice output have not been thoroughly investigated in Bangladesh, despite the fact that agricultural use and scholarly interest in SRF have grown significantly. Thus, the current study aims to determine the optimal dosage, the impact of slow-release fertilizer tablets on </w:t>
      </w:r>
      <w:r w:rsidRPr="000B467A">
        <w:rPr>
          <w:rFonts w:ascii="Arial" w:hAnsi="Arial" w:cs="Arial"/>
          <w:i/>
          <w:iCs/>
          <w:lang w:val="en-GB"/>
        </w:rPr>
        <w:t>boro</w:t>
      </w:r>
      <w:r w:rsidRPr="000B467A">
        <w:rPr>
          <w:rFonts w:ascii="Arial" w:hAnsi="Arial" w:cs="Arial"/>
          <w:lang w:val="en-GB"/>
        </w:rPr>
        <w:t xml:space="preserve"> rice yield performance, and a comparison with conventional NPK treatment.</w:t>
      </w:r>
    </w:p>
    <w:p w14:paraId="46CFE9EB" w14:textId="77777777" w:rsidR="00790ADA" w:rsidRPr="00FB3A86" w:rsidRDefault="00790ADA" w:rsidP="00441B6F">
      <w:pPr>
        <w:pStyle w:val="Body"/>
        <w:spacing w:after="0"/>
        <w:rPr>
          <w:rFonts w:ascii="Arial" w:hAnsi="Arial" w:cs="Arial"/>
        </w:rPr>
      </w:pPr>
    </w:p>
    <w:p w14:paraId="272FC1EB" w14:textId="4D1D0B58" w:rsidR="00790ADA" w:rsidRDefault="00902823" w:rsidP="008424BB">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p>
    <w:p w14:paraId="28B83292"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2.1 Experimental Site and Design</w:t>
      </w:r>
    </w:p>
    <w:p w14:paraId="3D78CEED" w14:textId="08335ED3" w:rsidR="008424BB" w:rsidRPr="008424BB" w:rsidRDefault="008424BB" w:rsidP="008424BB">
      <w:pPr>
        <w:pStyle w:val="Body"/>
        <w:spacing w:before="240" w:after="0"/>
        <w:rPr>
          <w:rFonts w:ascii="Arial" w:hAnsi="Arial" w:cs="Arial"/>
          <w:lang w:val="en-GB"/>
        </w:rPr>
      </w:pPr>
      <w:r w:rsidRPr="008424BB">
        <w:rPr>
          <w:rFonts w:ascii="Arial" w:hAnsi="Arial" w:cs="Arial"/>
          <w:lang w:val="en-GB"/>
        </w:rPr>
        <w:lastRenderedPageBreak/>
        <w:t xml:space="preserve">The experimental field is situated at an elevation of 18 meters above sea level in the southwestern region of the Old Brahmaputra River, at 24° 75″ N latitude and 90° 50″ East </w:t>
      </w:r>
      <w:r w:rsidR="002722B0" w:rsidRPr="008424BB">
        <w:rPr>
          <w:rFonts w:ascii="Arial" w:hAnsi="Arial" w:cs="Arial"/>
          <w:lang w:val="en-GB"/>
        </w:rPr>
        <w:t>longitude. This</w:t>
      </w:r>
      <w:r w:rsidRPr="008424BB">
        <w:rPr>
          <w:rFonts w:ascii="Arial" w:hAnsi="Arial" w:cs="Arial"/>
          <w:lang w:val="en-GB"/>
        </w:rPr>
        <w:t xml:space="preserve"> site is situated in Old Brahmaputra Floodplain AEZ-9's non-calcareous dark grey floodplain soil (UNDP and FAO, 1988). The experiment was laid out in a completely randomized design (CRD) with three replications. Thus, total number of </w:t>
      </w:r>
      <w:proofErr w:type="gramStart"/>
      <w:r w:rsidRPr="008424BB">
        <w:rPr>
          <w:rFonts w:ascii="Arial" w:hAnsi="Arial" w:cs="Arial"/>
          <w:lang w:val="en-GB"/>
        </w:rPr>
        <w:t>pot</w:t>
      </w:r>
      <w:proofErr w:type="gramEnd"/>
      <w:r w:rsidRPr="008424BB">
        <w:rPr>
          <w:rFonts w:ascii="Arial" w:hAnsi="Arial" w:cs="Arial"/>
          <w:lang w:val="en-GB"/>
        </w:rPr>
        <w:t xml:space="preserve"> was 24 (8×3). In each replication, 8 pots were placed side by side. Individual pots were kept 15–20 cm apart, while replications were kept 1.0 m apart.</w:t>
      </w:r>
    </w:p>
    <w:p w14:paraId="5EA7234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2.2 Experimental Treatment</w:t>
      </w:r>
    </w:p>
    <w:p w14:paraId="4D022C92"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Control (Unfertilized) (T</w:t>
      </w:r>
      <w:r w:rsidRPr="008424BB">
        <w:rPr>
          <w:rFonts w:ascii="Arial" w:hAnsi="Arial" w:cs="Arial"/>
          <w:vertAlign w:val="subscript"/>
          <w:lang w:val="en-GB"/>
        </w:rPr>
        <w:t>1</w:t>
      </w:r>
      <w:r w:rsidRPr="008424BB">
        <w:rPr>
          <w:rFonts w:ascii="Arial" w:hAnsi="Arial" w:cs="Arial"/>
          <w:lang w:val="en-GB"/>
        </w:rPr>
        <w:t>), Full recommendation dose of NPK (T</w:t>
      </w:r>
      <w:r w:rsidRPr="008424BB">
        <w:rPr>
          <w:rFonts w:ascii="Arial" w:hAnsi="Arial" w:cs="Arial"/>
          <w:vertAlign w:val="subscript"/>
          <w:lang w:val="en-GB"/>
        </w:rPr>
        <w:t>2</w:t>
      </w:r>
      <w:r w:rsidRPr="008424BB">
        <w:rPr>
          <w:rFonts w:ascii="Arial" w:hAnsi="Arial" w:cs="Arial"/>
          <w:lang w:val="en-GB"/>
        </w:rPr>
        <w:t>), 0.5 SRF tablets m</w:t>
      </w:r>
      <w:r w:rsidRPr="008424BB">
        <w:rPr>
          <w:rFonts w:ascii="Arial" w:hAnsi="Arial" w:cs="Arial"/>
          <w:vertAlign w:val="superscript"/>
          <w:lang w:val="en-GB"/>
        </w:rPr>
        <w:t>-2</w:t>
      </w:r>
      <w:r w:rsidRPr="008424BB">
        <w:rPr>
          <w:rFonts w:ascii="Arial" w:hAnsi="Arial" w:cs="Arial"/>
          <w:lang w:val="en-GB"/>
        </w:rPr>
        <w:t xml:space="preserve"> area = 0.125 tab per 50 kg soil (1 tablet/pot) (T</w:t>
      </w:r>
      <w:r w:rsidRPr="008424BB">
        <w:rPr>
          <w:rFonts w:ascii="Arial" w:hAnsi="Arial" w:cs="Arial"/>
          <w:vertAlign w:val="subscript"/>
          <w:lang w:val="en-GB"/>
        </w:rPr>
        <w:t>3</w:t>
      </w:r>
      <w:r w:rsidRPr="008424BB">
        <w:rPr>
          <w:rFonts w:ascii="Arial" w:hAnsi="Arial" w:cs="Arial"/>
          <w:lang w:val="en-GB"/>
        </w:rPr>
        <w:t>), 1.0 SRF tablets m</w:t>
      </w:r>
      <w:r w:rsidRPr="008424BB">
        <w:rPr>
          <w:rFonts w:ascii="Arial" w:hAnsi="Arial" w:cs="Arial"/>
          <w:vertAlign w:val="superscript"/>
          <w:lang w:val="en-GB"/>
        </w:rPr>
        <w:t>-2</w:t>
      </w:r>
      <w:r w:rsidRPr="008424BB">
        <w:rPr>
          <w:rFonts w:ascii="Arial" w:hAnsi="Arial" w:cs="Arial"/>
          <w:lang w:val="en-GB"/>
        </w:rPr>
        <w:t xml:space="preserve"> area = 0.25 tab per 50 kg soil (2 tablets/pot) (T</w:t>
      </w:r>
      <w:r w:rsidRPr="008424BB">
        <w:rPr>
          <w:rFonts w:ascii="Arial" w:hAnsi="Arial" w:cs="Arial"/>
          <w:vertAlign w:val="subscript"/>
          <w:lang w:val="en-GB"/>
        </w:rPr>
        <w:t>4</w:t>
      </w:r>
      <w:r w:rsidRPr="008424BB">
        <w:rPr>
          <w:rFonts w:ascii="Arial" w:hAnsi="Arial" w:cs="Arial"/>
          <w:lang w:val="en-GB"/>
        </w:rPr>
        <w:t>), 1.5 SRF tablets m</w:t>
      </w:r>
      <w:r w:rsidRPr="008424BB">
        <w:rPr>
          <w:rFonts w:ascii="Arial" w:hAnsi="Arial" w:cs="Arial"/>
          <w:vertAlign w:val="superscript"/>
          <w:lang w:val="en-GB"/>
        </w:rPr>
        <w:t>-2</w:t>
      </w:r>
      <w:r w:rsidRPr="008424BB">
        <w:rPr>
          <w:rFonts w:ascii="Arial" w:hAnsi="Arial" w:cs="Arial"/>
          <w:lang w:val="en-GB"/>
        </w:rPr>
        <w:t xml:space="preserve"> area = 0.375 tab per 50 kg soil (3 tablets/pot) (T</w:t>
      </w:r>
      <w:r w:rsidRPr="008424BB">
        <w:rPr>
          <w:rFonts w:ascii="Arial" w:hAnsi="Arial" w:cs="Arial"/>
          <w:vertAlign w:val="subscript"/>
          <w:lang w:val="en-GB"/>
        </w:rPr>
        <w:t>5</w:t>
      </w:r>
      <w:r w:rsidRPr="008424BB">
        <w:rPr>
          <w:rFonts w:ascii="Arial" w:hAnsi="Arial" w:cs="Arial"/>
          <w:lang w:val="en-GB"/>
        </w:rPr>
        <w:t>), 2.0 SRF tablets m</w:t>
      </w:r>
      <w:r w:rsidRPr="008424BB">
        <w:rPr>
          <w:rFonts w:ascii="Arial" w:hAnsi="Arial" w:cs="Arial"/>
          <w:vertAlign w:val="superscript"/>
          <w:lang w:val="en-GB"/>
        </w:rPr>
        <w:t>-2</w:t>
      </w:r>
      <w:r w:rsidRPr="008424BB">
        <w:rPr>
          <w:rFonts w:ascii="Arial" w:hAnsi="Arial" w:cs="Arial"/>
          <w:lang w:val="en-GB"/>
        </w:rPr>
        <w:t xml:space="preserve"> area = 0.50 tab per 50 kg soil (4 tablets/pot) (T</w:t>
      </w:r>
      <w:r w:rsidRPr="008424BB">
        <w:rPr>
          <w:rFonts w:ascii="Arial" w:hAnsi="Arial" w:cs="Arial"/>
          <w:vertAlign w:val="subscript"/>
          <w:lang w:val="en-GB"/>
        </w:rPr>
        <w:t>6</w:t>
      </w:r>
      <w:r w:rsidRPr="008424BB">
        <w:rPr>
          <w:rFonts w:ascii="Arial" w:hAnsi="Arial" w:cs="Arial"/>
          <w:lang w:val="en-GB"/>
        </w:rPr>
        <w:t>), 2.5 SRF tablets m</w:t>
      </w:r>
      <w:r w:rsidRPr="008424BB">
        <w:rPr>
          <w:rFonts w:ascii="Arial" w:hAnsi="Arial" w:cs="Arial"/>
          <w:vertAlign w:val="superscript"/>
          <w:lang w:val="en-GB"/>
        </w:rPr>
        <w:t>-2</w:t>
      </w:r>
      <w:r w:rsidRPr="008424BB">
        <w:rPr>
          <w:rFonts w:ascii="Arial" w:hAnsi="Arial" w:cs="Arial"/>
          <w:lang w:val="en-GB"/>
        </w:rPr>
        <w:t xml:space="preserve"> area = 0.625 tab per 50 kg soil (5 tablets/pot) (T</w:t>
      </w:r>
      <w:r w:rsidRPr="008424BB">
        <w:rPr>
          <w:rFonts w:ascii="Arial" w:hAnsi="Arial" w:cs="Arial"/>
          <w:vertAlign w:val="subscript"/>
          <w:lang w:val="en-GB"/>
        </w:rPr>
        <w:t>7</w:t>
      </w:r>
      <w:r w:rsidRPr="008424BB">
        <w:rPr>
          <w:rFonts w:ascii="Arial" w:hAnsi="Arial" w:cs="Arial"/>
          <w:lang w:val="en-GB"/>
        </w:rPr>
        <w:t>),  3.0 SRF tablets m</w:t>
      </w:r>
      <w:r w:rsidRPr="008424BB">
        <w:rPr>
          <w:rFonts w:ascii="Arial" w:hAnsi="Arial" w:cs="Arial"/>
          <w:vertAlign w:val="superscript"/>
          <w:lang w:val="en-GB"/>
        </w:rPr>
        <w:t>-2</w:t>
      </w:r>
      <w:r w:rsidRPr="008424BB">
        <w:rPr>
          <w:rFonts w:ascii="Arial" w:hAnsi="Arial" w:cs="Arial"/>
          <w:lang w:val="en-GB"/>
        </w:rPr>
        <w:t xml:space="preserve"> area = 0.75 tab per 50 kg soil (6 tablets/pot) (T</w:t>
      </w:r>
      <w:r w:rsidRPr="008424BB">
        <w:rPr>
          <w:rFonts w:ascii="Arial" w:hAnsi="Arial" w:cs="Arial"/>
          <w:vertAlign w:val="subscript"/>
          <w:lang w:val="en-GB"/>
        </w:rPr>
        <w:t>8</w:t>
      </w:r>
      <w:r w:rsidRPr="008424BB">
        <w:rPr>
          <w:rFonts w:ascii="Arial" w:hAnsi="Arial" w:cs="Arial"/>
          <w:lang w:val="en-GB"/>
        </w:rPr>
        <w:t>)</w:t>
      </w:r>
    </w:p>
    <w:p w14:paraId="6774B095"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2.3 Preparation of Seedling Nursery Bed</w:t>
      </w:r>
    </w:p>
    <w:p w14:paraId="02A73247" w14:textId="581FA408" w:rsidR="008424BB" w:rsidRPr="008424BB" w:rsidRDefault="008424BB" w:rsidP="008424BB">
      <w:pPr>
        <w:pStyle w:val="Body"/>
        <w:spacing w:before="240" w:after="0"/>
        <w:rPr>
          <w:rFonts w:ascii="Arial" w:hAnsi="Arial" w:cs="Arial"/>
          <w:lang w:val="en-GB"/>
        </w:rPr>
      </w:pPr>
      <w:r w:rsidRPr="008424BB">
        <w:rPr>
          <w:rFonts w:ascii="Arial" w:hAnsi="Arial" w:cs="Arial"/>
          <w:lang w:val="en-GB"/>
        </w:rPr>
        <w:t>A plot of ground was chosen for cultivating seedlings. The area was puddled nicely with a country plo</w:t>
      </w:r>
      <w:r w:rsidR="002722B0">
        <w:rPr>
          <w:rFonts w:ascii="Arial" w:hAnsi="Arial" w:cs="Arial"/>
          <w:lang w:val="en-GB"/>
        </w:rPr>
        <w:t>ugh</w:t>
      </w:r>
      <w:r w:rsidRPr="008424BB">
        <w:rPr>
          <w:rFonts w:ascii="Arial" w:hAnsi="Arial" w:cs="Arial"/>
          <w:lang w:val="en-GB"/>
        </w:rPr>
        <w:t>, then levelled with a ladder. The growing seedlings were sowed in the nursery beds on November 25, 2021. The robust seedlings on the nursery bed were raised with proper care. Weeds were eliminated, and irrigation was provided in the nursery bed as needed.</w:t>
      </w:r>
    </w:p>
    <w:p w14:paraId="634081B7"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2.4 Collection of Experimental Pot and Preparation of Pot Soil</w:t>
      </w:r>
    </w:p>
    <w:p w14:paraId="3CBD44F7"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Plastic pots of 27 cm × 20 cm were purchased from market. Each pot's top and bottom diameters were 27 cm and 20 cm, respectively. Each pot measured 65 centimetres in circumference. Following the collection, dirt was added to the pots. Since rice is a water-loving plant, the containers were left without any holes. The soil was collected from a selected rice field of Agronomy Field Laboratory of BAU, Mymensingh. Plant parts, inert materials, visible insect and pests were eliminated from soil. Each pot contained 10 kg of prepared soil. The pot was filled with water until the dirt was saturated.</w:t>
      </w:r>
    </w:p>
    <w:p w14:paraId="440B8F66"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2.5 Fertilizer Application</w:t>
      </w:r>
    </w:p>
    <w:p w14:paraId="0A890377"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The experimental pots under T</w:t>
      </w:r>
      <w:r w:rsidRPr="008424BB">
        <w:rPr>
          <w:rFonts w:ascii="Arial" w:hAnsi="Arial" w:cs="Arial"/>
          <w:vertAlign w:val="subscript"/>
          <w:lang w:val="en-GB"/>
        </w:rPr>
        <w:t>2</w:t>
      </w:r>
      <w:r w:rsidRPr="008424BB">
        <w:rPr>
          <w:rFonts w:ascii="Arial" w:hAnsi="Arial" w:cs="Arial"/>
          <w:lang w:val="en-GB"/>
        </w:rPr>
        <w:t xml:space="preserve"> treatment were fertilized as 2.0, 1.0 and 0.6 g per pot in the form of urea, triple super phosphate (TSP), muriate of potash (MP) respectively. General recommended doses of NPK were converted into gram based on 10 kg soil in each pot and doubled before application. The final pot preparation involved applying one third of the urea and the entire amount of other fertilizers. Two instalments of the remaining urea were administered at 15 and 30 Dats. Gold Lotus (Bua Thong) slow-release fertilizer tablets is the composition of balanced NPK. It is manufactured in Thailand in solid form. These tablets are specially designed to release their nutrients gradually. The experimental pots under T</w:t>
      </w:r>
      <w:r w:rsidRPr="008424BB">
        <w:rPr>
          <w:rFonts w:ascii="Arial" w:hAnsi="Arial" w:cs="Arial"/>
          <w:vertAlign w:val="subscript"/>
          <w:lang w:val="en-GB"/>
        </w:rPr>
        <w:t>3</w:t>
      </w:r>
      <w:r w:rsidRPr="008424BB">
        <w:rPr>
          <w:rFonts w:ascii="Arial" w:hAnsi="Arial" w:cs="Arial"/>
          <w:lang w:val="en-GB"/>
        </w:rPr>
        <w:t>, T</w:t>
      </w:r>
      <w:r w:rsidRPr="008424BB">
        <w:rPr>
          <w:rFonts w:ascii="Arial" w:hAnsi="Arial" w:cs="Arial"/>
          <w:vertAlign w:val="subscript"/>
          <w:lang w:val="en-GB"/>
        </w:rPr>
        <w:t>4</w:t>
      </w:r>
      <w:r w:rsidRPr="008424BB">
        <w:rPr>
          <w:rFonts w:ascii="Arial" w:hAnsi="Arial" w:cs="Arial"/>
          <w:lang w:val="en-GB"/>
        </w:rPr>
        <w:t>, T</w:t>
      </w:r>
      <w:r w:rsidRPr="008424BB">
        <w:rPr>
          <w:rFonts w:ascii="Arial" w:hAnsi="Arial" w:cs="Arial"/>
          <w:vertAlign w:val="subscript"/>
          <w:lang w:val="en-GB"/>
        </w:rPr>
        <w:t>5</w:t>
      </w:r>
      <w:r w:rsidRPr="008424BB">
        <w:rPr>
          <w:rFonts w:ascii="Arial" w:hAnsi="Arial" w:cs="Arial"/>
          <w:lang w:val="en-GB"/>
        </w:rPr>
        <w:t>, T</w:t>
      </w:r>
      <w:r w:rsidRPr="008424BB">
        <w:rPr>
          <w:rFonts w:ascii="Arial" w:hAnsi="Arial" w:cs="Arial"/>
          <w:vertAlign w:val="subscript"/>
          <w:lang w:val="en-GB"/>
        </w:rPr>
        <w:t>6</w:t>
      </w:r>
      <w:r w:rsidRPr="008424BB">
        <w:rPr>
          <w:rFonts w:ascii="Arial" w:hAnsi="Arial" w:cs="Arial"/>
          <w:lang w:val="en-GB"/>
        </w:rPr>
        <w:t>, T</w:t>
      </w:r>
      <w:r w:rsidRPr="008424BB">
        <w:rPr>
          <w:rFonts w:ascii="Arial" w:hAnsi="Arial" w:cs="Arial"/>
          <w:vertAlign w:val="subscript"/>
          <w:lang w:val="en-GB"/>
        </w:rPr>
        <w:t>7</w:t>
      </w:r>
      <w:r w:rsidRPr="008424BB">
        <w:rPr>
          <w:rFonts w:ascii="Arial" w:hAnsi="Arial" w:cs="Arial"/>
          <w:lang w:val="en-GB"/>
        </w:rPr>
        <w:t xml:space="preserve"> and T</w:t>
      </w:r>
      <w:r w:rsidRPr="008424BB">
        <w:rPr>
          <w:rFonts w:ascii="Arial" w:hAnsi="Arial" w:cs="Arial"/>
          <w:vertAlign w:val="subscript"/>
          <w:lang w:val="en-GB"/>
        </w:rPr>
        <w:t xml:space="preserve">8 </w:t>
      </w:r>
      <w:r w:rsidRPr="008424BB">
        <w:rPr>
          <w:rFonts w:ascii="Arial" w:hAnsi="Arial" w:cs="Arial"/>
          <w:lang w:val="en-GB"/>
        </w:rPr>
        <w:t>treatments were fertilized with Gold Lotus (Bua Thong) slow-release fertilizer tablets. Gold Lotus SRF tablets were applied at 3-7 cm deep from the soil and 2-3 cm from the root tip. SRF tablets were applied according to the treatments up to 3 months.</w:t>
      </w:r>
    </w:p>
    <w:p w14:paraId="4556A3A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2.6 Uprooting and Transplanting Seedlings</w:t>
      </w:r>
    </w:p>
    <w:p w14:paraId="27D20D93" w14:textId="5F1D9A06"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One day prior to the seedlings being uprooted, water was applied to the nursery bed to make it damp. On January 10, 2022, the seedlings were removed and moved right away to the </w:t>
      </w:r>
      <w:r w:rsidRPr="008424BB">
        <w:rPr>
          <w:rFonts w:ascii="Arial" w:hAnsi="Arial" w:cs="Arial"/>
          <w:lang w:val="en-GB"/>
        </w:rPr>
        <w:lastRenderedPageBreak/>
        <w:t>experimental pots. For transplantation, seedlings that were healthy and comparable in size were chosen. On 10 January 2022, seedlings were moved into the puddled pots that had been prepared, at a pace of three hills per pot and three seedlings per hill, respectively.</w:t>
      </w:r>
    </w:p>
    <w:p w14:paraId="405F7F31"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2.7 Intercultural Operations</w:t>
      </w:r>
    </w:p>
    <w:p w14:paraId="2A9F5CE2"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Excess water was drained out of the experimental pots during periods of intense rainfall, and they were watered as needed. During the growth stage, no significant insects were observed. Crops were shielded from predators and birds by utilizing nets.</w:t>
      </w:r>
    </w:p>
    <w:p w14:paraId="3EBB1B06"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2.8 Crop Characters at Harvest</w:t>
      </w:r>
    </w:p>
    <w:p w14:paraId="2B08959D"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Data on yield and yield contributing characters were recorded on the following parameters. Plant height (cm), Number of total tillers hill</w:t>
      </w:r>
      <w:r w:rsidRPr="008424BB">
        <w:rPr>
          <w:rFonts w:ascii="Arial" w:hAnsi="Arial" w:cs="Arial"/>
          <w:vertAlign w:val="superscript"/>
          <w:lang w:val="en-GB"/>
        </w:rPr>
        <w:t>-1</w:t>
      </w:r>
      <w:r w:rsidRPr="008424BB">
        <w:rPr>
          <w:rFonts w:ascii="Arial" w:hAnsi="Arial" w:cs="Arial"/>
          <w:lang w:val="en-GB"/>
        </w:rPr>
        <w:t>, Number of effective tillers hill</w:t>
      </w:r>
      <w:r w:rsidRPr="008424BB">
        <w:rPr>
          <w:rFonts w:ascii="Arial" w:hAnsi="Arial" w:cs="Arial"/>
          <w:vertAlign w:val="superscript"/>
          <w:lang w:val="en-GB"/>
        </w:rPr>
        <w:t>-1</w:t>
      </w:r>
      <w:r w:rsidRPr="008424BB">
        <w:rPr>
          <w:rFonts w:ascii="Arial" w:hAnsi="Arial" w:cs="Arial"/>
          <w:lang w:val="en-GB"/>
        </w:rPr>
        <w:t>, Number of non-effective tillers hill</w:t>
      </w:r>
      <w:r w:rsidRPr="008424BB">
        <w:rPr>
          <w:rFonts w:ascii="Arial" w:hAnsi="Arial" w:cs="Arial"/>
          <w:vertAlign w:val="superscript"/>
          <w:lang w:val="en-GB"/>
        </w:rPr>
        <w:t>-1</w:t>
      </w:r>
      <w:r w:rsidRPr="008424BB">
        <w:rPr>
          <w:rFonts w:ascii="Arial" w:hAnsi="Arial" w:cs="Arial"/>
          <w:lang w:val="en-GB"/>
        </w:rPr>
        <w:t>, Number of grains panicle</w:t>
      </w:r>
      <w:r w:rsidRPr="008424BB">
        <w:rPr>
          <w:rFonts w:ascii="Arial" w:hAnsi="Arial" w:cs="Arial"/>
          <w:vertAlign w:val="superscript"/>
          <w:lang w:val="en-GB"/>
        </w:rPr>
        <w:t>-1</w:t>
      </w:r>
      <w:r w:rsidRPr="008424BB">
        <w:rPr>
          <w:rFonts w:ascii="Arial" w:hAnsi="Arial" w:cs="Arial"/>
          <w:lang w:val="en-GB"/>
        </w:rPr>
        <w:t>, Number of sterile grains panicle</w:t>
      </w:r>
      <w:r w:rsidRPr="008424BB">
        <w:rPr>
          <w:rFonts w:ascii="Arial" w:hAnsi="Arial" w:cs="Arial"/>
          <w:vertAlign w:val="superscript"/>
          <w:lang w:val="en-GB"/>
        </w:rPr>
        <w:t>-1</w:t>
      </w:r>
      <w:r w:rsidRPr="008424BB">
        <w:rPr>
          <w:rFonts w:ascii="Arial" w:hAnsi="Arial" w:cs="Arial"/>
          <w:lang w:val="en-GB"/>
        </w:rPr>
        <w:t>, 1000-grain weight (g), Grain yield (g pot</w:t>
      </w:r>
      <w:r w:rsidRPr="008424BB">
        <w:rPr>
          <w:rFonts w:ascii="Arial" w:hAnsi="Arial" w:cs="Arial"/>
          <w:vertAlign w:val="superscript"/>
          <w:lang w:val="en-GB"/>
        </w:rPr>
        <w:t>-1</w:t>
      </w:r>
      <w:r w:rsidRPr="008424BB">
        <w:rPr>
          <w:rFonts w:ascii="Arial" w:hAnsi="Arial" w:cs="Arial"/>
          <w:lang w:val="en-GB"/>
        </w:rPr>
        <w:t>), Straw yield (g pot</w:t>
      </w:r>
      <w:r w:rsidRPr="008424BB">
        <w:rPr>
          <w:rFonts w:ascii="Arial" w:hAnsi="Arial" w:cs="Arial"/>
          <w:vertAlign w:val="superscript"/>
          <w:lang w:val="en-GB"/>
        </w:rPr>
        <w:t>-1</w:t>
      </w:r>
      <w:r w:rsidRPr="008424BB">
        <w:rPr>
          <w:rFonts w:ascii="Arial" w:hAnsi="Arial" w:cs="Arial"/>
          <w:lang w:val="en-GB"/>
        </w:rPr>
        <w:t>), Biological yield (g pot</w:t>
      </w:r>
      <w:r w:rsidRPr="008424BB">
        <w:rPr>
          <w:rFonts w:ascii="Arial" w:hAnsi="Arial" w:cs="Arial"/>
          <w:vertAlign w:val="superscript"/>
          <w:lang w:val="en-GB"/>
        </w:rPr>
        <w:t>-1</w:t>
      </w:r>
      <w:r w:rsidRPr="008424BB">
        <w:rPr>
          <w:rFonts w:ascii="Arial" w:hAnsi="Arial" w:cs="Arial"/>
          <w:lang w:val="en-GB"/>
        </w:rPr>
        <w:t>), Harvest index (%)</w:t>
      </w:r>
    </w:p>
    <w:p w14:paraId="0360791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2.9 Statistical Analysis</w:t>
      </w:r>
    </w:p>
    <w:p w14:paraId="2712EF2E"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In order to prepare them for statistical analysis, the data were gathered and tabulated. To determine the importance of the variance brought about by the experimental treatments, the recorded data on a variety of plant traits were statistically examined. To compare the differences in treatment means, Duncan's Multiple Range Test was used. (Gomez and Gomez, 1984).</w:t>
      </w:r>
    </w:p>
    <w:p w14:paraId="7646B88E" w14:textId="77777777" w:rsidR="00790ADA" w:rsidRPr="00FB3A86" w:rsidRDefault="00790ADA" w:rsidP="00441B6F">
      <w:pPr>
        <w:pStyle w:val="Body"/>
        <w:spacing w:after="0"/>
        <w:rPr>
          <w:rFonts w:ascii="Arial" w:hAnsi="Arial" w:cs="Arial"/>
        </w:rPr>
      </w:pPr>
    </w:p>
    <w:p w14:paraId="772B2969" w14:textId="6B45D8D6" w:rsidR="00790ADA" w:rsidRDefault="00000F8F" w:rsidP="008424BB">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C009CD"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3.1 Plant Height</w:t>
      </w:r>
    </w:p>
    <w:p w14:paraId="3144C9C0"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The effect of slow-release fertilizer tablets (Bua Thong/Gold Lotus) on plant height of </w:t>
      </w:r>
      <w:r w:rsidRPr="008424BB">
        <w:rPr>
          <w:rFonts w:ascii="Arial" w:hAnsi="Arial" w:cs="Arial"/>
          <w:i/>
          <w:iCs/>
          <w:lang w:val="en-GB"/>
        </w:rPr>
        <w:t xml:space="preserve">boro </w:t>
      </w:r>
      <w:r w:rsidRPr="008424BB">
        <w:rPr>
          <w:rFonts w:ascii="Arial" w:hAnsi="Arial" w:cs="Arial"/>
          <w:lang w:val="en-GB"/>
        </w:rPr>
        <w:t>rice (BRRI dhan29) was evaluated and found that different levels of fertilizers significantly changed plant height. The tallest plant (85.33 cm) was observed in T</w:t>
      </w:r>
      <w:r w:rsidRPr="008424BB">
        <w:rPr>
          <w:rFonts w:ascii="Arial" w:hAnsi="Arial" w:cs="Arial"/>
          <w:vertAlign w:val="subscript"/>
          <w:lang w:val="en-GB"/>
        </w:rPr>
        <w:t>4</w:t>
      </w:r>
      <w:r w:rsidRPr="008424BB">
        <w:rPr>
          <w:rFonts w:ascii="Arial" w:hAnsi="Arial" w:cs="Arial"/>
          <w:lang w:val="en-GB"/>
        </w:rPr>
        <w:t xml:space="preserve"> (2 tablets/pot) and the shortest one (65.66 cm) was found in T</w:t>
      </w:r>
      <w:r w:rsidRPr="008424BB">
        <w:rPr>
          <w:rFonts w:ascii="Arial" w:hAnsi="Arial" w:cs="Arial"/>
          <w:vertAlign w:val="subscript"/>
          <w:lang w:val="en-GB"/>
        </w:rPr>
        <w:t>7</w:t>
      </w:r>
      <w:r w:rsidRPr="008424BB">
        <w:rPr>
          <w:rFonts w:ascii="Arial" w:hAnsi="Arial" w:cs="Arial"/>
          <w:lang w:val="en-GB"/>
        </w:rPr>
        <w:t xml:space="preserve"> (5 tablets/pot). Result revealed that increased plant height was observed in (T</w:t>
      </w:r>
      <w:r w:rsidRPr="008424BB">
        <w:rPr>
          <w:rFonts w:ascii="Arial" w:hAnsi="Arial" w:cs="Arial"/>
          <w:vertAlign w:val="subscript"/>
          <w:lang w:val="en-GB"/>
        </w:rPr>
        <w:t>3</w:t>
      </w:r>
      <w:r w:rsidRPr="008424BB">
        <w:rPr>
          <w:rFonts w:ascii="Arial" w:hAnsi="Arial" w:cs="Arial"/>
          <w:lang w:val="en-GB"/>
        </w:rPr>
        <w:t>, T</w:t>
      </w:r>
      <w:r w:rsidRPr="008424BB">
        <w:rPr>
          <w:rFonts w:ascii="Arial" w:hAnsi="Arial" w:cs="Arial"/>
          <w:vertAlign w:val="subscript"/>
          <w:lang w:val="en-GB"/>
        </w:rPr>
        <w:t>4</w:t>
      </w:r>
      <w:r w:rsidRPr="008424BB">
        <w:rPr>
          <w:rFonts w:ascii="Arial" w:hAnsi="Arial" w:cs="Arial"/>
          <w:lang w:val="en-GB"/>
        </w:rPr>
        <w:t>, T</w:t>
      </w:r>
      <w:r w:rsidRPr="008424BB">
        <w:rPr>
          <w:rFonts w:ascii="Arial" w:hAnsi="Arial" w:cs="Arial"/>
          <w:vertAlign w:val="subscript"/>
          <w:lang w:val="en-GB"/>
        </w:rPr>
        <w:t>5</w:t>
      </w:r>
      <w:r w:rsidRPr="008424BB">
        <w:rPr>
          <w:rFonts w:ascii="Arial" w:hAnsi="Arial" w:cs="Arial"/>
          <w:lang w:val="en-GB"/>
        </w:rPr>
        <w:t xml:space="preserve"> and T</w:t>
      </w:r>
      <w:r w:rsidRPr="008424BB">
        <w:rPr>
          <w:rFonts w:ascii="Arial" w:hAnsi="Arial" w:cs="Arial"/>
          <w:vertAlign w:val="subscript"/>
          <w:lang w:val="en-GB"/>
        </w:rPr>
        <w:t>6</w:t>
      </w:r>
      <w:r w:rsidRPr="008424BB">
        <w:rPr>
          <w:rFonts w:ascii="Arial" w:hAnsi="Arial" w:cs="Arial"/>
          <w:lang w:val="en-GB"/>
        </w:rPr>
        <w:t>) treatments excluding T</w:t>
      </w:r>
      <w:r w:rsidRPr="008424BB">
        <w:rPr>
          <w:rFonts w:ascii="Arial" w:hAnsi="Arial" w:cs="Arial"/>
          <w:vertAlign w:val="subscript"/>
          <w:lang w:val="en-GB"/>
        </w:rPr>
        <w:t>7,</w:t>
      </w:r>
      <w:r w:rsidRPr="008424BB">
        <w:rPr>
          <w:rFonts w:ascii="Arial" w:hAnsi="Arial" w:cs="Arial"/>
          <w:lang w:val="en-GB"/>
        </w:rPr>
        <w:t xml:space="preserve"> T</w:t>
      </w:r>
      <w:r w:rsidRPr="008424BB">
        <w:rPr>
          <w:rFonts w:ascii="Arial" w:hAnsi="Arial" w:cs="Arial"/>
          <w:vertAlign w:val="subscript"/>
          <w:lang w:val="en-GB"/>
        </w:rPr>
        <w:t>8</w:t>
      </w:r>
      <w:r w:rsidRPr="008424BB">
        <w:rPr>
          <w:rFonts w:ascii="Arial" w:hAnsi="Arial" w:cs="Arial"/>
          <w:lang w:val="en-GB"/>
        </w:rPr>
        <w:t xml:space="preserve"> compared to control (T</w:t>
      </w:r>
      <w:r w:rsidRPr="008424BB">
        <w:rPr>
          <w:rFonts w:ascii="Arial" w:hAnsi="Arial" w:cs="Arial"/>
          <w:vertAlign w:val="subscript"/>
          <w:lang w:val="en-GB"/>
        </w:rPr>
        <w:t>1</w:t>
      </w:r>
      <w:r w:rsidRPr="008424BB">
        <w:rPr>
          <w:rFonts w:ascii="Arial" w:hAnsi="Arial" w:cs="Arial"/>
          <w:lang w:val="en-GB"/>
        </w:rPr>
        <w:t>). Increased plant height with the slow-release fertilizer tablets application might be because of sufficient availability of balance fertilizer for the rice plant throughout the life cycle. Similar findings were obtained by Hossain and Sarker (2020) who conducted an experiment and reported that the application of slow-release fertilizer produced the tallest plants.</w:t>
      </w:r>
    </w:p>
    <w:p w14:paraId="36FCA125"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3.2 Number of Total Tillers Hill</w:t>
      </w:r>
      <w:r w:rsidRPr="008424BB">
        <w:rPr>
          <w:rFonts w:ascii="Arial" w:hAnsi="Arial" w:cs="Arial"/>
          <w:b/>
          <w:bCs/>
          <w:vertAlign w:val="superscript"/>
          <w:lang w:val="en-GB"/>
        </w:rPr>
        <w:t>-1</w:t>
      </w:r>
    </w:p>
    <w:p w14:paraId="14BECC7B"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In this study number of total tillers hill</w:t>
      </w:r>
      <w:r w:rsidRPr="008424BB">
        <w:rPr>
          <w:rFonts w:ascii="Arial" w:hAnsi="Arial" w:cs="Arial"/>
          <w:vertAlign w:val="superscript"/>
          <w:lang w:val="en-GB"/>
        </w:rPr>
        <w:t>-1</w:t>
      </w:r>
      <w:r w:rsidRPr="008424BB">
        <w:rPr>
          <w:rFonts w:ascii="Arial" w:hAnsi="Arial" w:cs="Arial"/>
          <w:lang w:val="en-GB"/>
        </w:rPr>
        <w:t xml:space="preserve"> was significantly influenced by different levels of slow-release fertilizer tablets (SRF). Result indicated that number of total tillers hill</w:t>
      </w:r>
      <w:r w:rsidRPr="008424BB">
        <w:rPr>
          <w:rFonts w:ascii="Arial" w:hAnsi="Arial" w:cs="Arial"/>
          <w:vertAlign w:val="superscript"/>
          <w:lang w:val="en-GB"/>
        </w:rPr>
        <w:t>-1</w:t>
      </w:r>
      <w:r w:rsidRPr="008424BB">
        <w:rPr>
          <w:rFonts w:ascii="Arial" w:hAnsi="Arial" w:cs="Arial"/>
          <w:lang w:val="en-GB"/>
        </w:rPr>
        <w:t xml:space="preserve"> was increased with the use of SRF tablets compared to control. The highest number of total tiller hill</w:t>
      </w:r>
      <w:r w:rsidRPr="008424BB">
        <w:rPr>
          <w:rFonts w:ascii="Arial" w:hAnsi="Arial" w:cs="Arial"/>
          <w:vertAlign w:val="superscript"/>
          <w:lang w:val="en-GB"/>
        </w:rPr>
        <w:t>-1</w:t>
      </w:r>
      <w:r w:rsidRPr="008424BB">
        <w:rPr>
          <w:rFonts w:ascii="Arial" w:hAnsi="Arial" w:cs="Arial"/>
          <w:lang w:val="en-GB"/>
        </w:rPr>
        <w:t xml:space="preserve"> (13.0) was obtained in T</w:t>
      </w:r>
      <w:r w:rsidRPr="008424BB">
        <w:rPr>
          <w:rFonts w:ascii="Arial" w:hAnsi="Arial" w:cs="Arial"/>
          <w:vertAlign w:val="subscript"/>
          <w:lang w:val="en-GB"/>
        </w:rPr>
        <w:t>4</w:t>
      </w:r>
      <w:r w:rsidRPr="008424BB">
        <w:rPr>
          <w:rFonts w:ascii="Arial" w:hAnsi="Arial" w:cs="Arial"/>
          <w:lang w:val="en-GB"/>
        </w:rPr>
        <w:t xml:space="preserve"> treatment (2 tablets/pot) and the lowest number of total tillers hill</w:t>
      </w:r>
      <w:r w:rsidRPr="008424BB">
        <w:rPr>
          <w:rFonts w:ascii="Arial" w:hAnsi="Arial" w:cs="Arial"/>
          <w:vertAlign w:val="superscript"/>
          <w:lang w:val="en-GB"/>
        </w:rPr>
        <w:t>-1</w:t>
      </w:r>
      <w:r w:rsidRPr="008424BB">
        <w:rPr>
          <w:rFonts w:ascii="Arial" w:hAnsi="Arial" w:cs="Arial"/>
          <w:lang w:val="en-GB"/>
        </w:rPr>
        <w:t xml:space="preserve"> (9.0) was obtained in T</w:t>
      </w:r>
      <w:r w:rsidRPr="008424BB">
        <w:rPr>
          <w:rFonts w:ascii="Arial" w:hAnsi="Arial" w:cs="Arial"/>
          <w:vertAlign w:val="subscript"/>
          <w:lang w:val="en-GB"/>
        </w:rPr>
        <w:t>1</w:t>
      </w:r>
      <w:r w:rsidRPr="008424BB">
        <w:rPr>
          <w:rFonts w:ascii="Arial" w:hAnsi="Arial" w:cs="Arial"/>
          <w:lang w:val="en-GB"/>
        </w:rPr>
        <w:t xml:space="preserve"> treatment (control) (Table 1). Qiong et al. (2021) conducted a pot experiment and discovered that the various controlled-release and slow-release fertilizers had an impact on the dynamic alterations of rice tillers. According to this study it was mention that slow-release fertilizers tablets increased total tiller number per hill.</w:t>
      </w:r>
    </w:p>
    <w:p w14:paraId="76B73B75"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lastRenderedPageBreak/>
        <w:t>3.3 Number of Effective Tillers Hill</w:t>
      </w:r>
      <w:r w:rsidRPr="008424BB">
        <w:rPr>
          <w:rFonts w:ascii="Arial" w:hAnsi="Arial" w:cs="Arial"/>
          <w:b/>
          <w:bCs/>
          <w:vertAlign w:val="superscript"/>
          <w:lang w:val="en-GB"/>
        </w:rPr>
        <w:t>-1</w:t>
      </w:r>
    </w:p>
    <w:p w14:paraId="6E710138"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Effect of different slow-release fertilizer tablets on number of effective tillers hill</w:t>
      </w:r>
      <w:r w:rsidRPr="008424BB">
        <w:rPr>
          <w:rFonts w:ascii="Arial" w:hAnsi="Arial" w:cs="Arial"/>
          <w:vertAlign w:val="superscript"/>
          <w:lang w:val="en-GB"/>
        </w:rPr>
        <w:t>-1</w:t>
      </w:r>
      <w:r w:rsidRPr="008424BB">
        <w:rPr>
          <w:rFonts w:ascii="Arial" w:hAnsi="Arial" w:cs="Arial"/>
          <w:lang w:val="en-GB"/>
        </w:rPr>
        <w:t xml:space="preserve"> was significant. The highest number of effective tillers hill</w:t>
      </w:r>
      <w:r w:rsidRPr="008424BB">
        <w:rPr>
          <w:rFonts w:ascii="Arial" w:hAnsi="Arial" w:cs="Arial"/>
          <w:vertAlign w:val="superscript"/>
          <w:lang w:val="en-GB"/>
        </w:rPr>
        <w:t>-1</w:t>
      </w:r>
      <w:r w:rsidRPr="008424BB">
        <w:rPr>
          <w:rFonts w:ascii="Arial" w:hAnsi="Arial" w:cs="Arial"/>
          <w:lang w:val="en-GB"/>
        </w:rPr>
        <w:t xml:space="preserve"> (11.66) was found in T</w:t>
      </w:r>
      <w:r w:rsidRPr="008424BB">
        <w:rPr>
          <w:rFonts w:ascii="Arial" w:hAnsi="Arial" w:cs="Arial"/>
          <w:vertAlign w:val="subscript"/>
          <w:lang w:val="en-GB"/>
        </w:rPr>
        <w:t>4</w:t>
      </w:r>
      <w:r w:rsidRPr="008424BB">
        <w:rPr>
          <w:rFonts w:ascii="Arial" w:hAnsi="Arial" w:cs="Arial"/>
          <w:lang w:val="en-GB"/>
        </w:rPr>
        <w:t xml:space="preserve"> (2 tablet/pot) and the second highest number of effective tillers hill</w:t>
      </w:r>
      <w:r w:rsidRPr="008424BB">
        <w:rPr>
          <w:rFonts w:ascii="Arial" w:hAnsi="Arial" w:cs="Arial"/>
          <w:vertAlign w:val="superscript"/>
          <w:lang w:val="en-GB"/>
        </w:rPr>
        <w:t>-1</w:t>
      </w:r>
      <w:r w:rsidRPr="008424BB">
        <w:rPr>
          <w:rFonts w:ascii="Arial" w:hAnsi="Arial" w:cs="Arial"/>
          <w:lang w:val="en-GB"/>
        </w:rPr>
        <w:t xml:space="preserve"> (10.33) was obtained in T</w:t>
      </w:r>
      <w:r w:rsidRPr="008424BB">
        <w:rPr>
          <w:rFonts w:ascii="Arial" w:hAnsi="Arial" w:cs="Arial"/>
          <w:vertAlign w:val="subscript"/>
          <w:lang w:val="en-GB"/>
        </w:rPr>
        <w:t>2</w:t>
      </w:r>
      <w:r w:rsidRPr="008424BB">
        <w:rPr>
          <w:rFonts w:ascii="Arial" w:hAnsi="Arial" w:cs="Arial"/>
          <w:lang w:val="en-GB"/>
        </w:rPr>
        <w:t xml:space="preserve"> and T</w:t>
      </w:r>
      <w:r w:rsidRPr="008424BB">
        <w:rPr>
          <w:rFonts w:ascii="Arial" w:hAnsi="Arial" w:cs="Arial"/>
          <w:vertAlign w:val="subscript"/>
          <w:lang w:val="en-GB"/>
        </w:rPr>
        <w:t>5</w:t>
      </w:r>
      <w:r w:rsidRPr="008424BB">
        <w:rPr>
          <w:rFonts w:ascii="Arial" w:hAnsi="Arial" w:cs="Arial"/>
          <w:lang w:val="en-GB"/>
        </w:rPr>
        <w:t xml:space="preserve"> (Table 1). The lowest number of effective tillers hill</w:t>
      </w:r>
      <w:r w:rsidRPr="008424BB">
        <w:rPr>
          <w:rFonts w:ascii="Arial" w:hAnsi="Arial" w:cs="Arial"/>
          <w:vertAlign w:val="superscript"/>
          <w:lang w:val="en-GB"/>
        </w:rPr>
        <w:t>-1</w:t>
      </w:r>
      <w:r w:rsidRPr="008424BB">
        <w:rPr>
          <w:rFonts w:ascii="Arial" w:hAnsi="Arial" w:cs="Arial"/>
          <w:lang w:val="en-GB"/>
        </w:rPr>
        <w:t xml:space="preserve"> (6.33) was found in T</w:t>
      </w:r>
      <w:r w:rsidRPr="008424BB">
        <w:rPr>
          <w:rFonts w:ascii="Arial" w:hAnsi="Arial" w:cs="Arial"/>
          <w:vertAlign w:val="subscript"/>
          <w:lang w:val="en-GB"/>
        </w:rPr>
        <w:t>8</w:t>
      </w:r>
      <w:r w:rsidRPr="008424BB">
        <w:rPr>
          <w:rFonts w:ascii="Arial" w:hAnsi="Arial" w:cs="Arial"/>
          <w:lang w:val="en-GB"/>
        </w:rPr>
        <w:t xml:space="preserve"> treatment (6 tablets/pot). Result indicated that number of effective tillers hill</w:t>
      </w:r>
      <w:r w:rsidRPr="008424BB">
        <w:rPr>
          <w:rFonts w:ascii="Arial" w:hAnsi="Arial" w:cs="Arial"/>
          <w:vertAlign w:val="superscript"/>
          <w:lang w:val="en-GB"/>
        </w:rPr>
        <w:t>-1</w:t>
      </w:r>
      <w:r w:rsidRPr="008424BB">
        <w:rPr>
          <w:rFonts w:ascii="Arial" w:hAnsi="Arial" w:cs="Arial"/>
          <w:lang w:val="en-GB"/>
        </w:rPr>
        <w:t xml:space="preserve"> was increased with the use of SRF tablets and reduced when used high dose of slow-release fertilizer tablets compared to control. Similarly, Wu </w:t>
      </w:r>
      <w:r w:rsidRPr="008424BB">
        <w:rPr>
          <w:rFonts w:ascii="Arial" w:hAnsi="Arial" w:cs="Arial"/>
          <w:i/>
          <w:iCs/>
          <w:lang w:val="en-GB"/>
        </w:rPr>
        <w:t>et al</w:t>
      </w:r>
      <w:r w:rsidRPr="008424BB">
        <w:rPr>
          <w:rFonts w:ascii="Arial" w:hAnsi="Arial" w:cs="Arial"/>
          <w:lang w:val="en-GB"/>
        </w:rPr>
        <w:t>. (2017) conducted a study and reported that deep placement of SRF fertilizers increased effective tiller numbers at earlier growth stages compared to N broadcasting application (NBP).</w:t>
      </w:r>
    </w:p>
    <w:p w14:paraId="0048BC28"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3.4 Number of Non-Effective Tillers Hill</w:t>
      </w:r>
      <w:r w:rsidRPr="008424BB">
        <w:rPr>
          <w:rFonts w:ascii="Arial" w:hAnsi="Arial" w:cs="Arial"/>
          <w:b/>
          <w:bCs/>
          <w:vertAlign w:val="superscript"/>
          <w:lang w:val="en-GB"/>
        </w:rPr>
        <w:t>-1</w:t>
      </w:r>
    </w:p>
    <w:p w14:paraId="0166F2EC"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The number of ineffective tillers per hill altered considerably as a result of the effects of varying levels of slow-release fertilizers. T</w:t>
      </w:r>
      <w:r w:rsidRPr="008424BB">
        <w:rPr>
          <w:rFonts w:ascii="Arial" w:hAnsi="Arial" w:cs="Arial"/>
          <w:vertAlign w:val="subscript"/>
          <w:lang w:val="en-GB"/>
        </w:rPr>
        <w:t>8</w:t>
      </w:r>
      <w:r w:rsidRPr="008424BB">
        <w:rPr>
          <w:rFonts w:ascii="Arial" w:hAnsi="Arial" w:cs="Arial"/>
          <w:lang w:val="en-GB"/>
        </w:rPr>
        <w:t xml:space="preserve"> treatment (6 tablets/pot) had the most non-effective tillers hill</w:t>
      </w:r>
      <w:r w:rsidRPr="008424BB">
        <w:rPr>
          <w:rFonts w:ascii="Arial" w:hAnsi="Arial" w:cs="Arial"/>
          <w:vertAlign w:val="superscript"/>
          <w:lang w:val="en-GB"/>
        </w:rPr>
        <w:t>-1</w:t>
      </w:r>
      <w:r w:rsidRPr="008424BB">
        <w:rPr>
          <w:rFonts w:ascii="Arial" w:hAnsi="Arial" w:cs="Arial"/>
          <w:lang w:val="en-GB"/>
        </w:rPr>
        <w:t xml:space="preserve"> (4.33), while T</w:t>
      </w:r>
      <w:r w:rsidRPr="008424BB">
        <w:rPr>
          <w:rFonts w:ascii="Arial" w:hAnsi="Arial" w:cs="Arial"/>
          <w:vertAlign w:val="subscript"/>
          <w:lang w:val="en-GB"/>
        </w:rPr>
        <w:t>1</w:t>
      </w:r>
      <w:r w:rsidRPr="008424BB">
        <w:rPr>
          <w:rFonts w:ascii="Arial" w:hAnsi="Arial" w:cs="Arial"/>
          <w:lang w:val="en-GB"/>
        </w:rPr>
        <w:t xml:space="preserve"> treatment had the lowest number of non-effective tillers hill</w:t>
      </w:r>
      <w:r w:rsidRPr="008424BB">
        <w:rPr>
          <w:rFonts w:ascii="Arial" w:hAnsi="Arial" w:cs="Arial"/>
          <w:vertAlign w:val="superscript"/>
          <w:lang w:val="en-GB"/>
        </w:rPr>
        <w:t>-1</w:t>
      </w:r>
      <w:r w:rsidRPr="008424BB">
        <w:rPr>
          <w:rFonts w:ascii="Arial" w:hAnsi="Arial" w:cs="Arial"/>
          <w:lang w:val="en-GB"/>
        </w:rPr>
        <w:t xml:space="preserve"> (0.66). (Table 1).</w:t>
      </w:r>
    </w:p>
    <w:p w14:paraId="6581F78A"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3.5 Number of Grains Panicle</w:t>
      </w:r>
      <w:r w:rsidRPr="008424BB">
        <w:rPr>
          <w:rFonts w:ascii="Arial" w:hAnsi="Arial" w:cs="Arial"/>
          <w:b/>
          <w:bCs/>
          <w:vertAlign w:val="superscript"/>
          <w:lang w:val="en-GB"/>
        </w:rPr>
        <w:t>-1</w:t>
      </w:r>
    </w:p>
    <w:p w14:paraId="46024D00"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A study by Bhuyan </w:t>
      </w:r>
      <w:r w:rsidRPr="008424BB">
        <w:rPr>
          <w:rFonts w:ascii="Arial" w:hAnsi="Arial" w:cs="Arial"/>
          <w:i/>
          <w:iCs/>
          <w:lang w:val="en-GB"/>
        </w:rPr>
        <w:t>et al</w:t>
      </w:r>
      <w:r w:rsidRPr="008424BB">
        <w:rPr>
          <w:rFonts w:ascii="Arial" w:hAnsi="Arial" w:cs="Arial"/>
          <w:lang w:val="en-GB"/>
        </w:rPr>
        <w:t>. (2016) found that completely placement of slow-release fertilizer (USG) in raised bed planting produced higher number of panicles per unit area and number of grains per panicle, suggesting that slow-release fertilizer increased number of grains panicle</w:t>
      </w:r>
      <w:r w:rsidRPr="008424BB">
        <w:rPr>
          <w:rFonts w:ascii="Arial" w:hAnsi="Arial" w:cs="Arial"/>
          <w:vertAlign w:val="superscript"/>
          <w:lang w:val="en-GB"/>
        </w:rPr>
        <w:t>-1</w:t>
      </w:r>
      <w:r w:rsidRPr="008424BB">
        <w:rPr>
          <w:rFonts w:ascii="Arial" w:hAnsi="Arial" w:cs="Arial"/>
          <w:lang w:val="en-GB"/>
        </w:rPr>
        <w:t>. The number of grains panicle</w:t>
      </w:r>
      <w:r w:rsidRPr="008424BB">
        <w:rPr>
          <w:rFonts w:ascii="Arial" w:hAnsi="Arial" w:cs="Arial"/>
          <w:vertAlign w:val="superscript"/>
          <w:lang w:val="en-GB"/>
        </w:rPr>
        <w:t>-1</w:t>
      </w:r>
      <w:r w:rsidRPr="008424BB">
        <w:rPr>
          <w:rFonts w:ascii="Arial" w:hAnsi="Arial" w:cs="Arial"/>
          <w:lang w:val="en-GB"/>
        </w:rPr>
        <w:t xml:space="preserve"> was significantly influenced by different levels of slow-release fertilizers, with the highest number of grains panicle</w:t>
      </w:r>
      <w:r w:rsidRPr="008424BB">
        <w:rPr>
          <w:rFonts w:ascii="Arial" w:hAnsi="Arial" w:cs="Arial"/>
          <w:vertAlign w:val="superscript"/>
          <w:lang w:val="en-GB"/>
        </w:rPr>
        <w:t>-1</w:t>
      </w:r>
      <w:r w:rsidRPr="008424BB">
        <w:rPr>
          <w:rFonts w:ascii="Arial" w:hAnsi="Arial" w:cs="Arial"/>
          <w:lang w:val="en-GB"/>
        </w:rPr>
        <w:t xml:space="preserve"> (116.53) obtained in T</w:t>
      </w:r>
      <w:r w:rsidRPr="008424BB">
        <w:rPr>
          <w:rFonts w:ascii="Arial" w:hAnsi="Arial" w:cs="Arial"/>
          <w:vertAlign w:val="subscript"/>
          <w:lang w:val="en-GB"/>
        </w:rPr>
        <w:t>4</w:t>
      </w:r>
      <w:r w:rsidRPr="008424BB">
        <w:rPr>
          <w:rFonts w:ascii="Arial" w:hAnsi="Arial" w:cs="Arial"/>
          <w:lang w:val="en-GB"/>
        </w:rPr>
        <w:t xml:space="preserve"> treatment (2 tablets/pot) and the lowest number of grains panicle</w:t>
      </w:r>
      <w:r w:rsidRPr="008424BB">
        <w:rPr>
          <w:rFonts w:ascii="Arial" w:hAnsi="Arial" w:cs="Arial"/>
          <w:vertAlign w:val="superscript"/>
          <w:lang w:val="en-GB"/>
        </w:rPr>
        <w:t>-1</w:t>
      </w:r>
      <w:r w:rsidRPr="008424BB">
        <w:rPr>
          <w:rFonts w:ascii="Arial" w:hAnsi="Arial" w:cs="Arial"/>
          <w:lang w:val="en-GB"/>
        </w:rPr>
        <w:t xml:space="preserve"> (85.73) obtained in T</w:t>
      </w:r>
      <w:r w:rsidRPr="008424BB">
        <w:rPr>
          <w:rFonts w:ascii="Arial" w:hAnsi="Arial" w:cs="Arial"/>
          <w:vertAlign w:val="subscript"/>
          <w:lang w:val="en-GB"/>
        </w:rPr>
        <w:t>7</w:t>
      </w:r>
      <w:r w:rsidRPr="008424BB">
        <w:rPr>
          <w:rFonts w:ascii="Arial" w:hAnsi="Arial" w:cs="Arial"/>
          <w:lang w:val="en-GB"/>
        </w:rPr>
        <w:t xml:space="preserve"> treatment (5 tablets/pot) (Table 1).</w:t>
      </w:r>
    </w:p>
    <w:p w14:paraId="6150CC52"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3.6 Number of Sterile Grains Panicle</w:t>
      </w:r>
      <w:r w:rsidRPr="008424BB">
        <w:rPr>
          <w:rFonts w:ascii="Arial" w:hAnsi="Arial" w:cs="Arial"/>
          <w:b/>
          <w:bCs/>
          <w:vertAlign w:val="superscript"/>
          <w:lang w:val="en-GB"/>
        </w:rPr>
        <w:t>-1</w:t>
      </w:r>
    </w:p>
    <w:p w14:paraId="73BB3F07"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Different quantities of slow-release fertilizer tablets (SRF) had a substantial impact on the quantity of sterile grains panicle-1 in this study. Result indicated that the highest number of sterile grains panicle</w:t>
      </w:r>
      <w:r w:rsidRPr="008424BB">
        <w:rPr>
          <w:rFonts w:ascii="Arial" w:hAnsi="Arial" w:cs="Arial"/>
          <w:vertAlign w:val="superscript"/>
          <w:lang w:val="en-GB"/>
        </w:rPr>
        <w:t>-1</w:t>
      </w:r>
      <w:r w:rsidRPr="008424BB">
        <w:rPr>
          <w:rFonts w:ascii="Arial" w:hAnsi="Arial" w:cs="Arial"/>
          <w:lang w:val="en-GB"/>
        </w:rPr>
        <w:t xml:space="preserve"> (24.2) was obtained in T</w:t>
      </w:r>
      <w:r w:rsidRPr="008424BB">
        <w:rPr>
          <w:rFonts w:ascii="Arial" w:hAnsi="Arial" w:cs="Arial"/>
          <w:vertAlign w:val="subscript"/>
          <w:lang w:val="en-GB"/>
        </w:rPr>
        <w:t>8</w:t>
      </w:r>
      <w:r w:rsidRPr="008424BB">
        <w:rPr>
          <w:rFonts w:ascii="Arial" w:hAnsi="Arial" w:cs="Arial"/>
          <w:lang w:val="en-GB"/>
        </w:rPr>
        <w:t xml:space="preserve"> treatment (6 tablets/pot) and the lowest number of sterile grains panicle</w:t>
      </w:r>
      <w:r w:rsidRPr="008424BB">
        <w:rPr>
          <w:rFonts w:ascii="Arial" w:hAnsi="Arial" w:cs="Arial"/>
          <w:vertAlign w:val="superscript"/>
          <w:lang w:val="en-GB"/>
        </w:rPr>
        <w:t>-1</w:t>
      </w:r>
      <w:r w:rsidRPr="008424BB">
        <w:rPr>
          <w:rFonts w:ascii="Arial" w:hAnsi="Arial" w:cs="Arial"/>
          <w:lang w:val="en-GB"/>
        </w:rPr>
        <w:t xml:space="preserve"> (11.43) was obtained in T</w:t>
      </w:r>
      <w:r w:rsidRPr="008424BB">
        <w:rPr>
          <w:rFonts w:ascii="Arial" w:hAnsi="Arial" w:cs="Arial"/>
          <w:vertAlign w:val="subscript"/>
          <w:lang w:val="en-GB"/>
        </w:rPr>
        <w:t>4</w:t>
      </w:r>
      <w:r w:rsidRPr="008424BB">
        <w:rPr>
          <w:rFonts w:ascii="Arial" w:hAnsi="Arial" w:cs="Arial"/>
          <w:lang w:val="en-GB"/>
        </w:rPr>
        <w:t xml:space="preserve"> treatment (2 tablets/pot) which statistically showed reduced number of sterile grains panicle-1 compared to control (T</w:t>
      </w:r>
      <w:r w:rsidRPr="008424BB">
        <w:rPr>
          <w:rFonts w:ascii="Arial" w:hAnsi="Arial" w:cs="Arial"/>
          <w:vertAlign w:val="subscript"/>
          <w:lang w:val="en-GB"/>
        </w:rPr>
        <w:t>1</w:t>
      </w:r>
      <w:r w:rsidRPr="008424BB">
        <w:rPr>
          <w:rFonts w:ascii="Arial" w:hAnsi="Arial" w:cs="Arial"/>
          <w:lang w:val="en-GB"/>
        </w:rPr>
        <w:t>) (Table 1).</w:t>
      </w:r>
    </w:p>
    <w:p w14:paraId="716DD631"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3.7 1000-Grain Weight</w:t>
      </w:r>
    </w:p>
    <w:p w14:paraId="1DBF1050"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All the treatments under study were significantly changed by different levels of slow-release fertilizer tablets (SRF) for their 1000-grain weight. Result indicated that 1000-grain weight was increased with the use of SRF tablets excluding T</w:t>
      </w:r>
      <w:r w:rsidRPr="008424BB">
        <w:rPr>
          <w:rFonts w:ascii="Arial" w:hAnsi="Arial" w:cs="Arial"/>
          <w:vertAlign w:val="subscript"/>
          <w:lang w:val="en-GB"/>
        </w:rPr>
        <w:t>8</w:t>
      </w:r>
      <w:r w:rsidRPr="008424BB">
        <w:rPr>
          <w:rFonts w:ascii="Arial" w:hAnsi="Arial" w:cs="Arial"/>
          <w:lang w:val="en-GB"/>
        </w:rPr>
        <w:t xml:space="preserve"> treatment (6 tablets/pot) compared to control (T</w:t>
      </w:r>
      <w:r w:rsidRPr="008424BB">
        <w:rPr>
          <w:rFonts w:ascii="Arial" w:hAnsi="Arial" w:cs="Arial"/>
          <w:vertAlign w:val="subscript"/>
          <w:lang w:val="en-GB"/>
        </w:rPr>
        <w:t>1</w:t>
      </w:r>
      <w:r w:rsidRPr="008424BB">
        <w:rPr>
          <w:rFonts w:ascii="Arial" w:hAnsi="Arial" w:cs="Arial"/>
          <w:lang w:val="en-GB"/>
        </w:rPr>
        <w:t>). The highest thousand grains weight (22.9 g) was recorded in T</w:t>
      </w:r>
      <w:r w:rsidRPr="008424BB">
        <w:rPr>
          <w:rFonts w:ascii="Arial" w:hAnsi="Arial" w:cs="Arial"/>
          <w:vertAlign w:val="subscript"/>
          <w:lang w:val="en-GB"/>
        </w:rPr>
        <w:t>4</w:t>
      </w:r>
      <w:r w:rsidRPr="008424BB">
        <w:rPr>
          <w:rFonts w:ascii="Arial" w:hAnsi="Arial" w:cs="Arial"/>
          <w:lang w:val="en-GB"/>
        </w:rPr>
        <w:t xml:space="preserve"> treatment (2 tablets/pot). The lowest thousand grains weight (19.66 g) was found in T</w:t>
      </w:r>
      <w:r w:rsidRPr="008424BB">
        <w:rPr>
          <w:rFonts w:ascii="Arial" w:hAnsi="Arial" w:cs="Arial"/>
          <w:vertAlign w:val="subscript"/>
          <w:lang w:val="en-GB"/>
        </w:rPr>
        <w:t>8</w:t>
      </w:r>
      <w:r w:rsidRPr="008424BB">
        <w:rPr>
          <w:rFonts w:ascii="Arial" w:hAnsi="Arial" w:cs="Arial"/>
          <w:lang w:val="en-GB"/>
        </w:rPr>
        <w:t xml:space="preserve"> treatment (6 tablets/pot). Similar result was also found by Bhuyan </w:t>
      </w:r>
      <w:r w:rsidRPr="008424BB">
        <w:rPr>
          <w:rFonts w:ascii="Arial" w:hAnsi="Arial" w:cs="Arial"/>
          <w:i/>
          <w:iCs/>
          <w:lang w:val="en-GB"/>
        </w:rPr>
        <w:t>et al</w:t>
      </w:r>
      <w:r w:rsidRPr="008424BB">
        <w:rPr>
          <w:rFonts w:ascii="Arial" w:hAnsi="Arial" w:cs="Arial"/>
          <w:lang w:val="en-GB"/>
        </w:rPr>
        <w:t xml:space="preserve">. (2016) conducted research and showed that deep placement of slow-release fertilizer (USG) in raised bed planting increased 1000-grain weight for transplanted </w:t>
      </w:r>
      <w:r w:rsidRPr="008424BB">
        <w:rPr>
          <w:rFonts w:ascii="Arial" w:hAnsi="Arial" w:cs="Arial"/>
          <w:i/>
          <w:iCs/>
          <w:lang w:val="en-GB"/>
        </w:rPr>
        <w:t>boro</w:t>
      </w:r>
      <w:r w:rsidRPr="008424BB">
        <w:rPr>
          <w:rFonts w:ascii="Arial" w:hAnsi="Arial" w:cs="Arial"/>
          <w:lang w:val="en-GB"/>
        </w:rPr>
        <w:t xml:space="preserve"> rice.</w:t>
      </w:r>
    </w:p>
    <w:p w14:paraId="45E17FF0"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3.9 Grain Yield</w:t>
      </w:r>
    </w:p>
    <w:p w14:paraId="76F600D6"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 xml:space="preserve">This study indicated the effect of different levels of slow-release fertilizers tablets differed significantly in respect of grain yield. Result showed that the highest grain yield (67.33 g/pot) </w:t>
      </w:r>
      <w:r w:rsidRPr="008424BB">
        <w:rPr>
          <w:rFonts w:ascii="Arial" w:hAnsi="Arial" w:cs="Arial"/>
          <w:lang w:val="en-GB"/>
        </w:rPr>
        <w:lastRenderedPageBreak/>
        <w:t>was recorded in T</w:t>
      </w:r>
      <w:r w:rsidRPr="008424BB">
        <w:rPr>
          <w:rFonts w:ascii="Arial" w:hAnsi="Arial" w:cs="Arial"/>
          <w:vertAlign w:val="subscript"/>
          <w:lang w:val="en-GB"/>
        </w:rPr>
        <w:t>4</w:t>
      </w:r>
      <w:r w:rsidRPr="008424BB">
        <w:rPr>
          <w:rFonts w:ascii="Arial" w:hAnsi="Arial" w:cs="Arial"/>
          <w:lang w:val="en-GB"/>
        </w:rPr>
        <w:t xml:space="preserve"> treatment (2 tablets/pot). The lowest grains yield (33 g/pot) was found in T</w:t>
      </w:r>
      <w:r w:rsidRPr="008424BB">
        <w:rPr>
          <w:rFonts w:ascii="Arial" w:hAnsi="Arial" w:cs="Arial"/>
          <w:vertAlign w:val="subscript"/>
          <w:lang w:val="en-GB"/>
        </w:rPr>
        <w:t>8</w:t>
      </w:r>
      <w:r w:rsidRPr="008424BB">
        <w:rPr>
          <w:rFonts w:ascii="Arial" w:hAnsi="Arial" w:cs="Arial"/>
          <w:lang w:val="en-GB"/>
        </w:rPr>
        <w:t xml:space="preserve"> treatment (6 tablets/pot). Result revealed that increased grain yield was observed in (T</w:t>
      </w:r>
      <w:r w:rsidRPr="008424BB">
        <w:rPr>
          <w:rFonts w:ascii="Arial" w:hAnsi="Arial" w:cs="Arial"/>
          <w:vertAlign w:val="subscript"/>
          <w:lang w:val="en-GB"/>
        </w:rPr>
        <w:t>3</w:t>
      </w:r>
      <w:r w:rsidRPr="008424BB">
        <w:rPr>
          <w:rFonts w:ascii="Arial" w:hAnsi="Arial" w:cs="Arial"/>
          <w:lang w:val="en-GB"/>
        </w:rPr>
        <w:t>, T</w:t>
      </w:r>
      <w:r w:rsidRPr="008424BB">
        <w:rPr>
          <w:rFonts w:ascii="Arial" w:hAnsi="Arial" w:cs="Arial"/>
          <w:vertAlign w:val="subscript"/>
          <w:lang w:val="en-GB"/>
        </w:rPr>
        <w:t>4</w:t>
      </w:r>
      <w:r w:rsidRPr="008424BB">
        <w:rPr>
          <w:rFonts w:ascii="Arial" w:hAnsi="Arial" w:cs="Arial"/>
          <w:lang w:val="en-GB"/>
        </w:rPr>
        <w:t>, and T</w:t>
      </w:r>
      <w:r w:rsidRPr="008424BB">
        <w:rPr>
          <w:rFonts w:ascii="Arial" w:hAnsi="Arial" w:cs="Arial"/>
          <w:vertAlign w:val="subscript"/>
          <w:lang w:val="en-GB"/>
        </w:rPr>
        <w:t>5</w:t>
      </w:r>
      <w:r w:rsidRPr="008424BB">
        <w:rPr>
          <w:rFonts w:ascii="Arial" w:hAnsi="Arial" w:cs="Arial"/>
          <w:lang w:val="en-GB"/>
        </w:rPr>
        <w:t>) treatments excluding T</w:t>
      </w:r>
      <w:r w:rsidRPr="008424BB">
        <w:rPr>
          <w:rFonts w:ascii="Arial" w:hAnsi="Arial" w:cs="Arial"/>
          <w:vertAlign w:val="subscript"/>
          <w:lang w:val="en-GB"/>
        </w:rPr>
        <w:t>6</w:t>
      </w:r>
      <w:r w:rsidRPr="008424BB">
        <w:rPr>
          <w:rFonts w:ascii="Arial" w:hAnsi="Arial" w:cs="Arial"/>
          <w:lang w:val="en-GB"/>
        </w:rPr>
        <w:t>, T</w:t>
      </w:r>
      <w:r w:rsidRPr="008424BB">
        <w:rPr>
          <w:rFonts w:ascii="Arial" w:hAnsi="Arial" w:cs="Arial"/>
          <w:vertAlign w:val="subscript"/>
          <w:lang w:val="en-GB"/>
        </w:rPr>
        <w:t>7</w:t>
      </w:r>
      <w:r w:rsidRPr="008424BB">
        <w:rPr>
          <w:rFonts w:ascii="Arial" w:hAnsi="Arial" w:cs="Arial"/>
          <w:lang w:val="en-GB"/>
        </w:rPr>
        <w:t xml:space="preserve"> and T</w:t>
      </w:r>
      <w:r w:rsidRPr="008424BB">
        <w:rPr>
          <w:rFonts w:ascii="Arial" w:hAnsi="Arial" w:cs="Arial"/>
          <w:vertAlign w:val="subscript"/>
          <w:lang w:val="en-GB"/>
        </w:rPr>
        <w:t>8</w:t>
      </w:r>
      <w:r w:rsidRPr="008424BB">
        <w:rPr>
          <w:rFonts w:ascii="Arial" w:hAnsi="Arial" w:cs="Arial"/>
          <w:lang w:val="en-GB"/>
        </w:rPr>
        <w:t xml:space="preserve"> compared to control (T</w:t>
      </w:r>
      <w:r w:rsidRPr="008424BB">
        <w:rPr>
          <w:rFonts w:ascii="Arial" w:hAnsi="Arial" w:cs="Arial"/>
          <w:vertAlign w:val="subscript"/>
          <w:lang w:val="en-GB"/>
        </w:rPr>
        <w:t>1</w:t>
      </w:r>
      <w:r w:rsidRPr="008424BB">
        <w:rPr>
          <w:rFonts w:ascii="Arial" w:hAnsi="Arial" w:cs="Arial"/>
          <w:lang w:val="en-GB"/>
        </w:rPr>
        <w:t>) (Fig. 1). Similar findings were obtained by Wu et al. (2017) who conducted an experiment and reported that N, P, K balanced deep placement (NPKDP) could also further increase in grain yield and N recovery efficiency compared to N deep placement</w:t>
      </w:r>
    </w:p>
    <w:p w14:paraId="568B0C19" w14:textId="77777777" w:rsidR="008424BB" w:rsidRPr="008424BB" w:rsidRDefault="008424BB" w:rsidP="008424BB">
      <w:pPr>
        <w:pStyle w:val="Body"/>
        <w:spacing w:after="0"/>
        <w:rPr>
          <w:rFonts w:ascii="Arial" w:hAnsi="Arial" w:cs="Arial"/>
          <w:lang w:val="en-GB"/>
        </w:rPr>
      </w:pPr>
      <w:r w:rsidRPr="008424BB">
        <w:rPr>
          <w:rFonts w:ascii="Arial" w:hAnsi="Arial" w:cs="Arial"/>
          <w:noProof/>
          <w:lang w:val="en-GB"/>
        </w:rPr>
        <w:drawing>
          <wp:inline distT="0" distB="0" distL="0" distR="0" wp14:anchorId="2182A15D" wp14:editId="2B75334B">
            <wp:extent cx="5539105" cy="3221355"/>
            <wp:effectExtent l="0" t="0" r="4445" b="17145"/>
            <wp:docPr id="1409699181" name="Chart 1409699181">
              <a:extLst xmlns:a="http://schemas.openxmlformats.org/drawingml/2006/main">
                <a:ext uri="{FF2B5EF4-FFF2-40B4-BE49-F238E27FC236}">
                  <a16:creationId xmlns:a16="http://schemas.microsoft.com/office/drawing/2014/main" id="{9BD34350-73AE-A7FD-EB1E-09CF3C3E2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5C0CC0" w14:textId="77777777" w:rsidR="008424BB" w:rsidRPr="008424BB" w:rsidRDefault="008424BB" w:rsidP="008424BB">
      <w:pPr>
        <w:pStyle w:val="Body"/>
        <w:spacing w:after="0"/>
        <w:rPr>
          <w:rFonts w:ascii="Arial" w:hAnsi="Arial" w:cs="Arial"/>
          <w:b/>
          <w:lang w:val="en-GB"/>
        </w:rPr>
      </w:pPr>
      <w:r w:rsidRPr="008424BB">
        <w:rPr>
          <w:rFonts w:ascii="Arial" w:hAnsi="Arial" w:cs="Arial"/>
          <w:b/>
          <w:lang w:val="en-GB"/>
        </w:rPr>
        <w:t xml:space="preserve">Fig. 1. Grain yield of </w:t>
      </w:r>
      <w:r w:rsidRPr="008424BB">
        <w:rPr>
          <w:rFonts w:ascii="Arial" w:hAnsi="Arial" w:cs="Arial"/>
          <w:b/>
          <w:i/>
          <w:iCs/>
          <w:lang w:val="en-GB"/>
        </w:rPr>
        <w:t>boro</w:t>
      </w:r>
      <w:r w:rsidRPr="008424BB">
        <w:rPr>
          <w:rFonts w:ascii="Arial" w:hAnsi="Arial" w:cs="Arial"/>
          <w:b/>
          <w:lang w:val="en-GB"/>
        </w:rPr>
        <w:t xml:space="preserve"> rice (g pot</w:t>
      </w:r>
      <w:r w:rsidRPr="008424BB">
        <w:rPr>
          <w:rFonts w:ascii="Arial" w:hAnsi="Arial" w:cs="Arial"/>
          <w:b/>
          <w:vertAlign w:val="superscript"/>
          <w:lang w:val="en-GB"/>
        </w:rPr>
        <w:t>-1</w:t>
      </w:r>
      <w:r w:rsidRPr="008424BB">
        <w:rPr>
          <w:rFonts w:ascii="Arial" w:hAnsi="Arial" w:cs="Arial"/>
          <w:b/>
          <w:lang w:val="en-GB"/>
        </w:rPr>
        <w:t>)</w:t>
      </w:r>
      <w:r w:rsidRPr="008424BB">
        <w:rPr>
          <w:rFonts w:ascii="Arial" w:hAnsi="Arial" w:cs="Arial"/>
          <w:b/>
          <w:vertAlign w:val="superscript"/>
          <w:lang w:val="en-GB"/>
        </w:rPr>
        <w:t xml:space="preserve"> </w:t>
      </w:r>
      <w:r w:rsidRPr="008424BB">
        <w:rPr>
          <w:rFonts w:ascii="Arial" w:hAnsi="Arial" w:cs="Arial"/>
          <w:b/>
          <w:lang w:val="en-GB"/>
        </w:rPr>
        <w:t>as influenced by different treatments.</w:t>
      </w:r>
    </w:p>
    <w:p w14:paraId="7961EA47" w14:textId="77777777" w:rsidR="008424BB" w:rsidRPr="008424BB" w:rsidRDefault="008424BB" w:rsidP="008424BB">
      <w:pPr>
        <w:pStyle w:val="Body"/>
        <w:spacing w:after="0"/>
        <w:rPr>
          <w:rFonts w:ascii="Arial" w:hAnsi="Arial" w:cs="Arial"/>
          <w:bCs/>
          <w:lang w:val="en-GB"/>
        </w:rPr>
      </w:pPr>
      <w:r w:rsidRPr="008424BB">
        <w:rPr>
          <w:rFonts w:ascii="Arial" w:hAnsi="Arial" w:cs="Arial"/>
          <w:lang w:val="en-GB"/>
        </w:rPr>
        <w:t>Figure with similar letter (s) do not differ significantly whereas figure with dissimilar letter differ significantly as per DMRT.</w:t>
      </w:r>
      <w:r w:rsidRPr="008424BB">
        <w:rPr>
          <w:rFonts w:ascii="Arial" w:hAnsi="Arial" w:cs="Arial"/>
          <w:bCs/>
          <w:lang w:val="en-GB"/>
        </w:rPr>
        <w:t xml:space="preserve"> Here, T</w:t>
      </w:r>
      <w:r w:rsidRPr="008424BB">
        <w:rPr>
          <w:rFonts w:ascii="Arial" w:hAnsi="Arial" w:cs="Arial"/>
          <w:bCs/>
          <w:vertAlign w:val="subscript"/>
          <w:lang w:val="en-GB"/>
        </w:rPr>
        <w:t>1</w:t>
      </w:r>
      <w:r w:rsidRPr="008424BB">
        <w:rPr>
          <w:rFonts w:ascii="Arial" w:hAnsi="Arial" w:cs="Arial"/>
          <w:bCs/>
          <w:lang w:val="en-GB"/>
        </w:rPr>
        <w:t>= Control (Unfertilized), T</w:t>
      </w:r>
      <w:r w:rsidRPr="008424BB">
        <w:rPr>
          <w:rFonts w:ascii="Arial" w:hAnsi="Arial" w:cs="Arial"/>
          <w:bCs/>
          <w:vertAlign w:val="subscript"/>
          <w:lang w:val="en-GB"/>
        </w:rPr>
        <w:t>2</w:t>
      </w:r>
      <w:r w:rsidRPr="008424BB">
        <w:rPr>
          <w:rFonts w:ascii="Arial" w:hAnsi="Arial" w:cs="Arial"/>
          <w:bCs/>
          <w:lang w:val="en-GB"/>
        </w:rPr>
        <w:t>= full recommended dose of NPK fertilizer, T</w:t>
      </w:r>
      <w:r w:rsidRPr="008424BB">
        <w:rPr>
          <w:rFonts w:ascii="Arial" w:hAnsi="Arial" w:cs="Arial"/>
          <w:bCs/>
          <w:vertAlign w:val="subscript"/>
          <w:lang w:val="en-GB"/>
        </w:rPr>
        <w:t xml:space="preserve">3 </w:t>
      </w:r>
      <w:r w:rsidRPr="008424BB">
        <w:rPr>
          <w:rFonts w:ascii="Arial" w:hAnsi="Arial" w:cs="Arial"/>
          <w:bCs/>
          <w:lang w:val="en-GB"/>
        </w:rPr>
        <w:t>= 1 tablet/pot, T</w:t>
      </w:r>
      <w:r w:rsidRPr="008424BB">
        <w:rPr>
          <w:rFonts w:ascii="Arial" w:hAnsi="Arial" w:cs="Arial"/>
          <w:bCs/>
          <w:vertAlign w:val="subscript"/>
          <w:lang w:val="en-GB"/>
        </w:rPr>
        <w:t>4</w:t>
      </w:r>
      <w:r w:rsidRPr="008424BB">
        <w:rPr>
          <w:rFonts w:ascii="Arial" w:hAnsi="Arial" w:cs="Arial"/>
          <w:bCs/>
          <w:lang w:val="en-GB"/>
        </w:rPr>
        <w:t xml:space="preserve"> = 2 tablets/pot, T</w:t>
      </w:r>
      <w:r w:rsidRPr="008424BB">
        <w:rPr>
          <w:rFonts w:ascii="Arial" w:hAnsi="Arial" w:cs="Arial"/>
          <w:bCs/>
          <w:vertAlign w:val="subscript"/>
          <w:lang w:val="en-GB"/>
        </w:rPr>
        <w:t>5</w:t>
      </w:r>
      <w:r w:rsidRPr="008424BB">
        <w:rPr>
          <w:rFonts w:ascii="Arial" w:hAnsi="Arial" w:cs="Arial"/>
          <w:bCs/>
          <w:lang w:val="en-GB"/>
        </w:rPr>
        <w:t xml:space="preserve"> = 3 tablets/pot, T</w:t>
      </w:r>
      <w:r w:rsidRPr="008424BB">
        <w:rPr>
          <w:rFonts w:ascii="Arial" w:hAnsi="Arial" w:cs="Arial"/>
          <w:bCs/>
          <w:vertAlign w:val="subscript"/>
          <w:lang w:val="en-GB"/>
        </w:rPr>
        <w:t>6</w:t>
      </w:r>
      <w:r w:rsidRPr="008424BB">
        <w:rPr>
          <w:rFonts w:ascii="Arial" w:hAnsi="Arial" w:cs="Arial"/>
          <w:bCs/>
          <w:lang w:val="en-GB"/>
        </w:rPr>
        <w:t xml:space="preserve"> = 4 tablets/pot, T</w:t>
      </w:r>
      <w:r w:rsidRPr="008424BB">
        <w:rPr>
          <w:rFonts w:ascii="Arial" w:hAnsi="Arial" w:cs="Arial"/>
          <w:bCs/>
          <w:vertAlign w:val="subscript"/>
          <w:lang w:val="en-GB"/>
        </w:rPr>
        <w:t xml:space="preserve">7 </w:t>
      </w:r>
      <w:r w:rsidRPr="008424BB">
        <w:rPr>
          <w:rFonts w:ascii="Arial" w:hAnsi="Arial" w:cs="Arial"/>
          <w:bCs/>
          <w:lang w:val="en-GB"/>
        </w:rPr>
        <w:t>= 5 tablets/pot, T</w:t>
      </w:r>
      <w:r w:rsidRPr="008424BB">
        <w:rPr>
          <w:rFonts w:ascii="Arial" w:hAnsi="Arial" w:cs="Arial"/>
          <w:bCs/>
          <w:vertAlign w:val="subscript"/>
          <w:lang w:val="en-GB"/>
        </w:rPr>
        <w:t>8</w:t>
      </w:r>
      <w:r w:rsidRPr="008424BB">
        <w:rPr>
          <w:rFonts w:ascii="Arial" w:hAnsi="Arial" w:cs="Arial"/>
          <w:bCs/>
          <w:lang w:val="en-GB"/>
        </w:rPr>
        <w:t xml:space="preserve"> = 6 tablets/pot.</w:t>
      </w:r>
    </w:p>
    <w:p w14:paraId="3C659F67" w14:textId="77777777" w:rsidR="008424BB" w:rsidRPr="008424BB" w:rsidRDefault="008424BB" w:rsidP="008424BB">
      <w:pPr>
        <w:pStyle w:val="Body"/>
        <w:spacing w:before="240" w:after="0"/>
        <w:rPr>
          <w:rFonts w:ascii="Arial" w:hAnsi="Arial" w:cs="Arial"/>
          <w:b/>
          <w:bCs/>
          <w:lang w:val="en-GB"/>
        </w:rPr>
      </w:pPr>
      <w:r w:rsidRPr="008424BB">
        <w:rPr>
          <w:rFonts w:ascii="Arial" w:hAnsi="Arial" w:cs="Arial"/>
          <w:b/>
          <w:bCs/>
          <w:lang w:val="en-GB"/>
        </w:rPr>
        <w:t>3.10 Straw Yield</w:t>
      </w:r>
    </w:p>
    <w:p w14:paraId="21A104C4" w14:textId="77777777" w:rsidR="008424BB" w:rsidRPr="008424BB" w:rsidRDefault="008424BB" w:rsidP="008424BB">
      <w:pPr>
        <w:pStyle w:val="Body"/>
        <w:spacing w:before="240" w:after="0"/>
        <w:rPr>
          <w:rFonts w:ascii="Arial" w:hAnsi="Arial" w:cs="Arial"/>
          <w:lang w:val="en-GB"/>
        </w:rPr>
      </w:pPr>
      <w:r w:rsidRPr="008424BB">
        <w:rPr>
          <w:rFonts w:ascii="Arial" w:hAnsi="Arial" w:cs="Arial"/>
          <w:lang w:val="en-GB"/>
        </w:rPr>
        <w:t>In this study straw yield was significantly influenced by different levels of slow-release fertilizer tablets (SRF). Result indicated that the highest straw yield (156 g/pot) was observed in T</w:t>
      </w:r>
      <w:r w:rsidRPr="008424BB">
        <w:rPr>
          <w:rFonts w:ascii="Arial" w:hAnsi="Arial" w:cs="Arial"/>
          <w:vertAlign w:val="subscript"/>
          <w:lang w:val="en-GB"/>
        </w:rPr>
        <w:t>8</w:t>
      </w:r>
      <w:r w:rsidRPr="008424BB">
        <w:rPr>
          <w:rFonts w:ascii="Arial" w:hAnsi="Arial" w:cs="Arial"/>
          <w:lang w:val="en-GB"/>
        </w:rPr>
        <w:t xml:space="preserve"> treatment (6 tablets/pot) and the lowest straw yield (108.33 g/pot) was observed in T</w:t>
      </w:r>
      <w:r w:rsidRPr="008424BB">
        <w:rPr>
          <w:rFonts w:ascii="Arial" w:hAnsi="Arial" w:cs="Arial"/>
          <w:vertAlign w:val="subscript"/>
          <w:lang w:val="en-GB"/>
        </w:rPr>
        <w:t>1</w:t>
      </w:r>
      <w:r w:rsidRPr="008424BB">
        <w:rPr>
          <w:rFonts w:ascii="Arial" w:hAnsi="Arial" w:cs="Arial"/>
          <w:lang w:val="en-GB"/>
        </w:rPr>
        <w:t xml:space="preserve"> treatment (control) which statistically showed that increased straw yield compared to control (T</w:t>
      </w:r>
      <w:r w:rsidRPr="008424BB">
        <w:rPr>
          <w:rFonts w:ascii="Arial" w:hAnsi="Arial" w:cs="Arial"/>
          <w:vertAlign w:val="subscript"/>
          <w:lang w:val="en-GB"/>
        </w:rPr>
        <w:t>1</w:t>
      </w:r>
      <w:r w:rsidRPr="008424BB">
        <w:rPr>
          <w:rFonts w:ascii="Arial" w:hAnsi="Arial" w:cs="Arial"/>
          <w:lang w:val="en-GB"/>
        </w:rPr>
        <w:t>) (Fig. 2).</w:t>
      </w:r>
    </w:p>
    <w:p w14:paraId="39409E95" w14:textId="77777777" w:rsidR="008424BB" w:rsidRPr="008424BB" w:rsidRDefault="008424BB" w:rsidP="008424BB">
      <w:pPr>
        <w:pStyle w:val="Body"/>
        <w:spacing w:after="0"/>
        <w:rPr>
          <w:rFonts w:ascii="Arial" w:hAnsi="Arial" w:cs="Arial"/>
          <w:lang w:val="en-GB"/>
        </w:rPr>
      </w:pPr>
    </w:p>
    <w:p w14:paraId="7F1089A0" w14:textId="77777777" w:rsidR="008424BB" w:rsidRPr="008424BB" w:rsidRDefault="008424BB" w:rsidP="008424BB">
      <w:pPr>
        <w:pStyle w:val="Body"/>
        <w:spacing w:after="0"/>
        <w:rPr>
          <w:rFonts w:ascii="Arial" w:hAnsi="Arial" w:cs="Arial"/>
          <w:lang w:val="en-GB"/>
        </w:rPr>
      </w:pPr>
      <w:r w:rsidRPr="008424BB">
        <w:rPr>
          <w:rFonts w:ascii="Arial" w:hAnsi="Arial" w:cs="Arial"/>
          <w:noProof/>
          <w:lang w:val="en-GB"/>
        </w:rPr>
        <w:lastRenderedPageBreak/>
        <w:drawing>
          <wp:inline distT="0" distB="0" distL="0" distR="0" wp14:anchorId="4A3D9B2A" wp14:editId="387668B5">
            <wp:extent cx="5267325" cy="2886075"/>
            <wp:effectExtent l="0" t="0" r="9525" b="9525"/>
            <wp:docPr id="3" name="Chart 3">
              <a:extLst xmlns:a="http://schemas.openxmlformats.org/drawingml/2006/main">
                <a:ext uri="{FF2B5EF4-FFF2-40B4-BE49-F238E27FC236}">
                  <a16:creationId xmlns:a16="http://schemas.microsoft.com/office/drawing/2014/main" id="{2AAE5889-623F-E007-CC7D-202FB9D63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7CB49D" w14:textId="77777777" w:rsidR="008424BB" w:rsidRPr="008424BB" w:rsidRDefault="008424BB" w:rsidP="008424BB">
      <w:pPr>
        <w:pStyle w:val="Body"/>
        <w:spacing w:after="0"/>
        <w:rPr>
          <w:rFonts w:ascii="Arial" w:hAnsi="Arial" w:cs="Arial"/>
          <w:b/>
          <w:lang w:val="en-GB"/>
        </w:rPr>
      </w:pPr>
      <w:r w:rsidRPr="008424BB">
        <w:rPr>
          <w:rFonts w:ascii="Arial" w:hAnsi="Arial" w:cs="Arial"/>
          <w:b/>
          <w:lang w:val="en-GB"/>
        </w:rPr>
        <w:t>Fig. 2. Straw yield (g pot</w:t>
      </w:r>
      <w:r w:rsidRPr="008424BB">
        <w:rPr>
          <w:rFonts w:ascii="Arial" w:hAnsi="Arial" w:cs="Arial"/>
          <w:b/>
          <w:vertAlign w:val="superscript"/>
          <w:lang w:val="en-GB"/>
        </w:rPr>
        <w:t>-1</w:t>
      </w:r>
      <w:r w:rsidRPr="008424BB">
        <w:rPr>
          <w:rFonts w:ascii="Arial" w:hAnsi="Arial" w:cs="Arial"/>
          <w:b/>
          <w:lang w:val="en-GB"/>
        </w:rPr>
        <w:t>) as influenced by different treatments.</w:t>
      </w:r>
    </w:p>
    <w:p w14:paraId="2329BDAF" w14:textId="77777777" w:rsidR="008424BB" w:rsidRPr="008424BB" w:rsidRDefault="008424BB" w:rsidP="008424BB">
      <w:pPr>
        <w:pStyle w:val="Body"/>
        <w:spacing w:after="0"/>
        <w:rPr>
          <w:rFonts w:ascii="Arial" w:hAnsi="Arial" w:cs="Arial"/>
          <w:bCs/>
          <w:lang w:val="en-GB"/>
        </w:rPr>
      </w:pPr>
      <w:r w:rsidRPr="008424BB">
        <w:rPr>
          <w:rFonts w:ascii="Arial" w:hAnsi="Arial" w:cs="Arial"/>
          <w:lang w:val="en-GB"/>
        </w:rPr>
        <w:t>Figure with similar letter (s) do not differ significantly whereas figure with dissimilar letter differ significantly as per DMRT.</w:t>
      </w:r>
      <w:r w:rsidRPr="008424BB">
        <w:rPr>
          <w:rFonts w:ascii="Arial" w:hAnsi="Arial" w:cs="Arial"/>
          <w:bCs/>
          <w:lang w:val="en-GB"/>
        </w:rPr>
        <w:t xml:space="preserve"> Here, T</w:t>
      </w:r>
      <w:r w:rsidRPr="008424BB">
        <w:rPr>
          <w:rFonts w:ascii="Arial" w:hAnsi="Arial" w:cs="Arial"/>
          <w:bCs/>
          <w:vertAlign w:val="subscript"/>
          <w:lang w:val="en-GB"/>
        </w:rPr>
        <w:t>1</w:t>
      </w:r>
      <w:r w:rsidRPr="008424BB">
        <w:rPr>
          <w:rFonts w:ascii="Arial" w:hAnsi="Arial" w:cs="Arial"/>
          <w:bCs/>
          <w:lang w:val="en-GB"/>
        </w:rPr>
        <w:t>= Control (Unfertilized), T</w:t>
      </w:r>
      <w:r w:rsidRPr="008424BB">
        <w:rPr>
          <w:rFonts w:ascii="Arial" w:hAnsi="Arial" w:cs="Arial"/>
          <w:bCs/>
          <w:vertAlign w:val="subscript"/>
          <w:lang w:val="en-GB"/>
        </w:rPr>
        <w:t>2</w:t>
      </w:r>
      <w:r w:rsidRPr="008424BB">
        <w:rPr>
          <w:rFonts w:ascii="Arial" w:hAnsi="Arial" w:cs="Arial"/>
          <w:bCs/>
          <w:lang w:val="en-GB"/>
        </w:rPr>
        <w:t>= full recommended dose of NPK fertilizer, T</w:t>
      </w:r>
      <w:r w:rsidRPr="008424BB">
        <w:rPr>
          <w:rFonts w:ascii="Arial" w:hAnsi="Arial" w:cs="Arial"/>
          <w:bCs/>
          <w:vertAlign w:val="subscript"/>
          <w:lang w:val="en-GB"/>
        </w:rPr>
        <w:t xml:space="preserve">3 </w:t>
      </w:r>
      <w:r w:rsidRPr="008424BB">
        <w:rPr>
          <w:rFonts w:ascii="Arial" w:hAnsi="Arial" w:cs="Arial"/>
          <w:bCs/>
          <w:lang w:val="en-GB"/>
        </w:rPr>
        <w:t>= 1 tablet/pot, T</w:t>
      </w:r>
      <w:r w:rsidRPr="008424BB">
        <w:rPr>
          <w:rFonts w:ascii="Arial" w:hAnsi="Arial" w:cs="Arial"/>
          <w:bCs/>
          <w:vertAlign w:val="subscript"/>
          <w:lang w:val="en-GB"/>
        </w:rPr>
        <w:t>4</w:t>
      </w:r>
      <w:r w:rsidRPr="008424BB">
        <w:rPr>
          <w:rFonts w:ascii="Arial" w:hAnsi="Arial" w:cs="Arial"/>
          <w:bCs/>
          <w:lang w:val="en-GB"/>
        </w:rPr>
        <w:t xml:space="preserve"> = 2 tablets/pot, T</w:t>
      </w:r>
      <w:r w:rsidRPr="008424BB">
        <w:rPr>
          <w:rFonts w:ascii="Arial" w:hAnsi="Arial" w:cs="Arial"/>
          <w:bCs/>
          <w:vertAlign w:val="subscript"/>
          <w:lang w:val="en-GB"/>
        </w:rPr>
        <w:t>5</w:t>
      </w:r>
      <w:r w:rsidRPr="008424BB">
        <w:rPr>
          <w:rFonts w:ascii="Arial" w:hAnsi="Arial" w:cs="Arial"/>
          <w:bCs/>
          <w:lang w:val="en-GB"/>
        </w:rPr>
        <w:t xml:space="preserve"> = 3 tablets/pot, T</w:t>
      </w:r>
      <w:r w:rsidRPr="008424BB">
        <w:rPr>
          <w:rFonts w:ascii="Arial" w:hAnsi="Arial" w:cs="Arial"/>
          <w:bCs/>
          <w:vertAlign w:val="subscript"/>
          <w:lang w:val="en-GB"/>
        </w:rPr>
        <w:t>6</w:t>
      </w:r>
      <w:r w:rsidRPr="008424BB">
        <w:rPr>
          <w:rFonts w:ascii="Arial" w:hAnsi="Arial" w:cs="Arial"/>
          <w:bCs/>
          <w:lang w:val="en-GB"/>
        </w:rPr>
        <w:t xml:space="preserve"> = 4 tablets/pot, T</w:t>
      </w:r>
      <w:r w:rsidRPr="008424BB">
        <w:rPr>
          <w:rFonts w:ascii="Arial" w:hAnsi="Arial" w:cs="Arial"/>
          <w:bCs/>
          <w:vertAlign w:val="subscript"/>
          <w:lang w:val="en-GB"/>
        </w:rPr>
        <w:t xml:space="preserve">7 </w:t>
      </w:r>
      <w:r w:rsidRPr="008424BB">
        <w:rPr>
          <w:rFonts w:ascii="Arial" w:hAnsi="Arial" w:cs="Arial"/>
          <w:bCs/>
          <w:lang w:val="en-GB"/>
        </w:rPr>
        <w:t>= 5 tablets/pot, T</w:t>
      </w:r>
      <w:r w:rsidRPr="008424BB">
        <w:rPr>
          <w:rFonts w:ascii="Arial" w:hAnsi="Arial" w:cs="Arial"/>
          <w:bCs/>
          <w:vertAlign w:val="subscript"/>
          <w:lang w:val="en-GB"/>
        </w:rPr>
        <w:t>8</w:t>
      </w:r>
      <w:r w:rsidRPr="008424BB">
        <w:rPr>
          <w:rFonts w:ascii="Arial" w:hAnsi="Arial" w:cs="Arial"/>
          <w:bCs/>
          <w:lang w:val="en-GB"/>
        </w:rPr>
        <w:t xml:space="preserve"> = 6 tablets/pot.</w:t>
      </w:r>
    </w:p>
    <w:p w14:paraId="135EA377" w14:textId="77777777" w:rsidR="008424BB" w:rsidRPr="008424BB" w:rsidRDefault="008424BB" w:rsidP="00BC015F">
      <w:pPr>
        <w:pStyle w:val="Body"/>
        <w:spacing w:before="240" w:after="0"/>
        <w:rPr>
          <w:rFonts w:ascii="Arial" w:hAnsi="Arial" w:cs="Arial"/>
          <w:b/>
          <w:bCs/>
          <w:lang w:val="en-GB"/>
        </w:rPr>
      </w:pPr>
      <w:r w:rsidRPr="008424BB">
        <w:rPr>
          <w:rFonts w:ascii="Arial" w:hAnsi="Arial" w:cs="Arial"/>
          <w:b/>
          <w:bCs/>
          <w:lang w:val="en-GB"/>
        </w:rPr>
        <w:t>3.11 Biological Yield</w:t>
      </w:r>
    </w:p>
    <w:p w14:paraId="30B1CB3F" w14:textId="77777777" w:rsidR="008424BB" w:rsidRPr="008424BB" w:rsidRDefault="008424BB" w:rsidP="00BC015F">
      <w:pPr>
        <w:pStyle w:val="Body"/>
        <w:spacing w:before="240" w:after="0"/>
        <w:rPr>
          <w:rFonts w:ascii="Arial" w:hAnsi="Arial" w:cs="Arial"/>
          <w:lang w:val="en-GB"/>
        </w:rPr>
      </w:pPr>
      <w:r w:rsidRPr="008424BB">
        <w:rPr>
          <w:rFonts w:ascii="Arial" w:hAnsi="Arial" w:cs="Arial"/>
          <w:lang w:val="en-GB"/>
        </w:rPr>
        <w:t>A considerable impact of varying levels of slow-release fertilizers was observed on biological yield. (Table 1). The highest biological yield (198.33 g/pot) was obtained in T</w:t>
      </w:r>
      <w:r w:rsidRPr="008424BB">
        <w:rPr>
          <w:rFonts w:ascii="Arial" w:hAnsi="Arial" w:cs="Arial"/>
          <w:vertAlign w:val="subscript"/>
          <w:lang w:val="en-GB"/>
        </w:rPr>
        <w:t>4</w:t>
      </w:r>
      <w:r w:rsidRPr="008424BB">
        <w:rPr>
          <w:rFonts w:ascii="Arial" w:hAnsi="Arial" w:cs="Arial"/>
          <w:lang w:val="en-GB"/>
        </w:rPr>
        <w:t xml:space="preserve"> treatment (2 tablets/pot) followed by T</w:t>
      </w:r>
      <w:r w:rsidRPr="008424BB">
        <w:rPr>
          <w:rFonts w:ascii="Arial" w:hAnsi="Arial" w:cs="Arial"/>
          <w:vertAlign w:val="subscript"/>
          <w:lang w:val="en-GB"/>
        </w:rPr>
        <w:t>5</w:t>
      </w:r>
      <w:r w:rsidRPr="008424BB">
        <w:rPr>
          <w:rFonts w:ascii="Arial" w:hAnsi="Arial" w:cs="Arial"/>
          <w:lang w:val="en-GB"/>
        </w:rPr>
        <w:t>, T</w:t>
      </w:r>
      <w:r w:rsidRPr="008424BB">
        <w:rPr>
          <w:rFonts w:ascii="Arial" w:hAnsi="Arial" w:cs="Arial"/>
          <w:vertAlign w:val="subscript"/>
          <w:lang w:val="en-GB"/>
        </w:rPr>
        <w:t>6</w:t>
      </w:r>
      <w:r w:rsidRPr="008424BB">
        <w:rPr>
          <w:rFonts w:ascii="Arial" w:hAnsi="Arial" w:cs="Arial"/>
          <w:lang w:val="en-GB"/>
        </w:rPr>
        <w:t>, T</w:t>
      </w:r>
      <w:r w:rsidRPr="008424BB">
        <w:rPr>
          <w:rFonts w:ascii="Arial" w:hAnsi="Arial" w:cs="Arial"/>
          <w:vertAlign w:val="subscript"/>
          <w:lang w:val="en-GB"/>
        </w:rPr>
        <w:t>7</w:t>
      </w:r>
      <w:r w:rsidRPr="008424BB">
        <w:rPr>
          <w:rFonts w:ascii="Arial" w:hAnsi="Arial" w:cs="Arial"/>
          <w:lang w:val="en-GB"/>
        </w:rPr>
        <w:t>, T</w:t>
      </w:r>
      <w:r w:rsidRPr="008424BB">
        <w:rPr>
          <w:rFonts w:ascii="Arial" w:hAnsi="Arial" w:cs="Arial"/>
          <w:vertAlign w:val="subscript"/>
          <w:lang w:val="en-GB"/>
        </w:rPr>
        <w:t>8</w:t>
      </w:r>
      <w:r w:rsidRPr="008424BB">
        <w:rPr>
          <w:rFonts w:ascii="Arial" w:hAnsi="Arial" w:cs="Arial"/>
          <w:lang w:val="en-GB"/>
        </w:rPr>
        <w:t>, T</w:t>
      </w:r>
      <w:r w:rsidRPr="008424BB">
        <w:rPr>
          <w:rFonts w:ascii="Arial" w:hAnsi="Arial" w:cs="Arial"/>
          <w:vertAlign w:val="subscript"/>
          <w:lang w:val="en-GB"/>
        </w:rPr>
        <w:t>2</w:t>
      </w:r>
      <w:r w:rsidRPr="008424BB">
        <w:rPr>
          <w:rFonts w:ascii="Arial" w:hAnsi="Arial" w:cs="Arial"/>
          <w:lang w:val="en-GB"/>
        </w:rPr>
        <w:t xml:space="preserve"> and the lowest biological yield (162 g/pot) was obtained in control (T</w:t>
      </w:r>
      <w:r w:rsidRPr="008424BB">
        <w:rPr>
          <w:rFonts w:ascii="Arial" w:hAnsi="Arial" w:cs="Arial"/>
          <w:vertAlign w:val="subscript"/>
          <w:lang w:val="en-GB"/>
        </w:rPr>
        <w:t>1</w:t>
      </w:r>
      <w:r w:rsidRPr="008424BB">
        <w:rPr>
          <w:rFonts w:ascii="Arial" w:hAnsi="Arial" w:cs="Arial"/>
          <w:lang w:val="en-GB"/>
        </w:rPr>
        <w:t>).</w:t>
      </w:r>
    </w:p>
    <w:p w14:paraId="2FCF0083" w14:textId="77777777" w:rsidR="008424BB" w:rsidRPr="008424BB" w:rsidRDefault="008424BB" w:rsidP="00BC015F">
      <w:pPr>
        <w:pStyle w:val="Body"/>
        <w:spacing w:before="240" w:after="0"/>
        <w:rPr>
          <w:rFonts w:ascii="Arial" w:hAnsi="Arial" w:cs="Arial"/>
          <w:b/>
          <w:bCs/>
          <w:lang w:val="en-GB"/>
        </w:rPr>
      </w:pPr>
      <w:r w:rsidRPr="008424BB">
        <w:rPr>
          <w:rFonts w:ascii="Arial" w:hAnsi="Arial" w:cs="Arial"/>
          <w:b/>
          <w:bCs/>
          <w:lang w:val="en-GB"/>
        </w:rPr>
        <w:t>3.12 Harvest Index (%)</w:t>
      </w:r>
    </w:p>
    <w:p w14:paraId="33536626" w14:textId="77777777" w:rsidR="008424BB" w:rsidRPr="008424BB" w:rsidRDefault="008424BB" w:rsidP="00BC015F">
      <w:pPr>
        <w:pStyle w:val="Body"/>
        <w:spacing w:before="240" w:after="0"/>
        <w:rPr>
          <w:rFonts w:ascii="Arial" w:hAnsi="Arial" w:cs="Arial"/>
          <w:lang w:val="en-GB"/>
        </w:rPr>
      </w:pPr>
      <w:r w:rsidRPr="008424BB">
        <w:rPr>
          <w:rFonts w:ascii="Arial" w:hAnsi="Arial" w:cs="Arial"/>
          <w:lang w:val="en-GB"/>
        </w:rPr>
        <w:t>There was significance difference in the effect of different level of slow-release fertilizers tablets in respect of harvest index (Table 1). The highest harvest index (33.96 %) was found in T</w:t>
      </w:r>
      <w:r w:rsidRPr="008424BB">
        <w:rPr>
          <w:rFonts w:ascii="Arial" w:hAnsi="Arial" w:cs="Arial"/>
          <w:vertAlign w:val="subscript"/>
          <w:lang w:val="en-GB"/>
        </w:rPr>
        <w:t>4</w:t>
      </w:r>
      <w:r w:rsidRPr="008424BB">
        <w:rPr>
          <w:rFonts w:ascii="Arial" w:hAnsi="Arial" w:cs="Arial"/>
          <w:lang w:val="en-GB"/>
        </w:rPr>
        <w:t xml:space="preserve"> treatment (2 tablets/pot) followed by T</w:t>
      </w:r>
      <w:r w:rsidRPr="008424BB">
        <w:rPr>
          <w:rFonts w:ascii="Arial" w:hAnsi="Arial" w:cs="Arial"/>
          <w:vertAlign w:val="subscript"/>
          <w:lang w:val="en-GB"/>
        </w:rPr>
        <w:t>1</w:t>
      </w:r>
      <w:r w:rsidRPr="008424BB">
        <w:rPr>
          <w:rFonts w:ascii="Arial" w:hAnsi="Arial" w:cs="Arial"/>
          <w:lang w:val="en-GB"/>
        </w:rPr>
        <w:t>, T</w:t>
      </w:r>
      <w:r w:rsidRPr="008424BB">
        <w:rPr>
          <w:rFonts w:ascii="Arial" w:hAnsi="Arial" w:cs="Arial"/>
          <w:vertAlign w:val="subscript"/>
          <w:lang w:val="en-GB"/>
        </w:rPr>
        <w:t>2</w:t>
      </w:r>
      <w:r w:rsidRPr="008424BB">
        <w:rPr>
          <w:rFonts w:ascii="Arial" w:hAnsi="Arial" w:cs="Arial"/>
          <w:lang w:val="en-GB"/>
        </w:rPr>
        <w:t>, T</w:t>
      </w:r>
      <w:r w:rsidRPr="008424BB">
        <w:rPr>
          <w:rFonts w:ascii="Arial" w:hAnsi="Arial" w:cs="Arial"/>
          <w:vertAlign w:val="subscript"/>
          <w:lang w:val="en-GB"/>
        </w:rPr>
        <w:t>5</w:t>
      </w:r>
      <w:r w:rsidRPr="008424BB">
        <w:rPr>
          <w:rFonts w:ascii="Arial" w:hAnsi="Arial" w:cs="Arial"/>
          <w:lang w:val="en-GB"/>
        </w:rPr>
        <w:t>, T</w:t>
      </w:r>
      <w:r w:rsidRPr="008424BB">
        <w:rPr>
          <w:rFonts w:ascii="Arial" w:hAnsi="Arial" w:cs="Arial"/>
          <w:vertAlign w:val="subscript"/>
          <w:lang w:val="en-GB"/>
        </w:rPr>
        <w:t>3</w:t>
      </w:r>
      <w:r w:rsidRPr="008424BB">
        <w:rPr>
          <w:rFonts w:ascii="Arial" w:hAnsi="Arial" w:cs="Arial"/>
          <w:lang w:val="en-GB"/>
        </w:rPr>
        <w:t xml:space="preserve"> and the lowest harvest index (17.42 %) was observed in T</w:t>
      </w:r>
      <w:r w:rsidRPr="008424BB">
        <w:rPr>
          <w:rFonts w:ascii="Arial" w:hAnsi="Arial" w:cs="Arial"/>
          <w:vertAlign w:val="subscript"/>
          <w:lang w:val="en-GB"/>
        </w:rPr>
        <w:t>8</w:t>
      </w:r>
      <w:r w:rsidRPr="008424BB">
        <w:rPr>
          <w:rFonts w:ascii="Arial" w:hAnsi="Arial" w:cs="Arial"/>
          <w:lang w:val="en-GB"/>
        </w:rPr>
        <w:t xml:space="preserve"> treatment (6 tablets/pot) (Table 1). Harvest index increased in T</w:t>
      </w:r>
      <w:r w:rsidRPr="008424BB">
        <w:rPr>
          <w:rFonts w:ascii="Arial" w:hAnsi="Arial" w:cs="Arial"/>
          <w:vertAlign w:val="subscript"/>
          <w:lang w:val="en-GB"/>
        </w:rPr>
        <w:t xml:space="preserve">4 </w:t>
      </w:r>
      <w:r w:rsidRPr="008424BB">
        <w:rPr>
          <w:rFonts w:ascii="Arial" w:hAnsi="Arial" w:cs="Arial"/>
          <w:lang w:val="en-GB"/>
        </w:rPr>
        <w:t>treatment (2 tablets/pot) compared to control (T</w:t>
      </w:r>
      <w:r w:rsidRPr="008424BB">
        <w:rPr>
          <w:rFonts w:ascii="Arial" w:hAnsi="Arial" w:cs="Arial"/>
          <w:vertAlign w:val="subscript"/>
          <w:lang w:val="en-GB"/>
        </w:rPr>
        <w:t>1</w:t>
      </w:r>
      <w:r w:rsidRPr="008424BB">
        <w:rPr>
          <w:rFonts w:ascii="Arial" w:hAnsi="Arial" w:cs="Arial"/>
          <w:lang w:val="en-GB"/>
        </w:rPr>
        <w:t>)</w:t>
      </w:r>
    </w:p>
    <w:p w14:paraId="6C1184CA" w14:textId="77777777" w:rsidR="00790ADA" w:rsidRPr="00FB3A86" w:rsidRDefault="00790ADA" w:rsidP="00441B6F">
      <w:pPr>
        <w:pStyle w:val="Body"/>
        <w:spacing w:after="0"/>
        <w:rPr>
          <w:rFonts w:ascii="Arial" w:hAnsi="Arial" w:cs="Arial"/>
        </w:rPr>
      </w:pPr>
    </w:p>
    <w:p w14:paraId="0F19EEDB" w14:textId="77777777" w:rsidR="00BC015F" w:rsidRDefault="00BC015F" w:rsidP="00BC015F">
      <w:pPr>
        <w:spacing w:after="160" w:line="360" w:lineRule="auto"/>
        <w:jc w:val="both"/>
        <w:rPr>
          <w:rFonts w:ascii="Times New Roman" w:eastAsia="Calibri" w:hAnsi="Times New Roman"/>
          <w:b/>
          <w:bCs/>
          <w:sz w:val="24"/>
          <w:szCs w:val="24"/>
          <w:lang w:val="en-GB"/>
        </w:rPr>
      </w:pPr>
    </w:p>
    <w:p w14:paraId="0EE8A498" w14:textId="77777777" w:rsidR="00BC015F" w:rsidRDefault="00BC015F" w:rsidP="00BC015F">
      <w:pPr>
        <w:spacing w:after="160" w:line="360" w:lineRule="auto"/>
        <w:jc w:val="both"/>
        <w:rPr>
          <w:rFonts w:ascii="Times New Roman" w:eastAsia="Calibri" w:hAnsi="Times New Roman"/>
          <w:b/>
          <w:bCs/>
          <w:sz w:val="24"/>
          <w:szCs w:val="24"/>
          <w:lang w:val="en-GB"/>
        </w:rPr>
      </w:pPr>
    </w:p>
    <w:p w14:paraId="29B39764" w14:textId="77777777" w:rsidR="00BC015F" w:rsidRDefault="00BC015F" w:rsidP="00BC015F">
      <w:pPr>
        <w:spacing w:after="160" w:line="360" w:lineRule="auto"/>
        <w:jc w:val="both"/>
        <w:rPr>
          <w:rFonts w:ascii="Times New Roman" w:eastAsia="Calibri" w:hAnsi="Times New Roman"/>
          <w:b/>
          <w:bCs/>
          <w:sz w:val="24"/>
          <w:szCs w:val="24"/>
          <w:lang w:val="en-GB"/>
        </w:rPr>
      </w:pPr>
    </w:p>
    <w:p w14:paraId="7C433261" w14:textId="3F779577" w:rsidR="00BC015F" w:rsidRPr="00BC015F" w:rsidRDefault="00BC015F" w:rsidP="00BC015F">
      <w:pPr>
        <w:spacing w:after="160" w:line="360" w:lineRule="auto"/>
        <w:jc w:val="both"/>
        <w:rPr>
          <w:rFonts w:ascii="Arial" w:eastAsia="Calibri" w:hAnsi="Arial" w:cs="Arial"/>
          <w:b/>
          <w:bCs/>
          <w:lang w:val="en-GB"/>
        </w:rPr>
      </w:pPr>
      <w:r w:rsidRPr="00BC015F">
        <w:rPr>
          <w:rFonts w:ascii="Arial" w:eastAsia="Calibri" w:hAnsi="Arial" w:cs="Arial"/>
          <w:b/>
          <w:bCs/>
          <w:lang w:val="en-GB"/>
        </w:rPr>
        <w:t xml:space="preserve">Table 1. Effect of different level of slow-release fertilizer tablets on yield and yield contributing characters of </w:t>
      </w:r>
      <w:r w:rsidRPr="00BC015F">
        <w:rPr>
          <w:rFonts w:ascii="Arial" w:eastAsia="Calibri" w:hAnsi="Arial" w:cs="Arial"/>
          <w:b/>
          <w:bCs/>
          <w:i/>
          <w:iCs/>
          <w:lang w:val="en-GB"/>
        </w:rPr>
        <w:t>boro</w:t>
      </w:r>
      <w:r w:rsidRPr="00BC015F">
        <w:rPr>
          <w:rFonts w:ascii="Arial" w:eastAsia="Calibri" w:hAnsi="Arial" w:cs="Arial"/>
          <w:b/>
          <w:bCs/>
          <w:lang w:val="en-GB"/>
        </w:rPr>
        <w:t xml:space="preserve"> rice</w:t>
      </w:r>
    </w:p>
    <w:tbl>
      <w:tblPr>
        <w:tblStyle w:val="TableGrid1"/>
        <w:tblW w:w="953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6"/>
        <w:gridCol w:w="891"/>
        <w:gridCol w:w="833"/>
        <w:gridCol w:w="964"/>
        <w:gridCol w:w="964"/>
        <w:gridCol w:w="942"/>
        <w:gridCol w:w="913"/>
        <w:gridCol w:w="900"/>
        <w:gridCol w:w="940"/>
        <w:gridCol w:w="860"/>
      </w:tblGrid>
      <w:tr w:rsidR="00BC015F" w:rsidRPr="00BC015F" w14:paraId="045F1FDF" w14:textId="77777777" w:rsidTr="007D018D">
        <w:trPr>
          <w:trHeight w:val="690"/>
        </w:trPr>
        <w:tc>
          <w:tcPr>
            <w:tcW w:w="1326" w:type="dxa"/>
            <w:tcBorders>
              <w:top w:val="single" w:sz="12" w:space="0" w:color="auto"/>
              <w:left w:val="nil"/>
              <w:bottom w:val="single" w:sz="12" w:space="0" w:color="auto"/>
              <w:right w:val="nil"/>
            </w:tcBorders>
            <w:hideMark/>
          </w:tcPr>
          <w:p w14:paraId="38F0BC5C"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lastRenderedPageBreak/>
              <w:t>Treatments</w:t>
            </w:r>
          </w:p>
        </w:tc>
        <w:tc>
          <w:tcPr>
            <w:tcW w:w="891" w:type="dxa"/>
            <w:tcBorders>
              <w:top w:val="single" w:sz="12" w:space="0" w:color="auto"/>
              <w:left w:val="nil"/>
              <w:bottom w:val="single" w:sz="12" w:space="0" w:color="auto"/>
              <w:right w:val="nil"/>
            </w:tcBorders>
            <w:hideMark/>
          </w:tcPr>
          <w:p w14:paraId="0676D87D"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Plant height (cm)</w:t>
            </w:r>
          </w:p>
        </w:tc>
        <w:tc>
          <w:tcPr>
            <w:tcW w:w="833" w:type="dxa"/>
            <w:tcBorders>
              <w:top w:val="single" w:sz="12" w:space="0" w:color="auto"/>
              <w:left w:val="nil"/>
              <w:bottom w:val="single" w:sz="12" w:space="0" w:color="auto"/>
              <w:right w:val="nil"/>
            </w:tcBorders>
            <w:hideMark/>
          </w:tcPr>
          <w:p w14:paraId="185BD654"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Number of total tillers hill</w:t>
            </w:r>
            <w:r w:rsidRPr="00BC015F">
              <w:rPr>
                <w:rFonts w:ascii="Arial" w:hAnsi="Arial" w:cs="Arial"/>
                <w:bCs/>
                <w:sz w:val="18"/>
                <w:szCs w:val="18"/>
                <w:vertAlign w:val="superscript"/>
              </w:rPr>
              <w:t>-1</w:t>
            </w:r>
          </w:p>
        </w:tc>
        <w:tc>
          <w:tcPr>
            <w:tcW w:w="964" w:type="dxa"/>
            <w:tcBorders>
              <w:top w:val="single" w:sz="12" w:space="0" w:color="auto"/>
              <w:left w:val="nil"/>
              <w:bottom w:val="single" w:sz="12" w:space="0" w:color="auto"/>
              <w:right w:val="nil"/>
            </w:tcBorders>
            <w:hideMark/>
          </w:tcPr>
          <w:p w14:paraId="163A20B8"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Number of effective tillers hill</w:t>
            </w:r>
            <w:r w:rsidRPr="00BC015F">
              <w:rPr>
                <w:rFonts w:ascii="Arial" w:hAnsi="Arial" w:cs="Arial"/>
                <w:bCs/>
                <w:sz w:val="18"/>
                <w:szCs w:val="18"/>
                <w:vertAlign w:val="superscript"/>
              </w:rPr>
              <w:t>-1</w:t>
            </w:r>
          </w:p>
        </w:tc>
        <w:tc>
          <w:tcPr>
            <w:tcW w:w="964" w:type="dxa"/>
            <w:tcBorders>
              <w:top w:val="single" w:sz="12" w:space="0" w:color="auto"/>
              <w:left w:val="nil"/>
              <w:bottom w:val="single" w:sz="12" w:space="0" w:color="auto"/>
              <w:right w:val="nil"/>
            </w:tcBorders>
            <w:hideMark/>
          </w:tcPr>
          <w:p w14:paraId="4F060244"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Number of non-effective tillers hill</w:t>
            </w:r>
            <w:r w:rsidRPr="00BC015F">
              <w:rPr>
                <w:rFonts w:ascii="Arial" w:hAnsi="Arial" w:cs="Arial"/>
                <w:bCs/>
                <w:sz w:val="18"/>
                <w:szCs w:val="18"/>
                <w:vertAlign w:val="superscript"/>
              </w:rPr>
              <w:t>-1</w:t>
            </w:r>
          </w:p>
        </w:tc>
        <w:tc>
          <w:tcPr>
            <w:tcW w:w="942" w:type="dxa"/>
            <w:tcBorders>
              <w:top w:val="single" w:sz="12" w:space="0" w:color="auto"/>
              <w:left w:val="nil"/>
              <w:bottom w:val="single" w:sz="12" w:space="0" w:color="auto"/>
              <w:right w:val="nil"/>
            </w:tcBorders>
            <w:hideMark/>
          </w:tcPr>
          <w:p w14:paraId="3491D939"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Number of grains panicle</w:t>
            </w:r>
            <w:r w:rsidRPr="00BC015F">
              <w:rPr>
                <w:rFonts w:ascii="Arial" w:hAnsi="Arial" w:cs="Arial"/>
                <w:bCs/>
                <w:sz w:val="18"/>
                <w:szCs w:val="18"/>
                <w:vertAlign w:val="superscript"/>
              </w:rPr>
              <w:t>-1</w:t>
            </w:r>
          </w:p>
        </w:tc>
        <w:tc>
          <w:tcPr>
            <w:tcW w:w="913" w:type="dxa"/>
            <w:tcBorders>
              <w:top w:val="single" w:sz="12" w:space="0" w:color="auto"/>
              <w:left w:val="nil"/>
              <w:bottom w:val="single" w:sz="12" w:space="0" w:color="auto"/>
              <w:right w:val="nil"/>
            </w:tcBorders>
            <w:hideMark/>
          </w:tcPr>
          <w:p w14:paraId="5A473679"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Number of sterile grains panicle</w:t>
            </w:r>
            <w:r w:rsidRPr="00BC015F">
              <w:rPr>
                <w:rFonts w:ascii="Arial" w:hAnsi="Arial" w:cs="Arial"/>
                <w:bCs/>
                <w:sz w:val="18"/>
                <w:szCs w:val="18"/>
                <w:vertAlign w:val="superscript"/>
              </w:rPr>
              <w:t>-1</w:t>
            </w:r>
          </w:p>
        </w:tc>
        <w:tc>
          <w:tcPr>
            <w:tcW w:w="900" w:type="dxa"/>
            <w:tcBorders>
              <w:top w:val="single" w:sz="12" w:space="0" w:color="auto"/>
              <w:left w:val="nil"/>
              <w:bottom w:val="single" w:sz="12" w:space="0" w:color="auto"/>
              <w:right w:val="nil"/>
            </w:tcBorders>
            <w:hideMark/>
          </w:tcPr>
          <w:p w14:paraId="7901A6D5"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1000-Grain weight (g)</w:t>
            </w:r>
          </w:p>
        </w:tc>
        <w:tc>
          <w:tcPr>
            <w:tcW w:w="940" w:type="dxa"/>
            <w:tcBorders>
              <w:top w:val="single" w:sz="12" w:space="0" w:color="auto"/>
              <w:left w:val="nil"/>
              <w:bottom w:val="single" w:sz="12" w:space="0" w:color="auto"/>
              <w:right w:val="nil"/>
            </w:tcBorders>
            <w:hideMark/>
          </w:tcPr>
          <w:p w14:paraId="4F6A2247"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Biological yield (g/pot)</w:t>
            </w:r>
          </w:p>
        </w:tc>
        <w:tc>
          <w:tcPr>
            <w:tcW w:w="860" w:type="dxa"/>
            <w:tcBorders>
              <w:top w:val="single" w:sz="12" w:space="0" w:color="auto"/>
              <w:left w:val="nil"/>
              <w:bottom w:val="single" w:sz="12" w:space="0" w:color="auto"/>
              <w:right w:val="nil"/>
            </w:tcBorders>
            <w:hideMark/>
          </w:tcPr>
          <w:p w14:paraId="35B1E306" w14:textId="77777777" w:rsidR="00BC015F" w:rsidRPr="00BC015F" w:rsidRDefault="00BC015F" w:rsidP="00BC015F">
            <w:pPr>
              <w:jc w:val="both"/>
              <w:rPr>
                <w:rFonts w:ascii="Arial" w:hAnsi="Arial" w:cs="Arial"/>
                <w:bCs/>
                <w:sz w:val="18"/>
                <w:szCs w:val="18"/>
              </w:rPr>
            </w:pPr>
            <w:r w:rsidRPr="00BC015F">
              <w:rPr>
                <w:rFonts w:ascii="Arial" w:hAnsi="Arial" w:cs="Arial"/>
                <w:bCs/>
                <w:sz w:val="18"/>
                <w:szCs w:val="18"/>
              </w:rPr>
              <w:t>Harvest index (%)</w:t>
            </w:r>
          </w:p>
        </w:tc>
      </w:tr>
      <w:tr w:rsidR="00BC015F" w:rsidRPr="00BC015F" w14:paraId="6A38BF3D" w14:textId="77777777" w:rsidTr="007D018D">
        <w:trPr>
          <w:trHeight w:val="28"/>
        </w:trPr>
        <w:tc>
          <w:tcPr>
            <w:tcW w:w="1326" w:type="dxa"/>
            <w:tcBorders>
              <w:top w:val="single" w:sz="12" w:space="0" w:color="auto"/>
              <w:left w:val="nil"/>
              <w:bottom w:val="nil"/>
              <w:right w:val="nil"/>
            </w:tcBorders>
            <w:hideMark/>
          </w:tcPr>
          <w:p w14:paraId="50565473"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T</w:t>
            </w:r>
            <w:r w:rsidRPr="00BC015F">
              <w:rPr>
                <w:rFonts w:ascii="Arial" w:hAnsi="Arial" w:cs="Arial"/>
                <w:sz w:val="18"/>
                <w:szCs w:val="18"/>
                <w:vertAlign w:val="subscript"/>
              </w:rPr>
              <w:t>1</w:t>
            </w:r>
          </w:p>
        </w:tc>
        <w:tc>
          <w:tcPr>
            <w:tcW w:w="891" w:type="dxa"/>
            <w:tcBorders>
              <w:top w:val="single" w:sz="12" w:space="0" w:color="auto"/>
              <w:left w:val="nil"/>
              <w:bottom w:val="nil"/>
              <w:right w:val="nil"/>
            </w:tcBorders>
            <w:vAlign w:val="center"/>
            <w:hideMark/>
          </w:tcPr>
          <w:p w14:paraId="1AF2A09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68.66cd*</w:t>
            </w:r>
          </w:p>
        </w:tc>
        <w:tc>
          <w:tcPr>
            <w:tcW w:w="833" w:type="dxa"/>
            <w:tcBorders>
              <w:top w:val="single" w:sz="12" w:space="0" w:color="auto"/>
              <w:left w:val="nil"/>
              <w:bottom w:val="nil"/>
              <w:right w:val="nil"/>
            </w:tcBorders>
            <w:vAlign w:val="center"/>
            <w:hideMark/>
          </w:tcPr>
          <w:p w14:paraId="6907680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9c</w:t>
            </w:r>
          </w:p>
        </w:tc>
        <w:tc>
          <w:tcPr>
            <w:tcW w:w="964" w:type="dxa"/>
            <w:tcBorders>
              <w:top w:val="single" w:sz="12" w:space="0" w:color="auto"/>
              <w:left w:val="nil"/>
              <w:bottom w:val="nil"/>
              <w:right w:val="nil"/>
            </w:tcBorders>
            <w:vAlign w:val="center"/>
            <w:hideMark/>
          </w:tcPr>
          <w:p w14:paraId="5C2F47C2"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8.66bc</w:t>
            </w:r>
          </w:p>
        </w:tc>
        <w:tc>
          <w:tcPr>
            <w:tcW w:w="964" w:type="dxa"/>
            <w:tcBorders>
              <w:top w:val="single" w:sz="12" w:space="0" w:color="auto"/>
              <w:left w:val="nil"/>
              <w:bottom w:val="nil"/>
              <w:right w:val="nil"/>
            </w:tcBorders>
            <w:vAlign w:val="center"/>
            <w:hideMark/>
          </w:tcPr>
          <w:p w14:paraId="1CE0CE8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0.33c</w:t>
            </w:r>
          </w:p>
        </w:tc>
        <w:tc>
          <w:tcPr>
            <w:tcW w:w="942" w:type="dxa"/>
            <w:tcBorders>
              <w:top w:val="single" w:sz="12" w:space="0" w:color="auto"/>
              <w:left w:val="nil"/>
              <w:bottom w:val="nil"/>
              <w:right w:val="nil"/>
            </w:tcBorders>
            <w:vAlign w:val="center"/>
            <w:hideMark/>
          </w:tcPr>
          <w:p w14:paraId="77608801"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98.67c</w:t>
            </w:r>
          </w:p>
        </w:tc>
        <w:tc>
          <w:tcPr>
            <w:tcW w:w="913" w:type="dxa"/>
            <w:tcBorders>
              <w:top w:val="single" w:sz="12" w:space="0" w:color="auto"/>
              <w:left w:val="nil"/>
              <w:bottom w:val="nil"/>
              <w:right w:val="nil"/>
            </w:tcBorders>
            <w:vAlign w:val="center"/>
            <w:hideMark/>
          </w:tcPr>
          <w:p w14:paraId="4D4E829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11.66d</w:t>
            </w:r>
          </w:p>
        </w:tc>
        <w:tc>
          <w:tcPr>
            <w:tcW w:w="900" w:type="dxa"/>
            <w:tcBorders>
              <w:top w:val="single" w:sz="12" w:space="0" w:color="auto"/>
              <w:left w:val="nil"/>
              <w:bottom w:val="nil"/>
              <w:right w:val="nil"/>
            </w:tcBorders>
            <w:vAlign w:val="center"/>
            <w:hideMark/>
          </w:tcPr>
          <w:p w14:paraId="57F4371D"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19.9c</w:t>
            </w:r>
          </w:p>
        </w:tc>
        <w:tc>
          <w:tcPr>
            <w:tcW w:w="940" w:type="dxa"/>
            <w:tcBorders>
              <w:top w:val="single" w:sz="12" w:space="0" w:color="auto"/>
              <w:left w:val="nil"/>
              <w:bottom w:val="nil"/>
              <w:right w:val="nil"/>
            </w:tcBorders>
            <w:hideMark/>
          </w:tcPr>
          <w:p w14:paraId="4EF33B1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162b</w:t>
            </w:r>
          </w:p>
        </w:tc>
        <w:tc>
          <w:tcPr>
            <w:tcW w:w="860" w:type="dxa"/>
            <w:tcBorders>
              <w:top w:val="single" w:sz="12" w:space="0" w:color="auto"/>
              <w:left w:val="nil"/>
              <w:bottom w:val="nil"/>
              <w:right w:val="nil"/>
            </w:tcBorders>
            <w:hideMark/>
          </w:tcPr>
          <w:p w14:paraId="642E95E1"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33.71a</w:t>
            </w:r>
          </w:p>
        </w:tc>
      </w:tr>
      <w:tr w:rsidR="00BC015F" w:rsidRPr="00BC015F" w14:paraId="7F5C4C20" w14:textId="77777777" w:rsidTr="007D018D">
        <w:trPr>
          <w:trHeight w:val="58"/>
        </w:trPr>
        <w:tc>
          <w:tcPr>
            <w:tcW w:w="1326" w:type="dxa"/>
            <w:tcBorders>
              <w:top w:val="nil"/>
              <w:left w:val="nil"/>
              <w:bottom w:val="nil"/>
              <w:right w:val="nil"/>
            </w:tcBorders>
            <w:hideMark/>
          </w:tcPr>
          <w:p w14:paraId="1E0D739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T</w:t>
            </w:r>
            <w:r w:rsidRPr="00BC015F">
              <w:rPr>
                <w:rFonts w:ascii="Arial" w:hAnsi="Arial" w:cs="Arial"/>
                <w:sz w:val="18"/>
                <w:szCs w:val="18"/>
                <w:vertAlign w:val="subscript"/>
              </w:rPr>
              <w:t>2</w:t>
            </w:r>
          </w:p>
        </w:tc>
        <w:tc>
          <w:tcPr>
            <w:tcW w:w="891" w:type="dxa"/>
            <w:tcBorders>
              <w:top w:val="nil"/>
              <w:left w:val="nil"/>
              <w:bottom w:val="nil"/>
              <w:right w:val="nil"/>
            </w:tcBorders>
            <w:vAlign w:val="center"/>
            <w:hideMark/>
          </w:tcPr>
          <w:p w14:paraId="0517EE9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67.33b</w:t>
            </w:r>
          </w:p>
        </w:tc>
        <w:tc>
          <w:tcPr>
            <w:tcW w:w="833" w:type="dxa"/>
            <w:tcBorders>
              <w:top w:val="nil"/>
              <w:left w:val="nil"/>
              <w:bottom w:val="nil"/>
              <w:right w:val="nil"/>
            </w:tcBorders>
            <w:vAlign w:val="center"/>
            <w:hideMark/>
          </w:tcPr>
          <w:p w14:paraId="02294AC3"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11b</w:t>
            </w:r>
          </w:p>
        </w:tc>
        <w:tc>
          <w:tcPr>
            <w:tcW w:w="964" w:type="dxa"/>
            <w:tcBorders>
              <w:top w:val="nil"/>
              <w:left w:val="nil"/>
              <w:bottom w:val="nil"/>
              <w:right w:val="nil"/>
            </w:tcBorders>
            <w:vAlign w:val="center"/>
            <w:hideMark/>
          </w:tcPr>
          <w:p w14:paraId="0525D2E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10.33ab</w:t>
            </w:r>
          </w:p>
        </w:tc>
        <w:tc>
          <w:tcPr>
            <w:tcW w:w="964" w:type="dxa"/>
            <w:tcBorders>
              <w:top w:val="nil"/>
              <w:left w:val="nil"/>
              <w:bottom w:val="nil"/>
              <w:right w:val="nil"/>
            </w:tcBorders>
            <w:vAlign w:val="center"/>
            <w:hideMark/>
          </w:tcPr>
          <w:p w14:paraId="17182337"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0.66c</w:t>
            </w:r>
          </w:p>
        </w:tc>
        <w:tc>
          <w:tcPr>
            <w:tcW w:w="942" w:type="dxa"/>
            <w:tcBorders>
              <w:top w:val="nil"/>
              <w:left w:val="nil"/>
              <w:bottom w:val="nil"/>
              <w:right w:val="nil"/>
            </w:tcBorders>
            <w:vAlign w:val="center"/>
            <w:hideMark/>
          </w:tcPr>
          <w:p w14:paraId="140BA9C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109.50b</w:t>
            </w:r>
          </w:p>
        </w:tc>
        <w:tc>
          <w:tcPr>
            <w:tcW w:w="913" w:type="dxa"/>
            <w:tcBorders>
              <w:top w:val="nil"/>
              <w:left w:val="nil"/>
              <w:bottom w:val="nil"/>
              <w:right w:val="nil"/>
            </w:tcBorders>
            <w:vAlign w:val="center"/>
            <w:hideMark/>
          </w:tcPr>
          <w:p w14:paraId="1E7DC3E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5.33e</w:t>
            </w:r>
          </w:p>
        </w:tc>
        <w:tc>
          <w:tcPr>
            <w:tcW w:w="900" w:type="dxa"/>
            <w:tcBorders>
              <w:top w:val="nil"/>
              <w:left w:val="nil"/>
              <w:bottom w:val="nil"/>
              <w:right w:val="nil"/>
            </w:tcBorders>
            <w:vAlign w:val="center"/>
            <w:hideMark/>
          </w:tcPr>
          <w:p w14:paraId="59D0328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21.33b</w:t>
            </w:r>
          </w:p>
        </w:tc>
        <w:tc>
          <w:tcPr>
            <w:tcW w:w="940" w:type="dxa"/>
            <w:tcBorders>
              <w:top w:val="nil"/>
              <w:left w:val="nil"/>
              <w:bottom w:val="nil"/>
              <w:right w:val="nil"/>
            </w:tcBorders>
            <w:hideMark/>
          </w:tcPr>
          <w:p w14:paraId="232ED4C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186a</w:t>
            </w:r>
          </w:p>
        </w:tc>
        <w:tc>
          <w:tcPr>
            <w:tcW w:w="860" w:type="dxa"/>
            <w:tcBorders>
              <w:top w:val="nil"/>
              <w:left w:val="nil"/>
              <w:bottom w:val="nil"/>
              <w:right w:val="nil"/>
            </w:tcBorders>
            <w:hideMark/>
          </w:tcPr>
          <w:p w14:paraId="56A47D0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33.34a</w:t>
            </w:r>
          </w:p>
        </w:tc>
      </w:tr>
      <w:tr w:rsidR="00BC015F" w:rsidRPr="00BC015F" w14:paraId="7946174D" w14:textId="77777777" w:rsidTr="007D018D">
        <w:trPr>
          <w:trHeight w:val="58"/>
        </w:trPr>
        <w:tc>
          <w:tcPr>
            <w:tcW w:w="1326" w:type="dxa"/>
            <w:tcBorders>
              <w:top w:val="nil"/>
              <w:left w:val="nil"/>
              <w:bottom w:val="nil"/>
              <w:right w:val="nil"/>
            </w:tcBorders>
            <w:hideMark/>
          </w:tcPr>
          <w:p w14:paraId="12E173BE"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T</w:t>
            </w:r>
            <w:r w:rsidRPr="00BC015F">
              <w:rPr>
                <w:rFonts w:ascii="Arial" w:hAnsi="Arial" w:cs="Arial"/>
                <w:sz w:val="18"/>
                <w:szCs w:val="18"/>
                <w:vertAlign w:val="subscript"/>
              </w:rPr>
              <w:t>3</w:t>
            </w:r>
          </w:p>
        </w:tc>
        <w:tc>
          <w:tcPr>
            <w:tcW w:w="891" w:type="dxa"/>
            <w:tcBorders>
              <w:top w:val="nil"/>
              <w:left w:val="nil"/>
              <w:bottom w:val="nil"/>
              <w:right w:val="nil"/>
            </w:tcBorders>
            <w:vAlign w:val="center"/>
            <w:hideMark/>
          </w:tcPr>
          <w:p w14:paraId="6E220D4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75.33b</w:t>
            </w:r>
          </w:p>
        </w:tc>
        <w:tc>
          <w:tcPr>
            <w:tcW w:w="833" w:type="dxa"/>
            <w:tcBorders>
              <w:top w:val="nil"/>
              <w:left w:val="nil"/>
              <w:bottom w:val="nil"/>
              <w:right w:val="nil"/>
            </w:tcBorders>
            <w:vAlign w:val="center"/>
            <w:hideMark/>
          </w:tcPr>
          <w:p w14:paraId="2B641AAF"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9.66bc</w:t>
            </w:r>
          </w:p>
        </w:tc>
        <w:tc>
          <w:tcPr>
            <w:tcW w:w="964" w:type="dxa"/>
            <w:tcBorders>
              <w:top w:val="nil"/>
              <w:left w:val="nil"/>
              <w:bottom w:val="nil"/>
              <w:right w:val="nil"/>
            </w:tcBorders>
            <w:vAlign w:val="center"/>
            <w:hideMark/>
          </w:tcPr>
          <w:p w14:paraId="3A6086E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9bc</w:t>
            </w:r>
          </w:p>
        </w:tc>
        <w:tc>
          <w:tcPr>
            <w:tcW w:w="964" w:type="dxa"/>
            <w:tcBorders>
              <w:top w:val="nil"/>
              <w:left w:val="nil"/>
              <w:bottom w:val="nil"/>
              <w:right w:val="nil"/>
            </w:tcBorders>
            <w:vAlign w:val="center"/>
            <w:hideMark/>
          </w:tcPr>
          <w:p w14:paraId="24248298"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1c</w:t>
            </w:r>
          </w:p>
        </w:tc>
        <w:tc>
          <w:tcPr>
            <w:tcW w:w="942" w:type="dxa"/>
            <w:tcBorders>
              <w:top w:val="nil"/>
              <w:left w:val="nil"/>
              <w:bottom w:val="nil"/>
              <w:right w:val="nil"/>
            </w:tcBorders>
            <w:vAlign w:val="center"/>
            <w:hideMark/>
          </w:tcPr>
          <w:p w14:paraId="27B2D4E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93.07d</w:t>
            </w:r>
          </w:p>
        </w:tc>
        <w:tc>
          <w:tcPr>
            <w:tcW w:w="913" w:type="dxa"/>
            <w:tcBorders>
              <w:top w:val="nil"/>
              <w:left w:val="nil"/>
              <w:bottom w:val="nil"/>
              <w:right w:val="nil"/>
            </w:tcBorders>
            <w:vAlign w:val="center"/>
            <w:hideMark/>
          </w:tcPr>
          <w:p w14:paraId="129EEAB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20.76b</w:t>
            </w:r>
          </w:p>
        </w:tc>
        <w:tc>
          <w:tcPr>
            <w:tcW w:w="900" w:type="dxa"/>
            <w:tcBorders>
              <w:top w:val="nil"/>
              <w:left w:val="nil"/>
              <w:bottom w:val="nil"/>
              <w:right w:val="nil"/>
            </w:tcBorders>
            <w:vAlign w:val="center"/>
            <w:hideMark/>
          </w:tcPr>
          <w:p w14:paraId="759FB39D"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20.26bc</w:t>
            </w:r>
          </w:p>
        </w:tc>
        <w:tc>
          <w:tcPr>
            <w:tcW w:w="940" w:type="dxa"/>
            <w:tcBorders>
              <w:top w:val="nil"/>
              <w:left w:val="nil"/>
              <w:bottom w:val="nil"/>
              <w:right w:val="nil"/>
            </w:tcBorders>
            <w:hideMark/>
          </w:tcPr>
          <w:p w14:paraId="0ABA8A4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171.33b</w:t>
            </w:r>
          </w:p>
        </w:tc>
        <w:tc>
          <w:tcPr>
            <w:tcW w:w="860" w:type="dxa"/>
            <w:tcBorders>
              <w:top w:val="nil"/>
              <w:left w:val="nil"/>
              <w:bottom w:val="nil"/>
              <w:right w:val="nil"/>
            </w:tcBorders>
            <w:hideMark/>
          </w:tcPr>
          <w:p w14:paraId="315732D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31.45a</w:t>
            </w:r>
          </w:p>
        </w:tc>
      </w:tr>
      <w:tr w:rsidR="00BC015F" w:rsidRPr="00BC015F" w14:paraId="343A8BA9" w14:textId="77777777" w:rsidTr="007D018D">
        <w:trPr>
          <w:trHeight w:val="58"/>
        </w:trPr>
        <w:tc>
          <w:tcPr>
            <w:tcW w:w="1326" w:type="dxa"/>
            <w:tcBorders>
              <w:top w:val="nil"/>
              <w:left w:val="nil"/>
              <w:bottom w:val="nil"/>
              <w:right w:val="nil"/>
            </w:tcBorders>
            <w:hideMark/>
          </w:tcPr>
          <w:p w14:paraId="10F8E3D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T</w:t>
            </w:r>
            <w:r w:rsidRPr="00BC015F">
              <w:rPr>
                <w:rFonts w:ascii="Arial" w:hAnsi="Arial" w:cs="Arial"/>
                <w:sz w:val="18"/>
                <w:szCs w:val="18"/>
                <w:vertAlign w:val="subscript"/>
              </w:rPr>
              <w:t>4</w:t>
            </w:r>
          </w:p>
        </w:tc>
        <w:tc>
          <w:tcPr>
            <w:tcW w:w="891" w:type="dxa"/>
            <w:tcBorders>
              <w:top w:val="nil"/>
              <w:left w:val="nil"/>
              <w:bottom w:val="nil"/>
              <w:right w:val="nil"/>
            </w:tcBorders>
            <w:vAlign w:val="center"/>
            <w:hideMark/>
          </w:tcPr>
          <w:p w14:paraId="3749036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85.33a</w:t>
            </w:r>
          </w:p>
        </w:tc>
        <w:tc>
          <w:tcPr>
            <w:tcW w:w="833" w:type="dxa"/>
            <w:tcBorders>
              <w:top w:val="nil"/>
              <w:left w:val="nil"/>
              <w:bottom w:val="nil"/>
              <w:right w:val="nil"/>
            </w:tcBorders>
            <w:vAlign w:val="center"/>
            <w:hideMark/>
          </w:tcPr>
          <w:p w14:paraId="0715240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13a</w:t>
            </w:r>
          </w:p>
        </w:tc>
        <w:tc>
          <w:tcPr>
            <w:tcW w:w="964" w:type="dxa"/>
            <w:tcBorders>
              <w:top w:val="nil"/>
              <w:left w:val="nil"/>
              <w:bottom w:val="nil"/>
              <w:right w:val="nil"/>
            </w:tcBorders>
            <w:vAlign w:val="center"/>
            <w:hideMark/>
          </w:tcPr>
          <w:p w14:paraId="5114A3B8"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11.66a</w:t>
            </w:r>
          </w:p>
        </w:tc>
        <w:tc>
          <w:tcPr>
            <w:tcW w:w="964" w:type="dxa"/>
            <w:tcBorders>
              <w:top w:val="nil"/>
              <w:left w:val="nil"/>
              <w:bottom w:val="nil"/>
              <w:right w:val="nil"/>
            </w:tcBorders>
            <w:vAlign w:val="center"/>
            <w:hideMark/>
          </w:tcPr>
          <w:p w14:paraId="1FD9AF0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0.66c</w:t>
            </w:r>
          </w:p>
        </w:tc>
        <w:tc>
          <w:tcPr>
            <w:tcW w:w="942" w:type="dxa"/>
            <w:tcBorders>
              <w:top w:val="nil"/>
              <w:left w:val="nil"/>
              <w:bottom w:val="nil"/>
              <w:right w:val="nil"/>
            </w:tcBorders>
            <w:vAlign w:val="center"/>
            <w:hideMark/>
          </w:tcPr>
          <w:p w14:paraId="7D1B4EB7"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116.53a</w:t>
            </w:r>
          </w:p>
        </w:tc>
        <w:tc>
          <w:tcPr>
            <w:tcW w:w="913" w:type="dxa"/>
            <w:tcBorders>
              <w:top w:val="nil"/>
              <w:left w:val="nil"/>
              <w:bottom w:val="nil"/>
              <w:right w:val="nil"/>
            </w:tcBorders>
            <w:vAlign w:val="center"/>
            <w:hideMark/>
          </w:tcPr>
          <w:p w14:paraId="1BA7B9C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11.43d</w:t>
            </w:r>
          </w:p>
        </w:tc>
        <w:tc>
          <w:tcPr>
            <w:tcW w:w="900" w:type="dxa"/>
            <w:tcBorders>
              <w:top w:val="nil"/>
              <w:left w:val="nil"/>
              <w:bottom w:val="nil"/>
              <w:right w:val="nil"/>
            </w:tcBorders>
            <w:vAlign w:val="center"/>
            <w:hideMark/>
          </w:tcPr>
          <w:p w14:paraId="0C8E74A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22.9a</w:t>
            </w:r>
          </w:p>
        </w:tc>
        <w:tc>
          <w:tcPr>
            <w:tcW w:w="940" w:type="dxa"/>
            <w:tcBorders>
              <w:top w:val="nil"/>
              <w:left w:val="nil"/>
              <w:bottom w:val="nil"/>
              <w:right w:val="nil"/>
            </w:tcBorders>
            <w:hideMark/>
          </w:tcPr>
          <w:p w14:paraId="501D6249"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198.33a</w:t>
            </w:r>
          </w:p>
        </w:tc>
        <w:tc>
          <w:tcPr>
            <w:tcW w:w="860" w:type="dxa"/>
            <w:tcBorders>
              <w:top w:val="nil"/>
              <w:left w:val="nil"/>
              <w:bottom w:val="nil"/>
              <w:right w:val="nil"/>
            </w:tcBorders>
            <w:hideMark/>
          </w:tcPr>
          <w:p w14:paraId="125078E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33.96a</w:t>
            </w:r>
          </w:p>
        </w:tc>
      </w:tr>
      <w:tr w:rsidR="00BC015F" w:rsidRPr="00BC015F" w14:paraId="433EB852" w14:textId="77777777" w:rsidTr="007D018D">
        <w:trPr>
          <w:trHeight w:val="58"/>
        </w:trPr>
        <w:tc>
          <w:tcPr>
            <w:tcW w:w="1326" w:type="dxa"/>
            <w:tcBorders>
              <w:top w:val="nil"/>
              <w:left w:val="nil"/>
              <w:bottom w:val="nil"/>
              <w:right w:val="nil"/>
            </w:tcBorders>
            <w:hideMark/>
          </w:tcPr>
          <w:p w14:paraId="450C9B2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T</w:t>
            </w:r>
            <w:r w:rsidRPr="00BC015F">
              <w:rPr>
                <w:rFonts w:ascii="Arial" w:hAnsi="Arial" w:cs="Arial"/>
                <w:sz w:val="18"/>
                <w:szCs w:val="18"/>
                <w:vertAlign w:val="subscript"/>
              </w:rPr>
              <w:t>5</w:t>
            </w:r>
          </w:p>
        </w:tc>
        <w:tc>
          <w:tcPr>
            <w:tcW w:w="891" w:type="dxa"/>
            <w:tcBorders>
              <w:top w:val="nil"/>
              <w:left w:val="nil"/>
              <w:bottom w:val="nil"/>
              <w:right w:val="nil"/>
            </w:tcBorders>
            <w:vAlign w:val="center"/>
            <w:hideMark/>
          </w:tcPr>
          <w:p w14:paraId="0FA8E8F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73bc</w:t>
            </w:r>
          </w:p>
        </w:tc>
        <w:tc>
          <w:tcPr>
            <w:tcW w:w="833" w:type="dxa"/>
            <w:tcBorders>
              <w:top w:val="nil"/>
              <w:left w:val="nil"/>
              <w:bottom w:val="nil"/>
              <w:right w:val="nil"/>
            </w:tcBorders>
            <w:vAlign w:val="center"/>
            <w:hideMark/>
          </w:tcPr>
          <w:p w14:paraId="5DFDC4E9"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11b</w:t>
            </w:r>
          </w:p>
        </w:tc>
        <w:tc>
          <w:tcPr>
            <w:tcW w:w="964" w:type="dxa"/>
            <w:tcBorders>
              <w:top w:val="nil"/>
              <w:left w:val="nil"/>
              <w:bottom w:val="nil"/>
              <w:right w:val="nil"/>
            </w:tcBorders>
            <w:vAlign w:val="center"/>
            <w:hideMark/>
          </w:tcPr>
          <w:p w14:paraId="6B780A8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10.33ab</w:t>
            </w:r>
          </w:p>
        </w:tc>
        <w:tc>
          <w:tcPr>
            <w:tcW w:w="964" w:type="dxa"/>
            <w:tcBorders>
              <w:top w:val="nil"/>
              <w:left w:val="nil"/>
              <w:bottom w:val="nil"/>
              <w:right w:val="nil"/>
            </w:tcBorders>
            <w:vAlign w:val="center"/>
            <w:hideMark/>
          </w:tcPr>
          <w:p w14:paraId="77393F8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1.33c</w:t>
            </w:r>
          </w:p>
        </w:tc>
        <w:tc>
          <w:tcPr>
            <w:tcW w:w="942" w:type="dxa"/>
            <w:tcBorders>
              <w:top w:val="nil"/>
              <w:left w:val="nil"/>
              <w:bottom w:val="nil"/>
              <w:right w:val="nil"/>
            </w:tcBorders>
            <w:vAlign w:val="center"/>
            <w:hideMark/>
          </w:tcPr>
          <w:p w14:paraId="6A47E1F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110b</w:t>
            </w:r>
          </w:p>
        </w:tc>
        <w:tc>
          <w:tcPr>
            <w:tcW w:w="913" w:type="dxa"/>
            <w:tcBorders>
              <w:top w:val="nil"/>
              <w:left w:val="nil"/>
              <w:bottom w:val="nil"/>
              <w:right w:val="nil"/>
            </w:tcBorders>
            <w:vAlign w:val="center"/>
            <w:hideMark/>
          </w:tcPr>
          <w:p w14:paraId="62B456D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17.20c</w:t>
            </w:r>
          </w:p>
        </w:tc>
        <w:tc>
          <w:tcPr>
            <w:tcW w:w="900" w:type="dxa"/>
            <w:tcBorders>
              <w:top w:val="nil"/>
              <w:left w:val="nil"/>
              <w:bottom w:val="nil"/>
              <w:right w:val="nil"/>
            </w:tcBorders>
            <w:vAlign w:val="center"/>
            <w:hideMark/>
          </w:tcPr>
          <w:p w14:paraId="3B74199F"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21.2b</w:t>
            </w:r>
          </w:p>
        </w:tc>
        <w:tc>
          <w:tcPr>
            <w:tcW w:w="940" w:type="dxa"/>
            <w:tcBorders>
              <w:top w:val="nil"/>
              <w:left w:val="nil"/>
              <w:bottom w:val="nil"/>
              <w:right w:val="nil"/>
            </w:tcBorders>
            <w:hideMark/>
          </w:tcPr>
          <w:p w14:paraId="7007C658"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197.33a</w:t>
            </w:r>
          </w:p>
        </w:tc>
        <w:tc>
          <w:tcPr>
            <w:tcW w:w="860" w:type="dxa"/>
            <w:tcBorders>
              <w:top w:val="nil"/>
              <w:left w:val="nil"/>
              <w:bottom w:val="nil"/>
              <w:right w:val="nil"/>
            </w:tcBorders>
            <w:hideMark/>
          </w:tcPr>
          <w:p w14:paraId="7551192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32.44a</w:t>
            </w:r>
          </w:p>
        </w:tc>
      </w:tr>
      <w:tr w:rsidR="00BC015F" w:rsidRPr="00BC015F" w14:paraId="2CD6B376" w14:textId="77777777" w:rsidTr="007D018D">
        <w:trPr>
          <w:trHeight w:val="58"/>
        </w:trPr>
        <w:tc>
          <w:tcPr>
            <w:tcW w:w="1326" w:type="dxa"/>
            <w:tcBorders>
              <w:top w:val="nil"/>
              <w:left w:val="nil"/>
              <w:bottom w:val="nil"/>
              <w:right w:val="nil"/>
            </w:tcBorders>
            <w:hideMark/>
          </w:tcPr>
          <w:p w14:paraId="583202D2" w14:textId="77777777" w:rsidR="00BC015F" w:rsidRPr="00BC015F" w:rsidRDefault="00BC015F" w:rsidP="00BC015F">
            <w:pPr>
              <w:jc w:val="both"/>
              <w:rPr>
                <w:rFonts w:ascii="Arial" w:hAnsi="Arial" w:cs="Arial"/>
                <w:sz w:val="18"/>
                <w:szCs w:val="18"/>
                <w:vertAlign w:val="subscript"/>
              </w:rPr>
            </w:pPr>
            <w:r w:rsidRPr="00BC015F">
              <w:rPr>
                <w:rFonts w:ascii="Arial" w:hAnsi="Arial" w:cs="Arial"/>
                <w:sz w:val="18"/>
                <w:szCs w:val="18"/>
              </w:rPr>
              <w:t>T</w:t>
            </w:r>
            <w:r w:rsidRPr="00BC015F">
              <w:rPr>
                <w:rFonts w:ascii="Arial" w:hAnsi="Arial" w:cs="Arial"/>
                <w:sz w:val="18"/>
                <w:szCs w:val="18"/>
                <w:vertAlign w:val="subscript"/>
              </w:rPr>
              <w:t>6</w:t>
            </w:r>
          </w:p>
        </w:tc>
        <w:tc>
          <w:tcPr>
            <w:tcW w:w="891" w:type="dxa"/>
            <w:tcBorders>
              <w:top w:val="nil"/>
              <w:left w:val="nil"/>
              <w:bottom w:val="nil"/>
              <w:right w:val="nil"/>
            </w:tcBorders>
            <w:vAlign w:val="center"/>
            <w:hideMark/>
          </w:tcPr>
          <w:p w14:paraId="11A314BF"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70bcd</w:t>
            </w:r>
          </w:p>
        </w:tc>
        <w:tc>
          <w:tcPr>
            <w:tcW w:w="833" w:type="dxa"/>
            <w:tcBorders>
              <w:top w:val="nil"/>
              <w:left w:val="nil"/>
              <w:bottom w:val="nil"/>
              <w:right w:val="nil"/>
            </w:tcBorders>
            <w:vAlign w:val="center"/>
            <w:hideMark/>
          </w:tcPr>
          <w:p w14:paraId="385FB0C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10bc</w:t>
            </w:r>
          </w:p>
        </w:tc>
        <w:tc>
          <w:tcPr>
            <w:tcW w:w="964" w:type="dxa"/>
            <w:tcBorders>
              <w:top w:val="nil"/>
              <w:left w:val="nil"/>
              <w:bottom w:val="nil"/>
              <w:right w:val="nil"/>
            </w:tcBorders>
            <w:vAlign w:val="center"/>
            <w:hideMark/>
          </w:tcPr>
          <w:p w14:paraId="4A0E013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7.33cd</w:t>
            </w:r>
          </w:p>
        </w:tc>
        <w:tc>
          <w:tcPr>
            <w:tcW w:w="964" w:type="dxa"/>
            <w:tcBorders>
              <w:top w:val="nil"/>
              <w:left w:val="nil"/>
              <w:bottom w:val="nil"/>
              <w:right w:val="nil"/>
            </w:tcBorders>
            <w:vAlign w:val="center"/>
            <w:hideMark/>
          </w:tcPr>
          <w:p w14:paraId="16514791"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2.66b</w:t>
            </w:r>
          </w:p>
        </w:tc>
        <w:tc>
          <w:tcPr>
            <w:tcW w:w="942" w:type="dxa"/>
            <w:tcBorders>
              <w:top w:val="nil"/>
              <w:left w:val="nil"/>
              <w:bottom w:val="nil"/>
              <w:right w:val="nil"/>
            </w:tcBorders>
            <w:vAlign w:val="center"/>
            <w:hideMark/>
          </w:tcPr>
          <w:p w14:paraId="47333C13"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107.73b</w:t>
            </w:r>
          </w:p>
        </w:tc>
        <w:tc>
          <w:tcPr>
            <w:tcW w:w="913" w:type="dxa"/>
            <w:tcBorders>
              <w:top w:val="nil"/>
              <w:left w:val="nil"/>
              <w:bottom w:val="nil"/>
              <w:right w:val="nil"/>
            </w:tcBorders>
            <w:vAlign w:val="center"/>
            <w:hideMark/>
          </w:tcPr>
          <w:p w14:paraId="139479CD"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13.50d</w:t>
            </w:r>
          </w:p>
        </w:tc>
        <w:tc>
          <w:tcPr>
            <w:tcW w:w="900" w:type="dxa"/>
            <w:tcBorders>
              <w:top w:val="nil"/>
              <w:left w:val="nil"/>
              <w:bottom w:val="nil"/>
              <w:right w:val="nil"/>
            </w:tcBorders>
            <w:vAlign w:val="center"/>
            <w:hideMark/>
          </w:tcPr>
          <w:p w14:paraId="4211593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20.33bc</w:t>
            </w:r>
          </w:p>
        </w:tc>
        <w:tc>
          <w:tcPr>
            <w:tcW w:w="940" w:type="dxa"/>
            <w:tcBorders>
              <w:top w:val="nil"/>
              <w:left w:val="nil"/>
              <w:bottom w:val="nil"/>
              <w:right w:val="nil"/>
            </w:tcBorders>
            <w:hideMark/>
          </w:tcPr>
          <w:p w14:paraId="2E99094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189.67a</w:t>
            </w:r>
          </w:p>
        </w:tc>
        <w:tc>
          <w:tcPr>
            <w:tcW w:w="860" w:type="dxa"/>
            <w:tcBorders>
              <w:top w:val="nil"/>
              <w:left w:val="nil"/>
              <w:bottom w:val="nil"/>
              <w:right w:val="nil"/>
            </w:tcBorders>
            <w:hideMark/>
          </w:tcPr>
          <w:p w14:paraId="400577EE"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25.83b</w:t>
            </w:r>
          </w:p>
        </w:tc>
      </w:tr>
      <w:tr w:rsidR="00BC015F" w:rsidRPr="00BC015F" w14:paraId="42BA5B80" w14:textId="77777777" w:rsidTr="007D018D">
        <w:trPr>
          <w:trHeight w:val="58"/>
        </w:trPr>
        <w:tc>
          <w:tcPr>
            <w:tcW w:w="1326" w:type="dxa"/>
            <w:tcBorders>
              <w:top w:val="nil"/>
              <w:left w:val="nil"/>
              <w:bottom w:val="nil"/>
              <w:right w:val="nil"/>
            </w:tcBorders>
            <w:hideMark/>
          </w:tcPr>
          <w:p w14:paraId="43AF9314" w14:textId="77777777" w:rsidR="00BC015F" w:rsidRPr="00BC015F" w:rsidRDefault="00BC015F" w:rsidP="00BC015F">
            <w:pPr>
              <w:jc w:val="both"/>
              <w:rPr>
                <w:rFonts w:ascii="Arial" w:hAnsi="Arial" w:cs="Arial"/>
                <w:sz w:val="18"/>
                <w:szCs w:val="18"/>
                <w:vertAlign w:val="subscript"/>
              </w:rPr>
            </w:pPr>
            <w:r w:rsidRPr="00BC015F">
              <w:rPr>
                <w:rFonts w:ascii="Arial" w:hAnsi="Arial" w:cs="Arial"/>
                <w:sz w:val="18"/>
                <w:szCs w:val="18"/>
              </w:rPr>
              <w:t>T</w:t>
            </w:r>
            <w:r w:rsidRPr="00BC015F">
              <w:rPr>
                <w:rFonts w:ascii="Arial" w:hAnsi="Arial" w:cs="Arial"/>
                <w:sz w:val="18"/>
                <w:szCs w:val="18"/>
                <w:vertAlign w:val="subscript"/>
              </w:rPr>
              <w:t>7</w:t>
            </w:r>
          </w:p>
        </w:tc>
        <w:tc>
          <w:tcPr>
            <w:tcW w:w="891" w:type="dxa"/>
            <w:tcBorders>
              <w:top w:val="nil"/>
              <w:left w:val="nil"/>
              <w:bottom w:val="nil"/>
              <w:right w:val="nil"/>
            </w:tcBorders>
            <w:vAlign w:val="center"/>
            <w:hideMark/>
          </w:tcPr>
          <w:p w14:paraId="41AA3E9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65.66d</w:t>
            </w:r>
          </w:p>
        </w:tc>
        <w:tc>
          <w:tcPr>
            <w:tcW w:w="833" w:type="dxa"/>
            <w:tcBorders>
              <w:top w:val="nil"/>
              <w:left w:val="nil"/>
              <w:bottom w:val="nil"/>
              <w:right w:val="nil"/>
            </w:tcBorders>
            <w:vAlign w:val="center"/>
            <w:hideMark/>
          </w:tcPr>
          <w:p w14:paraId="3B30A011"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11b</w:t>
            </w:r>
          </w:p>
        </w:tc>
        <w:tc>
          <w:tcPr>
            <w:tcW w:w="964" w:type="dxa"/>
            <w:tcBorders>
              <w:top w:val="nil"/>
              <w:left w:val="nil"/>
              <w:bottom w:val="nil"/>
              <w:right w:val="nil"/>
            </w:tcBorders>
            <w:vAlign w:val="center"/>
            <w:hideMark/>
          </w:tcPr>
          <w:p w14:paraId="53798B42"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7.33cd</w:t>
            </w:r>
          </w:p>
        </w:tc>
        <w:tc>
          <w:tcPr>
            <w:tcW w:w="964" w:type="dxa"/>
            <w:tcBorders>
              <w:top w:val="nil"/>
              <w:left w:val="nil"/>
              <w:bottom w:val="nil"/>
              <w:right w:val="nil"/>
            </w:tcBorders>
            <w:vAlign w:val="center"/>
            <w:hideMark/>
          </w:tcPr>
          <w:p w14:paraId="78E05012"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3.66ab</w:t>
            </w:r>
          </w:p>
        </w:tc>
        <w:tc>
          <w:tcPr>
            <w:tcW w:w="942" w:type="dxa"/>
            <w:tcBorders>
              <w:top w:val="nil"/>
              <w:left w:val="nil"/>
              <w:bottom w:val="nil"/>
              <w:right w:val="nil"/>
            </w:tcBorders>
            <w:vAlign w:val="center"/>
            <w:hideMark/>
          </w:tcPr>
          <w:p w14:paraId="506CAE5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85.73e</w:t>
            </w:r>
          </w:p>
        </w:tc>
        <w:tc>
          <w:tcPr>
            <w:tcW w:w="913" w:type="dxa"/>
            <w:tcBorders>
              <w:top w:val="nil"/>
              <w:left w:val="nil"/>
              <w:bottom w:val="nil"/>
              <w:right w:val="nil"/>
            </w:tcBorders>
            <w:vAlign w:val="center"/>
            <w:hideMark/>
          </w:tcPr>
          <w:p w14:paraId="7469E7F2"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17.66c</w:t>
            </w:r>
          </w:p>
        </w:tc>
        <w:tc>
          <w:tcPr>
            <w:tcW w:w="900" w:type="dxa"/>
            <w:tcBorders>
              <w:top w:val="nil"/>
              <w:left w:val="nil"/>
              <w:bottom w:val="nil"/>
              <w:right w:val="nil"/>
            </w:tcBorders>
            <w:vAlign w:val="center"/>
            <w:hideMark/>
          </w:tcPr>
          <w:p w14:paraId="1DF417A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20.73bc</w:t>
            </w:r>
          </w:p>
        </w:tc>
        <w:tc>
          <w:tcPr>
            <w:tcW w:w="940" w:type="dxa"/>
            <w:tcBorders>
              <w:top w:val="nil"/>
              <w:left w:val="nil"/>
              <w:bottom w:val="nil"/>
              <w:right w:val="nil"/>
            </w:tcBorders>
            <w:hideMark/>
          </w:tcPr>
          <w:p w14:paraId="383CAC33"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189a</w:t>
            </w:r>
          </w:p>
        </w:tc>
        <w:tc>
          <w:tcPr>
            <w:tcW w:w="860" w:type="dxa"/>
            <w:tcBorders>
              <w:top w:val="nil"/>
              <w:left w:val="nil"/>
              <w:bottom w:val="nil"/>
              <w:right w:val="nil"/>
            </w:tcBorders>
            <w:hideMark/>
          </w:tcPr>
          <w:p w14:paraId="0AA6F96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21.34c</w:t>
            </w:r>
          </w:p>
        </w:tc>
      </w:tr>
      <w:tr w:rsidR="00BC015F" w:rsidRPr="00BC015F" w14:paraId="54F5A053" w14:textId="77777777" w:rsidTr="007D018D">
        <w:trPr>
          <w:trHeight w:val="196"/>
        </w:trPr>
        <w:tc>
          <w:tcPr>
            <w:tcW w:w="1326" w:type="dxa"/>
            <w:tcBorders>
              <w:top w:val="nil"/>
              <w:left w:val="nil"/>
              <w:bottom w:val="single" w:sz="12" w:space="0" w:color="auto"/>
              <w:right w:val="nil"/>
            </w:tcBorders>
            <w:hideMark/>
          </w:tcPr>
          <w:p w14:paraId="0255261B" w14:textId="77777777" w:rsidR="00BC015F" w:rsidRPr="00BC015F" w:rsidRDefault="00BC015F" w:rsidP="00BC015F">
            <w:pPr>
              <w:jc w:val="both"/>
              <w:rPr>
                <w:rFonts w:ascii="Arial" w:hAnsi="Arial" w:cs="Arial"/>
                <w:sz w:val="18"/>
                <w:szCs w:val="18"/>
                <w:vertAlign w:val="subscript"/>
              </w:rPr>
            </w:pPr>
            <w:r w:rsidRPr="00BC015F">
              <w:rPr>
                <w:rFonts w:ascii="Arial" w:hAnsi="Arial" w:cs="Arial"/>
                <w:sz w:val="18"/>
                <w:szCs w:val="18"/>
              </w:rPr>
              <w:t>T</w:t>
            </w:r>
            <w:r w:rsidRPr="00BC015F">
              <w:rPr>
                <w:rFonts w:ascii="Arial" w:hAnsi="Arial" w:cs="Arial"/>
                <w:sz w:val="18"/>
                <w:szCs w:val="18"/>
                <w:vertAlign w:val="subscript"/>
              </w:rPr>
              <w:t>8</w:t>
            </w:r>
          </w:p>
        </w:tc>
        <w:tc>
          <w:tcPr>
            <w:tcW w:w="891" w:type="dxa"/>
            <w:tcBorders>
              <w:top w:val="nil"/>
              <w:left w:val="nil"/>
              <w:bottom w:val="single" w:sz="12" w:space="0" w:color="auto"/>
              <w:right w:val="nil"/>
            </w:tcBorders>
            <w:vAlign w:val="center"/>
            <w:hideMark/>
          </w:tcPr>
          <w:p w14:paraId="17A37CCE"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68.66cd</w:t>
            </w:r>
          </w:p>
        </w:tc>
        <w:tc>
          <w:tcPr>
            <w:tcW w:w="833" w:type="dxa"/>
            <w:tcBorders>
              <w:top w:val="nil"/>
              <w:left w:val="nil"/>
              <w:bottom w:val="single" w:sz="12" w:space="0" w:color="auto"/>
              <w:right w:val="nil"/>
            </w:tcBorders>
            <w:vAlign w:val="center"/>
            <w:hideMark/>
          </w:tcPr>
          <w:p w14:paraId="75F797A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10.66bc</w:t>
            </w:r>
          </w:p>
        </w:tc>
        <w:tc>
          <w:tcPr>
            <w:tcW w:w="964" w:type="dxa"/>
            <w:tcBorders>
              <w:top w:val="nil"/>
              <w:left w:val="nil"/>
              <w:bottom w:val="single" w:sz="12" w:space="0" w:color="auto"/>
              <w:right w:val="nil"/>
            </w:tcBorders>
            <w:vAlign w:val="center"/>
            <w:hideMark/>
          </w:tcPr>
          <w:p w14:paraId="3681774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6.33d</w:t>
            </w:r>
          </w:p>
        </w:tc>
        <w:tc>
          <w:tcPr>
            <w:tcW w:w="964" w:type="dxa"/>
            <w:tcBorders>
              <w:top w:val="nil"/>
              <w:left w:val="nil"/>
              <w:bottom w:val="single" w:sz="12" w:space="0" w:color="auto"/>
              <w:right w:val="nil"/>
            </w:tcBorders>
            <w:vAlign w:val="center"/>
            <w:hideMark/>
          </w:tcPr>
          <w:p w14:paraId="1FC891B7"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4.33a</w:t>
            </w:r>
          </w:p>
        </w:tc>
        <w:tc>
          <w:tcPr>
            <w:tcW w:w="942" w:type="dxa"/>
            <w:tcBorders>
              <w:top w:val="nil"/>
              <w:left w:val="nil"/>
              <w:bottom w:val="single" w:sz="12" w:space="0" w:color="auto"/>
              <w:right w:val="nil"/>
            </w:tcBorders>
            <w:vAlign w:val="center"/>
            <w:hideMark/>
          </w:tcPr>
          <w:p w14:paraId="6C8AED8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90.43d</w:t>
            </w:r>
          </w:p>
        </w:tc>
        <w:tc>
          <w:tcPr>
            <w:tcW w:w="913" w:type="dxa"/>
            <w:tcBorders>
              <w:top w:val="nil"/>
              <w:left w:val="nil"/>
              <w:bottom w:val="single" w:sz="12" w:space="0" w:color="auto"/>
              <w:right w:val="nil"/>
            </w:tcBorders>
            <w:vAlign w:val="center"/>
            <w:hideMark/>
          </w:tcPr>
          <w:p w14:paraId="28C80C6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24.2a</w:t>
            </w:r>
          </w:p>
        </w:tc>
        <w:tc>
          <w:tcPr>
            <w:tcW w:w="900" w:type="dxa"/>
            <w:tcBorders>
              <w:top w:val="nil"/>
              <w:left w:val="nil"/>
              <w:bottom w:val="single" w:sz="12" w:space="0" w:color="auto"/>
              <w:right w:val="nil"/>
            </w:tcBorders>
            <w:vAlign w:val="center"/>
            <w:hideMark/>
          </w:tcPr>
          <w:p w14:paraId="1D9148C1"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19.66c</w:t>
            </w:r>
          </w:p>
        </w:tc>
        <w:tc>
          <w:tcPr>
            <w:tcW w:w="940" w:type="dxa"/>
            <w:tcBorders>
              <w:top w:val="nil"/>
              <w:left w:val="nil"/>
              <w:bottom w:val="single" w:sz="12" w:space="0" w:color="auto"/>
              <w:right w:val="nil"/>
            </w:tcBorders>
            <w:hideMark/>
          </w:tcPr>
          <w:p w14:paraId="69A0CC7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189a</w:t>
            </w:r>
          </w:p>
        </w:tc>
        <w:tc>
          <w:tcPr>
            <w:tcW w:w="860" w:type="dxa"/>
            <w:tcBorders>
              <w:top w:val="nil"/>
              <w:left w:val="nil"/>
              <w:bottom w:val="single" w:sz="12" w:space="0" w:color="auto"/>
              <w:right w:val="nil"/>
            </w:tcBorders>
            <w:hideMark/>
          </w:tcPr>
          <w:p w14:paraId="58D0951F"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17.42d</w:t>
            </w:r>
          </w:p>
        </w:tc>
      </w:tr>
      <w:tr w:rsidR="00BC015F" w:rsidRPr="00BC015F" w14:paraId="6C87F90F" w14:textId="77777777" w:rsidTr="007D018D">
        <w:trPr>
          <w:trHeight w:val="28"/>
        </w:trPr>
        <w:tc>
          <w:tcPr>
            <w:tcW w:w="1326" w:type="dxa"/>
            <w:tcBorders>
              <w:top w:val="single" w:sz="12" w:space="0" w:color="auto"/>
              <w:left w:val="nil"/>
              <w:bottom w:val="single" w:sz="12" w:space="0" w:color="auto"/>
              <w:right w:val="nil"/>
            </w:tcBorders>
            <w:hideMark/>
          </w:tcPr>
          <w:p w14:paraId="6E1476B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SE</w:t>
            </w:r>
          </w:p>
        </w:tc>
        <w:tc>
          <w:tcPr>
            <w:tcW w:w="891" w:type="dxa"/>
            <w:tcBorders>
              <w:top w:val="single" w:sz="12" w:space="0" w:color="auto"/>
              <w:left w:val="nil"/>
              <w:bottom w:val="single" w:sz="12" w:space="0" w:color="auto"/>
              <w:right w:val="nil"/>
            </w:tcBorders>
            <w:vAlign w:val="center"/>
            <w:hideMark/>
          </w:tcPr>
          <w:p w14:paraId="221BB0F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1.7</w:t>
            </w:r>
          </w:p>
        </w:tc>
        <w:tc>
          <w:tcPr>
            <w:tcW w:w="833" w:type="dxa"/>
            <w:tcBorders>
              <w:top w:val="single" w:sz="12" w:space="0" w:color="auto"/>
              <w:left w:val="nil"/>
              <w:bottom w:val="single" w:sz="12" w:space="0" w:color="auto"/>
              <w:right w:val="nil"/>
            </w:tcBorders>
            <w:vAlign w:val="center"/>
            <w:hideMark/>
          </w:tcPr>
          <w:p w14:paraId="1B609CB8"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0.66</w:t>
            </w:r>
          </w:p>
        </w:tc>
        <w:tc>
          <w:tcPr>
            <w:tcW w:w="964" w:type="dxa"/>
            <w:tcBorders>
              <w:top w:val="single" w:sz="12" w:space="0" w:color="auto"/>
              <w:left w:val="nil"/>
              <w:bottom w:val="single" w:sz="12" w:space="0" w:color="auto"/>
              <w:right w:val="nil"/>
            </w:tcBorders>
            <w:vAlign w:val="center"/>
            <w:hideMark/>
          </w:tcPr>
          <w:p w14:paraId="64690008"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0.68</w:t>
            </w:r>
          </w:p>
        </w:tc>
        <w:tc>
          <w:tcPr>
            <w:tcW w:w="964" w:type="dxa"/>
            <w:tcBorders>
              <w:top w:val="single" w:sz="12" w:space="0" w:color="auto"/>
              <w:left w:val="nil"/>
              <w:bottom w:val="single" w:sz="12" w:space="0" w:color="auto"/>
              <w:right w:val="nil"/>
            </w:tcBorders>
            <w:vAlign w:val="center"/>
            <w:hideMark/>
          </w:tcPr>
          <w:p w14:paraId="2B330DC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0.37</w:t>
            </w:r>
          </w:p>
        </w:tc>
        <w:tc>
          <w:tcPr>
            <w:tcW w:w="942" w:type="dxa"/>
            <w:tcBorders>
              <w:top w:val="single" w:sz="12" w:space="0" w:color="auto"/>
              <w:left w:val="nil"/>
              <w:bottom w:val="single" w:sz="12" w:space="0" w:color="auto"/>
              <w:right w:val="nil"/>
            </w:tcBorders>
            <w:vAlign w:val="center"/>
            <w:hideMark/>
          </w:tcPr>
          <w:p w14:paraId="60A50B3F"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1.30</w:t>
            </w:r>
          </w:p>
        </w:tc>
        <w:tc>
          <w:tcPr>
            <w:tcW w:w="913" w:type="dxa"/>
            <w:tcBorders>
              <w:top w:val="single" w:sz="12" w:space="0" w:color="auto"/>
              <w:left w:val="nil"/>
              <w:bottom w:val="single" w:sz="12" w:space="0" w:color="auto"/>
              <w:right w:val="nil"/>
            </w:tcBorders>
            <w:vAlign w:val="center"/>
            <w:hideMark/>
          </w:tcPr>
          <w:p w14:paraId="36AD5C4F"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0.90</w:t>
            </w:r>
          </w:p>
        </w:tc>
        <w:tc>
          <w:tcPr>
            <w:tcW w:w="900" w:type="dxa"/>
            <w:tcBorders>
              <w:top w:val="single" w:sz="12" w:space="0" w:color="auto"/>
              <w:left w:val="nil"/>
              <w:bottom w:val="single" w:sz="12" w:space="0" w:color="auto"/>
              <w:right w:val="nil"/>
            </w:tcBorders>
            <w:vAlign w:val="center"/>
            <w:hideMark/>
          </w:tcPr>
          <w:p w14:paraId="33BB162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0.41</w:t>
            </w:r>
          </w:p>
        </w:tc>
        <w:tc>
          <w:tcPr>
            <w:tcW w:w="940" w:type="dxa"/>
            <w:tcBorders>
              <w:top w:val="single" w:sz="12" w:space="0" w:color="auto"/>
              <w:left w:val="nil"/>
              <w:bottom w:val="single" w:sz="12" w:space="0" w:color="auto"/>
              <w:right w:val="nil"/>
            </w:tcBorders>
            <w:hideMark/>
          </w:tcPr>
          <w:p w14:paraId="2B4E56CD"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1.7</w:t>
            </w:r>
          </w:p>
        </w:tc>
        <w:tc>
          <w:tcPr>
            <w:tcW w:w="860" w:type="dxa"/>
            <w:tcBorders>
              <w:top w:val="single" w:sz="12" w:space="0" w:color="auto"/>
              <w:left w:val="nil"/>
              <w:bottom w:val="single" w:sz="12" w:space="0" w:color="auto"/>
              <w:right w:val="nil"/>
            </w:tcBorders>
            <w:hideMark/>
          </w:tcPr>
          <w:p w14:paraId="7764AE8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0.97</w:t>
            </w:r>
          </w:p>
        </w:tc>
      </w:tr>
      <w:tr w:rsidR="00BC015F" w:rsidRPr="00BC015F" w14:paraId="15C54A48" w14:textId="77777777" w:rsidTr="007D018D">
        <w:trPr>
          <w:trHeight w:val="28"/>
        </w:trPr>
        <w:tc>
          <w:tcPr>
            <w:tcW w:w="1326" w:type="dxa"/>
            <w:tcBorders>
              <w:top w:val="single" w:sz="12" w:space="0" w:color="auto"/>
              <w:left w:val="nil"/>
              <w:bottom w:val="single" w:sz="12" w:space="0" w:color="auto"/>
              <w:right w:val="nil"/>
            </w:tcBorders>
            <w:hideMark/>
          </w:tcPr>
          <w:p w14:paraId="376A9F13"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Level of significance</w:t>
            </w:r>
          </w:p>
        </w:tc>
        <w:tc>
          <w:tcPr>
            <w:tcW w:w="891" w:type="dxa"/>
            <w:tcBorders>
              <w:top w:val="single" w:sz="12" w:space="0" w:color="auto"/>
              <w:left w:val="nil"/>
              <w:bottom w:val="single" w:sz="12" w:space="0" w:color="auto"/>
              <w:right w:val="nil"/>
            </w:tcBorders>
            <w:vAlign w:val="center"/>
            <w:hideMark/>
          </w:tcPr>
          <w:p w14:paraId="106561AA"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833" w:type="dxa"/>
            <w:tcBorders>
              <w:top w:val="single" w:sz="12" w:space="0" w:color="auto"/>
              <w:left w:val="nil"/>
              <w:bottom w:val="single" w:sz="12" w:space="0" w:color="auto"/>
              <w:right w:val="nil"/>
            </w:tcBorders>
            <w:vAlign w:val="center"/>
            <w:hideMark/>
          </w:tcPr>
          <w:p w14:paraId="1C606E5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964" w:type="dxa"/>
            <w:tcBorders>
              <w:top w:val="single" w:sz="12" w:space="0" w:color="auto"/>
              <w:left w:val="nil"/>
              <w:bottom w:val="single" w:sz="12" w:space="0" w:color="auto"/>
              <w:right w:val="nil"/>
            </w:tcBorders>
            <w:vAlign w:val="center"/>
            <w:hideMark/>
          </w:tcPr>
          <w:p w14:paraId="3A766A5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964" w:type="dxa"/>
            <w:tcBorders>
              <w:top w:val="single" w:sz="12" w:space="0" w:color="auto"/>
              <w:left w:val="nil"/>
              <w:bottom w:val="single" w:sz="12" w:space="0" w:color="auto"/>
              <w:right w:val="nil"/>
            </w:tcBorders>
            <w:vAlign w:val="center"/>
            <w:hideMark/>
          </w:tcPr>
          <w:p w14:paraId="6BDB01F8"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942" w:type="dxa"/>
            <w:tcBorders>
              <w:top w:val="single" w:sz="12" w:space="0" w:color="auto"/>
              <w:left w:val="nil"/>
              <w:bottom w:val="single" w:sz="12" w:space="0" w:color="auto"/>
              <w:right w:val="nil"/>
            </w:tcBorders>
            <w:vAlign w:val="center"/>
            <w:hideMark/>
          </w:tcPr>
          <w:p w14:paraId="4BE769E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913" w:type="dxa"/>
            <w:tcBorders>
              <w:top w:val="single" w:sz="12" w:space="0" w:color="auto"/>
              <w:left w:val="nil"/>
              <w:bottom w:val="single" w:sz="12" w:space="0" w:color="auto"/>
              <w:right w:val="nil"/>
            </w:tcBorders>
            <w:vAlign w:val="center"/>
            <w:hideMark/>
          </w:tcPr>
          <w:p w14:paraId="07D7730E"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900" w:type="dxa"/>
            <w:tcBorders>
              <w:top w:val="single" w:sz="12" w:space="0" w:color="auto"/>
              <w:left w:val="nil"/>
              <w:bottom w:val="single" w:sz="12" w:space="0" w:color="auto"/>
              <w:right w:val="nil"/>
            </w:tcBorders>
            <w:vAlign w:val="center"/>
            <w:hideMark/>
          </w:tcPr>
          <w:p w14:paraId="6F659E46"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940" w:type="dxa"/>
            <w:tcBorders>
              <w:top w:val="single" w:sz="12" w:space="0" w:color="auto"/>
              <w:left w:val="nil"/>
              <w:bottom w:val="single" w:sz="12" w:space="0" w:color="auto"/>
              <w:right w:val="nil"/>
            </w:tcBorders>
            <w:hideMark/>
          </w:tcPr>
          <w:p w14:paraId="2875DA7E"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c>
          <w:tcPr>
            <w:tcW w:w="860" w:type="dxa"/>
            <w:tcBorders>
              <w:top w:val="single" w:sz="12" w:space="0" w:color="auto"/>
              <w:left w:val="nil"/>
              <w:bottom w:val="single" w:sz="12" w:space="0" w:color="auto"/>
              <w:right w:val="nil"/>
            </w:tcBorders>
            <w:hideMark/>
          </w:tcPr>
          <w:p w14:paraId="4C4BDF6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w:t>
            </w:r>
          </w:p>
        </w:tc>
      </w:tr>
      <w:tr w:rsidR="00BC015F" w:rsidRPr="00BC015F" w14:paraId="520337AF" w14:textId="77777777" w:rsidTr="007D018D">
        <w:trPr>
          <w:trHeight w:val="28"/>
        </w:trPr>
        <w:tc>
          <w:tcPr>
            <w:tcW w:w="1326" w:type="dxa"/>
            <w:tcBorders>
              <w:top w:val="single" w:sz="12" w:space="0" w:color="auto"/>
              <w:left w:val="nil"/>
              <w:bottom w:val="single" w:sz="12" w:space="0" w:color="auto"/>
              <w:right w:val="nil"/>
            </w:tcBorders>
            <w:hideMark/>
          </w:tcPr>
          <w:p w14:paraId="4CBF6EEB"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CV (%)</w:t>
            </w:r>
          </w:p>
        </w:tc>
        <w:tc>
          <w:tcPr>
            <w:tcW w:w="891" w:type="dxa"/>
            <w:tcBorders>
              <w:top w:val="single" w:sz="12" w:space="0" w:color="auto"/>
              <w:left w:val="nil"/>
              <w:bottom w:val="single" w:sz="12" w:space="0" w:color="auto"/>
              <w:right w:val="nil"/>
            </w:tcBorders>
            <w:vAlign w:val="center"/>
            <w:hideMark/>
          </w:tcPr>
          <w:p w14:paraId="670F012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4.30</w:t>
            </w:r>
          </w:p>
        </w:tc>
        <w:tc>
          <w:tcPr>
            <w:tcW w:w="833" w:type="dxa"/>
            <w:tcBorders>
              <w:top w:val="single" w:sz="12" w:space="0" w:color="auto"/>
              <w:left w:val="nil"/>
              <w:bottom w:val="single" w:sz="12" w:space="0" w:color="auto"/>
              <w:right w:val="nil"/>
            </w:tcBorders>
            <w:vAlign w:val="center"/>
            <w:hideMark/>
          </w:tcPr>
          <w:p w14:paraId="45AB9EC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10.83</w:t>
            </w:r>
          </w:p>
        </w:tc>
        <w:tc>
          <w:tcPr>
            <w:tcW w:w="964" w:type="dxa"/>
            <w:tcBorders>
              <w:top w:val="single" w:sz="12" w:space="0" w:color="auto"/>
              <w:left w:val="nil"/>
              <w:bottom w:val="single" w:sz="12" w:space="0" w:color="auto"/>
              <w:right w:val="nil"/>
            </w:tcBorders>
            <w:vAlign w:val="center"/>
            <w:hideMark/>
          </w:tcPr>
          <w:p w14:paraId="63F6932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13.41</w:t>
            </w:r>
          </w:p>
        </w:tc>
        <w:tc>
          <w:tcPr>
            <w:tcW w:w="964" w:type="dxa"/>
            <w:tcBorders>
              <w:top w:val="single" w:sz="12" w:space="0" w:color="auto"/>
              <w:left w:val="nil"/>
              <w:bottom w:val="single" w:sz="12" w:space="0" w:color="auto"/>
              <w:right w:val="nil"/>
            </w:tcBorders>
            <w:vAlign w:val="center"/>
            <w:hideMark/>
          </w:tcPr>
          <w:p w14:paraId="05772F3C"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15.21</w:t>
            </w:r>
          </w:p>
        </w:tc>
        <w:tc>
          <w:tcPr>
            <w:tcW w:w="942" w:type="dxa"/>
            <w:tcBorders>
              <w:top w:val="single" w:sz="12" w:space="0" w:color="auto"/>
              <w:left w:val="nil"/>
              <w:bottom w:val="single" w:sz="12" w:space="0" w:color="auto"/>
              <w:right w:val="nil"/>
            </w:tcBorders>
            <w:vAlign w:val="center"/>
            <w:hideMark/>
          </w:tcPr>
          <w:p w14:paraId="485BC6E5"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2.22</w:t>
            </w:r>
          </w:p>
        </w:tc>
        <w:tc>
          <w:tcPr>
            <w:tcW w:w="913" w:type="dxa"/>
            <w:tcBorders>
              <w:top w:val="single" w:sz="12" w:space="0" w:color="auto"/>
              <w:left w:val="nil"/>
              <w:bottom w:val="single" w:sz="12" w:space="0" w:color="auto"/>
              <w:right w:val="nil"/>
            </w:tcBorders>
            <w:vAlign w:val="center"/>
            <w:hideMark/>
          </w:tcPr>
          <w:p w14:paraId="03EA1E94"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10.00</w:t>
            </w:r>
          </w:p>
        </w:tc>
        <w:tc>
          <w:tcPr>
            <w:tcW w:w="900" w:type="dxa"/>
            <w:tcBorders>
              <w:top w:val="single" w:sz="12" w:space="0" w:color="auto"/>
              <w:left w:val="nil"/>
              <w:bottom w:val="single" w:sz="12" w:space="0" w:color="auto"/>
              <w:right w:val="nil"/>
            </w:tcBorders>
            <w:vAlign w:val="center"/>
            <w:hideMark/>
          </w:tcPr>
          <w:p w14:paraId="47A3D002"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3.48</w:t>
            </w:r>
          </w:p>
        </w:tc>
        <w:tc>
          <w:tcPr>
            <w:tcW w:w="940" w:type="dxa"/>
            <w:tcBorders>
              <w:top w:val="single" w:sz="12" w:space="0" w:color="auto"/>
              <w:left w:val="nil"/>
              <w:bottom w:val="single" w:sz="12" w:space="0" w:color="auto"/>
              <w:right w:val="nil"/>
            </w:tcBorders>
            <w:hideMark/>
          </w:tcPr>
          <w:p w14:paraId="726FB810"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4.39</w:t>
            </w:r>
          </w:p>
        </w:tc>
        <w:tc>
          <w:tcPr>
            <w:tcW w:w="860" w:type="dxa"/>
            <w:tcBorders>
              <w:top w:val="single" w:sz="12" w:space="0" w:color="auto"/>
              <w:left w:val="nil"/>
              <w:bottom w:val="single" w:sz="12" w:space="0" w:color="auto"/>
              <w:right w:val="nil"/>
            </w:tcBorders>
            <w:hideMark/>
          </w:tcPr>
          <w:p w14:paraId="42F527C3" w14:textId="77777777" w:rsidR="00BC015F" w:rsidRPr="00BC015F" w:rsidRDefault="00BC015F" w:rsidP="00BC015F">
            <w:pPr>
              <w:jc w:val="both"/>
              <w:rPr>
                <w:rFonts w:ascii="Arial" w:hAnsi="Arial" w:cs="Arial"/>
                <w:sz w:val="18"/>
                <w:szCs w:val="18"/>
              </w:rPr>
            </w:pPr>
            <w:r w:rsidRPr="00BC015F">
              <w:rPr>
                <w:rFonts w:ascii="Arial" w:hAnsi="Arial" w:cs="Arial"/>
                <w:sz w:val="18"/>
                <w:szCs w:val="18"/>
              </w:rPr>
              <w:t>5.87</w:t>
            </w:r>
          </w:p>
        </w:tc>
      </w:tr>
    </w:tbl>
    <w:p w14:paraId="3056C7C8" w14:textId="62B4B233" w:rsidR="00BC015F" w:rsidRPr="00BC015F" w:rsidRDefault="00BC015F" w:rsidP="00BC015F">
      <w:pPr>
        <w:spacing w:after="160"/>
        <w:jc w:val="both"/>
        <w:rPr>
          <w:rFonts w:ascii="Arial" w:eastAsia="Calibri" w:hAnsi="Arial" w:cs="Arial"/>
          <w:sz w:val="18"/>
          <w:szCs w:val="18"/>
          <w:lang w:val="en-GB"/>
        </w:rPr>
      </w:pPr>
      <w:r w:rsidRPr="00BC015F">
        <w:rPr>
          <w:rFonts w:ascii="Arial" w:eastAsia="Calibri" w:hAnsi="Arial" w:cs="Arial"/>
          <w:sz w:val="18"/>
          <w:szCs w:val="18"/>
          <w:lang w:val="en-GB"/>
        </w:rPr>
        <w:t>In a column, figures with the same letter (s) or without letter do not differ significantly Whereas figures with dissimilar letter differ significantly as per DMRT, ** = Significant at 1 % level of probability  *= significant at 5% level of probability.T</w:t>
      </w:r>
      <w:r w:rsidRPr="00BC015F">
        <w:rPr>
          <w:rFonts w:ascii="Arial" w:eastAsia="Calibri" w:hAnsi="Arial" w:cs="Arial"/>
          <w:sz w:val="18"/>
          <w:szCs w:val="18"/>
          <w:vertAlign w:val="subscript"/>
          <w:lang w:val="en-GB"/>
        </w:rPr>
        <w:t>1</w:t>
      </w:r>
      <w:r w:rsidRPr="00BC015F">
        <w:rPr>
          <w:rFonts w:ascii="Arial" w:eastAsia="Calibri" w:hAnsi="Arial" w:cs="Arial"/>
          <w:sz w:val="18"/>
          <w:szCs w:val="18"/>
          <w:lang w:val="en-GB"/>
        </w:rPr>
        <w:t>= Control (Unfertilized), T</w:t>
      </w:r>
      <w:r w:rsidRPr="00BC015F">
        <w:rPr>
          <w:rFonts w:ascii="Arial" w:eastAsia="Calibri" w:hAnsi="Arial" w:cs="Arial"/>
          <w:sz w:val="18"/>
          <w:szCs w:val="18"/>
          <w:vertAlign w:val="subscript"/>
          <w:lang w:val="en-GB"/>
        </w:rPr>
        <w:t>2</w:t>
      </w:r>
      <w:r w:rsidRPr="00BC015F">
        <w:rPr>
          <w:rFonts w:ascii="Arial" w:eastAsia="Calibri" w:hAnsi="Arial" w:cs="Arial"/>
          <w:sz w:val="18"/>
          <w:szCs w:val="18"/>
          <w:lang w:val="en-GB"/>
        </w:rPr>
        <w:t>= full recommended dose of NPK fertilizer, T</w:t>
      </w:r>
      <w:r w:rsidRPr="00BC015F">
        <w:rPr>
          <w:rFonts w:ascii="Arial" w:eastAsia="Calibri" w:hAnsi="Arial" w:cs="Arial"/>
          <w:sz w:val="18"/>
          <w:szCs w:val="18"/>
          <w:vertAlign w:val="subscript"/>
          <w:lang w:val="en-GB"/>
        </w:rPr>
        <w:t>3</w:t>
      </w:r>
      <w:r w:rsidRPr="00BC015F">
        <w:rPr>
          <w:rFonts w:ascii="Arial" w:eastAsia="Calibri" w:hAnsi="Arial" w:cs="Arial"/>
          <w:sz w:val="18"/>
          <w:szCs w:val="18"/>
          <w:lang w:val="en-GB"/>
        </w:rPr>
        <w:t xml:space="preserve"> = 1 tablet/pot, T</w:t>
      </w:r>
      <w:r w:rsidRPr="00BC015F">
        <w:rPr>
          <w:rFonts w:ascii="Arial" w:eastAsia="Calibri" w:hAnsi="Arial" w:cs="Arial"/>
          <w:sz w:val="18"/>
          <w:szCs w:val="18"/>
          <w:vertAlign w:val="subscript"/>
          <w:lang w:val="en-GB"/>
        </w:rPr>
        <w:t>4</w:t>
      </w:r>
      <w:r w:rsidRPr="00BC015F">
        <w:rPr>
          <w:rFonts w:ascii="Arial" w:eastAsia="Calibri" w:hAnsi="Arial" w:cs="Arial"/>
          <w:sz w:val="18"/>
          <w:szCs w:val="18"/>
          <w:lang w:val="en-GB"/>
        </w:rPr>
        <w:t xml:space="preserve"> = 2 tablet/pot, T</w:t>
      </w:r>
      <w:r w:rsidRPr="00BC015F">
        <w:rPr>
          <w:rFonts w:ascii="Arial" w:eastAsia="Calibri" w:hAnsi="Arial" w:cs="Arial"/>
          <w:sz w:val="18"/>
          <w:szCs w:val="18"/>
          <w:vertAlign w:val="subscript"/>
          <w:lang w:val="en-GB"/>
        </w:rPr>
        <w:t>5</w:t>
      </w:r>
      <w:r w:rsidRPr="00BC015F">
        <w:rPr>
          <w:rFonts w:ascii="Arial" w:eastAsia="Calibri" w:hAnsi="Arial" w:cs="Arial"/>
          <w:sz w:val="18"/>
          <w:szCs w:val="18"/>
          <w:lang w:val="en-GB"/>
        </w:rPr>
        <w:t xml:space="preserve"> = 3 tablet/pot, T</w:t>
      </w:r>
      <w:r w:rsidRPr="00BC015F">
        <w:rPr>
          <w:rFonts w:ascii="Arial" w:eastAsia="Calibri" w:hAnsi="Arial" w:cs="Arial"/>
          <w:sz w:val="18"/>
          <w:szCs w:val="18"/>
          <w:vertAlign w:val="subscript"/>
          <w:lang w:val="en-GB"/>
        </w:rPr>
        <w:t>6</w:t>
      </w:r>
      <w:r w:rsidRPr="00BC015F">
        <w:rPr>
          <w:rFonts w:ascii="Arial" w:eastAsia="Calibri" w:hAnsi="Arial" w:cs="Arial"/>
          <w:sz w:val="18"/>
          <w:szCs w:val="18"/>
          <w:lang w:val="en-GB"/>
        </w:rPr>
        <w:t xml:space="preserve"> = 4 tablet/pot, T</w:t>
      </w:r>
      <w:r w:rsidRPr="00BC015F">
        <w:rPr>
          <w:rFonts w:ascii="Arial" w:eastAsia="Calibri" w:hAnsi="Arial" w:cs="Arial"/>
          <w:sz w:val="18"/>
          <w:szCs w:val="18"/>
          <w:vertAlign w:val="subscript"/>
          <w:lang w:val="en-GB"/>
        </w:rPr>
        <w:t>7</w:t>
      </w:r>
      <w:r w:rsidRPr="00BC015F">
        <w:rPr>
          <w:rFonts w:ascii="Arial" w:eastAsia="Calibri" w:hAnsi="Arial" w:cs="Arial"/>
          <w:sz w:val="18"/>
          <w:szCs w:val="18"/>
          <w:lang w:val="en-GB"/>
        </w:rPr>
        <w:t xml:space="preserve"> = 5 tablet/pot, T</w:t>
      </w:r>
      <w:r w:rsidRPr="00BC015F">
        <w:rPr>
          <w:rFonts w:ascii="Arial" w:eastAsia="Calibri" w:hAnsi="Arial" w:cs="Arial"/>
          <w:sz w:val="18"/>
          <w:szCs w:val="18"/>
          <w:vertAlign w:val="subscript"/>
          <w:lang w:val="en-GB"/>
        </w:rPr>
        <w:t>8</w:t>
      </w:r>
      <w:r w:rsidRPr="00BC015F">
        <w:rPr>
          <w:rFonts w:ascii="Arial" w:eastAsia="Calibri" w:hAnsi="Arial" w:cs="Arial"/>
          <w:sz w:val="18"/>
          <w:szCs w:val="18"/>
          <w:lang w:val="en-GB"/>
        </w:rPr>
        <w:t xml:space="preserve"> = 6 tablet/pot.</w:t>
      </w:r>
    </w:p>
    <w:p w14:paraId="1DF82869" w14:textId="368C3A34" w:rsidR="00BC015F" w:rsidRDefault="00000F8F" w:rsidP="00BC015F">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449EFE" w14:textId="77777777" w:rsidR="00BC015F" w:rsidRPr="00BC015F" w:rsidRDefault="00BC015F" w:rsidP="00BC015F">
      <w:pPr>
        <w:pStyle w:val="Body"/>
        <w:spacing w:before="240" w:after="0"/>
        <w:rPr>
          <w:rFonts w:ascii="Arial" w:hAnsi="Arial" w:cs="Arial"/>
          <w:lang w:val="en-GB"/>
        </w:rPr>
      </w:pPr>
      <w:r w:rsidRPr="00BC015F">
        <w:rPr>
          <w:rFonts w:ascii="Arial" w:hAnsi="Arial" w:cs="Arial"/>
          <w:lang w:val="en-GB"/>
        </w:rPr>
        <w:t>According to the results above, it is clear that T</w:t>
      </w:r>
      <w:r w:rsidRPr="00BC015F">
        <w:rPr>
          <w:rFonts w:ascii="Arial" w:hAnsi="Arial" w:cs="Arial"/>
          <w:vertAlign w:val="subscript"/>
          <w:lang w:val="en-GB"/>
        </w:rPr>
        <w:t>4</w:t>
      </w:r>
      <w:r w:rsidRPr="00BC015F">
        <w:rPr>
          <w:rFonts w:ascii="Arial" w:hAnsi="Arial" w:cs="Arial"/>
          <w:lang w:val="en-GB"/>
        </w:rPr>
        <w:t xml:space="preserve"> treatment (2 tablets/pot) exhibited the best result with yield and yield contributing characters. Result of the present study also revealed that the impact of slow-release fertilizer (SRF) tablets could be a prospective source of improving rice production. Although results of the pot experiment are encouraging, further evaluating these slow-release fertilizer 212 tablets under different rice growing environments with different varieties over long period under field condition is essential in future studies to realize the maximum potential of this new technology.</w:t>
      </w:r>
    </w:p>
    <w:p w14:paraId="1D290970" w14:textId="77777777" w:rsidR="00BC015F" w:rsidRDefault="00BC015F" w:rsidP="00441B6F">
      <w:pPr>
        <w:pStyle w:val="Body"/>
        <w:spacing w:after="0"/>
        <w:rPr>
          <w:rFonts w:ascii="Arial" w:hAnsi="Arial" w:cs="Arial"/>
        </w:rPr>
      </w:pPr>
    </w:p>
    <w:p w14:paraId="6E0E1230" w14:textId="3093AF25" w:rsidR="00BC015F" w:rsidRDefault="00BC015F" w:rsidP="00BC015F"/>
    <w:p w14:paraId="2CB2ED6B" w14:textId="77777777" w:rsidR="00D451D5" w:rsidRPr="00BC015F" w:rsidRDefault="00D451D5" w:rsidP="00BC015F">
      <w:bookmarkStart w:id="0" w:name="_GoBack"/>
      <w:bookmarkEnd w:id="0"/>
    </w:p>
    <w:p w14:paraId="4040DFAD" w14:textId="1C9594B2" w:rsidR="00E769F6" w:rsidRPr="002C57D2" w:rsidRDefault="00B01FCD" w:rsidP="00BC4F37">
      <w:pPr>
        <w:pStyle w:val="ReferHead"/>
        <w:jc w:val="both"/>
        <w:rPr>
          <w:rFonts w:ascii="Arial" w:hAnsi="Arial" w:cs="Arial"/>
        </w:rPr>
      </w:pPr>
      <w:r w:rsidRPr="00FB3A86">
        <w:rPr>
          <w:rFonts w:ascii="Arial" w:hAnsi="Arial" w:cs="Arial"/>
        </w:rPr>
        <w:t>References</w:t>
      </w:r>
    </w:p>
    <w:p w14:paraId="0CD1171A" w14:textId="77777777" w:rsidR="00BC4F37" w:rsidRPr="00BC4F37" w:rsidRDefault="00BC4F37" w:rsidP="00BC4F37">
      <w:pPr>
        <w:pStyle w:val="Body"/>
        <w:ind w:left="720" w:hanging="720"/>
        <w:rPr>
          <w:lang w:val="en-GB"/>
        </w:rPr>
      </w:pPr>
      <w:r w:rsidRPr="00BC4F37">
        <w:rPr>
          <w:lang w:val="en-GB"/>
        </w:rPr>
        <w:t xml:space="preserve">Alam, M. A., Rahman, M. M., Biswas, J. C., Akhter, S., </w:t>
      </w:r>
      <w:proofErr w:type="spellStart"/>
      <w:r w:rsidRPr="00BC4F37">
        <w:rPr>
          <w:lang w:val="en-GB"/>
        </w:rPr>
        <w:t>Maniruzzaman</w:t>
      </w:r>
      <w:proofErr w:type="spellEnd"/>
      <w:r w:rsidRPr="00BC4F37">
        <w:rPr>
          <w:lang w:val="en-GB"/>
        </w:rPr>
        <w:t>, M., Choudhury, A. K., ... &amp; Kalra, N. (2019). Nitrogen transformation and carbon sequestration in wetland paddy field of Bangladesh. </w:t>
      </w:r>
      <w:r w:rsidRPr="00BC4F37">
        <w:rPr>
          <w:i/>
          <w:iCs/>
          <w:lang w:val="en-GB"/>
        </w:rPr>
        <w:t>Paddy and Water Environment</w:t>
      </w:r>
      <w:r w:rsidRPr="00BC4F37">
        <w:rPr>
          <w:lang w:val="en-GB"/>
        </w:rPr>
        <w:t>, </w:t>
      </w:r>
      <w:r w:rsidRPr="00BC4F37">
        <w:rPr>
          <w:i/>
          <w:iCs/>
          <w:lang w:val="en-GB"/>
        </w:rPr>
        <w:t>17</w:t>
      </w:r>
      <w:r w:rsidRPr="00BC4F37">
        <w:rPr>
          <w:lang w:val="en-GB"/>
        </w:rPr>
        <w:t xml:space="preserve">(4), 677-688. </w:t>
      </w:r>
      <w:hyperlink r:id="rId16" w:history="1">
        <w:r w:rsidRPr="00BC4F37">
          <w:rPr>
            <w:rStyle w:val="Hyperlink"/>
            <w:lang w:val="en-GB"/>
          </w:rPr>
          <w:t>https://doi.org/10.1007/s10333-019-00693-7</w:t>
        </w:r>
      </w:hyperlink>
    </w:p>
    <w:p w14:paraId="4C6FE8C2" w14:textId="77777777" w:rsidR="00BC4F37" w:rsidRPr="00BC4F37" w:rsidRDefault="00BC4F37" w:rsidP="00BC4F37">
      <w:pPr>
        <w:pStyle w:val="Body"/>
        <w:ind w:left="720" w:hanging="720"/>
        <w:rPr>
          <w:lang w:val="en-GB"/>
        </w:rPr>
      </w:pPr>
      <w:r w:rsidRPr="00BC4F37">
        <w:rPr>
          <w:lang w:val="en-GB"/>
        </w:rPr>
        <w:t>Asha, U. H., Ferdous, T., Ahmed, R., Khatun, M., Haque, M., Nuruzzaman, M., ... &amp; Hossen, K. (2025). Optimizing Productivity and Nutritional Composition of Boro Rice (BRRI dhan97) through Vermicompost Application. </w:t>
      </w:r>
      <w:r w:rsidRPr="00BC4F37">
        <w:rPr>
          <w:i/>
          <w:iCs/>
          <w:lang w:val="en-GB"/>
        </w:rPr>
        <w:t>Asian Plant Research Journal</w:t>
      </w:r>
      <w:r w:rsidRPr="00BC4F37">
        <w:rPr>
          <w:lang w:val="en-GB"/>
        </w:rPr>
        <w:t>, </w:t>
      </w:r>
      <w:r w:rsidRPr="00BC4F37">
        <w:rPr>
          <w:i/>
          <w:iCs/>
          <w:lang w:val="en-GB"/>
        </w:rPr>
        <w:t>13</w:t>
      </w:r>
      <w:r w:rsidRPr="00BC4F37">
        <w:rPr>
          <w:lang w:val="en-GB"/>
        </w:rPr>
        <w:t xml:space="preserve">(2), 1-13. </w:t>
      </w:r>
      <w:hyperlink r:id="rId17" w:history="1">
        <w:r w:rsidRPr="00BC4F37">
          <w:rPr>
            <w:rStyle w:val="Hyperlink"/>
            <w:lang w:val="en-GB"/>
          </w:rPr>
          <w:t>https://doi.org/10.9734/aprj/2025/v13i2296</w:t>
        </w:r>
      </w:hyperlink>
    </w:p>
    <w:p w14:paraId="7C4129AC" w14:textId="77777777" w:rsidR="00BC4F37" w:rsidRPr="00BC4F37" w:rsidRDefault="00BC4F37" w:rsidP="00BC4F37">
      <w:pPr>
        <w:pStyle w:val="Body"/>
        <w:ind w:left="720" w:hanging="720"/>
      </w:pPr>
      <w:r w:rsidRPr="00BC4F37">
        <w:t xml:space="preserve">BBS (2021). Bangladesh Bureau of Statistics, Statistical Yearbook of Bangladesh. </w:t>
      </w:r>
      <w:proofErr w:type="spellStart"/>
      <w:r w:rsidRPr="00BC4F37">
        <w:t>Ministey</w:t>
      </w:r>
      <w:proofErr w:type="spellEnd"/>
      <w:r w:rsidRPr="00BC4F37">
        <w:t xml:space="preserve"> of Planning, Government of the People’s Republic of Bangladesh.</w:t>
      </w:r>
    </w:p>
    <w:p w14:paraId="6AE8AB76" w14:textId="77777777" w:rsidR="00BC4F37" w:rsidRPr="00BC4F37" w:rsidRDefault="00BC4F37" w:rsidP="00BC4F37">
      <w:pPr>
        <w:pStyle w:val="Body"/>
        <w:ind w:left="720" w:hanging="720"/>
        <w:rPr>
          <w:lang w:val="en-GB"/>
        </w:rPr>
      </w:pPr>
      <w:r w:rsidRPr="00BC4F37">
        <w:rPr>
          <w:lang w:val="en-GB"/>
        </w:rPr>
        <w:t xml:space="preserve">Bhuyan, H. M., Ferdousi, M. R., Toufiq Iqbal, M., &amp; Hasan, A. K. (2016). A comparative appraisal of urea super granule application in raised bed and prilled urea application </w:t>
      </w:r>
      <w:r w:rsidRPr="00BC4F37">
        <w:rPr>
          <w:lang w:val="en-GB"/>
        </w:rPr>
        <w:lastRenderedPageBreak/>
        <w:t xml:space="preserve">in conventional planting for transplanted </w:t>
      </w:r>
      <w:r w:rsidRPr="00BC4F37">
        <w:rPr>
          <w:i/>
          <w:iCs/>
          <w:lang w:val="en-GB"/>
        </w:rPr>
        <w:t>boro</w:t>
      </w:r>
      <w:r w:rsidRPr="00BC4F37">
        <w:rPr>
          <w:lang w:val="en-GB"/>
        </w:rPr>
        <w:t xml:space="preserve"> rice (</w:t>
      </w:r>
      <w:r w:rsidRPr="00BC4F37">
        <w:rPr>
          <w:i/>
          <w:iCs/>
          <w:lang w:val="en-GB"/>
        </w:rPr>
        <w:t>Oryza sativa</w:t>
      </w:r>
      <w:r w:rsidRPr="00BC4F37">
        <w:rPr>
          <w:lang w:val="en-GB"/>
        </w:rPr>
        <w:t>). </w:t>
      </w:r>
      <w:r w:rsidRPr="00BC4F37">
        <w:rPr>
          <w:i/>
          <w:iCs/>
          <w:lang w:val="en-GB"/>
        </w:rPr>
        <w:t>Journal of Advances in Agriculture</w:t>
      </w:r>
      <w:r w:rsidRPr="00BC4F37">
        <w:rPr>
          <w:lang w:val="en-GB"/>
        </w:rPr>
        <w:t>, </w:t>
      </w:r>
      <w:r w:rsidRPr="00BC4F37">
        <w:rPr>
          <w:i/>
          <w:iCs/>
          <w:lang w:val="en-GB"/>
        </w:rPr>
        <w:t>6</w:t>
      </w:r>
      <w:r w:rsidRPr="00BC4F37">
        <w:rPr>
          <w:lang w:val="en-GB"/>
        </w:rPr>
        <w:t>(1), 822-832.</w:t>
      </w:r>
    </w:p>
    <w:p w14:paraId="7B06B0FE" w14:textId="77777777" w:rsidR="00BC4F37" w:rsidRPr="00BC4F37" w:rsidRDefault="00BC4F37" w:rsidP="00BC4F37">
      <w:pPr>
        <w:pStyle w:val="Body"/>
        <w:ind w:left="720" w:hanging="720"/>
      </w:pPr>
      <w:r w:rsidRPr="00BC4F37">
        <w:t>Brolley, M. (2015). Rice security is food security for much of the world. </w:t>
      </w:r>
      <w:r w:rsidRPr="00BC4F37">
        <w:rPr>
          <w:i/>
          <w:iCs/>
        </w:rPr>
        <w:t>Rice Today. International Rice Research Institute (IRRI), DAPO Box,</w:t>
      </w:r>
      <w:r w:rsidRPr="00BC4F37">
        <w:t> </w:t>
      </w:r>
      <w:r w:rsidRPr="00BC4F37">
        <w:rPr>
          <w:i/>
          <w:iCs/>
        </w:rPr>
        <w:t>7777</w:t>
      </w:r>
      <w:r w:rsidRPr="00BC4F37">
        <w:t xml:space="preserve"> 30-32.</w:t>
      </w:r>
    </w:p>
    <w:p w14:paraId="4AC10C77" w14:textId="77777777" w:rsidR="00BC4F37" w:rsidRPr="00BC4F37" w:rsidRDefault="00BC4F37" w:rsidP="00BC4F37">
      <w:pPr>
        <w:pStyle w:val="Body"/>
        <w:ind w:left="720" w:hanging="720"/>
      </w:pPr>
      <w:r w:rsidRPr="00BC4F37">
        <w:t xml:space="preserve">BRRI (2020) </w:t>
      </w:r>
      <w:proofErr w:type="spellStart"/>
      <w:r w:rsidRPr="00BC4F37">
        <w:t>Adhunik</w:t>
      </w:r>
      <w:proofErr w:type="spellEnd"/>
      <w:r w:rsidRPr="00BC4F37">
        <w:t xml:space="preserve"> </w:t>
      </w:r>
      <w:proofErr w:type="spellStart"/>
      <w:r w:rsidRPr="00BC4F37">
        <w:t>Dhaner</w:t>
      </w:r>
      <w:proofErr w:type="spellEnd"/>
      <w:r w:rsidRPr="00BC4F37">
        <w:t xml:space="preserve"> </w:t>
      </w:r>
      <w:proofErr w:type="spellStart"/>
      <w:r w:rsidRPr="00BC4F37">
        <w:t>Chash</w:t>
      </w:r>
      <w:proofErr w:type="spellEnd"/>
      <w:r w:rsidRPr="00BC4F37">
        <w:t xml:space="preserve"> (In Bengali) (23rd Edition). Bangladesh Rice Research Institute, Gazipur 1701.</w:t>
      </w:r>
    </w:p>
    <w:p w14:paraId="6B08055F" w14:textId="77777777" w:rsidR="00BC4F37" w:rsidRPr="00BC4F37" w:rsidRDefault="00BC4F37" w:rsidP="00BC4F37">
      <w:pPr>
        <w:pStyle w:val="Body"/>
        <w:ind w:left="720" w:hanging="720"/>
      </w:pPr>
      <w:proofErr w:type="spellStart"/>
      <w:r w:rsidRPr="00BC4F37">
        <w:t>Craswell</w:t>
      </w:r>
      <w:proofErr w:type="spellEnd"/>
      <w:r w:rsidRPr="00BC4F37">
        <w:t xml:space="preserve">, E. T., &amp; De Datta, S. K. (1980) </w:t>
      </w:r>
      <w:hyperlink r:id="rId18" w:history="1">
        <w:r w:rsidRPr="00BC4F37">
          <w:rPr>
            <w:rStyle w:val="Hyperlink"/>
          </w:rPr>
          <w:t>Recent developments in research on nitrogen fertilizers for rice</w:t>
        </w:r>
      </w:hyperlink>
      <w:r w:rsidRPr="00BC4F37">
        <w:t>. International Fertilizer Development Center, Muscle Shoals, Alabama, USA. p. 11</w:t>
      </w:r>
    </w:p>
    <w:p w14:paraId="2DC30D0B" w14:textId="77777777" w:rsidR="00BC4F37" w:rsidRPr="00BC4F37" w:rsidRDefault="00BC4F37" w:rsidP="00BC4F37">
      <w:pPr>
        <w:pStyle w:val="Body"/>
        <w:ind w:left="720" w:hanging="720"/>
        <w:rPr>
          <w:lang w:val="en-GB"/>
        </w:rPr>
      </w:pPr>
      <w:proofErr w:type="spellStart"/>
      <w:r w:rsidRPr="00BC4F37">
        <w:rPr>
          <w:lang w:val="en-GB"/>
        </w:rPr>
        <w:t>Duarah</w:t>
      </w:r>
      <w:proofErr w:type="spellEnd"/>
      <w:r w:rsidRPr="00BC4F37">
        <w:rPr>
          <w:lang w:val="en-GB"/>
        </w:rPr>
        <w:t>, I., Deka, M., Saikia, N., &amp; Deka Boruah, H. P. (2011). Phosphate solubilizers enhance NPK fertilizer use efficiency in rice and legume cultivation. </w:t>
      </w:r>
      <w:r w:rsidRPr="00BC4F37">
        <w:rPr>
          <w:i/>
          <w:iCs/>
          <w:lang w:val="en-GB"/>
        </w:rPr>
        <w:t>3 Biotech</w:t>
      </w:r>
      <w:r w:rsidRPr="00BC4F37">
        <w:rPr>
          <w:lang w:val="en-GB"/>
        </w:rPr>
        <w:t>, </w:t>
      </w:r>
      <w:r w:rsidRPr="00BC4F37">
        <w:rPr>
          <w:i/>
          <w:iCs/>
          <w:lang w:val="en-GB"/>
        </w:rPr>
        <w:t>1</w:t>
      </w:r>
      <w:r w:rsidRPr="00BC4F37">
        <w:rPr>
          <w:lang w:val="en-GB"/>
        </w:rPr>
        <w:t xml:space="preserve">(4), 227-238. </w:t>
      </w:r>
      <w:hyperlink r:id="rId19" w:history="1">
        <w:r w:rsidRPr="00BC4F37">
          <w:rPr>
            <w:rStyle w:val="Hyperlink"/>
            <w:lang w:val="en-GB"/>
          </w:rPr>
          <w:t>https://doi.org/10.1007/s13205-011-0028-2</w:t>
        </w:r>
      </w:hyperlink>
    </w:p>
    <w:p w14:paraId="2ED81878" w14:textId="77777777" w:rsidR="00BC4F37" w:rsidRPr="00BC4F37" w:rsidRDefault="00BC4F37" w:rsidP="00BC4F37">
      <w:pPr>
        <w:pStyle w:val="Body"/>
        <w:ind w:left="720" w:hanging="720"/>
      </w:pPr>
      <w:r w:rsidRPr="00BC4F37">
        <w:t>FAO (2022). Food and Agriculture Organization of the United Nations, ‘Food Outlook-June 2022’. FAO, Rome, Italy.</w:t>
      </w:r>
    </w:p>
    <w:p w14:paraId="332F7349" w14:textId="77777777" w:rsidR="00BC4F37" w:rsidRPr="00BC4F37" w:rsidRDefault="00BC4F37" w:rsidP="00BC4F37">
      <w:pPr>
        <w:pStyle w:val="Body"/>
        <w:ind w:left="720" w:hanging="720"/>
      </w:pPr>
      <w:r w:rsidRPr="00BC4F37">
        <w:t xml:space="preserve">Gomez, K. A., &amp; Gomez, A. A. (1984). Statistical procedures for agricultural research. International Rice Research Institute, John </w:t>
      </w:r>
      <w:proofErr w:type="spellStart"/>
      <w:r w:rsidRPr="00BC4F37">
        <w:t>wiley</w:t>
      </w:r>
      <w:proofErr w:type="spellEnd"/>
      <w:r w:rsidRPr="00BC4F37">
        <w:t xml:space="preserve"> &amp; sons. New York, </w:t>
      </w:r>
      <w:proofErr w:type="spellStart"/>
      <w:r w:rsidRPr="00BC4F37">
        <w:t>Chickester</w:t>
      </w:r>
      <w:proofErr w:type="spellEnd"/>
      <w:r w:rsidRPr="00BC4F37">
        <w:t xml:space="preserve">, </w:t>
      </w:r>
      <w:proofErr w:type="spellStart"/>
      <w:r w:rsidRPr="00BC4F37">
        <w:t>Brisbance</w:t>
      </w:r>
      <w:proofErr w:type="spellEnd"/>
      <w:r w:rsidRPr="00BC4F37">
        <w:t>. Toronto, Singapore, pp. 139-240.</w:t>
      </w:r>
    </w:p>
    <w:p w14:paraId="3E667A22" w14:textId="77777777" w:rsidR="00BC4F37" w:rsidRPr="00BC4F37" w:rsidRDefault="00BC4F37" w:rsidP="00BC4F37">
      <w:pPr>
        <w:pStyle w:val="Body"/>
        <w:ind w:left="720" w:hanging="720"/>
        <w:rPr>
          <w:lang w:val="en-GB"/>
        </w:rPr>
      </w:pPr>
      <w:r w:rsidRPr="00BC4F37">
        <w:rPr>
          <w:lang w:val="en-GB"/>
        </w:rPr>
        <w:t>Hossain, M. B., &amp; Sarker, R. R. (2020). Effect of different forms and levels of urea fertilizer on rice (Oryza sativa L) and mineral nitrogen status in soil. </w:t>
      </w:r>
      <w:r w:rsidRPr="00BC4F37">
        <w:rPr>
          <w:i/>
          <w:iCs/>
          <w:lang w:val="en-GB"/>
        </w:rPr>
        <w:t>Turkish Journal of Agriculture-Food Science and Technology</w:t>
      </w:r>
      <w:r w:rsidRPr="00BC4F37">
        <w:rPr>
          <w:lang w:val="en-GB"/>
        </w:rPr>
        <w:t>, </w:t>
      </w:r>
      <w:r w:rsidRPr="00BC4F37">
        <w:rPr>
          <w:i/>
          <w:iCs/>
          <w:lang w:val="en-GB"/>
        </w:rPr>
        <w:t>8</w:t>
      </w:r>
      <w:r w:rsidRPr="00BC4F37">
        <w:rPr>
          <w:lang w:val="en-GB"/>
        </w:rPr>
        <w:t xml:space="preserve">(6), 1315-1319. </w:t>
      </w:r>
      <w:hyperlink r:id="rId20" w:history="1">
        <w:r w:rsidRPr="00BC4F37">
          <w:rPr>
            <w:rStyle w:val="Hyperlink"/>
            <w:lang w:val="en-GB"/>
          </w:rPr>
          <w:t>https://doi.org/10.24925/turjaf.v8i6.1315-1319.3331</w:t>
        </w:r>
      </w:hyperlink>
    </w:p>
    <w:p w14:paraId="7C68302E" w14:textId="2D24AEB4" w:rsidR="00BC4F37" w:rsidRPr="00BC4F37" w:rsidRDefault="00BC4F37" w:rsidP="00BC4F37">
      <w:pPr>
        <w:pStyle w:val="Body"/>
        <w:ind w:left="720" w:hanging="720"/>
        <w:rPr>
          <w:lang w:val="en-GB"/>
        </w:rPr>
      </w:pPr>
      <w:bookmarkStart w:id="1" w:name="_Hlk210689475"/>
      <w:r w:rsidRPr="00BC4F37">
        <w:rPr>
          <w:lang w:val="en-GB"/>
        </w:rPr>
        <w:t>Hossain</w:t>
      </w:r>
      <w:bookmarkEnd w:id="1"/>
      <w:r w:rsidRPr="00BC4F37">
        <w:rPr>
          <w:lang w:val="en-GB"/>
        </w:rPr>
        <w:t xml:space="preserve">, M. S., Mia, M. L., Talukder, S. K., Zahedi, M. S., Islam, M. S., Sanet, M. R. H., ... &amp; Romij, M. (2024). The efficacy of herbicides on yield of late boro rice (cv. </w:t>
      </w:r>
      <w:proofErr w:type="spellStart"/>
      <w:r w:rsidRPr="00BC4F37">
        <w:rPr>
          <w:lang w:val="en-GB"/>
        </w:rPr>
        <w:t>Binadhan</w:t>
      </w:r>
      <w:proofErr w:type="spellEnd"/>
      <w:r w:rsidRPr="00BC4F37">
        <w:rPr>
          <w:lang w:val="en-GB"/>
        </w:rPr>
        <w:t>. </w:t>
      </w:r>
      <w:r w:rsidRPr="00BC4F37">
        <w:rPr>
          <w:i/>
          <w:iCs/>
          <w:lang w:val="en-GB"/>
        </w:rPr>
        <w:t>Asian Journal of Crop,</w:t>
      </w:r>
      <w:r w:rsidR="00306610" w:rsidRPr="00306610">
        <w:rPr>
          <w:i/>
          <w:iCs/>
          <w:lang w:val="en-GB"/>
        </w:rPr>
        <w:t xml:space="preserve"> Soil science and Plant Nutrition</w:t>
      </w:r>
      <w:r w:rsidR="00306610">
        <w:rPr>
          <w:lang w:val="en-GB"/>
        </w:rPr>
        <w:t>,</w:t>
      </w:r>
      <w:r w:rsidRPr="00BC4F37">
        <w:rPr>
          <w:lang w:val="en-GB"/>
        </w:rPr>
        <w:t> </w:t>
      </w:r>
      <w:r w:rsidRPr="00BC4F37">
        <w:rPr>
          <w:i/>
          <w:iCs/>
          <w:lang w:val="en-GB"/>
        </w:rPr>
        <w:t>10</w:t>
      </w:r>
      <w:r w:rsidRPr="00BC4F37">
        <w:rPr>
          <w:lang w:val="en-GB"/>
        </w:rPr>
        <w:t xml:space="preserve">(01), 395-401. </w:t>
      </w:r>
      <w:hyperlink r:id="rId21" w:history="1">
        <w:r w:rsidRPr="00BC4F37">
          <w:rPr>
            <w:rStyle w:val="Hyperlink"/>
            <w:lang w:val="en-GB"/>
          </w:rPr>
          <w:t>https://doi.org/10.18801/ajcsp.100124.48</w:t>
        </w:r>
      </w:hyperlink>
    </w:p>
    <w:p w14:paraId="440D6001" w14:textId="77777777" w:rsidR="00BC4F37" w:rsidRPr="00BC4F37" w:rsidRDefault="00BC4F37" w:rsidP="00BC4F37">
      <w:pPr>
        <w:pStyle w:val="Body"/>
        <w:ind w:left="720" w:hanging="720"/>
        <w:rPr>
          <w:lang w:val="en-GB"/>
        </w:rPr>
      </w:pPr>
      <w:r w:rsidRPr="00BC4F37">
        <w:rPr>
          <w:lang w:val="en-GB"/>
        </w:rPr>
        <w:t>Humaira, Z., Sarker, B., Onna, K. A. M., Jesia, N. S., Mia, M. L., Riza, I. J., ... &amp; Islam, M. S. (2025). Impact of Manures, Fertilizers, and Rice Straw Allelopathy on T. aman Rice Yield. </w:t>
      </w:r>
      <w:r w:rsidRPr="00BC4F37">
        <w:rPr>
          <w:i/>
          <w:iCs/>
          <w:lang w:val="en-GB"/>
        </w:rPr>
        <w:t>Asian Journal of Advances in Agricultural Research</w:t>
      </w:r>
      <w:r w:rsidRPr="00BC4F37">
        <w:rPr>
          <w:lang w:val="en-GB"/>
        </w:rPr>
        <w:t>, </w:t>
      </w:r>
      <w:r w:rsidRPr="00BC4F37">
        <w:rPr>
          <w:i/>
          <w:iCs/>
          <w:lang w:val="en-GB"/>
        </w:rPr>
        <w:t>25</w:t>
      </w:r>
      <w:r w:rsidRPr="00BC4F37">
        <w:rPr>
          <w:lang w:val="en-GB"/>
        </w:rPr>
        <w:t xml:space="preserve">(2), 1-17. </w:t>
      </w:r>
      <w:hyperlink r:id="rId22" w:history="1">
        <w:r w:rsidRPr="00BC4F37">
          <w:rPr>
            <w:rStyle w:val="Hyperlink"/>
            <w:lang w:val="en-GB"/>
          </w:rPr>
          <w:t>https://doi.org/10.9734/ajaar/2025/v25i2581</w:t>
        </w:r>
      </w:hyperlink>
    </w:p>
    <w:p w14:paraId="5028D39D" w14:textId="77777777" w:rsidR="00BC4F37" w:rsidRPr="00BC4F37" w:rsidRDefault="00BC4F37" w:rsidP="00BC4F37">
      <w:pPr>
        <w:pStyle w:val="Body"/>
        <w:ind w:left="720" w:hanging="720"/>
        <w:rPr>
          <w:lang w:val="en-GB"/>
        </w:rPr>
      </w:pPr>
      <w:r w:rsidRPr="00BC4F37">
        <w:rPr>
          <w:lang w:val="en-GB"/>
        </w:rPr>
        <w:t xml:space="preserve">Imran-Hossain-Sohag, M., Mia, M. L., Islam, M. S., &amp; Salam, M. A. (2025). Yield of transplant </w:t>
      </w:r>
      <w:r w:rsidRPr="00BC4F37">
        <w:rPr>
          <w:i/>
          <w:iCs/>
          <w:lang w:val="en-GB"/>
        </w:rPr>
        <w:t>aman</w:t>
      </w:r>
      <w:r w:rsidRPr="00BC4F37">
        <w:rPr>
          <w:lang w:val="en-GB"/>
        </w:rPr>
        <w:t xml:space="preserve"> rice cultivars as influenced by nitrogen management and seeding density in the nursery. </w:t>
      </w:r>
      <w:r w:rsidRPr="00BC4F37">
        <w:rPr>
          <w:i/>
          <w:iCs/>
          <w:lang w:val="en-GB"/>
        </w:rPr>
        <w:t>Plant Physiology and Soil Chemistry</w:t>
      </w:r>
      <w:r w:rsidRPr="00BC4F37">
        <w:rPr>
          <w:lang w:val="en-GB"/>
        </w:rPr>
        <w:t xml:space="preserve">, 5(2), 80– 85. </w:t>
      </w:r>
      <w:hyperlink r:id="rId23" w:history="1">
        <w:r w:rsidRPr="00BC4F37">
          <w:rPr>
            <w:rStyle w:val="Hyperlink"/>
            <w:lang w:val="en-GB"/>
          </w:rPr>
          <w:t>http://doi.org/10.26480/ppsc.02.2025.80.85</w:t>
        </w:r>
      </w:hyperlink>
    </w:p>
    <w:p w14:paraId="6DA4E8F2" w14:textId="77777777" w:rsidR="00306610" w:rsidRPr="00BC4F37" w:rsidRDefault="00BC4F37" w:rsidP="00BC4F37">
      <w:pPr>
        <w:pStyle w:val="Body"/>
        <w:ind w:left="720" w:hanging="720"/>
        <w:rPr>
          <w:lang w:val="en-GB"/>
        </w:rPr>
      </w:pPr>
      <w:r w:rsidRPr="00BC4F37">
        <w:rPr>
          <w:lang w:val="en-GB"/>
        </w:rPr>
        <w:t xml:space="preserve">Islam, M. F., Mia, M. L., Islam, M. S., Uddin, M. R., &amp; Salam, M. A. (2025). Effect of Nitrogenous Fertilizer on The Yield Performance of </w:t>
      </w:r>
      <w:r w:rsidRPr="00BC4F37">
        <w:rPr>
          <w:i/>
          <w:iCs/>
          <w:lang w:val="en-GB"/>
        </w:rPr>
        <w:t>Boro</w:t>
      </w:r>
      <w:r w:rsidRPr="00BC4F37">
        <w:rPr>
          <w:lang w:val="en-GB"/>
        </w:rPr>
        <w:t xml:space="preserve"> Rice Cultivars. </w:t>
      </w:r>
      <w:r w:rsidRPr="00BC4F37">
        <w:rPr>
          <w:i/>
          <w:iCs/>
          <w:lang w:val="en-GB"/>
        </w:rPr>
        <w:t>Tropical Agrobiodiversity</w:t>
      </w:r>
      <w:r w:rsidRPr="00BC4F37">
        <w:rPr>
          <w:lang w:val="en-GB"/>
        </w:rPr>
        <w:t xml:space="preserve">, 6(1): 17-23. </w:t>
      </w:r>
      <w:hyperlink r:id="rId24" w:history="1">
        <w:r w:rsidRPr="00BC4F37">
          <w:rPr>
            <w:rStyle w:val="Hyperlink"/>
            <w:lang w:val="en-GB"/>
          </w:rPr>
          <w:t>http://doi.org/10.26480/trab.01.2025.17.23</w:t>
        </w:r>
      </w:hyperlink>
    </w:p>
    <w:p w14:paraId="6A898811" w14:textId="77777777" w:rsidR="00306610" w:rsidRPr="00306610" w:rsidRDefault="00306610" w:rsidP="00306610">
      <w:pPr>
        <w:pStyle w:val="Body"/>
        <w:ind w:left="720" w:hanging="720"/>
      </w:pPr>
      <w:r w:rsidRPr="00306610">
        <w:t>Islam, M. S., Ahammed, R., &amp; Mia, M. L. (2024). The allelopathic effects of Eleocharis atropurpurea and Fimbristylis dichotoma on weed management of Aman rice. </w:t>
      </w:r>
      <w:r w:rsidRPr="00306610">
        <w:rPr>
          <w:i/>
          <w:iCs/>
        </w:rPr>
        <w:t>Journal of the Sylhet Agricultural University</w:t>
      </w:r>
      <w:r w:rsidRPr="00306610">
        <w:t>, </w:t>
      </w:r>
      <w:r w:rsidRPr="00306610">
        <w:rPr>
          <w:i/>
          <w:iCs/>
        </w:rPr>
        <w:t>11</w:t>
      </w:r>
      <w:r w:rsidRPr="00306610">
        <w:t xml:space="preserve">(1), 59-66. </w:t>
      </w:r>
      <w:hyperlink r:id="rId25" w:history="1">
        <w:r w:rsidRPr="00306610">
          <w:rPr>
            <w:rStyle w:val="Hyperlink"/>
          </w:rPr>
          <w:t>https://doi.org/10.3329/jsau.v11i1.82685</w:t>
        </w:r>
      </w:hyperlink>
    </w:p>
    <w:p w14:paraId="60097C12" w14:textId="49C9800B" w:rsidR="00BC4F37" w:rsidRPr="00BC4F37" w:rsidRDefault="00BC4F37" w:rsidP="00BC4F37">
      <w:pPr>
        <w:pStyle w:val="Body"/>
        <w:ind w:left="720" w:hanging="720"/>
        <w:rPr>
          <w:lang w:val="en-GB"/>
        </w:rPr>
      </w:pPr>
      <w:r w:rsidRPr="00BC4F37">
        <w:rPr>
          <w:lang w:val="en-GB"/>
        </w:rPr>
        <w:lastRenderedPageBreak/>
        <w:t>Kabir, J., Cramb, R., Alauddin, M., Gaydon, D. S., &amp; Roth, C. H. (2020). Farmers’ perceptions and management of risk in rice/shrimp farming systems in South-West Coastal Bangladesh. </w:t>
      </w:r>
      <w:r w:rsidRPr="00BC4F37">
        <w:rPr>
          <w:i/>
          <w:iCs/>
          <w:lang w:val="en-GB"/>
        </w:rPr>
        <w:t>Land Use Policy</w:t>
      </w:r>
      <w:r w:rsidRPr="00BC4F37">
        <w:rPr>
          <w:lang w:val="en-GB"/>
        </w:rPr>
        <w:t>, </w:t>
      </w:r>
      <w:r w:rsidRPr="00BC4F37">
        <w:rPr>
          <w:i/>
          <w:iCs/>
          <w:lang w:val="en-GB"/>
        </w:rPr>
        <w:t>95</w:t>
      </w:r>
      <w:r w:rsidRPr="00BC4F37">
        <w:rPr>
          <w:lang w:val="en-GB"/>
        </w:rPr>
        <w:t xml:space="preserve">, 104577. </w:t>
      </w:r>
      <w:hyperlink r:id="rId26" w:tgtFrame="_blank" w:tooltip="Persistent link using digital object identifier" w:history="1">
        <w:r w:rsidRPr="00BC4F37">
          <w:rPr>
            <w:rStyle w:val="Hyperlink"/>
            <w:lang w:val="en-GB"/>
          </w:rPr>
          <w:t>https://doi.org/10.1016/j.landusepol.2020.104577</w:t>
        </w:r>
      </w:hyperlink>
    </w:p>
    <w:p w14:paraId="66E99A8D" w14:textId="77777777" w:rsidR="00BC4F37" w:rsidRPr="00BC4F37" w:rsidRDefault="00BC4F37" w:rsidP="00BC4F37">
      <w:pPr>
        <w:pStyle w:val="Body"/>
        <w:ind w:left="720" w:hanging="720"/>
        <w:rPr>
          <w:b/>
          <w:bCs/>
          <w:lang w:val="en-GB"/>
        </w:rPr>
      </w:pPr>
      <w:r w:rsidRPr="00BC4F37">
        <w:rPr>
          <w:lang w:val="en-GB"/>
        </w:rPr>
        <w:t xml:space="preserve">Kabir, M. S., Salam, M. U., Chowdhury, A., Rahman, N. M. F., </w:t>
      </w:r>
      <w:proofErr w:type="spellStart"/>
      <w:r w:rsidRPr="00BC4F37">
        <w:rPr>
          <w:lang w:val="en-GB"/>
        </w:rPr>
        <w:t>Iftekharuddaula</w:t>
      </w:r>
      <w:proofErr w:type="spellEnd"/>
      <w:r w:rsidRPr="00BC4F37">
        <w:rPr>
          <w:lang w:val="en-GB"/>
        </w:rPr>
        <w:t>, K. M., Rahman, M. S., ... &amp; Biswas, J. K. (2015). Rice vision for Bangladesh: 2050 and beyond. </w:t>
      </w:r>
      <w:r w:rsidRPr="00BC4F37">
        <w:rPr>
          <w:i/>
          <w:iCs/>
          <w:lang w:val="en-GB"/>
        </w:rPr>
        <w:t>Bangladesh Rice Journal</w:t>
      </w:r>
      <w:r w:rsidRPr="00BC4F37">
        <w:rPr>
          <w:lang w:val="en-GB"/>
        </w:rPr>
        <w:t>, </w:t>
      </w:r>
      <w:r w:rsidRPr="00BC4F37">
        <w:rPr>
          <w:i/>
          <w:iCs/>
          <w:lang w:val="en-GB"/>
        </w:rPr>
        <w:t>19</w:t>
      </w:r>
      <w:r w:rsidRPr="00BC4F37">
        <w:rPr>
          <w:lang w:val="en-GB"/>
        </w:rPr>
        <w:t xml:space="preserve">(2), 1-18. </w:t>
      </w:r>
      <w:hyperlink r:id="rId27" w:history="1">
        <w:r w:rsidRPr="00BC4F37">
          <w:rPr>
            <w:rStyle w:val="Hyperlink"/>
            <w:lang w:val="en-GB"/>
          </w:rPr>
          <w:t>https://doi.org/10.3329/brj.v19i2.28160</w:t>
        </w:r>
      </w:hyperlink>
    </w:p>
    <w:p w14:paraId="2ADAEF29" w14:textId="77777777" w:rsidR="00057166" w:rsidRPr="00BC4F37" w:rsidRDefault="008F01E5" w:rsidP="00BC4F37">
      <w:pPr>
        <w:pStyle w:val="Body"/>
        <w:ind w:left="720" w:hanging="720"/>
      </w:pPr>
      <w:r w:rsidRPr="00BC4F37">
        <w:t>Mia, M. L., &amp; Salam, M. A. (2024). The impact of nitrogenous fertilizer on weed growth in Boro rice. </w:t>
      </w:r>
      <w:r w:rsidRPr="00BC4F37">
        <w:rPr>
          <w:i/>
          <w:iCs/>
        </w:rPr>
        <w:t>Tropical Agrobiodiversity</w:t>
      </w:r>
      <w:r w:rsidRPr="00BC4F37">
        <w:t>, </w:t>
      </w:r>
      <w:r w:rsidRPr="00BC4F37">
        <w:rPr>
          <w:i/>
          <w:iCs/>
        </w:rPr>
        <w:t>5</w:t>
      </w:r>
      <w:r w:rsidRPr="00BC4F37">
        <w:t xml:space="preserve">(1), 30-36. </w:t>
      </w:r>
      <w:hyperlink r:id="rId28" w:history="1">
        <w:r w:rsidR="00057166" w:rsidRPr="00BC4F37">
          <w:rPr>
            <w:rStyle w:val="Hyperlink"/>
          </w:rPr>
          <w:t>http://doi.org/10.26480/trab.01.2024.30.36</w:t>
        </w:r>
      </w:hyperlink>
    </w:p>
    <w:p w14:paraId="2C15CCDD" w14:textId="77777777" w:rsidR="00057166" w:rsidRPr="00BC4F37" w:rsidRDefault="008F01E5" w:rsidP="00BC4F37">
      <w:pPr>
        <w:pStyle w:val="Body"/>
        <w:ind w:left="720" w:hanging="720"/>
      </w:pPr>
      <w:r w:rsidRPr="00BC4F37">
        <w:t xml:space="preserve">Mia, M. L., Begum, M., Riza, I. J., Kabir, M. H., Neshe, F. A., Monira, S., ... &amp; Islam, M. S. (2023). Effect of integrated nutrient management on the yield performance </w:t>
      </w:r>
      <w:r w:rsidRPr="00BC4F37">
        <w:t>of inbred and hybrid rice. </w:t>
      </w:r>
      <w:r w:rsidRPr="00BC4F37">
        <w:rPr>
          <w:i/>
          <w:iCs/>
        </w:rPr>
        <w:t>International Journal of Sustainable Crop Production</w:t>
      </w:r>
      <w:r w:rsidRPr="00BC4F37">
        <w:t xml:space="preserve">, 18(1), 10-18. </w:t>
      </w:r>
      <w:hyperlink r:id="rId29" w:history="1">
        <w:r w:rsidR="00057166" w:rsidRPr="00BC4F37">
          <w:rPr>
            <w:rStyle w:val="Hyperlink"/>
          </w:rPr>
          <w:t>http://ggfjournals.com/content/papers/MIN-857</w:t>
        </w:r>
      </w:hyperlink>
    </w:p>
    <w:p w14:paraId="5B611360" w14:textId="77777777" w:rsidR="00BC4F37" w:rsidRPr="00BC4F37" w:rsidRDefault="00BC4F37" w:rsidP="00BC4F37">
      <w:pPr>
        <w:pStyle w:val="Body"/>
        <w:ind w:left="720" w:hanging="720"/>
      </w:pPr>
      <w:r w:rsidRPr="00BC4F37">
        <w:t>MOA (2021). Weekly Crop Production Report Ministry of Agriculture, Government of the People's Republic of Bangladesh, Dhaka.</w:t>
      </w:r>
    </w:p>
    <w:p w14:paraId="36312297" w14:textId="77777777" w:rsidR="00BC4F37" w:rsidRPr="00BC4F37" w:rsidRDefault="00BC4F37" w:rsidP="00BC4F37">
      <w:pPr>
        <w:pStyle w:val="Body"/>
        <w:ind w:left="720" w:hanging="720"/>
        <w:rPr>
          <w:lang w:val="en-GB"/>
        </w:rPr>
      </w:pPr>
      <w:r w:rsidRPr="00BC4F37">
        <w:rPr>
          <w:lang w:val="en-GB"/>
        </w:rPr>
        <w:t xml:space="preserve">Moe, K., Htwe, A. Z., Thu, T. T. P., </w:t>
      </w:r>
      <w:proofErr w:type="spellStart"/>
      <w:r w:rsidRPr="00BC4F37">
        <w:rPr>
          <w:lang w:val="en-GB"/>
        </w:rPr>
        <w:t>Kajihara</w:t>
      </w:r>
      <w:proofErr w:type="spellEnd"/>
      <w:r w:rsidRPr="00BC4F37">
        <w:rPr>
          <w:lang w:val="en-GB"/>
        </w:rPr>
        <w:t>, Y., &amp; Yamakawa, T. (2019). Effects on NPK status, growth, dry matter and yield of rice (</w:t>
      </w:r>
      <w:r w:rsidRPr="00BC4F37">
        <w:rPr>
          <w:i/>
          <w:iCs/>
          <w:lang w:val="en-GB"/>
        </w:rPr>
        <w:t>Oryza sativa</w:t>
      </w:r>
      <w:r w:rsidRPr="00BC4F37">
        <w:rPr>
          <w:lang w:val="en-GB"/>
        </w:rPr>
        <w:t>) by organic fertilizers applied in field condition. </w:t>
      </w:r>
      <w:r w:rsidRPr="00BC4F37">
        <w:rPr>
          <w:i/>
          <w:iCs/>
          <w:lang w:val="en-GB"/>
        </w:rPr>
        <w:t>Agriculture</w:t>
      </w:r>
      <w:r w:rsidRPr="00BC4F37">
        <w:rPr>
          <w:lang w:val="en-GB"/>
        </w:rPr>
        <w:t>, </w:t>
      </w:r>
      <w:r w:rsidRPr="00BC4F37">
        <w:rPr>
          <w:i/>
          <w:iCs/>
          <w:lang w:val="en-GB"/>
        </w:rPr>
        <w:t>9</w:t>
      </w:r>
      <w:r w:rsidRPr="00BC4F37">
        <w:rPr>
          <w:lang w:val="en-GB"/>
        </w:rPr>
        <w:t xml:space="preserve">(5), 109. </w:t>
      </w:r>
      <w:hyperlink r:id="rId30" w:history="1">
        <w:r w:rsidRPr="00BC4F37">
          <w:rPr>
            <w:rStyle w:val="Hyperlink"/>
            <w:lang w:val="en-GB"/>
          </w:rPr>
          <w:t>https://doi.org/10.3390/agriculture9050109</w:t>
        </w:r>
      </w:hyperlink>
    </w:p>
    <w:p w14:paraId="1608D718" w14:textId="77777777" w:rsidR="00BC4F37" w:rsidRPr="00BC4F37" w:rsidRDefault="00BC4F37" w:rsidP="00BC4F37">
      <w:pPr>
        <w:pStyle w:val="Body"/>
        <w:ind w:left="720" w:hanging="720"/>
        <w:rPr>
          <w:lang w:val="en-GB"/>
        </w:rPr>
      </w:pPr>
      <w:bookmarkStart w:id="2" w:name="_Hlk115023318"/>
      <w:r w:rsidRPr="00BC4F37">
        <w:rPr>
          <w:lang w:val="en-GB"/>
        </w:rPr>
        <w:t>Panda, D., Kundu, S. K., Ghosh, A., Prakash, N. B., &amp; Patra, D. D. (2007). Nitrogen use efficiency in rice ecosystems. </w:t>
      </w:r>
      <w:r w:rsidRPr="00BC4F37">
        <w:rPr>
          <w:i/>
          <w:iCs/>
          <w:lang w:val="en-GB"/>
        </w:rPr>
        <w:t xml:space="preserve">Agricultural nitrogen </w:t>
      </w:r>
      <w:proofErr w:type="gramStart"/>
      <w:r w:rsidRPr="00BC4F37">
        <w:rPr>
          <w:i/>
          <w:iCs/>
          <w:lang w:val="en-GB"/>
        </w:rPr>
        <w:t>use</w:t>
      </w:r>
      <w:proofErr w:type="gramEnd"/>
      <w:r w:rsidRPr="00BC4F37">
        <w:rPr>
          <w:i/>
          <w:iCs/>
          <w:lang w:val="en-GB"/>
        </w:rPr>
        <w:t xml:space="preserve"> and its policy implications</w:t>
      </w:r>
      <w:r w:rsidRPr="00BC4F37">
        <w:rPr>
          <w:lang w:val="en-GB"/>
        </w:rPr>
        <w:t>, 99-120.</w:t>
      </w:r>
    </w:p>
    <w:bookmarkEnd w:id="2"/>
    <w:p w14:paraId="6C307E32" w14:textId="77777777" w:rsidR="00BC4F37" w:rsidRPr="00BC4F37" w:rsidRDefault="00BC4F37" w:rsidP="00BC4F37">
      <w:pPr>
        <w:pStyle w:val="Body"/>
        <w:ind w:left="720" w:hanging="720"/>
        <w:rPr>
          <w:lang w:val="en-GB"/>
        </w:rPr>
      </w:pPr>
      <w:r w:rsidRPr="00BC4F37">
        <w:rPr>
          <w:lang w:val="en-GB"/>
        </w:rPr>
        <w:t>Qiong, W. U., Shen, G. A. O., Quan-</w:t>
      </w:r>
      <w:proofErr w:type="spellStart"/>
      <w:r w:rsidRPr="00BC4F37">
        <w:rPr>
          <w:lang w:val="en-GB"/>
        </w:rPr>
        <w:t>xin</w:t>
      </w:r>
      <w:proofErr w:type="spellEnd"/>
      <w:r w:rsidRPr="00BC4F37">
        <w:rPr>
          <w:lang w:val="en-GB"/>
        </w:rPr>
        <w:t>, L. I., Wei-</w:t>
      </w:r>
      <w:proofErr w:type="spellStart"/>
      <w:r w:rsidRPr="00BC4F37">
        <w:rPr>
          <w:lang w:val="en-GB"/>
        </w:rPr>
        <w:t>wei</w:t>
      </w:r>
      <w:proofErr w:type="spellEnd"/>
      <w:r w:rsidRPr="00BC4F37">
        <w:rPr>
          <w:lang w:val="en-GB"/>
        </w:rPr>
        <w:t>, L. I., Zheng-hui, L. I. U., &amp; Gang-</w:t>
      </w:r>
      <w:proofErr w:type="spellStart"/>
      <w:r w:rsidRPr="00BC4F37">
        <w:rPr>
          <w:lang w:val="en-GB"/>
        </w:rPr>
        <w:t>hua</w:t>
      </w:r>
      <w:proofErr w:type="spellEnd"/>
      <w:r w:rsidRPr="00BC4F37">
        <w:rPr>
          <w:lang w:val="en-GB"/>
        </w:rPr>
        <w:t>, L. I. (2021). Effects of different types of slow-and controlled-release fertilizers on rice yield. </w:t>
      </w:r>
      <w:r w:rsidRPr="00BC4F37">
        <w:rPr>
          <w:i/>
          <w:iCs/>
          <w:lang w:val="en-GB"/>
        </w:rPr>
        <w:t>Journal of Integrative Agriculture</w:t>
      </w:r>
      <w:r w:rsidRPr="00BC4F37">
        <w:rPr>
          <w:lang w:val="en-GB"/>
        </w:rPr>
        <w:t>, </w:t>
      </w:r>
      <w:r w:rsidRPr="00BC4F37">
        <w:rPr>
          <w:i/>
          <w:iCs/>
          <w:lang w:val="en-GB"/>
        </w:rPr>
        <w:t>20</w:t>
      </w:r>
      <w:r w:rsidRPr="00BC4F37">
        <w:rPr>
          <w:lang w:val="en-GB"/>
        </w:rPr>
        <w:t xml:space="preserve">(6), 1503-1514. </w:t>
      </w:r>
      <w:hyperlink r:id="rId31" w:tgtFrame="_blank" w:tooltip="Persistent link using digital object identifier" w:history="1">
        <w:r w:rsidRPr="00BC4F37">
          <w:rPr>
            <w:rStyle w:val="Hyperlink"/>
            <w:lang w:val="en-GB"/>
          </w:rPr>
          <w:t>https://doi.org/10.1016/S2095-3119(20)63406-2</w:t>
        </w:r>
      </w:hyperlink>
    </w:p>
    <w:p w14:paraId="1B663323" w14:textId="77777777" w:rsidR="00057166" w:rsidRPr="00BC4F37" w:rsidRDefault="008F01E5" w:rsidP="00BC4F37">
      <w:pPr>
        <w:pStyle w:val="Body"/>
        <w:ind w:left="720" w:hanging="720"/>
      </w:pPr>
      <w:r w:rsidRPr="00BC4F37">
        <w:t>Sadik, A. N. M., Hossa</w:t>
      </w:r>
      <w:r w:rsidRPr="00BC4F37">
        <w:t>in, M. M., Humaira, Z., Sarker, B., Mia, M. L., Alamgir, M. B., ... &amp; Islam, M. S. (2025). Allelopathic Effects of Cyperus difformis and Eleocharis atropurpurea along with Manures and Fertilizers on the Weed Growth in Transplanted Aman Rice. </w:t>
      </w:r>
      <w:r w:rsidRPr="00BC4F37">
        <w:rPr>
          <w:i/>
          <w:iCs/>
        </w:rPr>
        <w:t>Asian Soil Res</w:t>
      </w:r>
      <w:r w:rsidRPr="00BC4F37">
        <w:rPr>
          <w:i/>
          <w:iCs/>
        </w:rPr>
        <w:t>earch Journal</w:t>
      </w:r>
      <w:r w:rsidRPr="00BC4F37">
        <w:t>, </w:t>
      </w:r>
      <w:r w:rsidRPr="00BC4F37">
        <w:rPr>
          <w:i/>
          <w:iCs/>
        </w:rPr>
        <w:t>9</w:t>
      </w:r>
      <w:r w:rsidRPr="00BC4F37">
        <w:t xml:space="preserve">(3), 65-79. </w:t>
      </w:r>
      <w:hyperlink r:id="rId32" w:history="1">
        <w:r w:rsidR="00057166" w:rsidRPr="00BC4F37">
          <w:rPr>
            <w:rStyle w:val="Hyperlink"/>
          </w:rPr>
          <w:t>https://doi.org/10.9734/asrj/2025/v9i3191</w:t>
        </w:r>
      </w:hyperlink>
    </w:p>
    <w:p w14:paraId="3AC479A4" w14:textId="77777777" w:rsidR="00057166" w:rsidRPr="00BC4F37" w:rsidRDefault="008F01E5" w:rsidP="00BC4F37">
      <w:pPr>
        <w:pStyle w:val="Body"/>
        <w:ind w:left="720" w:hanging="720"/>
      </w:pPr>
      <w:bookmarkStart w:id="3" w:name="_Hlk211203740"/>
      <w:r w:rsidRPr="00BC4F37">
        <w:t xml:space="preserve">Salam, M. A., Hossain, M. D., Mia, M. L., Onna, K. A. M., &amp; Begum, M. (2022). Effect of crop establishment method and weed management practices on the performance of T. </w:t>
      </w:r>
      <w:r w:rsidRPr="00BC4F37">
        <w:rPr>
          <w:i/>
          <w:iCs/>
        </w:rPr>
        <w:t>aman</w:t>
      </w:r>
      <w:r w:rsidRPr="00BC4F37">
        <w:t xml:space="preserve"> rice. </w:t>
      </w:r>
      <w:r w:rsidRPr="00BC4F37">
        <w:rPr>
          <w:i/>
          <w:iCs/>
        </w:rPr>
        <w:t>Journal of Agriculture and Rural Development</w:t>
      </w:r>
      <w:r w:rsidRPr="00BC4F37">
        <w:t>, 14(1 &amp; 2), 1–11.</w:t>
      </w:r>
    </w:p>
    <w:bookmarkEnd w:id="3"/>
    <w:p w14:paraId="1E7B5DB3" w14:textId="77777777" w:rsidR="00BC4F37" w:rsidRPr="00BC4F37" w:rsidRDefault="00BC4F37" w:rsidP="00BC4F37">
      <w:pPr>
        <w:pStyle w:val="Body"/>
        <w:ind w:left="720" w:hanging="720"/>
        <w:rPr>
          <w:lang w:val="en-GB"/>
        </w:rPr>
      </w:pPr>
      <w:r w:rsidRPr="00BC4F37">
        <w:rPr>
          <w:lang w:val="en-GB"/>
        </w:rPr>
        <w:t xml:space="preserve">Sankaran, M., Hanan, N. P., Scholes, R. J., Ratnam, J., Augustine, D. J., Cade, B. S., ... &amp; </w:t>
      </w:r>
      <w:proofErr w:type="spellStart"/>
      <w:r w:rsidRPr="00BC4F37">
        <w:rPr>
          <w:lang w:val="en-GB"/>
        </w:rPr>
        <w:t>Zambatis</w:t>
      </w:r>
      <w:proofErr w:type="spellEnd"/>
      <w:r w:rsidRPr="00BC4F37">
        <w:rPr>
          <w:lang w:val="en-GB"/>
        </w:rPr>
        <w:t>, N. (2005). Determinants of woody cover in African savannas. </w:t>
      </w:r>
      <w:r w:rsidRPr="00BC4F37">
        <w:rPr>
          <w:i/>
          <w:iCs/>
          <w:lang w:val="en-GB"/>
        </w:rPr>
        <w:t>Nature</w:t>
      </w:r>
      <w:r w:rsidRPr="00BC4F37">
        <w:rPr>
          <w:lang w:val="en-GB"/>
        </w:rPr>
        <w:t>, </w:t>
      </w:r>
      <w:r w:rsidRPr="00BC4F37">
        <w:rPr>
          <w:i/>
          <w:iCs/>
          <w:lang w:val="en-GB"/>
        </w:rPr>
        <w:t>438</w:t>
      </w:r>
      <w:r w:rsidRPr="00BC4F37">
        <w:rPr>
          <w:lang w:val="en-GB"/>
        </w:rPr>
        <w:t xml:space="preserve">(7069), 846-849. </w:t>
      </w:r>
      <w:hyperlink r:id="rId33" w:history="1">
        <w:r w:rsidRPr="00BC4F37">
          <w:rPr>
            <w:rStyle w:val="Hyperlink"/>
            <w:lang w:val="en-GB"/>
          </w:rPr>
          <w:t>https://doi.org/10.1038/nature04070</w:t>
        </w:r>
      </w:hyperlink>
    </w:p>
    <w:p w14:paraId="7DC65CB0" w14:textId="77777777" w:rsidR="00BC4F37" w:rsidRPr="00BC4F37" w:rsidRDefault="00BC4F37" w:rsidP="00BC4F37">
      <w:pPr>
        <w:pStyle w:val="Body"/>
        <w:ind w:left="720" w:hanging="720"/>
        <w:rPr>
          <w:lang w:val="en-GB"/>
        </w:rPr>
      </w:pPr>
      <w:r w:rsidRPr="00BC4F37">
        <w:rPr>
          <w:lang w:val="en-GB"/>
        </w:rPr>
        <w:t xml:space="preserve">Savant, N. K., Snyder, G. H., &amp; </w:t>
      </w:r>
      <w:proofErr w:type="spellStart"/>
      <w:r w:rsidRPr="00BC4F37">
        <w:rPr>
          <w:lang w:val="en-GB"/>
        </w:rPr>
        <w:t>Datnoff</w:t>
      </w:r>
      <w:proofErr w:type="spellEnd"/>
      <w:r w:rsidRPr="00BC4F37">
        <w:rPr>
          <w:lang w:val="en-GB"/>
        </w:rPr>
        <w:t>, L. E. (1996). Silicon management and sustainable rice production. </w:t>
      </w:r>
      <w:r w:rsidRPr="00BC4F37">
        <w:rPr>
          <w:i/>
          <w:iCs/>
          <w:lang w:val="en-GB"/>
        </w:rPr>
        <w:t>Advances in agronomy</w:t>
      </w:r>
      <w:r w:rsidRPr="00BC4F37">
        <w:rPr>
          <w:lang w:val="en-GB"/>
        </w:rPr>
        <w:t>, </w:t>
      </w:r>
      <w:r w:rsidRPr="00BC4F37">
        <w:rPr>
          <w:i/>
          <w:iCs/>
          <w:lang w:val="en-GB"/>
        </w:rPr>
        <w:t>58</w:t>
      </w:r>
      <w:r w:rsidRPr="00BC4F37">
        <w:rPr>
          <w:lang w:val="en-GB"/>
        </w:rPr>
        <w:t xml:space="preserve">, 151-199. </w:t>
      </w:r>
      <w:hyperlink r:id="rId34" w:tgtFrame="_blank" w:tooltip="Persistent link using digital object identifier" w:history="1">
        <w:r w:rsidRPr="00BC4F37">
          <w:rPr>
            <w:rStyle w:val="Hyperlink"/>
            <w:lang w:val="en-GB"/>
          </w:rPr>
          <w:t>https://doi.org/10.1016/S0065-2113(08)60255-2</w:t>
        </w:r>
      </w:hyperlink>
    </w:p>
    <w:p w14:paraId="3DDEC2C6" w14:textId="77777777" w:rsidR="00BC4F37" w:rsidRPr="00BC4F37" w:rsidRDefault="00BC4F37" w:rsidP="00BC4F37">
      <w:pPr>
        <w:pStyle w:val="Body"/>
        <w:ind w:left="720" w:hanging="720"/>
        <w:rPr>
          <w:lang w:val="en-GB"/>
        </w:rPr>
      </w:pPr>
      <w:r w:rsidRPr="00BC4F37">
        <w:rPr>
          <w:lang w:val="en-GB"/>
        </w:rPr>
        <w:lastRenderedPageBreak/>
        <w:t>Sharma, S. N., &amp; Prasad, R. (1999). Effects of sesbania green manuring and mungbean residue incorporation of productivity and nitrogen uptake of a rice-wheat cropping system. </w:t>
      </w:r>
      <w:r w:rsidRPr="00BC4F37">
        <w:rPr>
          <w:i/>
          <w:iCs/>
          <w:lang w:val="en-GB"/>
        </w:rPr>
        <w:t>Bioresource Technology</w:t>
      </w:r>
      <w:r w:rsidRPr="00BC4F37">
        <w:rPr>
          <w:lang w:val="en-GB"/>
        </w:rPr>
        <w:t>, </w:t>
      </w:r>
      <w:r w:rsidRPr="00BC4F37">
        <w:rPr>
          <w:i/>
          <w:iCs/>
          <w:lang w:val="en-GB"/>
        </w:rPr>
        <w:t>67</w:t>
      </w:r>
      <w:r w:rsidRPr="00BC4F37">
        <w:rPr>
          <w:lang w:val="en-GB"/>
        </w:rPr>
        <w:t xml:space="preserve">(2), 171-175. </w:t>
      </w:r>
      <w:hyperlink r:id="rId35" w:tgtFrame="_blank" w:tooltip="Persistent link using digital object identifier" w:history="1">
        <w:r w:rsidRPr="00BC4F37">
          <w:rPr>
            <w:rStyle w:val="Hyperlink"/>
            <w:lang w:val="en-GB"/>
          </w:rPr>
          <w:t>https://doi.org/10.1016/S0960-8524(98)00101-1</w:t>
        </w:r>
      </w:hyperlink>
    </w:p>
    <w:p w14:paraId="25E30311" w14:textId="77777777" w:rsidR="00BC4F37" w:rsidRPr="00BC4F37" w:rsidRDefault="00BC4F37" w:rsidP="00BC4F37">
      <w:pPr>
        <w:pStyle w:val="Body"/>
        <w:ind w:left="720" w:hanging="720"/>
        <w:rPr>
          <w:lang w:val="en-GB"/>
        </w:rPr>
      </w:pPr>
      <w:r w:rsidRPr="00BC4F37">
        <w:rPr>
          <w:lang w:val="en-GB"/>
        </w:rPr>
        <w:t xml:space="preserve">Timsina, J., Wolf, J., </w:t>
      </w:r>
      <w:proofErr w:type="spellStart"/>
      <w:r w:rsidRPr="00BC4F37">
        <w:rPr>
          <w:lang w:val="en-GB"/>
        </w:rPr>
        <w:t>Guilpart</w:t>
      </w:r>
      <w:proofErr w:type="spellEnd"/>
      <w:r w:rsidRPr="00BC4F37">
        <w:rPr>
          <w:lang w:val="en-GB"/>
        </w:rPr>
        <w:t xml:space="preserve">, N., Van Bussel, L. G. J., Grassini, P., Van Wart, J., ... &amp; Van </w:t>
      </w:r>
      <w:proofErr w:type="spellStart"/>
      <w:r w:rsidRPr="00BC4F37">
        <w:rPr>
          <w:lang w:val="en-GB"/>
        </w:rPr>
        <w:t>Ittersum</w:t>
      </w:r>
      <w:proofErr w:type="spellEnd"/>
      <w:r w:rsidRPr="00BC4F37">
        <w:rPr>
          <w:lang w:val="en-GB"/>
        </w:rPr>
        <w:t xml:space="preserve">, M. K. (2018). Can Bangladesh produce enough cereals to meet future </w:t>
      </w:r>
      <w:proofErr w:type="gramStart"/>
      <w:r w:rsidRPr="00BC4F37">
        <w:rPr>
          <w:lang w:val="en-GB"/>
        </w:rPr>
        <w:t>demand?.</w:t>
      </w:r>
      <w:proofErr w:type="gramEnd"/>
      <w:r w:rsidRPr="00BC4F37">
        <w:rPr>
          <w:lang w:val="en-GB"/>
        </w:rPr>
        <w:t> </w:t>
      </w:r>
      <w:r w:rsidRPr="00BC4F37">
        <w:rPr>
          <w:i/>
          <w:iCs/>
          <w:lang w:val="en-GB"/>
        </w:rPr>
        <w:t>Agricultural systems</w:t>
      </w:r>
      <w:r w:rsidRPr="00BC4F37">
        <w:rPr>
          <w:lang w:val="en-GB"/>
        </w:rPr>
        <w:t>, </w:t>
      </w:r>
      <w:r w:rsidRPr="00BC4F37">
        <w:rPr>
          <w:i/>
          <w:iCs/>
          <w:lang w:val="en-GB"/>
        </w:rPr>
        <w:t>163</w:t>
      </w:r>
      <w:r w:rsidRPr="00BC4F37">
        <w:rPr>
          <w:lang w:val="en-GB"/>
        </w:rPr>
        <w:t xml:space="preserve">, 36-44. </w:t>
      </w:r>
      <w:hyperlink r:id="rId36" w:tgtFrame="_blank" w:tooltip="Persistent link using digital object identifier" w:history="1">
        <w:r w:rsidRPr="00BC4F37">
          <w:rPr>
            <w:rStyle w:val="Hyperlink"/>
            <w:lang w:val="en-GB"/>
          </w:rPr>
          <w:t>https://doi.org/10.1016/j.agsy.2016.11.003</w:t>
        </w:r>
      </w:hyperlink>
    </w:p>
    <w:p w14:paraId="10F9748D" w14:textId="77777777" w:rsidR="00057166" w:rsidRPr="00BC4F37" w:rsidRDefault="008F01E5" w:rsidP="00BC4F37">
      <w:pPr>
        <w:pStyle w:val="Body"/>
        <w:ind w:left="720" w:hanging="720"/>
      </w:pPr>
      <w:r w:rsidRPr="00BC4F37">
        <w:t>Tuhin, K. O. F., Karim, M. R., Akter, F., Hossain, M. A., Mia, M. L., &amp; Islam, M. S. (2025). Influence of Plant Spacing and NPK Fertilizers on Growth and Yield of Broccoli. </w:t>
      </w:r>
      <w:r w:rsidRPr="00BC4F37">
        <w:rPr>
          <w:i/>
          <w:iCs/>
        </w:rPr>
        <w:t>Asian Jour</w:t>
      </w:r>
      <w:r w:rsidRPr="00BC4F37">
        <w:rPr>
          <w:i/>
          <w:iCs/>
        </w:rPr>
        <w:t>nal of Agricultural and Horticultural Research</w:t>
      </w:r>
      <w:r w:rsidRPr="00BC4F37">
        <w:t>, </w:t>
      </w:r>
      <w:r w:rsidRPr="00BC4F37">
        <w:rPr>
          <w:i/>
          <w:iCs/>
        </w:rPr>
        <w:t>12</w:t>
      </w:r>
      <w:r w:rsidRPr="00BC4F37">
        <w:t xml:space="preserve">(1), 20-36. </w:t>
      </w:r>
      <w:hyperlink r:id="rId37" w:history="1">
        <w:r w:rsidR="00057166" w:rsidRPr="00BC4F37">
          <w:rPr>
            <w:rStyle w:val="Hyperlink"/>
          </w:rPr>
          <w:t>https://doi.org/10.9734/ajahr/2025/v12i1356</w:t>
        </w:r>
      </w:hyperlink>
    </w:p>
    <w:p w14:paraId="4CF902BD" w14:textId="77777777" w:rsidR="00BC4F37" w:rsidRPr="00BC4F37" w:rsidRDefault="00BC4F37" w:rsidP="00BC4F37">
      <w:pPr>
        <w:pStyle w:val="Body"/>
        <w:ind w:left="720" w:hanging="720"/>
      </w:pPr>
      <w:r w:rsidRPr="00BC4F37">
        <w:t xml:space="preserve">UNDP &amp; FAO (1988). Land Resources Appraisal of Bangladesh for Agricultural Development Report No. 2. </w:t>
      </w:r>
      <w:proofErr w:type="spellStart"/>
      <w:r w:rsidRPr="00BC4F37">
        <w:t>Agro</w:t>
      </w:r>
      <w:proofErr w:type="spellEnd"/>
      <w:r w:rsidRPr="00BC4F37">
        <w:t xml:space="preserve">-ecological regions of Bangladesh. United Nations Development </w:t>
      </w:r>
      <w:proofErr w:type="spellStart"/>
      <w:r w:rsidRPr="00BC4F37">
        <w:t>Programme</w:t>
      </w:r>
      <w:proofErr w:type="spellEnd"/>
      <w:r w:rsidRPr="00BC4F37">
        <w:t xml:space="preserve"> and Food and Agricultural Organization, Rome, Italy. Pp. 212-221.</w:t>
      </w:r>
    </w:p>
    <w:p w14:paraId="07EAEB60" w14:textId="77777777" w:rsidR="00BC4F37" w:rsidRPr="00BC4F37" w:rsidRDefault="00BC4F37" w:rsidP="00BC4F37">
      <w:pPr>
        <w:pStyle w:val="Body"/>
        <w:ind w:left="720" w:hanging="720"/>
      </w:pPr>
      <w:r w:rsidRPr="00BC4F37">
        <w:t>USDA (2021). Bangladesh Grain and Feed Update. Foreign agricultural services, United States of Department of Agriculture, Washington, DC 20250, USA. BG2021-0024.</w:t>
      </w:r>
    </w:p>
    <w:p w14:paraId="0245B547" w14:textId="0D8DE139" w:rsidR="00790ADA" w:rsidRPr="00BC4F37" w:rsidRDefault="00BC4F37" w:rsidP="00BC4F37">
      <w:pPr>
        <w:pStyle w:val="Body"/>
        <w:ind w:left="720" w:hanging="720"/>
      </w:pPr>
      <w:r w:rsidRPr="00BC4F37">
        <w:rPr>
          <w:lang w:val="en-GB"/>
        </w:rPr>
        <w:t>Wu, M., Li, G., Li, W., Liu, J., Liu, M., Jiang, C., &amp; Li, Z. (2017). Nitrogen fertilizer deep placement for increased grain yield and nitrogen recovery efficiency in rice grown in subtropical China. </w:t>
      </w:r>
      <w:r w:rsidRPr="00BC4F37">
        <w:rPr>
          <w:i/>
          <w:iCs/>
          <w:lang w:val="en-GB"/>
        </w:rPr>
        <w:t>Frontiers in plant science</w:t>
      </w:r>
      <w:r w:rsidRPr="00BC4F37">
        <w:rPr>
          <w:lang w:val="en-GB"/>
        </w:rPr>
        <w:t>, </w:t>
      </w:r>
      <w:r w:rsidRPr="00BC4F37">
        <w:rPr>
          <w:i/>
          <w:iCs/>
          <w:lang w:val="en-GB"/>
        </w:rPr>
        <w:t>8</w:t>
      </w:r>
      <w:r w:rsidRPr="00BC4F37">
        <w:rPr>
          <w:lang w:val="en-GB"/>
        </w:rPr>
        <w:t>, 1227</w:t>
      </w:r>
      <w:r w:rsidRPr="00BC4F37">
        <w:t>.</w:t>
      </w:r>
      <w:r w:rsidRPr="00BC4F37">
        <w:rPr>
          <w:lang w:val="en-GB"/>
        </w:rPr>
        <w:t xml:space="preserve"> </w:t>
      </w:r>
      <w:hyperlink r:id="rId38" w:history="1">
        <w:r w:rsidRPr="00BC4F37">
          <w:rPr>
            <w:rStyle w:val="Hyperlink"/>
            <w:lang w:val="en-GB"/>
          </w:rPr>
          <w:t>https://doi.org/10.3389/fpls.2017.01227</w:t>
        </w:r>
      </w:hyperlink>
    </w:p>
    <w:p w14:paraId="47480F34" w14:textId="4A7174EE" w:rsidR="004D4277" w:rsidRPr="00FB3A86" w:rsidRDefault="004D4277" w:rsidP="00441B6F">
      <w:pPr>
        <w:pStyle w:val="Appendix"/>
        <w:spacing w:after="0"/>
        <w:jc w:val="both"/>
        <w:rPr>
          <w:rFonts w:ascii="Arial" w:hAnsi="Arial" w:cs="Arial"/>
          <w:b w:val="0"/>
        </w:rPr>
        <w:sectPr w:rsidR="004D4277" w:rsidRPr="00FB3A86" w:rsidSect="00AD0FB6">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327C1064" w14:textId="77777777" w:rsidR="00B01FCD" w:rsidRPr="00FB3A86" w:rsidRDefault="00B01FCD" w:rsidP="00441B6F">
      <w:pPr>
        <w:pStyle w:val="Appendix"/>
        <w:spacing w:after="0"/>
        <w:jc w:val="both"/>
        <w:rPr>
          <w:rFonts w:ascii="Arial" w:hAnsi="Arial" w:cs="Arial"/>
          <w:b w:val="0"/>
        </w:rPr>
      </w:pPr>
    </w:p>
    <w:sectPr w:rsidR="00B01FCD" w:rsidRPr="00FB3A86" w:rsidSect="00AD0F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D0893" w14:textId="77777777" w:rsidR="008F01E5" w:rsidRDefault="008F01E5" w:rsidP="00C37E61">
      <w:r>
        <w:separator/>
      </w:r>
    </w:p>
  </w:endnote>
  <w:endnote w:type="continuationSeparator" w:id="0">
    <w:p w14:paraId="385718CE" w14:textId="77777777" w:rsidR="008F01E5" w:rsidRDefault="008F01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A7C1" w14:textId="77777777" w:rsidR="002A7657" w:rsidRDefault="002A7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155B" w14:textId="77777777" w:rsidR="002A7657" w:rsidRDefault="002A7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F991" w14:textId="77777777" w:rsidR="009E048A" w:rsidRDefault="009E048A">
    <w:pPr>
      <w:pStyle w:val="Footer"/>
      <w:rPr>
        <w:rFonts w:ascii="Arial" w:hAnsi="Arial" w:cs="Arial"/>
        <w:sz w:val="16"/>
      </w:rPr>
    </w:pPr>
  </w:p>
  <w:p w14:paraId="4603D5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28B81F" w14:textId="77777777" w:rsidR="009E048A" w:rsidRDefault="009E048A">
    <w:pPr>
      <w:pStyle w:val="Footer"/>
      <w:rPr>
        <w:rFonts w:ascii="Arial" w:hAnsi="Arial" w:cs="Arial"/>
        <w:sz w:val="16"/>
      </w:rPr>
    </w:pPr>
  </w:p>
  <w:p w14:paraId="612C48A3" w14:textId="7B66E10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4D6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E2A1" w14:textId="77777777" w:rsidR="008F01E5" w:rsidRDefault="008F01E5" w:rsidP="00C37E61">
      <w:r>
        <w:separator/>
      </w:r>
    </w:p>
  </w:footnote>
  <w:footnote w:type="continuationSeparator" w:id="0">
    <w:p w14:paraId="03125358" w14:textId="77777777" w:rsidR="008F01E5" w:rsidRDefault="008F01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FA1B" w14:textId="12F47B65" w:rsidR="002A7657" w:rsidRDefault="002A7657">
    <w:pPr>
      <w:pStyle w:val="Header"/>
    </w:pPr>
    <w:r>
      <w:rPr>
        <w:noProof/>
      </w:rPr>
      <w:pict w14:anchorId="0FAD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06C5" w14:textId="228FD05B" w:rsidR="002A7657" w:rsidRDefault="002A7657">
    <w:pPr>
      <w:pStyle w:val="Header"/>
    </w:pPr>
    <w:r>
      <w:rPr>
        <w:noProof/>
      </w:rPr>
      <w:pict w14:anchorId="4FEBC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46A4" w14:textId="3BCDA8A4" w:rsidR="00296529" w:rsidRPr="00296529" w:rsidRDefault="002A7657" w:rsidP="00296529">
    <w:pPr>
      <w:ind w:left="2160"/>
      <w:jc w:val="center"/>
      <w:rPr>
        <w:rFonts w:ascii="Times New Roman" w:eastAsia="Calibri" w:hAnsi="Times New Roman"/>
        <w:i/>
        <w:sz w:val="18"/>
        <w:szCs w:val="22"/>
      </w:rPr>
    </w:pPr>
    <w:r>
      <w:rPr>
        <w:noProof/>
      </w:rPr>
      <w:pict w14:anchorId="74AD6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0CC8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760A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F96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EB299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A77D1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75CE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90D2" w14:textId="262EF5EB" w:rsidR="002A7657" w:rsidRDefault="002A7657">
    <w:pPr>
      <w:pStyle w:val="Header"/>
    </w:pPr>
    <w:r>
      <w:rPr>
        <w:noProof/>
      </w:rPr>
      <w:pict w14:anchorId="77CD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278A" w14:textId="5DB2F2D2" w:rsidR="002A7657" w:rsidRDefault="002A7657">
    <w:pPr>
      <w:pStyle w:val="Header"/>
    </w:pPr>
    <w:r>
      <w:rPr>
        <w:noProof/>
      </w:rPr>
      <w:pict w14:anchorId="6C85A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015D" w14:textId="6A34CCD4" w:rsidR="002A7657" w:rsidRDefault="002A7657">
    <w:pPr>
      <w:pStyle w:val="Header"/>
    </w:pPr>
    <w:r>
      <w:rPr>
        <w:noProof/>
      </w:rPr>
      <w:pict w14:anchorId="50911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66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166"/>
    <w:rsid w:val="000A47FA"/>
    <w:rsid w:val="000A65D3"/>
    <w:rsid w:val="000B1E33"/>
    <w:rsid w:val="000B467A"/>
    <w:rsid w:val="000D689F"/>
    <w:rsid w:val="000E7B7B"/>
    <w:rsid w:val="000E7D62"/>
    <w:rsid w:val="000F45CA"/>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D54"/>
    <w:rsid w:val="002722B0"/>
    <w:rsid w:val="0027545D"/>
    <w:rsid w:val="00283105"/>
    <w:rsid w:val="00284C4C"/>
    <w:rsid w:val="00287E68"/>
    <w:rsid w:val="00296529"/>
    <w:rsid w:val="002A7657"/>
    <w:rsid w:val="002B27FB"/>
    <w:rsid w:val="002B685A"/>
    <w:rsid w:val="002C57D2"/>
    <w:rsid w:val="002E0D56"/>
    <w:rsid w:val="002E3F76"/>
    <w:rsid w:val="002F51D8"/>
    <w:rsid w:val="00306610"/>
    <w:rsid w:val="00315186"/>
    <w:rsid w:val="0033343E"/>
    <w:rsid w:val="00335525"/>
    <w:rsid w:val="003512C2"/>
    <w:rsid w:val="00371FB6"/>
    <w:rsid w:val="003763C1"/>
    <w:rsid w:val="00376BBE"/>
    <w:rsid w:val="0039224F"/>
    <w:rsid w:val="00395E28"/>
    <w:rsid w:val="003A43A4"/>
    <w:rsid w:val="003A7E18"/>
    <w:rsid w:val="003C0C6A"/>
    <w:rsid w:val="003C4C86"/>
    <w:rsid w:val="003C6258"/>
    <w:rsid w:val="003E2904"/>
    <w:rsid w:val="00401927"/>
    <w:rsid w:val="0041027F"/>
    <w:rsid w:val="004119E4"/>
    <w:rsid w:val="00412475"/>
    <w:rsid w:val="00423789"/>
    <w:rsid w:val="00440F43"/>
    <w:rsid w:val="00441B6F"/>
    <w:rsid w:val="00446221"/>
    <w:rsid w:val="00450E62"/>
    <w:rsid w:val="004539DB"/>
    <w:rsid w:val="00471A80"/>
    <w:rsid w:val="00473238"/>
    <w:rsid w:val="004D305E"/>
    <w:rsid w:val="004D4277"/>
    <w:rsid w:val="004D5D13"/>
    <w:rsid w:val="004F2B10"/>
    <w:rsid w:val="00502516"/>
    <w:rsid w:val="00505F06"/>
    <w:rsid w:val="00506828"/>
    <w:rsid w:val="0053056E"/>
    <w:rsid w:val="00550C38"/>
    <w:rsid w:val="0055204A"/>
    <w:rsid w:val="00554FDA"/>
    <w:rsid w:val="005C784C"/>
    <w:rsid w:val="005D17F6"/>
    <w:rsid w:val="005D6D24"/>
    <w:rsid w:val="005E5539"/>
    <w:rsid w:val="00602A60"/>
    <w:rsid w:val="00602BF5"/>
    <w:rsid w:val="00617FDD"/>
    <w:rsid w:val="00623FD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F7E"/>
    <w:rsid w:val="006F11EC"/>
    <w:rsid w:val="0070082C"/>
    <w:rsid w:val="007369E6"/>
    <w:rsid w:val="007406E2"/>
    <w:rsid w:val="00746E59"/>
    <w:rsid w:val="00754C9A"/>
    <w:rsid w:val="0075599A"/>
    <w:rsid w:val="00761D52"/>
    <w:rsid w:val="0077749E"/>
    <w:rsid w:val="00790ADA"/>
    <w:rsid w:val="007D2288"/>
    <w:rsid w:val="007E088F"/>
    <w:rsid w:val="007F3814"/>
    <w:rsid w:val="007F7B32"/>
    <w:rsid w:val="00804BC2"/>
    <w:rsid w:val="0081431A"/>
    <w:rsid w:val="0083216F"/>
    <w:rsid w:val="008424BB"/>
    <w:rsid w:val="008528ED"/>
    <w:rsid w:val="00860000"/>
    <w:rsid w:val="00863BD3"/>
    <w:rsid w:val="008641ED"/>
    <w:rsid w:val="00866D66"/>
    <w:rsid w:val="008671C6"/>
    <w:rsid w:val="00875803"/>
    <w:rsid w:val="008B459E"/>
    <w:rsid w:val="008E13AE"/>
    <w:rsid w:val="008E1506"/>
    <w:rsid w:val="008E710C"/>
    <w:rsid w:val="008F01E5"/>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0AE0"/>
    <w:rsid w:val="00A03B96"/>
    <w:rsid w:val="00A05B19"/>
    <w:rsid w:val="00A1134E"/>
    <w:rsid w:val="00A24E7E"/>
    <w:rsid w:val="00A258C3"/>
    <w:rsid w:val="00A26285"/>
    <w:rsid w:val="00A347C0"/>
    <w:rsid w:val="00A51431"/>
    <w:rsid w:val="00A539AD"/>
    <w:rsid w:val="00A91DB0"/>
    <w:rsid w:val="00A94063"/>
    <w:rsid w:val="00AA6219"/>
    <w:rsid w:val="00AA74E0"/>
    <w:rsid w:val="00AB703F"/>
    <w:rsid w:val="00AC6BB8"/>
    <w:rsid w:val="00AD0FB6"/>
    <w:rsid w:val="00AE008F"/>
    <w:rsid w:val="00AF7B17"/>
    <w:rsid w:val="00B01FCD"/>
    <w:rsid w:val="00B1776C"/>
    <w:rsid w:val="00B52583"/>
    <w:rsid w:val="00B52896"/>
    <w:rsid w:val="00B95236"/>
    <w:rsid w:val="00B96BD9"/>
    <w:rsid w:val="00BA1B01"/>
    <w:rsid w:val="00BA2641"/>
    <w:rsid w:val="00BB37AA"/>
    <w:rsid w:val="00BC015F"/>
    <w:rsid w:val="00BC4F37"/>
    <w:rsid w:val="00BC53A0"/>
    <w:rsid w:val="00BE62AD"/>
    <w:rsid w:val="00BF121F"/>
    <w:rsid w:val="00BF1F80"/>
    <w:rsid w:val="00C166EF"/>
    <w:rsid w:val="00C17EB0"/>
    <w:rsid w:val="00C27F5F"/>
    <w:rsid w:val="00C30A0F"/>
    <w:rsid w:val="00C37E61"/>
    <w:rsid w:val="00C70F1B"/>
    <w:rsid w:val="00C71A47"/>
    <w:rsid w:val="00C7398C"/>
    <w:rsid w:val="00C7464C"/>
    <w:rsid w:val="00C85588"/>
    <w:rsid w:val="00CD6755"/>
    <w:rsid w:val="00CD6856"/>
    <w:rsid w:val="00CE0089"/>
    <w:rsid w:val="00CE793C"/>
    <w:rsid w:val="00CF193C"/>
    <w:rsid w:val="00CF64F5"/>
    <w:rsid w:val="00D173F1"/>
    <w:rsid w:val="00D451D5"/>
    <w:rsid w:val="00D74CB0"/>
    <w:rsid w:val="00D8295D"/>
    <w:rsid w:val="00DB39AB"/>
    <w:rsid w:val="00DC2A65"/>
    <w:rsid w:val="00DC378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A58"/>
    <w:rsid w:val="00EF581D"/>
    <w:rsid w:val="00EF7FD8"/>
    <w:rsid w:val="00F06F59"/>
    <w:rsid w:val="00F17988"/>
    <w:rsid w:val="00F32B9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C9CB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C01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abdirect.org/cabdirect/search/?q=do%3a%22Recent+developments+in+research+on+nitrogen+fertilizers+for+rice%22" TargetMode="External"/><Relationship Id="rId26" Type="http://schemas.openxmlformats.org/officeDocument/2006/relationships/hyperlink" Target="https://doi.org/10.1016/j.landusepol.2020.104577" TargetMode="External"/><Relationship Id="rId39" Type="http://schemas.openxmlformats.org/officeDocument/2006/relationships/header" Target="header4.xml"/><Relationship Id="rId21" Type="http://schemas.openxmlformats.org/officeDocument/2006/relationships/hyperlink" Target="https://doi.org/10.18801/ajcsp.100124.48" TargetMode="External"/><Relationship Id="rId34" Type="http://schemas.openxmlformats.org/officeDocument/2006/relationships/hyperlink" Target="https://doi.org/10.1016/S0065-2113(08)60255-2"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333-019-00693-7" TargetMode="External"/><Relationship Id="rId20" Type="http://schemas.openxmlformats.org/officeDocument/2006/relationships/hyperlink" Target="https://doi.org/10.24925/turjaf.v8i6.1315-1319.3331" TargetMode="External"/><Relationship Id="rId29" Type="http://schemas.openxmlformats.org/officeDocument/2006/relationships/hyperlink" Target="http://ggfjournals.com/content/papers/MIN-857"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26480/trab.01.2025.17.23" TargetMode="External"/><Relationship Id="rId32" Type="http://schemas.openxmlformats.org/officeDocument/2006/relationships/hyperlink" Target="https://doi.org/10.9734/asrj/2025/v9i3191" TargetMode="External"/><Relationship Id="rId37" Type="http://schemas.openxmlformats.org/officeDocument/2006/relationships/hyperlink" Target="https://doi.org/10.9734/ajahr/2025/v12i1356"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doi.org/10.26480/ppsc.02.2025.80.85" TargetMode="External"/><Relationship Id="rId28" Type="http://schemas.openxmlformats.org/officeDocument/2006/relationships/hyperlink" Target="http://doi.org/10.26480/trab.01.2024.30.36" TargetMode="External"/><Relationship Id="rId36" Type="http://schemas.openxmlformats.org/officeDocument/2006/relationships/hyperlink" Target="https://doi.org/10.1016/j.agsy.2016.11.003" TargetMode="External"/><Relationship Id="rId10" Type="http://schemas.openxmlformats.org/officeDocument/2006/relationships/footer" Target="footer1.xml"/><Relationship Id="rId19" Type="http://schemas.openxmlformats.org/officeDocument/2006/relationships/hyperlink" Target="https://doi.org/10.1007/s13205-011-0028-2" TargetMode="External"/><Relationship Id="rId31" Type="http://schemas.openxmlformats.org/officeDocument/2006/relationships/hyperlink" Target="https://doi.org/10.1016/S2095-3119(20)63406-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9734/ajaar/2025/v25i2581" TargetMode="External"/><Relationship Id="rId27" Type="http://schemas.openxmlformats.org/officeDocument/2006/relationships/hyperlink" Target="https://doi.org/10.3329/brj.v19i2.28160" TargetMode="External"/><Relationship Id="rId30" Type="http://schemas.openxmlformats.org/officeDocument/2006/relationships/hyperlink" Target="https://doi.org/10.3390/agriculture9050109" TargetMode="External"/><Relationship Id="rId35" Type="http://schemas.openxmlformats.org/officeDocument/2006/relationships/hyperlink" Target="https://doi.org/10.1016/S0960-8524(98)00101-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prj/2025/v13i2296" TargetMode="External"/><Relationship Id="rId25" Type="http://schemas.openxmlformats.org/officeDocument/2006/relationships/hyperlink" Target="https://doi.org/10.3329/jsau.v11i1.82685" TargetMode="External"/><Relationship Id="rId33" Type="http://schemas.openxmlformats.org/officeDocument/2006/relationships/hyperlink" Target="https://doi.org/10.1038/nature04070" TargetMode="External"/><Relationship Id="rId38" Type="http://schemas.openxmlformats.org/officeDocument/2006/relationships/hyperlink" Target="https://doi.org/10.3389/fpls.2017.012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11863559185104"/>
          <c:y val="8.8034693475261175E-2"/>
          <c:w val="0.85936789427172799"/>
          <c:h val="0.76180427180487709"/>
        </c:manualLayout>
      </c:layout>
      <c:barChart>
        <c:barDir val="col"/>
        <c:grouping val="clustered"/>
        <c:varyColors val="0"/>
        <c:ser>
          <c:idx val="0"/>
          <c:order val="0"/>
          <c:tx>
            <c:strRef>
              <c:f>Sheet1!$E$5</c:f>
              <c:strCache>
                <c:ptCount val="1"/>
                <c:pt idx="0">
                  <c:v>Grain yield</c:v>
                </c:pt>
              </c:strCache>
            </c:strRef>
          </c:tx>
          <c:spPr>
            <a:solidFill>
              <a:schemeClr val="accent2">
                <a:alpha val="70000"/>
              </a:schemeClr>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2D-4E2C-BA7B-FC9FF5CB114A}"/>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2D-4E2C-BA7B-FC9FF5CB114A}"/>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2D-4E2C-BA7B-FC9FF5CB114A}"/>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2D-4E2C-BA7B-FC9FF5CB114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2D-4E2C-BA7B-FC9FF5CB114A}"/>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2D-4E2C-BA7B-FC9FF5CB114A}"/>
                </c:ext>
              </c:extLst>
            </c:dLbl>
            <c:dLbl>
              <c:idx val="6"/>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2D-4E2C-BA7B-FC9FF5CB114A}"/>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2D-4E2C-BA7B-FC9FF5CB114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Book Antiqua" panose="020406020503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Sheet1!$D$6:$D$13</c:f>
              <c:strCache>
                <c:ptCount val="8"/>
                <c:pt idx="0">
                  <c:v>T1</c:v>
                </c:pt>
                <c:pt idx="1">
                  <c:v>T2</c:v>
                </c:pt>
                <c:pt idx="2">
                  <c:v>T3</c:v>
                </c:pt>
                <c:pt idx="3">
                  <c:v>T4</c:v>
                </c:pt>
                <c:pt idx="4">
                  <c:v>T5</c:v>
                </c:pt>
                <c:pt idx="5">
                  <c:v>T6</c:v>
                </c:pt>
                <c:pt idx="6">
                  <c:v>T7</c:v>
                </c:pt>
                <c:pt idx="7">
                  <c:v>T8</c:v>
                </c:pt>
              </c:strCache>
            </c:strRef>
          </c:cat>
          <c:val>
            <c:numRef>
              <c:f>Sheet1!$E$6:$E$13</c:f>
              <c:numCache>
                <c:formatCode>General</c:formatCode>
                <c:ptCount val="8"/>
                <c:pt idx="0">
                  <c:v>54.66</c:v>
                </c:pt>
                <c:pt idx="1">
                  <c:v>62</c:v>
                </c:pt>
                <c:pt idx="2">
                  <c:v>55</c:v>
                </c:pt>
                <c:pt idx="3">
                  <c:v>67.33</c:v>
                </c:pt>
                <c:pt idx="4">
                  <c:v>64</c:v>
                </c:pt>
                <c:pt idx="5">
                  <c:v>49</c:v>
                </c:pt>
                <c:pt idx="6">
                  <c:v>40.33</c:v>
                </c:pt>
                <c:pt idx="7">
                  <c:v>33</c:v>
                </c:pt>
              </c:numCache>
            </c:numRef>
          </c:val>
          <c:extLst>
            <c:ext xmlns:c16="http://schemas.microsoft.com/office/drawing/2014/chart" uri="{C3380CC4-5D6E-409C-BE32-E72D297353CC}">
              <c16:uniqueId val="{00000008-F92D-4E2C-BA7B-FC9FF5CB114A}"/>
            </c:ext>
          </c:extLst>
        </c:ser>
        <c:dLbls>
          <c:showLegendKey val="0"/>
          <c:showVal val="0"/>
          <c:showCatName val="0"/>
          <c:showSerName val="0"/>
          <c:showPercent val="0"/>
          <c:showBubbleSize val="0"/>
        </c:dLbls>
        <c:gapWidth val="80"/>
        <c:overlap val="25"/>
        <c:axId val="-1125354496"/>
        <c:axId val="-1125357216"/>
      </c:barChart>
      <c:dateAx>
        <c:axId val="-112535449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US" sz="1200" b="1" cap="none">
                    <a:solidFill>
                      <a:schemeClr val="tx1"/>
                    </a:solidFill>
                    <a:latin typeface="Book Antiqua" panose="02040602050305030304" pitchFamily="18" charset="0"/>
                  </a:rPr>
                  <a:t>Treatments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1" i="0" u="none" strike="noStrike" kern="1200" cap="none" spc="20" normalizeH="0" baseline="0">
                <a:solidFill>
                  <a:schemeClr val="tx1"/>
                </a:solidFill>
                <a:latin typeface="Book Antiqua" panose="02040602050305030304" pitchFamily="18" charset="0"/>
                <a:ea typeface="+mn-ea"/>
                <a:cs typeface="+mn-cs"/>
              </a:defRPr>
            </a:pPr>
            <a:endParaRPr lang="en-US"/>
          </a:p>
        </c:txPr>
        <c:crossAx val="-1125357216"/>
        <c:crosses val="autoZero"/>
        <c:auto val="0"/>
        <c:lblOffset val="100"/>
        <c:baseTimeUnit val="days"/>
      </c:dateAx>
      <c:valAx>
        <c:axId val="-1125357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US" sz="1200" b="1" cap="none">
                    <a:solidFill>
                      <a:schemeClr val="tx1"/>
                    </a:solidFill>
                    <a:latin typeface="Book Antiqua" panose="02040602050305030304" pitchFamily="18" charset="0"/>
                  </a:rPr>
                  <a:t>Grain yield (g pot</a:t>
                </a:r>
                <a:r>
                  <a:rPr lang="en-US" sz="1200" b="1" cap="none" baseline="30000">
                    <a:solidFill>
                      <a:schemeClr val="tx1"/>
                    </a:solidFill>
                    <a:latin typeface="Book Antiqua" panose="02040602050305030304" pitchFamily="18" charset="0"/>
                  </a:rPr>
                  <a:t>-1</a:t>
                </a:r>
                <a:r>
                  <a:rPr lang="en-US" sz="1200" b="1" cap="none" baseline="0">
                    <a:solidFill>
                      <a:schemeClr val="tx1"/>
                    </a:solidFill>
                    <a:latin typeface="Book Antiqua" panose="02040602050305030304" pitchFamily="18" charset="0"/>
                  </a:rPr>
                  <a:t>)</a:t>
                </a:r>
                <a:endParaRPr lang="en-US" sz="1200" b="1" cap="none">
                  <a:solidFill>
                    <a:schemeClr val="tx1"/>
                  </a:solidFill>
                  <a:latin typeface="Book Antiqua" panose="02040602050305030304" pitchFamily="18" charset="0"/>
                </a:endParaRPr>
              </a:p>
            </c:rich>
          </c:tx>
          <c:layout>
            <c:manualLayout>
              <c:xMode val="edge"/>
              <c:yMode val="edge"/>
              <c:x val="6.878367534105239E-3"/>
              <c:y val="0.25148144181563348"/>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spc="20" baseline="0">
                <a:solidFill>
                  <a:schemeClr val="tx1"/>
                </a:solidFill>
                <a:latin typeface="Book Antiqua" panose="02040602050305030304" pitchFamily="18" charset="0"/>
                <a:ea typeface="+mn-ea"/>
                <a:cs typeface="+mn-cs"/>
              </a:defRPr>
            </a:pPr>
            <a:endParaRPr lang="en-US"/>
          </a:p>
        </c:txPr>
        <c:crossAx val="-1125354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6350" cap="flat" cmpd="sng" algn="ctr">
      <a:solidFill>
        <a:schemeClr val="bg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Sheet1!$E$24</c:f>
              <c:strCache>
                <c:ptCount val="1"/>
                <c:pt idx="0">
                  <c:v>Straw yield</c:v>
                </c:pt>
              </c:strCache>
            </c:strRef>
          </c:tx>
          <c:spPr>
            <a:solidFill>
              <a:schemeClr val="accent4">
                <a:alpha val="70000"/>
              </a:schemeClr>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8A-4F3F-A55F-BE42083A9D0D}"/>
                </c:ext>
              </c:extLst>
            </c:dLbl>
            <c:dLbl>
              <c:idx val="1"/>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8A-4F3F-A55F-BE42083A9D0D}"/>
                </c:ext>
              </c:extLst>
            </c:dLbl>
            <c:dLbl>
              <c:idx val="2"/>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8A-4F3F-A55F-BE42083A9D0D}"/>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8A-4F3F-A55F-BE42083A9D0D}"/>
                </c:ext>
              </c:extLst>
            </c:dLbl>
            <c:dLbl>
              <c:idx val="4"/>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8A-4F3F-A55F-BE42083A9D0D}"/>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8A-4F3F-A55F-BE42083A9D0D}"/>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8A-4F3F-A55F-BE42083A9D0D}"/>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8A-4F3F-A55F-BE42083A9D0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Sheet1!$D$25:$D$32</c:f>
              <c:strCache>
                <c:ptCount val="8"/>
                <c:pt idx="0">
                  <c:v>T1</c:v>
                </c:pt>
                <c:pt idx="1">
                  <c:v>T2</c:v>
                </c:pt>
                <c:pt idx="2">
                  <c:v>T3</c:v>
                </c:pt>
                <c:pt idx="3">
                  <c:v>T4</c:v>
                </c:pt>
                <c:pt idx="4">
                  <c:v>T5</c:v>
                </c:pt>
                <c:pt idx="5">
                  <c:v>T6</c:v>
                </c:pt>
                <c:pt idx="6">
                  <c:v>T7</c:v>
                </c:pt>
                <c:pt idx="7">
                  <c:v>T8</c:v>
                </c:pt>
              </c:strCache>
            </c:strRef>
          </c:cat>
          <c:val>
            <c:numRef>
              <c:f>Sheet1!$E$25:$E$32</c:f>
              <c:numCache>
                <c:formatCode>General</c:formatCode>
                <c:ptCount val="8"/>
                <c:pt idx="0">
                  <c:v>108.33</c:v>
                </c:pt>
                <c:pt idx="1">
                  <c:v>124</c:v>
                </c:pt>
                <c:pt idx="2">
                  <c:v>116.33</c:v>
                </c:pt>
                <c:pt idx="3">
                  <c:v>131</c:v>
                </c:pt>
                <c:pt idx="4">
                  <c:v>133.33000000000001</c:v>
                </c:pt>
                <c:pt idx="5">
                  <c:v>140.66999999999999</c:v>
                </c:pt>
                <c:pt idx="6">
                  <c:v>148.66999999999999</c:v>
                </c:pt>
                <c:pt idx="7">
                  <c:v>156</c:v>
                </c:pt>
              </c:numCache>
            </c:numRef>
          </c:val>
          <c:extLst>
            <c:ext xmlns:c16="http://schemas.microsoft.com/office/drawing/2014/chart" uri="{C3380CC4-5D6E-409C-BE32-E72D297353CC}">
              <c16:uniqueId val="{00000008-308A-4F3F-A55F-BE42083A9D0D}"/>
            </c:ext>
          </c:extLst>
        </c:ser>
        <c:dLbls>
          <c:dLblPos val="ctr"/>
          <c:showLegendKey val="0"/>
          <c:showVal val="1"/>
          <c:showCatName val="0"/>
          <c:showSerName val="0"/>
          <c:showPercent val="0"/>
          <c:showBubbleSize val="0"/>
        </c:dLbls>
        <c:gapWidth val="80"/>
        <c:overlap val="25"/>
        <c:axId val="-1125345792"/>
        <c:axId val="-1125353408"/>
      </c:barChart>
      <c:catAx>
        <c:axId val="-112534579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solidFill>
                      <a:schemeClr val="tx1"/>
                    </a:solidFill>
                    <a:latin typeface="Book Antiqua" panose="02040602050305030304" pitchFamily="18" charset="0"/>
                  </a:rPr>
                  <a:t>Treatments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1" i="0" u="none" strike="noStrike" kern="1200" cap="none" spc="20" normalizeH="0" baseline="0">
                <a:solidFill>
                  <a:schemeClr val="tx1"/>
                </a:solidFill>
                <a:latin typeface="Book Antiqua" panose="02040602050305030304" pitchFamily="18" charset="0"/>
                <a:ea typeface="+mn-ea"/>
                <a:cs typeface="+mn-cs"/>
              </a:defRPr>
            </a:pPr>
            <a:endParaRPr lang="en-US"/>
          </a:p>
        </c:txPr>
        <c:crossAx val="-1125353408"/>
        <c:crosses val="autoZero"/>
        <c:auto val="1"/>
        <c:lblAlgn val="ctr"/>
        <c:lblOffset val="100"/>
        <c:noMultiLvlLbl val="0"/>
      </c:catAx>
      <c:valAx>
        <c:axId val="-1125353408"/>
        <c:scaling>
          <c:orientation val="minMax"/>
        </c:scaling>
        <c:delete val="0"/>
        <c:axPos val="l"/>
        <c:title>
          <c:tx>
            <c:rich>
              <a:bodyPr rot="-5400000" spcFirstLastPara="1" vertOverflow="ellipsis" vert="horz" wrap="square" anchor="ctr" anchorCtr="1"/>
              <a:lstStyle/>
              <a:p>
                <a:pPr>
                  <a:defRPr sz="1200" b="0" i="0" u="none" strike="noStrike" kern="1200" cap="all" baseline="0">
                    <a:solidFill>
                      <a:schemeClr val="tx1"/>
                    </a:solidFill>
                    <a:latin typeface="+mn-lt"/>
                    <a:ea typeface="+mn-ea"/>
                    <a:cs typeface="+mn-cs"/>
                  </a:defRPr>
                </a:pPr>
                <a:r>
                  <a:rPr lang="en-US" sz="1200" b="1" cap="none">
                    <a:solidFill>
                      <a:schemeClr val="tx1"/>
                    </a:solidFill>
                    <a:latin typeface="Book Antiqua" panose="02040602050305030304" pitchFamily="18" charset="0"/>
                  </a:rPr>
                  <a:t>Sraw yield (g pot</a:t>
                </a:r>
                <a:r>
                  <a:rPr lang="en-US" sz="1200" b="1" cap="none" baseline="30000">
                    <a:solidFill>
                      <a:schemeClr val="tx1"/>
                    </a:solidFill>
                    <a:latin typeface="Book Antiqua" panose="02040602050305030304" pitchFamily="18" charset="0"/>
                  </a:rPr>
                  <a:t>-2</a:t>
                </a:r>
                <a:r>
                  <a:rPr lang="en-US" sz="1200" b="1" cap="none" baseline="0">
                    <a:solidFill>
                      <a:schemeClr val="tx1"/>
                    </a:solidFill>
                    <a:latin typeface="Book Antiqua" panose="02040602050305030304" pitchFamily="18" charset="0"/>
                  </a:rPr>
                  <a:t>)</a:t>
                </a:r>
                <a:endParaRPr lang="en-US" sz="1200" b="1" cap="none">
                  <a:solidFill>
                    <a:schemeClr val="tx1"/>
                  </a:solidFill>
                  <a:latin typeface="Book Antiqua" panose="02040602050305030304" pitchFamily="18" charset="0"/>
                </a:endParaRPr>
              </a:p>
            </c:rich>
          </c:tx>
          <c:layout>
            <c:manualLayout>
              <c:xMode val="edge"/>
              <c:yMode val="edge"/>
              <c:x val="5.0314465408805029E-3"/>
              <c:y val="0.21803507894846477"/>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spc="20" baseline="0">
                <a:solidFill>
                  <a:schemeClr val="tx1"/>
                </a:solidFill>
                <a:latin typeface="Book Antiqua" panose="02040602050305030304" pitchFamily="18" charset="0"/>
                <a:ea typeface="+mn-ea"/>
                <a:cs typeface="+mn-cs"/>
              </a:defRPr>
            </a:pPr>
            <a:endParaRPr lang="en-US"/>
          </a:p>
        </c:txPr>
        <c:crossAx val="-11253457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C79F-9249-4D02-BCCC-93AF274F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11</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47</cp:revision>
  <cp:lastPrinted>1999-07-06T11:00:00Z</cp:lastPrinted>
  <dcterms:created xsi:type="dcterms:W3CDTF">2014-10-25T14:34:00Z</dcterms:created>
  <dcterms:modified xsi:type="dcterms:W3CDTF">2026-01-21T11:50:00Z</dcterms:modified>
</cp:coreProperties>
</file>