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1EB9" w14:textId="77777777" w:rsidR="00D346EF" w:rsidRDefault="00D346EF" w:rsidP="008D6D33">
      <w:pPr>
        <w:jc w:val="center"/>
        <w:rPr>
          <w:b/>
          <w:bCs/>
        </w:rPr>
      </w:pPr>
      <w:r w:rsidRPr="00D346EF">
        <w:rPr>
          <w:b/>
          <w:bCs/>
        </w:rPr>
        <w:t>Original Research Article</w:t>
      </w:r>
    </w:p>
    <w:p w14:paraId="6D0FF5D8" w14:textId="7386E932" w:rsidR="008D6D33" w:rsidRDefault="008D6D33" w:rsidP="008D6D33">
      <w:pPr>
        <w:jc w:val="center"/>
        <w:rPr>
          <w:b/>
          <w:bCs/>
        </w:rPr>
      </w:pPr>
      <w:r w:rsidRPr="008D6D33">
        <w:rPr>
          <w:b/>
          <w:bCs/>
        </w:rPr>
        <w:t>STRATEGIC TRANSFORMATION IN LAND USE: THE DECLINE OF FALLOW LANDS AND AGRICULTURAL INTENSIFICATION</w:t>
      </w:r>
    </w:p>
    <w:p w14:paraId="727A2207" w14:textId="7FAC78B3" w:rsidR="00B34152" w:rsidRDefault="00B34152" w:rsidP="008D6D33">
      <w:pPr>
        <w:jc w:val="center"/>
        <w:rPr>
          <w:b/>
          <w:bCs/>
        </w:rPr>
      </w:pPr>
    </w:p>
    <w:p w14:paraId="169F5AC0" w14:textId="77777777" w:rsidR="003F17F2" w:rsidRDefault="003F17F2" w:rsidP="008D6D33">
      <w:pPr>
        <w:jc w:val="center"/>
        <w:rPr>
          <w:b/>
          <w:bCs/>
        </w:rPr>
      </w:pPr>
    </w:p>
    <w:p w14:paraId="2F5D8305" w14:textId="77777777" w:rsidR="00887359" w:rsidRPr="00EF2FEB" w:rsidRDefault="00887359" w:rsidP="00EF2FEB">
      <w:pPr>
        <w:spacing w:after="0" w:line="240" w:lineRule="auto"/>
        <w:jc w:val="center"/>
        <w:rPr>
          <w:b/>
          <w:bCs/>
          <w:sz w:val="20"/>
          <w:szCs w:val="20"/>
        </w:rPr>
      </w:pPr>
    </w:p>
    <w:p w14:paraId="06F3B60D" w14:textId="77777777" w:rsidR="00A9122A" w:rsidRPr="008D6D33" w:rsidRDefault="00A9122A" w:rsidP="008D6D33">
      <w:pPr>
        <w:jc w:val="center"/>
        <w:rPr>
          <w:b/>
          <w:bCs/>
        </w:rPr>
      </w:pPr>
    </w:p>
    <w:p w14:paraId="5F8BB42B" w14:textId="77777777" w:rsidR="00A37E84" w:rsidRPr="00A37E84" w:rsidRDefault="00A37E84" w:rsidP="00A37E84">
      <w:pPr>
        <w:rPr>
          <w:b/>
          <w:bCs/>
        </w:rPr>
      </w:pPr>
      <w:r w:rsidRPr="00A37E84">
        <w:rPr>
          <w:b/>
          <w:bCs/>
        </w:rPr>
        <w:t>ABSTRACT</w:t>
      </w:r>
    </w:p>
    <w:p w14:paraId="11DC0C0E" w14:textId="663CD506" w:rsidR="00857E26" w:rsidRPr="00857E26" w:rsidRDefault="00857E26" w:rsidP="00857E26">
      <w:pPr>
        <w:jc w:val="both"/>
      </w:pPr>
      <w:r w:rsidRPr="00857E26">
        <w:t>This study provides a comprehensive analysis of the strategic transformation in agricultural land use in Turkey, focusing on the rapid decline of traditional fallow practice between 2015 and 2024. Utilizing official data from the Turkish Statistical Institute (TurkStat), the research quantifies a dramatic nationwide reduction of 35.5% in fallow area, from 41.1 million to 26.6 million decares. Spatial analysis reveals that this decline is markedly non-uniform, being concentrated in the arid and semi-arid interior regions where fallow is most critical for risk management. The most pronounced regional contraction occurred in Eastern Anatolia (TRB), with a decline of 30.9%, followed by significant losses in Central Anatolia (TR7).</w:t>
      </w:r>
      <w:r>
        <w:t xml:space="preserve"> </w:t>
      </w:r>
      <w:r w:rsidRPr="00857E26">
        <w:t>The investigation further identifies the primary land-use shifts driving this transformation. The analysis demonstrates that abandoned fallow lands are predominantly being converted to continuous cereal cultivation, indicating an intensification of the traditional crop rotation system, and to a lesser extent, to irrigated perennial crops such as orchards. While this shift signifies a move towards agricultural intensification with potential short-term gains in land productivity and output, the study critically examines its sustainability trade-offs. The concurrent expansion of water-intensive agriculture and the loss of a vital soil moisture-replenishment mechanism create a "dual threat," exacerbating pressures on already over-exploited groundwater resources and increasing risks of soil organic matter depletion, erosion, and long-term degradation.</w:t>
      </w:r>
      <w:r>
        <w:t xml:space="preserve"> </w:t>
      </w:r>
      <w:r w:rsidRPr="00857E26">
        <w:t>Concluding that the unchecked continuation of this trend poses significant risks to the resilience of Turkey's agricultural systems, particularly under climate change scenarios, the study advocates for an urgent policy reorientation. It recommends an integrated strategy based on: (1) promoting "smart fallow" systems using cover crops, (2) facilitating a transition to conservation agriculture principles, (3) accelerating the dissemination of drought-resistant crop varieties, and (4) implementing strict, basin-based water management alongside advanced irrigation technologies. The findings underscore that managing this land-use transformation is imperative for balancing productivity goals with the ecological limits of water and soil resources to ensure long-term food security and agricultural sustainability.</w:t>
      </w:r>
    </w:p>
    <w:p w14:paraId="08E01990" w14:textId="77777777" w:rsidR="00DA44F9" w:rsidRPr="00A37E84" w:rsidRDefault="00DA44F9" w:rsidP="004B1D71">
      <w:pPr>
        <w:jc w:val="both"/>
      </w:pPr>
    </w:p>
    <w:p w14:paraId="474F2011" w14:textId="3F843BF3" w:rsidR="00A37E84" w:rsidRDefault="00A37E84" w:rsidP="004B1D71">
      <w:pPr>
        <w:jc w:val="both"/>
      </w:pPr>
      <w:r w:rsidRPr="00A37E84">
        <w:rPr>
          <w:b/>
          <w:bCs/>
        </w:rPr>
        <w:t>KEYWORDS:</w:t>
      </w:r>
      <w:r w:rsidRPr="00A37E84">
        <w:t> Fallow, agricultural intensification, land use change, sustainable agriculture, water resources management, Turkish agriculture.</w:t>
      </w:r>
    </w:p>
    <w:p w14:paraId="4EFCAD92" w14:textId="4E9BA124" w:rsidR="003F17F2" w:rsidRDefault="003F17F2" w:rsidP="004B1D71">
      <w:pPr>
        <w:jc w:val="both"/>
      </w:pPr>
    </w:p>
    <w:p w14:paraId="4381B985" w14:textId="62B6FC2E" w:rsidR="003F17F2" w:rsidRDefault="003F17F2" w:rsidP="004B1D71">
      <w:pPr>
        <w:jc w:val="both"/>
      </w:pPr>
    </w:p>
    <w:p w14:paraId="20F55AE3" w14:textId="77777777" w:rsidR="003F17F2" w:rsidRPr="00A37E84" w:rsidRDefault="003F17F2" w:rsidP="004B1D71">
      <w:pPr>
        <w:jc w:val="both"/>
      </w:pPr>
    </w:p>
    <w:p w14:paraId="717C1D2B" w14:textId="77777777" w:rsidR="000E77AA" w:rsidRPr="000E77AA" w:rsidRDefault="000E77AA" w:rsidP="000E77AA"/>
    <w:p w14:paraId="21E8F4E4" w14:textId="6F075259" w:rsidR="00F06785" w:rsidRPr="00A9122A" w:rsidRDefault="00F06785" w:rsidP="00A9122A">
      <w:pPr>
        <w:pStyle w:val="ListParagraph"/>
        <w:numPr>
          <w:ilvl w:val="0"/>
          <w:numId w:val="18"/>
        </w:numPr>
        <w:rPr>
          <w:b/>
          <w:bCs/>
        </w:rPr>
      </w:pPr>
      <w:r w:rsidRPr="00A9122A">
        <w:rPr>
          <w:b/>
          <w:bCs/>
        </w:rPr>
        <w:t>INTRODUCTION</w:t>
      </w:r>
    </w:p>
    <w:p w14:paraId="7CF8C76B" w14:textId="77777777" w:rsidR="00A9122A" w:rsidRPr="00A9122A" w:rsidRDefault="00A9122A" w:rsidP="00A9122A">
      <w:pPr>
        <w:pStyle w:val="ListParagraph"/>
        <w:rPr>
          <w:b/>
          <w:bCs/>
        </w:rPr>
      </w:pPr>
    </w:p>
    <w:p w14:paraId="279E07AD" w14:textId="77777777" w:rsidR="003F17F2" w:rsidRPr="003F17F2" w:rsidRDefault="003F17F2" w:rsidP="003F17F2">
      <w:pPr>
        <w:jc w:val="both"/>
      </w:pPr>
      <w:r w:rsidRPr="003F17F2">
        <w:rPr>
          <w:b/>
          <w:bCs/>
        </w:rPr>
        <w:t>1.1 The Agro-Ecological Significance and Evolution of Fallow Practice</w:t>
      </w:r>
    </w:p>
    <w:p w14:paraId="74992E2B" w14:textId="77777777" w:rsidR="003F17F2" w:rsidRPr="003F17F2" w:rsidRDefault="003F17F2" w:rsidP="003F17F2">
      <w:pPr>
        <w:jc w:val="both"/>
      </w:pPr>
      <w:r w:rsidRPr="003F17F2">
        <w:lastRenderedPageBreak/>
        <w:t>Fallow, defined as the deliberate resting of arable land from cultivation for one or more growing seasons, constitutes a foundational agricultural strategy in semi-arid and arid regions worldwide. Its primary functions are agro-ecological: to conserve and accumulate soil moisture, suppress weed cycles, and enhance the bioavailability of nutrients through natural biogeochemical processes (Gül et al., 2020). In rainfed farming systems characterized by low and variable precipitation, such as those prevalent across much of Turkey, fallow serves as a critical risk-mitigation mechanism. It buffers crop production against hydrological uncertainty by stabilizing soil water reserves, thereby ensuring a more reliable yield in subsequent cultivation seasons (Yıldırım, 2025; Koç et al., 2024). Historically, this practice has been integral to the sustainability of dryland agroecosystems.</w:t>
      </w:r>
    </w:p>
    <w:p w14:paraId="338D1BE9" w14:textId="77777777" w:rsidR="003F17F2" w:rsidRPr="003F17F2" w:rsidRDefault="003F17F2" w:rsidP="003F17F2">
      <w:pPr>
        <w:jc w:val="both"/>
      </w:pPr>
      <w:r w:rsidRPr="003F17F2">
        <w:rPr>
          <w:b/>
          <w:bCs/>
        </w:rPr>
        <w:t>1.2 Drivers of Change: The Global and National Shift Towards Intensification</w:t>
      </w:r>
    </w:p>
    <w:p w14:paraId="47748FE3" w14:textId="70211089" w:rsidR="003F17F2" w:rsidRPr="003F17F2" w:rsidRDefault="003F17F2" w:rsidP="003F17F2">
      <w:pPr>
        <w:jc w:val="both"/>
      </w:pPr>
      <w:r w:rsidRPr="003F17F2">
        <w:t>The latter half of the 20th century witnessed the global ascendancy of "Agricultural Intensification" as the dominant paradigm for meeting escalating food demand. This model prioritizes maximizing output per unit area through increased inputs—including irrigation, synthetic fertilizers, and pesticides</w:t>
      </w:r>
      <w:r>
        <w:t>-</w:t>
      </w:r>
      <w:r w:rsidRPr="003F17F2">
        <w:t>and the reduction or elimination of non-productive phases in crop rotations, such as fallow (Pretty, 2018). While successful in boosting short-term productivity, this paradigm often overlooks critical ecological thresholds, leading to widespread land degradation, depletion of freshwater resources, and loss of biodiversity, particularly in vulnerable dryland regions (Rockström et al., 2017).</w:t>
      </w:r>
    </w:p>
    <w:p w14:paraId="5DC0D3ED" w14:textId="77777777" w:rsidR="003F17F2" w:rsidRPr="003F17F2" w:rsidRDefault="003F17F2" w:rsidP="003F17F2">
      <w:pPr>
        <w:jc w:val="both"/>
      </w:pPr>
      <w:r w:rsidRPr="003F17F2">
        <w:t>Turkey’s agricultural sector has undergone a profound transformation aligned with this global trend. Driving forces include demographic pressures, market integration, state-led modernization policies, and significant public investment in irrigation infrastructure, notably large-scale projects like the Southeastern Anatolia Project (GAP) (Demiralay, 2010; Koç et al., 2024). These drivers have collectively incentivized the conversion of fallow lands to continuous cultivation or more profitable, water-intensive crops like fruits and vegetables. Consequently, the traditional fallow-cereal rotation system is being rapidly dismantled, signaling a fundamental shift in land-use strategy with potentially significant consequences for ecosystem resilience.</w:t>
      </w:r>
    </w:p>
    <w:p w14:paraId="498F0A7B" w14:textId="77777777" w:rsidR="003F17F2" w:rsidRPr="003F17F2" w:rsidRDefault="003F17F2" w:rsidP="003F17F2">
      <w:pPr>
        <w:jc w:val="both"/>
      </w:pPr>
      <w:r w:rsidRPr="003F17F2">
        <w:rPr>
          <w:b/>
          <w:bCs/>
        </w:rPr>
        <w:t>1.3 Research Objectives and Significance</w:t>
      </w:r>
    </w:p>
    <w:p w14:paraId="0F91F34B" w14:textId="77777777" w:rsidR="003F17F2" w:rsidRPr="003F17F2" w:rsidRDefault="003F17F2" w:rsidP="003F17F2">
      <w:pPr>
        <w:jc w:val="both"/>
      </w:pPr>
      <w:r w:rsidRPr="003F17F2">
        <w:t>Despite the scale of this transition, a detailed, spatially explicit analysis of its magnitude, regional patterns, and proximate land-use outcomes within the Turkish context remains crucial for informed policy-making. This study aims to fill this gap by providing a comprehensive empirical investigation of the strategic transformation in fallow land use in Turkey between 2015 and 2024. Specifically, it seeks to:</w:t>
      </w:r>
    </w:p>
    <w:p w14:paraId="6D2F3938" w14:textId="77777777" w:rsidR="003F17F2" w:rsidRPr="003F17F2" w:rsidRDefault="003F17F2" w:rsidP="003F17F2">
      <w:pPr>
        <w:numPr>
          <w:ilvl w:val="0"/>
          <w:numId w:val="19"/>
        </w:numPr>
        <w:jc w:val="both"/>
      </w:pPr>
      <w:r w:rsidRPr="003F17F2">
        <w:t>Quantify the national and sub-national (NUTS-1 level) trends in fallow area decline over the past decade.</w:t>
      </w:r>
    </w:p>
    <w:p w14:paraId="47B3034B" w14:textId="77777777" w:rsidR="003F17F2" w:rsidRPr="003F17F2" w:rsidRDefault="003F17F2" w:rsidP="003F17F2">
      <w:pPr>
        <w:numPr>
          <w:ilvl w:val="0"/>
          <w:numId w:val="19"/>
        </w:numPr>
        <w:jc w:val="both"/>
      </w:pPr>
      <w:r w:rsidRPr="003F17F2">
        <w:t>Analyze the geographical disparities in this decline, identifying regions experiencing the most rapid contraction.</w:t>
      </w:r>
    </w:p>
    <w:p w14:paraId="39922817" w14:textId="77777777" w:rsidR="003F17F2" w:rsidRPr="003F17F2" w:rsidRDefault="003F17F2" w:rsidP="003F17F2">
      <w:pPr>
        <w:numPr>
          <w:ilvl w:val="0"/>
          <w:numId w:val="19"/>
        </w:numPr>
        <w:jc w:val="both"/>
      </w:pPr>
      <w:r w:rsidRPr="003F17F2">
        <w:t>Investigate the primary land-use conversions replacing fallow, with a focus on shifts towards continuous cereal monocultures and irrigated perennial crops.</w:t>
      </w:r>
    </w:p>
    <w:p w14:paraId="3718DE03" w14:textId="77777777" w:rsidR="003F17F2" w:rsidRPr="003F17F2" w:rsidRDefault="003F17F2" w:rsidP="003F17F2">
      <w:pPr>
        <w:numPr>
          <w:ilvl w:val="0"/>
          <w:numId w:val="19"/>
        </w:numPr>
        <w:jc w:val="both"/>
      </w:pPr>
      <w:r w:rsidRPr="003F17F2">
        <w:t>Discuss the implications of these changes for soil health, water resource sustainability, and long-term agricultural viability in Turkey’s water-stressed regions.</w:t>
      </w:r>
    </w:p>
    <w:p w14:paraId="5009E2E5" w14:textId="77777777" w:rsidR="003F17F2" w:rsidRPr="003F17F2" w:rsidRDefault="003F17F2" w:rsidP="003F17F2">
      <w:pPr>
        <w:jc w:val="both"/>
      </w:pPr>
      <w:r w:rsidRPr="003F17F2">
        <w:t>By linking quantitative spatial analysis with a discussion of sustainability trade-offs, this research aims to move beyond descriptive statistics and contribute to the critical debate on managing agricultural intensification within ecological limits. The findings are intended to provide an evidence base for developing policies that reconcile productivity goals with the imperative of sustaining the natural resource foundations of Turkish agriculture.</w:t>
      </w:r>
    </w:p>
    <w:p w14:paraId="3FA5AD23" w14:textId="77777777" w:rsidR="00A9122A" w:rsidRPr="00F06785" w:rsidRDefault="00A9122A" w:rsidP="0092044D">
      <w:pPr>
        <w:jc w:val="both"/>
      </w:pPr>
    </w:p>
    <w:p w14:paraId="15C5D6EC" w14:textId="6CDDCF49" w:rsidR="00F06785" w:rsidRPr="00DA44F9" w:rsidRDefault="00F06785" w:rsidP="00DA44F9">
      <w:pPr>
        <w:pStyle w:val="ListParagraph"/>
        <w:numPr>
          <w:ilvl w:val="0"/>
          <w:numId w:val="18"/>
        </w:numPr>
        <w:rPr>
          <w:b/>
          <w:bCs/>
        </w:rPr>
      </w:pPr>
      <w:r w:rsidRPr="00DA44F9">
        <w:rPr>
          <w:b/>
          <w:bCs/>
        </w:rPr>
        <w:t>MATERIALS AND METHODS</w:t>
      </w:r>
    </w:p>
    <w:p w14:paraId="1ECB0078" w14:textId="77777777" w:rsidR="00DA44F9" w:rsidRPr="00DA44F9" w:rsidRDefault="00DA44F9" w:rsidP="00DA44F9">
      <w:pPr>
        <w:pStyle w:val="ListParagraph"/>
        <w:rPr>
          <w:b/>
          <w:bCs/>
        </w:rPr>
      </w:pPr>
    </w:p>
    <w:p w14:paraId="61D2E593" w14:textId="165EFB08" w:rsidR="00F06785" w:rsidRDefault="00F06785" w:rsidP="00F06785">
      <w:r w:rsidRPr="00F06785">
        <w:t>This research examines the change in fallow areas in Turkey using quantitative data and spatial analysis techniques.</w:t>
      </w:r>
    </w:p>
    <w:p w14:paraId="54D11262" w14:textId="77777777" w:rsidR="00DA44F9" w:rsidRPr="00F06785" w:rsidRDefault="00DA44F9" w:rsidP="00F06785"/>
    <w:p w14:paraId="02038175" w14:textId="77777777" w:rsidR="00DA44F9" w:rsidRPr="00DA44F9" w:rsidRDefault="00F06785" w:rsidP="00DA44F9">
      <w:pPr>
        <w:pStyle w:val="ListParagraph"/>
        <w:numPr>
          <w:ilvl w:val="1"/>
          <w:numId w:val="18"/>
        </w:numPr>
        <w:jc w:val="both"/>
      </w:pPr>
      <w:r w:rsidRPr="00DA44F9">
        <w:rPr>
          <w:b/>
          <w:bCs/>
        </w:rPr>
        <w:t>Data Sources</w:t>
      </w:r>
    </w:p>
    <w:p w14:paraId="72BE25AF" w14:textId="07F8FEED" w:rsidR="00F06785" w:rsidRPr="00E25255" w:rsidRDefault="00F06785" w:rsidP="00DA44F9">
      <w:pPr>
        <w:jc w:val="both"/>
      </w:pPr>
      <w:r w:rsidRPr="00E25255">
        <w:t>The primary data source for the study is the annual "Crop Production Statistics" published by the Turkish Statistical Institute (TurkStat). Annual datasets covering the 2015-2024 period were used in the analyses. The data were taken at the level of 12 NUTS-1 Regions (Statistical Region Units), with fallow area (decare) as the key variable. Additionally, data</w:t>
      </w:r>
      <w:r w:rsidR="00DA44F9" w:rsidRPr="00E25255">
        <w:t xml:space="preserve"> </w:t>
      </w:r>
      <w:r w:rsidRPr="00E25255">
        <w:t>on cereal and fruit cultivation areas for the same period and regions were utilized to analyze the crop patterns replacing fallow. State Hydraulic Works reports were used for supporting policy and investment information.</w:t>
      </w:r>
    </w:p>
    <w:p w14:paraId="5B521309" w14:textId="77777777" w:rsidR="00DA44F9" w:rsidRPr="00F06785" w:rsidRDefault="00DA44F9" w:rsidP="00DA44F9">
      <w:pPr>
        <w:jc w:val="both"/>
      </w:pPr>
    </w:p>
    <w:p w14:paraId="03B894AD" w14:textId="77777777" w:rsidR="00F06785" w:rsidRPr="00F06785" w:rsidRDefault="00F06785" w:rsidP="00F06785">
      <w:r w:rsidRPr="00F06785">
        <w:rPr>
          <w:b/>
          <w:bCs/>
        </w:rPr>
        <w:t>2.2. Analytical Methods and Calculations</w:t>
      </w:r>
    </w:p>
    <w:p w14:paraId="5B2C6C1D" w14:textId="77777777" w:rsidR="00F06785" w:rsidRPr="00F06785" w:rsidRDefault="00F06785" w:rsidP="00DA44F9">
      <w:pPr>
        <w:numPr>
          <w:ilvl w:val="0"/>
          <w:numId w:val="16"/>
        </w:numPr>
        <w:jc w:val="both"/>
      </w:pPr>
      <w:r w:rsidRPr="00F06785">
        <w:rPr>
          <w:b/>
          <w:bCs/>
        </w:rPr>
        <w:t>Temporal Trend Analysis:</w:t>
      </w:r>
      <w:r w:rsidRPr="00F06785">
        <w:t> Absolute and relative (percentage) changes in fallow areas at the national and regional levels were calculated. Annual reduction rates and total percentage decreases for the period were determined.</w:t>
      </w:r>
    </w:p>
    <w:p w14:paraId="523C8860" w14:textId="77777777" w:rsidR="00F06785" w:rsidRPr="00F06785" w:rsidRDefault="00F06785" w:rsidP="00DA44F9">
      <w:pPr>
        <w:numPr>
          <w:ilvl w:val="0"/>
          <w:numId w:val="16"/>
        </w:numPr>
        <w:jc w:val="both"/>
      </w:pPr>
      <w:r w:rsidRPr="00F06785">
        <w:rPr>
          <w:b/>
          <w:bCs/>
        </w:rPr>
        <w:t>Regional Comparative Analysis:</w:t>
      </w:r>
      <w:r w:rsidRPr="00F06785">
        <w:t> Change rates between regions were compared to understand the geographical distribution of the fallow decline, investigating whether the decrease was concentrated in regions with high drought risk.</w:t>
      </w:r>
    </w:p>
    <w:p w14:paraId="77489DAB" w14:textId="7DD9CA51" w:rsidR="00F06785" w:rsidRDefault="00F06785" w:rsidP="00DA44F9">
      <w:pPr>
        <w:numPr>
          <w:ilvl w:val="0"/>
          <w:numId w:val="16"/>
        </w:numPr>
        <w:jc w:val="both"/>
      </w:pPr>
      <w:r w:rsidRPr="00F06785">
        <w:rPr>
          <w:b/>
          <w:bCs/>
        </w:rPr>
        <w:t>Land Use Shift Analysis:</w:t>
      </w:r>
      <w:r w:rsidRPr="00F06785">
        <w:t> The relationship between the decrease in fallow area and concurrent changes in cereal and fruit areas in selected pilot regions (especially TR7 Central Anatolia) was analyzed to determine what replaced fallow.</w:t>
      </w:r>
    </w:p>
    <w:p w14:paraId="27338C39" w14:textId="77777777" w:rsidR="00DA44F9" w:rsidRPr="00F06785" w:rsidRDefault="00DA44F9" w:rsidP="00DA44F9">
      <w:pPr>
        <w:ind w:left="720"/>
        <w:jc w:val="both"/>
      </w:pPr>
    </w:p>
    <w:p w14:paraId="0AD0AE7B" w14:textId="02C26AE5" w:rsidR="00DA44F9" w:rsidRDefault="00F06785" w:rsidP="00DA44F9">
      <w:pPr>
        <w:pStyle w:val="ListParagraph"/>
        <w:numPr>
          <w:ilvl w:val="1"/>
          <w:numId w:val="18"/>
        </w:numPr>
        <w:jc w:val="both"/>
      </w:pPr>
      <w:r w:rsidRPr="00DA44F9">
        <w:rPr>
          <w:b/>
          <w:bCs/>
        </w:rPr>
        <w:t>Visualization and Software</w:t>
      </w:r>
    </w:p>
    <w:p w14:paraId="37D59E4F" w14:textId="7F9737DA" w:rsidR="00F06785" w:rsidRDefault="00F06785" w:rsidP="00DA44F9">
      <w:pPr>
        <w:jc w:val="both"/>
      </w:pPr>
      <w:r w:rsidRPr="00F06785">
        <w:t xml:space="preserve">All data cleaning, calculation, and table creation processes were performed </w:t>
      </w:r>
      <w:r w:rsidRPr="000C637C">
        <w:t>using Microsoft Excel.</w:t>
      </w:r>
      <w:r w:rsidRPr="00F06785">
        <w:t xml:space="preserve"> The </w:t>
      </w:r>
      <w:r w:rsidRPr="000C637C">
        <w:t>Python programming language and pandas, matplotlib, seaborn libraries were employed for dynamic data processing and effective visual presentation.</w:t>
      </w:r>
    </w:p>
    <w:p w14:paraId="67469B88" w14:textId="77777777" w:rsidR="00DA44F9" w:rsidRPr="00F06785" w:rsidRDefault="00DA44F9" w:rsidP="00DA44F9">
      <w:pPr>
        <w:jc w:val="both"/>
      </w:pPr>
    </w:p>
    <w:p w14:paraId="6970BE0C" w14:textId="78F391F8" w:rsidR="00F06785" w:rsidRPr="00DA44F9" w:rsidRDefault="00F06785" w:rsidP="00DA44F9">
      <w:pPr>
        <w:pStyle w:val="ListParagraph"/>
        <w:numPr>
          <w:ilvl w:val="0"/>
          <w:numId w:val="18"/>
        </w:numPr>
        <w:jc w:val="both"/>
        <w:rPr>
          <w:b/>
          <w:bCs/>
        </w:rPr>
      </w:pPr>
      <w:r w:rsidRPr="00DA44F9">
        <w:rPr>
          <w:b/>
          <w:bCs/>
        </w:rPr>
        <w:t>FINDINGS AND DISCUSSION</w:t>
      </w:r>
    </w:p>
    <w:p w14:paraId="4364468E" w14:textId="77777777" w:rsidR="00DA44F9" w:rsidRPr="00DA44F9" w:rsidRDefault="00DA44F9" w:rsidP="00DA44F9">
      <w:pPr>
        <w:jc w:val="both"/>
        <w:rPr>
          <w:b/>
          <w:bCs/>
        </w:rPr>
      </w:pPr>
    </w:p>
    <w:p w14:paraId="2537B365" w14:textId="77777777" w:rsidR="00F06785" w:rsidRPr="00F06785" w:rsidRDefault="00F06785" w:rsidP="00DA44F9">
      <w:pPr>
        <w:jc w:val="both"/>
        <w:rPr>
          <w:b/>
          <w:bCs/>
        </w:rPr>
      </w:pPr>
      <w:r w:rsidRPr="00F06785">
        <w:rPr>
          <w:b/>
          <w:bCs/>
        </w:rPr>
        <w:t>3.1. The Panorama of Fallow Areas in Turkey: A Striking Decline</w:t>
      </w:r>
    </w:p>
    <w:p w14:paraId="64E9E5C8" w14:textId="4720FB7A" w:rsidR="00F06785" w:rsidRPr="000C637C" w:rsidRDefault="00F06785" w:rsidP="00DA44F9">
      <w:pPr>
        <w:jc w:val="both"/>
      </w:pPr>
      <w:r w:rsidRPr="00F06785">
        <w:t>Analysis of TurkStat data reveals that fallow practice in Turkey has declined dramatically over the last decade. The total fallow area, which was 41.14 million decares in 2015, decreased to 26.55 million decares by 2024. This represents an approximate 35.5% reduction. Examination of the trend shows that the most pronounced decline occurred between 2015 and 2019, and although the pace slowed somewhat after 2020, the decreasing trend continued.</w:t>
      </w:r>
    </w:p>
    <w:p w14:paraId="575C5C3F" w14:textId="0D4BD06E" w:rsidR="00C467FF" w:rsidRDefault="00C467FF" w:rsidP="00DA44F9">
      <w:pPr>
        <w:jc w:val="both"/>
      </w:pPr>
    </w:p>
    <w:p w14:paraId="3087C2E2" w14:textId="634C3769" w:rsidR="00C467FF" w:rsidRDefault="00C467FF" w:rsidP="00DA44F9">
      <w:pPr>
        <w:jc w:val="both"/>
      </w:pPr>
    </w:p>
    <w:p w14:paraId="7DF692C7" w14:textId="7769E21D" w:rsidR="00C467FF" w:rsidRDefault="00C467FF" w:rsidP="00DA44F9">
      <w:pPr>
        <w:jc w:val="both"/>
      </w:pPr>
    </w:p>
    <w:p w14:paraId="34145C43" w14:textId="0C243535" w:rsidR="00C467FF" w:rsidRDefault="00C467FF" w:rsidP="00DA44F9">
      <w:pPr>
        <w:jc w:val="both"/>
      </w:pPr>
    </w:p>
    <w:p w14:paraId="6419F4F0" w14:textId="52D68E5A" w:rsidR="00C467FF" w:rsidRDefault="00C467FF" w:rsidP="00DA44F9">
      <w:pPr>
        <w:jc w:val="both"/>
      </w:pPr>
    </w:p>
    <w:p w14:paraId="0C1FF382" w14:textId="40CD696A" w:rsidR="00C467FF" w:rsidRDefault="00C467FF" w:rsidP="00DA44F9">
      <w:pPr>
        <w:jc w:val="both"/>
      </w:pPr>
    </w:p>
    <w:p w14:paraId="2351E146" w14:textId="77777777" w:rsidR="00C467FF" w:rsidRPr="00F06785" w:rsidRDefault="00C467FF" w:rsidP="00DA44F9">
      <w:pPr>
        <w:jc w:val="both"/>
      </w:pPr>
    </w:p>
    <w:p w14:paraId="7C211D6B" w14:textId="77777777" w:rsidR="00F06785" w:rsidRPr="00F06785" w:rsidRDefault="00F06785" w:rsidP="00C467FF">
      <w:pPr>
        <w:jc w:val="center"/>
      </w:pPr>
      <w:r w:rsidRPr="00F06785">
        <w:rPr>
          <w:b/>
          <w:bCs/>
        </w:rPr>
        <w:t>Table 1. Change in Total Fallow Area in Turkey (2015-2024)</w:t>
      </w:r>
    </w:p>
    <w:tbl>
      <w:tblPr>
        <w:tblW w:w="8347"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3402"/>
        <w:gridCol w:w="3527"/>
      </w:tblGrid>
      <w:tr w:rsidR="00F06785" w:rsidRPr="00F06785" w14:paraId="4C73580E" w14:textId="77777777" w:rsidTr="00C11858">
        <w:trPr>
          <w:trHeight w:val="111"/>
          <w:tblHeader/>
          <w:jc w:val="center"/>
        </w:trPr>
        <w:tc>
          <w:tcPr>
            <w:tcW w:w="1418" w:type="dxa"/>
            <w:tcBorders>
              <w:top w:val="single" w:sz="4" w:space="0" w:color="auto"/>
              <w:bottom w:val="single" w:sz="4" w:space="0" w:color="auto"/>
            </w:tcBorders>
            <w:tcMar>
              <w:top w:w="150" w:type="dxa"/>
              <w:left w:w="0" w:type="dxa"/>
              <w:bottom w:w="150" w:type="dxa"/>
              <w:right w:w="240" w:type="dxa"/>
            </w:tcMar>
            <w:vAlign w:val="center"/>
            <w:hideMark/>
          </w:tcPr>
          <w:p w14:paraId="1D728410" w14:textId="77777777" w:rsidR="00F06785" w:rsidRPr="00F06785" w:rsidRDefault="00F06785" w:rsidP="00C11858">
            <w:pPr>
              <w:spacing w:after="0" w:line="240" w:lineRule="auto"/>
              <w:rPr>
                <w:b/>
                <w:bCs/>
              </w:rPr>
            </w:pPr>
            <w:r w:rsidRPr="00F06785">
              <w:rPr>
                <w:b/>
                <w:bCs/>
              </w:rPr>
              <w:t>Year</w:t>
            </w:r>
          </w:p>
        </w:tc>
        <w:tc>
          <w:tcPr>
            <w:tcW w:w="3402" w:type="dxa"/>
            <w:tcBorders>
              <w:top w:val="single" w:sz="4" w:space="0" w:color="auto"/>
              <w:bottom w:val="single" w:sz="4" w:space="0" w:color="auto"/>
            </w:tcBorders>
            <w:tcMar>
              <w:top w:w="150" w:type="dxa"/>
              <w:left w:w="240" w:type="dxa"/>
              <w:bottom w:w="150" w:type="dxa"/>
              <w:right w:w="240" w:type="dxa"/>
            </w:tcMar>
            <w:vAlign w:val="center"/>
            <w:hideMark/>
          </w:tcPr>
          <w:p w14:paraId="4D412CC2" w14:textId="77777777" w:rsidR="00F06785" w:rsidRPr="00F06785" w:rsidRDefault="00F06785" w:rsidP="00C11858">
            <w:pPr>
              <w:spacing w:after="0" w:line="240" w:lineRule="auto"/>
              <w:rPr>
                <w:b/>
                <w:bCs/>
              </w:rPr>
            </w:pPr>
            <w:r w:rsidRPr="00F06785">
              <w:rPr>
                <w:b/>
                <w:bCs/>
              </w:rPr>
              <w:t>Total Fallow Area (Decare)</w:t>
            </w:r>
          </w:p>
        </w:tc>
        <w:tc>
          <w:tcPr>
            <w:tcW w:w="3527" w:type="dxa"/>
            <w:tcBorders>
              <w:top w:val="single" w:sz="4" w:space="0" w:color="auto"/>
              <w:bottom w:val="single" w:sz="4" w:space="0" w:color="auto"/>
            </w:tcBorders>
            <w:tcMar>
              <w:top w:w="150" w:type="dxa"/>
              <w:left w:w="240" w:type="dxa"/>
              <w:bottom w:w="150" w:type="dxa"/>
              <w:right w:w="240" w:type="dxa"/>
            </w:tcMar>
            <w:vAlign w:val="center"/>
            <w:hideMark/>
          </w:tcPr>
          <w:p w14:paraId="585EEB3D" w14:textId="77777777" w:rsidR="00F06785" w:rsidRPr="00F06785" w:rsidRDefault="00F06785" w:rsidP="00C11858">
            <w:pPr>
              <w:spacing w:after="0" w:line="240" w:lineRule="auto"/>
              <w:rPr>
                <w:b/>
                <w:bCs/>
              </w:rPr>
            </w:pPr>
            <w:r w:rsidRPr="00F06785">
              <w:rPr>
                <w:b/>
                <w:bCs/>
              </w:rPr>
              <w:t>Year-on-Year Change (%)</w:t>
            </w:r>
          </w:p>
        </w:tc>
      </w:tr>
      <w:tr w:rsidR="00F06785" w:rsidRPr="00F06785" w14:paraId="5F76C347" w14:textId="77777777" w:rsidTr="00C11858">
        <w:trPr>
          <w:trHeight w:val="363"/>
          <w:jc w:val="center"/>
        </w:trPr>
        <w:tc>
          <w:tcPr>
            <w:tcW w:w="1418" w:type="dxa"/>
            <w:tcBorders>
              <w:top w:val="single" w:sz="4" w:space="0" w:color="auto"/>
            </w:tcBorders>
            <w:tcMar>
              <w:top w:w="150" w:type="dxa"/>
              <w:left w:w="0" w:type="dxa"/>
              <w:bottom w:w="150" w:type="dxa"/>
              <w:right w:w="240" w:type="dxa"/>
            </w:tcMar>
            <w:vAlign w:val="center"/>
            <w:hideMark/>
          </w:tcPr>
          <w:p w14:paraId="0005E336" w14:textId="77777777" w:rsidR="00F06785" w:rsidRPr="00F06785" w:rsidRDefault="00F06785" w:rsidP="00C11858">
            <w:pPr>
              <w:spacing w:after="0" w:line="240" w:lineRule="auto"/>
            </w:pPr>
            <w:r w:rsidRPr="00F06785">
              <w:rPr>
                <w:b/>
                <w:bCs/>
              </w:rPr>
              <w:t>2015</w:t>
            </w:r>
          </w:p>
        </w:tc>
        <w:tc>
          <w:tcPr>
            <w:tcW w:w="3402" w:type="dxa"/>
            <w:tcBorders>
              <w:top w:val="single" w:sz="4" w:space="0" w:color="auto"/>
            </w:tcBorders>
            <w:tcMar>
              <w:top w:w="150" w:type="dxa"/>
              <w:left w:w="240" w:type="dxa"/>
              <w:bottom w:w="150" w:type="dxa"/>
              <w:right w:w="240" w:type="dxa"/>
            </w:tcMar>
            <w:vAlign w:val="center"/>
            <w:hideMark/>
          </w:tcPr>
          <w:p w14:paraId="7CEA4516" w14:textId="77777777" w:rsidR="00F06785" w:rsidRPr="00F06785" w:rsidRDefault="00F06785" w:rsidP="00C11858">
            <w:pPr>
              <w:spacing w:after="0" w:line="240" w:lineRule="auto"/>
            </w:pPr>
            <w:r w:rsidRPr="00F06785">
              <w:t>41,139,762</w:t>
            </w:r>
          </w:p>
        </w:tc>
        <w:tc>
          <w:tcPr>
            <w:tcW w:w="3527" w:type="dxa"/>
            <w:tcBorders>
              <w:top w:val="single" w:sz="4" w:space="0" w:color="auto"/>
            </w:tcBorders>
            <w:tcMar>
              <w:top w:w="150" w:type="dxa"/>
              <w:left w:w="240" w:type="dxa"/>
              <w:bottom w:w="150" w:type="dxa"/>
              <w:right w:w="0" w:type="dxa"/>
            </w:tcMar>
            <w:vAlign w:val="center"/>
            <w:hideMark/>
          </w:tcPr>
          <w:p w14:paraId="42695F38" w14:textId="77777777" w:rsidR="00F06785" w:rsidRPr="00F06785" w:rsidRDefault="00F06785" w:rsidP="00C11858">
            <w:pPr>
              <w:spacing w:after="0" w:line="240" w:lineRule="auto"/>
            </w:pPr>
            <w:r w:rsidRPr="00F06785">
              <w:t>–</w:t>
            </w:r>
          </w:p>
        </w:tc>
      </w:tr>
      <w:tr w:rsidR="00F06785" w:rsidRPr="00F06785" w14:paraId="36F97D67" w14:textId="77777777" w:rsidTr="00C11858">
        <w:trPr>
          <w:trHeight w:val="197"/>
          <w:jc w:val="center"/>
        </w:trPr>
        <w:tc>
          <w:tcPr>
            <w:tcW w:w="1418" w:type="dxa"/>
            <w:tcMar>
              <w:top w:w="150" w:type="dxa"/>
              <w:left w:w="0" w:type="dxa"/>
              <w:bottom w:w="150" w:type="dxa"/>
              <w:right w:w="240" w:type="dxa"/>
            </w:tcMar>
            <w:vAlign w:val="center"/>
            <w:hideMark/>
          </w:tcPr>
          <w:p w14:paraId="6A2E761F" w14:textId="77777777" w:rsidR="00F06785" w:rsidRPr="00F06785" w:rsidRDefault="00F06785" w:rsidP="00C11858">
            <w:pPr>
              <w:spacing w:after="0" w:line="240" w:lineRule="auto"/>
            </w:pPr>
            <w:r w:rsidRPr="00F06785">
              <w:rPr>
                <w:b/>
                <w:bCs/>
              </w:rPr>
              <w:t>2016</w:t>
            </w:r>
          </w:p>
        </w:tc>
        <w:tc>
          <w:tcPr>
            <w:tcW w:w="3402" w:type="dxa"/>
            <w:tcMar>
              <w:top w:w="150" w:type="dxa"/>
              <w:left w:w="240" w:type="dxa"/>
              <w:bottom w:w="150" w:type="dxa"/>
              <w:right w:w="240" w:type="dxa"/>
            </w:tcMar>
            <w:vAlign w:val="center"/>
            <w:hideMark/>
          </w:tcPr>
          <w:p w14:paraId="137682B8" w14:textId="77777777" w:rsidR="00F06785" w:rsidRPr="00F06785" w:rsidRDefault="00F06785" w:rsidP="00C11858">
            <w:pPr>
              <w:spacing w:after="0" w:line="240" w:lineRule="auto"/>
            </w:pPr>
            <w:r w:rsidRPr="00F06785">
              <w:t>39,982,957</w:t>
            </w:r>
          </w:p>
        </w:tc>
        <w:tc>
          <w:tcPr>
            <w:tcW w:w="3527" w:type="dxa"/>
            <w:tcMar>
              <w:top w:w="150" w:type="dxa"/>
              <w:left w:w="240" w:type="dxa"/>
              <w:bottom w:w="150" w:type="dxa"/>
              <w:right w:w="0" w:type="dxa"/>
            </w:tcMar>
            <w:vAlign w:val="center"/>
            <w:hideMark/>
          </w:tcPr>
          <w:p w14:paraId="44817F32" w14:textId="77777777" w:rsidR="00F06785" w:rsidRPr="00F06785" w:rsidRDefault="00F06785" w:rsidP="00C11858">
            <w:pPr>
              <w:spacing w:after="0" w:line="240" w:lineRule="auto"/>
            </w:pPr>
            <w:r w:rsidRPr="00F06785">
              <w:t>-2.8</w:t>
            </w:r>
          </w:p>
        </w:tc>
      </w:tr>
      <w:tr w:rsidR="00F06785" w:rsidRPr="00F06785" w14:paraId="2F3A0D53" w14:textId="77777777" w:rsidTr="00C467FF">
        <w:trPr>
          <w:jc w:val="center"/>
        </w:trPr>
        <w:tc>
          <w:tcPr>
            <w:tcW w:w="1418" w:type="dxa"/>
            <w:tcMar>
              <w:top w:w="150" w:type="dxa"/>
              <w:left w:w="0" w:type="dxa"/>
              <w:bottom w:w="150" w:type="dxa"/>
              <w:right w:w="240" w:type="dxa"/>
            </w:tcMar>
            <w:vAlign w:val="center"/>
            <w:hideMark/>
          </w:tcPr>
          <w:p w14:paraId="1C4CA2E6" w14:textId="77777777" w:rsidR="00F06785" w:rsidRPr="00F06785" w:rsidRDefault="00F06785" w:rsidP="00C11858">
            <w:pPr>
              <w:spacing w:after="0" w:line="240" w:lineRule="auto"/>
            </w:pPr>
            <w:r w:rsidRPr="00F06785">
              <w:rPr>
                <w:b/>
                <w:bCs/>
              </w:rPr>
              <w:t>2017</w:t>
            </w:r>
          </w:p>
        </w:tc>
        <w:tc>
          <w:tcPr>
            <w:tcW w:w="3402" w:type="dxa"/>
            <w:tcMar>
              <w:top w:w="150" w:type="dxa"/>
              <w:left w:w="240" w:type="dxa"/>
              <w:bottom w:w="150" w:type="dxa"/>
              <w:right w:w="240" w:type="dxa"/>
            </w:tcMar>
            <w:vAlign w:val="center"/>
            <w:hideMark/>
          </w:tcPr>
          <w:p w14:paraId="43121A29" w14:textId="77777777" w:rsidR="00F06785" w:rsidRPr="00F06785" w:rsidRDefault="00F06785" w:rsidP="00C11858">
            <w:pPr>
              <w:spacing w:after="0" w:line="240" w:lineRule="auto"/>
            </w:pPr>
            <w:r w:rsidRPr="00F06785">
              <w:t>36,974,137</w:t>
            </w:r>
          </w:p>
        </w:tc>
        <w:tc>
          <w:tcPr>
            <w:tcW w:w="3527" w:type="dxa"/>
            <w:tcMar>
              <w:top w:w="150" w:type="dxa"/>
              <w:left w:w="240" w:type="dxa"/>
              <w:bottom w:w="150" w:type="dxa"/>
              <w:right w:w="0" w:type="dxa"/>
            </w:tcMar>
            <w:vAlign w:val="center"/>
            <w:hideMark/>
          </w:tcPr>
          <w:p w14:paraId="2882711C" w14:textId="77777777" w:rsidR="00F06785" w:rsidRPr="00F06785" w:rsidRDefault="00F06785" w:rsidP="00C11858">
            <w:pPr>
              <w:spacing w:after="0" w:line="240" w:lineRule="auto"/>
            </w:pPr>
            <w:r w:rsidRPr="00F06785">
              <w:t>-7.5</w:t>
            </w:r>
          </w:p>
        </w:tc>
      </w:tr>
      <w:tr w:rsidR="00F06785" w:rsidRPr="00F06785" w14:paraId="6EAFB195" w14:textId="77777777" w:rsidTr="00C467FF">
        <w:trPr>
          <w:jc w:val="center"/>
        </w:trPr>
        <w:tc>
          <w:tcPr>
            <w:tcW w:w="1418" w:type="dxa"/>
            <w:tcMar>
              <w:top w:w="150" w:type="dxa"/>
              <w:left w:w="0" w:type="dxa"/>
              <w:bottom w:w="150" w:type="dxa"/>
              <w:right w:w="240" w:type="dxa"/>
            </w:tcMar>
            <w:vAlign w:val="center"/>
            <w:hideMark/>
          </w:tcPr>
          <w:p w14:paraId="611DEDEF" w14:textId="77777777" w:rsidR="00F06785" w:rsidRPr="00F06785" w:rsidRDefault="00F06785" w:rsidP="00C11858">
            <w:pPr>
              <w:spacing w:after="0" w:line="240" w:lineRule="auto"/>
            </w:pPr>
            <w:r w:rsidRPr="00F06785">
              <w:rPr>
                <w:b/>
                <w:bCs/>
              </w:rPr>
              <w:t>2018</w:t>
            </w:r>
          </w:p>
        </w:tc>
        <w:tc>
          <w:tcPr>
            <w:tcW w:w="3402" w:type="dxa"/>
            <w:tcMar>
              <w:top w:w="150" w:type="dxa"/>
              <w:left w:w="240" w:type="dxa"/>
              <w:bottom w:w="150" w:type="dxa"/>
              <w:right w:w="240" w:type="dxa"/>
            </w:tcMar>
            <w:vAlign w:val="center"/>
            <w:hideMark/>
          </w:tcPr>
          <w:p w14:paraId="543DE049" w14:textId="77777777" w:rsidR="00F06785" w:rsidRPr="00F06785" w:rsidRDefault="00F06785" w:rsidP="00C11858">
            <w:pPr>
              <w:spacing w:after="0" w:line="240" w:lineRule="auto"/>
            </w:pPr>
            <w:r w:rsidRPr="00F06785">
              <w:t>35,127,733</w:t>
            </w:r>
          </w:p>
        </w:tc>
        <w:tc>
          <w:tcPr>
            <w:tcW w:w="3527" w:type="dxa"/>
            <w:tcMar>
              <w:top w:w="150" w:type="dxa"/>
              <w:left w:w="240" w:type="dxa"/>
              <w:bottom w:w="150" w:type="dxa"/>
              <w:right w:w="0" w:type="dxa"/>
            </w:tcMar>
            <w:vAlign w:val="center"/>
            <w:hideMark/>
          </w:tcPr>
          <w:p w14:paraId="64D23106" w14:textId="77777777" w:rsidR="00F06785" w:rsidRPr="00F06785" w:rsidRDefault="00F06785" w:rsidP="00C11858">
            <w:pPr>
              <w:spacing w:after="0" w:line="240" w:lineRule="auto"/>
            </w:pPr>
            <w:r w:rsidRPr="00F06785">
              <w:t>-5.0</w:t>
            </w:r>
          </w:p>
        </w:tc>
      </w:tr>
      <w:tr w:rsidR="00F06785" w:rsidRPr="00F06785" w14:paraId="39AAD2A2" w14:textId="77777777" w:rsidTr="00C467FF">
        <w:trPr>
          <w:jc w:val="center"/>
        </w:trPr>
        <w:tc>
          <w:tcPr>
            <w:tcW w:w="1418" w:type="dxa"/>
            <w:tcMar>
              <w:top w:w="150" w:type="dxa"/>
              <w:left w:w="0" w:type="dxa"/>
              <w:bottom w:w="150" w:type="dxa"/>
              <w:right w:w="240" w:type="dxa"/>
            </w:tcMar>
            <w:vAlign w:val="center"/>
            <w:hideMark/>
          </w:tcPr>
          <w:p w14:paraId="653C8B60" w14:textId="77777777" w:rsidR="00F06785" w:rsidRPr="00F06785" w:rsidRDefault="00F06785" w:rsidP="00C11858">
            <w:pPr>
              <w:spacing w:after="0" w:line="240" w:lineRule="auto"/>
            </w:pPr>
            <w:r w:rsidRPr="00F06785">
              <w:rPr>
                <w:b/>
                <w:bCs/>
              </w:rPr>
              <w:t>2019</w:t>
            </w:r>
          </w:p>
        </w:tc>
        <w:tc>
          <w:tcPr>
            <w:tcW w:w="3402" w:type="dxa"/>
            <w:tcMar>
              <w:top w:w="150" w:type="dxa"/>
              <w:left w:w="240" w:type="dxa"/>
              <w:bottom w:w="150" w:type="dxa"/>
              <w:right w:w="240" w:type="dxa"/>
            </w:tcMar>
            <w:vAlign w:val="center"/>
            <w:hideMark/>
          </w:tcPr>
          <w:p w14:paraId="5EBBD197" w14:textId="77777777" w:rsidR="00F06785" w:rsidRPr="00F06785" w:rsidRDefault="00F06785" w:rsidP="00C11858">
            <w:pPr>
              <w:spacing w:after="0" w:line="240" w:lineRule="auto"/>
            </w:pPr>
            <w:r w:rsidRPr="00F06785">
              <w:t>33,873,817</w:t>
            </w:r>
          </w:p>
        </w:tc>
        <w:tc>
          <w:tcPr>
            <w:tcW w:w="3527" w:type="dxa"/>
            <w:tcMar>
              <w:top w:w="150" w:type="dxa"/>
              <w:left w:w="240" w:type="dxa"/>
              <w:bottom w:w="150" w:type="dxa"/>
              <w:right w:w="0" w:type="dxa"/>
            </w:tcMar>
            <w:vAlign w:val="center"/>
            <w:hideMark/>
          </w:tcPr>
          <w:p w14:paraId="66648763" w14:textId="77777777" w:rsidR="00F06785" w:rsidRPr="00F06785" w:rsidRDefault="00F06785" w:rsidP="00C11858">
            <w:pPr>
              <w:spacing w:after="0" w:line="240" w:lineRule="auto"/>
            </w:pPr>
            <w:r w:rsidRPr="00F06785">
              <w:t>-3.6</w:t>
            </w:r>
          </w:p>
        </w:tc>
      </w:tr>
      <w:tr w:rsidR="00F06785" w:rsidRPr="00F06785" w14:paraId="326B3A38" w14:textId="77777777" w:rsidTr="00C467FF">
        <w:trPr>
          <w:jc w:val="center"/>
        </w:trPr>
        <w:tc>
          <w:tcPr>
            <w:tcW w:w="1418" w:type="dxa"/>
            <w:tcMar>
              <w:top w:w="150" w:type="dxa"/>
              <w:left w:w="0" w:type="dxa"/>
              <w:bottom w:w="150" w:type="dxa"/>
              <w:right w:w="240" w:type="dxa"/>
            </w:tcMar>
            <w:vAlign w:val="center"/>
            <w:hideMark/>
          </w:tcPr>
          <w:p w14:paraId="695F5961" w14:textId="77777777" w:rsidR="00F06785" w:rsidRPr="00F06785" w:rsidRDefault="00F06785" w:rsidP="00C11858">
            <w:pPr>
              <w:spacing w:after="0" w:line="240" w:lineRule="auto"/>
            </w:pPr>
            <w:r w:rsidRPr="00F06785">
              <w:rPr>
                <w:b/>
                <w:bCs/>
              </w:rPr>
              <w:t>2020</w:t>
            </w:r>
          </w:p>
        </w:tc>
        <w:tc>
          <w:tcPr>
            <w:tcW w:w="3402" w:type="dxa"/>
            <w:tcMar>
              <w:top w:w="150" w:type="dxa"/>
              <w:left w:w="240" w:type="dxa"/>
              <w:bottom w:w="150" w:type="dxa"/>
              <w:right w:w="240" w:type="dxa"/>
            </w:tcMar>
            <w:vAlign w:val="center"/>
            <w:hideMark/>
          </w:tcPr>
          <w:p w14:paraId="09F4D7DA" w14:textId="77777777" w:rsidR="00F06785" w:rsidRPr="00F06785" w:rsidRDefault="00F06785" w:rsidP="00C11858">
            <w:pPr>
              <w:spacing w:after="0" w:line="240" w:lineRule="auto"/>
            </w:pPr>
            <w:r w:rsidRPr="00F06785">
              <w:t>31,732,521</w:t>
            </w:r>
          </w:p>
        </w:tc>
        <w:tc>
          <w:tcPr>
            <w:tcW w:w="3527" w:type="dxa"/>
            <w:tcMar>
              <w:top w:w="150" w:type="dxa"/>
              <w:left w:w="240" w:type="dxa"/>
              <w:bottom w:w="150" w:type="dxa"/>
              <w:right w:w="0" w:type="dxa"/>
            </w:tcMar>
            <w:vAlign w:val="center"/>
            <w:hideMark/>
          </w:tcPr>
          <w:p w14:paraId="1109721B" w14:textId="77777777" w:rsidR="00F06785" w:rsidRPr="00F06785" w:rsidRDefault="00F06785" w:rsidP="00C11858">
            <w:pPr>
              <w:spacing w:after="0" w:line="240" w:lineRule="auto"/>
            </w:pPr>
            <w:r w:rsidRPr="00F06785">
              <w:t>-6.3</w:t>
            </w:r>
          </w:p>
        </w:tc>
      </w:tr>
      <w:tr w:rsidR="00F06785" w:rsidRPr="00F06785" w14:paraId="670B83B0" w14:textId="77777777" w:rsidTr="00C467FF">
        <w:trPr>
          <w:jc w:val="center"/>
        </w:trPr>
        <w:tc>
          <w:tcPr>
            <w:tcW w:w="1418" w:type="dxa"/>
            <w:tcMar>
              <w:top w:w="150" w:type="dxa"/>
              <w:left w:w="0" w:type="dxa"/>
              <w:bottom w:w="150" w:type="dxa"/>
              <w:right w:w="240" w:type="dxa"/>
            </w:tcMar>
            <w:vAlign w:val="center"/>
            <w:hideMark/>
          </w:tcPr>
          <w:p w14:paraId="56A549F6" w14:textId="77777777" w:rsidR="00F06785" w:rsidRPr="00F06785" w:rsidRDefault="00F06785" w:rsidP="00C11858">
            <w:pPr>
              <w:spacing w:after="0" w:line="240" w:lineRule="auto"/>
            </w:pPr>
            <w:r w:rsidRPr="00F06785">
              <w:rPr>
                <w:b/>
                <w:bCs/>
              </w:rPr>
              <w:t>2021</w:t>
            </w:r>
          </w:p>
        </w:tc>
        <w:tc>
          <w:tcPr>
            <w:tcW w:w="3402" w:type="dxa"/>
            <w:tcMar>
              <w:top w:w="150" w:type="dxa"/>
              <w:left w:w="240" w:type="dxa"/>
              <w:bottom w:w="150" w:type="dxa"/>
              <w:right w:w="240" w:type="dxa"/>
            </w:tcMar>
            <w:vAlign w:val="center"/>
            <w:hideMark/>
          </w:tcPr>
          <w:p w14:paraId="1E13577C" w14:textId="77777777" w:rsidR="00F06785" w:rsidRPr="00F06785" w:rsidRDefault="00F06785" w:rsidP="00C11858">
            <w:pPr>
              <w:spacing w:after="0" w:line="240" w:lineRule="auto"/>
            </w:pPr>
            <w:r w:rsidRPr="00F06785">
              <w:t>30,591,619</w:t>
            </w:r>
          </w:p>
        </w:tc>
        <w:tc>
          <w:tcPr>
            <w:tcW w:w="3527" w:type="dxa"/>
            <w:tcMar>
              <w:top w:w="150" w:type="dxa"/>
              <w:left w:w="240" w:type="dxa"/>
              <w:bottom w:w="150" w:type="dxa"/>
              <w:right w:w="0" w:type="dxa"/>
            </w:tcMar>
            <w:vAlign w:val="center"/>
            <w:hideMark/>
          </w:tcPr>
          <w:p w14:paraId="670FDFD9" w14:textId="77777777" w:rsidR="00F06785" w:rsidRPr="00F06785" w:rsidRDefault="00F06785" w:rsidP="00C11858">
            <w:pPr>
              <w:spacing w:after="0" w:line="240" w:lineRule="auto"/>
            </w:pPr>
            <w:r w:rsidRPr="00F06785">
              <w:t>-3.6</w:t>
            </w:r>
          </w:p>
        </w:tc>
      </w:tr>
      <w:tr w:rsidR="00F06785" w:rsidRPr="00F06785" w14:paraId="41A931CB" w14:textId="77777777" w:rsidTr="00C467FF">
        <w:trPr>
          <w:jc w:val="center"/>
        </w:trPr>
        <w:tc>
          <w:tcPr>
            <w:tcW w:w="1418" w:type="dxa"/>
            <w:tcMar>
              <w:top w:w="150" w:type="dxa"/>
              <w:left w:w="0" w:type="dxa"/>
              <w:bottom w:w="150" w:type="dxa"/>
              <w:right w:w="240" w:type="dxa"/>
            </w:tcMar>
            <w:vAlign w:val="center"/>
            <w:hideMark/>
          </w:tcPr>
          <w:p w14:paraId="3FC7DA71" w14:textId="77777777" w:rsidR="00F06785" w:rsidRPr="00F06785" w:rsidRDefault="00F06785" w:rsidP="00C11858">
            <w:pPr>
              <w:spacing w:after="0" w:line="240" w:lineRule="auto"/>
            </w:pPr>
            <w:r w:rsidRPr="00F06785">
              <w:rPr>
                <w:b/>
                <w:bCs/>
              </w:rPr>
              <w:t>2022</w:t>
            </w:r>
          </w:p>
        </w:tc>
        <w:tc>
          <w:tcPr>
            <w:tcW w:w="3402" w:type="dxa"/>
            <w:tcMar>
              <w:top w:w="150" w:type="dxa"/>
              <w:left w:w="240" w:type="dxa"/>
              <w:bottom w:w="150" w:type="dxa"/>
              <w:right w:w="240" w:type="dxa"/>
            </w:tcMar>
            <w:vAlign w:val="center"/>
            <w:hideMark/>
          </w:tcPr>
          <w:p w14:paraId="71140347" w14:textId="77777777" w:rsidR="00F06785" w:rsidRPr="00F06785" w:rsidRDefault="00F06785" w:rsidP="00C11858">
            <w:pPr>
              <w:spacing w:after="0" w:line="240" w:lineRule="auto"/>
            </w:pPr>
            <w:r w:rsidRPr="00F06785">
              <w:t>29,595,607</w:t>
            </w:r>
          </w:p>
        </w:tc>
        <w:tc>
          <w:tcPr>
            <w:tcW w:w="3527" w:type="dxa"/>
            <w:tcMar>
              <w:top w:w="150" w:type="dxa"/>
              <w:left w:w="240" w:type="dxa"/>
              <w:bottom w:w="150" w:type="dxa"/>
              <w:right w:w="0" w:type="dxa"/>
            </w:tcMar>
            <w:vAlign w:val="center"/>
            <w:hideMark/>
          </w:tcPr>
          <w:p w14:paraId="27CEC004" w14:textId="77777777" w:rsidR="00F06785" w:rsidRPr="00F06785" w:rsidRDefault="00F06785" w:rsidP="00C11858">
            <w:pPr>
              <w:spacing w:after="0" w:line="240" w:lineRule="auto"/>
            </w:pPr>
            <w:r w:rsidRPr="00F06785">
              <w:t>-3.3</w:t>
            </w:r>
          </w:p>
        </w:tc>
      </w:tr>
      <w:tr w:rsidR="00F06785" w:rsidRPr="00F06785" w14:paraId="6169888C" w14:textId="77777777" w:rsidTr="00C467FF">
        <w:trPr>
          <w:jc w:val="center"/>
        </w:trPr>
        <w:tc>
          <w:tcPr>
            <w:tcW w:w="1418" w:type="dxa"/>
            <w:tcMar>
              <w:top w:w="150" w:type="dxa"/>
              <w:left w:w="0" w:type="dxa"/>
              <w:bottom w:w="150" w:type="dxa"/>
              <w:right w:w="240" w:type="dxa"/>
            </w:tcMar>
            <w:vAlign w:val="center"/>
            <w:hideMark/>
          </w:tcPr>
          <w:p w14:paraId="12E81882" w14:textId="77777777" w:rsidR="00F06785" w:rsidRPr="00F06785" w:rsidRDefault="00F06785" w:rsidP="00C11858">
            <w:pPr>
              <w:spacing w:after="0" w:line="240" w:lineRule="auto"/>
            </w:pPr>
            <w:r w:rsidRPr="00F06785">
              <w:rPr>
                <w:b/>
                <w:bCs/>
              </w:rPr>
              <w:t>2023</w:t>
            </w:r>
          </w:p>
        </w:tc>
        <w:tc>
          <w:tcPr>
            <w:tcW w:w="3402" w:type="dxa"/>
            <w:tcMar>
              <w:top w:w="150" w:type="dxa"/>
              <w:left w:w="240" w:type="dxa"/>
              <w:bottom w:w="150" w:type="dxa"/>
              <w:right w:w="240" w:type="dxa"/>
            </w:tcMar>
            <w:vAlign w:val="center"/>
            <w:hideMark/>
          </w:tcPr>
          <w:p w14:paraId="6D00EBF2" w14:textId="77777777" w:rsidR="00F06785" w:rsidRPr="00F06785" w:rsidRDefault="00F06785" w:rsidP="00C11858">
            <w:pPr>
              <w:spacing w:after="0" w:line="240" w:lineRule="auto"/>
            </w:pPr>
            <w:r w:rsidRPr="00F06785">
              <w:t>28,143,070</w:t>
            </w:r>
          </w:p>
        </w:tc>
        <w:tc>
          <w:tcPr>
            <w:tcW w:w="3527" w:type="dxa"/>
            <w:tcMar>
              <w:top w:w="150" w:type="dxa"/>
              <w:left w:w="240" w:type="dxa"/>
              <w:bottom w:w="150" w:type="dxa"/>
              <w:right w:w="0" w:type="dxa"/>
            </w:tcMar>
            <w:vAlign w:val="center"/>
            <w:hideMark/>
          </w:tcPr>
          <w:p w14:paraId="57689002" w14:textId="77777777" w:rsidR="00F06785" w:rsidRPr="00F06785" w:rsidRDefault="00F06785" w:rsidP="00C11858">
            <w:pPr>
              <w:spacing w:after="0" w:line="240" w:lineRule="auto"/>
            </w:pPr>
            <w:r w:rsidRPr="00F06785">
              <w:t>-4.9</w:t>
            </w:r>
          </w:p>
        </w:tc>
      </w:tr>
      <w:tr w:rsidR="00F06785" w:rsidRPr="00F06785" w14:paraId="7F8C5AA2" w14:textId="77777777" w:rsidTr="00C11858">
        <w:trPr>
          <w:trHeight w:val="282"/>
          <w:jc w:val="center"/>
        </w:trPr>
        <w:tc>
          <w:tcPr>
            <w:tcW w:w="1418" w:type="dxa"/>
            <w:tcMar>
              <w:top w:w="150" w:type="dxa"/>
              <w:left w:w="0" w:type="dxa"/>
              <w:bottom w:w="150" w:type="dxa"/>
              <w:right w:w="240" w:type="dxa"/>
            </w:tcMar>
            <w:vAlign w:val="center"/>
            <w:hideMark/>
          </w:tcPr>
          <w:p w14:paraId="28A84B50" w14:textId="77777777" w:rsidR="00F06785" w:rsidRPr="00F06785" w:rsidRDefault="00F06785" w:rsidP="00C11858">
            <w:pPr>
              <w:spacing w:after="0" w:line="240" w:lineRule="auto"/>
            </w:pPr>
            <w:r w:rsidRPr="00F06785">
              <w:rPr>
                <w:b/>
                <w:bCs/>
              </w:rPr>
              <w:t>2024</w:t>
            </w:r>
          </w:p>
        </w:tc>
        <w:tc>
          <w:tcPr>
            <w:tcW w:w="3402" w:type="dxa"/>
            <w:tcMar>
              <w:top w:w="150" w:type="dxa"/>
              <w:left w:w="240" w:type="dxa"/>
              <w:bottom w:w="150" w:type="dxa"/>
              <w:right w:w="240" w:type="dxa"/>
            </w:tcMar>
            <w:vAlign w:val="center"/>
            <w:hideMark/>
          </w:tcPr>
          <w:p w14:paraId="5B5DF77B" w14:textId="77777777" w:rsidR="00F06785" w:rsidRPr="00F06785" w:rsidRDefault="00F06785" w:rsidP="00C11858">
            <w:pPr>
              <w:spacing w:after="0" w:line="240" w:lineRule="auto"/>
            </w:pPr>
            <w:r w:rsidRPr="00F06785">
              <w:t>26,554,335</w:t>
            </w:r>
          </w:p>
        </w:tc>
        <w:tc>
          <w:tcPr>
            <w:tcW w:w="3527" w:type="dxa"/>
            <w:tcMar>
              <w:top w:w="150" w:type="dxa"/>
              <w:left w:w="240" w:type="dxa"/>
              <w:bottom w:w="150" w:type="dxa"/>
              <w:right w:w="0" w:type="dxa"/>
            </w:tcMar>
            <w:vAlign w:val="center"/>
            <w:hideMark/>
          </w:tcPr>
          <w:p w14:paraId="3EEC0519" w14:textId="77777777" w:rsidR="00F06785" w:rsidRPr="00F06785" w:rsidRDefault="00F06785" w:rsidP="00C11858">
            <w:pPr>
              <w:spacing w:after="0" w:line="240" w:lineRule="auto"/>
            </w:pPr>
            <w:r w:rsidRPr="00F06785">
              <w:t>-5.6</w:t>
            </w:r>
          </w:p>
        </w:tc>
      </w:tr>
    </w:tbl>
    <w:p w14:paraId="467DEECA" w14:textId="0656E4BC" w:rsidR="00F06785" w:rsidRDefault="00F06785" w:rsidP="00F06785">
      <w:pPr>
        <w:rPr>
          <w:i/>
          <w:iCs/>
        </w:rPr>
      </w:pPr>
      <w:r w:rsidRPr="00F06785">
        <w:rPr>
          <w:i/>
          <w:iCs/>
        </w:rPr>
        <w:t>Source: TurkStat Crop Production Statistics (2024)</w:t>
      </w:r>
    </w:p>
    <w:p w14:paraId="4E91A7DC" w14:textId="44E1792A" w:rsidR="00F06785" w:rsidRDefault="00F06785" w:rsidP="00F06785">
      <w:pPr>
        <w:rPr>
          <w:i/>
          <w:iCs/>
        </w:rPr>
      </w:pPr>
    </w:p>
    <w:p w14:paraId="18F21CB9" w14:textId="2E892E64" w:rsidR="00F06785" w:rsidRPr="00F06785" w:rsidRDefault="00F06785" w:rsidP="00F06785">
      <w:r>
        <w:rPr>
          <w:noProof/>
        </w:rPr>
        <w:lastRenderedPageBreak/>
        <w:drawing>
          <wp:inline distT="0" distB="0" distL="0" distR="0" wp14:anchorId="55AED2D1" wp14:editId="4090740B">
            <wp:extent cx="5761355" cy="31369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3136900"/>
                    </a:xfrm>
                    <a:prstGeom prst="rect">
                      <a:avLst/>
                    </a:prstGeom>
                    <a:noFill/>
                  </pic:spPr>
                </pic:pic>
              </a:graphicData>
            </a:graphic>
          </wp:inline>
        </w:drawing>
      </w:r>
    </w:p>
    <w:p w14:paraId="683E91A0" w14:textId="77777777" w:rsidR="00F06785" w:rsidRPr="00F06785" w:rsidRDefault="00F06785" w:rsidP="00F06785">
      <w:r w:rsidRPr="00F06785">
        <w:rPr>
          <w:b/>
          <w:bCs/>
        </w:rPr>
        <w:t>Figure 1. Change in Total Fallow Area in Turkey (2015-2024)</w:t>
      </w:r>
      <w:r w:rsidRPr="00F06785">
        <w:br/>
      </w:r>
      <w:r w:rsidRPr="00F06785">
        <w:rPr>
          <w:i/>
          <w:iCs/>
        </w:rPr>
        <w:t>Note: Figure 1 would show a line graph depicting the steady decline from 41.1 million to 26.6 million decares.</w:t>
      </w:r>
    </w:p>
    <w:p w14:paraId="43658396" w14:textId="682519BD" w:rsidR="00F06785" w:rsidRDefault="00F06785" w:rsidP="00B33596">
      <w:pPr>
        <w:jc w:val="both"/>
      </w:pPr>
      <w:r w:rsidRPr="00F06785">
        <w:t>The data for the 2015-2024 period, as shown in Figure 1, reveal that fallow areas in Turkey decreased dramatically by 35.5%, from 41.1 million to 26.6 million decares. This consistent downward trend (average annual loss of 1.6 million decares) reflects the transition of farming systems from the traditional fallow-cereal rotation to more intensive production models. Notably, the acceleration of the decline in 2017 and 2020 is particularly striking. While this transformation carries the potential to increase land use efficiency, it simultaneously poses the risk of intensifying pressure on water resources and negatively affecting soil health in arid regions, underscoring the critical importance of transitioning to smart fallow practices and conservation agriculture systems for sustainability (Göçmez &amp; İşçioğlu, 2004).</w:t>
      </w:r>
    </w:p>
    <w:p w14:paraId="72595ABF" w14:textId="77777777" w:rsidR="00B33596" w:rsidRPr="00F06785" w:rsidRDefault="00B33596" w:rsidP="00B33596">
      <w:pPr>
        <w:jc w:val="both"/>
      </w:pPr>
    </w:p>
    <w:p w14:paraId="2875F0E1" w14:textId="68FB5196" w:rsidR="00F06785" w:rsidRDefault="00F06785" w:rsidP="00B33596">
      <w:pPr>
        <w:jc w:val="both"/>
      </w:pPr>
      <w:r w:rsidRPr="00F06785">
        <w:t>This macro-level decline is a clear indicator of Turkish agriculture's shift from the traditional "fallow-cereal" rotation system towards more intensive and continuous production models. This transition carries the potential to increase land use efficiency and short-term production volume, while also bringing the risk of creating serious pressures on soil health and water resources, particularly in arid regions.</w:t>
      </w:r>
    </w:p>
    <w:p w14:paraId="0C75DF9B" w14:textId="77777777" w:rsidR="00B33596" w:rsidRPr="00F06785" w:rsidRDefault="00B33596" w:rsidP="00B33596">
      <w:pPr>
        <w:jc w:val="both"/>
      </w:pPr>
    </w:p>
    <w:p w14:paraId="4FA6A3FB" w14:textId="77777777" w:rsidR="00F06785" w:rsidRPr="00F06785" w:rsidRDefault="00F06785" w:rsidP="00F06785">
      <w:pPr>
        <w:rPr>
          <w:b/>
          <w:bCs/>
        </w:rPr>
      </w:pPr>
      <w:r w:rsidRPr="00F06785">
        <w:rPr>
          <w:b/>
          <w:bCs/>
        </w:rPr>
        <w:t>3.2. Regional Disparity: Intensive Decline in Arid Interior Regions</w:t>
      </w:r>
    </w:p>
    <w:p w14:paraId="46EDAF85" w14:textId="7284E90D" w:rsidR="00F06785" w:rsidRDefault="00F06785" w:rsidP="00F06785">
      <w:r w:rsidRPr="00F06785">
        <w:t>The decrease in fallow areas is not homogeneously distributed across Turkey's geography. The decline in arid and semi-arid regions where fallow is traditionally most widespread and critical for agricultural production—such as Central Anatolia (TR7), Southeastern Anatolia (TRC), and Eastern Anatolia (TRB)—has been well above the national average.</w:t>
      </w:r>
    </w:p>
    <w:p w14:paraId="6FED8D22" w14:textId="77777777" w:rsidR="00817A4F" w:rsidRPr="00F06785" w:rsidRDefault="00817A4F" w:rsidP="00F06785"/>
    <w:p w14:paraId="27736B44" w14:textId="77777777" w:rsidR="00F06785" w:rsidRPr="00F06785" w:rsidRDefault="00F06785" w:rsidP="00F06785">
      <w:r w:rsidRPr="00F06785">
        <w:rPr>
          <w:b/>
          <w:bCs/>
        </w:rPr>
        <w:t>Table 2. Fallow Areas in Selected Regions and Change during the 2020-2024 Period</w:t>
      </w:r>
    </w:p>
    <w:tbl>
      <w:tblPr>
        <w:tblW w:w="926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1"/>
        <w:gridCol w:w="1510"/>
        <w:gridCol w:w="1717"/>
        <w:gridCol w:w="1717"/>
        <w:gridCol w:w="1933"/>
        <w:gridCol w:w="1327"/>
      </w:tblGrid>
      <w:tr w:rsidR="00F06785" w:rsidRPr="00F06785" w14:paraId="39245678" w14:textId="77777777" w:rsidTr="00817A4F">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E6E367" w14:textId="77777777" w:rsidR="00F06785" w:rsidRPr="00F06785" w:rsidRDefault="00F06785" w:rsidP="00817A4F">
            <w:pPr>
              <w:spacing w:after="0" w:line="240" w:lineRule="auto"/>
              <w:rPr>
                <w:b/>
                <w:bCs/>
              </w:rPr>
            </w:pPr>
            <w:r w:rsidRPr="00F06785">
              <w:rPr>
                <w:b/>
                <w:bCs/>
              </w:rPr>
              <w:lastRenderedPageBreak/>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1AE95C5" w14:textId="77777777" w:rsidR="00F06785" w:rsidRPr="00F06785" w:rsidRDefault="00F06785" w:rsidP="00817A4F">
            <w:pPr>
              <w:spacing w:after="0" w:line="240" w:lineRule="auto"/>
              <w:rPr>
                <w:b/>
                <w:bCs/>
              </w:rPr>
            </w:pPr>
            <w:r w:rsidRPr="00F06785">
              <w:rPr>
                <w:b/>
                <w:bCs/>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1B49EFB" w14:textId="77777777" w:rsidR="00F06785" w:rsidRPr="00F06785" w:rsidRDefault="00F06785" w:rsidP="00817A4F">
            <w:pPr>
              <w:spacing w:after="0" w:line="240" w:lineRule="auto"/>
              <w:rPr>
                <w:b/>
                <w:bCs/>
              </w:rPr>
            </w:pPr>
            <w:r w:rsidRPr="00F06785">
              <w:rPr>
                <w:b/>
                <w:bCs/>
              </w:rPr>
              <w:t>2020 Fallow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943B2B1" w14:textId="77777777" w:rsidR="00F06785" w:rsidRPr="00F06785" w:rsidRDefault="00F06785" w:rsidP="00817A4F">
            <w:pPr>
              <w:spacing w:after="0" w:line="240" w:lineRule="auto"/>
              <w:rPr>
                <w:b/>
                <w:bCs/>
              </w:rPr>
            </w:pPr>
            <w:r w:rsidRPr="00F06785">
              <w:rPr>
                <w:b/>
                <w:bCs/>
              </w:rPr>
              <w:t>2024 Fallow Area (da)</w:t>
            </w:r>
          </w:p>
        </w:tc>
        <w:tc>
          <w:tcPr>
            <w:tcW w:w="1933" w:type="dxa"/>
            <w:tcBorders>
              <w:top w:val="single" w:sz="4" w:space="0" w:color="auto"/>
              <w:bottom w:val="single" w:sz="4" w:space="0" w:color="auto"/>
            </w:tcBorders>
            <w:tcMar>
              <w:top w:w="150" w:type="dxa"/>
              <w:left w:w="240" w:type="dxa"/>
              <w:bottom w:w="150" w:type="dxa"/>
              <w:right w:w="240" w:type="dxa"/>
            </w:tcMar>
            <w:vAlign w:val="center"/>
            <w:hideMark/>
          </w:tcPr>
          <w:p w14:paraId="052AE9ED" w14:textId="77777777" w:rsidR="00F06785" w:rsidRPr="00F06785" w:rsidRDefault="00F06785" w:rsidP="00817A4F">
            <w:pPr>
              <w:spacing w:after="0" w:line="240" w:lineRule="auto"/>
              <w:rPr>
                <w:b/>
                <w:bCs/>
              </w:rPr>
            </w:pPr>
            <w:r w:rsidRPr="00F06785">
              <w:rPr>
                <w:b/>
                <w:bCs/>
              </w:rPr>
              <w:t>Absolute Decrease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A5CE75A" w14:textId="77777777" w:rsidR="00F06785" w:rsidRPr="00F06785" w:rsidRDefault="00F06785" w:rsidP="00817A4F">
            <w:pPr>
              <w:spacing w:after="0" w:line="240" w:lineRule="auto"/>
              <w:rPr>
                <w:b/>
                <w:bCs/>
              </w:rPr>
            </w:pPr>
            <w:r w:rsidRPr="00F06785">
              <w:rPr>
                <w:b/>
                <w:bCs/>
              </w:rPr>
              <w:t>Change (%)</w:t>
            </w:r>
          </w:p>
        </w:tc>
      </w:tr>
      <w:tr w:rsidR="00F06785" w:rsidRPr="00F06785" w14:paraId="7940C321" w14:textId="77777777" w:rsidTr="00817A4F">
        <w:tc>
          <w:tcPr>
            <w:tcW w:w="0" w:type="auto"/>
            <w:tcBorders>
              <w:top w:val="single" w:sz="4" w:space="0" w:color="auto"/>
            </w:tcBorders>
            <w:tcMar>
              <w:top w:w="150" w:type="dxa"/>
              <w:left w:w="0" w:type="dxa"/>
              <w:bottom w:w="150" w:type="dxa"/>
              <w:right w:w="240" w:type="dxa"/>
            </w:tcMar>
            <w:vAlign w:val="center"/>
            <w:hideMark/>
          </w:tcPr>
          <w:p w14:paraId="42160652" w14:textId="77777777" w:rsidR="00F06785" w:rsidRPr="00F06785" w:rsidRDefault="00F06785" w:rsidP="00817A4F">
            <w:pPr>
              <w:spacing w:after="0" w:line="240" w:lineRule="auto"/>
            </w:pPr>
            <w:r w:rsidRPr="00F06785">
              <w:t>TR7</w:t>
            </w:r>
          </w:p>
        </w:tc>
        <w:tc>
          <w:tcPr>
            <w:tcW w:w="0" w:type="auto"/>
            <w:tcBorders>
              <w:top w:val="single" w:sz="4" w:space="0" w:color="auto"/>
            </w:tcBorders>
            <w:tcMar>
              <w:top w:w="150" w:type="dxa"/>
              <w:left w:w="240" w:type="dxa"/>
              <w:bottom w:w="150" w:type="dxa"/>
              <w:right w:w="240" w:type="dxa"/>
            </w:tcMar>
            <w:vAlign w:val="center"/>
            <w:hideMark/>
          </w:tcPr>
          <w:p w14:paraId="61FD51A0" w14:textId="77777777" w:rsidR="00F06785" w:rsidRPr="00F06785" w:rsidRDefault="00F06785" w:rsidP="00817A4F">
            <w:pPr>
              <w:spacing w:after="0" w:line="240" w:lineRule="auto"/>
            </w:pPr>
            <w:r w:rsidRPr="00F06785">
              <w:t>Central Anatolia</w:t>
            </w:r>
          </w:p>
        </w:tc>
        <w:tc>
          <w:tcPr>
            <w:tcW w:w="0" w:type="auto"/>
            <w:tcBorders>
              <w:top w:val="single" w:sz="4" w:space="0" w:color="auto"/>
            </w:tcBorders>
            <w:tcMar>
              <w:top w:w="150" w:type="dxa"/>
              <w:left w:w="240" w:type="dxa"/>
              <w:bottom w:w="150" w:type="dxa"/>
              <w:right w:w="240" w:type="dxa"/>
            </w:tcMar>
            <w:vAlign w:val="center"/>
            <w:hideMark/>
          </w:tcPr>
          <w:p w14:paraId="4E315F29" w14:textId="77777777" w:rsidR="00F06785" w:rsidRPr="00F06785" w:rsidRDefault="00F06785" w:rsidP="00817A4F">
            <w:pPr>
              <w:spacing w:after="0" w:line="240" w:lineRule="auto"/>
            </w:pPr>
            <w:r w:rsidRPr="00F06785">
              <w:t>9,086,031</w:t>
            </w:r>
          </w:p>
        </w:tc>
        <w:tc>
          <w:tcPr>
            <w:tcW w:w="0" w:type="auto"/>
            <w:tcBorders>
              <w:top w:val="single" w:sz="4" w:space="0" w:color="auto"/>
            </w:tcBorders>
            <w:tcMar>
              <w:top w:w="150" w:type="dxa"/>
              <w:left w:w="240" w:type="dxa"/>
              <w:bottom w:w="150" w:type="dxa"/>
              <w:right w:w="240" w:type="dxa"/>
            </w:tcMar>
            <w:vAlign w:val="center"/>
            <w:hideMark/>
          </w:tcPr>
          <w:p w14:paraId="571C8148" w14:textId="77777777" w:rsidR="00F06785" w:rsidRPr="00F06785" w:rsidRDefault="00F06785" w:rsidP="00817A4F">
            <w:pPr>
              <w:spacing w:after="0" w:line="240" w:lineRule="auto"/>
            </w:pPr>
            <w:r w:rsidRPr="00F06785">
              <w:t>7,507,572</w:t>
            </w:r>
          </w:p>
        </w:tc>
        <w:tc>
          <w:tcPr>
            <w:tcW w:w="1933" w:type="dxa"/>
            <w:tcBorders>
              <w:top w:val="single" w:sz="4" w:space="0" w:color="auto"/>
            </w:tcBorders>
            <w:tcMar>
              <w:top w:w="150" w:type="dxa"/>
              <w:left w:w="240" w:type="dxa"/>
              <w:bottom w:w="150" w:type="dxa"/>
              <w:right w:w="240" w:type="dxa"/>
            </w:tcMar>
            <w:vAlign w:val="center"/>
            <w:hideMark/>
          </w:tcPr>
          <w:p w14:paraId="7B989BBE" w14:textId="77777777" w:rsidR="00F06785" w:rsidRPr="00F06785" w:rsidRDefault="00F06785" w:rsidP="00817A4F">
            <w:pPr>
              <w:spacing w:after="0" w:line="240" w:lineRule="auto"/>
            </w:pPr>
            <w:r w:rsidRPr="00F06785">
              <w:t>-1,578,459</w:t>
            </w:r>
          </w:p>
        </w:tc>
        <w:tc>
          <w:tcPr>
            <w:tcW w:w="0" w:type="auto"/>
            <w:tcBorders>
              <w:top w:val="single" w:sz="4" w:space="0" w:color="auto"/>
            </w:tcBorders>
            <w:tcMar>
              <w:top w:w="150" w:type="dxa"/>
              <w:left w:w="240" w:type="dxa"/>
              <w:bottom w:w="150" w:type="dxa"/>
              <w:right w:w="0" w:type="dxa"/>
            </w:tcMar>
            <w:vAlign w:val="center"/>
            <w:hideMark/>
          </w:tcPr>
          <w:p w14:paraId="289BBA24" w14:textId="77777777" w:rsidR="00F06785" w:rsidRPr="00F06785" w:rsidRDefault="00F06785" w:rsidP="00817A4F">
            <w:pPr>
              <w:spacing w:after="0" w:line="240" w:lineRule="auto"/>
            </w:pPr>
            <w:r w:rsidRPr="00F06785">
              <w:t>-17.4</w:t>
            </w:r>
          </w:p>
        </w:tc>
      </w:tr>
      <w:tr w:rsidR="00F06785" w:rsidRPr="00F06785" w14:paraId="02C211A6" w14:textId="77777777" w:rsidTr="00817A4F">
        <w:tc>
          <w:tcPr>
            <w:tcW w:w="0" w:type="auto"/>
            <w:tcMar>
              <w:top w:w="150" w:type="dxa"/>
              <w:left w:w="0" w:type="dxa"/>
              <w:bottom w:w="150" w:type="dxa"/>
              <w:right w:w="240" w:type="dxa"/>
            </w:tcMar>
            <w:vAlign w:val="center"/>
            <w:hideMark/>
          </w:tcPr>
          <w:p w14:paraId="448AB0D7" w14:textId="77777777" w:rsidR="00F06785" w:rsidRPr="00F06785" w:rsidRDefault="00F06785" w:rsidP="00817A4F">
            <w:pPr>
              <w:spacing w:after="0" w:line="240" w:lineRule="auto"/>
            </w:pPr>
            <w:r w:rsidRPr="00F06785">
              <w:t>TR5</w:t>
            </w:r>
          </w:p>
        </w:tc>
        <w:tc>
          <w:tcPr>
            <w:tcW w:w="0" w:type="auto"/>
            <w:tcMar>
              <w:top w:w="150" w:type="dxa"/>
              <w:left w:w="240" w:type="dxa"/>
              <w:bottom w:w="150" w:type="dxa"/>
              <w:right w:w="240" w:type="dxa"/>
            </w:tcMar>
            <w:vAlign w:val="center"/>
            <w:hideMark/>
          </w:tcPr>
          <w:p w14:paraId="17AEF8A8" w14:textId="77777777" w:rsidR="00F06785" w:rsidRPr="00F06785" w:rsidRDefault="00F06785" w:rsidP="00817A4F">
            <w:pPr>
              <w:spacing w:after="0" w:line="240" w:lineRule="auto"/>
            </w:pPr>
            <w:r w:rsidRPr="00F06785">
              <w:t>Western Anatolia</w:t>
            </w:r>
          </w:p>
        </w:tc>
        <w:tc>
          <w:tcPr>
            <w:tcW w:w="0" w:type="auto"/>
            <w:tcMar>
              <w:top w:w="150" w:type="dxa"/>
              <w:left w:w="240" w:type="dxa"/>
              <w:bottom w:w="150" w:type="dxa"/>
              <w:right w:w="240" w:type="dxa"/>
            </w:tcMar>
            <w:vAlign w:val="center"/>
            <w:hideMark/>
          </w:tcPr>
          <w:p w14:paraId="2E8602A0" w14:textId="77777777" w:rsidR="00F06785" w:rsidRPr="00F06785" w:rsidRDefault="00F06785" w:rsidP="00817A4F">
            <w:pPr>
              <w:spacing w:after="0" w:line="240" w:lineRule="auto"/>
            </w:pPr>
            <w:r w:rsidRPr="00F06785">
              <w:t>6,039,170</w:t>
            </w:r>
          </w:p>
        </w:tc>
        <w:tc>
          <w:tcPr>
            <w:tcW w:w="0" w:type="auto"/>
            <w:tcMar>
              <w:top w:w="150" w:type="dxa"/>
              <w:left w:w="240" w:type="dxa"/>
              <w:bottom w:w="150" w:type="dxa"/>
              <w:right w:w="240" w:type="dxa"/>
            </w:tcMar>
            <w:vAlign w:val="center"/>
            <w:hideMark/>
          </w:tcPr>
          <w:p w14:paraId="661F7370" w14:textId="77777777" w:rsidR="00F06785" w:rsidRPr="00F06785" w:rsidRDefault="00F06785" w:rsidP="00817A4F">
            <w:pPr>
              <w:spacing w:after="0" w:line="240" w:lineRule="auto"/>
            </w:pPr>
            <w:r w:rsidRPr="00F06785">
              <w:t>5,232,307</w:t>
            </w:r>
          </w:p>
        </w:tc>
        <w:tc>
          <w:tcPr>
            <w:tcW w:w="1933" w:type="dxa"/>
            <w:tcMar>
              <w:top w:w="150" w:type="dxa"/>
              <w:left w:w="240" w:type="dxa"/>
              <w:bottom w:w="150" w:type="dxa"/>
              <w:right w:w="240" w:type="dxa"/>
            </w:tcMar>
            <w:vAlign w:val="center"/>
            <w:hideMark/>
          </w:tcPr>
          <w:p w14:paraId="5F9C7C2F" w14:textId="77777777" w:rsidR="00F06785" w:rsidRPr="00F06785" w:rsidRDefault="00F06785" w:rsidP="00817A4F">
            <w:pPr>
              <w:spacing w:after="0" w:line="240" w:lineRule="auto"/>
            </w:pPr>
            <w:r w:rsidRPr="00F06785">
              <w:t>-806,863</w:t>
            </w:r>
          </w:p>
        </w:tc>
        <w:tc>
          <w:tcPr>
            <w:tcW w:w="0" w:type="auto"/>
            <w:tcMar>
              <w:top w:w="150" w:type="dxa"/>
              <w:left w:w="240" w:type="dxa"/>
              <w:bottom w:w="150" w:type="dxa"/>
              <w:right w:w="0" w:type="dxa"/>
            </w:tcMar>
            <w:vAlign w:val="center"/>
            <w:hideMark/>
          </w:tcPr>
          <w:p w14:paraId="1154F184" w14:textId="77777777" w:rsidR="00F06785" w:rsidRPr="00F06785" w:rsidRDefault="00F06785" w:rsidP="00817A4F">
            <w:pPr>
              <w:spacing w:after="0" w:line="240" w:lineRule="auto"/>
            </w:pPr>
            <w:r w:rsidRPr="00F06785">
              <w:t>-13.4</w:t>
            </w:r>
          </w:p>
        </w:tc>
      </w:tr>
      <w:tr w:rsidR="00F06785" w:rsidRPr="00F06785" w14:paraId="4CDF2C41" w14:textId="77777777" w:rsidTr="00817A4F">
        <w:tc>
          <w:tcPr>
            <w:tcW w:w="0" w:type="auto"/>
            <w:tcMar>
              <w:top w:w="150" w:type="dxa"/>
              <w:left w:w="0" w:type="dxa"/>
              <w:bottom w:w="150" w:type="dxa"/>
              <w:right w:w="240" w:type="dxa"/>
            </w:tcMar>
            <w:vAlign w:val="center"/>
            <w:hideMark/>
          </w:tcPr>
          <w:p w14:paraId="6A2BC5B9" w14:textId="77777777" w:rsidR="00F06785" w:rsidRPr="00F06785" w:rsidRDefault="00F06785" w:rsidP="00817A4F">
            <w:pPr>
              <w:spacing w:after="0" w:line="240" w:lineRule="auto"/>
            </w:pPr>
            <w:r w:rsidRPr="00F06785">
              <w:t>TRB</w:t>
            </w:r>
          </w:p>
        </w:tc>
        <w:tc>
          <w:tcPr>
            <w:tcW w:w="0" w:type="auto"/>
            <w:tcMar>
              <w:top w:w="150" w:type="dxa"/>
              <w:left w:w="240" w:type="dxa"/>
              <w:bottom w:w="150" w:type="dxa"/>
              <w:right w:w="240" w:type="dxa"/>
            </w:tcMar>
            <w:vAlign w:val="center"/>
            <w:hideMark/>
          </w:tcPr>
          <w:p w14:paraId="2C4D41CC" w14:textId="77777777" w:rsidR="00F06785" w:rsidRPr="00F06785" w:rsidRDefault="00F06785" w:rsidP="00817A4F">
            <w:pPr>
              <w:spacing w:after="0" w:line="240" w:lineRule="auto"/>
            </w:pPr>
            <w:r w:rsidRPr="00F06785">
              <w:t>Eastern Anatolia</w:t>
            </w:r>
          </w:p>
        </w:tc>
        <w:tc>
          <w:tcPr>
            <w:tcW w:w="0" w:type="auto"/>
            <w:tcMar>
              <w:top w:w="150" w:type="dxa"/>
              <w:left w:w="240" w:type="dxa"/>
              <w:bottom w:w="150" w:type="dxa"/>
              <w:right w:w="240" w:type="dxa"/>
            </w:tcMar>
            <w:vAlign w:val="center"/>
            <w:hideMark/>
          </w:tcPr>
          <w:p w14:paraId="2AE1F5B2" w14:textId="77777777" w:rsidR="00F06785" w:rsidRPr="00F06785" w:rsidRDefault="00F06785" w:rsidP="00817A4F">
            <w:pPr>
              <w:spacing w:after="0" w:line="240" w:lineRule="auto"/>
            </w:pPr>
            <w:r w:rsidRPr="00F06785">
              <w:t>2,451,420</w:t>
            </w:r>
          </w:p>
        </w:tc>
        <w:tc>
          <w:tcPr>
            <w:tcW w:w="0" w:type="auto"/>
            <w:tcMar>
              <w:top w:w="150" w:type="dxa"/>
              <w:left w:w="240" w:type="dxa"/>
              <w:bottom w:w="150" w:type="dxa"/>
              <w:right w:w="240" w:type="dxa"/>
            </w:tcMar>
            <w:vAlign w:val="center"/>
            <w:hideMark/>
          </w:tcPr>
          <w:p w14:paraId="399B6530" w14:textId="77777777" w:rsidR="00F06785" w:rsidRPr="00F06785" w:rsidRDefault="00F06785" w:rsidP="00817A4F">
            <w:pPr>
              <w:spacing w:after="0" w:line="240" w:lineRule="auto"/>
            </w:pPr>
            <w:r w:rsidRPr="00F06785">
              <w:t>1,694,317</w:t>
            </w:r>
          </w:p>
        </w:tc>
        <w:tc>
          <w:tcPr>
            <w:tcW w:w="1933" w:type="dxa"/>
            <w:tcMar>
              <w:top w:w="150" w:type="dxa"/>
              <w:left w:w="240" w:type="dxa"/>
              <w:bottom w:w="150" w:type="dxa"/>
              <w:right w:w="240" w:type="dxa"/>
            </w:tcMar>
            <w:vAlign w:val="center"/>
            <w:hideMark/>
          </w:tcPr>
          <w:p w14:paraId="1985ACC5" w14:textId="77777777" w:rsidR="00F06785" w:rsidRPr="00F06785" w:rsidRDefault="00F06785" w:rsidP="00817A4F">
            <w:pPr>
              <w:spacing w:after="0" w:line="240" w:lineRule="auto"/>
            </w:pPr>
            <w:r w:rsidRPr="00F06785">
              <w:t>-757,103</w:t>
            </w:r>
          </w:p>
        </w:tc>
        <w:tc>
          <w:tcPr>
            <w:tcW w:w="0" w:type="auto"/>
            <w:tcMar>
              <w:top w:w="150" w:type="dxa"/>
              <w:left w:w="240" w:type="dxa"/>
              <w:bottom w:w="150" w:type="dxa"/>
              <w:right w:w="0" w:type="dxa"/>
            </w:tcMar>
            <w:vAlign w:val="center"/>
            <w:hideMark/>
          </w:tcPr>
          <w:p w14:paraId="3841BC3C" w14:textId="77777777" w:rsidR="00F06785" w:rsidRPr="00F06785" w:rsidRDefault="00F06785" w:rsidP="00817A4F">
            <w:pPr>
              <w:spacing w:after="0" w:line="240" w:lineRule="auto"/>
            </w:pPr>
            <w:r w:rsidRPr="00F06785">
              <w:rPr>
                <w:b/>
                <w:bCs/>
              </w:rPr>
              <w:t>-30.9</w:t>
            </w:r>
          </w:p>
        </w:tc>
      </w:tr>
      <w:tr w:rsidR="00F06785" w:rsidRPr="00F06785" w14:paraId="28C814F0" w14:textId="77777777" w:rsidTr="00817A4F">
        <w:tc>
          <w:tcPr>
            <w:tcW w:w="0" w:type="auto"/>
            <w:tcMar>
              <w:top w:w="150" w:type="dxa"/>
              <w:left w:w="0" w:type="dxa"/>
              <w:bottom w:w="150" w:type="dxa"/>
              <w:right w:w="240" w:type="dxa"/>
            </w:tcMar>
            <w:vAlign w:val="center"/>
            <w:hideMark/>
          </w:tcPr>
          <w:p w14:paraId="28B18704" w14:textId="77777777" w:rsidR="00F06785" w:rsidRPr="00F06785" w:rsidRDefault="00F06785" w:rsidP="00817A4F">
            <w:pPr>
              <w:spacing w:after="0" w:line="240" w:lineRule="auto"/>
            </w:pPr>
            <w:r w:rsidRPr="00F06785">
              <w:t>TR8</w:t>
            </w:r>
          </w:p>
        </w:tc>
        <w:tc>
          <w:tcPr>
            <w:tcW w:w="0" w:type="auto"/>
            <w:tcMar>
              <w:top w:w="150" w:type="dxa"/>
              <w:left w:w="240" w:type="dxa"/>
              <w:bottom w:w="150" w:type="dxa"/>
              <w:right w:w="240" w:type="dxa"/>
            </w:tcMar>
            <w:vAlign w:val="center"/>
            <w:hideMark/>
          </w:tcPr>
          <w:p w14:paraId="3D957048" w14:textId="77777777" w:rsidR="00F06785" w:rsidRPr="00F06785" w:rsidRDefault="00F06785" w:rsidP="00817A4F">
            <w:pPr>
              <w:spacing w:after="0" w:line="240" w:lineRule="auto"/>
            </w:pPr>
            <w:r w:rsidRPr="00F06785">
              <w:t>Western Black Sea</w:t>
            </w:r>
          </w:p>
        </w:tc>
        <w:tc>
          <w:tcPr>
            <w:tcW w:w="0" w:type="auto"/>
            <w:tcMar>
              <w:top w:w="150" w:type="dxa"/>
              <w:left w:w="240" w:type="dxa"/>
              <w:bottom w:w="150" w:type="dxa"/>
              <w:right w:w="240" w:type="dxa"/>
            </w:tcMar>
            <w:vAlign w:val="center"/>
            <w:hideMark/>
          </w:tcPr>
          <w:p w14:paraId="29014D1B" w14:textId="77777777" w:rsidR="00F06785" w:rsidRPr="00F06785" w:rsidRDefault="00F06785" w:rsidP="00817A4F">
            <w:pPr>
              <w:spacing w:after="0" w:line="240" w:lineRule="auto"/>
            </w:pPr>
            <w:r w:rsidRPr="00F06785">
              <w:t>3,326,842</w:t>
            </w:r>
          </w:p>
        </w:tc>
        <w:tc>
          <w:tcPr>
            <w:tcW w:w="0" w:type="auto"/>
            <w:tcMar>
              <w:top w:w="150" w:type="dxa"/>
              <w:left w:w="240" w:type="dxa"/>
              <w:bottom w:w="150" w:type="dxa"/>
              <w:right w:w="240" w:type="dxa"/>
            </w:tcMar>
            <w:vAlign w:val="center"/>
            <w:hideMark/>
          </w:tcPr>
          <w:p w14:paraId="31F7BB35" w14:textId="77777777" w:rsidR="00F06785" w:rsidRPr="00F06785" w:rsidRDefault="00F06785" w:rsidP="00817A4F">
            <w:pPr>
              <w:spacing w:after="0" w:line="240" w:lineRule="auto"/>
            </w:pPr>
            <w:r w:rsidRPr="00F06785">
              <w:t>3,003,620</w:t>
            </w:r>
          </w:p>
        </w:tc>
        <w:tc>
          <w:tcPr>
            <w:tcW w:w="1933" w:type="dxa"/>
            <w:tcMar>
              <w:top w:w="150" w:type="dxa"/>
              <w:left w:w="240" w:type="dxa"/>
              <w:bottom w:w="150" w:type="dxa"/>
              <w:right w:w="240" w:type="dxa"/>
            </w:tcMar>
            <w:vAlign w:val="center"/>
            <w:hideMark/>
          </w:tcPr>
          <w:p w14:paraId="07D5B527" w14:textId="77777777" w:rsidR="00F06785" w:rsidRPr="00F06785" w:rsidRDefault="00F06785" w:rsidP="00817A4F">
            <w:pPr>
              <w:spacing w:after="0" w:line="240" w:lineRule="auto"/>
            </w:pPr>
            <w:r w:rsidRPr="00F06785">
              <w:t>-323,222</w:t>
            </w:r>
          </w:p>
        </w:tc>
        <w:tc>
          <w:tcPr>
            <w:tcW w:w="0" w:type="auto"/>
            <w:tcMar>
              <w:top w:w="150" w:type="dxa"/>
              <w:left w:w="240" w:type="dxa"/>
              <w:bottom w:w="150" w:type="dxa"/>
              <w:right w:w="0" w:type="dxa"/>
            </w:tcMar>
            <w:vAlign w:val="center"/>
            <w:hideMark/>
          </w:tcPr>
          <w:p w14:paraId="2C9344ED" w14:textId="77777777" w:rsidR="00F06785" w:rsidRPr="00F06785" w:rsidRDefault="00F06785" w:rsidP="00817A4F">
            <w:pPr>
              <w:spacing w:after="0" w:line="240" w:lineRule="auto"/>
            </w:pPr>
            <w:r w:rsidRPr="00F06785">
              <w:t>-9.7</w:t>
            </w:r>
          </w:p>
        </w:tc>
      </w:tr>
      <w:tr w:rsidR="00F06785" w:rsidRPr="00F06785" w14:paraId="009C2510" w14:textId="77777777" w:rsidTr="00817A4F">
        <w:tc>
          <w:tcPr>
            <w:tcW w:w="0" w:type="auto"/>
            <w:tcMar>
              <w:top w:w="150" w:type="dxa"/>
              <w:left w:w="0" w:type="dxa"/>
              <w:bottom w:w="150" w:type="dxa"/>
              <w:right w:w="240" w:type="dxa"/>
            </w:tcMar>
            <w:vAlign w:val="center"/>
            <w:hideMark/>
          </w:tcPr>
          <w:p w14:paraId="1ED7F0B0" w14:textId="77777777" w:rsidR="00F06785" w:rsidRPr="00F06785" w:rsidRDefault="00F06785" w:rsidP="00817A4F">
            <w:pPr>
              <w:spacing w:after="0" w:line="240" w:lineRule="auto"/>
            </w:pPr>
            <w:r w:rsidRPr="00F06785">
              <w:t>TR9</w:t>
            </w:r>
          </w:p>
        </w:tc>
        <w:tc>
          <w:tcPr>
            <w:tcW w:w="0" w:type="auto"/>
            <w:tcMar>
              <w:top w:w="150" w:type="dxa"/>
              <w:left w:w="240" w:type="dxa"/>
              <w:bottom w:w="150" w:type="dxa"/>
              <w:right w:w="240" w:type="dxa"/>
            </w:tcMar>
            <w:vAlign w:val="center"/>
            <w:hideMark/>
          </w:tcPr>
          <w:p w14:paraId="5D395DF0" w14:textId="77777777" w:rsidR="00F06785" w:rsidRPr="00F06785" w:rsidRDefault="00F06785" w:rsidP="00817A4F">
            <w:pPr>
              <w:spacing w:after="0" w:line="240" w:lineRule="auto"/>
            </w:pPr>
            <w:r w:rsidRPr="00F06785">
              <w:t>Eastern Black Sea</w:t>
            </w:r>
          </w:p>
        </w:tc>
        <w:tc>
          <w:tcPr>
            <w:tcW w:w="0" w:type="auto"/>
            <w:tcMar>
              <w:top w:w="150" w:type="dxa"/>
              <w:left w:w="240" w:type="dxa"/>
              <w:bottom w:w="150" w:type="dxa"/>
              <w:right w:w="240" w:type="dxa"/>
            </w:tcMar>
            <w:vAlign w:val="center"/>
            <w:hideMark/>
          </w:tcPr>
          <w:p w14:paraId="7CD59D65" w14:textId="77777777" w:rsidR="00F06785" w:rsidRPr="00F06785" w:rsidRDefault="00F06785" w:rsidP="00817A4F">
            <w:pPr>
              <w:spacing w:after="0" w:line="240" w:lineRule="auto"/>
            </w:pPr>
            <w:r w:rsidRPr="00F06785">
              <w:t>562,077</w:t>
            </w:r>
          </w:p>
        </w:tc>
        <w:tc>
          <w:tcPr>
            <w:tcW w:w="0" w:type="auto"/>
            <w:tcMar>
              <w:top w:w="150" w:type="dxa"/>
              <w:left w:w="240" w:type="dxa"/>
              <w:bottom w:w="150" w:type="dxa"/>
              <w:right w:w="240" w:type="dxa"/>
            </w:tcMar>
            <w:vAlign w:val="center"/>
            <w:hideMark/>
          </w:tcPr>
          <w:p w14:paraId="2A042A66" w14:textId="77777777" w:rsidR="00F06785" w:rsidRPr="00F06785" w:rsidRDefault="00F06785" w:rsidP="00817A4F">
            <w:pPr>
              <w:spacing w:after="0" w:line="240" w:lineRule="auto"/>
            </w:pPr>
            <w:r w:rsidRPr="00F06785">
              <w:t>569,290</w:t>
            </w:r>
          </w:p>
        </w:tc>
        <w:tc>
          <w:tcPr>
            <w:tcW w:w="1933" w:type="dxa"/>
            <w:tcMar>
              <w:top w:w="150" w:type="dxa"/>
              <w:left w:w="240" w:type="dxa"/>
              <w:bottom w:w="150" w:type="dxa"/>
              <w:right w:w="240" w:type="dxa"/>
            </w:tcMar>
            <w:vAlign w:val="center"/>
            <w:hideMark/>
          </w:tcPr>
          <w:p w14:paraId="7CDB4485" w14:textId="77777777" w:rsidR="00F06785" w:rsidRPr="00F06785" w:rsidRDefault="00F06785" w:rsidP="00817A4F">
            <w:pPr>
              <w:spacing w:after="0" w:line="240" w:lineRule="auto"/>
            </w:pPr>
            <w:r w:rsidRPr="00F06785">
              <w:t>+7,213</w:t>
            </w:r>
          </w:p>
        </w:tc>
        <w:tc>
          <w:tcPr>
            <w:tcW w:w="0" w:type="auto"/>
            <w:tcMar>
              <w:top w:w="150" w:type="dxa"/>
              <w:left w:w="240" w:type="dxa"/>
              <w:bottom w:w="150" w:type="dxa"/>
              <w:right w:w="0" w:type="dxa"/>
            </w:tcMar>
            <w:vAlign w:val="center"/>
            <w:hideMark/>
          </w:tcPr>
          <w:p w14:paraId="02E0AEBC" w14:textId="77777777" w:rsidR="00F06785" w:rsidRPr="00F06785" w:rsidRDefault="00F06785" w:rsidP="00817A4F">
            <w:pPr>
              <w:spacing w:after="0" w:line="240" w:lineRule="auto"/>
            </w:pPr>
            <w:r w:rsidRPr="00F06785">
              <w:t>+1.3</w:t>
            </w:r>
          </w:p>
        </w:tc>
      </w:tr>
    </w:tbl>
    <w:p w14:paraId="0146843A" w14:textId="05C2B3A1" w:rsidR="00F06785" w:rsidRDefault="00F06785" w:rsidP="00F06785">
      <w:pPr>
        <w:rPr>
          <w:i/>
          <w:iCs/>
        </w:rPr>
      </w:pPr>
      <w:r w:rsidRPr="00F06785">
        <w:rPr>
          <w:i/>
          <w:iCs/>
        </w:rPr>
        <w:t>Source: TurkStat Crop Production Statistics (2020, 2024)</w:t>
      </w:r>
    </w:p>
    <w:p w14:paraId="2E99A7B8" w14:textId="57C41309" w:rsidR="00E4019D" w:rsidRDefault="00E4019D" w:rsidP="00F06785">
      <w:pPr>
        <w:rPr>
          <w:i/>
          <w:iCs/>
        </w:rPr>
      </w:pPr>
    </w:p>
    <w:p w14:paraId="2C43FD73" w14:textId="77777777" w:rsidR="00E4019D" w:rsidRPr="00F06785" w:rsidRDefault="00E4019D" w:rsidP="00F06785"/>
    <w:p w14:paraId="094B4C08" w14:textId="475EE4B1" w:rsidR="00F06785" w:rsidRDefault="00F06785" w:rsidP="00E4019D">
      <w:pPr>
        <w:jc w:val="both"/>
      </w:pPr>
      <w:r w:rsidRPr="00F06785">
        <w:t>As can be seen from Table 2, the TRB (Eastern Anatolia) region experienced the most significant proportional decline at 30.9%. In contrast, fallow areas have remained marginal in regions with relatively sufficient and regular rainfall, such as TR9 (Eastern Black Sea), showing no statistically significant change. This distribution demonstrates that the fallow decline is concentrated primarily in regions with pronounced water constraints, and this situation risks further increasing pressure on existing water resources.</w:t>
      </w:r>
    </w:p>
    <w:p w14:paraId="1E7831D2" w14:textId="77777777" w:rsidR="00E4019D" w:rsidRDefault="00E4019D" w:rsidP="00F06785"/>
    <w:p w14:paraId="6319A244" w14:textId="6972ED15" w:rsidR="00F06785" w:rsidRPr="00F06785" w:rsidRDefault="00F06785" w:rsidP="00F06785">
      <w:r>
        <w:rPr>
          <w:noProof/>
        </w:rPr>
        <w:drawing>
          <wp:inline distT="0" distB="0" distL="0" distR="0" wp14:anchorId="78FE2B6C" wp14:editId="49D4C48C">
            <wp:extent cx="5267960" cy="3078480"/>
            <wp:effectExtent l="0" t="0" r="8890" b="7620"/>
            <wp:docPr id="1" name="Grafik 1">
              <a:extLst xmlns:a="http://schemas.openxmlformats.org/drawingml/2006/main">
                <a:ext uri="{FF2B5EF4-FFF2-40B4-BE49-F238E27FC236}">
                  <a16:creationId xmlns:a16="http://schemas.microsoft.com/office/drawing/2014/main" id="{5B31868C-22FC-4B61-A0D3-CA30E86A1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080A4" w14:textId="041BFEC3" w:rsidR="00F06785" w:rsidRDefault="00F06785" w:rsidP="00F06785">
      <w:pPr>
        <w:rPr>
          <w:i/>
          <w:iCs/>
        </w:rPr>
      </w:pPr>
      <w:r w:rsidRPr="00F06785">
        <w:rPr>
          <w:b/>
          <w:bCs/>
        </w:rPr>
        <w:lastRenderedPageBreak/>
        <w:t>Figure 2. Regional Change in Fallow Areas in Turkey (2020-2024)</w:t>
      </w:r>
      <w:r w:rsidRPr="00F06785">
        <w:br/>
      </w:r>
      <w:r w:rsidRPr="00F06785">
        <w:rPr>
          <w:i/>
          <w:iCs/>
        </w:rPr>
        <w:t>Note: Figure 2 would be a bar chart comparing the percentage changes in Table 2 across the five regions.</w:t>
      </w:r>
    </w:p>
    <w:p w14:paraId="41093E87" w14:textId="77777777" w:rsidR="00E4019D" w:rsidRPr="00F06785" w:rsidRDefault="00E4019D" w:rsidP="00F06785"/>
    <w:p w14:paraId="1643E648" w14:textId="77777777" w:rsidR="00F06785" w:rsidRPr="00F06785" w:rsidRDefault="00F06785" w:rsidP="00E4019D">
      <w:pPr>
        <w:jc w:val="both"/>
      </w:pPr>
      <w:r w:rsidRPr="00F06785">
        <w:t>Figure 2 illustrates the change in fallow areas between 2020 and 2024 in five different regions of Turkey. The most notable decrease occurred in the Eastern Anatolia (TRB) region, where the fallow area fell by 30.9%, recording the highest relative decline. The highest absolute decrease, however, was observed in the Central Anatolia (TR7) region (-1,578,459 da). While the general trend is a decline in fallow areas across all regions—attributable to factors such as the widespread adoption of modern irrigation techniques, crop rotation practices, and changes in agricultural policies—the Eastern Black Sea (TR9) region shows a slight increase (+1.3%), contrary to the overall trend. This may be due to the region's specific ecological conditions or agricultural structure.</w:t>
      </w:r>
    </w:p>
    <w:p w14:paraId="45E627E1" w14:textId="77777777" w:rsidR="00F06785" w:rsidRPr="00F06785" w:rsidRDefault="00F06785" w:rsidP="00F06785">
      <w:pPr>
        <w:rPr>
          <w:b/>
          <w:bCs/>
        </w:rPr>
      </w:pPr>
      <w:r w:rsidRPr="00F06785">
        <w:rPr>
          <w:b/>
          <w:bCs/>
        </w:rPr>
        <w:t>3.3. What Replaced Fallow? The Cereal-Fruit Nexus and Emerging Risks</w:t>
      </w:r>
    </w:p>
    <w:p w14:paraId="2994C6C5" w14:textId="77777777" w:rsidR="00F06785" w:rsidRPr="00F06785" w:rsidRDefault="00F06785" w:rsidP="00E4019D">
      <w:pPr>
        <w:jc w:val="both"/>
      </w:pPr>
      <w:r w:rsidRPr="00F06785">
        <w:t>With the decrease in fallow land, the question of which crop patterns these lands have shifted to becomes important. The Central Anatolia (TR7) region serves as a significant case for analyzing this transformation. Between 2020 and 2024, while the fallow area in TR7 decreased by 1.58 million decares, the cereal area increased by 1.91 million decares. This indicates that fallow lands have largely been converted to continuous cereal cultivation, signifying an intensification within the fallow-cereal rotation. Such intensification can lead to increased fertilizer and pesticide use, a decline in soil organic matter, and heightened erosion risk (Sirat, 2016).</w:t>
      </w:r>
    </w:p>
    <w:p w14:paraId="4B9A39D9" w14:textId="2EE70B83" w:rsidR="00F06785" w:rsidRPr="000C637C" w:rsidRDefault="00F06785" w:rsidP="00E4019D">
      <w:pPr>
        <w:jc w:val="both"/>
      </w:pPr>
      <w:r w:rsidRPr="00F06785">
        <w:t>Another notable development in the same period is the expansion of fruit cultivation areas. Fruit area in TR7 expanded by approximately 93 thousand decares. Compared to cereals, orchards require significantly higher amounts of irrigation water. The simultaneous expansion of irrigated agriculture (especially fruit growing) alongside the decline of fallow in an arid region creates a "dual threat" on groundwater and surface water resources already under threat of overuse.</w:t>
      </w:r>
    </w:p>
    <w:p w14:paraId="70B16C6A" w14:textId="619917D1" w:rsidR="00F06785" w:rsidRDefault="00F06785" w:rsidP="00F06785"/>
    <w:p w14:paraId="493389C3" w14:textId="5938D9B3" w:rsidR="00F06785" w:rsidRPr="00F06785" w:rsidRDefault="00F06785" w:rsidP="00F06785">
      <w:r>
        <w:rPr>
          <w:rFonts w:ascii="Segoe UI" w:hAnsi="Segoe UI" w:cs="Segoe UI"/>
          <w:noProof/>
          <w:color w:val="0F1115"/>
        </w:rPr>
        <w:drawing>
          <wp:inline distT="0" distB="0" distL="0" distR="0" wp14:anchorId="75049C63" wp14:editId="216624D4">
            <wp:extent cx="5760720" cy="3573780"/>
            <wp:effectExtent l="0" t="0" r="0" b="76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73780"/>
                    </a:xfrm>
                    <a:prstGeom prst="rect">
                      <a:avLst/>
                    </a:prstGeom>
                    <a:noFill/>
                    <a:ln>
                      <a:noFill/>
                    </a:ln>
                  </pic:spPr>
                </pic:pic>
              </a:graphicData>
            </a:graphic>
          </wp:inline>
        </w:drawing>
      </w:r>
    </w:p>
    <w:p w14:paraId="76AA2234" w14:textId="1AB0AA05" w:rsidR="00F06785" w:rsidRDefault="00F06785" w:rsidP="00F06785">
      <w:pPr>
        <w:rPr>
          <w:i/>
          <w:iCs/>
        </w:rPr>
      </w:pPr>
      <w:r w:rsidRPr="00F06785">
        <w:rPr>
          <w:b/>
          <w:bCs/>
        </w:rPr>
        <w:lastRenderedPageBreak/>
        <w:t>Figure 3. Land Use Change in the TR7 (Central Anatolia) Region (2020-2024)</w:t>
      </w:r>
      <w:r w:rsidRPr="00F06785">
        <w:br/>
      </w:r>
      <w:r w:rsidRPr="00F06785">
        <w:rPr>
          <w:i/>
          <w:iCs/>
        </w:rPr>
        <w:t>Note: Figure 3 would be a line or grouped bar chart showing trends for fallow, cereal, and fruit areas over the years.</w:t>
      </w:r>
    </w:p>
    <w:p w14:paraId="067747A7" w14:textId="77777777" w:rsidR="00E4019D" w:rsidRPr="00F06785" w:rsidRDefault="00E4019D" w:rsidP="00F06785"/>
    <w:p w14:paraId="77EF2610" w14:textId="15E65696" w:rsidR="00F06785" w:rsidRDefault="00F06785" w:rsidP="00E4019D">
      <w:pPr>
        <w:jc w:val="both"/>
      </w:pPr>
      <w:r w:rsidRPr="00F06785">
        <w:t>The chart in Figure 3 indicates a clear product-based transformation in the annual percentage changes in land use in the TR7 Region during the 2020-2024 period. While fruit areas generally show growth, with a particularly notable expansion between 2022-2023 and 2023-2024, pointing towards a focus on permanent horticultural production. Cereal areas show fluctuating changes, suggesting that production levels from previous seasons are being maintained in some form. In contrast, the strong and continuous decline observed in fallow across the board demonstrates the more intensive and continuous use of agricultural land.</w:t>
      </w:r>
    </w:p>
    <w:p w14:paraId="40947556" w14:textId="77777777" w:rsidR="00780350" w:rsidRDefault="00780350" w:rsidP="00E4019D">
      <w:pPr>
        <w:jc w:val="both"/>
      </w:pPr>
    </w:p>
    <w:p w14:paraId="073D5FCE" w14:textId="77777777" w:rsidR="00780350" w:rsidRPr="00780350" w:rsidRDefault="00780350" w:rsidP="00780350">
      <w:pPr>
        <w:jc w:val="both"/>
      </w:pPr>
      <w:r w:rsidRPr="00780350">
        <w:rPr>
          <w:b/>
          <w:bCs/>
        </w:rPr>
        <w:t>3.4. The Transformative Role of Support Policies and Irrigation Investments</w:t>
      </w:r>
    </w:p>
    <w:p w14:paraId="58912904" w14:textId="77777777" w:rsidR="00780350" w:rsidRPr="00780350" w:rsidRDefault="00780350" w:rsidP="00780350">
      <w:pPr>
        <w:jc w:val="both"/>
      </w:pPr>
      <w:r w:rsidRPr="00780350">
        <w:t>One of the fundamental structural drivers behind the reduction in fallow areas is the evolution of agricultural support policies. Production-independent, area-based direct income support creates a strong economic incentive for farmers to maximize their cultivable land, potentially leading to the conversion of marginal, ecologically fragile lands to agriculture. Research indicates that targeted subsidy mechanisms in Turkey, such as crop-specific premiums and diesel-fertilizer supports, directly shape farmers' crop pattern preferences. These policies accelerate the shift away from traditional, less water-demanding dryland farming systems by increasing the orientation towards crops with high water demand and market value but lower drought resilience, such as corn, sugar beet, alfalfa, and certain fruit varieties (Ekiz &amp; Demiray, 2025).</w:t>
      </w:r>
    </w:p>
    <w:p w14:paraId="53DF6DB9" w14:textId="0A9FEBE0" w:rsidR="00780350" w:rsidRDefault="00780350" w:rsidP="00780350">
      <w:pPr>
        <w:jc w:val="both"/>
      </w:pPr>
      <w:r w:rsidRPr="00780350">
        <w:t>In addition to these policies, the completion of large-scale dam and irrigation networks (such as GAP) and irrigation infrastructure investments at central and local levels (including the drilling of groundwater wells, grants, and loans for pressurized irrigation systems) constitute the other critical pillar of this transformation. These investments have paved the way for the physical feasibility of irrigated agriculture on vast lands that were previously entirely rain-fed (dry farming). Thus, the economic attractiveness created by support policies, combined with the technical opportunities provided by irrigation access, has become the fundamental "enabler" of the observed land-use transformation from "fallow-cereal" to "continuous cultivation" or "cereal-fruit" systems (Özgür, 2025). This dual effect has initiated a vicious cycle in critical regions like the Konya Closed Basin, causing significant declines in groundwater levels and threatening long-term production potential and ecosystem balance.</w:t>
      </w:r>
    </w:p>
    <w:p w14:paraId="3428A247" w14:textId="77777777" w:rsidR="00780350" w:rsidRPr="00780350" w:rsidRDefault="00780350" w:rsidP="00780350">
      <w:pPr>
        <w:jc w:val="both"/>
      </w:pPr>
    </w:p>
    <w:p w14:paraId="3D8121EE" w14:textId="77777777" w:rsidR="00780350" w:rsidRPr="00780350" w:rsidRDefault="00780350" w:rsidP="00780350">
      <w:pPr>
        <w:jc w:val="both"/>
      </w:pPr>
      <w:r w:rsidRPr="00780350">
        <w:rPr>
          <w:b/>
          <w:bCs/>
        </w:rPr>
        <w:t>3.5. The Impact of Declining Fallow on System Resilience in the Context of Climate Change and Water Scarcity</w:t>
      </w:r>
    </w:p>
    <w:p w14:paraId="1DFF8B7E" w14:textId="77777777" w:rsidR="00780350" w:rsidRPr="00780350" w:rsidRDefault="00780350" w:rsidP="00780350">
      <w:pPr>
        <w:jc w:val="both"/>
      </w:pPr>
      <w:r w:rsidRPr="00780350">
        <w:t>A significant portion of Turkey's land lies within the Mediterranean and semi-arid climate zones, which are highly vulnerable to the effects of climate change. Current climate projections forecast increased variability in precipitation regimes, reduced snowfall, and a marked rise in the frequency, duration, and severity of drought events alongside heatwaves (Türkeş et al., 2019). In this context, the rapid abandonment of fallow practice has the potential to weaken the natural resilience and adaptive capacity of farming systems against these increasing hydro-climatic risks.</w:t>
      </w:r>
    </w:p>
    <w:p w14:paraId="6F97270E" w14:textId="77777777" w:rsidR="00780350" w:rsidRPr="00780350" w:rsidRDefault="00780350" w:rsidP="00780350">
      <w:pPr>
        <w:jc w:val="both"/>
      </w:pPr>
      <w:r w:rsidRPr="00780350">
        <w:t xml:space="preserve">Fallow is not merely a passive reservoir that stores accumulated soil moisture for the next crop; it is also an active soil health management tool that contributes to the preservation of soil organic matter, structural stability, and improved water infiltration capacity. This practice serves as critical "water insurance" and a "productivity buffer" for unpredictable dry periods. Abandoning this traditional risk </w:t>
      </w:r>
      <w:r w:rsidRPr="00780350">
        <w:lastRenderedPageBreak/>
        <w:t>management tool means crops become more vulnerable to water stress, especially in vast dryland areas with limited irrigation opportunities, leading to intensified year-to-year fluctuations in production. Therefore, while climate change adaptation strategies typically aim to use water efficiently, conserve soil moisture, and strengthen ecosystem resilience, the decline in fallow areas creates a trend that directly contradicts these goals (Cayci et al., 2009). This situation serves as a serious warning that short-term yield increases could lead to more fragile and unsustainable production systems in the face of climate shocks in the medium to long term, and must be evaluated as a strategic risk factor for the future security of agricultural production.</w:t>
      </w:r>
    </w:p>
    <w:p w14:paraId="1F66CB69" w14:textId="77777777" w:rsidR="00FF7DBA" w:rsidRPr="00F06785" w:rsidRDefault="00FF7DBA" w:rsidP="00E4019D">
      <w:pPr>
        <w:jc w:val="both"/>
      </w:pPr>
    </w:p>
    <w:p w14:paraId="1B703BD2" w14:textId="72B36783" w:rsidR="00F06785" w:rsidRPr="00E4019D" w:rsidRDefault="00F06785" w:rsidP="00E4019D">
      <w:pPr>
        <w:pStyle w:val="ListParagraph"/>
        <w:numPr>
          <w:ilvl w:val="0"/>
          <w:numId w:val="18"/>
        </w:numPr>
        <w:rPr>
          <w:b/>
          <w:bCs/>
        </w:rPr>
      </w:pPr>
      <w:r w:rsidRPr="00E4019D">
        <w:rPr>
          <w:b/>
          <w:bCs/>
        </w:rPr>
        <w:t>CONCLUSION</w:t>
      </w:r>
    </w:p>
    <w:p w14:paraId="0CE61B56" w14:textId="77777777" w:rsidR="00E4019D" w:rsidRPr="00E4019D" w:rsidRDefault="00E4019D" w:rsidP="00E4019D">
      <w:pPr>
        <w:pStyle w:val="ListParagraph"/>
        <w:rPr>
          <w:b/>
          <w:bCs/>
        </w:rPr>
      </w:pPr>
    </w:p>
    <w:p w14:paraId="3BB394EC" w14:textId="1ECD819B" w:rsidR="00F06785" w:rsidRPr="000C637C" w:rsidRDefault="00F06785" w:rsidP="00E4019D">
      <w:pPr>
        <w:jc w:val="both"/>
      </w:pPr>
      <w:r w:rsidRPr="00F06785">
        <w:t>The dramatic 35.5% decline in fallow areas in Turkey during the 2015-2024 period is one of the clearest indicators that the agricultural sector is rapidly moving away from its traditional structure and transitioning to a more intensive production model. This transformation carries the potential to respond to increasing food demand and enhance land use efficiency. However, as analyses reveal, this decline is not geographically balanced; it has been most severe in arid regions with the highest water stress, such as Central Anatolia (TR7) and Eastern Anatolia (TRB). In these regions, fallow has been largely replaced by continuous cereal production and, to a lesser extent, irrigated fruit cultivation.</w:t>
      </w:r>
    </w:p>
    <w:p w14:paraId="4CF1D353" w14:textId="77777777" w:rsidR="00E4019D" w:rsidRPr="00F06785" w:rsidRDefault="00E4019D" w:rsidP="00E4019D">
      <w:pPr>
        <w:jc w:val="both"/>
      </w:pPr>
    </w:p>
    <w:p w14:paraId="7364ECF6" w14:textId="744503F2" w:rsidR="00F06785" w:rsidRPr="000C637C" w:rsidRDefault="00F06785" w:rsidP="00E4019D">
      <w:pPr>
        <w:jc w:val="both"/>
      </w:pPr>
      <w:r w:rsidRPr="00F06785">
        <w:t>This situation creates a "dual threat" on these already fragile ecosystems: (1) The loss of opportunity for soil resting and moisture accumulation poses risks of decreased soil organic matter, increased erosion risk, and long-term productivity loss. (2) The growing shift towards water-demanding crops risks causing a rapid decline in groundwater levels and a deepening water scarcity problem. Therefore, the uncontrolled continuation of the current trend harbors the danger that short-term production gains could result in difficult-to-reverse environmental degradation and the collapse of production systems in the medium to long term.</w:t>
      </w:r>
    </w:p>
    <w:p w14:paraId="16B5513B" w14:textId="77777777" w:rsidR="00E4019D" w:rsidRPr="00F06785" w:rsidRDefault="00E4019D" w:rsidP="00E4019D">
      <w:pPr>
        <w:jc w:val="both"/>
      </w:pPr>
    </w:p>
    <w:p w14:paraId="7D2A07AF" w14:textId="6A91E89E" w:rsidR="00E4019D" w:rsidRDefault="00E4019D" w:rsidP="00E4019D">
      <w:pPr>
        <w:jc w:val="both"/>
        <w:rPr>
          <w:b/>
          <w:bCs/>
        </w:rPr>
      </w:pPr>
    </w:p>
    <w:p w14:paraId="7A95F5AC" w14:textId="77777777" w:rsidR="002469E6" w:rsidRPr="00F06785" w:rsidRDefault="002469E6" w:rsidP="00E4019D">
      <w:pPr>
        <w:jc w:val="both"/>
      </w:pPr>
      <w:bookmarkStart w:id="0" w:name="_GoBack"/>
      <w:bookmarkEnd w:id="0"/>
    </w:p>
    <w:p w14:paraId="5F54E69D" w14:textId="77777777" w:rsidR="00F06785" w:rsidRPr="00F06785" w:rsidRDefault="00F06785" w:rsidP="00E4019D">
      <w:pPr>
        <w:jc w:val="both"/>
        <w:rPr>
          <w:b/>
          <w:bCs/>
        </w:rPr>
      </w:pPr>
      <w:r w:rsidRPr="00F06785">
        <w:rPr>
          <w:b/>
          <w:bCs/>
        </w:rPr>
        <w:t>REFERENCES</w:t>
      </w:r>
    </w:p>
    <w:p w14:paraId="681A36D2" w14:textId="77777777" w:rsidR="00AD631A" w:rsidRDefault="00AD631A" w:rsidP="00AD631A">
      <w:r>
        <w:t>Benek, S. (2009). The Southeastern Anatolia Project (GAP) in terms of its emergence, development, and effects on the region. Ankara University Faculty of Political Sciences Journal, 64(03), 45-71.</w:t>
      </w:r>
    </w:p>
    <w:p w14:paraId="50B5FF43" w14:textId="77777777" w:rsidR="00AD631A" w:rsidRDefault="00AD631A" w:rsidP="00AD631A">
      <w:r>
        <w:t>Cayci, G., Heng, L. K., Öztürk, H. S., Sürek, D., Kütük, C., &amp; Sağlam, M. (2009). Crop yield and water use efficiency in semi-arid region of Turkey. Soil and Tillage Research, 103(1), 65-72.</w:t>
      </w:r>
    </w:p>
    <w:p w14:paraId="710E9989" w14:textId="77777777" w:rsidR="00AD631A" w:rsidRDefault="00AD631A" w:rsidP="00AD631A">
      <w:r>
        <w:t>Çelik, A. (2016). Steps to be taken for the adoption and dissemination of conservation tillage and direct seeding in Türkiye. Journal of Agricultural Machinery Science, 12(4), 243-253.</w:t>
      </w:r>
    </w:p>
    <w:p w14:paraId="582501B2" w14:textId="77777777" w:rsidR="00AD631A" w:rsidRDefault="00AD631A" w:rsidP="00AD631A">
      <w:r>
        <w:t>Demiralay, İ. (2010). OPPORTUNITIES FOR UTILIZING FALLOW LANDS IN Türkiye. Atatürk University Faculty of Agriculture Journal, 12(2-3).</w:t>
      </w:r>
    </w:p>
    <w:p w14:paraId="1EBEFD48" w14:textId="77777777" w:rsidR="00AD631A" w:rsidRDefault="00AD631A" w:rsidP="00AD631A">
      <w:r>
        <w:t>Ekiz, M., &amp; Demiray, O. Ç. (2025). THE IMPACT OF AGRICULTURAL SUPPORT POLICIES ON AGRICULTURAL PRODUCTION IN TURKEY. Çukurova University Institute of Social Sciences Journal, 34(2), 1135-1148.</w:t>
      </w:r>
    </w:p>
    <w:p w14:paraId="2007710D" w14:textId="77777777" w:rsidR="00AD631A" w:rsidRDefault="00AD631A" w:rsidP="00AD631A">
      <w:r>
        <w:lastRenderedPageBreak/>
        <w:t>Göçmez, G., &amp; İşçioğlu, A. (2004). Groundwater level changes in the Konya closed basin. National Symposium on Groundwater, 23-24.</w:t>
      </w:r>
    </w:p>
    <w:p w14:paraId="5888B48C" w14:textId="77777777" w:rsidR="00AD631A" w:rsidRDefault="00AD631A" w:rsidP="00AD631A">
      <w:r>
        <w:t>Gül, E. N., Özgüven, M. M., &amp; Özgöz, E. (2020). Soil Compaction Measurement Systems and Recent Technological Developments. Gaziosmanpaşa Scientific Research Journal, 9(3), 75-89.</w:t>
      </w:r>
    </w:p>
    <w:p w14:paraId="0F833AE0" w14:textId="77777777" w:rsidR="00AD631A" w:rsidRDefault="00AD631A" w:rsidP="00AD631A">
      <w:r>
        <w:t>Sirat, A. (2016). Organic grain farming. Yüzüncü Yıl University Journal of Agricultural Sciences.</w:t>
      </w:r>
    </w:p>
    <w:p w14:paraId="387658F3" w14:textId="77777777" w:rsidR="00AD631A" w:rsidRDefault="00AD631A" w:rsidP="00AD631A">
      <w:r>
        <w:t>TURKSTAT. (2024). Crop Production Statistics Methodology. Turkish Statistical Institute. Retrieved from https://data.tuik.gov.tr/Bulten/Index?p=Bitkisel-Uretim-Istatistikleri-2023-49393</w:t>
      </w:r>
    </w:p>
    <w:p w14:paraId="2F3F373F" w14:textId="77777777" w:rsidR="00AD631A" w:rsidRDefault="00AD631A" w:rsidP="00AD631A">
      <w:r>
        <w:t>Türkeş, M., Turp, M. T., An, N., Ozturk, T., &amp; Kurnaz, M. L. (2019). Impacts of climate change on precipitation climatology and variability in Turkey. In Water resources of Turkey (pp. 467-491). Cham: Springer International Publishing.</w:t>
      </w:r>
    </w:p>
    <w:p w14:paraId="273744FA" w14:textId="77777777" w:rsidR="00AD631A" w:rsidRDefault="00AD631A" w:rsidP="00AD631A">
      <w:r>
        <w:t>Özgür, B. (2025). The Water-Food-Energy Nexus Approach to Planning and Governance: The Case of Konya Closed Basin (Doctoral dissertation, Middle East Technical University (Turkey)).</w:t>
      </w:r>
    </w:p>
    <w:p w14:paraId="0E5E038A" w14:textId="77777777" w:rsidR="00AD631A" w:rsidRDefault="00AD631A" w:rsidP="00AD631A">
      <w:r>
        <w:t>Koç, A. A., Bayaner, A., &amp; Koç, G. (2024). Agri-food policy trends and state of sustainable food system in Türkiye. New Medit, 23(3).</w:t>
      </w:r>
    </w:p>
    <w:p w14:paraId="47BA7B02" w14:textId="77777777" w:rsidR="00AD631A" w:rsidRDefault="00AD631A" w:rsidP="00AD631A">
      <w:r>
        <w:t>Pretty, J. (2018). Intensification for redesigned and sustainable agricultural systems. Science, 362(6417), eaav0294.</w:t>
      </w:r>
    </w:p>
    <w:p w14:paraId="580DC634" w14:textId="77777777" w:rsidR="00AD631A" w:rsidRDefault="00AD631A" w:rsidP="00AD631A">
      <w:r>
        <w:t>DOI: https://doi.org/10.1126/science.aav0294</w:t>
      </w:r>
    </w:p>
    <w:p w14:paraId="2379A7DD" w14:textId="77777777" w:rsidR="00AD631A" w:rsidRDefault="00AD631A" w:rsidP="00AD631A">
      <w:r>
        <w:t>Rockström, J., Williams, J., Daily, G., Noble, A., Matthews, N., Gordon, L., ... &amp; Smith, J. (2017). Sustainable intensification of agriculture for human prosperity and global sustainability. Ambio, 46(1), 4-17.</w:t>
      </w:r>
    </w:p>
    <w:p w14:paraId="0D297D24" w14:textId="77777777" w:rsidR="00AD631A" w:rsidRDefault="00AD631A" w:rsidP="00AD631A">
      <w:r>
        <w:t>DOI: https://doi.org/10.1007/s13280-016-0793-6</w:t>
      </w:r>
    </w:p>
    <w:p w14:paraId="6C18083A" w14:textId="0BB275DE" w:rsidR="0067712E" w:rsidRPr="0067712E" w:rsidRDefault="00AD631A" w:rsidP="00AD631A">
      <w:r>
        <w:t>Yıldırım, M. (2025). Sustainable Land and Water Resources Use in the Agricultural Sector. Şura Academy, (8 ENVIRONMENT), 23-36.</w:t>
      </w:r>
    </w:p>
    <w:sectPr w:rsidR="0067712E" w:rsidRPr="0067712E" w:rsidSect="007551C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6F5D" w14:textId="77777777" w:rsidR="001B135E" w:rsidRDefault="001B135E" w:rsidP="00B851D2">
      <w:pPr>
        <w:spacing w:after="0" w:line="240" w:lineRule="auto"/>
      </w:pPr>
      <w:r>
        <w:separator/>
      </w:r>
    </w:p>
  </w:endnote>
  <w:endnote w:type="continuationSeparator" w:id="0">
    <w:p w14:paraId="03E49441" w14:textId="77777777" w:rsidR="001B135E" w:rsidRDefault="001B135E" w:rsidP="00B8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7A5D" w14:textId="77777777" w:rsidR="00B851D2" w:rsidRDefault="00B85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1024" w14:textId="77777777" w:rsidR="00B851D2" w:rsidRDefault="00B85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38E6" w14:textId="77777777" w:rsidR="00B851D2" w:rsidRDefault="00B8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507D" w14:textId="77777777" w:rsidR="001B135E" w:rsidRDefault="001B135E" w:rsidP="00B851D2">
      <w:pPr>
        <w:spacing w:after="0" w:line="240" w:lineRule="auto"/>
      </w:pPr>
      <w:r>
        <w:separator/>
      </w:r>
    </w:p>
  </w:footnote>
  <w:footnote w:type="continuationSeparator" w:id="0">
    <w:p w14:paraId="41C15E0F" w14:textId="77777777" w:rsidR="001B135E" w:rsidRDefault="001B135E" w:rsidP="00B8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D894" w14:textId="3FC1AE8E" w:rsidR="00B851D2" w:rsidRDefault="00B851D2">
    <w:pPr>
      <w:pStyle w:val="Header"/>
    </w:pPr>
    <w:r>
      <w:rPr>
        <w:noProof/>
      </w:rPr>
      <w:pict w14:anchorId="1A3D6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0A8C" w14:textId="38A6C6AD" w:rsidR="00B851D2" w:rsidRDefault="00B851D2">
    <w:pPr>
      <w:pStyle w:val="Header"/>
    </w:pPr>
    <w:r>
      <w:rPr>
        <w:noProof/>
      </w:rPr>
      <w:pict w14:anchorId="238EC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4C9F" w14:textId="774F6125" w:rsidR="00B851D2" w:rsidRDefault="00B851D2">
    <w:pPr>
      <w:pStyle w:val="Header"/>
    </w:pPr>
    <w:r>
      <w:rPr>
        <w:noProof/>
      </w:rPr>
      <w:pict w14:anchorId="238D1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75pt" o:hralign="center" o:bullet="t" o:hrstd="t" o:hr="t" fillcolor="#a0a0a0" stroked="f"/>
    </w:pict>
  </w:numPicBullet>
  <w:abstractNum w:abstractNumId="0" w15:restartNumberingAfterBreak="0">
    <w:nsid w:val="00BC52B3"/>
    <w:multiLevelType w:val="multilevel"/>
    <w:tmpl w:val="D528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4F24"/>
    <w:multiLevelType w:val="multilevel"/>
    <w:tmpl w:val="C860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12D5"/>
    <w:multiLevelType w:val="multilevel"/>
    <w:tmpl w:val="5C5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1C80"/>
    <w:multiLevelType w:val="multilevel"/>
    <w:tmpl w:val="25A815E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2062663"/>
    <w:multiLevelType w:val="multilevel"/>
    <w:tmpl w:val="CC2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00BA"/>
    <w:multiLevelType w:val="multilevel"/>
    <w:tmpl w:val="12F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11EDF"/>
    <w:multiLevelType w:val="multilevel"/>
    <w:tmpl w:val="1E56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77416"/>
    <w:multiLevelType w:val="multilevel"/>
    <w:tmpl w:val="64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D7C6A"/>
    <w:multiLevelType w:val="multilevel"/>
    <w:tmpl w:val="7FFEC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8231B"/>
    <w:multiLevelType w:val="multilevel"/>
    <w:tmpl w:val="0814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F006E"/>
    <w:multiLevelType w:val="multilevel"/>
    <w:tmpl w:val="47C2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563A4"/>
    <w:multiLevelType w:val="hybridMultilevel"/>
    <w:tmpl w:val="4CC8F104"/>
    <w:lvl w:ilvl="0" w:tplc="4620CFB0">
      <w:start w:val="1"/>
      <w:numFmt w:val="decimal"/>
      <w:lvlText w:val="%1."/>
      <w:lvlJc w:val="left"/>
      <w:pPr>
        <w:ind w:left="768" w:hanging="408"/>
      </w:pPr>
      <w:rPr>
        <w:rFonts w:hint="default"/>
        <w:sz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AA7C6D"/>
    <w:multiLevelType w:val="multilevel"/>
    <w:tmpl w:val="4DEA7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D313EC"/>
    <w:multiLevelType w:val="multilevel"/>
    <w:tmpl w:val="DD50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02065"/>
    <w:multiLevelType w:val="hybridMultilevel"/>
    <w:tmpl w:val="0ECE694A"/>
    <w:lvl w:ilvl="0" w:tplc="D92CF93A">
      <w:start w:val="1"/>
      <w:numFmt w:val="bullet"/>
      <w:lvlText w:val=""/>
      <w:lvlPicBulletId w:val="0"/>
      <w:lvlJc w:val="left"/>
      <w:pPr>
        <w:tabs>
          <w:tab w:val="num" w:pos="720"/>
        </w:tabs>
        <w:ind w:left="720" w:hanging="360"/>
      </w:pPr>
      <w:rPr>
        <w:rFonts w:ascii="Symbol" w:hAnsi="Symbol" w:hint="default"/>
      </w:rPr>
    </w:lvl>
    <w:lvl w:ilvl="1" w:tplc="C408F93E" w:tentative="1">
      <w:start w:val="1"/>
      <w:numFmt w:val="bullet"/>
      <w:lvlText w:val=""/>
      <w:lvlJc w:val="left"/>
      <w:pPr>
        <w:tabs>
          <w:tab w:val="num" w:pos="1440"/>
        </w:tabs>
        <w:ind w:left="1440" w:hanging="360"/>
      </w:pPr>
      <w:rPr>
        <w:rFonts w:ascii="Symbol" w:hAnsi="Symbol" w:hint="default"/>
      </w:rPr>
    </w:lvl>
    <w:lvl w:ilvl="2" w:tplc="6186C7D4" w:tentative="1">
      <w:start w:val="1"/>
      <w:numFmt w:val="bullet"/>
      <w:lvlText w:val=""/>
      <w:lvlJc w:val="left"/>
      <w:pPr>
        <w:tabs>
          <w:tab w:val="num" w:pos="2160"/>
        </w:tabs>
        <w:ind w:left="2160" w:hanging="360"/>
      </w:pPr>
      <w:rPr>
        <w:rFonts w:ascii="Symbol" w:hAnsi="Symbol" w:hint="default"/>
      </w:rPr>
    </w:lvl>
    <w:lvl w:ilvl="3" w:tplc="85768104" w:tentative="1">
      <w:start w:val="1"/>
      <w:numFmt w:val="bullet"/>
      <w:lvlText w:val=""/>
      <w:lvlJc w:val="left"/>
      <w:pPr>
        <w:tabs>
          <w:tab w:val="num" w:pos="2880"/>
        </w:tabs>
        <w:ind w:left="2880" w:hanging="360"/>
      </w:pPr>
      <w:rPr>
        <w:rFonts w:ascii="Symbol" w:hAnsi="Symbol" w:hint="default"/>
      </w:rPr>
    </w:lvl>
    <w:lvl w:ilvl="4" w:tplc="E0AE31CE" w:tentative="1">
      <w:start w:val="1"/>
      <w:numFmt w:val="bullet"/>
      <w:lvlText w:val=""/>
      <w:lvlJc w:val="left"/>
      <w:pPr>
        <w:tabs>
          <w:tab w:val="num" w:pos="3600"/>
        </w:tabs>
        <w:ind w:left="3600" w:hanging="360"/>
      </w:pPr>
      <w:rPr>
        <w:rFonts w:ascii="Symbol" w:hAnsi="Symbol" w:hint="default"/>
      </w:rPr>
    </w:lvl>
    <w:lvl w:ilvl="5" w:tplc="0E2C1DEC" w:tentative="1">
      <w:start w:val="1"/>
      <w:numFmt w:val="bullet"/>
      <w:lvlText w:val=""/>
      <w:lvlJc w:val="left"/>
      <w:pPr>
        <w:tabs>
          <w:tab w:val="num" w:pos="4320"/>
        </w:tabs>
        <w:ind w:left="4320" w:hanging="360"/>
      </w:pPr>
      <w:rPr>
        <w:rFonts w:ascii="Symbol" w:hAnsi="Symbol" w:hint="default"/>
      </w:rPr>
    </w:lvl>
    <w:lvl w:ilvl="6" w:tplc="2E32A7F0" w:tentative="1">
      <w:start w:val="1"/>
      <w:numFmt w:val="bullet"/>
      <w:lvlText w:val=""/>
      <w:lvlJc w:val="left"/>
      <w:pPr>
        <w:tabs>
          <w:tab w:val="num" w:pos="5040"/>
        </w:tabs>
        <w:ind w:left="5040" w:hanging="360"/>
      </w:pPr>
      <w:rPr>
        <w:rFonts w:ascii="Symbol" w:hAnsi="Symbol" w:hint="default"/>
      </w:rPr>
    </w:lvl>
    <w:lvl w:ilvl="7" w:tplc="3D14BB74" w:tentative="1">
      <w:start w:val="1"/>
      <w:numFmt w:val="bullet"/>
      <w:lvlText w:val=""/>
      <w:lvlJc w:val="left"/>
      <w:pPr>
        <w:tabs>
          <w:tab w:val="num" w:pos="5760"/>
        </w:tabs>
        <w:ind w:left="5760" w:hanging="360"/>
      </w:pPr>
      <w:rPr>
        <w:rFonts w:ascii="Symbol" w:hAnsi="Symbol" w:hint="default"/>
      </w:rPr>
    </w:lvl>
    <w:lvl w:ilvl="8" w:tplc="F6B899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D86DA8"/>
    <w:multiLevelType w:val="multilevel"/>
    <w:tmpl w:val="2E4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82BBD"/>
    <w:multiLevelType w:val="multilevel"/>
    <w:tmpl w:val="7EE6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E683D"/>
    <w:multiLevelType w:val="multilevel"/>
    <w:tmpl w:val="510E0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A13A6"/>
    <w:multiLevelType w:val="multilevel"/>
    <w:tmpl w:val="E5E6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5"/>
  </w:num>
  <w:num w:numId="4">
    <w:abstractNumId w:val="17"/>
  </w:num>
  <w:num w:numId="5">
    <w:abstractNumId w:val="1"/>
  </w:num>
  <w:num w:numId="6">
    <w:abstractNumId w:val="18"/>
  </w:num>
  <w:num w:numId="7">
    <w:abstractNumId w:val="0"/>
  </w:num>
  <w:num w:numId="8">
    <w:abstractNumId w:val="7"/>
  </w:num>
  <w:num w:numId="9">
    <w:abstractNumId w:val="8"/>
  </w:num>
  <w:num w:numId="10">
    <w:abstractNumId w:val="10"/>
  </w:num>
  <w:num w:numId="11">
    <w:abstractNumId w:val="6"/>
  </w:num>
  <w:num w:numId="12">
    <w:abstractNumId w:val="11"/>
  </w:num>
  <w:num w:numId="13">
    <w:abstractNumId w:val="2"/>
  </w:num>
  <w:num w:numId="14">
    <w:abstractNumId w:val="9"/>
  </w:num>
  <w:num w:numId="15">
    <w:abstractNumId w:val="16"/>
  </w:num>
  <w:num w:numId="16">
    <w:abstractNumId w:val="15"/>
  </w:num>
  <w:num w:numId="17">
    <w:abstractNumId w:val="13"/>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5"/>
    <w:rsid w:val="00046058"/>
    <w:rsid w:val="00061F3E"/>
    <w:rsid w:val="00080B4C"/>
    <w:rsid w:val="000945BC"/>
    <w:rsid w:val="000B49F9"/>
    <w:rsid w:val="000C485D"/>
    <w:rsid w:val="000C637C"/>
    <w:rsid w:val="000D521B"/>
    <w:rsid w:val="000E0E8D"/>
    <w:rsid w:val="000E77AA"/>
    <w:rsid w:val="00105258"/>
    <w:rsid w:val="00111CCF"/>
    <w:rsid w:val="00153D0F"/>
    <w:rsid w:val="00162B54"/>
    <w:rsid w:val="001A2871"/>
    <w:rsid w:val="001B135E"/>
    <w:rsid w:val="001D11FB"/>
    <w:rsid w:val="001D6433"/>
    <w:rsid w:val="00204EF7"/>
    <w:rsid w:val="00214A1D"/>
    <w:rsid w:val="00227665"/>
    <w:rsid w:val="002469E6"/>
    <w:rsid w:val="002A1D2A"/>
    <w:rsid w:val="002A4C4B"/>
    <w:rsid w:val="00317117"/>
    <w:rsid w:val="003826AA"/>
    <w:rsid w:val="003D4666"/>
    <w:rsid w:val="003D7BF5"/>
    <w:rsid w:val="003F17F2"/>
    <w:rsid w:val="00402D7B"/>
    <w:rsid w:val="00413F0F"/>
    <w:rsid w:val="00482DE7"/>
    <w:rsid w:val="004B1D71"/>
    <w:rsid w:val="004C26B5"/>
    <w:rsid w:val="004E43C6"/>
    <w:rsid w:val="00514CD1"/>
    <w:rsid w:val="00574E30"/>
    <w:rsid w:val="005833DF"/>
    <w:rsid w:val="005D655B"/>
    <w:rsid w:val="00603359"/>
    <w:rsid w:val="0067712E"/>
    <w:rsid w:val="00715EC0"/>
    <w:rsid w:val="0071696A"/>
    <w:rsid w:val="007203B0"/>
    <w:rsid w:val="00734C0E"/>
    <w:rsid w:val="007551C7"/>
    <w:rsid w:val="00780350"/>
    <w:rsid w:val="007A254B"/>
    <w:rsid w:val="007B1340"/>
    <w:rsid w:val="007B3C08"/>
    <w:rsid w:val="00817A4F"/>
    <w:rsid w:val="0083341D"/>
    <w:rsid w:val="00850C25"/>
    <w:rsid w:val="00856061"/>
    <w:rsid w:val="00857E26"/>
    <w:rsid w:val="00880F16"/>
    <w:rsid w:val="00887359"/>
    <w:rsid w:val="008A79EC"/>
    <w:rsid w:val="008B6304"/>
    <w:rsid w:val="008C7F07"/>
    <w:rsid w:val="008D0627"/>
    <w:rsid w:val="008D6D33"/>
    <w:rsid w:val="008E055C"/>
    <w:rsid w:val="008F039B"/>
    <w:rsid w:val="0092044D"/>
    <w:rsid w:val="00986DD5"/>
    <w:rsid w:val="009B360B"/>
    <w:rsid w:val="009C64F4"/>
    <w:rsid w:val="00A05EBC"/>
    <w:rsid w:val="00A116D1"/>
    <w:rsid w:val="00A37E84"/>
    <w:rsid w:val="00A5458F"/>
    <w:rsid w:val="00A9122A"/>
    <w:rsid w:val="00AC6466"/>
    <w:rsid w:val="00AD0AD3"/>
    <w:rsid w:val="00AD631A"/>
    <w:rsid w:val="00AD72A3"/>
    <w:rsid w:val="00AE4CFF"/>
    <w:rsid w:val="00B33596"/>
    <w:rsid w:val="00B34152"/>
    <w:rsid w:val="00B81C3D"/>
    <w:rsid w:val="00B851D2"/>
    <w:rsid w:val="00BB567C"/>
    <w:rsid w:val="00BD70ED"/>
    <w:rsid w:val="00C11858"/>
    <w:rsid w:val="00C467FF"/>
    <w:rsid w:val="00D15CAE"/>
    <w:rsid w:val="00D346EF"/>
    <w:rsid w:val="00D476EB"/>
    <w:rsid w:val="00D47D57"/>
    <w:rsid w:val="00DA44F9"/>
    <w:rsid w:val="00DA7672"/>
    <w:rsid w:val="00E25255"/>
    <w:rsid w:val="00E4019D"/>
    <w:rsid w:val="00E7292F"/>
    <w:rsid w:val="00E74D4F"/>
    <w:rsid w:val="00EA0CC5"/>
    <w:rsid w:val="00EB7A0C"/>
    <w:rsid w:val="00EE2172"/>
    <w:rsid w:val="00EF2FEB"/>
    <w:rsid w:val="00F06785"/>
    <w:rsid w:val="00F33B1D"/>
    <w:rsid w:val="00F45D51"/>
    <w:rsid w:val="00F774F4"/>
    <w:rsid w:val="00F80E33"/>
    <w:rsid w:val="00FB2276"/>
    <w:rsid w:val="00FD3F2A"/>
    <w:rsid w:val="00FD45A1"/>
    <w:rsid w:val="00FE1585"/>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AACA9"/>
  <w15:chartTrackingRefBased/>
  <w15:docId w15:val="{BCD5684E-F995-4BE2-8B1F-4D2B1B3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12E"/>
  </w:style>
  <w:style w:type="paragraph" w:styleId="Heading1">
    <w:name w:val="heading 1"/>
    <w:basedOn w:val="Normal"/>
    <w:next w:val="Normal"/>
    <w:link w:val="Heading1Char"/>
    <w:uiPriority w:val="9"/>
    <w:qFormat/>
    <w:rsid w:val="007A25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2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712E"/>
    <w:pPr>
      <w:spacing w:before="100" w:beforeAutospacing="1" w:after="100" w:afterAutospacing="1" w:line="240" w:lineRule="auto"/>
      <w:outlineLvl w:val="2"/>
    </w:pPr>
    <w:rPr>
      <w:rFonts w:eastAsia="Times New Roman"/>
      <w:b/>
      <w:bCs/>
      <w:sz w:val="27"/>
      <w:szCs w:val="27"/>
      <w:lang w:eastAsia="tr-TR"/>
    </w:rPr>
  </w:style>
  <w:style w:type="paragraph" w:styleId="Heading4">
    <w:name w:val="heading 4"/>
    <w:basedOn w:val="Normal"/>
    <w:next w:val="Normal"/>
    <w:link w:val="Heading4Char"/>
    <w:uiPriority w:val="9"/>
    <w:semiHidden/>
    <w:unhideWhenUsed/>
    <w:qFormat/>
    <w:rsid w:val="000E7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2E"/>
    <w:pPr>
      <w:ind w:left="720"/>
      <w:contextualSpacing/>
    </w:pPr>
  </w:style>
  <w:style w:type="character" w:customStyle="1" w:styleId="Heading3Char">
    <w:name w:val="Heading 3 Char"/>
    <w:basedOn w:val="DefaultParagraphFont"/>
    <w:link w:val="Heading3"/>
    <w:uiPriority w:val="9"/>
    <w:rsid w:val="0067712E"/>
    <w:rPr>
      <w:rFonts w:eastAsia="Times New Roman"/>
      <w:b/>
      <w:bCs/>
      <w:sz w:val="27"/>
      <w:szCs w:val="27"/>
      <w:lang w:eastAsia="tr-TR"/>
    </w:rPr>
  </w:style>
  <w:style w:type="character" w:styleId="Strong">
    <w:name w:val="Strong"/>
    <w:basedOn w:val="DefaultParagraphFont"/>
    <w:uiPriority w:val="22"/>
    <w:qFormat/>
    <w:rsid w:val="0067712E"/>
    <w:rPr>
      <w:b/>
      <w:bCs/>
    </w:rPr>
  </w:style>
  <w:style w:type="paragraph" w:customStyle="1" w:styleId="ds-markdown-paragraph">
    <w:name w:val="ds-markdown-paragraph"/>
    <w:basedOn w:val="Normal"/>
    <w:rsid w:val="0067712E"/>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67712E"/>
    <w:rPr>
      <w:i/>
      <w:iCs/>
    </w:rPr>
  </w:style>
  <w:style w:type="character" w:customStyle="1" w:styleId="ng-star-inserted">
    <w:name w:val="ng-star-inserted"/>
    <w:basedOn w:val="DefaultParagraphFont"/>
    <w:rsid w:val="00AD0AD3"/>
  </w:style>
  <w:style w:type="character" w:customStyle="1" w:styleId="Heading1Char">
    <w:name w:val="Heading 1 Char"/>
    <w:basedOn w:val="DefaultParagraphFont"/>
    <w:link w:val="Heading1"/>
    <w:uiPriority w:val="9"/>
    <w:rsid w:val="007A25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25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E77A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5458F"/>
    <w:rPr>
      <w:color w:val="0563C1" w:themeColor="hyperlink"/>
      <w:u w:val="single"/>
    </w:rPr>
  </w:style>
  <w:style w:type="character" w:styleId="UnresolvedMention">
    <w:name w:val="Unresolved Mention"/>
    <w:basedOn w:val="DefaultParagraphFont"/>
    <w:uiPriority w:val="99"/>
    <w:semiHidden/>
    <w:unhideWhenUsed/>
    <w:rsid w:val="00A5458F"/>
    <w:rPr>
      <w:color w:val="605E5C"/>
      <w:shd w:val="clear" w:color="auto" w:fill="E1DFDD"/>
    </w:rPr>
  </w:style>
  <w:style w:type="character" w:styleId="HTMLCode">
    <w:name w:val="HTML Code"/>
    <w:basedOn w:val="DefaultParagraphFont"/>
    <w:uiPriority w:val="99"/>
    <w:semiHidden/>
    <w:unhideWhenUsed/>
    <w:rsid w:val="00A05EBC"/>
    <w:rPr>
      <w:rFonts w:ascii="Courier New" w:eastAsia="Times New Roman" w:hAnsi="Courier New" w:cs="Courier New"/>
      <w:sz w:val="20"/>
      <w:szCs w:val="20"/>
    </w:rPr>
  </w:style>
  <w:style w:type="paragraph" w:styleId="Header">
    <w:name w:val="header"/>
    <w:basedOn w:val="Normal"/>
    <w:link w:val="HeaderChar"/>
    <w:uiPriority w:val="99"/>
    <w:unhideWhenUsed/>
    <w:rsid w:val="00B8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D2"/>
  </w:style>
  <w:style w:type="paragraph" w:styleId="Footer">
    <w:name w:val="footer"/>
    <w:basedOn w:val="Normal"/>
    <w:link w:val="FooterChar"/>
    <w:uiPriority w:val="99"/>
    <w:unhideWhenUsed/>
    <w:rsid w:val="00B85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4001">
      <w:bodyDiv w:val="1"/>
      <w:marLeft w:val="0"/>
      <w:marRight w:val="0"/>
      <w:marTop w:val="0"/>
      <w:marBottom w:val="0"/>
      <w:divBdr>
        <w:top w:val="none" w:sz="0" w:space="0" w:color="auto"/>
        <w:left w:val="none" w:sz="0" w:space="0" w:color="auto"/>
        <w:bottom w:val="none" w:sz="0" w:space="0" w:color="auto"/>
        <w:right w:val="none" w:sz="0" w:space="0" w:color="auto"/>
      </w:divBdr>
    </w:div>
    <w:div w:id="104425867">
      <w:bodyDiv w:val="1"/>
      <w:marLeft w:val="0"/>
      <w:marRight w:val="0"/>
      <w:marTop w:val="0"/>
      <w:marBottom w:val="0"/>
      <w:divBdr>
        <w:top w:val="none" w:sz="0" w:space="0" w:color="auto"/>
        <w:left w:val="none" w:sz="0" w:space="0" w:color="auto"/>
        <w:bottom w:val="none" w:sz="0" w:space="0" w:color="auto"/>
        <w:right w:val="none" w:sz="0" w:space="0" w:color="auto"/>
      </w:divBdr>
    </w:div>
    <w:div w:id="338775162">
      <w:bodyDiv w:val="1"/>
      <w:marLeft w:val="0"/>
      <w:marRight w:val="0"/>
      <w:marTop w:val="0"/>
      <w:marBottom w:val="0"/>
      <w:divBdr>
        <w:top w:val="none" w:sz="0" w:space="0" w:color="auto"/>
        <w:left w:val="none" w:sz="0" w:space="0" w:color="auto"/>
        <w:bottom w:val="none" w:sz="0" w:space="0" w:color="auto"/>
        <w:right w:val="none" w:sz="0" w:space="0" w:color="auto"/>
      </w:divBdr>
    </w:div>
    <w:div w:id="594287217">
      <w:bodyDiv w:val="1"/>
      <w:marLeft w:val="0"/>
      <w:marRight w:val="0"/>
      <w:marTop w:val="0"/>
      <w:marBottom w:val="0"/>
      <w:divBdr>
        <w:top w:val="none" w:sz="0" w:space="0" w:color="auto"/>
        <w:left w:val="none" w:sz="0" w:space="0" w:color="auto"/>
        <w:bottom w:val="none" w:sz="0" w:space="0" w:color="auto"/>
        <w:right w:val="none" w:sz="0" w:space="0" w:color="auto"/>
      </w:divBdr>
      <w:divsChild>
        <w:div w:id="1136920754">
          <w:blockQuote w:val="1"/>
          <w:marLeft w:val="0"/>
          <w:marRight w:val="0"/>
          <w:marTop w:val="240"/>
          <w:marBottom w:val="0"/>
          <w:divBdr>
            <w:top w:val="none" w:sz="0" w:space="0" w:color="auto"/>
            <w:left w:val="single" w:sz="12" w:space="11" w:color="ADB2B8"/>
            <w:bottom w:val="none" w:sz="0" w:space="0" w:color="auto"/>
            <w:right w:val="none" w:sz="0" w:space="0" w:color="auto"/>
          </w:divBdr>
        </w:div>
        <w:div w:id="563490120">
          <w:blockQuote w:val="1"/>
          <w:marLeft w:val="0"/>
          <w:marRight w:val="0"/>
          <w:marTop w:val="240"/>
          <w:marBottom w:val="0"/>
          <w:divBdr>
            <w:top w:val="none" w:sz="0" w:space="0" w:color="auto"/>
            <w:left w:val="single" w:sz="12" w:space="11" w:color="ADB2B8"/>
            <w:bottom w:val="none" w:sz="0" w:space="0" w:color="auto"/>
            <w:right w:val="none" w:sz="0" w:space="0" w:color="auto"/>
          </w:divBdr>
        </w:div>
        <w:div w:id="696151939">
          <w:blockQuote w:val="1"/>
          <w:marLeft w:val="0"/>
          <w:marRight w:val="0"/>
          <w:marTop w:val="240"/>
          <w:marBottom w:val="0"/>
          <w:divBdr>
            <w:top w:val="none" w:sz="0" w:space="0" w:color="auto"/>
            <w:left w:val="single" w:sz="12" w:space="11" w:color="ADB2B8"/>
            <w:bottom w:val="none" w:sz="0" w:space="0" w:color="auto"/>
            <w:right w:val="none" w:sz="0" w:space="0" w:color="auto"/>
          </w:divBdr>
        </w:div>
        <w:div w:id="79340924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98295366">
      <w:bodyDiv w:val="1"/>
      <w:marLeft w:val="0"/>
      <w:marRight w:val="0"/>
      <w:marTop w:val="0"/>
      <w:marBottom w:val="0"/>
      <w:divBdr>
        <w:top w:val="none" w:sz="0" w:space="0" w:color="auto"/>
        <w:left w:val="none" w:sz="0" w:space="0" w:color="auto"/>
        <w:bottom w:val="none" w:sz="0" w:space="0" w:color="auto"/>
        <w:right w:val="none" w:sz="0" w:space="0" w:color="auto"/>
      </w:divBdr>
    </w:div>
    <w:div w:id="736124689">
      <w:bodyDiv w:val="1"/>
      <w:marLeft w:val="0"/>
      <w:marRight w:val="0"/>
      <w:marTop w:val="0"/>
      <w:marBottom w:val="0"/>
      <w:divBdr>
        <w:top w:val="none" w:sz="0" w:space="0" w:color="auto"/>
        <w:left w:val="none" w:sz="0" w:space="0" w:color="auto"/>
        <w:bottom w:val="none" w:sz="0" w:space="0" w:color="auto"/>
        <w:right w:val="none" w:sz="0" w:space="0" w:color="auto"/>
      </w:divBdr>
    </w:div>
    <w:div w:id="760757289">
      <w:bodyDiv w:val="1"/>
      <w:marLeft w:val="0"/>
      <w:marRight w:val="0"/>
      <w:marTop w:val="0"/>
      <w:marBottom w:val="0"/>
      <w:divBdr>
        <w:top w:val="none" w:sz="0" w:space="0" w:color="auto"/>
        <w:left w:val="none" w:sz="0" w:space="0" w:color="auto"/>
        <w:bottom w:val="none" w:sz="0" w:space="0" w:color="auto"/>
        <w:right w:val="none" w:sz="0" w:space="0" w:color="auto"/>
      </w:divBdr>
    </w:div>
    <w:div w:id="1046107116">
      <w:bodyDiv w:val="1"/>
      <w:marLeft w:val="0"/>
      <w:marRight w:val="0"/>
      <w:marTop w:val="0"/>
      <w:marBottom w:val="0"/>
      <w:divBdr>
        <w:top w:val="none" w:sz="0" w:space="0" w:color="auto"/>
        <w:left w:val="none" w:sz="0" w:space="0" w:color="auto"/>
        <w:bottom w:val="none" w:sz="0" w:space="0" w:color="auto"/>
        <w:right w:val="none" w:sz="0" w:space="0" w:color="auto"/>
      </w:divBdr>
    </w:div>
    <w:div w:id="1196313108">
      <w:bodyDiv w:val="1"/>
      <w:marLeft w:val="0"/>
      <w:marRight w:val="0"/>
      <w:marTop w:val="0"/>
      <w:marBottom w:val="0"/>
      <w:divBdr>
        <w:top w:val="none" w:sz="0" w:space="0" w:color="auto"/>
        <w:left w:val="none" w:sz="0" w:space="0" w:color="auto"/>
        <w:bottom w:val="none" w:sz="0" w:space="0" w:color="auto"/>
        <w:right w:val="none" w:sz="0" w:space="0" w:color="auto"/>
      </w:divBdr>
    </w:div>
    <w:div w:id="1237740791">
      <w:bodyDiv w:val="1"/>
      <w:marLeft w:val="0"/>
      <w:marRight w:val="0"/>
      <w:marTop w:val="0"/>
      <w:marBottom w:val="0"/>
      <w:divBdr>
        <w:top w:val="none" w:sz="0" w:space="0" w:color="auto"/>
        <w:left w:val="none" w:sz="0" w:space="0" w:color="auto"/>
        <w:bottom w:val="none" w:sz="0" w:space="0" w:color="auto"/>
        <w:right w:val="none" w:sz="0" w:space="0" w:color="auto"/>
      </w:divBdr>
      <w:divsChild>
        <w:div w:id="2059427388">
          <w:marLeft w:val="0"/>
          <w:marRight w:val="0"/>
          <w:marTop w:val="0"/>
          <w:marBottom w:val="0"/>
          <w:divBdr>
            <w:top w:val="none" w:sz="0" w:space="0" w:color="auto"/>
            <w:left w:val="none" w:sz="0" w:space="0" w:color="auto"/>
            <w:bottom w:val="none" w:sz="0" w:space="0" w:color="auto"/>
            <w:right w:val="none" w:sz="0" w:space="0" w:color="auto"/>
          </w:divBdr>
        </w:div>
        <w:div w:id="1491096694">
          <w:marLeft w:val="0"/>
          <w:marRight w:val="0"/>
          <w:marTop w:val="0"/>
          <w:marBottom w:val="0"/>
          <w:divBdr>
            <w:top w:val="none" w:sz="0" w:space="0" w:color="auto"/>
            <w:left w:val="none" w:sz="0" w:space="0" w:color="auto"/>
            <w:bottom w:val="none" w:sz="0" w:space="0" w:color="auto"/>
            <w:right w:val="none" w:sz="0" w:space="0" w:color="auto"/>
          </w:divBdr>
        </w:div>
      </w:divsChild>
    </w:div>
    <w:div w:id="1377585593">
      <w:bodyDiv w:val="1"/>
      <w:marLeft w:val="0"/>
      <w:marRight w:val="0"/>
      <w:marTop w:val="0"/>
      <w:marBottom w:val="0"/>
      <w:divBdr>
        <w:top w:val="none" w:sz="0" w:space="0" w:color="auto"/>
        <w:left w:val="none" w:sz="0" w:space="0" w:color="auto"/>
        <w:bottom w:val="none" w:sz="0" w:space="0" w:color="auto"/>
        <w:right w:val="none" w:sz="0" w:space="0" w:color="auto"/>
      </w:divBdr>
    </w:div>
    <w:div w:id="1439254513">
      <w:bodyDiv w:val="1"/>
      <w:marLeft w:val="0"/>
      <w:marRight w:val="0"/>
      <w:marTop w:val="0"/>
      <w:marBottom w:val="0"/>
      <w:divBdr>
        <w:top w:val="none" w:sz="0" w:space="0" w:color="auto"/>
        <w:left w:val="none" w:sz="0" w:space="0" w:color="auto"/>
        <w:bottom w:val="none" w:sz="0" w:space="0" w:color="auto"/>
        <w:right w:val="none" w:sz="0" w:space="0" w:color="auto"/>
      </w:divBdr>
      <w:divsChild>
        <w:div w:id="2066757155">
          <w:marLeft w:val="0"/>
          <w:marRight w:val="0"/>
          <w:marTop w:val="0"/>
          <w:marBottom w:val="0"/>
          <w:divBdr>
            <w:top w:val="none" w:sz="0" w:space="0" w:color="auto"/>
            <w:left w:val="none" w:sz="0" w:space="0" w:color="auto"/>
            <w:bottom w:val="none" w:sz="0" w:space="0" w:color="auto"/>
            <w:right w:val="none" w:sz="0" w:space="0" w:color="auto"/>
          </w:divBdr>
          <w:divsChild>
            <w:div w:id="11373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1412">
      <w:bodyDiv w:val="1"/>
      <w:marLeft w:val="0"/>
      <w:marRight w:val="0"/>
      <w:marTop w:val="0"/>
      <w:marBottom w:val="0"/>
      <w:divBdr>
        <w:top w:val="none" w:sz="0" w:space="0" w:color="auto"/>
        <w:left w:val="none" w:sz="0" w:space="0" w:color="auto"/>
        <w:bottom w:val="none" w:sz="0" w:space="0" w:color="auto"/>
        <w:right w:val="none" w:sz="0" w:space="0" w:color="auto"/>
      </w:divBdr>
    </w:div>
    <w:div w:id="1517383336">
      <w:bodyDiv w:val="1"/>
      <w:marLeft w:val="0"/>
      <w:marRight w:val="0"/>
      <w:marTop w:val="0"/>
      <w:marBottom w:val="0"/>
      <w:divBdr>
        <w:top w:val="none" w:sz="0" w:space="0" w:color="auto"/>
        <w:left w:val="none" w:sz="0" w:space="0" w:color="auto"/>
        <w:bottom w:val="none" w:sz="0" w:space="0" w:color="auto"/>
        <w:right w:val="none" w:sz="0" w:space="0" w:color="auto"/>
      </w:divBdr>
    </w:div>
    <w:div w:id="1609700678">
      <w:bodyDiv w:val="1"/>
      <w:marLeft w:val="0"/>
      <w:marRight w:val="0"/>
      <w:marTop w:val="0"/>
      <w:marBottom w:val="0"/>
      <w:divBdr>
        <w:top w:val="none" w:sz="0" w:space="0" w:color="auto"/>
        <w:left w:val="none" w:sz="0" w:space="0" w:color="auto"/>
        <w:bottom w:val="none" w:sz="0" w:space="0" w:color="auto"/>
        <w:right w:val="none" w:sz="0" w:space="0" w:color="auto"/>
      </w:divBdr>
      <w:divsChild>
        <w:div w:id="1902397894">
          <w:marLeft w:val="0"/>
          <w:marRight w:val="0"/>
          <w:marTop w:val="0"/>
          <w:marBottom w:val="0"/>
          <w:divBdr>
            <w:top w:val="none" w:sz="0" w:space="0" w:color="auto"/>
            <w:left w:val="none" w:sz="0" w:space="0" w:color="auto"/>
            <w:bottom w:val="none" w:sz="0" w:space="0" w:color="auto"/>
            <w:right w:val="none" w:sz="0" w:space="0" w:color="auto"/>
          </w:divBdr>
          <w:divsChild>
            <w:div w:id="13923232">
              <w:marLeft w:val="0"/>
              <w:marRight w:val="0"/>
              <w:marTop w:val="0"/>
              <w:marBottom w:val="0"/>
              <w:divBdr>
                <w:top w:val="none" w:sz="0" w:space="0" w:color="auto"/>
                <w:left w:val="none" w:sz="0" w:space="0" w:color="auto"/>
                <w:bottom w:val="none" w:sz="0" w:space="0" w:color="auto"/>
                <w:right w:val="none" w:sz="0" w:space="0" w:color="auto"/>
              </w:divBdr>
              <w:divsChild>
                <w:div w:id="308749262">
                  <w:marLeft w:val="0"/>
                  <w:marRight w:val="0"/>
                  <w:marTop w:val="0"/>
                  <w:marBottom w:val="0"/>
                  <w:divBdr>
                    <w:top w:val="none" w:sz="0" w:space="0" w:color="auto"/>
                    <w:left w:val="none" w:sz="0" w:space="0" w:color="auto"/>
                    <w:bottom w:val="none" w:sz="0" w:space="0" w:color="auto"/>
                    <w:right w:val="none" w:sz="0" w:space="0" w:color="auto"/>
                  </w:divBdr>
                </w:div>
                <w:div w:id="1075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9850">
      <w:bodyDiv w:val="1"/>
      <w:marLeft w:val="0"/>
      <w:marRight w:val="0"/>
      <w:marTop w:val="0"/>
      <w:marBottom w:val="0"/>
      <w:divBdr>
        <w:top w:val="none" w:sz="0" w:space="0" w:color="auto"/>
        <w:left w:val="none" w:sz="0" w:space="0" w:color="auto"/>
        <w:bottom w:val="none" w:sz="0" w:space="0" w:color="auto"/>
        <w:right w:val="none" w:sz="0" w:space="0" w:color="auto"/>
      </w:divBdr>
    </w:div>
    <w:div w:id="176202624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15">
          <w:marLeft w:val="0"/>
          <w:marRight w:val="0"/>
          <w:marTop w:val="0"/>
          <w:marBottom w:val="0"/>
          <w:divBdr>
            <w:top w:val="none" w:sz="0" w:space="0" w:color="auto"/>
            <w:left w:val="none" w:sz="0" w:space="0" w:color="auto"/>
            <w:bottom w:val="none" w:sz="0" w:space="0" w:color="auto"/>
            <w:right w:val="none" w:sz="0" w:space="0" w:color="auto"/>
          </w:divBdr>
          <w:divsChild>
            <w:div w:id="1300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1448">
      <w:bodyDiv w:val="1"/>
      <w:marLeft w:val="0"/>
      <w:marRight w:val="0"/>
      <w:marTop w:val="0"/>
      <w:marBottom w:val="0"/>
      <w:divBdr>
        <w:top w:val="none" w:sz="0" w:space="0" w:color="auto"/>
        <w:left w:val="none" w:sz="0" w:space="0" w:color="auto"/>
        <w:bottom w:val="none" w:sz="0" w:space="0" w:color="auto"/>
        <w:right w:val="none" w:sz="0" w:space="0" w:color="auto"/>
      </w:divBdr>
    </w:div>
    <w:div w:id="2115707726">
      <w:bodyDiv w:val="1"/>
      <w:marLeft w:val="0"/>
      <w:marRight w:val="0"/>
      <w:marTop w:val="0"/>
      <w:marBottom w:val="0"/>
      <w:divBdr>
        <w:top w:val="none" w:sz="0" w:space="0" w:color="auto"/>
        <w:left w:val="none" w:sz="0" w:space="0" w:color="auto"/>
        <w:bottom w:val="none" w:sz="0" w:space="0" w:color="auto"/>
        <w:right w:val="none" w:sz="0" w:space="0" w:color="auto"/>
      </w:divBdr>
      <w:divsChild>
        <w:div w:id="1054624889">
          <w:marLeft w:val="0"/>
          <w:marRight w:val="0"/>
          <w:marTop w:val="0"/>
          <w:marBottom w:val="0"/>
          <w:divBdr>
            <w:top w:val="none" w:sz="0" w:space="0" w:color="auto"/>
            <w:left w:val="none" w:sz="0" w:space="0" w:color="auto"/>
            <w:bottom w:val="none" w:sz="0" w:space="0" w:color="auto"/>
            <w:right w:val="none" w:sz="0" w:space="0" w:color="auto"/>
          </w:divBdr>
        </w:div>
        <w:div w:id="1631790166">
          <w:marLeft w:val="0"/>
          <w:marRight w:val="0"/>
          <w:marTop w:val="0"/>
          <w:marBottom w:val="0"/>
          <w:divBdr>
            <w:top w:val="none" w:sz="0" w:space="0" w:color="auto"/>
            <w:left w:val="none" w:sz="0" w:space="0" w:color="auto"/>
            <w:bottom w:val="none" w:sz="0" w:space="0" w:color="auto"/>
            <w:right w:val="none" w:sz="0" w:space="0" w:color="auto"/>
          </w:divBdr>
        </w:div>
        <w:div w:id="463159005">
          <w:marLeft w:val="0"/>
          <w:marRight w:val="0"/>
          <w:marTop w:val="0"/>
          <w:marBottom w:val="0"/>
          <w:divBdr>
            <w:top w:val="none" w:sz="0" w:space="0" w:color="auto"/>
            <w:left w:val="none" w:sz="0" w:space="0" w:color="auto"/>
            <w:bottom w:val="none" w:sz="0" w:space="0" w:color="auto"/>
            <w:right w:val="none" w:sz="0" w:space="0" w:color="auto"/>
          </w:divBdr>
        </w:div>
        <w:div w:id="1077095794">
          <w:marLeft w:val="0"/>
          <w:marRight w:val="0"/>
          <w:marTop w:val="0"/>
          <w:marBottom w:val="0"/>
          <w:divBdr>
            <w:top w:val="none" w:sz="0" w:space="0" w:color="auto"/>
            <w:left w:val="none" w:sz="0" w:space="0" w:color="auto"/>
            <w:bottom w:val="none" w:sz="0" w:space="0" w:color="auto"/>
            <w:right w:val="none" w:sz="0" w:space="0" w:color="auto"/>
          </w:divBdr>
        </w:div>
        <w:div w:id="306325728">
          <w:marLeft w:val="0"/>
          <w:marRight w:val="0"/>
          <w:marTop w:val="0"/>
          <w:marBottom w:val="0"/>
          <w:divBdr>
            <w:top w:val="none" w:sz="0" w:space="0" w:color="auto"/>
            <w:left w:val="none" w:sz="0" w:space="0" w:color="auto"/>
            <w:bottom w:val="none" w:sz="0" w:space="0" w:color="auto"/>
            <w:right w:val="none" w:sz="0" w:space="0" w:color="auto"/>
          </w:divBdr>
        </w:div>
        <w:div w:id="776292537">
          <w:marLeft w:val="0"/>
          <w:marRight w:val="0"/>
          <w:marTop w:val="0"/>
          <w:marBottom w:val="0"/>
          <w:divBdr>
            <w:top w:val="none" w:sz="0" w:space="0" w:color="auto"/>
            <w:left w:val="none" w:sz="0" w:space="0" w:color="auto"/>
            <w:bottom w:val="none" w:sz="0" w:space="0" w:color="auto"/>
            <w:right w:val="none" w:sz="0" w:space="0" w:color="auto"/>
          </w:divBdr>
        </w:div>
        <w:div w:id="2045713831">
          <w:marLeft w:val="0"/>
          <w:marRight w:val="0"/>
          <w:marTop w:val="0"/>
          <w:marBottom w:val="0"/>
          <w:divBdr>
            <w:top w:val="none" w:sz="0" w:space="0" w:color="auto"/>
            <w:left w:val="none" w:sz="0" w:space="0" w:color="auto"/>
            <w:bottom w:val="none" w:sz="0" w:space="0" w:color="auto"/>
            <w:right w:val="none" w:sz="0" w:space="0" w:color="auto"/>
          </w:divBdr>
        </w:div>
        <w:div w:id="858663942">
          <w:marLeft w:val="0"/>
          <w:marRight w:val="0"/>
          <w:marTop w:val="0"/>
          <w:marBottom w:val="0"/>
          <w:divBdr>
            <w:top w:val="none" w:sz="0" w:space="0" w:color="auto"/>
            <w:left w:val="none" w:sz="0" w:space="0" w:color="auto"/>
            <w:bottom w:val="none" w:sz="0" w:space="0" w:color="auto"/>
            <w:right w:val="none" w:sz="0" w:space="0" w:color="auto"/>
          </w:divBdr>
        </w:div>
        <w:div w:id="1734541442">
          <w:marLeft w:val="0"/>
          <w:marRight w:val="0"/>
          <w:marTop w:val="0"/>
          <w:marBottom w:val="0"/>
          <w:divBdr>
            <w:top w:val="none" w:sz="0" w:space="0" w:color="auto"/>
            <w:left w:val="none" w:sz="0" w:space="0" w:color="auto"/>
            <w:bottom w:val="none" w:sz="0" w:space="0" w:color="auto"/>
            <w:right w:val="none" w:sz="0" w:space="0" w:color="auto"/>
          </w:divBdr>
        </w:div>
        <w:div w:id="43529280">
          <w:marLeft w:val="0"/>
          <w:marRight w:val="0"/>
          <w:marTop w:val="0"/>
          <w:marBottom w:val="0"/>
          <w:divBdr>
            <w:top w:val="none" w:sz="0" w:space="0" w:color="auto"/>
            <w:left w:val="none" w:sz="0" w:space="0" w:color="auto"/>
            <w:bottom w:val="none" w:sz="0" w:space="0" w:color="auto"/>
            <w:right w:val="none" w:sz="0" w:space="0" w:color="auto"/>
          </w:divBdr>
        </w:div>
        <w:div w:id="582908680">
          <w:marLeft w:val="0"/>
          <w:marRight w:val="0"/>
          <w:marTop w:val="0"/>
          <w:marBottom w:val="0"/>
          <w:divBdr>
            <w:top w:val="none" w:sz="0" w:space="0" w:color="auto"/>
            <w:left w:val="none" w:sz="0" w:space="0" w:color="auto"/>
            <w:bottom w:val="none" w:sz="0" w:space="0" w:color="auto"/>
            <w:right w:val="none" w:sz="0" w:space="0" w:color="auto"/>
          </w:divBdr>
        </w:div>
        <w:div w:id="82456825">
          <w:marLeft w:val="0"/>
          <w:marRight w:val="0"/>
          <w:marTop w:val="0"/>
          <w:marBottom w:val="0"/>
          <w:divBdr>
            <w:top w:val="none" w:sz="0" w:space="0" w:color="auto"/>
            <w:left w:val="none" w:sz="0" w:space="0" w:color="auto"/>
            <w:bottom w:val="none" w:sz="0" w:space="0" w:color="auto"/>
            <w:right w:val="none" w:sz="0" w:space="0" w:color="auto"/>
          </w:divBdr>
        </w:div>
        <w:div w:id="1333803435">
          <w:marLeft w:val="0"/>
          <w:marRight w:val="0"/>
          <w:marTop w:val="0"/>
          <w:marBottom w:val="0"/>
          <w:divBdr>
            <w:top w:val="none" w:sz="0" w:space="0" w:color="auto"/>
            <w:left w:val="none" w:sz="0" w:space="0" w:color="auto"/>
            <w:bottom w:val="none" w:sz="0" w:space="0" w:color="auto"/>
            <w:right w:val="none" w:sz="0" w:space="0" w:color="auto"/>
          </w:divBdr>
        </w:div>
        <w:div w:id="2009164882">
          <w:marLeft w:val="0"/>
          <w:marRight w:val="0"/>
          <w:marTop w:val="0"/>
          <w:marBottom w:val="0"/>
          <w:divBdr>
            <w:top w:val="none" w:sz="0" w:space="0" w:color="auto"/>
            <w:left w:val="none" w:sz="0" w:space="0" w:color="auto"/>
            <w:bottom w:val="none" w:sz="0" w:space="0" w:color="auto"/>
            <w:right w:val="none" w:sz="0" w:space="0" w:color="auto"/>
          </w:divBdr>
        </w:div>
        <w:div w:id="508712390">
          <w:marLeft w:val="0"/>
          <w:marRight w:val="0"/>
          <w:marTop w:val="0"/>
          <w:marBottom w:val="0"/>
          <w:divBdr>
            <w:top w:val="none" w:sz="0" w:space="0" w:color="auto"/>
            <w:left w:val="none" w:sz="0" w:space="0" w:color="auto"/>
            <w:bottom w:val="none" w:sz="0" w:space="0" w:color="auto"/>
            <w:right w:val="none" w:sz="0" w:space="0" w:color="auto"/>
          </w:divBdr>
        </w:div>
        <w:div w:id="920531640">
          <w:marLeft w:val="0"/>
          <w:marRight w:val="0"/>
          <w:marTop w:val="0"/>
          <w:marBottom w:val="0"/>
          <w:divBdr>
            <w:top w:val="none" w:sz="0" w:space="0" w:color="auto"/>
            <w:left w:val="none" w:sz="0" w:space="0" w:color="auto"/>
            <w:bottom w:val="none" w:sz="0" w:space="0" w:color="auto"/>
            <w:right w:val="none" w:sz="0" w:space="0" w:color="auto"/>
          </w:divBdr>
        </w:div>
        <w:div w:id="1207134490">
          <w:marLeft w:val="0"/>
          <w:marRight w:val="0"/>
          <w:marTop w:val="0"/>
          <w:marBottom w:val="0"/>
          <w:divBdr>
            <w:top w:val="none" w:sz="0" w:space="0" w:color="auto"/>
            <w:left w:val="none" w:sz="0" w:space="0" w:color="auto"/>
            <w:bottom w:val="none" w:sz="0" w:space="0" w:color="auto"/>
            <w:right w:val="none" w:sz="0" w:space="0" w:color="auto"/>
          </w:divBdr>
        </w:div>
        <w:div w:id="555818758">
          <w:marLeft w:val="0"/>
          <w:marRight w:val="0"/>
          <w:marTop w:val="0"/>
          <w:marBottom w:val="0"/>
          <w:divBdr>
            <w:top w:val="none" w:sz="0" w:space="0" w:color="auto"/>
            <w:left w:val="none" w:sz="0" w:space="0" w:color="auto"/>
            <w:bottom w:val="none" w:sz="0" w:space="0" w:color="auto"/>
            <w:right w:val="none" w:sz="0" w:space="0" w:color="auto"/>
          </w:divBdr>
        </w:div>
        <w:div w:id="1116682333">
          <w:marLeft w:val="0"/>
          <w:marRight w:val="0"/>
          <w:marTop w:val="0"/>
          <w:marBottom w:val="0"/>
          <w:divBdr>
            <w:top w:val="none" w:sz="0" w:space="0" w:color="auto"/>
            <w:left w:val="none" w:sz="0" w:space="0" w:color="auto"/>
            <w:bottom w:val="none" w:sz="0" w:space="0" w:color="auto"/>
            <w:right w:val="none" w:sz="0" w:space="0" w:color="auto"/>
          </w:divBdr>
        </w:div>
        <w:div w:id="1859544564">
          <w:marLeft w:val="0"/>
          <w:marRight w:val="0"/>
          <w:marTop w:val="0"/>
          <w:marBottom w:val="0"/>
          <w:divBdr>
            <w:top w:val="none" w:sz="0" w:space="0" w:color="auto"/>
            <w:left w:val="none" w:sz="0" w:space="0" w:color="auto"/>
            <w:bottom w:val="none" w:sz="0" w:space="0" w:color="auto"/>
            <w:right w:val="none" w:sz="0" w:space="0" w:color="auto"/>
          </w:divBdr>
        </w:div>
        <w:div w:id="1850213090">
          <w:marLeft w:val="0"/>
          <w:marRight w:val="0"/>
          <w:marTop w:val="0"/>
          <w:marBottom w:val="0"/>
          <w:divBdr>
            <w:top w:val="none" w:sz="0" w:space="0" w:color="auto"/>
            <w:left w:val="none" w:sz="0" w:space="0" w:color="auto"/>
            <w:bottom w:val="none" w:sz="0" w:space="0" w:color="auto"/>
            <w:right w:val="none" w:sz="0" w:space="0" w:color="auto"/>
          </w:divBdr>
        </w:div>
        <w:div w:id="485516960">
          <w:marLeft w:val="0"/>
          <w:marRight w:val="0"/>
          <w:marTop w:val="0"/>
          <w:marBottom w:val="0"/>
          <w:divBdr>
            <w:top w:val="none" w:sz="0" w:space="0" w:color="auto"/>
            <w:left w:val="none" w:sz="0" w:space="0" w:color="auto"/>
            <w:bottom w:val="none" w:sz="0" w:space="0" w:color="auto"/>
            <w:right w:val="none" w:sz="0" w:space="0" w:color="auto"/>
          </w:divBdr>
        </w:div>
        <w:div w:id="610207421">
          <w:marLeft w:val="0"/>
          <w:marRight w:val="0"/>
          <w:marTop w:val="0"/>
          <w:marBottom w:val="0"/>
          <w:divBdr>
            <w:top w:val="none" w:sz="0" w:space="0" w:color="auto"/>
            <w:left w:val="none" w:sz="0" w:space="0" w:color="auto"/>
            <w:bottom w:val="none" w:sz="0" w:space="0" w:color="auto"/>
            <w:right w:val="none" w:sz="0" w:space="0" w:color="auto"/>
          </w:divBdr>
        </w:div>
        <w:div w:id="2040007913">
          <w:marLeft w:val="0"/>
          <w:marRight w:val="0"/>
          <w:marTop w:val="0"/>
          <w:marBottom w:val="0"/>
          <w:divBdr>
            <w:top w:val="none" w:sz="0" w:space="0" w:color="auto"/>
            <w:left w:val="none" w:sz="0" w:space="0" w:color="auto"/>
            <w:bottom w:val="none" w:sz="0" w:space="0" w:color="auto"/>
            <w:right w:val="none" w:sz="0" w:space="0" w:color="auto"/>
          </w:divBdr>
        </w:div>
        <w:div w:id="1425111243">
          <w:marLeft w:val="0"/>
          <w:marRight w:val="0"/>
          <w:marTop w:val="0"/>
          <w:marBottom w:val="0"/>
          <w:divBdr>
            <w:top w:val="none" w:sz="0" w:space="0" w:color="auto"/>
            <w:left w:val="none" w:sz="0" w:space="0" w:color="auto"/>
            <w:bottom w:val="none" w:sz="0" w:space="0" w:color="auto"/>
            <w:right w:val="none" w:sz="0" w:space="0" w:color="auto"/>
          </w:divBdr>
        </w:div>
        <w:div w:id="857426223">
          <w:marLeft w:val="0"/>
          <w:marRight w:val="0"/>
          <w:marTop w:val="0"/>
          <w:marBottom w:val="0"/>
          <w:divBdr>
            <w:top w:val="none" w:sz="0" w:space="0" w:color="auto"/>
            <w:left w:val="none" w:sz="0" w:space="0" w:color="auto"/>
            <w:bottom w:val="none" w:sz="0" w:space="0" w:color="auto"/>
            <w:right w:val="none" w:sz="0" w:space="0" w:color="auto"/>
          </w:divBdr>
        </w:div>
        <w:div w:id="681128639">
          <w:marLeft w:val="0"/>
          <w:marRight w:val="0"/>
          <w:marTop w:val="0"/>
          <w:marBottom w:val="0"/>
          <w:divBdr>
            <w:top w:val="none" w:sz="0" w:space="0" w:color="auto"/>
            <w:left w:val="none" w:sz="0" w:space="0" w:color="auto"/>
            <w:bottom w:val="none" w:sz="0" w:space="0" w:color="auto"/>
            <w:right w:val="none" w:sz="0" w:space="0" w:color="auto"/>
          </w:divBdr>
        </w:div>
        <w:div w:id="1634864956">
          <w:marLeft w:val="0"/>
          <w:marRight w:val="0"/>
          <w:marTop w:val="0"/>
          <w:marBottom w:val="0"/>
          <w:divBdr>
            <w:top w:val="none" w:sz="0" w:space="0" w:color="auto"/>
            <w:left w:val="none" w:sz="0" w:space="0" w:color="auto"/>
            <w:bottom w:val="none" w:sz="0" w:space="0" w:color="auto"/>
            <w:right w:val="none" w:sz="0" w:space="0" w:color="auto"/>
          </w:divBdr>
        </w:div>
        <w:div w:id="250891018">
          <w:marLeft w:val="0"/>
          <w:marRight w:val="0"/>
          <w:marTop w:val="0"/>
          <w:marBottom w:val="0"/>
          <w:divBdr>
            <w:top w:val="none" w:sz="0" w:space="0" w:color="auto"/>
            <w:left w:val="none" w:sz="0" w:space="0" w:color="auto"/>
            <w:bottom w:val="none" w:sz="0" w:space="0" w:color="auto"/>
            <w:right w:val="none" w:sz="0" w:space="0" w:color="auto"/>
          </w:divBdr>
        </w:div>
        <w:div w:id="1280062442">
          <w:marLeft w:val="0"/>
          <w:marRight w:val="0"/>
          <w:marTop w:val="0"/>
          <w:marBottom w:val="0"/>
          <w:divBdr>
            <w:top w:val="none" w:sz="0" w:space="0" w:color="auto"/>
            <w:left w:val="none" w:sz="0" w:space="0" w:color="auto"/>
            <w:bottom w:val="none" w:sz="0" w:space="0" w:color="auto"/>
            <w:right w:val="none" w:sz="0" w:space="0" w:color="auto"/>
          </w:divBdr>
        </w:div>
        <w:div w:id="752122889">
          <w:marLeft w:val="0"/>
          <w:marRight w:val="0"/>
          <w:marTop w:val="0"/>
          <w:marBottom w:val="0"/>
          <w:divBdr>
            <w:top w:val="none" w:sz="0" w:space="0" w:color="auto"/>
            <w:left w:val="none" w:sz="0" w:space="0" w:color="auto"/>
            <w:bottom w:val="none" w:sz="0" w:space="0" w:color="auto"/>
            <w:right w:val="none" w:sz="0" w:space="0" w:color="auto"/>
          </w:divBdr>
        </w:div>
        <w:div w:id="174004926">
          <w:marLeft w:val="0"/>
          <w:marRight w:val="0"/>
          <w:marTop w:val="0"/>
          <w:marBottom w:val="0"/>
          <w:divBdr>
            <w:top w:val="none" w:sz="0" w:space="0" w:color="auto"/>
            <w:left w:val="none" w:sz="0" w:space="0" w:color="auto"/>
            <w:bottom w:val="none" w:sz="0" w:space="0" w:color="auto"/>
            <w:right w:val="none" w:sz="0" w:space="0" w:color="auto"/>
          </w:divBdr>
        </w:div>
        <w:div w:id="107748960">
          <w:marLeft w:val="0"/>
          <w:marRight w:val="0"/>
          <w:marTop w:val="0"/>
          <w:marBottom w:val="0"/>
          <w:divBdr>
            <w:top w:val="none" w:sz="0" w:space="0" w:color="auto"/>
            <w:left w:val="none" w:sz="0" w:space="0" w:color="auto"/>
            <w:bottom w:val="none" w:sz="0" w:space="0" w:color="auto"/>
            <w:right w:val="none" w:sz="0" w:space="0" w:color="auto"/>
          </w:divBdr>
        </w:div>
        <w:div w:id="1618874396">
          <w:marLeft w:val="0"/>
          <w:marRight w:val="0"/>
          <w:marTop w:val="0"/>
          <w:marBottom w:val="0"/>
          <w:divBdr>
            <w:top w:val="none" w:sz="0" w:space="0" w:color="auto"/>
            <w:left w:val="none" w:sz="0" w:space="0" w:color="auto"/>
            <w:bottom w:val="none" w:sz="0" w:space="0" w:color="auto"/>
            <w:right w:val="none" w:sz="0" w:space="0" w:color="auto"/>
          </w:divBdr>
        </w:div>
        <w:div w:id="381101241">
          <w:marLeft w:val="0"/>
          <w:marRight w:val="0"/>
          <w:marTop w:val="0"/>
          <w:marBottom w:val="0"/>
          <w:divBdr>
            <w:top w:val="none" w:sz="0" w:space="0" w:color="auto"/>
            <w:left w:val="none" w:sz="0" w:space="0" w:color="auto"/>
            <w:bottom w:val="none" w:sz="0" w:space="0" w:color="auto"/>
            <w:right w:val="none" w:sz="0" w:space="0" w:color="auto"/>
          </w:divBdr>
        </w:div>
        <w:div w:id="1647929468">
          <w:marLeft w:val="0"/>
          <w:marRight w:val="0"/>
          <w:marTop w:val="0"/>
          <w:marBottom w:val="0"/>
          <w:divBdr>
            <w:top w:val="none" w:sz="0" w:space="0" w:color="auto"/>
            <w:left w:val="none" w:sz="0" w:space="0" w:color="auto"/>
            <w:bottom w:val="none" w:sz="0" w:space="0" w:color="auto"/>
            <w:right w:val="none" w:sz="0" w:space="0" w:color="auto"/>
          </w:divBdr>
        </w:div>
        <w:div w:id="72245113">
          <w:marLeft w:val="0"/>
          <w:marRight w:val="0"/>
          <w:marTop w:val="0"/>
          <w:marBottom w:val="0"/>
          <w:divBdr>
            <w:top w:val="none" w:sz="0" w:space="0" w:color="auto"/>
            <w:left w:val="none" w:sz="0" w:space="0" w:color="auto"/>
            <w:bottom w:val="none" w:sz="0" w:space="0" w:color="auto"/>
            <w:right w:val="none" w:sz="0" w:space="0" w:color="auto"/>
          </w:divBdr>
        </w:div>
        <w:div w:id="1111779749">
          <w:marLeft w:val="0"/>
          <w:marRight w:val="0"/>
          <w:marTop w:val="0"/>
          <w:marBottom w:val="0"/>
          <w:divBdr>
            <w:top w:val="none" w:sz="0" w:space="0" w:color="auto"/>
            <w:left w:val="none" w:sz="0" w:space="0" w:color="auto"/>
            <w:bottom w:val="none" w:sz="0" w:space="0" w:color="auto"/>
            <w:right w:val="none" w:sz="0" w:space="0" w:color="auto"/>
          </w:divBdr>
        </w:div>
        <w:div w:id="380441696">
          <w:marLeft w:val="0"/>
          <w:marRight w:val="0"/>
          <w:marTop w:val="0"/>
          <w:marBottom w:val="0"/>
          <w:divBdr>
            <w:top w:val="none" w:sz="0" w:space="0" w:color="auto"/>
            <w:left w:val="none" w:sz="0" w:space="0" w:color="auto"/>
            <w:bottom w:val="none" w:sz="0" w:space="0" w:color="auto"/>
            <w:right w:val="none" w:sz="0" w:space="0" w:color="auto"/>
          </w:divBdr>
        </w:div>
        <w:div w:id="1172259596">
          <w:marLeft w:val="0"/>
          <w:marRight w:val="0"/>
          <w:marTop w:val="0"/>
          <w:marBottom w:val="0"/>
          <w:divBdr>
            <w:top w:val="none" w:sz="0" w:space="0" w:color="auto"/>
            <w:left w:val="none" w:sz="0" w:space="0" w:color="auto"/>
            <w:bottom w:val="none" w:sz="0" w:space="0" w:color="auto"/>
            <w:right w:val="none" w:sz="0" w:space="0" w:color="auto"/>
          </w:divBdr>
        </w:div>
        <w:div w:id="1210268179">
          <w:marLeft w:val="0"/>
          <w:marRight w:val="0"/>
          <w:marTop w:val="0"/>
          <w:marBottom w:val="0"/>
          <w:divBdr>
            <w:top w:val="none" w:sz="0" w:space="0" w:color="auto"/>
            <w:left w:val="none" w:sz="0" w:space="0" w:color="auto"/>
            <w:bottom w:val="none" w:sz="0" w:space="0" w:color="auto"/>
            <w:right w:val="none" w:sz="0" w:space="0" w:color="auto"/>
          </w:divBdr>
        </w:div>
        <w:div w:id="84570789">
          <w:marLeft w:val="0"/>
          <w:marRight w:val="0"/>
          <w:marTop w:val="0"/>
          <w:marBottom w:val="0"/>
          <w:divBdr>
            <w:top w:val="none" w:sz="0" w:space="0" w:color="auto"/>
            <w:left w:val="none" w:sz="0" w:space="0" w:color="auto"/>
            <w:bottom w:val="none" w:sz="0" w:space="0" w:color="auto"/>
            <w:right w:val="none" w:sz="0" w:space="0" w:color="auto"/>
          </w:divBdr>
        </w:div>
        <w:div w:id="1027485211">
          <w:marLeft w:val="0"/>
          <w:marRight w:val="0"/>
          <w:marTop w:val="0"/>
          <w:marBottom w:val="0"/>
          <w:divBdr>
            <w:top w:val="none" w:sz="0" w:space="0" w:color="auto"/>
            <w:left w:val="none" w:sz="0" w:space="0" w:color="auto"/>
            <w:bottom w:val="none" w:sz="0" w:space="0" w:color="auto"/>
            <w:right w:val="none" w:sz="0" w:space="0" w:color="auto"/>
          </w:divBdr>
        </w:div>
        <w:div w:id="1331911928">
          <w:marLeft w:val="0"/>
          <w:marRight w:val="0"/>
          <w:marTop w:val="0"/>
          <w:marBottom w:val="0"/>
          <w:divBdr>
            <w:top w:val="none" w:sz="0" w:space="0" w:color="auto"/>
            <w:left w:val="none" w:sz="0" w:space="0" w:color="auto"/>
            <w:bottom w:val="none" w:sz="0" w:space="0" w:color="auto"/>
            <w:right w:val="none" w:sz="0" w:space="0" w:color="auto"/>
          </w:divBdr>
        </w:div>
        <w:div w:id="910308570">
          <w:marLeft w:val="0"/>
          <w:marRight w:val="0"/>
          <w:marTop w:val="0"/>
          <w:marBottom w:val="0"/>
          <w:divBdr>
            <w:top w:val="none" w:sz="0" w:space="0" w:color="auto"/>
            <w:left w:val="none" w:sz="0" w:space="0" w:color="auto"/>
            <w:bottom w:val="none" w:sz="0" w:space="0" w:color="auto"/>
            <w:right w:val="none" w:sz="0" w:space="0" w:color="auto"/>
          </w:divBdr>
        </w:div>
        <w:div w:id="765461961">
          <w:marLeft w:val="0"/>
          <w:marRight w:val="0"/>
          <w:marTop w:val="0"/>
          <w:marBottom w:val="0"/>
          <w:divBdr>
            <w:top w:val="none" w:sz="0" w:space="0" w:color="auto"/>
            <w:left w:val="none" w:sz="0" w:space="0" w:color="auto"/>
            <w:bottom w:val="none" w:sz="0" w:space="0" w:color="auto"/>
            <w:right w:val="none" w:sz="0" w:space="0" w:color="auto"/>
          </w:divBdr>
        </w:div>
        <w:div w:id="1811743846">
          <w:marLeft w:val="0"/>
          <w:marRight w:val="0"/>
          <w:marTop w:val="0"/>
          <w:marBottom w:val="0"/>
          <w:divBdr>
            <w:top w:val="none" w:sz="0" w:space="0" w:color="auto"/>
            <w:left w:val="none" w:sz="0" w:space="0" w:color="auto"/>
            <w:bottom w:val="none" w:sz="0" w:space="0" w:color="auto"/>
            <w:right w:val="none" w:sz="0" w:space="0" w:color="auto"/>
          </w:divBdr>
        </w:div>
        <w:div w:id="1010447120">
          <w:marLeft w:val="0"/>
          <w:marRight w:val="0"/>
          <w:marTop w:val="0"/>
          <w:marBottom w:val="0"/>
          <w:divBdr>
            <w:top w:val="none" w:sz="0" w:space="0" w:color="auto"/>
            <w:left w:val="none" w:sz="0" w:space="0" w:color="auto"/>
            <w:bottom w:val="none" w:sz="0" w:space="0" w:color="auto"/>
            <w:right w:val="none" w:sz="0" w:space="0" w:color="auto"/>
          </w:divBdr>
        </w:div>
        <w:div w:id="22096032">
          <w:marLeft w:val="0"/>
          <w:marRight w:val="0"/>
          <w:marTop w:val="0"/>
          <w:marBottom w:val="0"/>
          <w:divBdr>
            <w:top w:val="none" w:sz="0" w:space="0" w:color="auto"/>
            <w:left w:val="none" w:sz="0" w:space="0" w:color="auto"/>
            <w:bottom w:val="none" w:sz="0" w:space="0" w:color="auto"/>
            <w:right w:val="none" w:sz="0" w:space="0" w:color="auto"/>
          </w:divBdr>
        </w:div>
        <w:div w:id="193085133">
          <w:marLeft w:val="0"/>
          <w:marRight w:val="0"/>
          <w:marTop w:val="0"/>
          <w:marBottom w:val="0"/>
          <w:divBdr>
            <w:top w:val="none" w:sz="0" w:space="0" w:color="auto"/>
            <w:left w:val="none" w:sz="0" w:space="0" w:color="auto"/>
            <w:bottom w:val="none" w:sz="0" w:space="0" w:color="auto"/>
            <w:right w:val="none" w:sz="0" w:space="0" w:color="auto"/>
          </w:divBdr>
        </w:div>
        <w:div w:id="1480339122">
          <w:marLeft w:val="0"/>
          <w:marRight w:val="0"/>
          <w:marTop w:val="0"/>
          <w:marBottom w:val="0"/>
          <w:divBdr>
            <w:top w:val="none" w:sz="0" w:space="0" w:color="auto"/>
            <w:left w:val="none" w:sz="0" w:space="0" w:color="auto"/>
            <w:bottom w:val="none" w:sz="0" w:space="0" w:color="auto"/>
            <w:right w:val="none" w:sz="0" w:space="0" w:color="auto"/>
          </w:divBdr>
        </w:div>
        <w:div w:id="65341496">
          <w:marLeft w:val="0"/>
          <w:marRight w:val="0"/>
          <w:marTop w:val="0"/>
          <w:marBottom w:val="0"/>
          <w:divBdr>
            <w:top w:val="none" w:sz="0" w:space="0" w:color="auto"/>
            <w:left w:val="none" w:sz="0" w:space="0" w:color="auto"/>
            <w:bottom w:val="none" w:sz="0" w:space="0" w:color="auto"/>
            <w:right w:val="none" w:sz="0" w:space="0" w:color="auto"/>
          </w:divBdr>
        </w:div>
        <w:div w:id="1164707178">
          <w:marLeft w:val="0"/>
          <w:marRight w:val="0"/>
          <w:marTop w:val="0"/>
          <w:marBottom w:val="0"/>
          <w:divBdr>
            <w:top w:val="none" w:sz="0" w:space="0" w:color="auto"/>
            <w:left w:val="none" w:sz="0" w:space="0" w:color="auto"/>
            <w:bottom w:val="none" w:sz="0" w:space="0" w:color="auto"/>
            <w:right w:val="none" w:sz="0" w:space="0" w:color="auto"/>
          </w:divBdr>
        </w:div>
        <w:div w:id="1124078723">
          <w:marLeft w:val="0"/>
          <w:marRight w:val="0"/>
          <w:marTop w:val="0"/>
          <w:marBottom w:val="0"/>
          <w:divBdr>
            <w:top w:val="none" w:sz="0" w:space="0" w:color="auto"/>
            <w:left w:val="none" w:sz="0" w:space="0" w:color="auto"/>
            <w:bottom w:val="none" w:sz="0" w:space="0" w:color="auto"/>
            <w:right w:val="none" w:sz="0" w:space="0" w:color="auto"/>
          </w:divBdr>
        </w:div>
        <w:div w:id="31730327">
          <w:marLeft w:val="0"/>
          <w:marRight w:val="0"/>
          <w:marTop w:val="0"/>
          <w:marBottom w:val="0"/>
          <w:divBdr>
            <w:top w:val="none" w:sz="0" w:space="0" w:color="auto"/>
            <w:left w:val="none" w:sz="0" w:space="0" w:color="auto"/>
            <w:bottom w:val="none" w:sz="0" w:space="0" w:color="auto"/>
            <w:right w:val="none" w:sz="0" w:space="0" w:color="auto"/>
          </w:divBdr>
        </w:div>
        <w:div w:id="1756708682">
          <w:marLeft w:val="0"/>
          <w:marRight w:val="0"/>
          <w:marTop w:val="0"/>
          <w:marBottom w:val="0"/>
          <w:divBdr>
            <w:top w:val="none" w:sz="0" w:space="0" w:color="auto"/>
            <w:left w:val="none" w:sz="0" w:space="0" w:color="auto"/>
            <w:bottom w:val="none" w:sz="0" w:space="0" w:color="auto"/>
            <w:right w:val="none" w:sz="0" w:space="0" w:color="auto"/>
          </w:divBdr>
        </w:div>
        <w:div w:id="485124358">
          <w:marLeft w:val="0"/>
          <w:marRight w:val="0"/>
          <w:marTop w:val="0"/>
          <w:marBottom w:val="0"/>
          <w:divBdr>
            <w:top w:val="none" w:sz="0" w:space="0" w:color="auto"/>
            <w:left w:val="none" w:sz="0" w:space="0" w:color="auto"/>
            <w:bottom w:val="none" w:sz="0" w:space="0" w:color="auto"/>
            <w:right w:val="none" w:sz="0" w:space="0" w:color="auto"/>
          </w:divBdr>
        </w:div>
        <w:div w:id="1134441544">
          <w:marLeft w:val="0"/>
          <w:marRight w:val="0"/>
          <w:marTop w:val="0"/>
          <w:marBottom w:val="0"/>
          <w:divBdr>
            <w:top w:val="none" w:sz="0" w:space="0" w:color="auto"/>
            <w:left w:val="none" w:sz="0" w:space="0" w:color="auto"/>
            <w:bottom w:val="none" w:sz="0" w:space="0" w:color="auto"/>
            <w:right w:val="none" w:sz="0" w:space="0" w:color="auto"/>
          </w:divBdr>
        </w:div>
        <w:div w:id="1155995174">
          <w:marLeft w:val="0"/>
          <w:marRight w:val="0"/>
          <w:marTop w:val="0"/>
          <w:marBottom w:val="0"/>
          <w:divBdr>
            <w:top w:val="none" w:sz="0" w:space="0" w:color="auto"/>
            <w:left w:val="none" w:sz="0" w:space="0" w:color="auto"/>
            <w:bottom w:val="none" w:sz="0" w:space="0" w:color="auto"/>
            <w:right w:val="none" w:sz="0" w:space="0" w:color="auto"/>
          </w:divBdr>
        </w:div>
        <w:div w:id="890309317">
          <w:marLeft w:val="0"/>
          <w:marRight w:val="0"/>
          <w:marTop w:val="0"/>
          <w:marBottom w:val="0"/>
          <w:divBdr>
            <w:top w:val="none" w:sz="0" w:space="0" w:color="auto"/>
            <w:left w:val="none" w:sz="0" w:space="0" w:color="auto"/>
            <w:bottom w:val="none" w:sz="0" w:space="0" w:color="auto"/>
            <w:right w:val="none" w:sz="0" w:space="0" w:color="auto"/>
          </w:divBdr>
        </w:div>
        <w:div w:id="1140537464">
          <w:marLeft w:val="0"/>
          <w:marRight w:val="0"/>
          <w:marTop w:val="0"/>
          <w:marBottom w:val="0"/>
          <w:divBdr>
            <w:top w:val="none" w:sz="0" w:space="0" w:color="auto"/>
            <w:left w:val="none" w:sz="0" w:space="0" w:color="auto"/>
            <w:bottom w:val="none" w:sz="0" w:space="0" w:color="auto"/>
            <w:right w:val="none" w:sz="0" w:space="0" w:color="auto"/>
          </w:divBdr>
        </w:div>
        <w:div w:id="1541164089">
          <w:marLeft w:val="0"/>
          <w:marRight w:val="0"/>
          <w:marTop w:val="0"/>
          <w:marBottom w:val="0"/>
          <w:divBdr>
            <w:top w:val="none" w:sz="0" w:space="0" w:color="auto"/>
            <w:left w:val="none" w:sz="0" w:space="0" w:color="auto"/>
            <w:bottom w:val="none" w:sz="0" w:space="0" w:color="auto"/>
            <w:right w:val="none" w:sz="0" w:space="0" w:color="auto"/>
          </w:divBdr>
        </w:div>
        <w:div w:id="1037857421">
          <w:marLeft w:val="0"/>
          <w:marRight w:val="0"/>
          <w:marTop w:val="0"/>
          <w:marBottom w:val="0"/>
          <w:divBdr>
            <w:top w:val="none" w:sz="0" w:space="0" w:color="auto"/>
            <w:left w:val="none" w:sz="0" w:space="0" w:color="auto"/>
            <w:bottom w:val="none" w:sz="0" w:space="0" w:color="auto"/>
            <w:right w:val="none" w:sz="0" w:space="0" w:color="auto"/>
          </w:divBdr>
        </w:div>
        <w:div w:id="851651509">
          <w:marLeft w:val="0"/>
          <w:marRight w:val="0"/>
          <w:marTop w:val="0"/>
          <w:marBottom w:val="0"/>
          <w:divBdr>
            <w:top w:val="none" w:sz="0" w:space="0" w:color="auto"/>
            <w:left w:val="none" w:sz="0" w:space="0" w:color="auto"/>
            <w:bottom w:val="none" w:sz="0" w:space="0" w:color="auto"/>
            <w:right w:val="none" w:sz="0" w:space="0" w:color="auto"/>
          </w:divBdr>
        </w:div>
        <w:div w:id="1454861802">
          <w:marLeft w:val="0"/>
          <w:marRight w:val="0"/>
          <w:marTop w:val="0"/>
          <w:marBottom w:val="0"/>
          <w:divBdr>
            <w:top w:val="none" w:sz="0" w:space="0" w:color="auto"/>
            <w:left w:val="none" w:sz="0" w:space="0" w:color="auto"/>
            <w:bottom w:val="none" w:sz="0" w:space="0" w:color="auto"/>
            <w:right w:val="none" w:sz="0" w:space="0" w:color="auto"/>
          </w:divBdr>
        </w:div>
        <w:div w:id="1276522840">
          <w:marLeft w:val="0"/>
          <w:marRight w:val="0"/>
          <w:marTop w:val="0"/>
          <w:marBottom w:val="0"/>
          <w:divBdr>
            <w:top w:val="none" w:sz="0" w:space="0" w:color="auto"/>
            <w:left w:val="none" w:sz="0" w:space="0" w:color="auto"/>
            <w:bottom w:val="none" w:sz="0" w:space="0" w:color="auto"/>
            <w:right w:val="none" w:sz="0" w:space="0" w:color="auto"/>
          </w:divBdr>
        </w:div>
        <w:div w:id="621229946">
          <w:marLeft w:val="0"/>
          <w:marRight w:val="0"/>
          <w:marTop w:val="0"/>
          <w:marBottom w:val="0"/>
          <w:divBdr>
            <w:top w:val="none" w:sz="0" w:space="0" w:color="auto"/>
            <w:left w:val="none" w:sz="0" w:space="0" w:color="auto"/>
            <w:bottom w:val="none" w:sz="0" w:space="0" w:color="auto"/>
            <w:right w:val="none" w:sz="0" w:space="0" w:color="auto"/>
          </w:divBdr>
        </w:div>
        <w:div w:id="1766028966">
          <w:marLeft w:val="0"/>
          <w:marRight w:val="0"/>
          <w:marTop w:val="0"/>
          <w:marBottom w:val="0"/>
          <w:divBdr>
            <w:top w:val="none" w:sz="0" w:space="0" w:color="auto"/>
            <w:left w:val="none" w:sz="0" w:space="0" w:color="auto"/>
            <w:bottom w:val="none" w:sz="0" w:space="0" w:color="auto"/>
            <w:right w:val="none" w:sz="0" w:space="0" w:color="auto"/>
          </w:divBdr>
        </w:div>
        <w:div w:id="2092264700">
          <w:marLeft w:val="0"/>
          <w:marRight w:val="0"/>
          <w:marTop w:val="0"/>
          <w:marBottom w:val="0"/>
          <w:divBdr>
            <w:top w:val="none" w:sz="0" w:space="0" w:color="auto"/>
            <w:left w:val="none" w:sz="0" w:space="0" w:color="auto"/>
            <w:bottom w:val="none" w:sz="0" w:space="0" w:color="auto"/>
            <w:right w:val="none" w:sz="0" w:space="0" w:color="auto"/>
          </w:divBdr>
        </w:div>
        <w:div w:id="937257660">
          <w:marLeft w:val="0"/>
          <w:marRight w:val="0"/>
          <w:marTop w:val="0"/>
          <w:marBottom w:val="0"/>
          <w:divBdr>
            <w:top w:val="none" w:sz="0" w:space="0" w:color="auto"/>
            <w:left w:val="none" w:sz="0" w:space="0" w:color="auto"/>
            <w:bottom w:val="none" w:sz="0" w:space="0" w:color="auto"/>
            <w:right w:val="none" w:sz="0" w:space="0" w:color="auto"/>
          </w:divBdr>
        </w:div>
        <w:div w:id="1557936496">
          <w:marLeft w:val="0"/>
          <w:marRight w:val="0"/>
          <w:marTop w:val="0"/>
          <w:marBottom w:val="0"/>
          <w:divBdr>
            <w:top w:val="none" w:sz="0" w:space="0" w:color="auto"/>
            <w:left w:val="none" w:sz="0" w:space="0" w:color="auto"/>
            <w:bottom w:val="none" w:sz="0" w:space="0" w:color="auto"/>
            <w:right w:val="none" w:sz="0" w:space="0" w:color="auto"/>
          </w:divBdr>
        </w:div>
        <w:div w:id="582881834">
          <w:marLeft w:val="0"/>
          <w:marRight w:val="0"/>
          <w:marTop w:val="0"/>
          <w:marBottom w:val="0"/>
          <w:divBdr>
            <w:top w:val="none" w:sz="0" w:space="0" w:color="auto"/>
            <w:left w:val="none" w:sz="0" w:space="0" w:color="auto"/>
            <w:bottom w:val="none" w:sz="0" w:space="0" w:color="auto"/>
            <w:right w:val="none" w:sz="0" w:space="0" w:color="auto"/>
          </w:divBdr>
        </w:div>
        <w:div w:id="1942180843">
          <w:marLeft w:val="0"/>
          <w:marRight w:val="0"/>
          <w:marTop w:val="0"/>
          <w:marBottom w:val="0"/>
          <w:divBdr>
            <w:top w:val="none" w:sz="0" w:space="0" w:color="auto"/>
            <w:left w:val="none" w:sz="0" w:space="0" w:color="auto"/>
            <w:bottom w:val="none" w:sz="0" w:space="0" w:color="auto"/>
            <w:right w:val="none" w:sz="0" w:space="0" w:color="auto"/>
          </w:divBdr>
        </w:div>
        <w:div w:id="142085439">
          <w:marLeft w:val="0"/>
          <w:marRight w:val="0"/>
          <w:marTop w:val="0"/>
          <w:marBottom w:val="0"/>
          <w:divBdr>
            <w:top w:val="none" w:sz="0" w:space="0" w:color="auto"/>
            <w:left w:val="none" w:sz="0" w:space="0" w:color="auto"/>
            <w:bottom w:val="none" w:sz="0" w:space="0" w:color="auto"/>
            <w:right w:val="none" w:sz="0" w:space="0" w:color="auto"/>
          </w:divBdr>
        </w:div>
        <w:div w:id="623731505">
          <w:marLeft w:val="0"/>
          <w:marRight w:val="0"/>
          <w:marTop w:val="0"/>
          <w:marBottom w:val="0"/>
          <w:divBdr>
            <w:top w:val="none" w:sz="0" w:space="0" w:color="auto"/>
            <w:left w:val="none" w:sz="0" w:space="0" w:color="auto"/>
            <w:bottom w:val="none" w:sz="0" w:space="0" w:color="auto"/>
            <w:right w:val="none" w:sz="0" w:space="0" w:color="auto"/>
          </w:divBdr>
        </w:div>
        <w:div w:id="1817843258">
          <w:marLeft w:val="0"/>
          <w:marRight w:val="0"/>
          <w:marTop w:val="0"/>
          <w:marBottom w:val="0"/>
          <w:divBdr>
            <w:top w:val="none" w:sz="0" w:space="0" w:color="auto"/>
            <w:left w:val="none" w:sz="0" w:space="0" w:color="auto"/>
            <w:bottom w:val="none" w:sz="0" w:space="0" w:color="auto"/>
            <w:right w:val="none" w:sz="0" w:space="0" w:color="auto"/>
          </w:divBdr>
        </w:div>
        <w:div w:id="751126166">
          <w:marLeft w:val="0"/>
          <w:marRight w:val="0"/>
          <w:marTop w:val="0"/>
          <w:marBottom w:val="0"/>
          <w:divBdr>
            <w:top w:val="none" w:sz="0" w:space="0" w:color="auto"/>
            <w:left w:val="none" w:sz="0" w:space="0" w:color="auto"/>
            <w:bottom w:val="none" w:sz="0" w:space="0" w:color="auto"/>
            <w:right w:val="none" w:sz="0" w:space="0" w:color="auto"/>
          </w:divBdr>
        </w:div>
        <w:div w:id="2112581892">
          <w:marLeft w:val="0"/>
          <w:marRight w:val="0"/>
          <w:marTop w:val="0"/>
          <w:marBottom w:val="0"/>
          <w:divBdr>
            <w:top w:val="none" w:sz="0" w:space="0" w:color="auto"/>
            <w:left w:val="none" w:sz="0" w:space="0" w:color="auto"/>
            <w:bottom w:val="none" w:sz="0" w:space="0" w:color="auto"/>
            <w:right w:val="none" w:sz="0" w:space="0" w:color="auto"/>
          </w:divBdr>
        </w:div>
        <w:div w:id="1346663776">
          <w:marLeft w:val="0"/>
          <w:marRight w:val="0"/>
          <w:marTop w:val="0"/>
          <w:marBottom w:val="0"/>
          <w:divBdr>
            <w:top w:val="none" w:sz="0" w:space="0" w:color="auto"/>
            <w:left w:val="none" w:sz="0" w:space="0" w:color="auto"/>
            <w:bottom w:val="none" w:sz="0" w:space="0" w:color="auto"/>
            <w:right w:val="none" w:sz="0" w:space="0" w:color="auto"/>
          </w:divBdr>
        </w:div>
        <w:div w:id="254873394">
          <w:marLeft w:val="0"/>
          <w:marRight w:val="0"/>
          <w:marTop w:val="0"/>
          <w:marBottom w:val="0"/>
          <w:divBdr>
            <w:top w:val="none" w:sz="0" w:space="0" w:color="auto"/>
            <w:left w:val="none" w:sz="0" w:space="0" w:color="auto"/>
            <w:bottom w:val="none" w:sz="0" w:space="0" w:color="auto"/>
            <w:right w:val="none" w:sz="0" w:space="0" w:color="auto"/>
          </w:divBdr>
        </w:div>
        <w:div w:id="1923681124">
          <w:marLeft w:val="0"/>
          <w:marRight w:val="0"/>
          <w:marTop w:val="0"/>
          <w:marBottom w:val="0"/>
          <w:divBdr>
            <w:top w:val="none" w:sz="0" w:space="0" w:color="auto"/>
            <w:left w:val="none" w:sz="0" w:space="0" w:color="auto"/>
            <w:bottom w:val="none" w:sz="0" w:space="0" w:color="auto"/>
            <w:right w:val="none" w:sz="0" w:space="0" w:color="auto"/>
          </w:divBdr>
        </w:div>
        <w:div w:id="315690421">
          <w:marLeft w:val="0"/>
          <w:marRight w:val="0"/>
          <w:marTop w:val="0"/>
          <w:marBottom w:val="0"/>
          <w:divBdr>
            <w:top w:val="none" w:sz="0" w:space="0" w:color="auto"/>
            <w:left w:val="none" w:sz="0" w:space="0" w:color="auto"/>
            <w:bottom w:val="none" w:sz="0" w:space="0" w:color="auto"/>
            <w:right w:val="none" w:sz="0" w:space="0" w:color="auto"/>
          </w:divBdr>
        </w:div>
        <w:div w:id="1587572705">
          <w:marLeft w:val="0"/>
          <w:marRight w:val="0"/>
          <w:marTop w:val="0"/>
          <w:marBottom w:val="0"/>
          <w:divBdr>
            <w:top w:val="none" w:sz="0" w:space="0" w:color="auto"/>
            <w:left w:val="none" w:sz="0" w:space="0" w:color="auto"/>
            <w:bottom w:val="none" w:sz="0" w:space="0" w:color="auto"/>
            <w:right w:val="none" w:sz="0" w:space="0" w:color="auto"/>
          </w:divBdr>
        </w:div>
        <w:div w:id="690835435">
          <w:marLeft w:val="0"/>
          <w:marRight w:val="0"/>
          <w:marTop w:val="0"/>
          <w:marBottom w:val="0"/>
          <w:divBdr>
            <w:top w:val="none" w:sz="0" w:space="0" w:color="auto"/>
            <w:left w:val="none" w:sz="0" w:space="0" w:color="auto"/>
            <w:bottom w:val="none" w:sz="0" w:space="0" w:color="auto"/>
            <w:right w:val="none" w:sz="0" w:space="0" w:color="auto"/>
          </w:divBdr>
        </w:div>
        <w:div w:id="1513840723">
          <w:marLeft w:val="0"/>
          <w:marRight w:val="0"/>
          <w:marTop w:val="0"/>
          <w:marBottom w:val="0"/>
          <w:divBdr>
            <w:top w:val="none" w:sz="0" w:space="0" w:color="auto"/>
            <w:left w:val="none" w:sz="0" w:space="0" w:color="auto"/>
            <w:bottom w:val="none" w:sz="0" w:space="0" w:color="auto"/>
            <w:right w:val="none" w:sz="0" w:space="0" w:color="auto"/>
          </w:divBdr>
        </w:div>
        <w:div w:id="1727486242">
          <w:marLeft w:val="0"/>
          <w:marRight w:val="0"/>
          <w:marTop w:val="0"/>
          <w:marBottom w:val="0"/>
          <w:divBdr>
            <w:top w:val="none" w:sz="0" w:space="0" w:color="auto"/>
            <w:left w:val="none" w:sz="0" w:space="0" w:color="auto"/>
            <w:bottom w:val="none" w:sz="0" w:space="0" w:color="auto"/>
            <w:right w:val="none" w:sz="0" w:space="0" w:color="auto"/>
          </w:divBdr>
        </w:div>
        <w:div w:id="348412489">
          <w:marLeft w:val="0"/>
          <w:marRight w:val="0"/>
          <w:marTop w:val="0"/>
          <w:marBottom w:val="0"/>
          <w:divBdr>
            <w:top w:val="none" w:sz="0" w:space="0" w:color="auto"/>
            <w:left w:val="none" w:sz="0" w:space="0" w:color="auto"/>
            <w:bottom w:val="none" w:sz="0" w:space="0" w:color="auto"/>
            <w:right w:val="none" w:sz="0" w:space="0" w:color="auto"/>
          </w:divBdr>
        </w:div>
        <w:div w:id="1243099119">
          <w:marLeft w:val="0"/>
          <w:marRight w:val="0"/>
          <w:marTop w:val="0"/>
          <w:marBottom w:val="0"/>
          <w:divBdr>
            <w:top w:val="none" w:sz="0" w:space="0" w:color="auto"/>
            <w:left w:val="none" w:sz="0" w:space="0" w:color="auto"/>
            <w:bottom w:val="none" w:sz="0" w:space="0" w:color="auto"/>
            <w:right w:val="none" w:sz="0" w:space="0" w:color="auto"/>
          </w:divBdr>
        </w:div>
        <w:div w:id="1739086839">
          <w:marLeft w:val="0"/>
          <w:marRight w:val="0"/>
          <w:marTop w:val="0"/>
          <w:marBottom w:val="0"/>
          <w:divBdr>
            <w:top w:val="none" w:sz="0" w:space="0" w:color="auto"/>
            <w:left w:val="none" w:sz="0" w:space="0" w:color="auto"/>
            <w:bottom w:val="none" w:sz="0" w:space="0" w:color="auto"/>
            <w:right w:val="none" w:sz="0" w:space="0" w:color="auto"/>
          </w:divBdr>
        </w:div>
        <w:div w:id="986663577">
          <w:marLeft w:val="0"/>
          <w:marRight w:val="0"/>
          <w:marTop w:val="0"/>
          <w:marBottom w:val="0"/>
          <w:divBdr>
            <w:top w:val="none" w:sz="0" w:space="0" w:color="auto"/>
            <w:left w:val="none" w:sz="0" w:space="0" w:color="auto"/>
            <w:bottom w:val="none" w:sz="0" w:space="0" w:color="auto"/>
            <w:right w:val="none" w:sz="0" w:space="0" w:color="auto"/>
          </w:divBdr>
        </w:div>
        <w:div w:id="1996837219">
          <w:marLeft w:val="0"/>
          <w:marRight w:val="0"/>
          <w:marTop w:val="0"/>
          <w:marBottom w:val="0"/>
          <w:divBdr>
            <w:top w:val="none" w:sz="0" w:space="0" w:color="auto"/>
            <w:left w:val="none" w:sz="0" w:space="0" w:color="auto"/>
            <w:bottom w:val="none" w:sz="0" w:space="0" w:color="auto"/>
            <w:right w:val="none" w:sz="0" w:space="0" w:color="auto"/>
          </w:divBdr>
        </w:div>
        <w:div w:id="1933733370">
          <w:marLeft w:val="0"/>
          <w:marRight w:val="0"/>
          <w:marTop w:val="0"/>
          <w:marBottom w:val="0"/>
          <w:divBdr>
            <w:top w:val="none" w:sz="0" w:space="0" w:color="auto"/>
            <w:left w:val="none" w:sz="0" w:space="0" w:color="auto"/>
            <w:bottom w:val="none" w:sz="0" w:space="0" w:color="auto"/>
            <w:right w:val="none" w:sz="0" w:space="0" w:color="auto"/>
          </w:divBdr>
        </w:div>
        <w:div w:id="946355607">
          <w:marLeft w:val="0"/>
          <w:marRight w:val="0"/>
          <w:marTop w:val="0"/>
          <w:marBottom w:val="0"/>
          <w:divBdr>
            <w:top w:val="none" w:sz="0" w:space="0" w:color="auto"/>
            <w:left w:val="none" w:sz="0" w:space="0" w:color="auto"/>
            <w:bottom w:val="none" w:sz="0" w:space="0" w:color="auto"/>
            <w:right w:val="none" w:sz="0" w:space="0" w:color="auto"/>
          </w:divBdr>
        </w:div>
        <w:div w:id="1477799492">
          <w:marLeft w:val="0"/>
          <w:marRight w:val="0"/>
          <w:marTop w:val="0"/>
          <w:marBottom w:val="0"/>
          <w:divBdr>
            <w:top w:val="none" w:sz="0" w:space="0" w:color="auto"/>
            <w:left w:val="none" w:sz="0" w:space="0" w:color="auto"/>
            <w:bottom w:val="none" w:sz="0" w:space="0" w:color="auto"/>
            <w:right w:val="none" w:sz="0" w:space="0" w:color="auto"/>
          </w:divBdr>
        </w:div>
        <w:div w:id="1598367790">
          <w:marLeft w:val="0"/>
          <w:marRight w:val="0"/>
          <w:marTop w:val="0"/>
          <w:marBottom w:val="0"/>
          <w:divBdr>
            <w:top w:val="none" w:sz="0" w:space="0" w:color="auto"/>
            <w:left w:val="none" w:sz="0" w:space="0" w:color="auto"/>
            <w:bottom w:val="none" w:sz="0" w:space="0" w:color="auto"/>
            <w:right w:val="none" w:sz="0" w:space="0" w:color="auto"/>
          </w:divBdr>
        </w:div>
        <w:div w:id="2000882762">
          <w:marLeft w:val="0"/>
          <w:marRight w:val="0"/>
          <w:marTop w:val="0"/>
          <w:marBottom w:val="0"/>
          <w:divBdr>
            <w:top w:val="none" w:sz="0" w:space="0" w:color="auto"/>
            <w:left w:val="none" w:sz="0" w:space="0" w:color="auto"/>
            <w:bottom w:val="none" w:sz="0" w:space="0" w:color="auto"/>
            <w:right w:val="none" w:sz="0" w:space="0" w:color="auto"/>
          </w:divBdr>
        </w:div>
        <w:div w:id="148180817">
          <w:marLeft w:val="0"/>
          <w:marRight w:val="0"/>
          <w:marTop w:val="0"/>
          <w:marBottom w:val="0"/>
          <w:divBdr>
            <w:top w:val="none" w:sz="0" w:space="0" w:color="auto"/>
            <w:left w:val="none" w:sz="0" w:space="0" w:color="auto"/>
            <w:bottom w:val="none" w:sz="0" w:space="0" w:color="auto"/>
            <w:right w:val="none" w:sz="0" w:space="0" w:color="auto"/>
          </w:divBdr>
        </w:div>
        <w:div w:id="529613931">
          <w:marLeft w:val="0"/>
          <w:marRight w:val="0"/>
          <w:marTop w:val="0"/>
          <w:marBottom w:val="0"/>
          <w:divBdr>
            <w:top w:val="none" w:sz="0" w:space="0" w:color="auto"/>
            <w:left w:val="none" w:sz="0" w:space="0" w:color="auto"/>
            <w:bottom w:val="none" w:sz="0" w:space="0" w:color="auto"/>
            <w:right w:val="none" w:sz="0" w:space="0" w:color="auto"/>
          </w:divBdr>
        </w:div>
        <w:div w:id="1691029643">
          <w:marLeft w:val="0"/>
          <w:marRight w:val="0"/>
          <w:marTop w:val="0"/>
          <w:marBottom w:val="0"/>
          <w:divBdr>
            <w:top w:val="none" w:sz="0" w:space="0" w:color="auto"/>
            <w:left w:val="none" w:sz="0" w:space="0" w:color="auto"/>
            <w:bottom w:val="none" w:sz="0" w:space="0" w:color="auto"/>
            <w:right w:val="none" w:sz="0" w:space="0" w:color="auto"/>
          </w:divBdr>
        </w:div>
        <w:div w:id="931091236">
          <w:marLeft w:val="0"/>
          <w:marRight w:val="0"/>
          <w:marTop w:val="0"/>
          <w:marBottom w:val="0"/>
          <w:divBdr>
            <w:top w:val="none" w:sz="0" w:space="0" w:color="auto"/>
            <w:left w:val="none" w:sz="0" w:space="0" w:color="auto"/>
            <w:bottom w:val="none" w:sz="0" w:space="0" w:color="auto"/>
            <w:right w:val="none" w:sz="0" w:space="0" w:color="auto"/>
          </w:divBdr>
        </w:div>
        <w:div w:id="660817793">
          <w:marLeft w:val="0"/>
          <w:marRight w:val="0"/>
          <w:marTop w:val="0"/>
          <w:marBottom w:val="0"/>
          <w:divBdr>
            <w:top w:val="none" w:sz="0" w:space="0" w:color="auto"/>
            <w:left w:val="none" w:sz="0" w:space="0" w:color="auto"/>
            <w:bottom w:val="none" w:sz="0" w:space="0" w:color="auto"/>
            <w:right w:val="none" w:sz="0" w:space="0" w:color="auto"/>
          </w:divBdr>
        </w:div>
        <w:div w:id="982348945">
          <w:marLeft w:val="0"/>
          <w:marRight w:val="0"/>
          <w:marTop w:val="0"/>
          <w:marBottom w:val="0"/>
          <w:divBdr>
            <w:top w:val="none" w:sz="0" w:space="0" w:color="auto"/>
            <w:left w:val="none" w:sz="0" w:space="0" w:color="auto"/>
            <w:bottom w:val="none" w:sz="0" w:space="0" w:color="auto"/>
            <w:right w:val="none" w:sz="0" w:space="0" w:color="auto"/>
          </w:divBdr>
        </w:div>
        <w:div w:id="157040789">
          <w:marLeft w:val="0"/>
          <w:marRight w:val="0"/>
          <w:marTop w:val="0"/>
          <w:marBottom w:val="0"/>
          <w:divBdr>
            <w:top w:val="none" w:sz="0" w:space="0" w:color="auto"/>
            <w:left w:val="none" w:sz="0" w:space="0" w:color="auto"/>
            <w:bottom w:val="none" w:sz="0" w:space="0" w:color="auto"/>
            <w:right w:val="none" w:sz="0" w:space="0" w:color="auto"/>
          </w:divBdr>
        </w:div>
        <w:div w:id="720832922">
          <w:marLeft w:val="0"/>
          <w:marRight w:val="0"/>
          <w:marTop w:val="0"/>
          <w:marBottom w:val="0"/>
          <w:divBdr>
            <w:top w:val="none" w:sz="0" w:space="0" w:color="auto"/>
            <w:left w:val="none" w:sz="0" w:space="0" w:color="auto"/>
            <w:bottom w:val="none" w:sz="0" w:space="0" w:color="auto"/>
            <w:right w:val="none" w:sz="0" w:space="0" w:color="auto"/>
          </w:divBdr>
        </w:div>
        <w:div w:id="1946225228">
          <w:marLeft w:val="0"/>
          <w:marRight w:val="0"/>
          <w:marTop w:val="0"/>
          <w:marBottom w:val="0"/>
          <w:divBdr>
            <w:top w:val="none" w:sz="0" w:space="0" w:color="auto"/>
            <w:left w:val="none" w:sz="0" w:space="0" w:color="auto"/>
            <w:bottom w:val="none" w:sz="0" w:space="0" w:color="auto"/>
            <w:right w:val="none" w:sz="0" w:space="0" w:color="auto"/>
          </w:divBdr>
        </w:div>
        <w:div w:id="2133278069">
          <w:marLeft w:val="0"/>
          <w:marRight w:val="0"/>
          <w:marTop w:val="0"/>
          <w:marBottom w:val="0"/>
          <w:divBdr>
            <w:top w:val="none" w:sz="0" w:space="0" w:color="auto"/>
            <w:left w:val="none" w:sz="0" w:space="0" w:color="auto"/>
            <w:bottom w:val="none" w:sz="0" w:space="0" w:color="auto"/>
            <w:right w:val="none" w:sz="0" w:space="0" w:color="auto"/>
          </w:divBdr>
        </w:div>
        <w:div w:id="1081835455">
          <w:marLeft w:val="0"/>
          <w:marRight w:val="0"/>
          <w:marTop w:val="0"/>
          <w:marBottom w:val="0"/>
          <w:divBdr>
            <w:top w:val="none" w:sz="0" w:space="0" w:color="auto"/>
            <w:left w:val="none" w:sz="0" w:space="0" w:color="auto"/>
            <w:bottom w:val="none" w:sz="0" w:space="0" w:color="auto"/>
            <w:right w:val="none" w:sz="0" w:space="0" w:color="auto"/>
          </w:divBdr>
        </w:div>
        <w:div w:id="1718358447">
          <w:marLeft w:val="0"/>
          <w:marRight w:val="0"/>
          <w:marTop w:val="0"/>
          <w:marBottom w:val="0"/>
          <w:divBdr>
            <w:top w:val="none" w:sz="0" w:space="0" w:color="auto"/>
            <w:left w:val="none" w:sz="0" w:space="0" w:color="auto"/>
            <w:bottom w:val="none" w:sz="0" w:space="0" w:color="auto"/>
            <w:right w:val="none" w:sz="0" w:space="0" w:color="auto"/>
          </w:divBdr>
        </w:div>
        <w:div w:id="21825011">
          <w:marLeft w:val="0"/>
          <w:marRight w:val="0"/>
          <w:marTop w:val="0"/>
          <w:marBottom w:val="0"/>
          <w:divBdr>
            <w:top w:val="none" w:sz="0" w:space="0" w:color="auto"/>
            <w:left w:val="none" w:sz="0" w:space="0" w:color="auto"/>
            <w:bottom w:val="none" w:sz="0" w:space="0" w:color="auto"/>
            <w:right w:val="none" w:sz="0" w:space="0" w:color="auto"/>
          </w:divBdr>
        </w:div>
        <w:div w:id="117086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Sayfa1!$C$37</c:f>
              <c:strCache>
                <c:ptCount val="1"/>
                <c:pt idx="0">
                  <c:v>2020 Fallow Area (da)</c:v>
                </c:pt>
              </c:strCache>
            </c:strRef>
          </c:tx>
          <c:spPr>
            <a:solidFill>
              <a:schemeClr val="accent1"/>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Sayfa1!$C$38:$C$42</c:f>
              <c:numCache>
                <c:formatCode>#,##0</c:formatCode>
                <c:ptCount val="5"/>
                <c:pt idx="0">
                  <c:v>9086031</c:v>
                </c:pt>
                <c:pt idx="1">
                  <c:v>6039170</c:v>
                </c:pt>
                <c:pt idx="2">
                  <c:v>2451420</c:v>
                </c:pt>
                <c:pt idx="3">
                  <c:v>3326842</c:v>
                </c:pt>
                <c:pt idx="4">
                  <c:v>562077</c:v>
                </c:pt>
              </c:numCache>
            </c:numRef>
          </c:val>
          <c:extLst>
            <c:ext xmlns:c16="http://schemas.microsoft.com/office/drawing/2014/chart" uri="{C3380CC4-5D6E-409C-BE32-E72D297353CC}">
              <c16:uniqueId val="{00000000-2914-4198-8120-4F032D58CE47}"/>
            </c:ext>
          </c:extLst>
        </c:ser>
        <c:ser>
          <c:idx val="1"/>
          <c:order val="1"/>
          <c:tx>
            <c:strRef>
              <c:f>Sayfa1!$D$37</c:f>
              <c:strCache>
                <c:ptCount val="1"/>
                <c:pt idx="0">
                  <c:v>2024 Fallow Area (da)</c:v>
                </c:pt>
              </c:strCache>
            </c:strRef>
          </c:tx>
          <c:spPr>
            <a:solidFill>
              <a:schemeClr val="accent2"/>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Sayfa1!$D$38:$D$42</c:f>
              <c:numCache>
                <c:formatCode>#,##0</c:formatCode>
                <c:ptCount val="5"/>
                <c:pt idx="0">
                  <c:v>7507572</c:v>
                </c:pt>
                <c:pt idx="1">
                  <c:v>5232307</c:v>
                </c:pt>
                <c:pt idx="2">
                  <c:v>1694317</c:v>
                </c:pt>
                <c:pt idx="3">
                  <c:v>3003620</c:v>
                </c:pt>
                <c:pt idx="4">
                  <c:v>569290</c:v>
                </c:pt>
              </c:numCache>
            </c:numRef>
          </c:val>
          <c:extLst>
            <c:ext xmlns:c16="http://schemas.microsoft.com/office/drawing/2014/chart" uri="{C3380CC4-5D6E-409C-BE32-E72D297353CC}">
              <c16:uniqueId val="{00000001-2914-4198-8120-4F032D58CE47}"/>
            </c:ext>
          </c:extLst>
        </c:ser>
        <c:dLbls>
          <c:showLegendKey val="0"/>
          <c:showVal val="0"/>
          <c:showCatName val="0"/>
          <c:showSerName val="0"/>
          <c:showPercent val="0"/>
          <c:showBubbleSize val="0"/>
        </c:dLbls>
        <c:gapWidth val="150"/>
        <c:shape val="box"/>
        <c:axId val="206884191"/>
        <c:axId val="206895423"/>
        <c:axId val="0"/>
      </c:bar3DChart>
      <c:catAx>
        <c:axId val="2068841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95423"/>
        <c:crosses val="autoZero"/>
        <c:auto val="1"/>
        <c:lblAlgn val="ctr"/>
        <c:lblOffset val="100"/>
        <c:noMultiLvlLbl val="0"/>
      </c:catAx>
      <c:valAx>
        <c:axId val="206895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8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3424</Words>
  <Characters>19523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PC 1170</cp:lastModifiedBy>
  <cp:revision>15</cp:revision>
  <dcterms:created xsi:type="dcterms:W3CDTF">2026-01-12T22:21:00Z</dcterms:created>
  <dcterms:modified xsi:type="dcterms:W3CDTF">2026-01-13T11:20:00Z</dcterms:modified>
</cp:coreProperties>
</file>