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E771" w14:textId="77777777" w:rsidR="00BA6C97" w:rsidRPr="00DB5227" w:rsidRDefault="00BA6C97" w:rsidP="0071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
        </w:rPr>
      </w:pPr>
      <w:r w:rsidRPr="00DB5227">
        <w:rPr>
          <w:rFonts w:ascii="Times New Roman" w:eastAsia="Times New Roman" w:hAnsi="Times New Roman" w:cs="Times New Roman"/>
          <w:b/>
          <w:bCs/>
          <w:lang w:val="en"/>
        </w:rPr>
        <w:t>A STUDY ON DETERMINING THE COST OF PRODUCTION, BREAK-EVEN POINT, AND SENSITIVITY ANALYSIS OF OYSTER MUSHROOM CHIPS PRODUCTION</w:t>
      </w:r>
    </w:p>
    <w:p w14:paraId="3E2DB6F6" w14:textId="77777777" w:rsidR="00BA6C97" w:rsidRPr="00DB5227" w:rsidRDefault="00BA6C97" w:rsidP="0071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p>
    <w:p w14:paraId="079BDD00" w14:textId="77777777" w:rsidR="00D37E5B" w:rsidRDefault="00D37E5B"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lang w:val="en"/>
        </w:rPr>
      </w:pPr>
    </w:p>
    <w:p w14:paraId="33712BD6" w14:textId="7C5C9A64" w:rsidR="00673F41" w:rsidRPr="00F27A0A" w:rsidRDefault="00673F41"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lang w:val="en"/>
        </w:rPr>
      </w:pPr>
      <w:bookmarkStart w:id="0" w:name="_GoBack"/>
      <w:bookmarkEnd w:id="0"/>
      <w:r>
        <w:rPr>
          <w:rFonts w:ascii="Times New Roman" w:eastAsiaTheme="majorEastAsia" w:hAnsi="Times New Roman" w:cs="Times New Roman"/>
          <w:lang w:val="en"/>
        </w:rPr>
        <w:t xml:space="preserve"> </w:t>
      </w:r>
    </w:p>
    <w:p w14:paraId="68F019B8" w14:textId="77777777" w:rsidR="00DB5227" w:rsidRPr="00DB5227" w:rsidRDefault="00DB5227"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b/>
          <w:bCs/>
          <w:lang w:val="en"/>
        </w:rPr>
      </w:pPr>
    </w:p>
    <w:p w14:paraId="195940F9" w14:textId="393CB4C7" w:rsidR="00BA6C97" w:rsidRPr="00DB5227" w:rsidRDefault="00BA6C97"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eastAsiaTheme="majorEastAsia" w:hAnsi="Times New Roman" w:cs="Times New Roman"/>
          <w:b/>
          <w:bCs/>
          <w:lang w:val="en"/>
        </w:rPr>
      </w:pPr>
      <w:r w:rsidRPr="00DB5227">
        <w:rPr>
          <w:rStyle w:val="y2iqfc"/>
          <w:rFonts w:ascii="Times New Roman" w:eastAsiaTheme="majorEastAsia" w:hAnsi="Times New Roman" w:cs="Times New Roman"/>
          <w:b/>
          <w:bCs/>
          <w:lang w:val="en"/>
        </w:rPr>
        <w:t>ABSTRACT</w:t>
      </w:r>
    </w:p>
    <w:p w14:paraId="101E486F" w14:textId="44B4FD8B" w:rsidR="00BA6C97" w:rsidRPr="00DB5227" w:rsidRDefault="00DB5227" w:rsidP="00BA6C97">
      <w:pPr>
        <w:pStyle w:val="HTMLPreformatted"/>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Oyster </w:t>
      </w:r>
      <w:r>
        <w:rPr>
          <w:rStyle w:val="y2iqfc"/>
          <w:rFonts w:ascii="Times New Roman" w:eastAsiaTheme="majorEastAsia" w:hAnsi="Times New Roman" w:cs="Times New Roman"/>
          <w:sz w:val="22"/>
          <w:szCs w:val="22"/>
          <w:lang w:val="en"/>
        </w:rPr>
        <w:t xml:space="preserve">Mushroom </w:t>
      </w:r>
      <w:r w:rsidRPr="00DB5227">
        <w:rPr>
          <w:rStyle w:val="y2iqfc"/>
          <w:rFonts w:ascii="Times New Roman" w:eastAsiaTheme="majorEastAsia" w:hAnsi="Times New Roman" w:cs="Times New Roman"/>
          <w:sz w:val="22"/>
          <w:szCs w:val="22"/>
          <w:lang w:val="en"/>
        </w:rPr>
        <w:t xml:space="preserve">Etam </w:t>
      </w:r>
      <w:r w:rsidR="00BA6C97" w:rsidRPr="00DB5227">
        <w:rPr>
          <w:rStyle w:val="y2iqfc"/>
          <w:rFonts w:ascii="Times New Roman" w:eastAsiaTheme="majorEastAsia" w:hAnsi="Times New Roman" w:cs="Times New Roman"/>
          <w:sz w:val="22"/>
          <w:szCs w:val="22"/>
          <w:lang w:val="en"/>
        </w:rPr>
        <w:t>(</w:t>
      </w:r>
      <w:r>
        <w:rPr>
          <w:rStyle w:val="y2iqfc"/>
          <w:rFonts w:ascii="Times New Roman" w:eastAsiaTheme="majorEastAsia" w:hAnsi="Times New Roman" w:cs="Times New Roman"/>
          <w:sz w:val="22"/>
          <w:szCs w:val="22"/>
          <w:lang w:val="en"/>
        </w:rPr>
        <w:t>JATAM)</w:t>
      </w:r>
      <w:r w:rsidRPr="00DB5227">
        <w:rPr>
          <w:rStyle w:val="y2iqfc"/>
          <w:rFonts w:ascii="Times New Roman" w:eastAsiaTheme="majorEastAsia" w:hAnsi="Times New Roman" w:cs="Times New Roman"/>
          <w:sz w:val="22"/>
          <w:szCs w:val="22"/>
          <w:lang w:val="en"/>
        </w:rPr>
        <w:t xml:space="preserve"> </w:t>
      </w:r>
      <w:r w:rsidR="00BA6C97" w:rsidRPr="00DB5227">
        <w:rPr>
          <w:rStyle w:val="y2iqfc"/>
          <w:rFonts w:ascii="Times New Roman" w:eastAsiaTheme="majorEastAsia" w:hAnsi="Times New Roman" w:cs="Times New Roman"/>
          <w:sz w:val="22"/>
          <w:szCs w:val="22"/>
          <w:lang w:val="en"/>
        </w:rPr>
        <w:t xml:space="preserve">is the only MSME producing packaged oyster mushroom chips in </w:t>
      </w:r>
      <w:proofErr w:type="spellStart"/>
      <w:r w:rsidR="00BA6C97" w:rsidRPr="00DB5227">
        <w:rPr>
          <w:rStyle w:val="y2iqfc"/>
          <w:rFonts w:ascii="Times New Roman" w:eastAsiaTheme="majorEastAsia" w:hAnsi="Times New Roman" w:cs="Times New Roman"/>
          <w:sz w:val="22"/>
          <w:szCs w:val="22"/>
          <w:lang w:val="en"/>
        </w:rPr>
        <w:t>Samarinda</w:t>
      </w:r>
      <w:proofErr w:type="spellEnd"/>
      <w:r w:rsidR="00BA6C97" w:rsidRPr="00DB5227">
        <w:rPr>
          <w:rStyle w:val="y2iqfc"/>
          <w:rFonts w:ascii="Times New Roman" w:eastAsiaTheme="majorEastAsia" w:hAnsi="Times New Roman" w:cs="Times New Roman"/>
          <w:sz w:val="22"/>
          <w:szCs w:val="22"/>
          <w:lang w:val="en"/>
        </w:rPr>
        <w:t xml:space="preserve"> City. This study aims to determine the calculation and comparison of production costs currently applied by JATAM MSME, using the full costing and variable costing methods, determine the break-even point, and measure the business's sensitivity to changes in the break-even point. The research method used was a case study. Data were analyzed using production cost calculation methods, namely full costing and variable costing, as well as break-even point (BEP) analysis and sensitivity analysis. The results show that JATAM MSME's method resulted in a production cost of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12,182.20 per package. The full costing method resulted in the highest production cost of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13,077.86 per package because it takes into account all variable and fixed costs, while the variable costing method resulted in a production cost of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12,832.20 per package. The break-even point (BEP) for sales revenue was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400,812.00, with a production volume of 2,004.06 grams (23 packages of JATAM chips). The sensitivity of JATAM chips production is seen in the 7% increase in production costs, which resulted in an increase in the BEP for sales revenue to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546,694.00, and an increase in the BEP for production volume to 2,733.47 grams (32 packages of JATAM chips).</w:t>
      </w:r>
    </w:p>
    <w:p w14:paraId="6AA32430" w14:textId="77777777" w:rsidR="00DB5227" w:rsidRDefault="00DB5227" w:rsidP="00BA6C97">
      <w:pPr>
        <w:pStyle w:val="HTMLPreformatted"/>
        <w:jc w:val="both"/>
        <w:rPr>
          <w:rStyle w:val="y2iqfc"/>
          <w:rFonts w:ascii="Times New Roman" w:eastAsiaTheme="majorEastAsia" w:hAnsi="Times New Roman" w:cs="Times New Roman"/>
          <w:sz w:val="22"/>
          <w:szCs w:val="22"/>
          <w:lang w:val="en"/>
        </w:rPr>
      </w:pPr>
    </w:p>
    <w:p w14:paraId="74CD71BC" w14:textId="5B3DBDB1" w:rsidR="00BA6C97" w:rsidRPr="00DB5227" w:rsidRDefault="00BA6C97" w:rsidP="00BA6C97">
      <w:pPr>
        <w:pStyle w:val="HTMLPreformatted"/>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Keywords: MSMEs, Full Costing, Variable Costing, Break Event Point, Sensitivity</w:t>
      </w:r>
    </w:p>
    <w:p w14:paraId="49A3C59A" w14:textId="77777777" w:rsidR="00BA6C97" w:rsidRPr="00DB5227" w:rsidRDefault="00BA6C97">
      <w:pPr>
        <w:rPr>
          <w:rFonts w:ascii="Times New Roman" w:hAnsi="Times New Roman" w:cs="Times New Roman"/>
          <w:b/>
          <w:bCs/>
        </w:rPr>
      </w:pPr>
    </w:p>
    <w:p w14:paraId="14549EB1" w14:textId="77777777" w:rsidR="00BA6C97" w:rsidRPr="00DB5227" w:rsidRDefault="00BA6C97" w:rsidP="00BA6C97">
      <w:pPr>
        <w:pStyle w:val="HTMLPreformatted"/>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INTRODUCTION</w:t>
      </w:r>
    </w:p>
    <w:p w14:paraId="0D58A0D4" w14:textId="77777777"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transformation of the agricultural sector into an industrial sector is inevitable for developing countries like Indonesia. Development in the industrial sector, supported by agriculture, will also advance. Therefore, an economic balance is needed between a strong industrial sector and strong agricultural support. Agroindustry, which is the agricultural processing industry, utilizes agricultural products to produce economically valuable products and is also a key stage in sustainable agricultural development [1].</w:t>
      </w:r>
    </w:p>
    <w:p w14:paraId="659F0B5C" w14:textId="605D6C3E"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Agroindustry, particularly in the Micro, Small, and Medium Enterprises (MSMEs) sector, plays a crucial role in the Indonesian economy. Research conducted by the Institute for Development of Economics and Finance (INDEF) shows that the agricultural sector dominates the MSME sector in Indonesia. This sector contributes 50% of the total number of MSMEs in Indonesia [2]. Law No. 20 of 2008 defines MSMEs as productive businesses owned by individuals or business entities that have met the criteria as micro-enterprises [3]. In its role as a pillar of the Indonesian economy, MSMEs have a very large number and show a positive trend</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with their numbers continuing to increase every year [4]. According to data collected by the Ministry of Cooperatives and SMEs, it is revealed that the number of MSMEs is 65.46 million, helping the national economy</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including contributing to the Gross Domestic Product (GDP) at current prices with a percentage of 60.51% and absorbing a workforce of 123.3 thousand workers.</w:t>
      </w:r>
    </w:p>
    <w:p w14:paraId="480CC6D5" w14:textId="77777777" w:rsidR="00BA6C97" w:rsidRPr="00DB5227" w:rsidRDefault="00BA6C97" w:rsidP="00DB522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East Kalimantan, a region in Indonesia, has significant potential for the development of agro-industry-based MSMEs. This is reflected in the agricultural sector's contribution to East Kalimantan's economy in 2023, which amounted to 8.02%, equivalent to IDR 67.69 trillion. Horticulture is a sub-sector contributing to East Kalimantan's Gross Regional Domestic Product (GRDP), contributing IDR 2.74 trillion to the region's GRDP [5].</w:t>
      </w:r>
    </w:p>
    <w:p w14:paraId="2D34A548" w14:textId="77777777"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Oyster mushrooms (</w:t>
      </w:r>
      <w:r w:rsidRPr="00DB5227">
        <w:rPr>
          <w:rStyle w:val="y2iqfc"/>
          <w:rFonts w:ascii="Times New Roman" w:eastAsiaTheme="majorEastAsia" w:hAnsi="Times New Roman" w:cs="Times New Roman"/>
          <w:i/>
          <w:iCs/>
          <w:sz w:val="22"/>
          <w:szCs w:val="22"/>
          <w:lang w:val="en"/>
        </w:rPr>
        <w:t>Pleurotus ostreatus</w:t>
      </w:r>
      <w:r w:rsidRPr="00DB5227">
        <w:rPr>
          <w:rStyle w:val="y2iqfc"/>
          <w:rFonts w:ascii="Times New Roman" w:eastAsiaTheme="majorEastAsia" w:hAnsi="Times New Roman" w:cs="Times New Roman"/>
          <w:sz w:val="22"/>
          <w:szCs w:val="22"/>
          <w:lang w:val="en"/>
        </w:rPr>
        <w:t xml:space="preserve">), a horticultural product, are widely used to meet agro-industry needs. The oyster mushroom agroindustry processes oyster mushrooms, which are perishable, into value-added products with a longer shelf life. Oyster mushrooms, positioned as an industrial raw material, can be guaranteed to be available as production increases [6]. Oyster </w:t>
      </w:r>
      <w:r w:rsidRPr="00DB5227">
        <w:rPr>
          <w:rStyle w:val="y2iqfc"/>
          <w:rFonts w:ascii="Times New Roman" w:eastAsiaTheme="majorEastAsia" w:hAnsi="Times New Roman" w:cs="Times New Roman"/>
          <w:sz w:val="22"/>
          <w:szCs w:val="22"/>
          <w:lang w:val="en"/>
        </w:rPr>
        <w:lastRenderedPageBreak/>
        <w:t>mushroom production in East Kalimantan reached 54,810 kg in 2021, then increased to 167,050 kg in 2022 [7].</w:t>
      </w:r>
    </w:p>
    <w:p w14:paraId="6E1B5692" w14:textId="77777777"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Despite their potential and strategic contribution, MSMEs face various challenges, particularly in the agro-industry. The biggest challenge for MSMEs in the agro-industry is intense competition among competitors. They compete not only on quality but also on the selling price of their products. The selling price is determined by adding the cost of production per unit to the desired profit margin. Therefore, before setting a selling price, MSMEs must accurately calculate the cost of production to maintain product competitiveness in the market.</w:t>
      </w:r>
    </w:p>
    <w:p w14:paraId="29D514AE" w14:textId="77777777" w:rsidR="00BA6C97" w:rsidRPr="00DB5227" w:rsidRDefault="00BA6C97" w:rsidP="00BA6C9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correct cost of production can be determined through calculations based on cost accounting. To calculate the cost of production based on cost accounting, both full costing and variable costing methods can be used. The full costing method combines all elements of production costs, including raw material costs, direct labor costs, and variable and fixed overhead costs. Meanwhile, the variable costing method considers only variable costs, consisting of raw material costs, direct labor costs, and variable overhead costs [8].</w:t>
      </w:r>
    </w:p>
    <w:p w14:paraId="41ECFE40" w14:textId="77777777"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Research results [9] reported that MSMEs also need to know the break-even point (BEP) so they have a benchmark or reference in the production process. BEP describes a condition where total costs and revenues are in balance, so that MSMEs do not experience losses or profits. This calculation helps MSMEs determine the minimum number of products that must be sold to cover production costs and avoid losses. In carrying out their business activities, every MSME is constantly faced with uncertainty that can affect performance and profitability. To address this, sensitivity analysis is used as a tool to identify the impact of changes in production parameters on changes in the performance of the production system in generating profits, so that MSMEs have a more comprehensive picture in planning and managing their businesses [10].</w:t>
      </w:r>
    </w:p>
    <w:p w14:paraId="7192D5D7" w14:textId="7B0E7484" w:rsidR="00BA6C97" w:rsidRPr="00DB5227" w:rsidRDefault="00BA6C97" w:rsidP="00DB522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Oyster </w:t>
      </w:r>
      <w:r w:rsidR="00DB5227">
        <w:rPr>
          <w:rStyle w:val="y2iqfc"/>
          <w:rFonts w:ascii="Times New Roman" w:eastAsiaTheme="majorEastAsia" w:hAnsi="Times New Roman" w:cs="Times New Roman"/>
          <w:sz w:val="22"/>
          <w:szCs w:val="22"/>
          <w:lang w:val="en"/>
        </w:rPr>
        <w:t xml:space="preserve">Mushroom </w:t>
      </w:r>
      <w:r w:rsidRPr="00DB5227">
        <w:rPr>
          <w:rStyle w:val="y2iqfc"/>
          <w:rFonts w:ascii="Times New Roman" w:eastAsiaTheme="majorEastAsia" w:hAnsi="Times New Roman" w:cs="Times New Roman"/>
          <w:sz w:val="22"/>
          <w:szCs w:val="22"/>
          <w:lang w:val="en"/>
        </w:rPr>
        <w:t xml:space="preserve">Etam (JATAM) is the only MSME producing packaged oyster mushroom chips in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City, located in </w:t>
      </w:r>
      <w:proofErr w:type="spellStart"/>
      <w:r w:rsidRPr="00DB5227">
        <w:rPr>
          <w:rStyle w:val="y2iqfc"/>
          <w:rFonts w:ascii="Times New Roman" w:eastAsiaTheme="majorEastAsia" w:hAnsi="Times New Roman" w:cs="Times New Roman"/>
          <w:sz w:val="22"/>
          <w:szCs w:val="22"/>
          <w:lang w:val="en"/>
        </w:rPr>
        <w:t>Lempake</w:t>
      </w:r>
      <w:proofErr w:type="spellEnd"/>
      <w:r w:rsidRPr="00DB5227">
        <w:rPr>
          <w:rStyle w:val="y2iqfc"/>
          <w:rFonts w:ascii="Times New Roman" w:eastAsiaTheme="majorEastAsia" w:hAnsi="Times New Roman" w:cs="Times New Roman"/>
          <w:sz w:val="22"/>
          <w:szCs w:val="22"/>
          <w:lang w:val="en"/>
        </w:rPr>
        <w:t xml:space="preserve"> Village, Sungai Pinang District, North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District. This business was established in 2022 and now holds a halal certificate and a Home Industry Food Production Certificate (SPP-IRT). This business, which processes oyster mushrooms into oyster mushroom chips, develops its business through continuous innovation by always taking advantage of opportunities. However, JATAM MSME still faces several challenges. To date, in determining the cost of production, the MSME has not used a cost accounting-based approach, but only calculates based on the business owner's personal assumptions</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and does not detail the overall costs incurred during the production process. Furthermore, the MSME has not calculated the break-even point for sales revenue and production volume, or conducted a sensitivity analysis for future possibilities.</w:t>
      </w:r>
    </w:p>
    <w:p w14:paraId="449144DE" w14:textId="77777777" w:rsidR="00BA6C97" w:rsidRPr="00DB5227" w:rsidRDefault="00BA6C97" w:rsidP="00BA6C9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In connection with the description above, a study was conducted on the determination and comparison of production costs based on the methods applied by MSMEs, with the full costing method, and variable costing, as well as </w:t>
      </w:r>
      <w:proofErr w:type="spellStart"/>
      <w:r w:rsidRPr="00DB5227">
        <w:rPr>
          <w:rStyle w:val="y2iqfc"/>
          <w:rFonts w:ascii="Times New Roman" w:eastAsiaTheme="majorEastAsia" w:hAnsi="Times New Roman" w:cs="Times New Roman"/>
          <w:sz w:val="22"/>
          <w:szCs w:val="22"/>
          <w:lang w:val="en"/>
        </w:rPr>
        <w:t>break even</w:t>
      </w:r>
      <w:proofErr w:type="spellEnd"/>
      <w:r w:rsidRPr="00DB5227">
        <w:rPr>
          <w:rStyle w:val="y2iqfc"/>
          <w:rFonts w:ascii="Times New Roman" w:eastAsiaTheme="majorEastAsia" w:hAnsi="Times New Roman" w:cs="Times New Roman"/>
          <w:sz w:val="22"/>
          <w:szCs w:val="22"/>
          <w:lang w:val="en"/>
        </w:rPr>
        <w:t xml:space="preserve"> point analysis, and sensitivity analysis of oyster mushroom chips production, with a case study on the JATAM MSME located in </w:t>
      </w:r>
      <w:proofErr w:type="spellStart"/>
      <w:r w:rsidRPr="00DB5227">
        <w:rPr>
          <w:rStyle w:val="y2iqfc"/>
          <w:rFonts w:ascii="Times New Roman" w:eastAsiaTheme="majorEastAsia" w:hAnsi="Times New Roman" w:cs="Times New Roman"/>
          <w:sz w:val="22"/>
          <w:szCs w:val="22"/>
          <w:lang w:val="en"/>
        </w:rPr>
        <w:t>Lempake</w:t>
      </w:r>
      <w:proofErr w:type="spellEnd"/>
      <w:r w:rsidRPr="00DB5227">
        <w:rPr>
          <w:rStyle w:val="y2iqfc"/>
          <w:rFonts w:ascii="Times New Roman" w:eastAsiaTheme="majorEastAsia" w:hAnsi="Times New Roman" w:cs="Times New Roman"/>
          <w:sz w:val="22"/>
          <w:szCs w:val="22"/>
          <w:lang w:val="en"/>
        </w:rPr>
        <w:t xml:space="preserve"> Village, North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District,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City.</w:t>
      </w:r>
    </w:p>
    <w:p w14:paraId="669B63A6" w14:textId="77777777" w:rsidR="00BA6C97" w:rsidRPr="00DB5227" w:rsidRDefault="00BA6C97" w:rsidP="00DB5227">
      <w:pPr>
        <w:pStyle w:val="HTMLPreformatted"/>
        <w:rPr>
          <w:rFonts w:ascii="Times New Roman" w:hAnsi="Times New Roman" w:cs="Times New Roman"/>
          <w:sz w:val="22"/>
          <w:szCs w:val="22"/>
        </w:rPr>
      </w:pPr>
    </w:p>
    <w:p w14:paraId="27916FC6" w14:textId="77777777" w:rsidR="00DF5477" w:rsidRPr="00DB5227" w:rsidRDefault="00DF5477" w:rsidP="00DF5477">
      <w:pPr>
        <w:pStyle w:val="HTMLPreformatted"/>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RESEARCH METHODS</w:t>
      </w:r>
    </w:p>
    <w:p w14:paraId="1179C717" w14:textId="77777777" w:rsidR="00DF5477" w:rsidRPr="00DB5227" w:rsidRDefault="00DF5477" w:rsidP="00DB522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The research was conducted from October 2024 to January 2025 at the JATAM MSME, located on Jalan </w:t>
      </w:r>
      <w:proofErr w:type="spellStart"/>
      <w:r w:rsidRPr="00DB5227">
        <w:rPr>
          <w:rStyle w:val="y2iqfc"/>
          <w:rFonts w:ascii="Times New Roman" w:eastAsiaTheme="majorEastAsia" w:hAnsi="Times New Roman" w:cs="Times New Roman"/>
          <w:sz w:val="22"/>
          <w:szCs w:val="22"/>
          <w:lang w:val="en"/>
        </w:rPr>
        <w:t>Poros</w:t>
      </w:r>
      <w:proofErr w:type="spellEnd"/>
      <w:r w:rsidRPr="00DB5227">
        <w:rPr>
          <w:rStyle w:val="y2iqfc"/>
          <w:rFonts w:ascii="Times New Roman" w:eastAsiaTheme="majorEastAsia" w:hAnsi="Times New Roman" w:cs="Times New Roman"/>
          <w:sz w:val="22"/>
          <w:szCs w:val="22"/>
          <w:lang w:val="en"/>
        </w:rPr>
        <w:t xml:space="preserve"> </w:t>
      </w:r>
      <w:proofErr w:type="spellStart"/>
      <w:r w:rsidRPr="00DB5227">
        <w:rPr>
          <w:rStyle w:val="y2iqfc"/>
          <w:rFonts w:ascii="Times New Roman" w:eastAsiaTheme="majorEastAsia" w:hAnsi="Times New Roman" w:cs="Times New Roman"/>
          <w:sz w:val="22"/>
          <w:szCs w:val="22"/>
          <w:lang w:val="en"/>
        </w:rPr>
        <w:t>Kebun</w:t>
      </w:r>
      <w:proofErr w:type="spellEnd"/>
      <w:r w:rsidRPr="00DB5227">
        <w:rPr>
          <w:rStyle w:val="y2iqfc"/>
          <w:rFonts w:ascii="Times New Roman" w:eastAsiaTheme="majorEastAsia" w:hAnsi="Times New Roman" w:cs="Times New Roman"/>
          <w:sz w:val="22"/>
          <w:szCs w:val="22"/>
          <w:lang w:val="en"/>
        </w:rPr>
        <w:t xml:space="preserve"> Agung, </w:t>
      </w:r>
      <w:proofErr w:type="spellStart"/>
      <w:r w:rsidRPr="00DB5227">
        <w:rPr>
          <w:rStyle w:val="y2iqfc"/>
          <w:rFonts w:ascii="Times New Roman" w:eastAsiaTheme="majorEastAsia" w:hAnsi="Times New Roman" w:cs="Times New Roman"/>
          <w:sz w:val="22"/>
          <w:szCs w:val="22"/>
          <w:lang w:val="en"/>
        </w:rPr>
        <w:t>Lempake</w:t>
      </w:r>
      <w:proofErr w:type="spellEnd"/>
      <w:r w:rsidRPr="00DB5227">
        <w:rPr>
          <w:rStyle w:val="y2iqfc"/>
          <w:rFonts w:ascii="Times New Roman" w:eastAsiaTheme="majorEastAsia" w:hAnsi="Times New Roman" w:cs="Times New Roman"/>
          <w:sz w:val="22"/>
          <w:szCs w:val="22"/>
          <w:lang w:val="en"/>
        </w:rPr>
        <w:t xml:space="preserve"> Village, North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District,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City. The location was selected based on the consideration that this MSME is the only agro-industry-based business processing oyster mushrooms into oyster mushroom chips in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City.</w:t>
      </w:r>
    </w:p>
    <w:p w14:paraId="07D76DC3" w14:textId="77777777" w:rsidR="00DF5477" w:rsidRPr="00DB5227" w:rsidRDefault="00DF5477" w:rsidP="00DB522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research method used was a case study focused on the business of processing oyster mushrooms into packaged oyster mushroom chips. The case study method aims to analyze a case in depth, so the results cannot be generalized [11].</w:t>
      </w:r>
    </w:p>
    <w:p w14:paraId="541B724D" w14:textId="7498DEAA" w:rsidR="00DF5477" w:rsidRPr="00DB5227" w:rsidRDefault="00DF5477" w:rsidP="00DF547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The research object was determined using purposive sampling, considering that this MSME is the only business in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City that has continuously developed oyster mushroom processing into packaged oyster mushroom chips. The types and techniques of data collection in this study consisted of primary data obtained through direct field observation and interviews with </w:t>
      </w:r>
      <w:r w:rsidRPr="00DB5227">
        <w:rPr>
          <w:rStyle w:val="y2iqfc"/>
          <w:rFonts w:ascii="Times New Roman" w:eastAsiaTheme="majorEastAsia" w:hAnsi="Times New Roman" w:cs="Times New Roman"/>
          <w:sz w:val="22"/>
          <w:szCs w:val="22"/>
          <w:lang w:val="en"/>
        </w:rPr>
        <w:lastRenderedPageBreak/>
        <w:t>parties related to the research topic, namely</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the owner of the JATAM MSME. Secondary data were obtained from library research, scientific articles, and literature from relevant agencies.</w:t>
      </w:r>
    </w:p>
    <w:p w14:paraId="3BFCE09F" w14:textId="77777777" w:rsidR="00DF5477" w:rsidRPr="00DB5227" w:rsidRDefault="00DF5477" w:rsidP="00DF547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Data analysis methods in this study included full costing and variable costing, break-even point analysis, and sensitivity analysis. The following is the analytical framework used in this study:</w:t>
      </w:r>
    </w:p>
    <w:p w14:paraId="57120D13" w14:textId="77777777" w:rsidR="00DF5477" w:rsidRPr="00DB5227" w:rsidRDefault="00DF5477" w:rsidP="00DF5477">
      <w:pPr>
        <w:pStyle w:val="HTMLPreformatted"/>
        <w:numPr>
          <w:ilvl w:val="0"/>
          <w:numId w:val="1"/>
        </w:numPr>
        <w:ind w:left="426" w:hanging="426"/>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The method used to determine the cost of production is based on the full costing and variable costing methods [8]. </w:t>
      </w:r>
    </w:p>
    <w:p w14:paraId="552710BC" w14:textId="0FC90DAE"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Full Costing Method</w:t>
      </w:r>
    </w:p>
    <w:p w14:paraId="56B9F169" w14:textId="3982AC0D"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Raw Material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366F1F50" w14:textId="206143AD"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Direct Labor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6011158E" w14:textId="7CF9A376"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Fixed Overhead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0A74CC18" w14:textId="765EFA00" w:rsidR="00DF5477" w:rsidRPr="00DB5227" w:rsidRDefault="00DB5227" w:rsidP="00DF5477">
      <w:pPr>
        <w:pStyle w:val="HTMLPreformatted"/>
        <w:rPr>
          <w:rStyle w:val="y2iqfc"/>
          <w:rFonts w:ascii="Times New Roman" w:eastAsiaTheme="majorEastAsia" w:hAnsi="Times New Roman" w:cs="Times New Roman"/>
          <w:sz w:val="22"/>
          <w:szCs w:val="22"/>
          <w:u w:val="single"/>
          <w:lang w:val="en"/>
        </w:rPr>
      </w:pPr>
      <w:r w:rsidRPr="00DB5227">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u w:val="single"/>
          <w:lang w:val="en"/>
        </w:rPr>
        <w:t xml:space="preserve">Variable Overhead Cost </w:t>
      </w:r>
      <w:r w:rsidR="00DF5477" w:rsidRPr="00DB5227">
        <w:rPr>
          <w:rStyle w:val="y2iqfc"/>
          <w:rFonts w:ascii="Times New Roman" w:eastAsiaTheme="majorEastAsia" w:hAnsi="Times New Roman" w:cs="Times New Roman"/>
          <w:sz w:val="22"/>
          <w:szCs w:val="22"/>
          <w:u w:val="single"/>
          <w:lang w:val="en"/>
        </w:rPr>
        <w:tab/>
      </w:r>
      <w:r w:rsidR="00DF5477" w:rsidRPr="00DB5227">
        <w:rPr>
          <w:rStyle w:val="y2iqfc"/>
          <w:rFonts w:ascii="Times New Roman" w:eastAsiaTheme="majorEastAsia" w:hAnsi="Times New Roman" w:cs="Times New Roman"/>
          <w:sz w:val="22"/>
          <w:szCs w:val="22"/>
          <w:u w:val="single"/>
          <w:lang w:val="en"/>
        </w:rPr>
        <w:tab/>
      </w:r>
      <w:r>
        <w:rPr>
          <w:rStyle w:val="y2iqfc"/>
          <w:rFonts w:ascii="Times New Roman" w:eastAsiaTheme="majorEastAsia" w:hAnsi="Times New Roman" w:cs="Times New Roman"/>
          <w:sz w:val="22"/>
          <w:szCs w:val="22"/>
          <w:u w:val="single"/>
          <w:lang w:val="en"/>
        </w:rPr>
        <w:t xml:space="preserve">                 IDR</w:t>
      </w:r>
      <w:r w:rsidR="00DF5477" w:rsidRPr="00DB5227">
        <w:rPr>
          <w:rStyle w:val="y2iqfc"/>
          <w:rFonts w:ascii="Times New Roman" w:eastAsiaTheme="majorEastAsia" w:hAnsi="Times New Roman" w:cs="Times New Roman"/>
          <w:sz w:val="22"/>
          <w:szCs w:val="22"/>
          <w:u w:val="single"/>
          <w:lang w:val="en"/>
        </w:rPr>
        <w:t xml:space="preserve"> xxx (+)</w:t>
      </w:r>
    </w:p>
    <w:p w14:paraId="3DC67096" w14:textId="494000EE"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Cost of Goods Manufactured (COGS) </w:t>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00DA095B"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47A599E3" w14:textId="40227D34" w:rsidR="00DF5477" w:rsidRPr="00DB5227" w:rsidRDefault="00DF5477" w:rsidP="00DF5477">
      <w:pPr>
        <w:pStyle w:val="HTMLPreformatted"/>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COGS Per Unit = (Cost of Goods Manufactured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w:t>
      </w:r>
      <w:proofErr w:type="gramStart"/>
      <w:r w:rsidRPr="00DB5227">
        <w:rPr>
          <w:rStyle w:val="y2iqfc"/>
          <w:rFonts w:ascii="Times New Roman" w:eastAsiaTheme="majorEastAsia" w:hAnsi="Times New Roman" w:cs="Times New Roman"/>
          <w:sz w:val="22"/>
          <w:szCs w:val="22"/>
          <w:lang w:val="en"/>
        </w:rPr>
        <w:t>/(</w:t>
      </w:r>
      <w:proofErr w:type="gramEnd"/>
      <w:r w:rsidRPr="00DB5227">
        <w:rPr>
          <w:rStyle w:val="y2iqfc"/>
          <w:rFonts w:ascii="Times New Roman" w:eastAsiaTheme="majorEastAsia" w:hAnsi="Times New Roman" w:cs="Times New Roman"/>
          <w:sz w:val="22"/>
          <w:szCs w:val="22"/>
          <w:lang w:val="en"/>
        </w:rPr>
        <w:t>Total Production (Packaging))</w:t>
      </w:r>
    </w:p>
    <w:p w14:paraId="728BD7C9"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370D6B4A" w14:textId="4363CE70"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Variable Costing Method</w:t>
      </w:r>
    </w:p>
    <w:p w14:paraId="18D9C250" w14:textId="4B3EA25B"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Raw Material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75003506" w14:textId="708DCEB4"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Direct Labor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23FF2FB3" w14:textId="156E1862" w:rsidR="00DF5477" w:rsidRPr="00DB5227" w:rsidRDefault="00DB5227" w:rsidP="00DF5477">
      <w:pPr>
        <w:pStyle w:val="HTMLPreformatted"/>
        <w:rPr>
          <w:rStyle w:val="y2iqfc"/>
          <w:rFonts w:ascii="Times New Roman" w:eastAsiaTheme="majorEastAsia" w:hAnsi="Times New Roman" w:cs="Times New Roman"/>
          <w:sz w:val="22"/>
          <w:szCs w:val="22"/>
          <w:u w:val="single"/>
          <w:lang w:val="en"/>
        </w:rPr>
      </w:pPr>
      <w:r w:rsidRPr="00DB5227">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u w:val="single"/>
          <w:lang w:val="en"/>
        </w:rPr>
        <w:t xml:space="preserve">Variable Overhead Cost </w:t>
      </w:r>
      <w:r w:rsidR="00DF5477" w:rsidRPr="00DB5227">
        <w:rPr>
          <w:rStyle w:val="y2iqfc"/>
          <w:rFonts w:ascii="Times New Roman" w:eastAsiaTheme="majorEastAsia" w:hAnsi="Times New Roman" w:cs="Times New Roman"/>
          <w:sz w:val="22"/>
          <w:szCs w:val="22"/>
          <w:u w:val="single"/>
          <w:lang w:val="en"/>
        </w:rPr>
        <w:tab/>
      </w:r>
      <w:r w:rsidR="00DF5477" w:rsidRPr="00DB5227">
        <w:rPr>
          <w:rStyle w:val="y2iqfc"/>
          <w:rFonts w:ascii="Times New Roman" w:eastAsiaTheme="majorEastAsia" w:hAnsi="Times New Roman" w:cs="Times New Roman"/>
          <w:sz w:val="22"/>
          <w:szCs w:val="22"/>
          <w:u w:val="single"/>
          <w:lang w:val="en"/>
        </w:rPr>
        <w:tab/>
      </w:r>
      <w:r>
        <w:rPr>
          <w:rStyle w:val="y2iqfc"/>
          <w:rFonts w:ascii="Times New Roman" w:eastAsiaTheme="majorEastAsia" w:hAnsi="Times New Roman" w:cs="Times New Roman"/>
          <w:sz w:val="22"/>
          <w:szCs w:val="22"/>
          <w:u w:val="single"/>
          <w:lang w:val="en"/>
        </w:rPr>
        <w:t xml:space="preserve">                 IDR</w:t>
      </w:r>
      <w:r w:rsidR="00DF5477" w:rsidRPr="00DB5227">
        <w:rPr>
          <w:rStyle w:val="y2iqfc"/>
          <w:rFonts w:ascii="Times New Roman" w:eastAsiaTheme="majorEastAsia" w:hAnsi="Times New Roman" w:cs="Times New Roman"/>
          <w:sz w:val="22"/>
          <w:szCs w:val="22"/>
          <w:u w:val="single"/>
          <w:lang w:val="en"/>
        </w:rPr>
        <w:t xml:space="preserve"> xxx (+)</w:t>
      </w:r>
    </w:p>
    <w:p w14:paraId="0FD5BE12" w14:textId="0849C486" w:rsidR="00DF5477" w:rsidRPr="00DB5227" w:rsidRDefault="00DB522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Cost of Goods Manufactured (COGS) </w:t>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 xml:space="preserve"> IDR</w:t>
      </w:r>
      <w:r w:rsidR="00DF5477" w:rsidRPr="00DB5227">
        <w:rPr>
          <w:rStyle w:val="y2iqfc"/>
          <w:rFonts w:ascii="Times New Roman" w:eastAsiaTheme="majorEastAsia" w:hAnsi="Times New Roman" w:cs="Times New Roman"/>
          <w:sz w:val="22"/>
          <w:szCs w:val="22"/>
          <w:lang w:val="en"/>
        </w:rPr>
        <w:t xml:space="preserve"> xxx</w:t>
      </w:r>
    </w:p>
    <w:p w14:paraId="15E97C6D"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39572ACE" w14:textId="4E788CA3" w:rsidR="00DF5477" w:rsidRPr="00DB5227" w:rsidRDefault="00DF5477" w:rsidP="00DF5477">
      <w:pPr>
        <w:pStyle w:val="HTMLPreformatted"/>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COGS Per Unit = (Cost of Goods Manufactured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w:t>
      </w:r>
      <w:proofErr w:type="gramStart"/>
      <w:r w:rsidRPr="00DB5227">
        <w:rPr>
          <w:rStyle w:val="y2iqfc"/>
          <w:rFonts w:ascii="Times New Roman" w:eastAsiaTheme="majorEastAsia" w:hAnsi="Times New Roman" w:cs="Times New Roman"/>
          <w:sz w:val="22"/>
          <w:szCs w:val="22"/>
          <w:lang w:val="en"/>
        </w:rPr>
        <w:t>/(</w:t>
      </w:r>
      <w:proofErr w:type="gramEnd"/>
      <w:r w:rsidRPr="00DB5227">
        <w:rPr>
          <w:rStyle w:val="y2iqfc"/>
          <w:rFonts w:ascii="Times New Roman" w:eastAsiaTheme="majorEastAsia" w:hAnsi="Times New Roman" w:cs="Times New Roman"/>
          <w:sz w:val="22"/>
          <w:szCs w:val="22"/>
          <w:lang w:val="en"/>
        </w:rPr>
        <w:t>Total Production (Packaging))</w:t>
      </w:r>
    </w:p>
    <w:p w14:paraId="6011E611"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29B41416" w14:textId="45E7814E" w:rsidR="00DF5477" w:rsidRPr="00DB5227" w:rsidRDefault="00DB5227" w:rsidP="00DF5477">
      <w:pPr>
        <w:pStyle w:val="HTMLPreformatted"/>
        <w:numPr>
          <w:ilvl w:val="0"/>
          <w:numId w:val="1"/>
        </w:numPr>
        <w:ind w:left="426" w:hanging="426"/>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The </w:t>
      </w:r>
      <w:r w:rsidR="00DF5477" w:rsidRPr="00DB5227">
        <w:rPr>
          <w:rStyle w:val="y2iqfc"/>
          <w:rFonts w:ascii="Times New Roman" w:eastAsiaTheme="majorEastAsia" w:hAnsi="Times New Roman" w:cs="Times New Roman"/>
          <w:sz w:val="22"/>
          <w:szCs w:val="22"/>
          <w:lang w:val="en"/>
        </w:rPr>
        <w:t>Method used to determine the break-even point [13]:</w:t>
      </w:r>
    </w:p>
    <w:p w14:paraId="7C7357C5" w14:textId="77777777" w:rsidR="00DF5477" w:rsidRPr="00DB5227" w:rsidRDefault="00DF5477" w:rsidP="00DF5477">
      <w:pPr>
        <w:pStyle w:val="HTMLPreformatted"/>
        <w:jc w:val="center"/>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BEP Sales Revenue = TFC/(1-TVC/S)</w:t>
      </w:r>
    </w:p>
    <w:p w14:paraId="6FFB2137"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w:t>
      </w:r>
    </w:p>
    <w:p w14:paraId="1036368A" w14:textId="51F4E7BA"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TFC</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Total Fixed Cost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/Month)</w:t>
      </w:r>
    </w:p>
    <w:p w14:paraId="0AD713D8" w14:textId="4E949832"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TVC</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Total Variable Cost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/Month)</w:t>
      </w:r>
    </w:p>
    <w:p w14:paraId="7820F26C" w14:textId="69CF3A20"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Sales Value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/Month)</w:t>
      </w:r>
    </w:p>
    <w:p w14:paraId="230118D7"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59D8C68E" w14:textId="4DF5D942"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BEP Production Volume = [</w:t>
      </w:r>
      <w:proofErr w:type="gramStart"/>
      <w:r w:rsidRPr="00DB5227">
        <w:rPr>
          <w:rStyle w:val="y2iqfc"/>
          <w:rFonts w:ascii="Times New Roman" w:eastAsiaTheme="majorEastAsia" w:hAnsi="Times New Roman" w:cs="Times New Roman"/>
          <w:sz w:val="22"/>
          <w:szCs w:val="22"/>
          <w:lang w:val="en"/>
        </w:rPr>
        <w:t>TFC[</w:t>
      </w:r>
      <w:proofErr w:type="gramEnd"/>
      <w:r w:rsidRPr="00DB5227">
        <w:rPr>
          <w:rStyle w:val="y2iqfc"/>
          <w:rFonts w:ascii="Times New Roman" w:eastAsiaTheme="majorEastAsia" w:hAnsi="Times New Roman" w:cs="Times New Roman"/>
          <w:sz w:val="22"/>
          <w:szCs w:val="22"/>
          <w:lang w:val="en"/>
        </w:rPr>
        <w:t xml:space="preserve"> /[1-TVC/S))/P]</w:t>
      </w:r>
    </w:p>
    <w:p w14:paraId="4BD06213" w14:textId="6B9C8793" w:rsidR="00BA6C97" w:rsidRDefault="00DF5477" w:rsidP="00DB522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 P: Price (IDR/Gram)</w:t>
      </w:r>
    </w:p>
    <w:p w14:paraId="6DD5145F" w14:textId="77777777" w:rsidR="00DB5227" w:rsidRPr="00DB5227" w:rsidRDefault="00DB5227" w:rsidP="00DB5227">
      <w:pPr>
        <w:pStyle w:val="HTMLPreformatted"/>
        <w:rPr>
          <w:rFonts w:ascii="Times New Roman" w:eastAsiaTheme="majorEastAsia" w:hAnsi="Times New Roman" w:cs="Times New Roman"/>
          <w:sz w:val="22"/>
          <w:szCs w:val="22"/>
          <w:lang w:val="en"/>
        </w:rPr>
      </w:pPr>
    </w:p>
    <w:p w14:paraId="0867BA1B" w14:textId="3897EBE8" w:rsidR="00DF5477" w:rsidRPr="00DB5227" w:rsidRDefault="00DF5477" w:rsidP="00DF5477">
      <w:pPr>
        <w:pStyle w:val="HTMLPreformatted"/>
        <w:numPr>
          <w:ilvl w:val="0"/>
          <w:numId w:val="1"/>
        </w:numPr>
        <w:ind w:left="426" w:hanging="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sensitivity analysis in this study was conducted using a production cost increase scenario to determine the extent to which changes in production costs affect the business's Break-E</w:t>
      </w:r>
      <w:r w:rsidR="00555088">
        <w:rPr>
          <w:rStyle w:val="y2iqfc"/>
          <w:rFonts w:ascii="Times New Roman" w:eastAsiaTheme="majorEastAsia" w:hAnsi="Times New Roman" w:cs="Times New Roman"/>
          <w:sz w:val="22"/>
          <w:szCs w:val="22"/>
          <w:lang w:val="en"/>
        </w:rPr>
        <w:t>ven Poin</w:t>
      </w:r>
      <w:r w:rsidRPr="00DB5227">
        <w:rPr>
          <w:rStyle w:val="y2iqfc"/>
          <w:rFonts w:ascii="Times New Roman" w:eastAsiaTheme="majorEastAsia" w:hAnsi="Times New Roman" w:cs="Times New Roman"/>
          <w:sz w:val="22"/>
          <w:szCs w:val="22"/>
          <w:lang w:val="en"/>
        </w:rPr>
        <w:t>t (BEP). Sensitivity can be calculated using the formula [11]: Sensitivity = [TFC x S]</w:t>
      </w:r>
      <w:proofErr w:type="gramStart"/>
      <w:r w:rsidRPr="00DB5227">
        <w:rPr>
          <w:rStyle w:val="y2iqfc"/>
          <w:rFonts w:ascii="Times New Roman" w:eastAsiaTheme="majorEastAsia" w:hAnsi="Times New Roman" w:cs="Times New Roman"/>
          <w:sz w:val="22"/>
          <w:szCs w:val="22"/>
          <w:lang w:val="en"/>
        </w:rPr>
        <w:t>/[</w:t>
      </w:r>
      <w:proofErr w:type="gramEnd"/>
      <w:r w:rsidRPr="00DB5227">
        <w:rPr>
          <w:rStyle w:val="y2iqfc"/>
          <w:rFonts w:ascii="Times New Roman" w:eastAsiaTheme="majorEastAsia" w:hAnsi="Times New Roman" w:cs="Times New Roman"/>
          <w:sz w:val="22"/>
          <w:szCs w:val="22"/>
          <w:lang w:val="en"/>
        </w:rPr>
        <w:t>S – TVC]</w:t>
      </w:r>
    </w:p>
    <w:p w14:paraId="0E5B4E97"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w:t>
      </w:r>
    </w:p>
    <w:p w14:paraId="5FE2B3D8" w14:textId="0B6651BC" w:rsidR="00DF5477" w:rsidRPr="00DB5227" w:rsidRDefault="00DF5477" w:rsidP="00DF5477">
      <w:pPr>
        <w:pStyle w:val="HTMLPreformatted"/>
        <w:rPr>
          <w:rStyle w:val="y2iqfc"/>
          <w:rFonts w:ascii="Times New Roman" w:eastAsiaTheme="majorEastAsia" w:hAnsi="Times New Roman" w:cs="Times New Roman"/>
          <w:sz w:val="22"/>
          <w:szCs w:val="22"/>
          <w:lang w:val="en"/>
        </w:rPr>
      </w:pPr>
      <w:proofErr w:type="gramStart"/>
      <w:r w:rsidRPr="00DB5227">
        <w:rPr>
          <w:rStyle w:val="y2iqfc"/>
          <w:rFonts w:ascii="Times New Roman" w:eastAsiaTheme="majorEastAsia" w:hAnsi="Times New Roman" w:cs="Times New Roman"/>
          <w:sz w:val="22"/>
          <w:szCs w:val="22"/>
          <w:lang w:val="en"/>
        </w:rPr>
        <w:t>TFC</w:t>
      </w:r>
      <w:r w:rsidR="00DB5227">
        <w:rPr>
          <w:rStyle w:val="y2iqfc"/>
          <w:rFonts w:ascii="Times New Roman" w:eastAsiaTheme="majorEastAsia" w:hAnsi="Times New Roman" w:cs="Times New Roman"/>
          <w:sz w:val="22"/>
          <w:szCs w:val="22"/>
          <w:lang w:val="en"/>
        </w:rPr>
        <w:t xml:space="preserve">  =</w:t>
      </w:r>
      <w:proofErr w:type="gramEnd"/>
      <w:r w:rsidRPr="00DB5227">
        <w:rPr>
          <w:rStyle w:val="y2iqfc"/>
          <w:rFonts w:ascii="Times New Roman" w:eastAsiaTheme="majorEastAsia" w:hAnsi="Times New Roman" w:cs="Times New Roman"/>
          <w:sz w:val="22"/>
          <w:szCs w:val="22"/>
          <w:lang w:val="en"/>
        </w:rPr>
        <w:t xml:space="preserve"> Total Fixed Cost (IDR/Month)</w:t>
      </w:r>
    </w:p>
    <w:p w14:paraId="171A6021" w14:textId="6CC2F0F4"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TVC</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Total Variable Cost (IDR/Month)</w:t>
      </w:r>
    </w:p>
    <w:p w14:paraId="69E692B9" w14:textId="40969B24" w:rsidR="00DF5477" w:rsidRPr="00DB5227" w:rsidRDefault="00DF5477" w:rsidP="00DF547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S</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Sales Value (IDR/Month)</w:t>
      </w:r>
    </w:p>
    <w:p w14:paraId="2B24DC73" w14:textId="77777777" w:rsidR="00DF5477" w:rsidRPr="00DB5227" w:rsidRDefault="00DF5477" w:rsidP="005B214E">
      <w:pPr>
        <w:rPr>
          <w:rFonts w:ascii="Times New Roman" w:hAnsi="Times New Roman" w:cs="Times New Roman"/>
        </w:rPr>
      </w:pPr>
    </w:p>
    <w:p w14:paraId="0884C62D" w14:textId="77777777" w:rsidR="005B214E" w:rsidRPr="00DB5227" w:rsidRDefault="005B214E" w:rsidP="005B214E">
      <w:pPr>
        <w:pStyle w:val="HTMLPreformatted"/>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RESULTS AND DISCUSSION</w:t>
      </w:r>
    </w:p>
    <w:p w14:paraId="68B34EBD" w14:textId="77777777" w:rsidR="005B214E" w:rsidRPr="00DB5227" w:rsidRDefault="005B214E" w:rsidP="005B214E">
      <w:pPr>
        <w:pStyle w:val="HTMLPreformatted"/>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1. Respondents</w:t>
      </w:r>
    </w:p>
    <w:p w14:paraId="41E090D0" w14:textId="77777777" w:rsidR="005B214E"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respondent in this study was Risa Agustina, a 26-year-old owner of the JATAM MSME. Based on the definition of the Central Statistics Agency (BPS), the productive age group includes individuals aged 15 to 64. Therefore, the owner is within her productive age, generally possessing the energy, adaptability, and capacity to drive business growth [14]. Her most recent formal education was high school (SMA). She also actively participates in training organized by the Department of Industry, Trade, and Cooperatives (Disperindagkop), which focuses on MSME development, thus contributing to improving the respondents' business management skills.</w:t>
      </w:r>
    </w:p>
    <w:p w14:paraId="2F12A04E" w14:textId="77777777" w:rsidR="00DB5227" w:rsidRP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5F204178" w14:textId="77777777" w:rsidR="005B214E" w:rsidRPr="00DB5227" w:rsidRDefault="005B214E" w:rsidP="005B214E">
      <w:pPr>
        <w:pStyle w:val="HTMLPreformatted"/>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2. Overview of JATAM MSME</w:t>
      </w:r>
    </w:p>
    <w:p w14:paraId="737C847D" w14:textId="3B983B8A"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JATAM is an MSME located in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City, specifically on Jalan Poros Kebun Agung RT. 3 No. 51, </w:t>
      </w:r>
      <w:proofErr w:type="spellStart"/>
      <w:r w:rsidRPr="00DB5227">
        <w:rPr>
          <w:rStyle w:val="y2iqfc"/>
          <w:rFonts w:ascii="Times New Roman" w:eastAsiaTheme="majorEastAsia" w:hAnsi="Times New Roman" w:cs="Times New Roman"/>
          <w:sz w:val="22"/>
          <w:szCs w:val="22"/>
          <w:lang w:val="en"/>
        </w:rPr>
        <w:t>Lempake</w:t>
      </w:r>
      <w:proofErr w:type="spellEnd"/>
      <w:r w:rsidRPr="00DB5227">
        <w:rPr>
          <w:rStyle w:val="y2iqfc"/>
          <w:rFonts w:ascii="Times New Roman" w:eastAsiaTheme="majorEastAsia" w:hAnsi="Times New Roman" w:cs="Times New Roman"/>
          <w:sz w:val="22"/>
          <w:szCs w:val="22"/>
          <w:lang w:val="en"/>
        </w:rPr>
        <w:t xml:space="preserve"> Village, North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District. Its establishment was motivated by the consideration that one of the MSME owner's family members, her in-laws, is an oyster mushroom farmer. Due to the perishable nature of oyster mushrooms, the idea arose to increase the product's shelf life by processing it into oyster mushroom chips. The oyster mushroom chips produced by the JATAM MSME have a shelf life of five to six months.</w:t>
      </w:r>
    </w:p>
    <w:p w14:paraId="1B2AE5BB"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JATAM MSME has been operating for two years, having been established in November 2022 with an initial capital of IDR 2,000,000.00. The quality of JATAM's chips is meticulously maintained, ensuring both taste and crispiness. During its production process, JATAM MSME has received official recognition in the form of a certificate from the Health Office with number SPP-IRT 5046472010233-27, issued on December 1, 2022. Furthermore, JATAM's chips were also certified halal by the Indonesian Ulema Council (MUI) on January 12, 2023, with certificate number ID 64110001304801222, guaranteeing the chips' halal status.</w:t>
      </w:r>
    </w:p>
    <w:p w14:paraId="57BBFA85" w14:textId="3741FDA5"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JATAM MSME has undertaken various strategic efforts to improve the quality of its products, thereby qualifying to market JATAM chips to major retailers. These oyster mushroom chips are marketed at Rp 17,000 per 85-gram package. Over the past two years, JATAM has completed a partnership with Toko Oleh-oleh Najwa, located on Jalan </w:t>
      </w:r>
      <w:proofErr w:type="spellStart"/>
      <w:r w:rsidRPr="00DB5227">
        <w:rPr>
          <w:rStyle w:val="y2iqfc"/>
          <w:rFonts w:ascii="Times New Roman" w:eastAsiaTheme="majorEastAsia" w:hAnsi="Times New Roman" w:cs="Times New Roman"/>
          <w:sz w:val="22"/>
          <w:szCs w:val="22"/>
          <w:lang w:val="en"/>
        </w:rPr>
        <w:t>Pangeran</w:t>
      </w:r>
      <w:proofErr w:type="spellEnd"/>
      <w:r w:rsidRPr="00DB5227">
        <w:rPr>
          <w:rStyle w:val="y2iqfc"/>
          <w:rFonts w:ascii="Times New Roman" w:eastAsiaTheme="majorEastAsia" w:hAnsi="Times New Roman" w:cs="Times New Roman"/>
          <w:sz w:val="22"/>
          <w:szCs w:val="22"/>
          <w:lang w:val="en"/>
        </w:rPr>
        <w:t xml:space="preserve"> </w:t>
      </w:r>
      <w:proofErr w:type="spellStart"/>
      <w:r w:rsidRPr="00DB5227">
        <w:rPr>
          <w:rStyle w:val="y2iqfc"/>
          <w:rFonts w:ascii="Times New Roman" w:eastAsiaTheme="majorEastAsia" w:hAnsi="Times New Roman" w:cs="Times New Roman"/>
          <w:sz w:val="22"/>
          <w:szCs w:val="22"/>
          <w:lang w:val="en"/>
        </w:rPr>
        <w:t>Antasari</w:t>
      </w:r>
      <w:proofErr w:type="spellEnd"/>
      <w:r w:rsidRPr="00DB5227">
        <w:rPr>
          <w:rStyle w:val="y2iqfc"/>
          <w:rFonts w:ascii="Times New Roman" w:eastAsiaTheme="majorEastAsia" w:hAnsi="Times New Roman" w:cs="Times New Roman"/>
          <w:sz w:val="22"/>
          <w:szCs w:val="22"/>
          <w:lang w:val="en"/>
        </w:rPr>
        <w:t xml:space="preserve">. Furthermore, JATAM chips are also marketed in several local supermarkets, including </w:t>
      </w:r>
      <w:proofErr w:type="spellStart"/>
      <w:r w:rsidRPr="00DB5227">
        <w:rPr>
          <w:rStyle w:val="y2iqfc"/>
          <w:rFonts w:ascii="Times New Roman" w:eastAsiaTheme="majorEastAsia" w:hAnsi="Times New Roman" w:cs="Times New Roman"/>
          <w:sz w:val="22"/>
          <w:szCs w:val="22"/>
          <w:lang w:val="en"/>
        </w:rPr>
        <w:t>Hypermart</w:t>
      </w:r>
      <w:proofErr w:type="spellEnd"/>
      <w:r w:rsidRPr="00DB5227">
        <w:rPr>
          <w:rStyle w:val="y2iqfc"/>
          <w:rFonts w:ascii="Times New Roman" w:eastAsiaTheme="majorEastAsia" w:hAnsi="Times New Roman" w:cs="Times New Roman"/>
          <w:sz w:val="22"/>
          <w:szCs w:val="22"/>
          <w:lang w:val="en"/>
        </w:rPr>
        <w:t xml:space="preserve">, </w:t>
      </w:r>
      <w:proofErr w:type="spellStart"/>
      <w:r w:rsidRPr="00DB5227">
        <w:rPr>
          <w:rStyle w:val="y2iqfc"/>
          <w:rFonts w:ascii="Times New Roman" w:eastAsiaTheme="majorEastAsia" w:hAnsi="Times New Roman" w:cs="Times New Roman"/>
          <w:sz w:val="22"/>
          <w:szCs w:val="22"/>
          <w:lang w:val="en"/>
        </w:rPr>
        <w:t>Foodmart</w:t>
      </w:r>
      <w:proofErr w:type="spellEnd"/>
      <w:r w:rsidRPr="00DB5227">
        <w:rPr>
          <w:rStyle w:val="y2iqfc"/>
          <w:rFonts w:ascii="Times New Roman" w:eastAsiaTheme="majorEastAsia" w:hAnsi="Times New Roman" w:cs="Times New Roman"/>
          <w:sz w:val="22"/>
          <w:szCs w:val="22"/>
          <w:lang w:val="en"/>
        </w:rPr>
        <w:t xml:space="preserve">, Farmers Market, </w:t>
      </w:r>
      <w:proofErr w:type="spellStart"/>
      <w:r w:rsidRPr="00DB5227">
        <w:rPr>
          <w:rStyle w:val="y2iqfc"/>
          <w:rFonts w:ascii="Times New Roman" w:eastAsiaTheme="majorEastAsia" w:hAnsi="Times New Roman" w:cs="Times New Roman"/>
          <w:sz w:val="22"/>
          <w:szCs w:val="22"/>
          <w:lang w:val="en"/>
        </w:rPr>
        <w:t>Joymart</w:t>
      </w:r>
      <w:proofErr w:type="spellEnd"/>
      <w:r w:rsidRPr="00DB5227">
        <w:rPr>
          <w:rStyle w:val="y2iqfc"/>
          <w:rFonts w:ascii="Times New Roman" w:eastAsiaTheme="majorEastAsia" w:hAnsi="Times New Roman" w:cs="Times New Roman"/>
          <w:sz w:val="22"/>
          <w:szCs w:val="22"/>
          <w:lang w:val="en"/>
        </w:rPr>
        <w:t xml:space="preserve">, and Mega </w:t>
      </w:r>
      <w:proofErr w:type="spellStart"/>
      <w:r w:rsidRPr="00DB5227">
        <w:rPr>
          <w:rStyle w:val="y2iqfc"/>
          <w:rFonts w:ascii="Times New Roman" w:eastAsiaTheme="majorEastAsia" w:hAnsi="Times New Roman" w:cs="Times New Roman"/>
          <w:sz w:val="22"/>
          <w:szCs w:val="22"/>
          <w:lang w:val="en"/>
        </w:rPr>
        <w:t>Swalayan</w:t>
      </w:r>
      <w:proofErr w:type="spellEnd"/>
      <w:r w:rsidRPr="00DB5227">
        <w:rPr>
          <w:rStyle w:val="y2iqfc"/>
          <w:rFonts w:ascii="Times New Roman" w:eastAsiaTheme="majorEastAsia" w:hAnsi="Times New Roman" w:cs="Times New Roman"/>
          <w:sz w:val="22"/>
          <w:szCs w:val="22"/>
          <w:lang w:val="en"/>
        </w:rPr>
        <w:t>.</w:t>
      </w:r>
    </w:p>
    <w:p w14:paraId="575BA530" w14:textId="77777777" w:rsidR="005B214E" w:rsidRPr="00DB5227" w:rsidRDefault="005B214E" w:rsidP="005B214E">
      <w:pPr>
        <w:pStyle w:val="HTMLPreformatted"/>
        <w:ind w:firstLine="567"/>
        <w:jc w:val="both"/>
        <w:rPr>
          <w:rFonts w:ascii="Times New Roman" w:hAnsi="Times New Roman" w:cs="Times New Roman"/>
          <w:sz w:val="22"/>
          <w:szCs w:val="22"/>
        </w:rPr>
      </w:pPr>
    </w:p>
    <w:p w14:paraId="4E87B8B7" w14:textId="77777777" w:rsidR="005B214E" w:rsidRPr="00DB5227" w:rsidRDefault="005B214E" w:rsidP="005B214E">
      <w:pPr>
        <w:pStyle w:val="HTMLPreformatted"/>
        <w:rPr>
          <w:rStyle w:val="y2iqfc"/>
          <w:rFonts w:ascii="Times New Roman" w:eastAsiaTheme="majorEastAsia" w:hAnsi="Times New Roman" w:cs="Times New Roman"/>
          <w:b/>
          <w:bCs/>
          <w:sz w:val="22"/>
          <w:szCs w:val="22"/>
          <w:lang w:val="en"/>
        </w:rPr>
      </w:pPr>
      <w:r w:rsidRPr="00AE06ED">
        <w:rPr>
          <w:rStyle w:val="y2iqfc"/>
          <w:rFonts w:ascii="Times New Roman" w:eastAsiaTheme="majorEastAsia" w:hAnsi="Times New Roman" w:cs="Times New Roman"/>
          <w:b/>
          <w:bCs/>
          <w:sz w:val="22"/>
          <w:szCs w:val="22"/>
          <w:lang w:val="en"/>
        </w:rPr>
        <w:t>3.</w:t>
      </w:r>
      <w:r w:rsidRP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b/>
          <w:bCs/>
          <w:sz w:val="22"/>
          <w:szCs w:val="22"/>
          <w:lang w:val="en"/>
        </w:rPr>
        <w:t>Oyster Mushroom Chip Production Process at JATAM MSME</w:t>
      </w:r>
    </w:p>
    <w:p w14:paraId="47C6285C"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JATAM MSME produces once a week, resulting in four production runs per month. In one production run, 10 kg of fresh oyster mushrooms can produce 100 packages. The stages in the oyster mushroom chip production process are as follows:</w:t>
      </w:r>
    </w:p>
    <w:p w14:paraId="18073022" w14:textId="79AC7F06" w:rsidR="005B214E" w:rsidRPr="00DB5227"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a. Ingredients preparation: The ingredients used to process oyster mushrooms into oyster mushroom chips are fresh white oyster mushrooms, water, wheat flour, rice flour, tapioca flour, mixed and flavored with flavorings (sugar, salt, and chicken-flavored </w:t>
      </w:r>
      <w:proofErr w:type="spellStart"/>
      <w:r w:rsidRPr="00DB5227">
        <w:rPr>
          <w:rStyle w:val="y2iqfc"/>
          <w:rFonts w:ascii="Times New Roman" w:eastAsiaTheme="majorEastAsia" w:hAnsi="Times New Roman" w:cs="Times New Roman"/>
          <w:sz w:val="22"/>
          <w:szCs w:val="22"/>
          <w:lang w:val="en"/>
        </w:rPr>
        <w:t>masako</w:t>
      </w:r>
      <w:proofErr w:type="spellEnd"/>
      <w:r w:rsidRPr="00DB5227">
        <w:rPr>
          <w:rStyle w:val="y2iqfc"/>
          <w:rFonts w:ascii="Times New Roman" w:eastAsiaTheme="majorEastAsia" w:hAnsi="Times New Roman" w:cs="Times New Roman"/>
          <w:sz w:val="22"/>
          <w:szCs w:val="22"/>
          <w:lang w:val="en"/>
        </w:rPr>
        <w:t xml:space="preserve">), as well as seasonings in various flavors: </w:t>
      </w:r>
      <w:proofErr w:type="spellStart"/>
      <w:r w:rsidRPr="00DB5227">
        <w:rPr>
          <w:rStyle w:val="y2iqfc"/>
          <w:rFonts w:ascii="Times New Roman" w:eastAsiaTheme="majorEastAsia" w:hAnsi="Times New Roman" w:cs="Times New Roman"/>
          <w:sz w:val="22"/>
          <w:szCs w:val="22"/>
          <w:lang w:val="en"/>
        </w:rPr>
        <w:t>Antaka</w:t>
      </w:r>
      <w:proofErr w:type="spellEnd"/>
      <w:r w:rsidRPr="00DB5227">
        <w:rPr>
          <w:rStyle w:val="y2iqfc"/>
          <w:rFonts w:ascii="Times New Roman" w:eastAsiaTheme="majorEastAsia" w:hAnsi="Times New Roman" w:cs="Times New Roman"/>
          <w:sz w:val="22"/>
          <w:szCs w:val="22"/>
          <w:lang w:val="en"/>
        </w:rPr>
        <w:t xml:space="preserve"> roasted corn, </w:t>
      </w:r>
      <w:proofErr w:type="spellStart"/>
      <w:r w:rsidRPr="00DB5227">
        <w:rPr>
          <w:rStyle w:val="y2iqfc"/>
          <w:rFonts w:ascii="Times New Roman" w:eastAsiaTheme="majorEastAsia" w:hAnsi="Times New Roman" w:cs="Times New Roman"/>
          <w:sz w:val="22"/>
          <w:szCs w:val="22"/>
          <w:lang w:val="en"/>
        </w:rPr>
        <w:t>Antaka</w:t>
      </w:r>
      <w:proofErr w:type="spellEnd"/>
      <w:r w:rsidRPr="00DB5227">
        <w:rPr>
          <w:rStyle w:val="y2iqfc"/>
          <w:rFonts w:ascii="Times New Roman" w:eastAsiaTheme="majorEastAsia" w:hAnsi="Times New Roman" w:cs="Times New Roman"/>
          <w:sz w:val="22"/>
          <w:szCs w:val="22"/>
          <w:lang w:val="en"/>
        </w:rPr>
        <w:t xml:space="preserve"> barbecue, and </w:t>
      </w:r>
      <w:proofErr w:type="spellStart"/>
      <w:r w:rsidRPr="00DB5227">
        <w:rPr>
          <w:rStyle w:val="y2iqfc"/>
          <w:rFonts w:ascii="Times New Roman" w:eastAsiaTheme="majorEastAsia" w:hAnsi="Times New Roman" w:cs="Times New Roman"/>
          <w:sz w:val="22"/>
          <w:szCs w:val="22"/>
          <w:lang w:val="en"/>
        </w:rPr>
        <w:t>Antaka</w:t>
      </w:r>
      <w:proofErr w:type="spellEnd"/>
      <w:r w:rsidRPr="00DB5227">
        <w:rPr>
          <w:rStyle w:val="y2iqfc"/>
          <w:rFonts w:ascii="Times New Roman" w:eastAsiaTheme="majorEastAsia" w:hAnsi="Times New Roman" w:cs="Times New Roman"/>
          <w:sz w:val="22"/>
          <w:szCs w:val="22"/>
          <w:lang w:val="en"/>
        </w:rPr>
        <w:t xml:space="preserve"> </w:t>
      </w:r>
      <w:proofErr w:type="spellStart"/>
      <w:r w:rsidRPr="00DB5227">
        <w:rPr>
          <w:rStyle w:val="y2iqfc"/>
          <w:rFonts w:ascii="Times New Roman" w:eastAsiaTheme="majorEastAsia" w:hAnsi="Times New Roman" w:cs="Times New Roman"/>
          <w:sz w:val="22"/>
          <w:szCs w:val="22"/>
          <w:lang w:val="en"/>
        </w:rPr>
        <w:t>balado</w:t>
      </w:r>
      <w:proofErr w:type="spellEnd"/>
      <w:r w:rsidRPr="00DB5227">
        <w:rPr>
          <w:rStyle w:val="y2iqfc"/>
          <w:rFonts w:ascii="Times New Roman" w:eastAsiaTheme="majorEastAsia" w:hAnsi="Times New Roman" w:cs="Times New Roman"/>
          <w:sz w:val="22"/>
          <w:szCs w:val="22"/>
          <w:lang w:val="en"/>
        </w:rPr>
        <w:t>.</w:t>
      </w:r>
    </w:p>
    <w:p w14:paraId="66CE529A" w14:textId="77777777" w:rsidR="005B214E" w:rsidRPr="00DB5227" w:rsidRDefault="005B214E" w:rsidP="00DB5227">
      <w:pPr>
        <w:pStyle w:val="HTMLPreformatted"/>
        <w:ind w:left="284" w:hanging="284"/>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b. Mixing the wet dough: The wet dough is made by mixing wheat flour, rice flour, and tapioca flour, seasoned with flavorings (sugar, salt, and chicken-flavored </w:t>
      </w:r>
      <w:proofErr w:type="spellStart"/>
      <w:r w:rsidRPr="00DB5227">
        <w:rPr>
          <w:rStyle w:val="y2iqfc"/>
          <w:rFonts w:ascii="Times New Roman" w:eastAsiaTheme="majorEastAsia" w:hAnsi="Times New Roman" w:cs="Times New Roman"/>
          <w:sz w:val="22"/>
          <w:szCs w:val="22"/>
          <w:lang w:val="en"/>
        </w:rPr>
        <w:t>masako</w:t>
      </w:r>
      <w:proofErr w:type="spellEnd"/>
      <w:r w:rsidRPr="00DB5227">
        <w:rPr>
          <w:rStyle w:val="y2iqfc"/>
          <w:rFonts w:ascii="Times New Roman" w:eastAsiaTheme="majorEastAsia" w:hAnsi="Times New Roman" w:cs="Times New Roman"/>
          <w:sz w:val="22"/>
          <w:szCs w:val="22"/>
          <w:lang w:val="en"/>
        </w:rPr>
        <w:t>). Once the dough is thoroughly mixed, the fresh oyster mushrooms are added to the mixture.</w:t>
      </w:r>
    </w:p>
    <w:p w14:paraId="42C20861" w14:textId="3AD1A297" w:rsidR="005B214E" w:rsidRPr="00DB5227"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c. Mixing the dry flour mixture: Oyster mushrooms coated in the wet flour mixture are dipped one by one into the dry flour mixture, a mixture of wheat flour, rice flour, and tapioca flour, seasoned with additional seasonings (sugar, salt, and chicken-flavored </w:t>
      </w:r>
      <w:proofErr w:type="spellStart"/>
      <w:r w:rsidRPr="00DB5227">
        <w:rPr>
          <w:rStyle w:val="y2iqfc"/>
          <w:rFonts w:ascii="Times New Roman" w:eastAsiaTheme="majorEastAsia" w:hAnsi="Times New Roman" w:cs="Times New Roman"/>
          <w:sz w:val="22"/>
          <w:szCs w:val="22"/>
          <w:lang w:val="en"/>
        </w:rPr>
        <w:t>masako</w:t>
      </w:r>
      <w:proofErr w:type="spellEnd"/>
      <w:r w:rsidRPr="00DB5227">
        <w:rPr>
          <w:rStyle w:val="y2iqfc"/>
          <w:rFonts w:ascii="Times New Roman" w:eastAsiaTheme="majorEastAsia" w:hAnsi="Times New Roman" w:cs="Times New Roman"/>
          <w:sz w:val="22"/>
          <w:szCs w:val="22"/>
          <w:lang w:val="en"/>
        </w:rPr>
        <w:t>).</w:t>
      </w:r>
    </w:p>
    <w:p w14:paraId="28C85C9D" w14:textId="77777777" w:rsidR="005B214E" w:rsidRPr="00DB5227"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 Sifting the mixture: Sifting ensures the flour doesn't stick too much to the mushrooms, resulting in a crispier fried product.</w:t>
      </w:r>
    </w:p>
    <w:p w14:paraId="2995B1AD" w14:textId="77777777" w:rsidR="005B214E" w:rsidRPr="00DB5227"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e. Frying: The first stage is carried out at 180°C until half-cooked, indicated by a yellow color change. The second stage is carried out at a maximum temperature of 100°C, continuing to fry until fully cooked, indicated by a brown color change.</w:t>
      </w:r>
    </w:p>
    <w:p w14:paraId="6ECE0DFD" w14:textId="77777777" w:rsidR="005B214E" w:rsidRPr="00DB5227"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f. Draining the chips: Draining is carried out using a modified spinner machine, in two cycles. Each cycle (one machine operation) takes 2.5 minutes.</w:t>
      </w:r>
    </w:p>
    <w:p w14:paraId="71FBA26F" w14:textId="77777777" w:rsidR="005B214E"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g. Packaging: This stage begins with labeling the flavor and expiration date on the packaging. Next, the product is packaged, followed by seasoning with various </w:t>
      </w:r>
      <w:proofErr w:type="spellStart"/>
      <w:r w:rsidRPr="00DB5227">
        <w:rPr>
          <w:rStyle w:val="y2iqfc"/>
          <w:rFonts w:ascii="Times New Roman" w:eastAsiaTheme="majorEastAsia" w:hAnsi="Times New Roman" w:cs="Times New Roman"/>
          <w:sz w:val="22"/>
          <w:szCs w:val="22"/>
          <w:lang w:val="en"/>
        </w:rPr>
        <w:t>Antaka</w:t>
      </w:r>
      <w:proofErr w:type="spellEnd"/>
      <w:r w:rsidRPr="00DB5227">
        <w:rPr>
          <w:rStyle w:val="y2iqfc"/>
          <w:rFonts w:ascii="Times New Roman" w:eastAsiaTheme="majorEastAsia" w:hAnsi="Times New Roman" w:cs="Times New Roman"/>
          <w:sz w:val="22"/>
          <w:szCs w:val="22"/>
          <w:lang w:val="en"/>
        </w:rPr>
        <w:t xml:space="preserve"> flavors (barbecue, </w:t>
      </w:r>
      <w:proofErr w:type="spellStart"/>
      <w:r w:rsidRPr="00DB5227">
        <w:rPr>
          <w:rStyle w:val="y2iqfc"/>
          <w:rFonts w:ascii="Times New Roman" w:eastAsiaTheme="majorEastAsia" w:hAnsi="Times New Roman" w:cs="Times New Roman"/>
          <w:sz w:val="22"/>
          <w:szCs w:val="22"/>
          <w:lang w:val="en"/>
        </w:rPr>
        <w:t>balado</w:t>
      </w:r>
      <w:proofErr w:type="spellEnd"/>
      <w:r w:rsidRPr="00DB5227">
        <w:rPr>
          <w:rStyle w:val="y2iqfc"/>
          <w:rFonts w:ascii="Times New Roman" w:eastAsiaTheme="majorEastAsia" w:hAnsi="Times New Roman" w:cs="Times New Roman"/>
          <w:sz w:val="22"/>
          <w:szCs w:val="22"/>
          <w:lang w:val="en"/>
        </w:rPr>
        <w:t>, roasted corn). Finally, the packaging is sealed using a sealing machine to maintain product quality and durability.</w:t>
      </w:r>
    </w:p>
    <w:p w14:paraId="2DF149BE" w14:textId="77777777" w:rsidR="00DB5227" w:rsidRDefault="00DB5227" w:rsidP="00DB5227">
      <w:pPr>
        <w:pStyle w:val="HTMLPreformatted"/>
        <w:ind w:left="284" w:hanging="284"/>
        <w:jc w:val="both"/>
        <w:rPr>
          <w:rFonts w:ascii="Times New Roman" w:hAnsi="Times New Roman" w:cs="Times New Roman"/>
          <w:sz w:val="22"/>
          <w:szCs w:val="22"/>
        </w:rPr>
      </w:pPr>
    </w:p>
    <w:p w14:paraId="23DA96A1" w14:textId="77777777" w:rsidR="00555088" w:rsidRPr="00DB5227" w:rsidRDefault="00555088" w:rsidP="00DB5227">
      <w:pPr>
        <w:pStyle w:val="HTMLPreformatted"/>
        <w:ind w:left="284" w:hanging="284"/>
        <w:jc w:val="both"/>
        <w:rPr>
          <w:rFonts w:ascii="Times New Roman" w:hAnsi="Times New Roman" w:cs="Times New Roman"/>
          <w:sz w:val="22"/>
          <w:szCs w:val="22"/>
        </w:rPr>
      </w:pPr>
    </w:p>
    <w:p w14:paraId="09343A81" w14:textId="30ECB4B9" w:rsidR="005B214E" w:rsidRPr="00DB5227" w:rsidRDefault="005B214E" w:rsidP="005B214E">
      <w:pPr>
        <w:pStyle w:val="HTMLPreformatted"/>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4. Cost of Goods Sold Analysis</w:t>
      </w:r>
    </w:p>
    <w:p w14:paraId="33B518FE" w14:textId="77777777" w:rsidR="005B214E" w:rsidRPr="00DB5227" w:rsidRDefault="005B214E" w:rsidP="005B214E">
      <w:pPr>
        <w:pStyle w:val="HTMLPreformatted"/>
        <w:jc w:val="both"/>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a. Cost of Goods Sold Calculation According to JATAM MSMEs</w:t>
      </w:r>
    </w:p>
    <w:p w14:paraId="458C8F9B" w14:textId="77777777"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The method used by JATAM MSMEs only calculates a few cost components based on the business owner's assumptions. These cost components include raw material costs, direct labor </w:t>
      </w:r>
      <w:r w:rsidRPr="00DB5227">
        <w:rPr>
          <w:rStyle w:val="y2iqfc"/>
          <w:rFonts w:ascii="Times New Roman" w:eastAsiaTheme="majorEastAsia" w:hAnsi="Times New Roman" w:cs="Times New Roman"/>
          <w:sz w:val="22"/>
          <w:szCs w:val="22"/>
          <w:lang w:val="en"/>
        </w:rPr>
        <w:lastRenderedPageBreak/>
        <w:t>costs, packaging costs, the cost of various flavored seasonings, and the cost of purchasing sachet chili sauce. Details of the cost of goods sold calculation using this method are presented in Table 1.</w:t>
      </w:r>
    </w:p>
    <w:p w14:paraId="4B188D75" w14:textId="77777777" w:rsidR="005B214E" w:rsidRPr="00DB5227" w:rsidRDefault="005B214E" w:rsidP="005B214E">
      <w:pPr>
        <w:pStyle w:val="HTMLPreformatted"/>
        <w:ind w:left="1134" w:hanging="1134"/>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1. Calculation of Cost of Goods Sold Using the JATAM MSME Method,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2544"/>
      </w:tblGrid>
      <w:tr w:rsidR="005B214E" w:rsidRPr="00DB5227" w14:paraId="64A85EBB" w14:textId="77777777" w:rsidTr="00DD3C2F">
        <w:tc>
          <w:tcPr>
            <w:tcW w:w="8498" w:type="dxa"/>
            <w:gridSpan w:val="3"/>
            <w:tcBorders>
              <w:top w:val="single" w:sz="4" w:space="0" w:color="auto"/>
              <w:bottom w:val="single" w:sz="4" w:space="0" w:color="auto"/>
            </w:tcBorders>
          </w:tcPr>
          <w:p w14:paraId="0A178050" w14:textId="36482A23"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UMKM JATAM</w:t>
            </w:r>
            <w:r w:rsidR="00DB5227" w:rsidRPr="00DB5227">
              <w:rPr>
                <w:rFonts w:ascii="Times New Roman" w:hAnsi="Times New Roman" w:cs="Times New Roman"/>
                <w:b/>
                <w:bCs/>
                <w:szCs w:val="22"/>
              </w:rPr>
              <w:t xml:space="preserve"> Method</w:t>
            </w:r>
          </w:p>
          <w:p w14:paraId="42A23A6E" w14:textId="72F23292"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De</w:t>
            </w:r>
            <w:r w:rsidR="00AE06ED">
              <w:rPr>
                <w:rFonts w:ascii="Times New Roman" w:hAnsi="Times New Roman" w:cs="Times New Roman"/>
                <w:b/>
                <w:bCs/>
                <w:szCs w:val="22"/>
              </w:rPr>
              <w:t>c</w:t>
            </w:r>
            <w:r w:rsidRPr="00DB5227">
              <w:rPr>
                <w:rFonts w:ascii="Times New Roman" w:hAnsi="Times New Roman" w:cs="Times New Roman"/>
                <w:b/>
                <w:bCs/>
                <w:szCs w:val="22"/>
              </w:rPr>
              <w:t>ember 2024</w:t>
            </w:r>
          </w:p>
        </w:tc>
      </w:tr>
      <w:tr w:rsidR="005B214E" w:rsidRPr="00DB5227" w14:paraId="05AEBC6B" w14:textId="77777777" w:rsidTr="00DD3C2F">
        <w:trPr>
          <w:trHeight w:val="365"/>
        </w:trPr>
        <w:tc>
          <w:tcPr>
            <w:tcW w:w="3828" w:type="dxa"/>
            <w:tcBorders>
              <w:top w:val="single" w:sz="4" w:space="0" w:color="auto"/>
              <w:bottom w:val="single" w:sz="4" w:space="0" w:color="auto"/>
            </w:tcBorders>
            <w:vAlign w:val="center"/>
          </w:tcPr>
          <w:p w14:paraId="2A4724CB" w14:textId="426B3EAA" w:rsidR="005B214E" w:rsidRPr="00DB5227" w:rsidRDefault="00DB5227" w:rsidP="00DB5227">
            <w:pPr>
              <w:pStyle w:val="HTMLPreformatted"/>
              <w:rPr>
                <w:rFonts w:ascii="Times New Roman" w:hAnsi="Times New Roman" w:cs="Times New Roman"/>
                <w:b/>
                <w:bCs/>
                <w:sz w:val="22"/>
                <w:szCs w:val="22"/>
              </w:rPr>
            </w:pPr>
            <w:r w:rsidRPr="00DB5227">
              <w:rPr>
                <w:rStyle w:val="y2iqfc"/>
                <w:rFonts w:ascii="Times New Roman" w:eastAsiaTheme="majorEastAsia" w:hAnsi="Times New Roman" w:cs="Times New Roman"/>
                <w:b/>
                <w:bCs/>
                <w:sz w:val="22"/>
                <w:szCs w:val="22"/>
                <w:lang w:val="en"/>
              </w:rPr>
              <w:t>Cost Components</w:t>
            </w:r>
          </w:p>
        </w:tc>
        <w:tc>
          <w:tcPr>
            <w:tcW w:w="2126" w:type="dxa"/>
            <w:tcBorders>
              <w:top w:val="single" w:sz="4" w:space="0" w:color="auto"/>
              <w:bottom w:val="single" w:sz="4" w:space="0" w:color="auto"/>
            </w:tcBorders>
            <w:vAlign w:val="center"/>
          </w:tcPr>
          <w:p w14:paraId="065B5911" w14:textId="3352B035" w:rsidR="005B214E" w:rsidRPr="00DB5227" w:rsidRDefault="00DB5227"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Amount</w:t>
            </w:r>
            <w:r w:rsidR="005B214E" w:rsidRPr="00DB5227">
              <w:rPr>
                <w:rFonts w:ascii="Times New Roman" w:hAnsi="Times New Roman" w:cs="Times New Roman"/>
                <w:b/>
                <w:bCs/>
                <w:szCs w:val="22"/>
              </w:rPr>
              <w:t xml:space="preserve"> (</w:t>
            </w:r>
            <w:r w:rsidRPr="00DB5227">
              <w:rPr>
                <w:rFonts w:ascii="Times New Roman" w:hAnsi="Times New Roman" w:cs="Times New Roman"/>
                <w:b/>
                <w:bCs/>
                <w:szCs w:val="22"/>
              </w:rPr>
              <w:t>IDR</w:t>
            </w:r>
            <w:r w:rsidR="005B214E" w:rsidRPr="00DB5227">
              <w:rPr>
                <w:rFonts w:ascii="Times New Roman" w:hAnsi="Times New Roman" w:cs="Times New Roman"/>
                <w:b/>
                <w:bCs/>
                <w:szCs w:val="22"/>
              </w:rPr>
              <w:t>)</w:t>
            </w:r>
          </w:p>
        </w:tc>
        <w:tc>
          <w:tcPr>
            <w:tcW w:w="2544" w:type="dxa"/>
            <w:tcBorders>
              <w:top w:val="single" w:sz="4" w:space="0" w:color="auto"/>
              <w:bottom w:val="single" w:sz="4" w:space="0" w:color="auto"/>
            </w:tcBorders>
            <w:vAlign w:val="center"/>
          </w:tcPr>
          <w:p w14:paraId="79748211" w14:textId="4AEC4110"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 xml:space="preserve">Total </w:t>
            </w:r>
            <w:r w:rsidR="00DB5227" w:rsidRPr="00DB5227">
              <w:rPr>
                <w:rFonts w:ascii="Times New Roman" w:hAnsi="Times New Roman" w:cs="Times New Roman"/>
                <w:b/>
                <w:bCs/>
                <w:szCs w:val="22"/>
              </w:rPr>
              <w:t>Cost</w:t>
            </w:r>
            <w:r w:rsidRPr="00DB5227">
              <w:rPr>
                <w:rFonts w:ascii="Times New Roman" w:hAnsi="Times New Roman" w:cs="Times New Roman"/>
                <w:b/>
                <w:bCs/>
                <w:szCs w:val="22"/>
              </w:rPr>
              <w:t xml:space="preserve"> (</w:t>
            </w:r>
            <w:r w:rsidR="00DB5227" w:rsidRPr="00DB5227">
              <w:rPr>
                <w:rFonts w:ascii="Times New Roman" w:hAnsi="Times New Roman" w:cs="Times New Roman"/>
                <w:b/>
                <w:bCs/>
                <w:szCs w:val="22"/>
              </w:rPr>
              <w:t>IDR</w:t>
            </w:r>
            <w:r w:rsidRPr="00DB5227">
              <w:rPr>
                <w:rFonts w:ascii="Times New Roman" w:hAnsi="Times New Roman" w:cs="Times New Roman"/>
                <w:b/>
                <w:bCs/>
                <w:szCs w:val="22"/>
              </w:rPr>
              <w:t>)</w:t>
            </w:r>
          </w:p>
        </w:tc>
      </w:tr>
      <w:tr w:rsidR="005B214E" w:rsidRPr="00DB5227" w14:paraId="3F7E074B" w14:textId="77777777" w:rsidTr="00DD3C2F">
        <w:tc>
          <w:tcPr>
            <w:tcW w:w="3828" w:type="dxa"/>
            <w:tcBorders>
              <w:top w:val="single" w:sz="4" w:space="0" w:color="auto"/>
            </w:tcBorders>
          </w:tcPr>
          <w:p w14:paraId="1B7EFA43" w14:textId="70F89B7F" w:rsidR="005B214E" w:rsidRPr="00DB5227" w:rsidRDefault="00DB5227" w:rsidP="00DD3C2F">
            <w:pPr>
              <w:widowControl w:val="0"/>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Raw material cost</w:t>
            </w:r>
          </w:p>
        </w:tc>
        <w:tc>
          <w:tcPr>
            <w:tcW w:w="2126" w:type="dxa"/>
            <w:tcBorders>
              <w:top w:val="single" w:sz="4" w:space="0" w:color="auto"/>
            </w:tcBorders>
          </w:tcPr>
          <w:p w14:paraId="7153A850"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c>
          <w:tcPr>
            <w:tcW w:w="2544" w:type="dxa"/>
            <w:tcBorders>
              <w:top w:val="single" w:sz="4" w:space="0" w:color="auto"/>
            </w:tcBorders>
          </w:tcPr>
          <w:p w14:paraId="316D0C4F"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5B214E" w:rsidRPr="00DB5227" w14:paraId="238D2D89" w14:textId="77777777" w:rsidTr="00DD3C2F">
        <w:tc>
          <w:tcPr>
            <w:tcW w:w="3828" w:type="dxa"/>
          </w:tcPr>
          <w:p w14:paraId="60EAA4DB" w14:textId="7B70CD03"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Direct labor costs</w:t>
            </w:r>
          </w:p>
        </w:tc>
        <w:tc>
          <w:tcPr>
            <w:tcW w:w="2126" w:type="dxa"/>
          </w:tcPr>
          <w:p w14:paraId="24C352E2"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c>
          <w:tcPr>
            <w:tcW w:w="2544" w:type="dxa"/>
          </w:tcPr>
          <w:p w14:paraId="744F5C19"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tc>
      </w:tr>
      <w:tr w:rsidR="005B214E" w:rsidRPr="00DB5227" w14:paraId="0FDE5142" w14:textId="77777777" w:rsidTr="00DD3C2F">
        <w:trPr>
          <w:trHeight w:val="1051"/>
        </w:trPr>
        <w:tc>
          <w:tcPr>
            <w:tcW w:w="3828" w:type="dxa"/>
          </w:tcPr>
          <w:p w14:paraId="27ADEFDE"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Variable Overhead Costs</w:t>
            </w:r>
          </w:p>
          <w:p w14:paraId="442AA6B2" w14:textId="5DD9C84D" w:rsidR="00DB5227" w:rsidRPr="00DB5227" w:rsidRDefault="00DB5227" w:rsidP="00DB5227">
            <w:pPr>
              <w:pStyle w:val="HTMLPreformatted"/>
              <w:numPr>
                <w:ilvl w:val="0"/>
                <w:numId w:val="2"/>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Packaging costs</w:t>
            </w:r>
          </w:p>
          <w:p w14:paraId="23A1CDD2" w14:textId="6A295BB4" w:rsidR="00DB5227" w:rsidRPr="00DB5227" w:rsidRDefault="00DB5227" w:rsidP="00DB5227">
            <w:pPr>
              <w:pStyle w:val="HTMLPreformatted"/>
              <w:numPr>
                <w:ilvl w:val="0"/>
                <w:numId w:val="2"/>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Sprinkle Seasoning with Various Flavors</w:t>
            </w:r>
          </w:p>
          <w:p w14:paraId="22C49192" w14:textId="7CE31229" w:rsidR="005B214E" w:rsidRPr="00DB5227" w:rsidRDefault="00DB5227" w:rsidP="005B214E">
            <w:pPr>
              <w:pStyle w:val="ListParagraph"/>
              <w:widowControl w:val="0"/>
              <w:numPr>
                <w:ilvl w:val="0"/>
                <w:numId w:val="2"/>
              </w:numPr>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 xml:space="preserve">Chili </w:t>
            </w:r>
            <w:r w:rsidR="005B214E" w:rsidRPr="00DB5227">
              <w:rPr>
                <w:rFonts w:ascii="Times New Roman" w:hAnsi="Times New Roman" w:cs="Times New Roman"/>
                <w:i/>
                <w:iCs/>
                <w:szCs w:val="22"/>
              </w:rPr>
              <w:t>Sachet</w:t>
            </w:r>
          </w:p>
        </w:tc>
        <w:tc>
          <w:tcPr>
            <w:tcW w:w="2126" w:type="dxa"/>
          </w:tcPr>
          <w:p w14:paraId="6A115226"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358959EA"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p w14:paraId="714B453D"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280.00,00</w:t>
            </w:r>
          </w:p>
          <w:p w14:paraId="2B330FD6" w14:textId="77777777" w:rsidR="00DB5227" w:rsidRPr="00DB5227" w:rsidRDefault="00DB5227" w:rsidP="00DD3C2F">
            <w:pPr>
              <w:widowControl w:val="0"/>
              <w:autoSpaceDE w:val="0"/>
              <w:autoSpaceDN w:val="0"/>
              <w:adjustRightInd w:val="0"/>
              <w:jc w:val="right"/>
              <w:rPr>
                <w:rFonts w:ascii="Times New Roman" w:hAnsi="Times New Roman" w:cs="Times New Roman"/>
                <w:szCs w:val="22"/>
              </w:rPr>
            </w:pPr>
          </w:p>
          <w:p w14:paraId="6FAC3031" w14:textId="4FAFED65"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tc>
        <w:tc>
          <w:tcPr>
            <w:tcW w:w="2544" w:type="dxa"/>
          </w:tcPr>
          <w:p w14:paraId="3BC1AB88"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r>
      <w:tr w:rsidR="005B214E" w:rsidRPr="00DB5227" w14:paraId="1A61F64F" w14:textId="77777777" w:rsidTr="00DD3C2F">
        <w:tc>
          <w:tcPr>
            <w:tcW w:w="3828" w:type="dxa"/>
            <w:tcBorders>
              <w:bottom w:val="single" w:sz="4" w:space="0" w:color="auto"/>
            </w:tcBorders>
          </w:tcPr>
          <w:p w14:paraId="2E7EBA34"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Total Cost of Goods Sold</w:t>
            </w:r>
          </w:p>
          <w:p w14:paraId="485A0B81"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Production Quantity (</w:t>
            </w:r>
            <w:proofErr w:type="gramStart"/>
            <w:r w:rsidRPr="00DB5227">
              <w:rPr>
                <w:rStyle w:val="y2iqfc"/>
                <w:rFonts w:ascii="Times New Roman" w:eastAsiaTheme="majorEastAsia" w:hAnsi="Times New Roman" w:cs="Times New Roman"/>
                <w:sz w:val="22"/>
                <w:szCs w:val="22"/>
                <w:lang w:val="en"/>
              </w:rPr>
              <w:t>85 gram</w:t>
            </w:r>
            <w:proofErr w:type="gramEnd"/>
            <w:r w:rsidRPr="00DB5227">
              <w:rPr>
                <w:rStyle w:val="y2iqfc"/>
                <w:rFonts w:ascii="Times New Roman" w:eastAsiaTheme="majorEastAsia" w:hAnsi="Times New Roman" w:cs="Times New Roman"/>
                <w:sz w:val="22"/>
                <w:szCs w:val="22"/>
                <w:lang w:val="en"/>
              </w:rPr>
              <w:t xml:space="preserve"> packaging)</w:t>
            </w:r>
          </w:p>
          <w:p w14:paraId="262D9E80" w14:textId="517972AE"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Cost of Goods Sold (IDR/Package)</w:t>
            </w:r>
          </w:p>
        </w:tc>
        <w:tc>
          <w:tcPr>
            <w:tcW w:w="2126" w:type="dxa"/>
            <w:tcBorders>
              <w:bottom w:val="single" w:sz="4" w:space="0" w:color="auto"/>
            </w:tcBorders>
          </w:tcPr>
          <w:p w14:paraId="3F2660DA"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3E5E688E"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4.872.880,00</w:t>
            </w:r>
          </w:p>
          <w:p w14:paraId="46DDF5DD"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p w14:paraId="09EA2271" w14:textId="77777777" w:rsidR="00DB5227" w:rsidRPr="00DB5227" w:rsidRDefault="00DB5227" w:rsidP="00DD3C2F">
            <w:pPr>
              <w:widowControl w:val="0"/>
              <w:autoSpaceDE w:val="0"/>
              <w:autoSpaceDN w:val="0"/>
              <w:adjustRightInd w:val="0"/>
              <w:jc w:val="right"/>
              <w:rPr>
                <w:rFonts w:ascii="Times New Roman" w:hAnsi="Times New Roman" w:cs="Times New Roman"/>
                <w:szCs w:val="22"/>
              </w:rPr>
            </w:pPr>
          </w:p>
          <w:p w14:paraId="4C2DF6CD" w14:textId="6BA3E73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12.182,20</w:t>
            </w:r>
          </w:p>
        </w:tc>
      </w:tr>
    </w:tbl>
    <w:p w14:paraId="47F7409B" w14:textId="30D217DA"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08D1B6F2" w14:textId="77777777" w:rsidR="005B214E" w:rsidRPr="00DB5227" w:rsidRDefault="005B214E" w:rsidP="005B214E">
      <w:pPr>
        <w:pStyle w:val="HTMLPreformatted"/>
        <w:rPr>
          <w:rFonts w:ascii="Times New Roman" w:hAnsi="Times New Roman" w:cs="Times New Roman"/>
          <w:sz w:val="22"/>
          <w:szCs w:val="22"/>
        </w:rPr>
      </w:pPr>
    </w:p>
    <w:p w14:paraId="3430BF71"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Based on Table 1, it is known that MSMEs have calculated the cost of goods manufactured. However, they have not yet taken into account several cost components, including fixed overhead costs, the cost of purchasing gallon water, the cost of purchasing electricity vouchers, the cost of 3 kg gas refills, and transportation costs (fuel). Inaccuracies in the accumulation of production costs can impact the accuracy of the calculation of the cost of goods manufactured, potentially impacting the product's selling price strategy.</w:t>
      </w:r>
    </w:p>
    <w:p w14:paraId="71C4CC86" w14:textId="77777777" w:rsidR="005B214E" w:rsidRPr="00DB5227" w:rsidRDefault="005B214E" w:rsidP="00DB5227">
      <w:pPr>
        <w:pStyle w:val="HTMLPreformatted"/>
        <w:jc w:val="both"/>
        <w:rPr>
          <w:rStyle w:val="y2iqfc"/>
          <w:rFonts w:ascii="Times New Roman" w:eastAsiaTheme="majorEastAsia" w:hAnsi="Times New Roman" w:cs="Times New Roman"/>
          <w:sz w:val="22"/>
          <w:szCs w:val="22"/>
          <w:lang w:val="en"/>
        </w:rPr>
      </w:pPr>
    </w:p>
    <w:p w14:paraId="4D2D145D" w14:textId="77777777" w:rsidR="005B214E" w:rsidRPr="00DB5227" w:rsidRDefault="005B214E" w:rsidP="005B214E">
      <w:pPr>
        <w:pStyle w:val="HTMLPreformatted"/>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b. Calculating Cost of Goods Manufactured Using the Full Costing Method</w:t>
      </w:r>
    </w:p>
    <w:p w14:paraId="5573041B" w14:textId="77777777" w:rsidR="005B214E"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full costing method calculates the cost of goods manufactured by adding all production cost components, including raw material costs, direct labor costs, variable overhead costs, and fixed overhead costs. Details of the calculation of the cost of goods manufactured for JATAM chips using the full costing method can be seen in Table 2 below.</w:t>
      </w:r>
    </w:p>
    <w:p w14:paraId="7BB676A7"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00065C62"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60541BCA"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42A2842D"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241D501C"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24688FCD"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68F0EEFE"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65FE5E3C"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34CE08D9"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4172B873"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46D03274"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0DC16653"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5FB0A75D"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14FBA10F"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047D39D8"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2C743877" w14:textId="77777777" w:rsidR="00DB5227" w:rsidRPr="00DB5227" w:rsidRDefault="00DB5227" w:rsidP="005B214E">
      <w:pPr>
        <w:pStyle w:val="HTMLPreformatted"/>
        <w:ind w:firstLine="567"/>
        <w:jc w:val="both"/>
        <w:rPr>
          <w:rFonts w:ascii="Times New Roman" w:hAnsi="Times New Roman" w:cs="Times New Roman"/>
          <w:sz w:val="22"/>
          <w:szCs w:val="22"/>
        </w:rPr>
      </w:pPr>
    </w:p>
    <w:p w14:paraId="744B7061" w14:textId="00DF37F6" w:rsidR="005B214E" w:rsidRPr="00DB5227" w:rsidRDefault="005B214E" w:rsidP="005B214E">
      <w:pPr>
        <w:pStyle w:val="HTMLPreformatted"/>
        <w:ind w:left="1134" w:hanging="1134"/>
        <w:jc w:val="both"/>
        <w:rPr>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Table 2. Calculation of Cost of Goods Sold Using the Full Costing Method, December 2024</w:t>
      </w:r>
    </w:p>
    <w:tbl>
      <w:tblPr>
        <w:tblStyle w:val="TableGrid"/>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2545"/>
      </w:tblGrid>
      <w:tr w:rsidR="005B214E" w:rsidRPr="00DB5227" w14:paraId="6BF058D3" w14:textId="77777777" w:rsidTr="00DB5227">
        <w:tc>
          <w:tcPr>
            <w:tcW w:w="8924" w:type="dxa"/>
            <w:gridSpan w:val="3"/>
            <w:tcBorders>
              <w:top w:val="single" w:sz="4" w:space="0" w:color="auto"/>
              <w:bottom w:val="single" w:sz="4" w:space="0" w:color="auto"/>
            </w:tcBorders>
          </w:tcPr>
          <w:p w14:paraId="0D23321A" w14:textId="77777777"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UMKM JATAM</w:t>
            </w:r>
          </w:p>
          <w:p w14:paraId="1A45C279" w14:textId="77777777" w:rsidR="005B214E" w:rsidRPr="00DB5227" w:rsidRDefault="005B214E" w:rsidP="00DD3C2F">
            <w:pPr>
              <w:widowControl w:val="0"/>
              <w:autoSpaceDE w:val="0"/>
              <w:autoSpaceDN w:val="0"/>
              <w:adjustRightInd w:val="0"/>
              <w:jc w:val="center"/>
              <w:rPr>
                <w:rFonts w:ascii="Times New Roman" w:hAnsi="Times New Roman" w:cs="Times New Roman"/>
                <w:b/>
                <w:bCs/>
                <w:i/>
                <w:iCs/>
                <w:szCs w:val="22"/>
              </w:rPr>
            </w:pPr>
            <w:r w:rsidRPr="00DB5227">
              <w:rPr>
                <w:rFonts w:ascii="Times New Roman" w:hAnsi="Times New Roman" w:cs="Times New Roman"/>
                <w:b/>
                <w:bCs/>
                <w:szCs w:val="22"/>
              </w:rPr>
              <w:t xml:space="preserve">Metode </w:t>
            </w:r>
            <w:r w:rsidRPr="00DB5227">
              <w:rPr>
                <w:rFonts w:ascii="Times New Roman" w:hAnsi="Times New Roman" w:cs="Times New Roman"/>
                <w:b/>
                <w:bCs/>
                <w:i/>
                <w:iCs/>
                <w:szCs w:val="22"/>
              </w:rPr>
              <w:t>Full Costing</w:t>
            </w:r>
          </w:p>
          <w:p w14:paraId="01426A30" w14:textId="1800327E"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De</w:t>
            </w:r>
            <w:r w:rsidR="00AE06ED">
              <w:rPr>
                <w:rFonts w:ascii="Times New Roman" w:hAnsi="Times New Roman" w:cs="Times New Roman"/>
                <w:b/>
                <w:bCs/>
                <w:szCs w:val="22"/>
              </w:rPr>
              <w:t>c</w:t>
            </w:r>
            <w:r w:rsidRPr="00DB5227">
              <w:rPr>
                <w:rFonts w:ascii="Times New Roman" w:hAnsi="Times New Roman" w:cs="Times New Roman"/>
                <w:b/>
                <w:bCs/>
                <w:szCs w:val="22"/>
              </w:rPr>
              <w:t>ember 2024</w:t>
            </w:r>
          </w:p>
        </w:tc>
      </w:tr>
      <w:tr w:rsidR="005B214E" w:rsidRPr="00DB5227" w14:paraId="3380E379" w14:textId="77777777" w:rsidTr="00DB5227">
        <w:trPr>
          <w:trHeight w:val="365"/>
        </w:trPr>
        <w:tc>
          <w:tcPr>
            <w:tcW w:w="4253" w:type="dxa"/>
            <w:tcBorders>
              <w:top w:val="single" w:sz="4" w:space="0" w:color="auto"/>
            </w:tcBorders>
            <w:vAlign w:val="center"/>
          </w:tcPr>
          <w:p w14:paraId="7E8C88FE" w14:textId="3EFA837B" w:rsidR="005B214E" w:rsidRPr="00DB5227" w:rsidRDefault="00DB5227" w:rsidP="00DD3C2F">
            <w:pPr>
              <w:widowControl w:val="0"/>
              <w:autoSpaceDE w:val="0"/>
              <w:autoSpaceDN w:val="0"/>
              <w:adjustRightInd w:val="0"/>
              <w:rPr>
                <w:rFonts w:ascii="Times New Roman" w:hAnsi="Times New Roman" w:cs="Times New Roman"/>
                <w:b/>
                <w:bCs/>
                <w:szCs w:val="22"/>
              </w:rPr>
            </w:pPr>
            <w:r w:rsidRPr="00DB5227">
              <w:rPr>
                <w:rFonts w:ascii="Times New Roman" w:hAnsi="Times New Roman" w:cs="Times New Roman"/>
                <w:b/>
                <w:bCs/>
                <w:szCs w:val="22"/>
              </w:rPr>
              <w:lastRenderedPageBreak/>
              <w:t>Cost C</w:t>
            </w:r>
            <w:r w:rsidR="005B214E" w:rsidRPr="00DB5227">
              <w:rPr>
                <w:rFonts w:ascii="Times New Roman" w:hAnsi="Times New Roman" w:cs="Times New Roman"/>
                <w:b/>
                <w:bCs/>
                <w:szCs w:val="22"/>
              </w:rPr>
              <w:t>omponen</w:t>
            </w:r>
            <w:r w:rsidRPr="00DB5227">
              <w:rPr>
                <w:rFonts w:ascii="Times New Roman" w:hAnsi="Times New Roman" w:cs="Times New Roman"/>
                <w:b/>
                <w:bCs/>
                <w:szCs w:val="22"/>
              </w:rPr>
              <w:t>t</w:t>
            </w:r>
          </w:p>
        </w:tc>
        <w:tc>
          <w:tcPr>
            <w:tcW w:w="2126" w:type="dxa"/>
            <w:tcBorders>
              <w:top w:val="single" w:sz="4" w:space="0" w:color="auto"/>
            </w:tcBorders>
            <w:vAlign w:val="center"/>
          </w:tcPr>
          <w:p w14:paraId="707064B1" w14:textId="767E2F4B" w:rsidR="005B214E" w:rsidRPr="00DB5227" w:rsidRDefault="00DB5227" w:rsidP="00DD3C2F">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Amount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c>
          <w:tcPr>
            <w:tcW w:w="2544" w:type="dxa"/>
            <w:tcBorders>
              <w:top w:val="single" w:sz="4" w:space="0" w:color="auto"/>
            </w:tcBorders>
            <w:vAlign w:val="center"/>
          </w:tcPr>
          <w:p w14:paraId="22D3D436" w14:textId="66988E55" w:rsidR="005B214E" w:rsidRPr="00DB5227" w:rsidRDefault="00DB5227" w:rsidP="00DD3C2F">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 xml:space="preserve">             </w:t>
            </w:r>
            <w:r w:rsidR="005B214E" w:rsidRPr="00DB5227">
              <w:rPr>
                <w:rFonts w:ascii="Times New Roman" w:hAnsi="Times New Roman" w:cs="Times New Roman"/>
                <w:b/>
                <w:bCs/>
                <w:szCs w:val="22"/>
              </w:rPr>
              <w:t xml:space="preserve">Total </w:t>
            </w:r>
            <w:r>
              <w:rPr>
                <w:rFonts w:ascii="Times New Roman" w:hAnsi="Times New Roman" w:cs="Times New Roman"/>
                <w:b/>
                <w:bCs/>
                <w:szCs w:val="22"/>
              </w:rPr>
              <w:t>Cost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r>
      <w:tr w:rsidR="00DB5227" w:rsidRPr="00DB5227" w14:paraId="39B7BD88" w14:textId="77777777" w:rsidTr="00DB5227">
        <w:tc>
          <w:tcPr>
            <w:tcW w:w="4253" w:type="dxa"/>
          </w:tcPr>
          <w:p w14:paraId="72A37A36" w14:textId="5B4B8CAB"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Raw material cost</w:t>
            </w:r>
          </w:p>
        </w:tc>
        <w:tc>
          <w:tcPr>
            <w:tcW w:w="2126" w:type="dxa"/>
          </w:tcPr>
          <w:p w14:paraId="049460FB"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Pr>
          <w:p w14:paraId="4B593E4C"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DB5227" w:rsidRPr="00DB5227" w14:paraId="133BAE70" w14:textId="77777777" w:rsidTr="00DB5227">
        <w:tc>
          <w:tcPr>
            <w:tcW w:w="4253" w:type="dxa"/>
          </w:tcPr>
          <w:p w14:paraId="58EECEAA" w14:textId="18A8DAB4"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Style w:val="y2iqfc"/>
                <w:rFonts w:ascii="Times New Roman" w:hAnsi="Times New Roman" w:cs="Times New Roman"/>
                <w:szCs w:val="22"/>
                <w:lang w:val="en"/>
              </w:rPr>
              <w:t>Direct labor costs</w:t>
            </w:r>
          </w:p>
        </w:tc>
        <w:tc>
          <w:tcPr>
            <w:tcW w:w="2126" w:type="dxa"/>
          </w:tcPr>
          <w:p w14:paraId="5C7B3BCE"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Pr>
          <w:p w14:paraId="7EB224D3"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tc>
      </w:tr>
      <w:tr w:rsidR="005B214E" w:rsidRPr="00DB5227" w14:paraId="25349E73" w14:textId="77777777" w:rsidTr="00DB5227">
        <w:trPr>
          <w:trHeight w:val="2248"/>
        </w:trPr>
        <w:tc>
          <w:tcPr>
            <w:tcW w:w="4253" w:type="dxa"/>
          </w:tcPr>
          <w:p w14:paraId="092BAABC"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Variable Overhead Costs</w:t>
            </w:r>
          </w:p>
          <w:p w14:paraId="3377900D" w14:textId="369F3647"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Gallon water</w:t>
            </w:r>
          </w:p>
          <w:p w14:paraId="33E7284E" w14:textId="20B26932"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Electricity costs</w:t>
            </w:r>
          </w:p>
          <w:p w14:paraId="22DB8D77" w14:textId="2F43E799" w:rsidR="005B214E" w:rsidRPr="00DB5227" w:rsidRDefault="005B214E" w:rsidP="00DB5227">
            <w:pPr>
              <w:pStyle w:val="ListParagraph"/>
              <w:widowControl w:val="0"/>
              <w:numPr>
                <w:ilvl w:val="0"/>
                <w:numId w:val="3"/>
              </w:numPr>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 xml:space="preserve">Gas </w:t>
            </w:r>
            <w:r w:rsidR="00DB5227" w:rsidRPr="00DB5227">
              <w:rPr>
                <w:rFonts w:ascii="Times New Roman" w:hAnsi="Times New Roman" w:cs="Times New Roman"/>
                <w:szCs w:val="22"/>
              </w:rPr>
              <w:t>(</w:t>
            </w:r>
            <w:r w:rsidRPr="00DB5227">
              <w:rPr>
                <w:rFonts w:ascii="Times New Roman" w:hAnsi="Times New Roman" w:cs="Times New Roman"/>
                <w:szCs w:val="22"/>
              </w:rPr>
              <w:t>3 kg</w:t>
            </w:r>
            <w:r w:rsidR="00DB5227" w:rsidRPr="00DB5227">
              <w:rPr>
                <w:rFonts w:ascii="Times New Roman" w:hAnsi="Times New Roman" w:cs="Times New Roman"/>
                <w:szCs w:val="22"/>
              </w:rPr>
              <w:t>)</w:t>
            </w:r>
          </w:p>
          <w:p w14:paraId="431462C2" w14:textId="6A436E8C"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Transportation costs (fuel)</w:t>
            </w:r>
          </w:p>
          <w:p w14:paraId="01E21996" w14:textId="4A7A23D4" w:rsidR="00DB5227" w:rsidRPr="00DB5227" w:rsidRDefault="00DB5227" w:rsidP="00DB5227">
            <w:pPr>
              <w:pStyle w:val="HTMLPreformatted"/>
              <w:numPr>
                <w:ilvl w:val="0"/>
                <w:numId w:val="3"/>
              </w:numPr>
              <w:tabs>
                <w:tab w:val="clear" w:pos="3664"/>
              </w:tabs>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Packaging costs</w:t>
            </w:r>
          </w:p>
          <w:p w14:paraId="1E14B9B8" w14:textId="77777777"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Sprinkle Seasoning with Various Flavors</w:t>
            </w:r>
          </w:p>
          <w:p w14:paraId="0C0597E6" w14:textId="7DCD45DD" w:rsidR="005B214E" w:rsidRPr="00DB5227" w:rsidRDefault="00DB5227" w:rsidP="00DB5227">
            <w:pPr>
              <w:pStyle w:val="ListParagraph"/>
              <w:widowControl w:val="0"/>
              <w:numPr>
                <w:ilvl w:val="0"/>
                <w:numId w:val="3"/>
              </w:numPr>
              <w:autoSpaceDE w:val="0"/>
              <w:autoSpaceDN w:val="0"/>
              <w:adjustRightInd w:val="0"/>
              <w:spacing w:line="276" w:lineRule="auto"/>
              <w:jc w:val="both"/>
              <w:rPr>
                <w:rFonts w:ascii="Times New Roman" w:hAnsi="Times New Roman" w:cs="Times New Roman"/>
                <w:szCs w:val="22"/>
              </w:rPr>
            </w:pPr>
            <w:r w:rsidRPr="00DB5227">
              <w:rPr>
                <w:rFonts w:ascii="Times New Roman" w:hAnsi="Times New Roman" w:cs="Times New Roman"/>
                <w:szCs w:val="22"/>
              </w:rPr>
              <w:t>Chili</w:t>
            </w:r>
            <w:r w:rsidR="005B214E" w:rsidRPr="00DB5227">
              <w:rPr>
                <w:rFonts w:ascii="Times New Roman" w:hAnsi="Times New Roman" w:cs="Times New Roman"/>
                <w:szCs w:val="22"/>
              </w:rPr>
              <w:t xml:space="preserve"> </w:t>
            </w:r>
            <w:r w:rsidR="005B214E" w:rsidRPr="00DB5227">
              <w:rPr>
                <w:rFonts w:ascii="Times New Roman" w:hAnsi="Times New Roman" w:cs="Times New Roman"/>
                <w:i/>
                <w:iCs/>
                <w:szCs w:val="22"/>
              </w:rPr>
              <w:t>Sachet</w:t>
            </w:r>
          </w:p>
          <w:p w14:paraId="4DA111DE" w14:textId="11E40872"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Fixed Overhead Costs</w:t>
            </w:r>
          </w:p>
        </w:tc>
        <w:tc>
          <w:tcPr>
            <w:tcW w:w="2126" w:type="dxa"/>
          </w:tcPr>
          <w:p w14:paraId="37375E25"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62238BE1"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20.000,00</w:t>
            </w:r>
          </w:p>
          <w:p w14:paraId="08BA19CC"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p w14:paraId="667C5F87"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120.000,00</w:t>
            </w:r>
          </w:p>
          <w:p w14:paraId="4C69B5A1"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40.000,00</w:t>
            </w:r>
          </w:p>
          <w:p w14:paraId="0E69B76F"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p w14:paraId="08AEDDEB"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280.000,00</w:t>
            </w:r>
          </w:p>
          <w:p w14:paraId="67F5680F" w14:textId="77777777" w:rsidR="00DB5227" w:rsidRDefault="00DB5227" w:rsidP="00DD3C2F">
            <w:pPr>
              <w:widowControl w:val="0"/>
              <w:autoSpaceDE w:val="0"/>
              <w:autoSpaceDN w:val="0"/>
              <w:adjustRightInd w:val="0"/>
              <w:jc w:val="right"/>
              <w:rPr>
                <w:rFonts w:ascii="Times New Roman" w:hAnsi="Times New Roman" w:cs="Times New Roman"/>
                <w:szCs w:val="22"/>
              </w:rPr>
            </w:pPr>
          </w:p>
          <w:p w14:paraId="37842383" w14:textId="1C258F41"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tc>
        <w:tc>
          <w:tcPr>
            <w:tcW w:w="2544" w:type="dxa"/>
          </w:tcPr>
          <w:p w14:paraId="635339B2"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1.420.000,00</w:t>
            </w:r>
          </w:p>
          <w:p w14:paraId="0AD94B17"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4D227AA3"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3EC78B6B"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083C574C"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0DEDC6C5"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75EF23F8"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7243C7F8" w14:textId="77777777" w:rsidR="005B214E" w:rsidRPr="00DB5227" w:rsidRDefault="005B214E" w:rsidP="00DD3C2F">
            <w:pPr>
              <w:widowControl w:val="0"/>
              <w:autoSpaceDE w:val="0"/>
              <w:autoSpaceDN w:val="0"/>
              <w:adjustRightInd w:val="0"/>
              <w:spacing w:line="276" w:lineRule="auto"/>
              <w:jc w:val="both"/>
              <w:rPr>
                <w:rFonts w:ascii="Times New Roman" w:hAnsi="Times New Roman" w:cs="Times New Roman"/>
                <w:szCs w:val="22"/>
              </w:rPr>
            </w:pPr>
          </w:p>
          <w:p w14:paraId="15220A24" w14:textId="77777777" w:rsidR="00DB5227" w:rsidRDefault="00DB5227" w:rsidP="00DD3C2F">
            <w:pPr>
              <w:widowControl w:val="0"/>
              <w:autoSpaceDE w:val="0"/>
              <w:autoSpaceDN w:val="0"/>
              <w:adjustRightInd w:val="0"/>
              <w:jc w:val="right"/>
              <w:rPr>
                <w:rFonts w:ascii="Times New Roman" w:hAnsi="Times New Roman" w:cs="Times New Roman"/>
                <w:szCs w:val="22"/>
              </w:rPr>
            </w:pPr>
          </w:p>
          <w:p w14:paraId="2D5B5E12" w14:textId="4CA5F12C"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98.265,00</w:t>
            </w:r>
          </w:p>
        </w:tc>
      </w:tr>
      <w:tr w:rsidR="005B214E" w:rsidRPr="00DB5227" w14:paraId="0549481E" w14:textId="77777777" w:rsidTr="00DB5227">
        <w:tc>
          <w:tcPr>
            <w:tcW w:w="4253" w:type="dxa"/>
            <w:tcBorders>
              <w:bottom w:val="single" w:sz="4" w:space="0" w:color="auto"/>
            </w:tcBorders>
          </w:tcPr>
          <w:p w14:paraId="2745AF22"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Total Cost of Goods Sold</w:t>
            </w:r>
          </w:p>
          <w:p w14:paraId="15290A64"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Production Quantity (</w:t>
            </w:r>
            <w:proofErr w:type="gramStart"/>
            <w:r w:rsidRPr="00DB5227">
              <w:rPr>
                <w:rStyle w:val="y2iqfc"/>
                <w:rFonts w:ascii="Times New Roman" w:eastAsiaTheme="majorEastAsia" w:hAnsi="Times New Roman" w:cs="Times New Roman"/>
                <w:sz w:val="22"/>
                <w:szCs w:val="22"/>
                <w:lang w:val="en"/>
              </w:rPr>
              <w:t>85 gram</w:t>
            </w:r>
            <w:proofErr w:type="gramEnd"/>
            <w:r w:rsidRPr="00DB5227">
              <w:rPr>
                <w:rStyle w:val="y2iqfc"/>
                <w:rFonts w:ascii="Times New Roman" w:eastAsiaTheme="majorEastAsia" w:hAnsi="Times New Roman" w:cs="Times New Roman"/>
                <w:sz w:val="22"/>
                <w:szCs w:val="22"/>
                <w:lang w:val="en"/>
              </w:rPr>
              <w:t xml:space="preserve"> packaging)</w:t>
            </w:r>
          </w:p>
          <w:p w14:paraId="603829A2" w14:textId="12D0A52F"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Cost of Goods Sold (IDR/Package)</w:t>
            </w:r>
          </w:p>
        </w:tc>
        <w:tc>
          <w:tcPr>
            <w:tcW w:w="2126" w:type="dxa"/>
            <w:tcBorders>
              <w:bottom w:val="single" w:sz="4" w:space="0" w:color="auto"/>
            </w:tcBorders>
          </w:tcPr>
          <w:p w14:paraId="65A20E9B"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15173996"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5.231.145,00</w:t>
            </w:r>
          </w:p>
          <w:p w14:paraId="468C4F7D" w14:textId="57054CA6" w:rsidR="00DB5227" w:rsidRDefault="005B214E"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p w14:paraId="6C25E82F" w14:textId="19394EAF"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13.077,86</w:t>
            </w:r>
          </w:p>
        </w:tc>
      </w:tr>
    </w:tbl>
    <w:p w14:paraId="5C434571" w14:textId="77777777"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54D46C4C" w14:textId="77777777" w:rsidR="005B214E" w:rsidRPr="00DB5227" w:rsidRDefault="005B214E" w:rsidP="005B214E">
      <w:pPr>
        <w:pStyle w:val="HTMLPreformatted"/>
        <w:ind w:left="1134" w:hanging="1134"/>
        <w:jc w:val="both"/>
        <w:rPr>
          <w:rFonts w:ascii="Times New Roman" w:hAnsi="Times New Roman" w:cs="Times New Roman"/>
          <w:sz w:val="22"/>
          <w:szCs w:val="22"/>
        </w:rPr>
      </w:pPr>
    </w:p>
    <w:p w14:paraId="64C7A6AB" w14:textId="7FEE5A4A"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total production cost using the full costing method was Rp5,231,145.00. Furthermore, the production cost per package was obtained by dividing the total production cost by the production quantity, resulting in a production cost per package of IDR 13,077.86.</w:t>
      </w:r>
    </w:p>
    <w:p w14:paraId="08E9D84E"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p>
    <w:p w14:paraId="5A51D90B" w14:textId="77777777" w:rsidR="005B214E" w:rsidRPr="00DB5227" w:rsidRDefault="005B214E" w:rsidP="005B214E">
      <w:pPr>
        <w:pStyle w:val="HTMLPreformatted"/>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c. Calculating Production Cost Using the Variable Costing Method</w:t>
      </w:r>
    </w:p>
    <w:p w14:paraId="11005C8E" w14:textId="77777777"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variable costing method is a method for calculating production cost based on the accumulation of variable costs throughout the JATAM chip production process. Costs included in this method include raw material costs, direct labor costs, and variable overhead costs. Details of the production cost calculation using the variable costing method are presented in Table 3 below.</w:t>
      </w:r>
    </w:p>
    <w:p w14:paraId="38FE5E5A" w14:textId="77777777" w:rsidR="005B214E" w:rsidRPr="00DB5227" w:rsidRDefault="005B214E" w:rsidP="005B214E">
      <w:pPr>
        <w:pStyle w:val="HTMLPreformatted"/>
        <w:ind w:left="1134" w:firstLine="567"/>
        <w:jc w:val="both"/>
        <w:rPr>
          <w:rFonts w:ascii="Times New Roman" w:hAnsi="Times New Roman" w:cs="Times New Roman"/>
          <w:sz w:val="22"/>
          <w:szCs w:val="22"/>
        </w:rPr>
      </w:pPr>
    </w:p>
    <w:p w14:paraId="432938FB" w14:textId="77777777" w:rsidR="005B214E" w:rsidRPr="00DB5227" w:rsidRDefault="005B214E" w:rsidP="005B214E">
      <w:pPr>
        <w:pStyle w:val="HTMLPreformatted"/>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3. Calculation of Cost of Goods Sold Using the Variable Costing Method,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2544"/>
      </w:tblGrid>
      <w:tr w:rsidR="005B214E" w:rsidRPr="00DB5227" w14:paraId="3D769598" w14:textId="77777777" w:rsidTr="00DD3C2F">
        <w:tc>
          <w:tcPr>
            <w:tcW w:w="8498" w:type="dxa"/>
            <w:gridSpan w:val="3"/>
            <w:tcBorders>
              <w:top w:val="single" w:sz="4" w:space="0" w:color="auto"/>
              <w:bottom w:val="single" w:sz="4" w:space="0" w:color="auto"/>
            </w:tcBorders>
          </w:tcPr>
          <w:p w14:paraId="7EDD23C9" w14:textId="77777777"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UMKM JATAM</w:t>
            </w:r>
          </w:p>
          <w:p w14:paraId="04B2C392" w14:textId="77777777" w:rsidR="005B214E" w:rsidRPr="00DB5227" w:rsidRDefault="005B214E" w:rsidP="00DD3C2F">
            <w:pPr>
              <w:widowControl w:val="0"/>
              <w:autoSpaceDE w:val="0"/>
              <w:autoSpaceDN w:val="0"/>
              <w:adjustRightInd w:val="0"/>
              <w:jc w:val="center"/>
              <w:rPr>
                <w:rFonts w:ascii="Times New Roman" w:hAnsi="Times New Roman" w:cs="Times New Roman"/>
                <w:b/>
                <w:bCs/>
                <w:i/>
                <w:iCs/>
                <w:szCs w:val="22"/>
              </w:rPr>
            </w:pPr>
            <w:r w:rsidRPr="00DB5227">
              <w:rPr>
                <w:rFonts w:ascii="Times New Roman" w:hAnsi="Times New Roman" w:cs="Times New Roman"/>
                <w:b/>
                <w:bCs/>
                <w:szCs w:val="22"/>
              </w:rPr>
              <w:t xml:space="preserve">Metode </w:t>
            </w:r>
            <w:r w:rsidRPr="00DB5227">
              <w:rPr>
                <w:rFonts w:ascii="Times New Roman" w:hAnsi="Times New Roman" w:cs="Times New Roman"/>
                <w:b/>
                <w:bCs/>
                <w:i/>
                <w:iCs/>
                <w:szCs w:val="22"/>
              </w:rPr>
              <w:t>Variable Costing</w:t>
            </w:r>
          </w:p>
          <w:p w14:paraId="59055ABB" w14:textId="50BEF852"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De</w:t>
            </w:r>
            <w:r w:rsidR="00AE06ED">
              <w:rPr>
                <w:rFonts w:ascii="Times New Roman" w:hAnsi="Times New Roman" w:cs="Times New Roman"/>
                <w:b/>
                <w:bCs/>
                <w:szCs w:val="22"/>
              </w:rPr>
              <w:t>c</w:t>
            </w:r>
            <w:r w:rsidRPr="00DB5227">
              <w:rPr>
                <w:rFonts w:ascii="Times New Roman" w:hAnsi="Times New Roman" w:cs="Times New Roman"/>
                <w:b/>
                <w:bCs/>
                <w:szCs w:val="22"/>
              </w:rPr>
              <w:t>ember 2024</w:t>
            </w:r>
          </w:p>
        </w:tc>
      </w:tr>
      <w:tr w:rsidR="005B214E" w:rsidRPr="00DB5227" w14:paraId="0092E32B" w14:textId="77777777" w:rsidTr="00DD3C2F">
        <w:trPr>
          <w:trHeight w:val="365"/>
        </w:trPr>
        <w:tc>
          <w:tcPr>
            <w:tcW w:w="3828" w:type="dxa"/>
            <w:tcBorders>
              <w:top w:val="single" w:sz="4" w:space="0" w:color="auto"/>
              <w:bottom w:val="single" w:sz="4" w:space="0" w:color="auto"/>
            </w:tcBorders>
            <w:vAlign w:val="center"/>
          </w:tcPr>
          <w:p w14:paraId="0955C402" w14:textId="395FB27B" w:rsidR="005B214E" w:rsidRPr="00DB5227" w:rsidRDefault="00AE06ED" w:rsidP="00DD3C2F">
            <w:pPr>
              <w:widowControl w:val="0"/>
              <w:autoSpaceDE w:val="0"/>
              <w:autoSpaceDN w:val="0"/>
              <w:adjustRightInd w:val="0"/>
              <w:rPr>
                <w:rFonts w:ascii="Times New Roman" w:hAnsi="Times New Roman" w:cs="Times New Roman"/>
                <w:b/>
                <w:bCs/>
                <w:szCs w:val="22"/>
              </w:rPr>
            </w:pPr>
            <w:r>
              <w:rPr>
                <w:rFonts w:ascii="Times New Roman" w:hAnsi="Times New Roman" w:cs="Times New Roman"/>
                <w:b/>
                <w:bCs/>
                <w:szCs w:val="22"/>
              </w:rPr>
              <w:t>Cost C</w:t>
            </w:r>
            <w:r w:rsidR="005B214E" w:rsidRPr="00DB5227">
              <w:rPr>
                <w:rFonts w:ascii="Times New Roman" w:hAnsi="Times New Roman" w:cs="Times New Roman"/>
                <w:b/>
                <w:bCs/>
                <w:szCs w:val="22"/>
              </w:rPr>
              <w:t>omponen</w:t>
            </w:r>
            <w:r>
              <w:rPr>
                <w:rFonts w:ascii="Times New Roman" w:hAnsi="Times New Roman" w:cs="Times New Roman"/>
                <w:b/>
                <w:bCs/>
                <w:szCs w:val="22"/>
              </w:rPr>
              <w:t>t</w:t>
            </w:r>
          </w:p>
        </w:tc>
        <w:tc>
          <w:tcPr>
            <w:tcW w:w="2126" w:type="dxa"/>
            <w:tcBorders>
              <w:top w:val="single" w:sz="4" w:space="0" w:color="auto"/>
              <w:bottom w:val="single" w:sz="4" w:space="0" w:color="auto"/>
            </w:tcBorders>
            <w:vAlign w:val="center"/>
          </w:tcPr>
          <w:p w14:paraId="3A4D47C2" w14:textId="2EA57499" w:rsidR="005B214E" w:rsidRPr="00DB5227" w:rsidRDefault="00AE06ED" w:rsidP="00DD3C2F">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Amount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c>
          <w:tcPr>
            <w:tcW w:w="2544" w:type="dxa"/>
            <w:tcBorders>
              <w:top w:val="single" w:sz="4" w:space="0" w:color="auto"/>
              <w:bottom w:val="single" w:sz="4" w:space="0" w:color="auto"/>
            </w:tcBorders>
            <w:vAlign w:val="center"/>
          </w:tcPr>
          <w:p w14:paraId="41C6BECF" w14:textId="3B987B95" w:rsidR="005B214E" w:rsidRPr="00DB5227" w:rsidRDefault="00AE06ED" w:rsidP="00DD3C2F">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Total Cost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r>
      <w:tr w:rsidR="00DB5227" w:rsidRPr="00DB5227" w14:paraId="24AC85CA" w14:textId="77777777" w:rsidTr="00DD3C2F">
        <w:tc>
          <w:tcPr>
            <w:tcW w:w="3828" w:type="dxa"/>
            <w:tcBorders>
              <w:top w:val="single" w:sz="4" w:space="0" w:color="auto"/>
            </w:tcBorders>
          </w:tcPr>
          <w:p w14:paraId="1E21A58A" w14:textId="624E9FF9"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Raw material cost</w:t>
            </w:r>
          </w:p>
        </w:tc>
        <w:tc>
          <w:tcPr>
            <w:tcW w:w="2126" w:type="dxa"/>
            <w:tcBorders>
              <w:top w:val="single" w:sz="4" w:space="0" w:color="auto"/>
            </w:tcBorders>
          </w:tcPr>
          <w:p w14:paraId="0BD86C77"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Borders>
              <w:top w:val="single" w:sz="4" w:space="0" w:color="auto"/>
            </w:tcBorders>
          </w:tcPr>
          <w:p w14:paraId="08C5BB3B"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DB5227" w:rsidRPr="00DB5227" w14:paraId="1A65ECF2" w14:textId="77777777" w:rsidTr="00DD3C2F">
        <w:tc>
          <w:tcPr>
            <w:tcW w:w="3828" w:type="dxa"/>
          </w:tcPr>
          <w:p w14:paraId="09954CD2" w14:textId="4F291A8D"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Style w:val="y2iqfc"/>
                <w:rFonts w:ascii="Times New Roman" w:hAnsi="Times New Roman" w:cs="Times New Roman"/>
                <w:szCs w:val="22"/>
                <w:lang w:val="en"/>
              </w:rPr>
              <w:t>Direct labor costs</w:t>
            </w:r>
          </w:p>
        </w:tc>
        <w:tc>
          <w:tcPr>
            <w:tcW w:w="2126" w:type="dxa"/>
          </w:tcPr>
          <w:p w14:paraId="3FB0D97C"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Pr>
          <w:p w14:paraId="7E944D49"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tc>
      </w:tr>
      <w:tr w:rsidR="005B214E" w:rsidRPr="00DB5227" w14:paraId="39F4B92C" w14:textId="77777777" w:rsidTr="00DD3C2F">
        <w:trPr>
          <w:trHeight w:val="1955"/>
        </w:trPr>
        <w:tc>
          <w:tcPr>
            <w:tcW w:w="3828" w:type="dxa"/>
          </w:tcPr>
          <w:p w14:paraId="67434EEE"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Variable Overhead Costs</w:t>
            </w:r>
          </w:p>
          <w:p w14:paraId="47C42E11"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Gallon water</w:t>
            </w:r>
          </w:p>
          <w:p w14:paraId="4C282F7F"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Electricity costs</w:t>
            </w:r>
          </w:p>
          <w:p w14:paraId="3CB2F580" w14:textId="77777777" w:rsidR="00DB5227" w:rsidRPr="00DB5227" w:rsidRDefault="00DB5227" w:rsidP="00DB5227">
            <w:pPr>
              <w:pStyle w:val="ListParagraph"/>
              <w:widowControl w:val="0"/>
              <w:numPr>
                <w:ilvl w:val="0"/>
                <w:numId w:val="4"/>
              </w:numPr>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Gas (3 kg)</w:t>
            </w:r>
          </w:p>
          <w:p w14:paraId="38810B96"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Transportation costs (fuel)</w:t>
            </w:r>
          </w:p>
          <w:p w14:paraId="49A65C66" w14:textId="77777777" w:rsidR="00DB5227" w:rsidRPr="00DB5227" w:rsidRDefault="00DB5227" w:rsidP="00DB5227">
            <w:pPr>
              <w:pStyle w:val="HTMLPreformatted"/>
              <w:numPr>
                <w:ilvl w:val="0"/>
                <w:numId w:val="4"/>
              </w:numPr>
              <w:tabs>
                <w:tab w:val="clear" w:pos="3664"/>
              </w:tabs>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Packaging costs</w:t>
            </w:r>
          </w:p>
          <w:p w14:paraId="0E3385E8"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Sprinkle Seasoning with Various Flavors</w:t>
            </w:r>
          </w:p>
          <w:p w14:paraId="5B61CCEC" w14:textId="38DC9498" w:rsidR="005B214E" w:rsidRPr="00DB5227" w:rsidRDefault="00DB5227" w:rsidP="00DB5227">
            <w:pPr>
              <w:pStyle w:val="ListParagraph"/>
              <w:widowControl w:val="0"/>
              <w:numPr>
                <w:ilvl w:val="0"/>
                <w:numId w:val="4"/>
              </w:numPr>
              <w:autoSpaceDE w:val="0"/>
              <w:autoSpaceDN w:val="0"/>
              <w:adjustRightInd w:val="0"/>
              <w:spacing w:line="276" w:lineRule="auto"/>
              <w:jc w:val="both"/>
              <w:rPr>
                <w:rFonts w:ascii="Times New Roman" w:hAnsi="Times New Roman" w:cs="Times New Roman"/>
                <w:szCs w:val="22"/>
              </w:rPr>
            </w:pPr>
            <w:r w:rsidRPr="00DB5227">
              <w:rPr>
                <w:rFonts w:ascii="Times New Roman" w:hAnsi="Times New Roman" w:cs="Times New Roman"/>
                <w:szCs w:val="22"/>
              </w:rPr>
              <w:t xml:space="preserve">Chili </w:t>
            </w:r>
            <w:r w:rsidRPr="00DB5227">
              <w:rPr>
                <w:rFonts w:ascii="Times New Roman" w:hAnsi="Times New Roman" w:cs="Times New Roman"/>
                <w:i/>
                <w:iCs/>
                <w:szCs w:val="22"/>
              </w:rPr>
              <w:t>Sachet</w:t>
            </w:r>
          </w:p>
        </w:tc>
        <w:tc>
          <w:tcPr>
            <w:tcW w:w="2126" w:type="dxa"/>
          </w:tcPr>
          <w:p w14:paraId="51FF700C"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4F7A4EEE"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20.000,00</w:t>
            </w:r>
          </w:p>
          <w:p w14:paraId="2232E0BF"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p w14:paraId="14E4C287"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120.000,00</w:t>
            </w:r>
          </w:p>
          <w:p w14:paraId="27075EEE"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40.000,00</w:t>
            </w:r>
          </w:p>
          <w:p w14:paraId="60D1988A"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p w14:paraId="63D5DC4B"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280.000,00</w:t>
            </w:r>
          </w:p>
          <w:p w14:paraId="1E71143F"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tc>
        <w:tc>
          <w:tcPr>
            <w:tcW w:w="2544" w:type="dxa"/>
          </w:tcPr>
          <w:p w14:paraId="7322770C"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1.420.000,00</w:t>
            </w:r>
          </w:p>
          <w:p w14:paraId="0C3DF01D"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3F31399D"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5E7C14E6"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593AA5BA" w14:textId="77777777" w:rsidR="005B214E" w:rsidRPr="00DB5227" w:rsidRDefault="005B214E" w:rsidP="00DD3C2F">
            <w:pPr>
              <w:widowControl w:val="0"/>
              <w:autoSpaceDE w:val="0"/>
              <w:autoSpaceDN w:val="0"/>
              <w:adjustRightInd w:val="0"/>
              <w:rPr>
                <w:rFonts w:ascii="Times New Roman" w:hAnsi="Times New Roman" w:cs="Times New Roman"/>
                <w:szCs w:val="22"/>
              </w:rPr>
            </w:pPr>
          </w:p>
        </w:tc>
      </w:tr>
      <w:tr w:rsidR="005B214E" w:rsidRPr="00DB5227" w14:paraId="167CE473" w14:textId="77777777" w:rsidTr="00DD3C2F">
        <w:tc>
          <w:tcPr>
            <w:tcW w:w="3828" w:type="dxa"/>
            <w:tcBorders>
              <w:bottom w:val="single" w:sz="4" w:space="0" w:color="auto"/>
            </w:tcBorders>
          </w:tcPr>
          <w:p w14:paraId="65ED318A"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Total Cost of Goods Sold</w:t>
            </w:r>
          </w:p>
          <w:p w14:paraId="1B0FC3B1"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Production Quantity (</w:t>
            </w:r>
            <w:proofErr w:type="gramStart"/>
            <w:r w:rsidRPr="00DB5227">
              <w:rPr>
                <w:rStyle w:val="y2iqfc"/>
                <w:rFonts w:ascii="Times New Roman" w:eastAsiaTheme="majorEastAsia" w:hAnsi="Times New Roman" w:cs="Times New Roman"/>
                <w:sz w:val="22"/>
                <w:szCs w:val="22"/>
                <w:lang w:val="en"/>
              </w:rPr>
              <w:t>85 gram</w:t>
            </w:r>
            <w:proofErr w:type="gramEnd"/>
            <w:r w:rsidRPr="00DB5227">
              <w:rPr>
                <w:rStyle w:val="y2iqfc"/>
                <w:rFonts w:ascii="Times New Roman" w:eastAsiaTheme="majorEastAsia" w:hAnsi="Times New Roman" w:cs="Times New Roman"/>
                <w:sz w:val="22"/>
                <w:szCs w:val="22"/>
                <w:lang w:val="en"/>
              </w:rPr>
              <w:t xml:space="preserve"> packaging)</w:t>
            </w:r>
          </w:p>
          <w:p w14:paraId="075B4FC0" w14:textId="3C2BF513"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Cost of Goods Sold (Rp/Package)</w:t>
            </w:r>
          </w:p>
        </w:tc>
        <w:tc>
          <w:tcPr>
            <w:tcW w:w="2126" w:type="dxa"/>
            <w:tcBorders>
              <w:bottom w:val="single" w:sz="4" w:space="0" w:color="auto"/>
            </w:tcBorders>
          </w:tcPr>
          <w:p w14:paraId="550F28DA"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419F2490"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5.132.880,00</w:t>
            </w:r>
          </w:p>
          <w:p w14:paraId="114A7B56"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p w14:paraId="716A4F9B"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12.832,20</w:t>
            </w:r>
          </w:p>
        </w:tc>
      </w:tr>
    </w:tbl>
    <w:p w14:paraId="21F1AC87" w14:textId="77777777"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32FEC9D9"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p>
    <w:p w14:paraId="075B25F2" w14:textId="6033E30C"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lastRenderedPageBreak/>
        <w:t>Based on Table 3, the total cost of production calculated using the variable costing method is IDR 5,132,880.00</w:t>
      </w:r>
      <w:r w:rsidR="00555088">
        <w:rPr>
          <w:rStyle w:val="y2iqfc"/>
          <w:rFonts w:ascii="Times New Roman" w:eastAsiaTheme="majorEastAsia" w:hAnsi="Times New Roman" w:cs="Times New Roman"/>
          <w:sz w:val="22"/>
          <w:szCs w:val="22"/>
          <w:lang w:val="en"/>
        </w:rPr>
        <w:t>. W</w:t>
      </w:r>
      <w:r w:rsidRPr="00DB5227">
        <w:rPr>
          <w:rStyle w:val="y2iqfc"/>
          <w:rFonts w:ascii="Times New Roman" w:eastAsiaTheme="majorEastAsia" w:hAnsi="Times New Roman" w:cs="Times New Roman"/>
          <w:sz w:val="22"/>
          <w:szCs w:val="22"/>
          <w:lang w:val="en"/>
        </w:rPr>
        <w:t>ith a production volume of 400 packages in one month, the cost of production per package based on the variable costing method is IDR 12,832.20.</w:t>
      </w:r>
    </w:p>
    <w:p w14:paraId="12F930D2" w14:textId="77777777" w:rsidR="005B214E" w:rsidRPr="00DB5227" w:rsidRDefault="005B214E" w:rsidP="005B214E">
      <w:pPr>
        <w:pStyle w:val="HTMLPreformatted"/>
        <w:jc w:val="both"/>
        <w:rPr>
          <w:rStyle w:val="y2iqfc"/>
          <w:rFonts w:ascii="Times New Roman" w:eastAsiaTheme="majorEastAsia" w:hAnsi="Times New Roman" w:cs="Times New Roman"/>
          <w:sz w:val="22"/>
          <w:szCs w:val="22"/>
          <w:lang w:val="en"/>
        </w:rPr>
      </w:pPr>
    </w:p>
    <w:p w14:paraId="540A41D7" w14:textId="77777777" w:rsidR="005B214E" w:rsidRPr="00DB5227" w:rsidRDefault="005B214E" w:rsidP="005B214E">
      <w:pPr>
        <w:pStyle w:val="HTMLPreformatted"/>
        <w:jc w:val="both"/>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d. Comparison of Cost of Goods Sold Between the Three Methods</w:t>
      </w:r>
    </w:p>
    <w:p w14:paraId="288CBA69" w14:textId="419A315B"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The differences in calculating </w:t>
      </w:r>
      <w:r w:rsidR="00555088">
        <w:rPr>
          <w:rStyle w:val="y2iqfc"/>
          <w:rFonts w:ascii="Times New Roman" w:eastAsiaTheme="majorEastAsia" w:hAnsi="Times New Roman" w:cs="Times New Roman"/>
          <w:sz w:val="22"/>
          <w:szCs w:val="22"/>
          <w:lang w:val="en"/>
        </w:rPr>
        <w:t xml:space="preserve">the </w:t>
      </w:r>
      <w:r w:rsidRPr="00DB5227">
        <w:rPr>
          <w:rStyle w:val="y2iqfc"/>
          <w:rFonts w:ascii="Times New Roman" w:eastAsiaTheme="majorEastAsia" w:hAnsi="Times New Roman" w:cs="Times New Roman"/>
          <w:sz w:val="22"/>
          <w:szCs w:val="22"/>
          <w:lang w:val="en"/>
        </w:rPr>
        <w:t>cost of goods sold between the methods currently used by JATAM MSMEs, the full costing method, and the variable costing method, indicate that each method has a different approach to accumulating production costs. A detailed comparison of the cost of goods sold between the three methods is presented in Table 4 below.</w:t>
      </w:r>
    </w:p>
    <w:p w14:paraId="1F0C7F10" w14:textId="77777777" w:rsidR="005B214E" w:rsidRPr="00DB5227" w:rsidRDefault="005B214E" w:rsidP="005B214E">
      <w:pPr>
        <w:pStyle w:val="HTMLPreformatted"/>
        <w:jc w:val="both"/>
        <w:rPr>
          <w:rFonts w:ascii="Times New Roman" w:hAnsi="Times New Roman" w:cs="Times New Roman"/>
          <w:sz w:val="22"/>
          <w:szCs w:val="22"/>
        </w:rPr>
      </w:pPr>
    </w:p>
    <w:p w14:paraId="6AE4FCC6" w14:textId="77777777" w:rsidR="005B214E" w:rsidRPr="00DB5227" w:rsidRDefault="005B214E" w:rsidP="000E6436">
      <w:pPr>
        <w:pStyle w:val="HTMLPreformatted"/>
        <w:ind w:left="851" w:hanging="851"/>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4. Comparison of Cost of Goods Sold Using the JATAM MSME Method, with the Full Costing and Variable Costing Methods,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gridCol w:w="1978"/>
        <w:gridCol w:w="2125"/>
      </w:tblGrid>
      <w:tr w:rsidR="005B214E" w:rsidRPr="00DB5227" w14:paraId="7D0CD4E8" w14:textId="77777777" w:rsidTr="00DD3C2F">
        <w:tc>
          <w:tcPr>
            <w:tcW w:w="2835" w:type="dxa"/>
            <w:tcBorders>
              <w:top w:val="single" w:sz="4" w:space="0" w:color="auto"/>
              <w:bottom w:val="single" w:sz="4" w:space="0" w:color="auto"/>
            </w:tcBorders>
            <w:vAlign w:val="center"/>
          </w:tcPr>
          <w:p w14:paraId="776F894F" w14:textId="77777777" w:rsidR="000E6436"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Information</w:t>
            </w:r>
          </w:p>
          <w:p w14:paraId="24C6F80C" w14:textId="322CB02D" w:rsidR="005B214E" w:rsidRPr="000E6436" w:rsidRDefault="005B214E" w:rsidP="00DD3C2F">
            <w:pPr>
              <w:widowControl w:val="0"/>
              <w:autoSpaceDE w:val="0"/>
              <w:autoSpaceDN w:val="0"/>
              <w:adjustRightInd w:val="0"/>
              <w:jc w:val="center"/>
              <w:rPr>
                <w:rFonts w:ascii="Times New Roman" w:hAnsi="Times New Roman" w:cs="Times New Roman"/>
                <w:b/>
                <w:bCs/>
                <w:szCs w:val="22"/>
              </w:rPr>
            </w:pPr>
          </w:p>
        </w:tc>
        <w:tc>
          <w:tcPr>
            <w:tcW w:w="1560" w:type="dxa"/>
            <w:tcBorders>
              <w:top w:val="single" w:sz="4" w:space="0" w:color="auto"/>
              <w:bottom w:val="single" w:sz="4" w:space="0" w:color="auto"/>
            </w:tcBorders>
            <w:vAlign w:val="center"/>
          </w:tcPr>
          <w:p w14:paraId="0026B6C9" w14:textId="4C68291A" w:rsidR="005B214E" w:rsidRPr="000E6436" w:rsidRDefault="005B214E" w:rsidP="00DD3C2F">
            <w:pPr>
              <w:widowControl w:val="0"/>
              <w:autoSpaceDE w:val="0"/>
              <w:autoSpaceDN w:val="0"/>
              <w:adjustRightInd w:val="0"/>
              <w:jc w:val="center"/>
              <w:rPr>
                <w:rFonts w:ascii="Times New Roman" w:hAnsi="Times New Roman" w:cs="Times New Roman"/>
                <w:b/>
                <w:bCs/>
                <w:szCs w:val="22"/>
              </w:rPr>
            </w:pPr>
            <w:r w:rsidRPr="000E6436">
              <w:rPr>
                <w:rFonts w:ascii="Times New Roman" w:hAnsi="Times New Roman" w:cs="Times New Roman"/>
                <w:b/>
                <w:bCs/>
                <w:szCs w:val="22"/>
              </w:rPr>
              <w:t>Met</w:t>
            </w:r>
            <w:r w:rsidR="000E6436" w:rsidRPr="000E6436">
              <w:rPr>
                <w:rFonts w:ascii="Times New Roman" w:hAnsi="Times New Roman" w:cs="Times New Roman"/>
                <w:b/>
                <w:bCs/>
                <w:szCs w:val="22"/>
              </w:rPr>
              <w:t>h</w:t>
            </w:r>
            <w:r w:rsidRPr="000E6436">
              <w:rPr>
                <w:rFonts w:ascii="Times New Roman" w:hAnsi="Times New Roman" w:cs="Times New Roman"/>
                <w:b/>
                <w:bCs/>
                <w:szCs w:val="22"/>
              </w:rPr>
              <w:t>od</w:t>
            </w:r>
            <w:r w:rsidR="000E6436" w:rsidRPr="000E6436">
              <w:rPr>
                <w:rFonts w:ascii="Times New Roman" w:hAnsi="Times New Roman" w:cs="Times New Roman"/>
                <w:b/>
                <w:bCs/>
                <w:szCs w:val="22"/>
              </w:rPr>
              <w:t xml:space="preserve"> of</w:t>
            </w:r>
            <w:r w:rsidRPr="000E6436">
              <w:rPr>
                <w:rFonts w:ascii="Times New Roman" w:hAnsi="Times New Roman" w:cs="Times New Roman"/>
                <w:b/>
                <w:bCs/>
                <w:szCs w:val="22"/>
              </w:rPr>
              <w:t xml:space="preserve"> UMKM JATAM</w:t>
            </w:r>
          </w:p>
        </w:tc>
        <w:tc>
          <w:tcPr>
            <w:tcW w:w="1978" w:type="dxa"/>
            <w:tcBorders>
              <w:top w:val="single" w:sz="4" w:space="0" w:color="auto"/>
              <w:bottom w:val="single" w:sz="4" w:space="0" w:color="auto"/>
            </w:tcBorders>
            <w:vAlign w:val="center"/>
          </w:tcPr>
          <w:p w14:paraId="2EFA47F2" w14:textId="77777777" w:rsidR="000E6436" w:rsidRPr="000E6436" w:rsidRDefault="000E6436" w:rsidP="000E6436">
            <w:pPr>
              <w:pStyle w:val="HTMLPreformatted"/>
              <w:jc w:val="center"/>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Author's Analysis of Full Costing Method</w:t>
            </w:r>
          </w:p>
          <w:p w14:paraId="683EE900" w14:textId="28C88099" w:rsidR="005B214E" w:rsidRPr="000E6436" w:rsidRDefault="005B214E" w:rsidP="000E6436">
            <w:pPr>
              <w:widowControl w:val="0"/>
              <w:autoSpaceDE w:val="0"/>
              <w:autoSpaceDN w:val="0"/>
              <w:adjustRightInd w:val="0"/>
              <w:jc w:val="center"/>
              <w:rPr>
                <w:rFonts w:ascii="Times New Roman" w:hAnsi="Times New Roman" w:cs="Times New Roman"/>
                <w:b/>
                <w:bCs/>
                <w:i/>
                <w:iCs/>
                <w:szCs w:val="22"/>
              </w:rPr>
            </w:pPr>
          </w:p>
        </w:tc>
        <w:tc>
          <w:tcPr>
            <w:tcW w:w="2125" w:type="dxa"/>
            <w:tcBorders>
              <w:top w:val="single" w:sz="4" w:space="0" w:color="auto"/>
              <w:bottom w:val="single" w:sz="4" w:space="0" w:color="auto"/>
            </w:tcBorders>
            <w:vAlign w:val="center"/>
          </w:tcPr>
          <w:p w14:paraId="507D96BE" w14:textId="56F939D3" w:rsidR="005B214E" w:rsidRPr="000E6436" w:rsidRDefault="000E6436" w:rsidP="000E6436">
            <w:pPr>
              <w:pStyle w:val="HTMLPreformatted"/>
              <w:jc w:val="center"/>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Author's Analysis of Variable Costing Method</w:t>
            </w:r>
          </w:p>
        </w:tc>
      </w:tr>
      <w:tr w:rsidR="005B214E" w:rsidRPr="00DB5227" w14:paraId="52AA2497" w14:textId="77777777" w:rsidTr="00DD3C2F">
        <w:tc>
          <w:tcPr>
            <w:tcW w:w="2835" w:type="dxa"/>
            <w:tcBorders>
              <w:top w:val="single" w:sz="4" w:space="0" w:color="auto"/>
            </w:tcBorders>
          </w:tcPr>
          <w:p w14:paraId="7050B8F9" w14:textId="7572A390"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COGS per package</w:t>
            </w:r>
          </w:p>
        </w:tc>
        <w:tc>
          <w:tcPr>
            <w:tcW w:w="1560" w:type="dxa"/>
            <w:tcBorders>
              <w:top w:val="single" w:sz="4" w:space="0" w:color="auto"/>
            </w:tcBorders>
          </w:tcPr>
          <w:p w14:paraId="63D5097D" w14:textId="77777777" w:rsidR="005B214E" w:rsidRPr="000E6436" w:rsidRDefault="005B214E" w:rsidP="00DD3C2F">
            <w:pPr>
              <w:widowControl w:val="0"/>
              <w:autoSpaceDE w:val="0"/>
              <w:autoSpaceDN w:val="0"/>
              <w:adjustRightInd w:val="0"/>
              <w:jc w:val="right"/>
              <w:rPr>
                <w:rFonts w:ascii="Times New Roman" w:hAnsi="Times New Roman" w:cs="Times New Roman"/>
                <w:b/>
                <w:bCs/>
                <w:szCs w:val="22"/>
              </w:rPr>
            </w:pPr>
            <w:r w:rsidRPr="000E6436">
              <w:rPr>
                <w:rFonts w:ascii="Times New Roman" w:hAnsi="Times New Roman" w:cs="Times New Roman"/>
                <w:b/>
                <w:bCs/>
                <w:szCs w:val="22"/>
              </w:rPr>
              <w:t>12.182,20</w:t>
            </w:r>
          </w:p>
        </w:tc>
        <w:tc>
          <w:tcPr>
            <w:tcW w:w="1978" w:type="dxa"/>
            <w:tcBorders>
              <w:top w:val="single" w:sz="4" w:space="0" w:color="auto"/>
            </w:tcBorders>
          </w:tcPr>
          <w:p w14:paraId="7ED9E2F0" w14:textId="77777777" w:rsidR="005B214E" w:rsidRPr="000E6436" w:rsidRDefault="005B214E" w:rsidP="00DD3C2F">
            <w:pPr>
              <w:widowControl w:val="0"/>
              <w:autoSpaceDE w:val="0"/>
              <w:autoSpaceDN w:val="0"/>
              <w:adjustRightInd w:val="0"/>
              <w:jc w:val="right"/>
              <w:rPr>
                <w:rFonts w:ascii="Times New Roman" w:hAnsi="Times New Roman" w:cs="Times New Roman"/>
                <w:b/>
                <w:bCs/>
                <w:szCs w:val="22"/>
              </w:rPr>
            </w:pPr>
            <w:r w:rsidRPr="000E6436">
              <w:rPr>
                <w:rFonts w:ascii="Times New Roman" w:hAnsi="Times New Roman" w:cs="Times New Roman"/>
                <w:b/>
                <w:bCs/>
                <w:szCs w:val="22"/>
              </w:rPr>
              <w:t>13.077,86</w:t>
            </w:r>
          </w:p>
        </w:tc>
        <w:tc>
          <w:tcPr>
            <w:tcW w:w="2125" w:type="dxa"/>
            <w:tcBorders>
              <w:top w:val="single" w:sz="4" w:space="0" w:color="auto"/>
            </w:tcBorders>
          </w:tcPr>
          <w:p w14:paraId="07E40BEC" w14:textId="77777777" w:rsidR="005B214E" w:rsidRPr="000E6436" w:rsidRDefault="005B214E" w:rsidP="00DD3C2F">
            <w:pPr>
              <w:widowControl w:val="0"/>
              <w:autoSpaceDE w:val="0"/>
              <w:autoSpaceDN w:val="0"/>
              <w:adjustRightInd w:val="0"/>
              <w:jc w:val="right"/>
              <w:rPr>
                <w:rFonts w:ascii="Times New Roman" w:hAnsi="Times New Roman" w:cs="Times New Roman"/>
                <w:b/>
                <w:bCs/>
                <w:szCs w:val="22"/>
              </w:rPr>
            </w:pPr>
            <w:r w:rsidRPr="000E6436">
              <w:rPr>
                <w:rFonts w:ascii="Times New Roman" w:hAnsi="Times New Roman" w:cs="Times New Roman"/>
                <w:b/>
                <w:bCs/>
                <w:szCs w:val="22"/>
              </w:rPr>
              <w:t>12.832,20</w:t>
            </w:r>
          </w:p>
        </w:tc>
      </w:tr>
      <w:tr w:rsidR="005B214E" w:rsidRPr="00DB5227" w14:paraId="700FB58C" w14:textId="77777777" w:rsidTr="00DD3C2F">
        <w:tc>
          <w:tcPr>
            <w:tcW w:w="2835" w:type="dxa"/>
          </w:tcPr>
          <w:p w14:paraId="644A961C" w14:textId="30CBBED6"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Total cost of goods manufactured</w:t>
            </w:r>
          </w:p>
        </w:tc>
        <w:tc>
          <w:tcPr>
            <w:tcW w:w="1560" w:type="dxa"/>
          </w:tcPr>
          <w:p w14:paraId="1C6DA789"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4.872.880,00</w:t>
            </w:r>
          </w:p>
        </w:tc>
        <w:tc>
          <w:tcPr>
            <w:tcW w:w="1978" w:type="dxa"/>
          </w:tcPr>
          <w:p w14:paraId="35C0F3CF"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5.231.145,00</w:t>
            </w:r>
          </w:p>
        </w:tc>
        <w:tc>
          <w:tcPr>
            <w:tcW w:w="2125" w:type="dxa"/>
          </w:tcPr>
          <w:p w14:paraId="46561927"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5.132.880,00</w:t>
            </w:r>
          </w:p>
        </w:tc>
      </w:tr>
      <w:tr w:rsidR="005B214E" w:rsidRPr="00DB5227" w14:paraId="15B214F0" w14:textId="77777777" w:rsidTr="00DD3C2F">
        <w:tc>
          <w:tcPr>
            <w:tcW w:w="2835" w:type="dxa"/>
          </w:tcPr>
          <w:p w14:paraId="25B4A789" w14:textId="4BEDD0F6"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Profit 35%</w:t>
            </w:r>
          </w:p>
        </w:tc>
        <w:tc>
          <w:tcPr>
            <w:tcW w:w="1560" w:type="dxa"/>
          </w:tcPr>
          <w:p w14:paraId="1E8BE6FF"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1.705.508,00</w:t>
            </w:r>
          </w:p>
        </w:tc>
        <w:tc>
          <w:tcPr>
            <w:tcW w:w="1978" w:type="dxa"/>
          </w:tcPr>
          <w:p w14:paraId="78298F43"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1.830.900,75</w:t>
            </w:r>
          </w:p>
        </w:tc>
        <w:tc>
          <w:tcPr>
            <w:tcW w:w="2125" w:type="dxa"/>
          </w:tcPr>
          <w:p w14:paraId="6D69FA3E"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1.796.508,00</w:t>
            </w:r>
          </w:p>
        </w:tc>
      </w:tr>
      <w:tr w:rsidR="005B214E" w:rsidRPr="00DB5227" w14:paraId="7A67A214" w14:textId="77777777" w:rsidTr="00DD3C2F">
        <w:tc>
          <w:tcPr>
            <w:tcW w:w="2835" w:type="dxa"/>
          </w:tcPr>
          <w:p w14:paraId="6BD9EAC4" w14:textId="3DDD1B65"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Total selling price</w:t>
            </w:r>
          </w:p>
        </w:tc>
        <w:tc>
          <w:tcPr>
            <w:tcW w:w="1560" w:type="dxa"/>
          </w:tcPr>
          <w:p w14:paraId="22104828"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6.578.388,00</w:t>
            </w:r>
          </w:p>
        </w:tc>
        <w:tc>
          <w:tcPr>
            <w:tcW w:w="1978" w:type="dxa"/>
          </w:tcPr>
          <w:p w14:paraId="65ACF02F"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7.062.045,75</w:t>
            </w:r>
          </w:p>
        </w:tc>
        <w:tc>
          <w:tcPr>
            <w:tcW w:w="2125" w:type="dxa"/>
          </w:tcPr>
          <w:p w14:paraId="36872A1E"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6.929.388,00</w:t>
            </w:r>
          </w:p>
        </w:tc>
      </w:tr>
      <w:tr w:rsidR="005B214E" w:rsidRPr="00DB5227" w14:paraId="13CB08B4" w14:textId="77777777" w:rsidTr="00DD3C2F">
        <w:tc>
          <w:tcPr>
            <w:tcW w:w="2835" w:type="dxa"/>
          </w:tcPr>
          <w:p w14:paraId="74C1C9A8" w14:textId="56921148"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Number of products (packages)</w:t>
            </w:r>
          </w:p>
        </w:tc>
        <w:tc>
          <w:tcPr>
            <w:tcW w:w="1560" w:type="dxa"/>
          </w:tcPr>
          <w:p w14:paraId="49621D8E"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400</w:t>
            </w:r>
          </w:p>
        </w:tc>
        <w:tc>
          <w:tcPr>
            <w:tcW w:w="1978" w:type="dxa"/>
          </w:tcPr>
          <w:p w14:paraId="54149D3D"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400</w:t>
            </w:r>
          </w:p>
        </w:tc>
        <w:tc>
          <w:tcPr>
            <w:tcW w:w="2125" w:type="dxa"/>
          </w:tcPr>
          <w:p w14:paraId="35E10008"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400</w:t>
            </w:r>
          </w:p>
        </w:tc>
      </w:tr>
      <w:tr w:rsidR="005B214E" w:rsidRPr="00DB5227" w14:paraId="1F3952C6" w14:textId="77777777" w:rsidTr="00DD3C2F">
        <w:tc>
          <w:tcPr>
            <w:tcW w:w="2835" w:type="dxa"/>
            <w:tcBorders>
              <w:bottom w:val="single" w:sz="4" w:space="0" w:color="auto"/>
            </w:tcBorders>
          </w:tcPr>
          <w:p w14:paraId="6F19940A" w14:textId="0CFB10F7"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Total selling price per package</w:t>
            </w:r>
          </w:p>
        </w:tc>
        <w:tc>
          <w:tcPr>
            <w:tcW w:w="1560" w:type="dxa"/>
            <w:tcBorders>
              <w:bottom w:val="single" w:sz="4" w:space="0" w:color="auto"/>
            </w:tcBorders>
          </w:tcPr>
          <w:p w14:paraId="43513BBE"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16.445,97</w:t>
            </w:r>
          </w:p>
        </w:tc>
        <w:tc>
          <w:tcPr>
            <w:tcW w:w="1978" w:type="dxa"/>
            <w:tcBorders>
              <w:bottom w:val="single" w:sz="4" w:space="0" w:color="auto"/>
            </w:tcBorders>
          </w:tcPr>
          <w:p w14:paraId="1E6DC875"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17.655,11</w:t>
            </w:r>
          </w:p>
        </w:tc>
        <w:tc>
          <w:tcPr>
            <w:tcW w:w="2125" w:type="dxa"/>
            <w:tcBorders>
              <w:bottom w:val="single" w:sz="4" w:space="0" w:color="auto"/>
            </w:tcBorders>
          </w:tcPr>
          <w:p w14:paraId="74B00193"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17.323,47</w:t>
            </w:r>
          </w:p>
        </w:tc>
      </w:tr>
    </w:tbl>
    <w:p w14:paraId="400ECBF7" w14:textId="77777777"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12B389FE"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p>
    <w:p w14:paraId="7A532A58" w14:textId="43CB7C5B"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comparative analysis of the cost of goods manufactured presented in Table 4 shows a difference in the cost of goods manufactured between the methods applied by JATAM MSMEs, the full costing method, and the variable costing method. The method currently applied by JATAM MSMEs results in a cost of goods manufactured per package of IDR 12,182.20. Meanwhile, calculations using the full costing method result in a cost of goods manufactured per package of IDR 13,077.86, resulting in a difference of Rp895.66 per package compared to the JATAM MSME method. Calculations using the variable costing method result in a cost of goods manufactured of Rp12,832.20 per package, indicating a difference of IDR 650.00 compared to the JATAM MSME method, and a difference of IDR 245.66 per package compared to the full costing method.</w:t>
      </w:r>
    </w:p>
    <w:p w14:paraId="1062A3DF" w14:textId="77777777" w:rsidR="00DD2147" w:rsidRPr="00DB5227" w:rsidRDefault="00DD2147" w:rsidP="00DD2147">
      <w:pPr>
        <w:pStyle w:val="HTMLPreformatted"/>
        <w:rPr>
          <w:rStyle w:val="y2iqfc"/>
          <w:rFonts w:ascii="Times New Roman" w:eastAsiaTheme="majorEastAsia" w:hAnsi="Times New Roman" w:cs="Times New Roman"/>
          <w:sz w:val="22"/>
          <w:szCs w:val="22"/>
          <w:lang w:val="en"/>
        </w:rPr>
      </w:pPr>
    </w:p>
    <w:p w14:paraId="11AAA285" w14:textId="1FBF7E72" w:rsidR="00DD2147" w:rsidRPr="00DB5227" w:rsidRDefault="00DD2147" w:rsidP="00DD2147">
      <w:pPr>
        <w:pStyle w:val="HTMLPreformatted"/>
        <w:jc w:val="both"/>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5. Break-Even Point Analysis for JATAM Chips Production</w:t>
      </w:r>
    </w:p>
    <w:p w14:paraId="5A298C6D" w14:textId="77777777" w:rsidR="00DD2147" w:rsidRPr="00DB5227" w:rsidRDefault="00DD2147" w:rsidP="00DD214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Break-even point analysis is a method used by management to determine the balance point between revenue and costs, where the company experiences neither a loss nor a profit. In calculating the break-even point, the first step is to classify costs based on their behavior [16]. Fixed costs in this study come from equipment depreciation, while costs included in the variable cost category include raw materials, direct labor, and variable overhead. After identifying fixed and variable costs, the next step is to calculate the Break-Even Point (BEP) based on sales revenue and production volume. The results of the BEP calculation are presented in Table 5 below.</w:t>
      </w:r>
    </w:p>
    <w:p w14:paraId="00D95FAC" w14:textId="77777777" w:rsidR="00AE06ED" w:rsidRDefault="00AE06ED" w:rsidP="00193D39">
      <w:pPr>
        <w:pStyle w:val="HTMLPreformatted"/>
        <w:rPr>
          <w:rStyle w:val="y2iqfc"/>
          <w:rFonts w:ascii="Times New Roman" w:eastAsiaTheme="majorEastAsia" w:hAnsi="Times New Roman" w:cs="Times New Roman"/>
          <w:sz w:val="22"/>
          <w:szCs w:val="22"/>
          <w:lang w:val="en"/>
        </w:rPr>
      </w:pPr>
    </w:p>
    <w:p w14:paraId="3F79C80E" w14:textId="476E6581" w:rsidR="00193D39" w:rsidRPr="00DB5227" w:rsidRDefault="00193D39" w:rsidP="00193D39">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5. Calculation of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Even Point for JATAM Chips Production,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985"/>
        <w:gridCol w:w="2544"/>
      </w:tblGrid>
      <w:tr w:rsidR="00DD2147" w:rsidRPr="00DB5227" w14:paraId="79282A5F" w14:textId="77777777" w:rsidTr="00DD3C2F">
        <w:trPr>
          <w:trHeight w:val="365"/>
        </w:trPr>
        <w:tc>
          <w:tcPr>
            <w:tcW w:w="3969" w:type="dxa"/>
            <w:tcBorders>
              <w:top w:val="single" w:sz="4" w:space="0" w:color="auto"/>
              <w:bottom w:val="single" w:sz="4" w:space="0" w:color="auto"/>
            </w:tcBorders>
            <w:vAlign w:val="center"/>
          </w:tcPr>
          <w:p w14:paraId="1B145087" w14:textId="77777777" w:rsidR="00AE06ED" w:rsidRPr="00AE06ED" w:rsidRDefault="00AE06ED" w:rsidP="00AE06ED">
            <w:pPr>
              <w:pStyle w:val="HTMLPreformatted"/>
              <w:rPr>
                <w:rFonts w:ascii="Times New Roman" w:hAnsi="Times New Roman" w:cs="Times New Roman"/>
                <w:b/>
                <w:bCs/>
                <w:sz w:val="22"/>
                <w:szCs w:val="22"/>
              </w:rPr>
            </w:pPr>
            <w:r w:rsidRPr="00AE06ED">
              <w:rPr>
                <w:rStyle w:val="y2iqfc"/>
                <w:rFonts w:ascii="Times New Roman" w:eastAsiaTheme="majorEastAsia" w:hAnsi="Times New Roman" w:cs="Times New Roman"/>
                <w:b/>
                <w:bCs/>
                <w:sz w:val="22"/>
                <w:szCs w:val="22"/>
                <w:lang w:val="en"/>
              </w:rPr>
              <w:t>Calculation Components</w:t>
            </w:r>
          </w:p>
          <w:p w14:paraId="53AFE78E" w14:textId="10580068" w:rsidR="00DD2147" w:rsidRPr="00DB5227" w:rsidRDefault="00DD2147" w:rsidP="00DD3C2F">
            <w:pPr>
              <w:widowControl w:val="0"/>
              <w:autoSpaceDE w:val="0"/>
              <w:autoSpaceDN w:val="0"/>
              <w:adjustRightInd w:val="0"/>
              <w:rPr>
                <w:rFonts w:ascii="Times New Roman" w:hAnsi="Times New Roman" w:cs="Times New Roman"/>
                <w:b/>
                <w:bCs/>
                <w:szCs w:val="22"/>
              </w:rPr>
            </w:pPr>
          </w:p>
        </w:tc>
        <w:tc>
          <w:tcPr>
            <w:tcW w:w="1985" w:type="dxa"/>
            <w:tcBorders>
              <w:top w:val="single" w:sz="4" w:space="0" w:color="auto"/>
              <w:bottom w:val="single" w:sz="4" w:space="0" w:color="auto"/>
            </w:tcBorders>
            <w:vAlign w:val="center"/>
          </w:tcPr>
          <w:p w14:paraId="1E53090E" w14:textId="3F1B4472" w:rsidR="00DD2147" w:rsidRPr="00DB5227" w:rsidRDefault="00AE06ED" w:rsidP="00DD3C2F">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Amount</w:t>
            </w:r>
            <w:r w:rsidR="00DD2147" w:rsidRPr="00DB5227">
              <w:rPr>
                <w:rFonts w:ascii="Times New Roman" w:hAnsi="Times New Roman" w:cs="Times New Roman"/>
                <w:b/>
                <w:bCs/>
                <w:szCs w:val="22"/>
              </w:rPr>
              <w:t xml:space="preserve"> (</w:t>
            </w:r>
            <w:r>
              <w:rPr>
                <w:rFonts w:ascii="Times New Roman" w:hAnsi="Times New Roman" w:cs="Times New Roman"/>
                <w:b/>
                <w:bCs/>
                <w:szCs w:val="22"/>
              </w:rPr>
              <w:t>IDR</w:t>
            </w:r>
            <w:r w:rsidR="00DD2147" w:rsidRPr="00DB5227">
              <w:rPr>
                <w:rFonts w:ascii="Times New Roman" w:hAnsi="Times New Roman" w:cs="Times New Roman"/>
                <w:b/>
                <w:bCs/>
                <w:szCs w:val="22"/>
              </w:rPr>
              <w:t>)</w:t>
            </w:r>
          </w:p>
        </w:tc>
        <w:tc>
          <w:tcPr>
            <w:tcW w:w="2544" w:type="dxa"/>
            <w:tcBorders>
              <w:top w:val="single" w:sz="4" w:space="0" w:color="auto"/>
              <w:bottom w:val="single" w:sz="4" w:space="0" w:color="auto"/>
            </w:tcBorders>
            <w:vAlign w:val="center"/>
          </w:tcPr>
          <w:p w14:paraId="728F2916" w14:textId="2C16DC58" w:rsidR="00DD2147" w:rsidRPr="00DB5227" w:rsidRDefault="00DD2147"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 xml:space="preserve">Total </w:t>
            </w:r>
            <w:r w:rsidR="00AE06ED">
              <w:rPr>
                <w:rFonts w:ascii="Times New Roman" w:hAnsi="Times New Roman" w:cs="Times New Roman"/>
                <w:b/>
                <w:bCs/>
                <w:szCs w:val="22"/>
              </w:rPr>
              <w:t>Cost</w:t>
            </w:r>
            <w:r w:rsidRPr="00DB5227">
              <w:rPr>
                <w:rFonts w:ascii="Times New Roman" w:hAnsi="Times New Roman" w:cs="Times New Roman"/>
                <w:b/>
                <w:bCs/>
                <w:szCs w:val="22"/>
              </w:rPr>
              <w:t xml:space="preserve"> (Rp)</w:t>
            </w:r>
          </w:p>
        </w:tc>
      </w:tr>
      <w:tr w:rsidR="00DD2147" w:rsidRPr="00DB5227" w14:paraId="384971D5" w14:textId="77777777" w:rsidTr="00DD3C2F">
        <w:tc>
          <w:tcPr>
            <w:tcW w:w="3969" w:type="dxa"/>
            <w:tcBorders>
              <w:top w:val="single" w:sz="4" w:space="0" w:color="auto"/>
            </w:tcBorders>
          </w:tcPr>
          <w:p w14:paraId="14EE889C" w14:textId="452D5693" w:rsidR="00DD2147" w:rsidRPr="00AE06ED" w:rsidRDefault="00AE06ED" w:rsidP="00AE06ED">
            <w:pPr>
              <w:pStyle w:val="HTMLPreformatted"/>
              <w:rPr>
                <w:rFonts w:ascii="Times New Roman" w:hAnsi="Times New Roman" w:cs="Times New Roman"/>
                <w:sz w:val="22"/>
                <w:szCs w:val="22"/>
              </w:rPr>
            </w:pPr>
            <w:r w:rsidRPr="00AE06ED">
              <w:rPr>
                <w:rStyle w:val="y2iqfc"/>
                <w:rFonts w:ascii="Times New Roman" w:eastAsiaTheme="majorEastAsia" w:hAnsi="Times New Roman" w:cs="Times New Roman"/>
                <w:sz w:val="22"/>
                <w:szCs w:val="22"/>
                <w:lang w:val="en"/>
              </w:rPr>
              <w:t>Raw Material Costs</w:t>
            </w:r>
          </w:p>
        </w:tc>
        <w:tc>
          <w:tcPr>
            <w:tcW w:w="1985" w:type="dxa"/>
            <w:tcBorders>
              <w:top w:val="single" w:sz="4" w:space="0" w:color="auto"/>
            </w:tcBorders>
          </w:tcPr>
          <w:p w14:paraId="1DFB7329" w14:textId="77777777" w:rsidR="00DD2147" w:rsidRPr="00DB5227" w:rsidRDefault="00DD2147" w:rsidP="00DD3C2F">
            <w:pPr>
              <w:widowControl w:val="0"/>
              <w:autoSpaceDE w:val="0"/>
              <w:autoSpaceDN w:val="0"/>
              <w:adjustRightInd w:val="0"/>
              <w:jc w:val="both"/>
              <w:rPr>
                <w:rFonts w:ascii="Times New Roman" w:hAnsi="Times New Roman" w:cs="Times New Roman"/>
                <w:szCs w:val="22"/>
              </w:rPr>
            </w:pPr>
          </w:p>
        </w:tc>
        <w:tc>
          <w:tcPr>
            <w:tcW w:w="2544" w:type="dxa"/>
            <w:tcBorders>
              <w:top w:val="single" w:sz="4" w:space="0" w:color="auto"/>
            </w:tcBorders>
          </w:tcPr>
          <w:p w14:paraId="527D9EFF" w14:textId="77777777" w:rsidR="00DD2147" w:rsidRPr="00DB5227" w:rsidRDefault="00DD2147"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DD2147" w:rsidRPr="00DB5227" w14:paraId="35AAB9D3" w14:textId="77777777" w:rsidTr="00DD3C2F">
        <w:trPr>
          <w:trHeight w:val="994"/>
        </w:trPr>
        <w:tc>
          <w:tcPr>
            <w:tcW w:w="3969" w:type="dxa"/>
          </w:tcPr>
          <w:p w14:paraId="74A0C002" w14:textId="2A594BAA" w:rsidR="00DD2147" w:rsidRPr="00AE06ED" w:rsidRDefault="00DD2147" w:rsidP="00DD3C2F">
            <w:pPr>
              <w:widowControl w:val="0"/>
              <w:autoSpaceDE w:val="0"/>
              <w:autoSpaceDN w:val="0"/>
              <w:adjustRightInd w:val="0"/>
              <w:jc w:val="both"/>
              <w:rPr>
                <w:rFonts w:ascii="Times New Roman" w:hAnsi="Times New Roman" w:cs="Times New Roman"/>
                <w:szCs w:val="22"/>
              </w:rPr>
            </w:pPr>
            <w:r w:rsidRPr="00AE06ED">
              <w:rPr>
                <w:rFonts w:ascii="Times New Roman" w:hAnsi="Times New Roman" w:cs="Times New Roman"/>
                <w:i/>
                <w:iCs/>
                <w:szCs w:val="22"/>
              </w:rPr>
              <w:lastRenderedPageBreak/>
              <w:t>Variable Cost</w:t>
            </w:r>
          </w:p>
          <w:p w14:paraId="456C1660" w14:textId="1925A48C" w:rsidR="00AE06ED" w:rsidRPr="00AE06ED" w:rsidRDefault="00AE06ED" w:rsidP="00AE06ED">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Pr="00AE06ED">
              <w:rPr>
                <w:rStyle w:val="y2iqfc"/>
                <w:rFonts w:ascii="Times New Roman" w:eastAsiaTheme="majorEastAsia" w:hAnsi="Times New Roman" w:cs="Times New Roman"/>
                <w:sz w:val="22"/>
                <w:szCs w:val="22"/>
                <w:lang w:val="en"/>
              </w:rPr>
              <w:t>a. Raw material costs</w:t>
            </w:r>
          </w:p>
          <w:p w14:paraId="5EA32941" w14:textId="06707679" w:rsidR="00AE06ED" w:rsidRPr="00AE06ED" w:rsidRDefault="00AE06ED" w:rsidP="00AE06ED">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Pr="00AE06ED">
              <w:rPr>
                <w:rStyle w:val="y2iqfc"/>
                <w:rFonts w:ascii="Times New Roman" w:eastAsiaTheme="majorEastAsia" w:hAnsi="Times New Roman" w:cs="Times New Roman"/>
                <w:sz w:val="22"/>
                <w:szCs w:val="22"/>
                <w:lang w:val="en"/>
              </w:rPr>
              <w:t>b. Direct labor costs</w:t>
            </w:r>
          </w:p>
          <w:p w14:paraId="0447D54C" w14:textId="28597AFF" w:rsidR="00DD2147" w:rsidRPr="00AE06ED" w:rsidRDefault="00AE06ED" w:rsidP="00AE06ED">
            <w:pPr>
              <w:pStyle w:val="HTMLPreformatted"/>
            </w:pPr>
            <w:r>
              <w:rPr>
                <w:rStyle w:val="y2iqfc"/>
                <w:rFonts w:ascii="Times New Roman" w:eastAsiaTheme="majorEastAsia" w:hAnsi="Times New Roman" w:cs="Times New Roman"/>
                <w:sz w:val="22"/>
                <w:szCs w:val="22"/>
                <w:lang w:val="en"/>
              </w:rPr>
              <w:t xml:space="preserve">  </w:t>
            </w:r>
            <w:r w:rsidRPr="00AE06ED">
              <w:rPr>
                <w:rStyle w:val="y2iqfc"/>
                <w:rFonts w:ascii="Times New Roman" w:eastAsiaTheme="majorEastAsia" w:hAnsi="Times New Roman" w:cs="Times New Roman"/>
                <w:sz w:val="22"/>
                <w:szCs w:val="22"/>
                <w:lang w:val="en"/>
              </w:rPr>
              <w:t>c. Variable overhead costs</w:t>
            </w:r>
          </w:p>
        </w:tc>
        <w:tc>
          <w:tcPr>
            <w:tcW w:w="1985" w:type="dxa"/>
          </w:tcPr>
          <w:p w14:paraId="52CE71A4" w14:textId="77777777" w:rsidR="00DD2147" w:rsidRPr="00DB5227" w:rsidRDefault="00DD2147" w:rsidP="00DD3C2F">
            <w:pPr>
              <w:widowControl w:val="0"/>
              <w:autoSpaceDE w:val="0"/>
              <w:autoSpaceDN w:val="0"/>
              <w:adjustRightInd w:val="0"/>
              <w:jc w:val="both"/>
              <w:rPr>
                <w:rFonts w:ascii="Times New Roman" w:hAnsi="Times New Roman" w:cs="Times New Roman"/>
                <w:szCs w:val="22"/>
              </w:rPr>
            </w:pPr>
          </w:p>
          <w:p w14:paraId="54EA80C9" w14:textId="77777777" w:rsidR="00DD2147" w:rsidRPr="00DB5227" w:rsidRDefault="00DD2147"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20.000,00</w:t>
            </w:r>
          </w:p>
          <w:p w14:paraId="435B818D" w14:textId="77777777" w:rsidR="00DD2147" w:rsidRPr="00DB5227" w:rsidRDefault="00DD2147"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p w14:paraId="2885D298" w14:textId="77777777" w:rsidR="00DD2147" w:rsidRPr="00DB5227" w:rsidRDefault="00DD2147"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120.000,00</w:t>
            </w:r>
          </w:p>
        </w:tc>
        <w:tc>
          <w:tcPr>
            <w:tcW w:w="2544" w:type="dxa"/>
          </w:tcPr>
          <w:p w14:paraId="30ECD8ED" w14:textId="77777777" w:rsidR="00DD2147" w:rsidRPr="00DB5227" w:rsidRDefault="00DD2147"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1.420.000,00</w:t>
            </w:r>
          </w:p>
          <w:p w14:paraId="094ACF6C" w14:textId="77777777" w:rsidR="00DD2147" w:rsidRPr="00DB5227" w:rsidRDefault="00DD2147" w:rsidP="00DD3C2F">
            <w:pPr>
              <w:widowControl w:val="0"/>
              <w:autoSpaceDE w:val="0"/>
              <w:autoSpaceDN w:val="0"/>
              <w:adjustRightInd w:val="0"/>
              <w:jc w:val="both"/>
              <w:rPr>
                <w:rFonts w:ascii="Times New Roman" w:hAnsi="Times New Roman" w:cs="Times New Roman"/>
                <w:szCs w:val="22"/>
              </w:rPr>
            </w:pPr>
          </w:p>
          <w:p w14:paraId="1604151D" w14:textId="77777777" w:rsidR="00DD2147" w:rsidRPr="00DB5227" w:rsidRDefault="00DD2147" w:rsidP="00DD3C2F">
            <w:pPr>
              <w:widowControl w:val="0"/>
              <w:autoSpaceDE w:val="0"/>
              <w:autoSpaceDN w:val="0"/>
              <w:adjustRightInd w:val="0"/>
              <w:rPr>
                <w:rFonts w:ascii="Times New Roman" w:hAnsi="Times New Roman" w:cs="Times New Roman"/>
                <w:szCs w:val="22"/>
              </w:rPr>
            </w:pPr>
          </w:p>
        </w:tc>
      </w:tr>
      <w:tr w:rsidR="00AE06ED" w:rsidRPr="00DB5227" w14:paraId="73979F3E" w14:textId="77777777" w:rsidTr="00DD3C2F">
        <w:tc>
          <w:tcPr>
            <w:tcW w:w="3969" w:type="dxa"/>
          </w:tcPr>
          <w:p w14:paraId="71A7A7A5" w14:textId="0D6C8C78" w:rsidR="00AE06ED" w:rsidRPr="00AE06ED" w:rsidRDefault="00AE06ED" w:rsidP="00AE06ED">
            <w:pPr>
              <w:widowControl w:val="0"/>
              <w:autoSpaceDE w:val="0"/>
              <w:autoSpaceDN w:val="0"/>
              <w:adjustRightInd w:val="0"/>
              <w:jc w:val="both"/>
              <w:rPr>
                <w:rFonts w:ascii="Times New Roman" w:hAnsi="Times New Roman" w:cs="Times New Roman"/>
                <w:szCs w:val="22"/>
              </w:rPr>
            </w:pPr>
            <w:r w:rsidRPr="00AE06ED">
              <w:rPr>
                <w:rStyle w:val="y2iqfc"/>
                <w:rFonts w:ascii="Times New Roman" w:hAnsi="Times New Roman" w:cs="Times New Roman"/>
                <w:lang w:val="en"/>
              </w:rPr>
              <w:t>Production Quantity (85 Gram Package)</w:t>
            </w:r>
          </w:p>
        </w:tc>
        <w:tc>
          <w:tcPr>
            <w:tcW w:w="1985" w:type="dxa"/>
          </w:tcPr>
          <w:p w14:paraId="47D75688" w14:textId="77777777" w:rsidR="00AE06ED" w:rsidRPr="00DB5227" w:rsidRDefault="00AE06ED" w:rsidP="00AE06ED">
            <w:pPr>
              <w:widowControl w:val="0"/>
              <w:autoSpaceDE w:val="0"/>
              <w:autoSpaceDN w:val="0"/>
              <w:adjustRightInd w:val="0"/>
              <w:jc w:val="both"/>
              <w:rPr>
                <w:rFonts w:ascii="Times New Roman" w:hAnsi="Times New Roman" w:cs="Times New Roman"/>
                <w:szCs w:val="22"/>
              </w:rPr>
            </w:pPr>
          </w:p>
        </w:tc>
        <w:tc>
          <w:tcPr>
            <w:tcW w:w="2544" w:type="dxa"/>
          </w:tcPr>
          <w:p w14:paraId="2B1F8755" w14:textId="77777777" w:rsidR="00AE06ED" w:rsidRPr="00DB5227" w:rsidRDefault="00AE06ED" w:rsidP="00AE06ED">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tc>
      </w:tr>
      <w:tr w:rsidR="00AE06ED" w:rsidRPr="00DB5227" w14:paraId="67BB04A1" w14:textId="77777777" w:rsidTr="00DD3C2F">
        <w:tc>
          <w:tcPr>
            <w:tcW w:w="3969" w:type="dxa"/>
          </w:tcPr>
          <w:p w14:paraId="1AC505C9" w14:textId="25323E4C" w:rsidR="00AE06ED" w:rsidRPr="00AE06ED" w:rsidRDefault="00AE06ED" w:rsidP="00AE06ED">
            <w:pPr>
              <w:widowControl w:val="0"/>
              <w:autoSpaceDE w:val="0"/>
              <w:autoSpaceDN w:val="0"/>
              <w:adjustRightInd w:val="0"/>
              <w:jc w:val="both"/>
              <w:rPr>
                <w:rFonts w:ascii="Times New Roman" w:hAnsi="Times New Roman" w:cs="Times New Roman"/>
                <w:szCs w:val="22"/>
              </w:rPr>
            </w:pPr>
            <w:r w:rsidRPr="00AE06ED">
              <w:rPr>
                <w:rStyle w:val="y2iqfc"/>
                <w:rFonts w:ascii="Times New Roman" w:hAnsi="Times New Roman" w:cs="Times New Roman"/>
                <w:lang w:val="en"/>
              </w:rPr>
              <w:t>Selling Price per Package</w:t>
            </w:r>
          </w:p>
        </w:tc>
        <w:tc>
          <w:tcPr>
            <w:tcW w:w="1985" w:type="dxa"/>
          </w:tcPr>
          <w:p w14:paraId="137BB807" w14:textId="77777777" w:rsidR="00AE06ED" w:rsidRPr="00DB5227" w:rsidRDefault="00AE06ED" w:rsidP="00AE06ED">
            <w:pPr>
              <w:widowControl w:val="0"/>
              <w:autoSpaceDE w:val="0"/>
              <w:autoSpaceDN w:val="0"/>
              <w:adjustRightInd w:val="0"/>
              <w:jc w:val="both"/>
              <w:rPr>
                <w:rFonts w:ascii="Times New Roman" w:hAnsi="Times New Roman" w:cs="Times New Roman"/>
                <w:szCs w:val="22"/>
              </w:rPr>
            </w:pPr>
          </w:p>
        </w:tc>
        <w:tc>
          <w:tcPr>
            <w:tcW w:w="2544" w:type="dxa"/>
          </w:tcPr>
          <w:p w14:paraId="0C4FAD60" w14:textId="77777777" w:rsidR="00AE06ED" w:rsidRPr="00DB5227" w:rsidRDefault="00AE06ED" w:rsidP="00AE06ED">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17.000,00</w:t>
            </w:r>
          </w:p>
        </w:tc>
      </w:tr>
      <w:tr w:rsidR="00AE06ED" w:rsidRPr="00DB5227" w14:paraId="68EDD9F8" w14:textId="77777777" w:rsidTr="00DD3C2F">
        <w:tc>
          <w:tcPr>
            <w:tcW w:w="3969" w:type="dxa"/>
            <w:tcBorders>
              <w:bottom w:val="single" w:sz="4" w:space="0" w:color="auto"/>
            </w:tcBorders>
          </w:tcPr>
          <w:p w14:paraId="0CAD7CA4" w14:textId="19A8EAA9" w:rsidR="00AE06ED" w:rsidRPr="00AE06ED" w:rsidRDefault="00AE06ED" w:rsidP="00AE06ED">
            <w:pPr>
              <w:widowControl w:val="0"/>
              <w:autoSpaceDE w:val="0"/>
              <w:autoSpaceDN w:val="0"/>
              <w:adjustRightInd w:val="0"/>
              <w:jc w:val="both"/>
              <w:rPr>
                <w:rFonts w:ascii="Times New Roman" w:hAnsi="Times New Roman" w:cs="Times New Roman"/>
                <w:szCs w:val="22"/>
              </w:rPr>
            </w:pPr>
            <w:r w:rsidRPr="00AE06ED">
              <w:rPr>
                <w:rStyle w:val="y2iqfc"/>
                <w:rFonts w:ascii="Times New Roman" w:hAnsi="Times New Roman" w:cs="Times New Roman"/>
                <w:lang w:val="en"/>
              </w:rPr>
              <w:t>Sales Revenue</w:t>
            </w:r>
          </w:p>
        </w:tc>
        <w:tc>
          <w:tcPr>
            <w:tcW w:w="1985" w:type="dxa"/>
            <w:tcBorders>
              <w:bottom w:val="single" w:sz="4" w:space="0" w:color="auto"/>
            </w:tcBorders>
          </w:tcPr>
          <w:p w14:paraId="7693657C" w14:textId="77777777" w:rsidR="00AE06ED" w:rsidRPr="00DB5227" w:rsidRDefault="00AE06ED" w:rsidP="00AE06ED">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0FA931F2" w14:textId="77777777" w:rsidR="00AE06ED" w:rsidRPr="00DB5227" w:rsidRDefault="00AE06ED" w:rsidP="00AE06ED">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6.800.000,00</w:t>
            </w:r>
          </w:p>
        </w:tc>
      </w:tr>
      <w:tr w:rsidR="00DD2147" w:rsidRPr="00DB5227" w14:paraId="07E82A9D" w14:textId="77777777" w:rsidTr="00DD3C2F">
        <w:trPr>
          <w:trHeight w:val="160"/>
        </w:trPr>
        <w:tc>
          <w:tcPr>
            <w:tcW w:w="3969" w:type="dxa"/>
            <w:tcBorders>
              <w:top w:val="single" w:sz="4" w:space="0" w:color="auto"/>
              <w:bottom w:val="single" w:sz="4" w:space="0" w:color="auto"/>
            </w:tcBorders>
            <w:vAlign w:val="center"/>
          </w:tcPr>
          <w:p w14:paraId="07CFDCC2" w14:textId="1BE126B4" w:rsidR="00DD2147" w:rsidRPr="00AE06ED" w:rsidRDefault="00AE06ED" w:rsidP="00AE06ED">
            <w:pPr>
              <w:pStyle w:val="HTMLPreformatted"/>
              <w:rPr>
                <w:rFonts w:ascii="Times New Roman" w:hAnsi="Times New Roman" w:cs="Times New Roman"/>
                <w:sz w:val="22"/>
                <w:szCs w:val="22"/>
              </w:rPr>
            </w:pPr>
            <w:r w:rsidRPr="00AE06ED">
              <w:rPr>
                <w:rStyle w:val="y2iqfc"/>
                <w:rFonts w:ascii="Times New Roman" w:eastAsiaTheme="majorEastAsia" w:hAnsi="Times New Roman" w:cs="Times New Roman"/>
                <w:sz w:val="22"/>
                <w:szCs w:val="22"/>
                <w:lang w:val="en"/>
              </w:rPr>
              <w:t>BEP Sales Revenue (IDR/Month)</w:t>
            </w:r>
          </w:p>
        </w:tc>
        <w:tc>
          <w:tcPr>
            <w:tcW w:w="1985" w:type="dxa"/>
            <w:tcBorders>
              <w:top w:val="single" w:sz="4" w:space="0" w:color="auto"/>
              <w:bottom w:val="single" w:sz="4" w:space="0" w:color="auto"/>
            </w:tcBorders>
            <w:vAlign w:val="center"/>
          </w:tcPr>
          <w:p w14:paraId="4C54B3E6" w14:textId="77777777" w:rsidR="00DD2147" w:rsidRPr="00DB5227" w:rsidRDefault="00DD2147" w:rsidP="00DD3C2F">
            <w:pPr>
              <w:widowControl w:val="0"/>
              <w:autoSpaceDE w:val="0"/>
              <w:autoSpaceDN w:val="0"/>
              <w:adjustRightInd w:val="0"/>
              <w:rPr>
                <w:rFonts w:ascii="Times New Roman" w:hAnsi="Times New Roman" w:cs="Times New Roman"/>
                <w:b/>
                <w:bCs/>
                <w:szCs w:val="22"/>
              </w:rPr>
            </w:pPr>
          </w:p>
        </w:tc>
        <w:tc>
          <w:tcPr>
            <w:tcW w:w="2544" w:type="dxa"/>
            <w:tcBorders>
              <w:top w:val="single" w:sz="4" w:space="0" w:color="auto"/>
              <w:bottom w:val="single" w:sz="4" w:space="0" w:color="auto"/>
            </w:tcBorders>
            <w:vAlign w:val="center"/>
          </w:tcPr>
          <w:p w14:paraId="68866BF3" w14:textId="77777777" w:rsidR="00DD2147" w:rsidRPr="00DB5227" w:rsidRDefault="00DD2147" w:rsidP="00DD3C2F">
            <w:pPr>
              <w:widowControl w:val="0"/>
              <w:autoSpaceDE w:val="0"/>
              <w:autoSpaceDN w:val="0"/>
              <w:adjustRightInd w:val="0"/>
              <w:jc w:val="right"/>
              <w:rPr>
                <w:rFonts w:ascii="Times New Roman" w:hAnsi="Times New Roman" w:cs="Times New Roman"/>
                <w:b/>
                <w:bCs/>
                <w:szCs w:val="22"/>
              </w:rPr>
            </w:pPr>
            <w:r w:rsidRPr="00DB5227">
              <w:rPr>
                <w:rFonts w:ascii="Times New Roman" w:hAnsi="Times New Roman" w:cs="Times New Roman"/>
                <w:b/>
                <w:bCs/>
                <w:szCs w:val="22"/>
              </w:rPr>
              <w:t>400.812,00</w:t>
            </w:r>
          </w:p>
        </w:tc>
      </w:tr>
      <w:tr w:rsidR="00DD2147" w:rsidRPr="00DB5227" w14:paraId="54910CF6" w14:textId="77777777" w:rsidTr="00DD3C2F">
        <w:trPr>
          <w:trHeight w:val="55"/>
        </w:trPr>
        <w:tc>
          <w:tcPr>
            <w:tcW w:w="3969" w:type="dxa"/>
            <w:tcBorders>
              <w:top w:val="single" w:sz="4" w:space="0" w:color="auto"/>
              <w:bottom w:val="single" w:sz="4" w:space="0" w:color="auto"/>
            </w:tcBorders>
            <w:vAlign w:val="center"/>
          </w:tcPr>
          <w:p w14:paraId="70B77AA3" w14:textId="00F1A298" w:rsidR="00DD2147" w:rsidRPr="00AE06ED" w:rsidRDefault="00AE06ED" w:rsidP="00AE06ED">
            <w:pPr>
              <w:pStyle w:val="HTMLPreformatted"/>
              <w:rPr>
                <w:rFonts w:ascii="Times New Roman" w:hAnsi="Times New Roman" w:cs="Times New Roman"/>
                <w:sz w:val="22"/>
                <w:szCs w:val="22"/>
              </w:rPr>
            </w:pPr>
            <w:r w:rsidRPr="00AE06ED">
              <w:rPr>
                <w:rStyle w:val="y2iqfc"/>
                <w:rFonts w:ascii="Times New Roman" w:eastAsiaTheme="majorEastAsia" w:hAnsi="Times New Roman" w:cs="Times New Roman"/>
                <w:sz w:val="22"/>
                <w:szCs w:val="22"/>
                <w:lang w:val="en"/>
              </w:rPr>
              <w:t>BEP Production Volume (Gram/Month)</w:t>
            </w:r>
          </w:p>
        </w:tc>
        <w:tc>
          <w:tcPr>
            <w:tcW w:w="1985" w:type="dxa"/>
            <w:tcBorders>
              <w:top w:val="single" w:sz="4" w:space="0" w:color="auto"/>
              <w:bottom w:val="single" w:sz="4" w:space="0" w:color="auto"/>
            </w:tcBorders>
            <w:vAlign w:val="center"/>
          </w:tcPr>
          <w:p w14:paraId="49E8A27F" w14:textId="77777777" w:rsidR="00DD2147" w:rsidRPr="00DB5227" w:rsidRDefault="00DD2147" w:rsidP="00DD3C2F">
            <w:pPr>
              <w:widowControl w:val="0"/>
              <w:autoSpaceDE w:val="0"/>
              <w:autoSpaceDN w:val="0"/>
              <w:adjustRightInd w:val="0"/>
              <w:rPr>
                <w:rFonts w:ascii="Times New Roman" w:hAnsi="Times New Roman" w:cs="Times New Roman"/>
                <w:b/>
                <w:bCs/>
                <w:szCs w:val="22"/>
              </w:rPr>
            </w:pPr>
          </w:p>
        </w:tc>
        <w:tc>
          <w:tcPr>
            <w:tcW w:w="2544" w:type="dxa"/>
            <w:tcBorders>
              <w:top w:val="single" w:sz="4" w:space="0" w:color="auto"/>
              <w:bottom w:val="single" w:sz="4" w:space="0" w:color="auto"/>
            </w:tcBorders>
            <w:vAlign w:val="center"/>
          </w:tcPr>
          <w:p w14:paraId="7CAEAF89" w14:textId="77777777" w:rsidR="00DD2147" w:rsidRPr="00DB5227" w:rsidRDefault="00DD2147" w:rsidP="00DD3C2F">
            <w:pPr>
              <w:widowControl w:val="0"/>
              <w:autoSpaceDE w:val="0"/>
              <w:autoSpaceDN w:val="0"/>
              <w:adjustRightInd w:val="0"/>
              <w:jc w:val="right"/>
              <w:rPr>
                <w:rFonts w:ascii="Times New Roman" w:hAnsi="Times New Roman" w:cs="Times New Roman"/>
                <w:b/>
                <w:bCs/>
                <w:szCs w:val="22"/>
              </w:rPr>
            </w:pPr>
            <w:r w:rsidRPr="00DB5227">
              <w:rPr>
                <w:rFonts w:ascii="Times New Roman" w:hAnsi="Times New Roman" w:cs="Times New Roman"/>
                <w:b/>
                <w:bCs/>
                <w:szCs w:val="22"/>
              </w:rPr>
              <w:t>2.004,06</w:t>
            </w:r>
          </w:p>
        </w:tc>
      </w:tr>
    </w:tbl>
    <w:p w14:paraId="5F4DD07F" w14:textId="77777777" w:rsidR="00193D39" w:rsidRPr="00DB5227" w:rsidRDefault="00193D39" w:rsidP="00193D39">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00606CC3" w14:textId="77777777" w:rsidR="00AE06ED" w:rsidRDefault="00AE06ED" w:rsidP="00193D39">
      <w:pPr>
        <w:pStyle w:val="HTMLPreformatted"/>
        <w:ind w:firstLine="567"/>
        <w:jc w:val="both"/>
        <w:rPr>
          <w:rStyle w:val="y2iqfc"/>
          <w:rFonts w:ascii="Times New Roman" w:eastAsiaTheme="majorEastAsia" w:hAnsi="Times New Roman" w:cs="Times New Roman"/>
          <w:sz w:val="22"/>
          <w:szCs w:val="22"/>
          <w:lang w:val="en"/>
        </w:rPr>
      </w:pPr>
    </w:p>
    <w:p w14:paraId="7EF90FC0" w14:textId="2CBD9741" w:rsidR="00193D39" w:rsidRPr="00DB5227" w:rsidRDefault="00193D39" w:rsidP="00193D39">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In carrying out production activities, JATAM UMKM strives to use costs efficiently, so that it can obtain production results and profits.</w:t>
      </w:r>
    </w:p>
    <w:p w14:paraId="474474D3" w14:textId="27DF2138"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r w:rsidRPr="00DB5227">
        <w:rPr>
          <w:rFonts w:ascii="Times New Roman" w:hAnsi="Times New Roman" w:cs="Times New Roman"/>
          <w:noProof/>
          <w:sz w:val="22"/>
          <w:szCs w:val="22"/>
        </w:rPr>
        <w:drawing>
          <wp:anchor distT="0" distB="0" distL="114300" distR="114300" simplePos="0" relativeHeight="251659264" behindDoc="0" locked="0" layoutInCell="1" allowOverlap="1" wp14:anchorId="604042EA" wp14:editId="35978593">
            <wp:simplePos x="0" y="0"/>
            <wp:positionH relativeFrom="column">
              <wp:posOffset>1572260</wp:posOffset>
            </wp:positionH>
            <wp:positionV relativeFrom="paragraph">
              <wp:posOffset>143510</wp:posOffset>
            </wp:positionV>
            <wp:extent cx="2781300" cy="2159635"/>
            <wp:effectExtent l="0" t="0" r="0" b="0"/>
            <wp:wrapNone/>
            <wp:docPr id="5655803"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803" name="Gambar 56558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1300" cy="2159635"/>
                    </a:xfrm>
                    <a:prstGeom prst="rect">
                      <a:avLst/>
                    </a:prstGeom>
                  </pic:spPr>
                </pic:pic>
              </a:graphicData>
            </a:graphic>
            <wp14:sizeRelH relativeFrom="page">
              <wp14:pctWidth>0</wp14:pctWidth>
            </wp14:sizeRelH>
            <wp14:sizeRelV relativeFrom="page">
              <wp14:pctHeight>0</wp14:pctHeight>
            </wp14:sizeRelV>
          </wp:anchor>
        </w:drawing>
      </w:r>
    </w:p>
    <w:p w14:paraId="5DE4B752" w14:textId="4B08B39B"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613663EB"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436DB75B"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A4B3D2F"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D824BF5"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6B3CEBFD"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0B3E1F1E"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097C83A"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31E2CB5C"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78EC0A3D"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676D015C"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6E3E984"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247D61E8"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2008D228"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126545EE"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4DE26E79" w14:textId="49C4DF1D" w:rsidR="00193D39" w:rsidRPr="00DB5227" w:rsidRDefault="00193D39" w:rsidP="00193D39">
      <w:pPr>
        <w:pStyle w:val="HTMLPreformatted"/>
        <w:jc w:val="both"/>
        <w:rPr>
          <w:rStyle w:val="y2iqfc"/>
          <w:rFonts w:ascii="Times New Roman" w:eastAsiaTheme="majorEastAsia" w:hAnsi="Times New Roman" w:cs="Times New Roman"/>
          <w:sz w:val="22"/>
          <w:szCs w:val="22"/>
          <w:lang w:val="en"/>
        </w:rPr>
      </w:pPr>
    </w:p>
    <w:p w14:paraId="6CF11E27" w14:textId="77777777" w:rsidR="00193D39" w:rsidRPr="00DB5227" w:rsidRDefault="00193D39" w:rsidP="00193D39">
      <w:pPr>
        <w:pStyle w:val="HTMLPreformatted"/>
        <w:jc w:val="center"/>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Figure 1. Break-Even Point Graph for JATAM Chip Production</w:t>
      </w:r>
    </w:p>
    <w:p w14:paraId="791EA87D" w14:textId="77777777" w:rsidR="00193D39" w:rsidRPr="00DB5227" w:rsidRDefault="00193D39" w:rsidP="00193D39">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w:t>
      </w:r>
    </w:p>
    <w:p w14:paraId="50960DB0" w14:textId="2FC7F898" w:rsidR="00866F99" w:rsidRPr="00AE06ED" w:rsidRDefault="00866F99" w:rsidP="00866F99">
      <w:pPr>
        <w:widowControl w:val="0"/>
        <w:autoSpaceDE w:val="0"/>
        <w:autoSpaceDN w:val="0"/>
        <w:adjustRightInd w:val="0"/>
        <w:spacing w:after="0" w:line="240" w:lineRule="auto"/>
        <w:ind w:left="1276" w:hanging="1276"/>
        <w:jc w:val="both"/>
        <w:rPr>
          <w:rFonts w:ascii="Times New Roman" w:hAnsi="Times New Roman" w:cs="Times New Roman"/>
        </w:rPr>
      </w:pPr>
      <w:r w:rsidRPr="00DB5227">
        <w:rPr>
          <w:rFonts w:ascii="Times New Roman" w:hAnsi="Times New Roman" w:cs="Times New Roman"/>
        </w:rPr>
        <w:tab/>
        <w:t xml:space="preserve">: </w:t>
      </w:r>
      <w:r w:rsidRPr="00AE06ED">
        <w:rPr>
          <w:rFonts w:ascii="Times New Roman" w:hAnsi="Times New Roman" w:cs="Times New Roman"/>
        </w:rPr>
        <w:t>Break</w:t>
      </w:r>
      <w:r w:rsidR="00555088">
        <w:rPr>
          <w:rFonts w:ascii="Times New Roman" w:hAnsi="Times New Roman" w:cs="Times New Roman"/>
        </w:rPr>
        <w:t>-</w:t>
      </w:r>
      <w:r w:rsidRPr="00AE06ED">
        <w:rPr>
          <w:rFonts w:ascii="Times New Roman" w:hAnsi="Times New Roman" w:cs="Times New Roman"/>
        </w:rPr>
        <w:t>Even Point (BEP)</w:t>
      </w:r>
    </w:p>
    <w:p w14:paraId="2797F89F" w14:textId="2630A13A"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AE06E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115E14E" wp14:editId="7F7132F1">
                <wp:simplePos x="0" y="0"/>
                <wp:positionH relativeFrom="column">
                  <wp:posOffset>49530</wp:posOffset>
                </wp:positionH>
                <wp:positionV relativeFrom="paragraph">
                  <wp:posOffset>89756</wp:posOffset>
                </wp:positionV>
                <wp:extent cx="540000" cy="0"/>
                <wp:effectExtent l="0" t="0" r="0" b="0"/>
                <wp:wrapNone/>
                <wp:docPr id="674168699" name="Konektor Lurus 5"/>
                <wp:cNvGraphicFramePr/>
                <a:graphic xmlns:a="http://schemas.openxmlformats.org/drawingml/2006/main">
                  <a:graphicData uri="http://schemas.microsoft.com/office/word/2010/wordprocessingShape">
                    <wps:wsp>
                      <wps:cNvCnPr/>
                      <wps:spPr>
                        <a:xfrm>
                          <a:off x="0" y="0"/>
                          <a:ext cx="540000" cy="0"/>
                        </a:xfrm>
                        <a:prstGeom prst="line">
                          <a:avLst/>
                        </a:prstGeom>
                        <a:ln w="19050">
                          <a:solidFill>
                            <a:schemeClr val="tx1"/>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084783" id="Konektor Lurus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7.05pt" to="46.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" strokecolor="black [3213]" strokeweight="1.5pt">
                <v:stroke dashstyle="3 1"/>
              </v:line>
            </w:pict>
          </mc:Fallback>
        </mc:AlternateContent>
      </w:r>
      <w:r w:rsidRPr="00AE06ED">
        <w:rPr>
          <w:rFonts w:ascii="Times New Roman" w:hAnsi="Times New Roman" w:cs="Times New Roman"/>
        </w:rPr>
        <w:t>:</w:t>
      </w:r>
      <w:r w:rsidRPr="00DB5227">
        <w:rPr>
          <w:rFonts w:ascii="Times New Roman" w:hAnsi="Times New Roman" w:cs="Times New Roman"/>
        </w:rPr>
        <w:t xml:space="preserve"> </w:t>
      </w:r>
      <w:r w:rsidR="00AE06ED">
        <w:rPr>
          <w:rFonts w:ascii="Times New Roman" w:hAnsi="Times New Roman" w:cs="Times New Roman"/>
        </w:rPr>
        <w:t xml:space="preserve">Fluctuating costs and revenues   </w:t>
      </w:r>
    </w:p>
    <w:p w14:paraId="0C29C3E2" w14:textId="77777777"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4BC3DF0" wp14:editId="34A0F9BA">
                <wp:simplePos x="0" y="0"/>
                <wp:positionH relativeFrom="column">
                  <wp:posOffset>52926</wp:posOffset>
                </wp:positionH>
                <wp:positionV relativeFrom="paragraph">
                  <wp:posOffset>88265</wp:posOffset>
                </wp:positionV>
                <wp:extent cx="539750" cy="0"/>
                <wp:effectExtent l="0" t="0" r="0" b="0"/>
                <wp:wrapNone/>
                <wp:docPr id="792475682" name="Konektor Lurus 5"/>
                <wp:cNvGraphicFramePr/>
                <a:graphic xmlns:a="http://schemas.openxmlformats.org/drawingml/2006/main">
                  <a:graphicData uri="http://schemas.microsoft.com/office/word/2010/wordprocessingShape">
                    <wps:wsp>
                      <wps:cNvCnPr/>
                      <wps:spPr>
                        <a:xfrm>
                          <a:off x="0" y="0"/>
                          <a:ext cx="539750" cy="0"/>
                        </a:xfrm>
                        <a:prstGeom prst="line">
                          <a:avLst/>
                        </a:prstGeom>
                        <a:ln w="12700">
                          <a:solidFill>
                            <a:schemeClr val="tx1"/>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9E60C9" id="Konektor Lurus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6.95pt" to="46.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" strokecolor="black [3213]" strokeweight="1pt"/>
            </w:pict>
          </mc:Fallback>
        </mc:AlternateContent>
      </w:r>
      <w:r w:rsidRPr="00DB5227">
        <w:rPr>
          <w:rFonts w:ascii="Times New Roman" w:hAnsi="Times New Roman" w:cs="Times New Roman"/>
        </w:rPr>
        <w:t xml:space="preserve">: </w:t>
      </w:r>
      <w:r w:rsidRPr="00AE06ED">
        <w:rPr>
          <w:rFonts w:ascii="Times New Roman" w:hAnsi="Times New Roman" w:cs="Times New Roman"/>
        </w:rPr>
        <w:t>Total Fixed Cost (TFC)</w:t>
      </w:r>
    </w:p>
    <w:p w14:paraId="54CF71BC" w14:textId="77777777" w:rsidR="00866F99" w:rsidRDefault="00866F99" w:rsidP="00866F99">
      <w:pPr>
        <w:widowControl w:val="0"/>
        <w:autoSpaceDE w:val="0"/>
        <w:autoSpaceDN w:val="0"/>
        <w:adjustRightInd w:val="0"/>
        <w:spacing w:after="0" w:line="240" w:lineRule="auto"/>
        <w:jc w:val="both"/>
        <w:rPr>
          <w:rFonts w:ascii="Times New Roman" w:hAnsi="Times New Roman" w:cs="Times New Roman"/>
        </w:rPr>
      </w:pPr>
    </w:p>
    <w:p w14:paraId="76401C5B" w14:textId="77777777" w:rsidR="00AE06ED" w:rsidRPr="00DB5227" w:rsidRDefault="00AE06ED" w:rsidP="00866F99">
      <w:pPr>
        <w:widowControl w:val="0"/>
        <w:autoSpaceDE w:val="0"/>
        <w:autoSpaceDN w:val="0"/>
        <w:adjustRightInd w:val="0"/>
        <w:spacing w:after="0" w:line="240" w:lineRule="auto"/>
        <w:jc w:val="both"/>
        <w:rPr>
          <w:rFonts w:ascii="Times New Roman" w:hAnsi="Times New Roman" w:cs="Times New Roman"/>
        </w:rPr>
      </w:pPr>
    </w:p>
    <w:p w14:paraId="61655D0B" w14:textId="77777777" w:rsidR="00866F99" w:rsidRPr="00DB5227" w:rsidRDefault="00866F99" w:rsidP="00866F99">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Based on the graph presented in Figure 1, the break-even point occurs when the sales revenue (TR) line intersects the total cost (TC) line, specifically at a production volume of 2,004.06 grams per month with sales revenue of IDR 400,812.00. Before reaching this point, the business is in the loss zone because revenue is less than total production costs. Conversely, after passing the BEP point, the business enters the profit zone, where revenue exceeds total costs.</w:t>
      </w:r>
    </w:p>
    <w:p w14:paraId="08AF6BC1" w14:textId="77777777" w:rsidR="00866F99" w:rsidRPr="00DB5227" w:rsidRDefault="00866F99" w:rsidP="00866F99">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horizontal (X) axis in the figure represents the production volume of JATAM chips, while the vertical (Y) axis shows the total costs and revenue in rupiah. The green line in the graph represents the total revenue earned from JATAM chip sales, the yellow line shows the total production costs incurred during the JATAM chip production process, the orange line represents total variable costs, and the black line in the graph represents the total fixed costs incurred by the JATAM MSME.</w:t>
      </w:r>
    </w:p>
    <w:p w14:paraId="13BA37E0" w14:textId="77777777" w:rsidR="00866F99" w:rsidRPr="00DB5227" w:rsidRDefault="00866F99" w:rsidP="00866F99">
      <w:pPr>
        <w:pStyle w:val="HTMLPreformatted"/>
        <w:jc w:val="both"/>
        <w:rPr>
          <w:rStyle w:val="y2iqfc"/>
          <w:rFonts w:ascii="Times New Roman" w:eastAsiaTheme="majorEastAsia" w:hAnsi="Times New Roman" w:cs="Times New Roman"/>
          <w:sz w:val="22"/>
          <w:szCs w:val="22"/>
          <w:lang w:val="en"/>
        </w:rPr>
      </w:pPr>
    </w:p>
    <w:p w14:paraId="566E2AF5" w14:textId="77777777" w:rsidR="00866F99" w:rsidRPr="00DB5227" w:rsidRDefault="00866F99" w:rsidP="00866F99">
      <w:pPr>
        <w:pStyle w:val="HTMLPreformatted"/>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6. Sensitivity Analysis</w:t>
      </w:r>
    </w:p>
    <w:p w14:paraId="5B72DC0F" w14:textId="77777777" w:rsidR="00866F99" w:rsidRPr="00DB5227" w:rsidRDefault="00866F99" w:rsidP="00866F99">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The purpose of the sensitivity analysis is to determine the impact of changes in production parameters on the business's break-even point. In this study, the scenario for the changes experienced by the JATAM MSME is a 7% increase in total production costs. This projected </w:t>
      </w:r>
      <w:r w:rsidRPr="00DB5227">
        <w:rPr>
          <w:rStyle w:val="y2iqfc"/>
          <w:rFonts w:ascii="Times New Roman" w:eastAsiaTheme="majorEastAsia" w:hAnsi="Times New Roman" w:cs="Times New Roman"/>
          <w:sz w:val="22"/>
          <w:szCs w:val="22"/>
          <w:lang w:val="en"/>
        </w:rPr>
        <w:lastRenderedPageBreak/>
        <w:t>increase is based on the inflation rate from the business's inception in November 2022 to December 2024 [17]. The impact of these changes in production costs is simulated and presented in detail in Table 6.</w:t>
      </w:r>
    </w:p>
    <w:p w14:paraId="586EB0AE" w14:textId="77777777" w:rsidR="00866F99" w:rsidRPr="00DB5227" w:rsidRDefault="00866F99" w:rsidP="00866F99">
      <w:pPr>
        <w:pStyle w:val="HTMLPreformatted"/>
        <w:ind w:firstLine="567"/>
        <w:jc w:val="both"/>
        <w:rPr>
          <w:rFonts w:ascii="Times New Roman" w:hAnsi="Times New Roman" w:cs="Times New Roman"/>
          <w:sz w:val="22"/>
          <w:szCs w:val="22"/>
        </w:rPr>
      </w:pPr>
    </w:p>
    <w:p w14:paraId="39113275" w14:textId="77777777" w:rsidR="00866F99" w:rsidRPr="00DB5227" w:rsidRDefault="00866F99" w:rsidP="00866F99">
      <w:pPr>
        <w:pStyle w:val="HTMLPreformatted"/>
        <w:ind w:left="1276" w:hanging="1276"/>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6. Simulation of Sensitivity Analysis to a 7% Increase in Production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40"/>
        <w:gridCol w:w="1276"/>
        <w:gridCol w:w="1559"/>
        <w:gridCol w:w="1559"/>
        <w:gridCol w:w="1701"/>
      </w:tblGrid>
      <w:tr w:rsidR="00866F99" w:rsidRPr="00DB5227" w14:paraId="1CB8F1A0" w14:textId="77777777" w:rsidTr="00DD3C2F">
        <w:tc>
          <w:tcPr>
            <w:tcW w:w="570" w:type="dxa"/>
            <w:tcBorders>
              <w:top w:val="single" w:sz="4" w:space="0" w:color="auto"/>
              <w:bottom w:val="single" w:sz="4" w:space="0" w:color="auto"/>
            </w:tcBorders>
            <w:vAlign w:val="center"/>
          </w:tcPr>
          <w:p w14:paraId="57F3EBA6" w14:textId="77777777" w:rsidR="00866F99" w:rsidRPr="00DB5227" w:rsidRDefault="00866F99" w:rsidP="00866F99">
            <w:pPr>
              <w:tabs>
                <w:tab w:val="left" w:pos="2268"/>
              </w:tabs>
              <w:jc w:val="both"/>
              <w:rPr>
                <w:rFonts w:ascii="Times New Roman" w:hAnsi="Times New Roman" w:cs="Times New Roman"/>
                <w:b/>
                <w:bCs/>
                <w:szCs w:val="22"/>
              </w:rPr>
            </w:pPr>
            <w:bookmarkStart w:id="1" w:name="_Hlk193861428"/>
            <w:r w:rsidRPr="00DB5227">
              <w:rPr>
                <w:rFonts w:ascii="Times New Roman" w:hAnsi="Times New Roman" w:cs="Times New Roman"/>
                <w:b/>
                <w:bCs/>
                <w:szCs w:val="22"/>
              </w:rPr>
              <w:t>No.</w:t>
            </w:r>
          </w:p>
        </w:tc>
        <w:tc>
          <w:tcPr>
            <w:tcW w:w="1840" w:type="dxa"/>
            <w:tcBorders>
              <w:top w:val="single" w:sz="4" w:space="0" w:color="auto"/>
              <w:bottom w:val="single" w:sz="4" w:space="0" w:color="auto"/>
            </w:tcBorders>
            <w:vAlign w:val="center"/>
          </w:tcPr>
          <w:p w14:paraId="43A427AE" w14:textId="55D2BC46" w:rsidR="00866F99" w:rsidRPr="00DB5227" w:rsidRDefault="00AE06ED" w:rsidP="00DD3C2F">
            <w:pPr>
              <w:tabs>
                <w:tab w:val="left" w:pos="2268"/>
              </w:tabs>
              <w:jc w:val="center"/>
              <w:rPr>
                <w:rFonts w:ascii="Times New Roman" w:hAnsi="Times New Roman" w:cs="Times New Roman"/>
                <w:b/>
                <w:bCs/>
                <w:szCs w:val="22"/>
              </w:rPr>
            </w:pPr>
            <w:r>
              <w:rPr>
                <w:rFonts w:ascii="Times New Roman" w:hAnsi="Times New Roman" w:cs="Times New Roman"/>
                <w:b/>
                <w:bCs/>
                <w:szCs w:val="22"/>
              </w:rPr>
              <w:t>Informations</w:t>
            </w:r>
          </w:p>
        </w:tc>
        <w:tc>
          <w:tcPr>
            <w:tcW w:w="1276" w:type="dxa"/>
            <w:tcBorders>
              <w:top w:val="single" w:sz="4" w:space="0" w:color="auto"/>
              <w:bottom w:val="single" w:sz="4" w:space="0" w:color="auto"/>
            </w:tcBorders>
            <w:vAlign w:val="center"/>
          </w:tcPr>
          <w:p w14:paraId="0B931907" w14:textId="393C72AC" w:rsidR="00866F99" w:rsidRPr="00DB5227" w:rsidRDefault="00AE06ED" w:rsidP="00DD3C2F">
            <w:pPr>
              <w:tabs>
                <w:tab w:val="left" w:pos="2268"/>
              </w:tabs>
              <w:jc w:val="center"/>
              <w:rPr>
                <w:rFonts w:ascii="Times New Roman" w:hAnsi="Times New Roman" w:cs="Times New Roman"/>
                <w:b/>
                <w:bCs/>
                <w:szCs w:val="22"/>
              </w:rPr>
            </w:pPr>
            <w:r>
              <w:rPr>
                <w:rFonts w:ascii="Times New Roman" w:hAnsi="Times New Roman" w:cs="Times New Roman"/>
                <w:b/>
                <w:bCs/>
                <w:szCs w:val="22"/>
              </w:rPr>
              <w:t>Fixed Costs</w:t>
            </w:r>
            <w:r w:rsidR="00866F99" w:rsidRPr="00DB5227">
              <w:rPr>
                <w:rFonts w:ascii="Times New Roman" w:hAnsi="Times New Roman" w:cs="Times New Roman"/>
                <w:b/>
                <w:bCs/>
                <w:szCs w:val="22"/>
              </w:rPr>
              <w:t xml:space="preserve"> (</w:t>
            </w:r>
            <w:r>
              <w:rPr>
                <w:rFonts w:ascii="Times New Roman" w:hAnsi="Times New Roman" w:cs="Times New Roman"/>
                <w:b/>
                <w:bCs/>
                <w:szCs w:val="22"/>
              </w:rPr>
              <w:t>IDR</w:t>
            </w:r>
            <w:r w:rsidR="00866F99" w:rsidRPr="00DB5227">
              <w:rPr>
                <w:rFonts w:ascii="Times New Roman" w:hAnsi="Times New Roman" w:cs="Times New Roman"/>
                <w:b/>
                <w:bCs/>
                <w:szCs w:val="22"/>
              </w:rPr>
              <w:t>)</w:t>
            </w:r>
          </w:p>
        </w:tc>
        <w:tc>
          <w:tcPr>
            <w:tcW w:w="1559" w:type="dxa"/>
            <w:tcBorders>
              <w:top w:val="single" w:sz="4" w:space="0" w:color="auto"/>
              <w:bottom w:val="single" w:sz="4" w:space="0" w:color="auto"/>
            </w:tcBorders>
            <w:vAlign w:val="center"/>
          </w:tcPr>
          <w:p w14:paraId="23345423" w14:textId="77777777" w:rsidR="00AE06ED" w:rsidRDefault="00AE06ED" w:rsidP="00DD3C2F">
            <w:pPr>
              <w:tabs>
                <w:tab w:val="left" w:pos="2268"/>
              </w:tabs>
              <w:jc w:val="center"/>
              <w:rPr>
                <w:rFonts w:ascii="Times New Roman" w:hAnsi="Times New Roman" w:cs="Times New Roman"/>
                <w:b/>
                <w:bCs/>
                <w:szCs w:val="22"/>
              </w:rPr>
            </w:pPr>
            <w:r>
              <w:rPr>
                <w:rFonts w:ascii="Times New Roman" w:hAnsi="Times New Roman" w:cs="Times New Roman"/>
                <w:b/>
                <w:bCs/>
                <w:szCs w:val="22"/>
              </w:rPr>
              <w:t xml:space="preserve">Variable </w:t>
            </w:r>
          </w:p>
          <w:p w14:paraId="2533DAB7" w14:textId="7C31F296" w:rsidR="00866F99" w:rsidRPr="00DB5227" w:rsidRDefault="00AE06ED" w:rsidP="00DD3C2F">
            <w:pPr>
              <w:tabs>
                <w:tab w:val="left" w:pos="2268"/>
              </w:tabs>
              <w:jc w:val="center"/>
              <w:rPr>
                <w:rFonts w:ascii="Times New Roman" w:hAnsi="Times New Roman" w:cs="Times New Roman"/>
                <w:b/>
                <w:bCs/>
                <w:szCs w:val="22"/>
              </w:rPr>
            </w:pPr>
            <w:r>
              <w:rPr>
                <w:rFonts w:ascii="Times New Roman" w:hAnsi="Times New Roman" w:cs="Times New Roman"/>
                <w:b/>
                <w:bCs/>
                <w:szCs w:val="22"/>
              </w:rPr>
              <w:t>Cost</w:t>
            </w:r>
          </w:p>
          <w:p w14:paraId="515A68A9" w14:textId="1EC5D236" w:rsidR="00866F99" w:rsidRPr="00DB5227" w:rsidRDefault="00866F99" w:rsidP="00DD3C2F">
            <w:pPr>
              <w:tabs>
                <w:tab w:val="left" w:pos="2268"/>
              </w:tabs>
              <w:jc w:val="center"/>
              <w:rPr>
                <w:rFonts w:ascii="Times New Roman" w:hAnsi="Times New Roman" w:cs="Times New Roman"/>
                <w:b/>
                <w:bCs/>
                <w:szCs w:val="22"/>
              </w:rPr>
            </w:pPr>
            <w:r w:rsidRPr="00DB5227">
              <w:rPr>
                <w:rFonts w:ascii="Times New Roman" w:hAnsi="Times New Roman" w:cs="Times New Roman"/>
                <w:b/>
                <w:bCs/>
                <w:szCs w:val="22"/>
              </w:rPr>
              <w:t>(</w:t>
            </w:r>
            <w:r w:rsidR="00AE06ED">
              <w:rPr>
                <w:rFonts w:ascii="Times New Roman" w:hAnsi="Times New Roman" w:cs="Times New Roman"/>
                <w:b/>
                <w:bCs/>
                <w:szCs w:val="22"/>
              </w:rPr>
              <w:t>IDR</w:t>
            </w:r>
            <w:r w:rsidRPr="00DB5227">
              <w:rPr>
                <w:rFonts w:ascii="Times New Roman" w:hAnsi="Times New Roman" w:cs="Times New Roman"/>
                <w:b/>
                <w:bCs/>
                <w:szCs w:val="22"/>
              </w:rPr>
              <w:t>)</w:t>
            </w:r>
          </w:p>
        </w:tc>
        <w:tc>
          <w:tcPr>
            <w:tcW w:w="1559" w:type="dxa"/>
            <w:tcBorders>
              <w:top w:val="single" w:sz="4" w:space="0" w:color="auto"/>
              <w:bottom w:val="single" w:sz="4" w:space="0" w:color="auto"/>
            </w:tcBorders>
          </w:tcPr>
          <w:p w14:paraId="5E8A8D27" w14:textId="795B7FCF" w:rsidR="00AE06ED" w:rsidRPr="00AE06ED" w:rsidRDefault="00AE06ED" w:rsidP="00AE06ED">
            <w:pPr>
              <w:pStyle w:val="HTMLPreformatted"/>
              <w:rPr>
                <w:rFonts w:ascii="Times New Roman" w:hAnsi="Times New Roman" w:cs="Times New Roman"/>
                <w:b/>
                <w:bCs/>
                <w:sz w:val="22"/>
                <w:szCs w:val="22"/>
              </w:rPr>
            </w:pPr>
            <w:r w:rsidRPr="00AE06ED">
              <w:rPr>
                <w:rStyle w:val="y2iqfc"/>
                <w:rFonts w:ascii="Times New Roman" w:eastAsiaTheme="majorEastAsia" w:hAnsi="Times New Roman" w:cs="Times New Roman"/>
                <w:b/>
                <w:bCs/>
                <w:sz w:val="22"/>
                <w:szCs w:val="22"/>
                <w:lang w:val="en"/>
              </w:rPr>
              <w:t>BEP Sales Revenue (IDR)</w:t>
            </w:r>
          </w:p>
          <w:p w14:paraId="146DEE7E" w14:textId="584B5F0E" w:rsidR="00866F99" w:rsidRPr="00AE06ED" w:rsidRDefault="00866F99" w:rsidP="00DD3C2F">
            <w:pPr>
              <w:tabs>
                <w:tab w:val="left" w:pos="2268"/>
              </w:tabs>
              <w:jc w:val="center"/>
              <w:rPr>
                <w:rFonts w:ascii="Times New Roman" w:hAnsi="Times New Roman" w:cs="Times New Roman"/>
                <w:b/>
                <w:bCs/>
                <w:szCs w:val="22"/>
              </w:rPr>
            </w:pPr>
          </w:p>
        </w:tc>
        <w:tc>
          <w:tcPr>
            <w:tcW w:w="1701" w:type="dxa"/>
            <w:tcBorders>
              <w:top w:val="single" w:sz="4" w:space="0" w:color="auto"/>
              <w:bottom w:val="single" w:sz="4" w:space="0" w:color="auto"/>
            </w:tcBorders>
            <w:vAlign w:val="center"/>
          </w:tcPr>
          <w:p w14:paraId="3031F576" w14:textId="6FE63BC6" w:rsidR="00AE06ED" w:rsidRPr="00AE06ED" w:rsidRDefault="00AE06ED" w:rsidP="00AE06ED">
            <w:pPr>
              <w:pStyle w:val="HTMLPreformatted"/>
              <w:rPr>
                <w:rStyle w:val="y2iqfc"/>
                <w:rFonts w:ascii="Times New Roman" w:eastAsiaTheme="majorEastAsia" w:hAnsi="Times New Roman" w:cs="Times New Roman"/>
                <w:b/>
                <w:bCs/>
                <w:sz w:val="22"/>
                <w:szCs w:val="22"/>
                <w:lang w:val="en"/>
              </w:rPr>
            </w:pPr>
            <w:r w:rsidRPr="00AE06ED">
              <w:rPr>
                <w:rStyle w:val="y2iqfc"/>
                <w:rFonts w:ascii="Times New Roman" w:eastAsiaTheme="majorEastAsia" w:hAnsi="Times New Roman" w:cs="Times New Roman"/>
                <w:b/>
                <w:bCs/>
                <w:sz w:val="22"/>
                <w:szCs w:val="22"/>
                <w:lang w:val="en"/>
              </w:rPr>
              <w:t>Break</w:t>
            </w:r>
            <w:r w:rsidR="00555088">
              <w:rPr>
                <w:rStyle w:val="y2iqfc"/>
                <w:rFonts w:ascii="Times New Roman" w:eastAsiaTheme="majorEastAsia" w:hAnsi="Times New Roman" w:cs="Times New Roman"/>
                <w:b/>
                <w:bCs/>
                <w:sz w:val="22"/>
                <w:szCs w:val="22"/>
                <w:lang w:val="en"/>
              </w:rPr>
              <w:t>-</w:t>
            </w:r>
            <w:r w:rsidRPr="00AE06ED">
              <w:rPr>
                <w:rStyle w:val="y2iqfc"/>
                <w:rFonts w:ascii="Times New Roman" w:eastAsiaTheme="majorEastAsia" w:hAnsi="Times New Roman" w:cs="Times New Roman"/>
                <w:b/>
                <w:bCs/>
                <w:sz w:val="22"/>
                <w:szCs w:val="22"/>
                <w:lang w:val="en"/>
              </w:rPr>
              <w:t xml:space="preserve">Even Point </w:t>
            </w:r>
          </w:p>
          <w:p w14:paraId="01A0B565" w14:textId="44A2D77E" w:rsidR="00AE06ED" w:rsidRPr="00AE06ED" w:rsidRDefault="00AE06ED" w:rsidP="00AE06ED">
            <w:pPr>
              <w:pStyle w:val="HTMLPreformatted"/>
              <w:rPr>
                <w:rFonts w:ascii="Times New Roman" w:eastAsiaTheme="majorEastAsia" w:hAnsi="Times New Roman" w:cs="Times New Roman"/>
                <w:b/>
                <w:bCs/>
                <w:sz w:val="22"/>
                <w:szCs w:val="22"/>
                <w:lang w:val="en"/>
              </w:rPr>
            </w:pPr>
            <w:r w:rsidRPr="00AE06ED">
              <w:rPr>
                <w:rStyle w:val="y2iqfc"/>
                <w:rFonts w:ascii="Times New Roman" w:eastAsiaTheme="majorEastAsia" w:hAnsi="Times New Roman" w:cs="Times New Roman"/>
                <w:b/>
                <w:bCs/>
                <w:sz w:val="22"/>
                <w:szCs w:val="22"/>
                <w:lang w:val="en"/>
              </w:rPr>
              <w:t>Production Volume</w:t>
            </w:r>
            <w:r>
              <w:rPr>
                <w:rStyle w:val="y2iqfc"/>
                <w:rFonts w:ascii="Times New Roman" w:eastAsiaTheme="majorEastAsia" w:hAnsi="Times New Roman" w:cs="Times New Roman"/>
                <w:b/>
                <w:bCs/>
                <w:sz w:val="22"/>
                <w:szCs w:val="22"/>
                <w:lang w:val="en"/>
              </w:rPr>
              <w:t xml:space="preserve"> </w:t>
            </w:r>
            <w:r w:rsidRPr="00AE06ED">
              <w:rPr>
                <w:rStyle w:val="y2iqfc"/>
                <w:rFonts w:ascii="Times New Roman" w:eastAsiaTheme="majorEastAsia" w:hAnsi="Times New Roman" w:cs="Times New Roman"/>
                <w:b/>
                <w:bCs/>
                <w:sz w:val="22"/>
                <w:szCs w:val="22"/>
                <w:lang w:val="en"/>
              </w:rPr>
              <w:t>(gr)</w:t>
            </w:r>
          </w:p>
          <w:p w14:paraId="6B89B385" w14:textId="2B45CF64" w:rsidR="00866F99" w:rsidRPr="00AE06ED" w:rsidRDefault="00866F99" w:rsidP="00DD3C2F">
            <w:pPr>
              <w:tabs>
                <w:tab w:val="left" w:pos="2268"/>
              </w:tabs>
              <w:ind w:right="26"/>
              <w:jc w:val="center"/>
              <w:rPr>
                <w:rFonts w:ascii="Times New Roman" w:hAnsi="Times New Roman" w:cs="Times New Roman"/>
                <w:b/>
                <w:bCs/>
                <w:szCs w:val="22"/>
              </w:rPr>
            </w:pPr>
          </w:p>
        </w:tc>
      </w:tr>
      <w:tr w:rsidR="00AE06ED" w:rsidRPr="00DB5227" w14:paraId="2187AB36" w14:textId="77777777" w:rsidTr="001A34FE">
        <w:trPr>
          <w:trHeight w:val="328"/>
        </w:trPr>
        <w:tc>
          <w:tcPr>
            <w:tcW w:w="570" w:type="dxa"/>
            <w:tcBorders>
              <w:top w:val="single" w:sz="4" w:space="0" w:color="auto"/>
            </w:tcBorders>
            <w:vAlign w:val="center"/>
          </w:tcPr>
          <w:p w14:paraId="7E1A47C9" w14:textId="77777777" w:rsidR="00AE06ED" w:rsidRPr="00DB5227" w:rsidRDefault="00AE06ED" w:rsidP="00AE06ED">
            <w:pPr>
              <w:tabs>
                <w:tab w:val="left" w:pos="2268"/>
              </w:tabs>
              <w:jc w:val="center"/>
              <w:rPr>
                <w:rFonts w:ascii="Times New Roman" w:hAnsi="Times New Roman" w:cs="Times New Roman"/>
                <w:szCs w:val="22"/>
              </w:rPr>
            </w:pPr>
            <w:r w:rsidRPr="00DB5227">
              <w:rPr>
                <w:rFonts w:ascii="Times New Roman" w:hAnsi="Times New Roman" w:cs="Times New Roman"/>
                <w:szCs w:val="22"/>
              </w:rPr>
              <w:t>1.</w:t>
            </w:r>
          </w:p>
        </w:tc>
        <w:tc>
          <w:tcPr>
            <w:tcW w:w="1840" w:type="dxa"/>
            <w:tcBorders>
              <w:top w:val="single" w:sz="4" w:space="0" w:color="auto"/>
            </w:tcBorders>
          </w:tcPr>
          <w:p w14:paraId="5140E0DB" w14:textId="1FE284E2" w:rsidR="00AE06ED" w:rsidRPr="00AE06ED" w:rsidRDefault="00AE06ED" w:rsidP="00AE06ED">
            <w:pPr>
              <w:tabs>
                <w:tab w:val="left" w:pos="2268"/>
              </w:tabs>
              <w:rPr>
                <w:rFonts w:ascii="Times New Roman" w:hAnsi="Times New Roman" w:cs="Times New Roman"/>
                <w:szCs w:val="22"/>
              </w:rPr>
            </w:pPr>
            <w:r w:rsidRPr="00AE06ED">
              <w:rPr>
                <w:rStyle w:val="y2iqfc"/>
                <w:rFonts w:ascii="Times New Roman" w:hAnsi="Times New Roman" w:cs="Times New Roman"/>
                <w:lang w:val="en"/>
              </w:rPr>
              <w:t>Before Ascension</w:t>
            </w:r>
          </w:p>
        </w:tc>
        <w:tc>
          <w:tcPr>
            <w:tcW w:w="1276" w:type="dxa"/>
            <w:tcBorders>
              <w:top w:val="single" w:sz="4" w:space="0" w:color="auto"/>
            </w:tcBorders>
            <w:vAlign w:val="center"/>
          </w:tcPr>
          <w:p w14:paraId="40FF0EB2" w14:textId="77777777" w:rsidR="00AE06ED" w:rsidRPr="00DB5227" w:rsidRDefault="00AE06ED" w:rsidP="00AE06ED">
            <w:pPr>
              <w:tabs>
                <w:tab w:val="left" w:pos="2268"/>
              </w:tabs>
              <w:jc w:val="right"/>
              <w:rPr>
                <w:rFonts w:ascii="Times New Roman" w:hAnsi="Times New Roman" w:cs="Times New Roman"/>
                <w:szCs w:val="22"/>
              </w:rPr>
            </w:pPr>
            <w:r w:rsidRPr="00DB5227">
              <w:rPr>
                <w:rFonts w:ascii="Times New Roman" w:hAnsi="Times New Roman" w:cs="Times New Roman"/>
                <w:szCs w:val="22"/>
              </w:rPr>
              <w:t>98.265,00</w:t>
            </w:r>
          </w:p>
        </w:tc>
        <w:tc>
          <w:tcPr>
            <w:tcW w:w="1559" w:type="dxa"/>
            <w:tcBorders>
              <w:top w:val="single" w:sz="4" w:space="0" w:color="auto"/>
            </w:tcBorders>
            <w:vAlign w:val="center"/>
          </w:tcPr>
          <w:p w14:paraId="13E3940A" w14:textId="77777777" w:rsidR="00AE06ED" w:rsidRPr="00DB5227" w:rsidRDefault="00AE06ED" w:rsidP="00AE06ED">
            <w:pPr>
              <w:tabs>
                <w:tab w:val="left" w:pos="2268"/>
              </w:tabs>
              <w:jc w:val="right"/>
              <w:rPr>
                <w:rFonts w:ascii="Times New Roman" w:hAnsi="Times New Roman" w:cs="Times New Roman"/>
                <w:szCs w:val="22"/>
              </w:rPr>
            </w:pPr>
            <w:r w:rsidRPr="00DB5227">
              <w:rPr>
                <w:rFonts w:ascii="Times New Roman" w:hAnsi="Times New Roman" w:cs="Times New Roman"/>
                <w:szCs w:val="22"/>
              </w:rPr>
              <w:t>5.132.880,00</w:t>
            </w:r>
          </w:p>
        </w:tc>
        <w:tc>
          <w:tcPr>
            <w:tcW w:w="1559" w:type="dxa"/>
            <w:tcBorders>
              <w:top w:val="single" w:sz="4" w:space="0" w:color="auto"/>
            </w:tcBorders>
            <w:vAlign w:val="center"/>
          </w:tcPr>
          <w:p w14:paraId="1CB30127" w14:textId="77777777" w:rsidR="00AE06ED" w:rsidRPr="00DB5227" w:rsidRDefault="00AE06ED" w:rsidP="00AE06ED">
            <w:pPr>
              <w:jc w:val="right"/>
              <w:rPr>
                <w:rFonts w:ascii="Times New Roman" w:hAnsi="Times New Roman" w:cs="Times New Roman"/>
                <w:szCs w:val="22"/>
              </w:rPr>
            </w:pPr>
            <w:r w:rsidRPr="00DB5227">
              <w:rPr>
                <w:rFonts w:ascii="Times New Roman" w:hAnsi="Times New Roman" w:cs="Times New Roman"/>
                <w:szCs w:val="22"/>
              </w:rPr>
              <w:t>400.812,00</w:t>
            </w:r>
          </w:p>
        </w:tc>
        <w:tc>
          <w:tcPr>
            <w:tcW w:w="1701" w:type="dxa"/>
            <w:tcBorders>
              <w:top w:val="single" w:sz="4" w:space="0" w:color="auto"/>
            </w:tcBorders>
            <w:vAlign w:val="center"/>
          </w:tcPr>
          <w:p w14:paraId="1A3FED84" w14:textId="77777777" w:rsidR="00AE06ED" w:rsidRPr="00DB5227" w:rsidRDefault="00AE06ED" w:rsidP="00AE06ED">
            <w:pPr>
              <w:tabs>
                <w:tab w:val="left" w:pos="2268"/>
              </w:tabs>
              <w:jc w:val="right"/>
              <w:rPr>
                <w:rFonts w:ascii="Times New Roman" w:hAnsi="Times New Roman" w:cs="Times New Roman"/>
                <w:szCs w:val="22"/>
              </w:rPr>
            </w:pPr>
            <w:r w:rsidRPr="00DB5227">
              <w:rPr>
                <w:rFonts w:ascii="Times New Roman" w:hAnsi="Times New Roman" w:cs="Times New Roman"/>
                <w:szCs w:val="22"/>
              </w:rPr>
              <w:t>2.004,06</w:t>
            </w:r>
          </w:p>
        </w:tc>
      </w:tr>
      <w:tr w:rsidR="00AE06ED" w:rsidRPr="00DB5227" w14:paraId="6F1B87EC" w14:textId="77777777" w:rsidTr="001A34FE">
        <w:trPr>
          <w:trHeight w:val="373"/>
        </w:trPr>
        <w:tc>
          <w:tcPr>
            <w:tcW w:w="570" w:type="dxa"/>
            <w:tcBorders>
              <w:bottom w:val="single" w:sz="4" w:space="0" w:color="auto"/>
            </w:tcBorders>
            <w:vAlign w:val="center"/>
          </w:tcPr>
          <w:p w14:paraId="6CBFEA51" w14:textId="77777777" w:rsidR="00AE06ED" w:rsidRPr="00DB5227" w:rsidRDefault="00AE06ED" w:rsidP="00AE06ED">
            <w:pPr>
              <w:tabs>
                <w:tab w:val="left" w:pos="2268"/>
              </w:tabs>
              <w:jc w:val="center"/>
              <w:rPr>
                <w:rFonts w:ascii="Times New Roman" w:hAnsi="Times New Roman" w:cs="Times New Roman"/>
                <w:b/>
                <w:bCs/>
                <w:szCs w:val="22"/>
              </w:rPr>
            </w:pPr>
            <w:r w:rsidRPr="00DB5227">
              <w:rPr>
                <w:rFonts w:ascii="Times New Roman" w:hAnsi="Times New Roman" w:cs="Times New Roman"/>
                <w:b/>
                <w:bCs/>
                <w:szCs w:val="22"/>
              </w:rPr>
              <w:t>2.</w:t>
            </w:r>
          </w:p>
        </w:tc>
        <w:tc>
          <w:tcPr>
            <w:tcW w:w="1840" w:type="dxa"/>
            <w:tcBorders>
              <w:bottom w:val="single" w:sz="4" w:space="0" w:color="auto"/>
            </w:tcBorders>
          </w:tcPr>
          <w:p w14:paraId="198D0C01" w14:textId="24E4304F" w:rsidR="00AE06ED" w:rsidRPr="00AE06ED" w:rsidRDefault="00AE06ED" w:rsidP="00AE06ED">
            <w:pPr>
              <w:tabs>
                <w:tab w:val="left" w:pos="2268"/>
              </w:tabs>
              <w:rPr>
                <w:rFonts w:ascii="Times New Roman" w:hAnsi="Times New Roman" w:cs="Times New Roman"/>
                <w:b/>
                <w:bCs/>
                <w:szCs w:val="22"/>
              </w:rPr>
            </w:pPr>
            <w:r w:rsidRPr="00AE06ED">
              <w:rPr>
                <w:rStyle w:val="y2iqfc"/>
                <w:rFonts w:ascii="Times New Roman" w:hAnsi="Times New Roman" w:cs="Times New Roman"/>
                <w:lang w:val="en"/>
              </w:rPr>
              <w:t>After Ascension</w:t>
            </w:r>
          </w:p>
        </w:tc>
        <w:tc>
          <w:tcPr>
            <w:tcW w:w="1276" w:type="dxa"/>
            <w:tcBorders>
              <w:bottom w:val="single" w:sz="4" w:space="0" w:color="auto"/>
            </w:tcBorders>
            <w:vAlign w:val="center"/>
          </w:tcPr>
          <w:p w14:paraId="53124F77"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105.143,55</w:t>
            </w:r>
          </w:p>
        </w:tc>
        <w:tc>
          <w:tcPr>
            <w:tcW w:w="1559" w:type="dxa"/>
            <w:tcBorders>
              <w:bottom w:val="single" w:sz="4" w:space="0" w:color="auto"/>
            </w:tcBorders>
            <w:vAlign w:val="center"/>
          </w:tcPr>
          <w:p w14:paraId="007F5E8D"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5.492.181,60</w:t>
            </w:r>
          </w:p>
        </w:tc>
        <w:tc>
          <w:tcPr>
            <w:tcW w:w="1559" w:type="dxa"/>
            <w:tcBorders>
              <w:bottom w:val="single" w:sz="4" w:space="0" w:color="auto"/>
            </w:tcBorders>
            <w:vAlign w:val="center"/>
          </w:tcPr>
          <w:p w14:paraId="315B044A"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546.694,00</w:t>
            </w:r>
          </w:p>
        </w:tc>
        <w:tc>
          <w:tcPr>
            <w:tcW w:w="1701" w:type="dxa"/>
            <w:tcBorders>
              <w:bottom w:val="single" w:sz="4" w:space="0" w:color="auto"/>
            </w:tcBorders>
            <w:vAlign w:val="center"/>
          </w:tcPr>
          <w:p w14:paraId="0BC06626"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2.733,47</w:t>
            </w:r>
          </w:p>
        </w:tc>
      </w:tr>
    </w:tbl>
    <w:bookmarkEnd w:id="1"/>
    <w:p w14:paraId="5CE20179" w14:textId="77777777" w:rsidR="00866F99" w:rsidRPr="00DB5227" w:rsidRDefault="00866F99" w:rsidP="00866F99">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3C387AC4" w14:textId="77777777" w:rsidR="00866F99" w:rsidRPr="00DB5227" w:rsidRDefault="00866F99" w:rsidP="00866F99">
      <w:pPr>
        <w:widowControl w:val="0"/>
        <w:autoSpaceDE w:val="0"/>
        <w:autoSpaceDN w:val="0"/>
        <w:adjustRightInd w:val="0"/>
        <w:spacing w:after="0" w:line="240" w:lineRule="auto"/>
        <w:jc w:val="both"/>
        <w:rPr>
          <w:rFonts w:ascii="Times New Roman" w:hAnsi="Times New Roman" w:cs="Times New Roman"/>
        </w:rPr>
      </w:pPr>
    </w:p>
    <w:p w14:paraId="2A041957" w14:textId="77777777" w:rsidR="00866F99" w:rsidRPr="00DB5227" w:rsidRDefault="00866F99" w:rsidP="00866F99">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Based on Table 6, it is known that a 7% increase in production costs resulted in an increase in the break-even point for JATAM's chips business. The shift in the break-even point due to the increase in production costs is visualized in Figure 2.</w:t>
      </w:r>
    </w:p>
    <w:p w14:paraId="61C1AC7A"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0CA224E6"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r w:rsidRPr="00DB5227">
        <w:rPr>
          <w:rFonts w:ascii="Times New Roman" w:hAnsi="Times New Roman" w:cs="Times New Roman"/>
          <w:noProof/>
        </w:rPr>
        <w:drawing>
          <wp:anchor distT="0" distB="0" distL="114300" distR="114300" simplePos="0" relativeHeight="251664384" behindDoc="0" locked="0" layoutInCell="1" allowOverlap="1" wp14:anchorId="7C2EBBAD" wp14:editId="6BDDC33A">
            <wp:simplePos x="0" y="0"/>
            <wp:positionH relativeFrom="column">
              <wp:posOffset>0</wp:posOffset>
            </wp:positionH>
            <wp:positionV relativeFrom="paragraph">
              <wp:posOffset>-160655</wp:posOffset>
            </wp:positionV>
            <wp:extent cx="2794000" cy="2159635"/>
            <wp:effectExtent l="0" t="0" r="6350" b="0"/>
            <wp:wrapNone/>
            <wp:docPr id="1236068292"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68292" name="Gambar 12360682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4000" cy="2159635"/>
                    </a:xfrm>
                    <a:prstGeom prst="rect">
                      <a:avLst/>
                    </a:prstGeom>
                  </pic:spPr>
                </pic:pic>
              </a:graphicData>
            </a:graphic>
            <wp14:sizeRelH relativeFrom="page">
              <wp14:pctWidth>0</wp14:pctWidth>
            </wp14:sizeRelH>
            <wp14:sizeRelV relativeFrom="page">
              <wp14:pctHeight>0</wp14:pctHeight>
            </wp14:sizeRelV>
          </wp:anchor>
        </w:drawing>
      </w:r>
    </w:p>
    <w:p w14:paraId="76E52E0B"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64973FF6"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082C1465"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7989FBD0"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183D0E8A"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776F1329"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3BBD3878"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69EC1799"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6B942624"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58501A83"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2A562EB6"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17E8C443"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7F7D1214" w14:textId="25F2A131" w:rsidR="00866F99" w:rsidRPr="00DB5227" w:rsidRDefault="00866F99" w:rsidP="00866F99">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Figure 2.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Even Point Shift Graph for JATAM Chips Production</w:t>
      </w:r>
    </w:p>
    <w:p w14:paraId="558DF617" w14:textId="071B2A8D" w:rsidR="00866F99" w:rsidRPr="00DB5227" w:rsidRDefault="00866F99" w:rsidP="00866F99">
      <w:pPr>
        <w:widowControl w:val="0"/>
        <w:autoSpaceDE w:val="0"/>
        <w:autoSpaceDN w:val="0"/>
        <w:adjustRightInd w:val="0"/>
        <w:spacing w:after="0" w:line="240" w:lineRule="auto"/>
        <w:jc w:val="both"/>
        <w:rPr>
          <w:rFonts w:ascii="Times New Roman" w:hAnsi="Times New Roman" w:cs="Times New Roman"/>
        </w:rPr>
      </w:pPr>
      <w:r w:rsidRPr="00DB5227">
        <w:rPr>
          <w:rFonts w:ascii="Times New Roman" w:hAnsi="Times New Roman" w:cs="Times New Roman"/>
        </w:rPr>
        <w:t>Description:</w:t>
      </w:r>
    </w:p>
    <w:p w14:paraId="4226C53E" w14:textId="79167E2A" w:rsidR="00866F99" w:rsidRPr="00DB5227" w:rsidRDefault="00866F99" w:rsidP="00866F99">
      <w:pPr>
        <w:widowControl w:val="0"/>
        <w:autoSpaceDE w:val="0"/>
        <w:autoSpaceDN w:val="0"/>
        <w:adjustRightInd w:val="0"/>
        <w:spacing w:after="0" w:line="240" w:lineRule="auto"/>
        <w:ind w:left="1276" w:hanging="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BB8B7C7" wp14:editId="186F13BA">
                <wp:simplePos x="0" y="0"/>
                <wp:positionH relativeFrom="column">
                  <wp:posOffset>51214</wp:posOffset>
                </wp:positionH>
                <wp:positionV relativeFrom="paragraph">
                  <wp:posOffset>88900</wp:posOffset>
                </wp:positionV>
                <wp:extent cx="540000" cy="0"/>
                <wp:effectExtent l="0" t="0" r="0" b="0"/>
                <wp:wrapNone/>
                <wp:docPr id="1914884496" name="Konektor Lurus 5"/>
                <wp:cNvGraphicFramePr/>
                <a:graphic xmlns:a="http://schemas.openxmlformats.org/drawingml/2006/main">
                  <a:graphicData uri="http://schemas.microsoft.com/office/word/2010/wordprocessingShape">
                    <wps:wsp>
                      <wps:cNvCnPr/>
                      <wps:spPr>
                        <a:xfrm>
                          <a:off x="0" y="0"/>
                          <a:ext cx="540000" cy="0"/>
                        </a:xfrm>
                        <a:prstGeom prst="line">
                          <a:avLst/>
                        </a:prstGeom>
                        <a:ln w="12700">
                          <a:solidFill>
                            <a:schemeClr val="tx1"/>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7CDE23" id="Konektor Lurus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7pt" to="4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" strokecolor="black [3213]" strokeweight="1pt">
                <v:stroke dashstyle="3 1"/>
              </v:line>
            </w:pict>
          </mc:Fallback>
        </mc:AlternateContent>
      </w:r>
      <w:r w:rsidRPr="00DB5227">
        <w:rPr>
          <w:rFonts w:ascii="Times New Roman" w:hAnsi="Times New Roman" w:cs="Times New Roman"/>
        </w:rPr>
        <w:tab/>
        <w:t>: Break</w:t>
      </w:r>
      <w:r w:rsidR="00555088">
        <w:rPr>
          <w:rFonts w:ascii="Times New Roman" w:hAnsi="Times New Roman" w:cs="Times New Roman"/>
        </w:rPr>
        <w:t>-</w:t>
      </w:r>
      <w:r w:rsidRPr="00DB5227">
        <w:rPr>
          <w:rFonts w:ascii="Times New Roman" w:hAnsi="Times New Roman" w:cs="Times New Roman"/>
        </w:rPr>
        <w:t>Even Point (BEP) dan Sensitivit</w:t>
      </w:r>
      <w:r w:rsidR="00AE06ED">
        <w:rPr>
          <w:rFonts w:ascii="Times New Roman" w:hAnsi="Times New Roman" w:cs="Times New Roman"/>
        </w:rPr>
        <w:t>y</w:t>
      </w:r>
    </w:p>
    <w:p w14:paraId="6469C326" w14:textId="7DE62E21"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8549684" wp14:editId="601F3EE3">
                <wp:simplePos x="0" y="0"/>
                <wp:positionH relativeFrom="column">
                  <wp:posOffset>49530</wp:posOffset>
                </wp:positionH>
                <wp:positionV relativeFrom="paragraph">
                  <wp:posOffset>89756</wp:posOffset>
                </wp:positionV>
                <wp:extent cx="540000" cy="0"/>
                <wp:effectExtent l="0" t="0" r="0" b="0"/>
                <wp:wrapNone/>
                <wp:docPr id="16646676" name="Konektor Lurus 5"/>
                <wp:cNvGraphicFramePr/>
                <a:graphic xmlns:a="http://schemas.openxmlformats.org/drawingml/2006/main">
                  <a:graphicData uri="http://schemas.microsoft.com/office/word/2010/wordprocessingShape">
                    <wps:wsp>
                      <wps:cNvCnPr/>
                      <wps:spPr>
                        <a:xfrm>
                          <a:off x="0" y="0"/>
                          <a:ext cx="540000" cy="0"/>
                        </a:xfrm>
                        <a:prstGeom prst="line">
                          <a:avLst/>
                        </a:prstGeom>
                        <a:ln w="19050">
                          <a:solidFill>
                            <a:schemeClr val="tx1"/>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3E0162" id="Konektor Lurus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7.05pt" to="46.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" strokecolor="black [3213]" strokeweight="1.5pt">
                <v:stroke dashstyle="3 1"/>
              </v:line>
            </w:pict>
          </mc:Fallback>
        </mc:AlternateContent>
      </w:r>
      <w:r w:rsidRPr="00DB5227">
        <w:rPr>
          <w:rFonts w:ascii="Times New Roman" w:hAnsi="Times New Roman" w:cs="Times New Roman"/>
        </w:rPr>
        <w:t xml:space="preserve">: </w:t>
      </w:r>
      <w:r w:rsidR="00AE06ED">
        <w:rPr>
          <w:rFonts w:ascii="Times New Roman" w:hAnsi="Times New Roman" w:cs="Times New Roman"/>
        </w:rPr>
        <w:t>Fluctuating costs and revenues</w:t>
      </w:r>
      <w:r w:rsidR="00555088">
        <w:rPr>
          <w:rFonts w:ascii="Times New Roman" w:hAnsi="Times New Roman" w:cs="Times New Roman"/>
        </w:rPr>
        <w:t>,</w:t>
      </w:r>
      <w:r w:rsidR="00AE06ED">
        <w:rPr>
          <w:rFonts w:ascii="Times New Roman" w:hAnsi="Times New Roman" w:cs="Times New Roman"/>
        </w:rPr>
        <w:t xml:space="preserve"> and sens</w:t>
      </w:r>
      <w:r w:rsidR="00555088">
        <w:rPr>
          <w:rFonts w:ascii="Times New Roman" w:hAnsi="Times New Roman" w:cs="Times New Roman"/>
        </w:rPr>
        <w:t>i</w:t>
      </w:r>
      <w:r w:rsidR="00AE06ED">
        <w:rPr>
          <w:rFonts w:ascii="Times New Roman" w:hAnsi="Times New Roman" w:cs="Times New Roman"/>
        </w:rPr>
        <w:t>tivity</w:t>
      </w:r>
    </w:p>
    <w:p w14:paraId="48706AA9" w14:textId="2813EFAD"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9BC6AE6" wp14:editId="3C5DCAA1">
                <wp:simplePos x="0" y="0"/>
                <wp:positionH relativeFrom="column">
                  <wp:posOffset>52926</wp:posOffset>
                </wp:positionH>
                <wp:positionV relativeFrom="paragraph">
                  <wp:posOffset>88265</wp:posOffset>
                </wp:positionV>
                <wp:extent cx="539750" cy="0"/>
                <wp:effectExtent l="0" t="0" r="0" b="0"/>
                <wp:wrapNone/>
                <wp:docPr id="526213203" name="Konektor Lurus 5"/>
                <wp:cNvGraphicFramePr/>
                <a:graphic xmlns:a="http://schemas.openxmlformats.org/drawingml/2006/main">
                  <a:graphicData uri="http://schemas.microsoft.com/office/word/2010/wordprocessingShape">
                    <wps:wsp>
                      <wps:cNvCnPr/>
                      <wps:spPr>
                        <a:xfrm>
                          <a:off x="0" y="0"/>
                          <a:ext cx="539750" cy="0"/>
                        </a:xfrm>
                        <a:prstGeom prst="line">
                          <a:avLst/>
                        </a:prstGeom>
                        <a:ln w="12700">
                          <a:solidFill>
                            <a:schemeClr val="tx1"/>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C156F0" id="Konektor Lurus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6.95pt" to="46.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" strokecolor="black [3213]" strokeweight="1pt"/>
            </w:pict>
          </mc:Fallback>
        </mc:AlternateContent>
      </w:r>
      <w:r w:rsidRPr="00DB5227">
        <w:rPr>
          <w:rFonts w:ascii="Times New Roman" w:hAnsi="Times New Roman" w:cs="Times New Roman"/>
        </w:rPr>
        <w:t>: Total Fixed Cost (TFC) dan Sensitivit</w:t>
      </w:r>
      <w:r w:rsidR="00AE06ED">
        <w:rPr>
          <w:rFonts w:ascii="Times New Roman" w:hAnsi="Times New Roman" w:cs="Times New Roman"/>
        </w:rPr>
        <w:t>y</w:t>
      </w:r>
    </w:p>
    <w:p w14:paraId="36FD662A" w14:textId="77777777" w:rsidR="00AE06ED" w:rsidRDefault="00AE06ED" w:rsidP="00866F99">
      <w:pPr>
        <w:pStyle w:val="HTMLPreformatted"/>
        <w:ind w:firstLine="567"/>
        <w:jc w:val="both"/>
        <w:rPr>
          <w:rStyle w:val="y2iqfc"/>
          <w:rFonts w:ascii="Times New Roman" w:eastAsiaTheme="majorEastAsia" w:hAnsi="Times New Roman" w:cs="Times New Roman"/>
          <w:sz w:val="22"/>
          <w:szCs w:val="22"/>
          <w:lang w:val="en"/>
        </w:rPr>
      </w:pPr>
    </w:p>
    <w:p w14:paraId="665A6329" w14:textId="33EACBEE" w:rsidR="00866F99" w:rsidRPr="00DB5227" w:rsidRDefault="00866F99" w:rsidP="00866F99">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Figure 2 shows a shift in the break-even point due to the increase in production costs. </w:t>
      </w:r>
      <w:r w:rsidR="00555088">
        <w:rPr>
          <w:rStyle w:val="y2iqfc"/>
          <w:rFonts w:ascii="Times New Roman" w:eastAsiaTheme="majorEastAsia" w:hAnsi="Times New Roman" w:cs="Times New Roman"/>
          <w:sz w:val="22"/>
          <w:szCs w:val="22"/>
          <w:lang w:val="en"/>
        </w:rPr>
        <w:t>Before</w:t>
      </w:r>
      <w:r w:rsidRPr="00DB5227">
        <w:rPr>
          <w:rStyle w:val="y2iqfc"/>
          <w:rFonts w:ascii="Times New Roman" w:eastAsiaTheme="majorEastAsia" w:hAnsi="Times New Roman" w:cs="Times New Roman"/>
          <w:sz w:val="22"/>
          <w:szCs w:val="22"/>
          <w:lang w:val="en"/>
        </w:rPr>
        <w:t xml:space="preserve"> the increase, the break-even point (BEP) was at its initial position (BEP 1) with sales revenue of Rp400,812.00. After the production costs increased, the BEP for sales revenue shifted upward to Rp546,694.00. This was followed by a shift in the BEP for production volume to the right, reaching 2,733.47 grams per month, equivalent to 32 packages of JATAM chips. At BEP 2, the business generates neither a profit nor a loss, but is still able to cover all production costs. Therefore, as long as sales revenue exceeds the new break-even point (BEP 2), the JATAM chips business remains viable. The horizontal axis (X) in the graph presents the production volume of JATAM chips, the vertical axis (Y) shows the amount in rupiah in the form of total costs or income, the blue line depicts the total income from the sale of JATAM chips, the dark red line shows the total fixed costs after the increase in production costs, the red line depicts the total variable costs after the increase in production costs, the dark orange line depicts the total fixed costs after the increase in production costs.</w:t>
      </w:r>
    </w:p>
    <w:p w14:paraId="41F65643" w14:textId="77777777" w:rsidR="00866F99" w:rsidRPr="00DB5227" w:rsidRDefault="00866F99" w:rsidP="00866F99">
      <w:pPr>
        <w:pStyle w:val="HTMLPreformatted"/>
        <w:jc w:val="both"/>
        <w:rPr>
          <w:rStyle w:val="y2iqfc"/>
          <w:rFonts w:ascii="Times New Roman" w:eastAsiaTheme="majorEastAsia" w:hAnsi="Times New Roman" w:cs="Times New Roman"/>
          <w:sz w:val="22"/>
          <w:szCs w:val="22"/>
          <w:lang w:val="en"/>
        </w:rPr>
      </w:pPr>
    </w:p>
    <w:p w14:paraId="07E097FE" w14:textId="4244EF13" w:rsidR="00866F99" w:rsidRPr="00DB5227" w:rsidRDefault="00866F99" w:rsidP="00866F99">
      <w:pPr>
        <w:pStyle w:val="HTMLPreformatted"/>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CONCLUSION</w:t>
      </w:r>
    </w:p>
    <w:p w14:paraId="4E33B17B" w14:textId="77777777" w:rsidR="00866F99" w:rsidRPr="00DB5227" w:rsidRDefault="00866F99" w:rsidP="00866F99">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lastRenderedPageBreak/>
        <w:t>Based on the analysis and discussion presented, the following conclusions can be drawn:</w:t>
      </w:r>
    </w:p>
    <w:p w14:paraId="302C9D17" w14:textId="77777777" w:rsidR="00866F99" w:rsidRPr="00DB5227" w:rsidRDefault="00866F99" w:rsidP="00866F99">
      <w:pPr>
        <w:pStyle w:val="HTMLPreformatted"/>
        <w:ind w:left="426" w:hanging="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 The calculation of the production cost of JATAM chips, currently used by the JATAM MSME, is based on the owner's personal assumptions. The calculated costs include raw material costs, direct labor costs, and several variable overhead costs, including the purchase of packaging, various flavored seasonings, and sachet chili sauce. However, fixed overhead costs and several other variable overhead costs, including the cost of water gallons, electricity, 3-kg gas refills, and fuel, are not included in the calculation. Using this method, the production cost of JATAM chips is Rp12,182.20 per package.</w:t>
      </w:r>
    </w:p>
    <w:p w14:paraId="3A935A4A" w14:textId="77777777" w:rsidR="00866F99" w:rsidRPr="00DB5227" w:rsidRDefault="00866F99" w:rsidP="00866F99">
      <w:pPr>
        <w:pStyle w:val="HTMLPreformatted"/>
        <w:ind w:left="426" w:hanging="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2. The calculation using the full costing method is Rp13,077.86 per package, while the variable costing method yields a production cost of Rp12,832.20 per package.</w:t>
      </w:r>
    </w:p>
    <w:p w14:paraId="41FBA80B" w14:textId="77777777" w:rsidR="00866F99" w:rsidRPr="00DB5227" w:rsidRDefault="00866F99" w:rsidP="00866F99">
      <w:pPr>
        <w:pStyle w:val="HTMLPreformatted"/>
        <w:ind w:left="426" w:hanging="426"/>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3. A comparison of the calculation results shows a significant difference in production costs between the three methods. The difference in the cost of goods manufactured using the JATAM UMKM method compared to the full costing method is Rp895.66 per package. Meanwhile, the difference between the JATAM UMKM method and the variable costing method is Rp650.00 per package. The difference in the cost of goods manufactured using the full costing method compared to the variable costing method is Rp245.66.</w:t>
      </w:r>
    </w:p>
    <w:p w14:paraId="5370352C" w14:textId="77777777" w:rsidR="00866F99" w:rsidRPr="00DB5227" w:rsidRDefault="00866F99" w:rsidP="00866F99">
      <w:pPr>
        <w:pStyle w:val="HTMLPreformatted"/>
        <w:ind w:left="426" w:hanging="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4. The calculation results show that to reach the break-even point, the JATAM MSME needs to sell 2,004.06 grams of JATAM chips per month, equivalent to 23 packages, with a minimum sales revenue of Rp400,812.00 per month to cover all production costs.</w:t>
      </w:r>
    </w:p>
    <w:p w14:paraId="12B4B5E6" w14:textId="77777777" w:rsidR="00866F99" w:rsidRPr="00DB5227" w:rsidRDefault="00866F99" w:rsidP="00866F99">
      <w:pPr>
        <w:pStyle w:val="HTMLPreformatted"/>
        <w:ind w:left="426" w:hanging="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5. The sensitivity of the JATAM MSME is seen based on a scenario of a 7% increase in production costs. This scenario causes the BEP for sales revenue to increase to Rp546,694.00 and the BEP for production volume to increase to 2,733.47, equivalent to 32 packages of JATAM chips. Despite the increase in BEP, the JATAM chip business remains viable because the actual revenue and production volume remain above the BEP.</w:t>
      </w:r>
    </w:p>
    <w:p w14:paraId="24EB4A91" w14:textId="77777777" w:rsidR="00AE06ED" w:rsidRDefault="00AE06ED" w:rsidP="008B6317">
      <w:pPr>
        <w:pStyle w:val="HTMLPreformatted"/>
        <w:rPr>
          <w:rStyle w:val="y2iqfc"/>
          <w:rFonts w:ascii="Times New Roman" w:eastAsiaTheme="majorEastAsia" w:hAnsi="Times New Roman" w:cs="Times New Roman"/>
          <w:b/>
          <w:bCs/>
          <w:sz w:val="22"/>
          <w:szCs w:val="22"/>
          <w:lang w:val="en"/>
        </w:rPr>
      </w:pPr>
    </w:p>
    <w:p w14:paraId="415372BB" w14:textId="32453ABE" w:rsidR="008B6317" w:rsidRPr="00DB5227" w:rsidRDefault="008B6317" w:rsidP="008B6317">
      <w:pPr>
        <w:pStyle w:val="HTMLPreformatted"/>
        <w:rPr>
          <w:rStyle w:val="y2iqfc"/>
          <w:rFonts w:ascii="Times New Roman" w:eastAsiaTheme="majorEastAsia" w:hAnsi="Times New Roman" w:cs="Times New Roman"/>
          <w:b/>
          <w:bCs/>
          <w:sz w:val="22"/>
          <w:szCs w:val="22"/>
          <w:lang w:val="en"/>
        </w:rPr>
      </w:pPr>
      <w:r w:rsidRPr="00DB5227">
        <w:rPr>
          <w:rStyle w:val="y2iqfc"/>
          <w:rFonts w:ascii="Times New Roman" w:eastAsiaTheme="majorEastAsia" w:hAnsi="Times New Roman" w:cs="Times New Roman"/>
          <w:b/>
          <w:bCs/>
          <w:sz w:val="22"/>
          <w:szCs w:val="22"/>
          <w:lang w:val="en"/>
        </w:rPr>
        <w:t>BIBLIOGRAPHY</w:t>
      </w:r>
    </w:p>
    <w:p w14:paraId="3965394A" w14:textId="4F0A8742"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[1] Sonia, F. P., </w:t>
      </w:r>
      <w:proofErr w:type="spellStart"/>
      <w:r w:rsidRPr="00DB5227">
        <w:rPr>
          <w:rStyle w:val="y2iqfc"/>
          <w:rFonts w:ascii="Times New Roman" w:eastAsiaTheme="majorEastAsia" w:hAnsi="Times New Roman" w:cs="Times New Roman"/>
          <w:sz w:val="22"/>
          <w:szCs w:val="22"/>
          <w:lang w:val="en"/>
        </w:rPr>
        <w:t>Sayekti</w:t>
      </w:r>
      <w:proofErr w:type="spellEnd"/>
      <w:r w:rsidRPr="00DB5227">
        <w:rPr>
          <w:rStyle w:val="y2iqfc"/>
          <w:rFonts w:ascii="Times New Roman" w:eastAsiaTheme="majorEastAsia" w:hAnsi="Times New Roman" w:cs="Times New Roman"/>
          <w:sz w:val="22"/>
          <w:szCs w:val="22"/>
          <w:lang w:val="en"/>
        </w:rPr>
        <w:t xml:space="preserve">, W. D., &amp; </w:t>
      </w:r>
      <w:proofErr w:type="spellStart"/>
      <w:r w:rsidRPr="00DB5227">
        <w:rPr>
          <w:rStyle w:val="y2iqfc"/>
          <w:rFonts w:ascii="Times New Roman" w:eastAsiaTheme="majorEastAsia" w:hAnsi="Times New Roman" w:cs="Times New Roman"/>
          <w:sz w:val="22"/>
          <w:szCs w:val="22"/>
          <w:lang w:val="en"/>
        </w:rPr>
        <w:t>Prasmatiwi</w:t>
      </w:r>
      <w:proofErr w:type="spellEnd"/>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F. E. 2023. Business Profits, Cost of Goods Sold (HPP), and Consumer Satisfaction of the Instant Ginger Agroindustry in the Harapan Jaya Women's Farmers Group (KWT) in Bandar Lampung City. </w:t>
      </w:r>
      <w:proofErr w:type="spellStart"/>
      <w:r w:rsidRPr="00DB5227">
        <w:rPr>
          <w:rStyle w:val="y2iqfc"/>
          <w:rFonts w:ascii="Times New Roman" w:eastAsiaTheme="majorEastAsia" w:hAnsi="Times New Roman" w:cs="Times New Roman"/>
          <w:sz w:val="22"/>
          <w:szCs w:val="22"/>
          <w:lang w:val="en"/>
        </w:rPr>
        <w:t>Agroinfo</w:t>
      </w:r>
      <w:proofErr w:type="spellEnd"/>
      <w:r w:rsidRPr="00DB5227">
        <w:rPr>
          <w:rStyle w:val="y2iqfc"/>
          <w:rFonts w:ascii="Times New Roman" w:eastAsiaTheme="majorEastAsia" w:hAnsi="Times New Roman" w:cs="Times New Roman"/>
          <w:sz w:val="22"/>
          <w:szCs w:val="22"/>
          <w:lang w:val="en"/>
        </w:rPr>
        <w:t xml:space="preserve"> </w:t>
      </w:r>
      <w:proofErr w:type="spellStart"/>
      <w:r w:rsidRPr="00DB5227">
        <w:rPr>
          <w:rStyle w:val="y2iqfc"/>
          <w:rFonts w:ascii="Times New Roman" w:eastAsiaTheme="majorEastAsia" w:hAnsi="Times New Roman" w:cs="Times New Roman"/>
          <w:sz w:val="22"/>
          <w:szCs w:val="22"/>
          <w:lang w:val="en"/>
        </w:rPr>
        <w:t>Galuh</w:t>
      </w:r>
      <w:proofErr w:type="spellEnd"/>
      <w:r w:rsidRPr="00DB5227">
        <w:rPr>
          <w:rStyle w:val="y2iqfc"/>
          <w:rFonts w:ascii="Times New Roman" w:eastAsiaTheme="majorEastAsia" w:hAnsi="Times New Roman" w:cs="Times New Roman"/>
          <w:sz w:val="22"/>
          <w:szCs w:val="22"/>
          <w:lang w:val="en"/>
        </w:rPr>
        <w:t xml:space="preserve"> Student Scientific Journal. Vol. 10, No. 2: 1370-1382.</w:t>
      </w:r>
    </w:p>
    <w:p w14:paraId="7B539F0D"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[2] Institute for Development of Economics and Finance. 2021. Evaluation of the Indonesian Economy 2021: MSMEs and the Digital Economy.</w:t>
      </w:r>
    </w:p>
    <w:p w14:paraId="5209A763"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[3] </w:t>
      </w:r>
      <w:proofErr w:type="spellStart"/>
      <w:r w:rsidRPr="00DB5227">
        <w:rPr>
          <w:rStyle w:val="y2iqfc"/>
          <w:rFonts w:ascii="Times New Roman" w:eastAsiaTheme="majorEastAsia" w:hAnsi="Times New Roman" w:cs="Times New Roman"/>
          <w:sz w:val="22"/>
          <w:szCs w:val="22"/>
          <w:lang w:val="en"/>
        </w:rPr>
        <w:t>Sujarweni</w:t>
      </w:r>
      <w:proofErr w:type="spellEnd"/>
      <w:r w:rsidRPr="00DB5227">
        <w:rPr>
          <w:rStyle w:val="y2iqfc"/>
          <w:rFonts w:ascii="Times New Roman" w:eastAsiaTheme="majorEastAsia" w:hAnsi="Times New Roman" w:cs="Times New Roman"/>
          <w:sz w:val="22"/>
          <w:szCs w:val="22"/>
          <w:lang w:val="en"/>
        </w:rPr>
        <w:t>, V. W. Accounting for MSMEs (Micro, Small, and Medium Enterprises). Pustaka Baru Press. Yogyakarta.</w:t>
      </w:r>
    </w:p>
    <w:p w14:paraId="0E195716"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[4] Ministry of Cooperatives and SMEs. 2019. Development of Micro, Small, and Medium Enterprises (MSMEs) and Large Enterprises (UB) Data 2015-2019. https://www.kemenkopukm.go.id/data-umkm</w:t>
      </w:r>
    </w:p>
    <w:p w14:paraId="7D2EA268"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[5] Central Statistics Agency. 2023. Gross Regional Domestic Product of East Kalimantan Province by Business Sector 2019-2023.</w:t>
      </w:r>
    </w:p>
    <w:p w14:paraId="01197190"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[6] </w:t>
      </w:r>
      <w:proofErr w:type="spellStart"/>
      <w:r w:rsidRPr="00DB5227">
        <w:rPr>
          <w:rStyle w:val="y2iqfc"/>
          <w:rFonts w:ascii="Times New Roman" w:eastAsiaTheme="majorEastAsia" w:hAnsi="Times New Roman" w:cs="Times New Roman"/>
          <w:sz w:val="22"/>
          <w:szCs w:val="22"/>
          <w:lang w:val="en"/>
        </w:rPr>
        <w:t>Ristika</w:t>
      </w:r>
      <w:proofErr w:type="spellEnd"/>
      <w:r w:rsidRPr="00DB5227">
        <w:rPr>
          <w:rStyle w:val="y2iqfc"/>
          <w:rFonts w:ascii="Times New Roman" w:eastAsiaTheme="majorEastAsia" w:hAnsi="Times New Roman" w:cs="Times New Roman"/>
          <w:sz w:val="22"/>
          <w:szCs w:val="22"/>
          <w:lang w:val="en"/>
        </w:rPr>
        <w:t xml:space="preserve">, W., </w:t>
      </w:r>
      <w:proofErr w:type="spellStart"/>
      <w:r w:rsidRPr="00DB5227">
        <w:rPr>
          <w:rStyle w:val="y2iqfc"/>
          <w:rFonts w:ascii="Times New Roman" w:eastAsiaTheme="majorEastAsia" w:hAnsi="Times New Roman" w:cs="Times New Roman"/>
          <w:sz w:val="22"/>
          <w:szCs w:val="22"/>
          <w:lang w:val="en"/>
        </w:rPr>
        <w:t>Bafadal</w:t>
      </w:r>
      <w:proofErr w:type="spellEnd"/>
      <w:r w:rsidRPr="00DB5227">
        <w:rPr>
          <w:rStyle w:val="y2iqfc"/>
          <w:rFonts w:ascii="Times New Roman" w:eastAsiaTheme="majorEastAsia" w:hAnsi="Times New Roman" w:cs="Times New Roman"/>
          <w:sz w:val="22"/>
          <w:szCs w:val="22"/>
          <w:lang w:val="en"/>
        </w:rPr>
        <w:t xml:space="preserve">, A., and Zani, M. Analysis of Added Value of Oyster Mushroom Processing in </w:t>
      </w:r>
      <w:proofErr w:type="spellStart"/>
      <w:r w:rsidRPr="00DB5227">
        <w:rPr>
          <w:rStyle w:val="y2iqfc"/>
          <w:rFonts w:ascii="Times New Roman" w:eastAsiaTheme="majorEastAsia" w:hAnsi="Times New Roman" w:cs="Times New Roman"/>
          <w:sz w:val="22"/>
          <w:szCs w:val="22"/>
          <w:lang w:val="en"/>
        </w:rPr>
        <w:t>Palangga</w:t>
      </w:r>
      <w:proofErr w:type="spellEnd"/>
      <w:r w:rsidRPr="00DB5227">
        <w:rPr>
          <w:rStyle w:val="y2iqfc"/>
          <w:rFonts w:ascii="Times New Roman" w:eastAsiaTheme="majorEastAsia" w:hAnsi="Times New Roman" w:cs="Times New Roman"/>
          <w:sz w:val="22"/>
          <w:szCs w:val="22"/>
          <w:lang w:val="en"/>
        </w:rPr>
        <w:t xml:space="preserve"> District, South </w:t>
      </w:r>
      <w:proofErr w:type="spellStart"/>
      <w:r w:rsidRPr="00DB5227">
        <w:rPr>
          <w:rStyle w:val="y2iqfc"/>
          <w:rFonts w:ascii="Times New Roman" w:eastAsiaTheme="majorEastAsia" w:hAnsi="Times New Roman" w:cs="Times New Roman"/>
          <w:sz w:val="22"/>
          <w:szCs w:val="22"/>
          <w:lang w:val="en"/>
        </w:rPr>
        <w:t>Konawe</w:t>
      </w:r>
      <w:proofErr w:type="spellEnd"/>
      <w:r w:rsidRPr="00DB5227">
        <w:rPr>
          <w:rStyle w:val="y2iqfc"/>
          <w:rFonts w:ascii="Times New Roman" w:eastAsiaTheme="majorEastAsia" w:hAnsi="Times New Roman" w:cs="Times New Roman"/>
          <w:sz w:val="22"/>
          <w:szCs w:val="22"/>
          <w:lang w:val="en"/>
        </w:rPr>
        <w:t xml:space="preserve"> Regency (Case Study of Mushroom Chips Business). Vol. 4, No. 3: 16617–16629.</w:t>
      </w:r>
    </w:p>
    <w:p w14:paraId="48264581"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[7] Central Statistics Agency. 2023. Statistics of Vegetables and Fruits in East Kalimantan Province 2022. Volume 22.</w:t>
      </w:r>
    </w:p>
    <w:p w14:paraId="7F45356F"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[8] Mulyadi. 2023 Cost Accounting. Fifth Edition. UPP STIM YKPN. Yogyakarta City.</w:t>
      </w:r>
    </w:p>
    <w:p w14:paraId="1D1FEB3F" w14:textId="40046416"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[9] </w:t>
      </w:r>
      <w:proofErr w:type="spellStart"/>
      <w:r w:rsidRPr="00DB5227">
        <w:rPr>
          <w:rStyle w:val="y2iqfc"/>
          <w:rFonts w:ascii="Times New Roman" w:eastAsiaTheme="majorEastAsia" w:hAnsi="Times New Roman" w:cs="Times New Roman"/>
          <w:sz w:val="22"/>
          <w:szCs w:val="22"/>
          <w:lang w:val="en"/>
        </w:rPr>
        <w:t>Romadlon</w:t>
      </w:r>
      <w:proofErr w:type="spellEnd"/>
      <w:r w:rsidRPr="00DB5227">
        <w:rPr>
          <w:rStyle w:val="y2iqfc"/>
          <w:rFonts w:ascii="Times New Roman" w:eastAsiaTheme="majorEastAsia" w:hAnsi="Times New Roman" w:cs="Times New Roman"/>
          <w:sz w:val="22"/>
          <w:szCs w:val="22"/>
          <w:lang w:val="en"/>
        </w:rPr>
        <w:t>, C. G., and Sujud, F. A. 2024.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Even Point Analysis in Determining Profit Projections at the </w:t>
      </w:r>
      <w:proofErr w:type="spellStart"/>
      <w:r w:rsidRPr="00DB5227">
        <w:rPr>
          <w:rStyle w:val="y2iqfc"/>
          <w:rFonts w:ascii="Times New Roman" w:eastAsiaTheme="majorEastAsia" w:hAnsi="Times New Roman" w:cs="Times New Roman"/>
          <w:sz w:val="22"/>
          <w:szCs w:val="22"/>
          <w:lang w:val="en"/>
        </w:rPr>
        <w:t>D'Bantar</w:t>
      </w:r>
      <w:proofErr w:type="spellEnd"/>
      <w:r w:rsidRPr="00DB5227">
        <w:rPr>
          <w:rStyle w:val="y2iqfc"/>
          <w:rFonts w:ascii="Times New Roman" w:eastAsiaTheme="majorEastAsia" w:hAnsi="Times New Roman" w:cs="Times New Roman"/>
          <w:sz w:val="22"/>
          <w:szCs w:val="22"/>
          <w:lang w:val="en"/>
        </w:rPr>
        <w:t xml:space="preserve"> Bamboo Craft Grocery Store, </w:t>
      </w:r>
      <w:proofErr w:type="spellStart"/>
      <w:r w:rsidRPr="00DB5227">
        <w:rPr>
          <w:rStyle w:val="y2iqfc"/>
          <w:rFonts w:ascii="Times New Roman" w:eastAsiaTheme="majorEastAsia" w:hAnsi="Times New Roman" w:cs="Times New Roman"/>
          <w:sz w:val="22"/>
          <w:szCs w:val="22"/>
          <w:lang w:val="en"/>
        </w:rPr>
        <w:t>Mandiraja</w:t>
      </w:r>
      <w:proofErr w:type="spellEnd"/>
      <w:r w:rsidRPr="00DB5227">
        <w:rPr>
          <w:rStyle w:val="y2iqfc"/>
          <w:rFonts w:ascii="Times New Roman" w:eastAsiaTheme="majorEastAsia" w:hAnsi="Times New Roman" w:cs="Times New Roman"/>
          <w:sz w:val="22"/>
          <w:szCs w:val="22"/>
          <w:lang w:val="en"/>
        </w:rPr>
        <w:t xml:space="preserve"> District, </w:t>
      </w:r>
      <w:proofErr w:type="spellStart"/>
      <w:r w:rsidRPr="00DB5227">
        <w:rPr>
          <w:rStyle w:val="y2iqfc"/>
          <w:rFonts w:ascii="Times New Roman" w:eastAsiaTheme="majorEastAsia" w:hAnsi="Times New Roman" w:cs="Times New Roman"/>
          <w:sz w:val="22"/>
          <w:szCs w:val="22"/>
          <w:lang w:val="en"/>
        </w:rPr>
        <w:t>Banjarnegara</w:t>
      </w:r>
      <w:proofErr w:type="spellEnd"/>
      <w:r w:rsidRPr="00DB5227">
        <w:rPr>
          <w:rStyle w:val="y2iqfc"/>
          <w:rFonts w:ascii="Times New Roman" w:eastAsiaTheme="majorEastAsia" w:hAnsi="Times New Roman" w:cs="Times New Roman"/>
          <w:sz w:val="22"/>
          <w:szCs w:val="22"/>
          <w:lang w:val="en"/>
        </w:rPr>
        <w:t xml:space="preserve"> Regency. </w:t>
      </w:r>
      <w:proofErr w:type="spellStart"/>
      <w:r w:rsidRPr="00DB5227">
        <w:rPr>
          <w:rStyle w:val="y2iqfc"/>
          <w:rFonts w:ascii="Times New Roman" w:eastAsiaTheme="majorEastAsia" w:hAnsi="Times New Roman" w:cs="Times New Roman"/>
          <w:sz w:val="22"/>
          <w:szCs w:val="22"/>
          <w:lang w:val="en"/>
        </w:rPr>
        <w:t>Tanbih</w:t>
      </w:r>
      <w:proofErr w:type="spellEnd"/>
      <w:r w:rsidRPr="00DB5227">
        <w:rPr>
          <w:rStyle w:val="y2iqfc"/>
          <w:rFonts w:ascii="Times New Roman" w:eastAsiaTheme="majorEastAsia" w:hAnsi="Times New Roman" w:cs="Times New Roman"/>
          <w:sz w:val="22"/>
          <w:szCs w:val="22"/>
          <w:lang w:val="en"/>
        </w:rPr>
        <w:t xml:space="preserve"> Journal. Vol. 1, No. 2.</w:t>
      </w:r>
    </w:p>
    <w:p w14:paraId="6C90968B" w14:textId="73922941" w:rsidR="008B6317" w:rsidRPr="00DB5227" w:rsidRDefault="008B6317" w:rsidP="008B6317">
      <w:pPr>
        <w:pStyle w:val="HTMLPreformatted"/>
        <w:ind w:left="567" w:hanging="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[10] </w:t>
      </w:r>
      <w:proofErr w:type="spellStart"/>
      <w:r w:rsidRPr="00DB5227">
        <w:rPr>
          <w:rStyle w:val="y2iqfc"/>
          <w:rFonts w:ascii="Times New Roman" w:eastAsiaTheme="majorEastAsia" w:hAnsi="Times New Roman" w:cs="Times New Roman"/>
          <w:sz w:val="22"/>
          <w:szCs w:val="22"/>
          <w:lang w:val="en"/>
        </w:rPr>
        <w:t>Khasana</w:t>
      </w:r>
      <w:proofErr w:type="spellEnd"/>
      <w:r w:rsidRPr="00DB5227">
        <w:rPr>
          <w:rStyle w:val="y2iqfc"/>
          <w:rFonts w:ascii="Times New Roman" w:eastAsiaTheme="majorEastAsia" w:hAnsi="Times New Roman" w:cs="Times New Roman"/>
          <w:sz w:val="22"/>
          <w:szCs w:val="22"/>
          <w:lang w:val="en"/>
        </w:rPr>
        <w:t>, U. 2024.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Even Point (BEP) Analysis and Income Sensitivity of Rice Farming (Case Study of the Hati Mulia Farmer Group in </w:t>
      </w:r>
      <w:proofErr w:type="spellStart"/>
      <w:r w:rsidRPr="00DB5227">
        <w:rPr>
          <w:rStyle w:val="y2iqfc"/>
          <w:rFonts w:ascii="Times New Roman" w:eastAsiaTheme="majorEastAsia" w:hAnsi="Times New Roman" w:cs="Times New Roman"/>
          <w:sz w:val="22"/>
          <w:szCs w:val="22"/>
          <w:lang w:val="en"/>
        </w:rPr>
        <w:t>Cakura</w:t>
      </w:r>
      <w:proofErr w:type="spellEnd"/>
      <w:r w:rsidRPr="00DB5227">
        <w:rPr>
          <w:rStyle w:val="y2iqfc"/>
          <w:rFonts w:ascii="Times New Roman" w:eastAsiaTheme="majorEastAsia" w:hAnsi="Times New Roman" w:cs="Times New Roman"/>
          <w:sz w:val="22"/>
          <w:szCs w:val="22"/>
          <w:lang w:val="en"/>
        </w:rPr>
        <w:t xml:space="preserve"> Village, </w:t>
      </w:r>
      <w:proofErr w:type="spellStart"/>
      <w:r w:rsidRPr="00DB5227">
        <w:rPr>
          <w:rStyle w:val="y2iqfc"/>
          <w:rFonts w:ascii="Times New Roman" w:eastAsiaTheme="majorEastAsia" w:hAnsi="Times New Roman" w:cs="Times New Roman"/>
          <w:sz w:val="22"/>
          <w:szCs w:val="22"/>
          <w:lang w:val="en"/>
        </w:rPr>
        <w:t>Polongbangkeng</w:t>
      </w:r>
      <w:proofErr w:type="spellEnd"/>
      <w:r w:rsidRPr="00DB5227">
        <w:rPr>
          <w:rStyle w:val="y2iqfc"/>
          <w:rFonts w:ascii="Times New Roman" w:eastAsiaTheme="majorEastAsia" w:hAnsi="Times New Roman" w:cs="Times New Roman"/>
          <w:sz w:val="22"/>
          <w:szCs w:val="22"/>
          <w:lang w:val="en"/>
        </w:rPr>
        <w:t xml:space="preserve"> Selatan District, </w:t>
      </w:r>
      <w:proofErr w:type="spellStart"/>
      <w:r w:rsidRPr="00DB5227">
        <w:rPr>
          <w:rStyle w:val="y2iqfc"/>
          <w:rFonts w:ascii="Times New Roman" w:eastAsiaTheme="majorEastAsia" w:hAnsi="Times New Roman" w:cs="Times New Roman"/>
          <w:sz w:val="22"/>
          <w:szCs w:val="22"/>
          <w:lang w:val="en"/>
        </w:rPr>
        <w:t>Takalar</w:t>
      </w:r>
      <w:proofErr w:type="spellEnd"/>
      <w:r w:rsidRPr="00DB5227">
        <w:rPr>
          <w:rStyle w:val="y2iqfc"/>
          <w:rFonts w:ascii="Times New Roman" w:eastAsiaTheme="majorEastAsia" w:hAnsi="Times New Roman" w:cs="Times New Roman"/>
          <w:sz w:val="22"/>
          <w:szCs w:val="22"/>
          <w:lang w:val="en"/>
        </w:rPr>
        <w:t xml:space="preserve"> Regency). Thesis. Faculty of Agriculture. Muhammadiyah University of Makassar.</w:t>
      </w:r>
    </w:p>
    <w:p w14:paraId="62BB3122" w14:textId="01FB5ABB"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lastRenderedPageBreak/>
        <w:t xml:space="preserve">[11] Rahayu, N, </w:t>
      </w:r>
      <w:r w:rsidR="00555088">
        <w:rPr>
          <w:rStyle w:val="y2iqfc"/>
          <w:rFonts w:ascii="Times New Roman" w:eastAsiaTheme="majorEastAsia" w:hAnsi="Times New Roman" w:cs="Times New Roman"/>
          <w:sz w:val="22"/>
          <w:szCs w:val="22"/>
          <w:lang w:val="en"/>
        </w:rPr>
        <w:t>N.S.</w:t>
      </w:r>
      <w:r w:rsidRPr="00DB5227">
        <w:rPr>
          <w:rStyle w:val="y2iqfc"/>
          <w:rFonts w:ascii="Times New Roman" w:eastAsiaTheme="majorEastAsia" w:hAnsi="Times New Roman" w:cs="Times New Roman"/>
          <w:sz w:val="22"/>
          <w:szCs w:val="22"/>
          <w:lang w:val="en"/>
        </w:rPr>
        <w:t xml:space="preserve">, </w:t>
      </w:r>
      <w:r w:rsidR="00555088">
        <w:rPr>
          <w:rStyle w:val="y2iqfc"/>
          <w:rFonts w:ascii="Times New Roman" w:eastAsiaTheme="majorEastAsia" w:hAnsi="Times New Roman" w:cs="Times New Roman"/>
          <w:sz w:val="22"/>
          <w:szCs w:val="22"/>
          <w:lang w:val="en"/>
        </w:rPr>
        <w:t>N.S.</w:t>
      </w:r>
      <w:r w:rsidRPr="00DB5227">
        <w:rPr>
          <w:rStyle w:val="y2iqfc"/>
          <w:rFonts w:ascii="Times New Roman" w:eastAsiaTheme="majorEastAsia" w:hAnsi="Times New Roman" w:cs="Times New Roman"/>
          <w:sz w:val="22"/>
          <w:szCs w:val="22"/>
          <w:lang w:val="en"/>
        </w:rPr>
        <w:t xml:space="preserve">M., </w:t>
      </w:r>
      <w:proofErr w:type="spellStart"/>
      <w:r w:rsidRPr="00DB5227">
        <w:rPr>
          <w:rStyle w:val="y2iqfc"/>
          <w:rFonts w:ascii="Times New Roman" w:eastAsiaTheme="majorEastAsia" w:hAnsi="Times New Roman" w:cs="Times New Roman"/>
          <w:sz w:val="22"/>
          <w:szCs w:val="22"/>
          <w:lang w:val="en"/>
        </w:rPr>
        <w:t>Nuryaman</w:t>
      </w:r>
      <w:proofErr w:type="spellEnd"/>
      <w:r w:rsidRPr="00DB5227">
        <w:rPr>
          <w:rStyle w:val="y2iqfc"/>
          <w:rFonts w:ascii="Times New Roman" w:eastAsiaTheme="majorEastAsia" w:hAnsi="Times New Roman" w:cs="Times New Roman"/>
          <w:sz w:val="22"/>
          <w:szCs w:val="22"/>
          <w:lang w:val="en"/>
        </w:rPr>
        <w:t xml:space="preserve">, H., </w:t>
      </w:r>
      <w:proofErr w:type="spellStart"/>
      <w:r w:rsidRPr="00DB5227">
        <w:rPr>
          <w:rStyle w:val="y2iqfc"/>
          <w:rFonts w:ascii="Times New Roman" w:eastAsiaTheme="majorEastAsia" w:hAnsi="Times New Roman" w:cs="Times New Roman"/>
          <w:sz w:val="22"/>
          <w:szCs w:val="22"/>
          <w:lang w:val="en"/>
        </w:rPr>
        <w:t>Suyadi</w:t>
      </w:r>
      <w:proofErr w:type="spellEnd"/>
      <w:r w:rsidRPr="00DB5227">
        <w:rPr>
          <w:rStyle w:val="y2iqfc"/>
          <w:rFonts w:ascii="Times New Roman" w:eastAsiaTheme="majorEastAsia" w:hAnsi="Times New Roman" w:cs="Times New Roman"/>
          <w:sz w:val="22"/>
          <w:szCs w:val="22"/>
          <w:lang w:val="en"/>
        </w:rPr>
        <w:t xml:space="preserve">, &amp; </w:t>
      </w:r>
      <w:proofErr w:type="spellStart"/>
      <w:r w:rsidRPr="00DB5227">
        <w:rPr>
          <w:rStyle w:val="y2iqfc"/>
          <w:rFonts w:ascii="Times New Roman" w:eastAsiaTheme="majorEastAsia" w:hAnsi="Times New Roman" w:cs="Times New Roman"/>
          <w:sz w:val="22"/>
          <w:szCs w:val="22"/>
          <w:lang w:val="en"/>
        </w:rPr>
        <w:t>Mutiarasari</w:t>
      </w:r>
      <w:proofErr w:type="spellEnd"/>
      <w:r w:rsidRPr="00DB5227">
        <w:rPr>
          <w:rStyle w:val="y2iqfc"/>
          <w:rFonts w:ascii="Times New Roman" w:eastAsiaTheme="majorEastAsia" w:hAnsi="Times New Roman" w:cs="Times New Roman"/>
          <w:sz w:val="22"/>
          <w:szCs w:val="22"/>
          <w:lang w:val="en"/>
        </w:rPr>
        <w:t xml:space="preserve">, N, R. 2024. Cost of Production, Break-Even Point, and Sensitivity of Honje Processing </w:t>
      </w:r>
      <w:proofErr w:type="gramStart"/>
      <w:r w:rsidRPr="00DB5227">
        <w:rPr>
          <w:rStyle w:val="y2iqfc"/>
          <w:rFonts w:ascii="Times New Roman" w:eastAsiaTheme="majorEastAsia" w:hAnsi="Times New Roman" w:cs="Times New Roman"/>
          <w:sz w:val="22"/>
          <w:szCs w:val="22"/>
          <w:lang w:val="en"/>
        </w:rPr>
        <w:t>Into</w:t>
      </w:r>
      <w:proofErr w:type="gramEnd"/>
      <w:r w:rsidRPr="00DB5227">
        <w:rPr>
          <w:rStyle w:val="y2iqfc"/>
          <w:rFonts w:ascii="Times New Roman" w:eastAsiaTheme="majorEastAsia" w:hAnsi="Times New Roman" w:cs="Times New Roman"/>
          <w:sz w:val="22"/>
          <w:szCs w:val="22"/>
          <w:lang w:val="en"/>
        </w:rPr>
        <w:t xml:space="preserve"> Honjo Juice. IOP Conference Series: Earth and Environmental Science. 1-9.</w:t>
      </w:r>
    </w:p>
    <w:p w14:paraId="4258D3CC"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[12] Mulyadi. 2023. Cost Accounting. Fifth Edition. UPP STIM YKPN. Yogyakarta City.</w:t>
      </w:r>
    </w:p>
    <w:p w14:paraId="64C208E8"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[13] </w:t>
      </w:r>
      <w:proofErr w:type="spellStart"/>
      <w:r w:rsidRPr="00DB5227">
        <w:rPr>
          <w:rStyle w:val="y2iqfc"/>
          <w:rFonts w:ascii="Times New Roman" w:eastAsiaTheme="majorEastAsia" w:hAnsi="Times New Roman" w:cs="Times New Roman"/>
          <w:sz w:val="22"/>
          <w:szCs w:val="22"/>
          <w:lang w:val="en"/>
        </w:rPr>
        <w:t>Anggraini</w:t>
      </w:r>
      <w:proofErr w:type="spellEnd"/>
      <w:r w:rsidRPr="00DB5227">
        <w:rPr>
          <w:rStyle w:val="y2iqfc"/>
          <w:rFonts w:ascii="Times New Roman" w:eastAsiaTheme="majorEastAsia" w:hAnsi="Times New Roman" w:cs="Times New Roman"/>
          <w:sz w:val="22"/>
          <w:szCs w:val="22"/>
          <w:lang w:val="en"/>
        </w:rPr>
        <w:t xml:space="preserve">, N., et al. 2022. Introduction to Microeconomics (Theory and Practice). First Edition. </w:t>
      </w:r>
      <w:proofErr w:type="spellStart"/>
      <w:r w:rsidRPr="00DB5227">
        <w:rPr>
          <w:rStyle w:val="y2iqfc"/>
          <w:rFonts w:ascii="Times New Roman" w:eastAsiaTheme="majorEastAsia" w:hAnsi="Times New Roman" w:cs="Times New Roman"/>
          <w:sz w:val="22"/>
          <w:szCs w:val="22"/>
          <w:lang w:val="en"/>
        </w:rPr>
        <w:t>Widina</w:t>
      </w:r>
      <w:proofErr w:type="spellEnd"/>
      <w:r w:rsidRPr="00DB5227">
        <w:rPr>
          <w:rStyle w:val="y2iqfc"/>
          <w:rFonts w:ascii="Times New Roman" w:eastAsiaTheme="majorEastAsia" w:hAnsi="Times New Roman" w:cs="Times New Roman"/>
          <w:sz w:val="22"/>
          <w:szCs w:val="22"/>
          <w:lang w:val="en"/>
        </w:rPr>
        <w:t xml:space="preserve"> Media Utama. Bandung.</w:t>
      </w:r>
    </w:p>
    <w:p w14:paraId="02DC9748"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[14] BPS. 2022. Analysis of the Indonesian Population Profile 2020. https://www.bps.go.id/id/publication/2022/06/24/ea52f6a38d3913a5bc557c5f/analisis-profil-penduduk-indonesia.html.</w:t>
      </w:r>
    </w:p>
    <w:p w14:paraId="63A46751" w14:textId="475DAD05"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[15] </w:t>
      </w:r>
      <w:proofErr w:type="spellStart"/>
      <w:r w:rsidRPr="00DB5227">
        <w:rPr>
          <w:rStyle w:val="y2iqfc"/>
          <w:rFonts w:ascii="Times New Roman" w:eastAsiaTheme="majorEastAsia" w:hAnsi="Times New Roman" w:cs="Times New Roman"/>
          <w:sz w:val="22"/>
          <w:szCs w:val="22"/>
          <w:lang w:val="en"/>
        </w:rPr>
        <w:t>Pasapan</w:t>
      </w:r>
      <w:proofErr w:type="spellEnd"/>
      <w:r w:rsidRPr="00DB5227">
        <w:rPr>
          <w:rStyle w:val="y2iqfc"/>
          <w:rFonts w:ascii="Times New Roman" w:eastAsiaTheme="majorEastAsia" w:hAnsi="Times New Roman" w:cs="Times New Roman"/>
          <w:sz w:val="22"/>
          <w:szCs w:val="22"/>
          <w:lang w:val="en"/>
        </w:rPr>
        <w:t xml:space="preserve">, V W., Pusung, R J., </w:t>
      </w:r>
      <w:proofErr w:type="spellStart"/>
      <w:r w:rsidRPr="00DB5227">
        <w:rPr>
          <w:rStyle w:val="y2iqfc"/>
          <w:rFonts w:ascii="Times New Roman" w:eastAsiaTheme="majorEastAsia" w:hAnsi="Times New Roman" w:cs="Times New Roman"/>
          <w:sz w:val="22"/>
          <w:szCs w:val="22"/>
          <w:lang w:val="en"/>
        </w:rPr>
        <w:t>Maradesa</w:t>
      </w:r>
      <w:proofErr w:type="spellEnd"/>
      <w:r w:rsidRPr="00DB5227">
        <w:rPr>
          <w:rStyle w:val="y2iqfc"/>
          <w:rFonts w:ascii="Times New Roman" w:eastAsiaTheme="majorEastAsia" w:hAnsi="Times New Roman" w:cs="Times New Roman"/>
          <w:sz w:val="22"/>
          <w:szCs w:val="22"/>
          <w:lang w:val="en"/>
        </w:rPr>
        <w:t>, D. 2023. Analysis of Full Costing and Variable Costing Methods in Determining the Cost of Production of Jackfruit Seed Boba at the Subin Mood Boba MSME. EMBA Journal. Vol. 11, No. 2: 453-463.</w:t>
      </w:r>
    </w:p>
    <w:p w14:paraId="351C772E"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[16] Mahardika, P.I. 2018. Cost Accounting: A Complete Guide to Cost Analysis and Calculation of Cost of Production, First Edition. Quadrant. Yogyakarta City.</w:t>
      </w:r>
    </w:p>
    <w:p w14:paraId="2014E7A5" w14:textId="77777777" w:rsidR="008B6317" w:rsidRPr="00DB5227" w:rsidRDefault="008B6317" w:rsidP="008B6317">
      <w:pPr>
        <w:pStyle w:val="HTMLPreformatted"/>
        <w:ind w:left="567" w:hanging="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[17] Bank Indonesia. Inflation Statistics Data November 2022-December 2024. Central Bank of the Republic of Indonesia. https://www.bi.go.id/id/statistik/indikator/data-inflasi.aspx.</w:t>
      </w:r>
    </w:p>
    <w:p w14:paraId="2692F2BD" w14:textId="77777777" w:rsidR="008B6317" w:rsidRPr="00DB5227" w:rsidRDefault="008B6317" w:rsidP="008B6317">
      <w:pPr>
        <w:pStyle w:val="HTMLPreformatted"/>
        <w:ind w:left="567" w:hanging="567"/>
        <w:jc w:val="both"/>
        <w:rPr>
          <w:rFonts w:ascii="Times New Roman" w:hAnsi="Times New Roman" w:cs="Times New Roman"/>
          <w:sz w:val="22"/>
          <w:szCs w:val="22"/>
        </w:rPr>
      </w:pPr>
    </w:p>
    <w:p w14:paraId="368324CF" w14:textId="77777777" w:rsidR="008B6317" w:rsidRPr="00DB5227" w:rsidRDefault="008B6317" w:rsidP="00866F99">
      <w:pPr>
        <w:pStyle w:val="HTMLPreformatted"/>
        <w:ind w:left="426" w:hanging="426"/>
        <w:jc w:val="both"/>
        <w:rPr>
          <w:rFonts w:ascii="Times New Roman" w:hAnsi="Times New Roman" w:cs="Times New Roman"/>
          <w:sz w:val="22"/>
          <w:szCs w:val="22"/>
        </w:rPr>
      </w:pPr>
    </w:p>
    <w:p w14:paraId="2B746141" w14:textId="77777777" w:rsidR="00866F99" w:rsidRPr="00DB5227" w:rsidRDefault="00866F99" w:rsidP="00866F99">
      <w:pPr>
        <w:pStyle w:val="HTMLPreformatted"/>
        <w:ind w:left="426" w:hanging="426"/>
        <w:jc w:val="both"/>
        <w:rPr>
          <w:rFonts w:ascii="Times New Roman" w:hAnsi="Times New Roman" w:cs="Times New Roman"/>
          <w:sz w:val="22"/>
          <w:szCs w:val="22"/>
        </w:rPr>
      </w:pPr>
    </w:p>
    <w:p w14:paraId="0C10986C" w14:textId="77777777" w:rsidR="00547FB6" w:rsidRPr="00DB5227" w:rsidRDefault="00547FB6" w:rsidP="00547FB6">
      <w:pPr>
        <w:spacing w:before="240" w:after="0" w:line="240" w:lineRule="auto"/>
        <w:jc w:val="both"/>
        <w:rPr>
          <w:rFonts w:ascii="Times New Roman" w:hAnsi="Times New Roman" w:cs="Times New Roman"/>
        </w:rPr>
      </w:pPr>
    </w:p>
    <w:p w14:paraId="73B4201A" w14:textId="77777777" w:rsidR="00547FB6" w:rsidRPr="00DB5227" w:rsidRDefault="00547FB6" w:rsidP="00547FB6">
      <w:pPr>
        <w:spacing w:before="240" w:after="0" w:line="240" w:lineRule="auto"/>
        <w:jc w:val="center"/>
        <w:rPr>
          <w:rFonts w:ascii="Times New Roman" w:hAnsi="Times New Roman" w:cs="Times New Roman"/>
          <w:i/>
          <w:iCs/>
        </w:rPr>
      </w:pPr>
    </w:p>
    <w:p w14:paraId="394C5998" w14:textId="591455DC" w:rsidR="00866F99" w:rsidRPr="00DB5227" w:rsidRDefault="00866F99" w:rsidP="00866F99">
      <w:pPr>
        <w:widowControl w:val="0"/>
        <w:autoSpaceDE w:val="0"/>
        <w:autoSpaceDN w:val="0"/>
        <w:adjustRightInd w:val="0"/>
        <w:spacing w:after="0" w:line="240" w:lineRule="auto"/>
        <w:rPr>
          <w:rFonts w:ascii="Times New Roman" w:hAnsi="Times New Roman" w:cs="Times New Roman"/>
        </w:rPr>
        <w:sectPr w:rsidR="00866F99" w:rsidRPr="00DB5227" w:rsidSect="00866F99">
          <w:headerReference w:type="even" r:id="rId9"/>
          <w:headerReference w:type="default" r:id="rId10"/>
          <w:footerReference w:type="even" r:id="rId11"/>
          <w:footerReference w:type="default" r:id="rId12"/>
          <w:headerReference w:type="first" r:id="rId13"/>
          <w:footerReference w:type="first" r:id="rId14"/>
          <w:pgSz w:w="11910" w:h="16840"/>
          <w:pgMar w:top="1701" w:right="1701" w:bottom="1701" w:left="1701" w:header="720" w:footer="720" w:gutter="0"/>
          <w:cols w:space="286"/>
          <w:docGrid w:linePitch="299"/>
        </w:sectPr>
      </w:pPr>
    </w:p>
    <w:p w14:paraId="4A6CF23E" w14:textId="77777777" w:rsidR="00866F99" w:rsidRPr="00DB5227" w:rsidRDefault="00866F99" w:rsidP="00193D39">
      <w:pPr>
        <w:pStyle w:val="HTMLPreformatted"/>
        <w:rPr>
          <w:rStyle w:val="y2iqfc"/>
          <w:rFonts w:ascii="Times New Roman" w:eastAsiaTheme="majorEastAsia" w:hAnsi="Times New Roman" w:cs="Times New Roman"/>
          <w:sz w:val="22"/>
          <w:szCs w:val="22"/>
          <w:lang w:val="en"/>
        </w:rPr>
      </w:pPr>
    </w:p>
    <w:sectPr w:rsidR="00866F99" w:rsidRPr="00DB52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60F7D" w14:textId="77777777" w:rsidR="00E34634" w:rsidRDefault="00E34634" w:rsidP="00D37E5B">
      <w:pPr>
        <w:spacing w:after="0" w:line="240" w:lineRule="auto"/>
      </w:pPr>
      <w:r>
        <w:separator/>
      </w:r>
    </w:p>
  </w:endnote>
  <w:endnote w:type="continuationSeparator" w:id="0">
    <w:p w14:paraId="04D785A2" w14:textId="77777777" w:rsidR="00E34634" w:rsidRDefault="00E34634" w:rsidP="00D3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5E5F" w14:textId="77777777" w:rsidR="00D37E5B" w:rsidRDefault="00D37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017C" w14:textId="77777777" w:rsidR="00D37E5B" w:rsidRDefault="00D37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8C78" w14:textId="77777777" w:rsidR="00D37E5B" w:rsidRDefault="00D3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81896" w14:textId="77777777" w:rsidR="00E34634" w:rsidRDefault="00E34634" w:rsidP="00D37E5B">
      <w:pPr>
        <w:spacing w:after="0" w:line="240" w:lineRule="auto"/>
      </w:pPr>
      <w:r>
        <w:separator/>
      </w:r>
    </w:p>
  </w:footnote>
  <w:footnote w:type="continuationSeparator" w:id="0">
    <w:p w14:paraId="77D73C57" w14:textId="77777777" w:rsidR="00E34634" w:rsidRDefault="00E34634" w:rsidP="00D37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9532" w14:textId="12AA6193" w:rsidR="00D37E5B" w:rsidRDefault="00D37E5B">
    <w:pPr>
      <w:pStyle w:val="Header"/>
    </w:pPr>
    <w:r>
      <w:rPr>
        <w:noProof/>
      </w:rPr>
      <w:pict w14:anchorId="6CB26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14126" o:spid="_x0000_s2050" type="#_x0000_t136" style="position:absolute;margin-left:0;margin-top:0;width:504.55pt;height:9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06A47" w14:textId="3E5FBD5E" w:rsidR="00D37E5B" w:rsidRDefault="00D37E5B">
    <w:pPr>
      <w:pStyle w:val="Header"/>
    </w:pPr>
    <w:r>
      <w:rPr>
        <w:noProof/>
      </w:rPr>
      <w:pict w14:anchorId="01FF6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14127" o:spid="_x0000_s2051" type="#_x0000_t136" style="position:absolute;margin-left:0;margin-top:0;width:504.55pt;height:9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C7E36" w14:textId="0171562F" w:rsidR="00D37E5B" w:rsidRDefault="00D37E5B">
    <w:pPr>
      <w:pStyle w:val="Header"/>
    </w:pPr>
    <w:r>
      <w:rPr>
        <w:noProof/>
      </w:rPr>
      <w:pict w14:anchorId="38431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14125" o:spid="_x0000_s2049" type="#_x0000_t136" style="position:absolute;margin-left:0;margin-top:0;width:504.55pt;height:9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1A20"/>
    <w:multiLevelType w:val="hybridMultilevel"/>
    <w:tmpl w:val="8F7CFA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97D3413"/>
    <w:multiLevelType w:val="hybridMultilevel"/>
    <w:tmpl w:val="8F7CFA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3D505A"/>
    <w:multiLevelType w:val="hybridMultilevel"/>
    <w:tmpl w:val="C5E21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F03BC"/>
    <w:multiLevelType w:val="hybridMultilevel"/>
    <w:tmpl w:val="8F7CFA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7B2E7C"/>
    <w:multiLevelType w:val="hybridMultilevel"/>
    <w:tmpl w:val="8F7CFA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zNDc3NzM1tjC1NLBQ0lEKTi0uzszPAykwrgUA2+kw9SwAAAA="/>
  </w:docVars>
  <w:rsids>
    <w:rsidRoot w:val="00BA6C97"/>
    <w:rsid w:val="00092E4C"/>
    <w:rsid w:val="000E6436"/>
    <w:rsid w:val="00181718"/>
    <w:rsid w:val="00193D39"/>
    <w:rsid w:val="0027436A"/>
    <w:rsid w:val="004B6C89"/>
    <w:rsid w:val="00547FB6"/>
    <w:rsid w:val="00555088"/>
    <w:rsid w:val="00585BC1"/>
    <w:rsid w:val="005B214E"/>
    <w:rsid w:val="00673F41"/>
    <w:rsid w:val="006A06AA"/>
    <w:rsid w:val="00712FA1"/>
    <w:rsid w:val="00866F99"/>
    <w:rsid w:val="008B6317"/>
    <w:rsid w:val="00975D60"/>
    <w:rsid w:val="00AE06ED"/>
    <w:rsid w:val="00B63F55"/>
    <w:rsid w:val="00BA6C97"/>
    <w:rsid w:val="00D37E5B"/>
    <w:rsid w:val="00D4634F"/>
    <w:rsid w:val="00DB5227"/>
    <w:rsid w:val="00DD2147"/>
    <w:rsid w:val="00DF5477"/>
    <w:rsid w:val="00E34634"/>
    <w:rsid w:val="00E61128"/>
    <w:rsid w:val="00E93652"/>
    <w:rsid w:val="00F2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F0271A"/>
  <w15:chartTrackingRefBased/>
  <w15:docId w15:val="{2F83335B-4D39-4BDC-A4C3-1B09A47E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C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6C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6C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6C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6C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6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C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6C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6C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6C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6C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6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C97"/>
    <w:rPr>
      <w:rFonts w:eastAsiaTheme="majorEastAsia" w:cstheme="majorBidi"/>
      <w:color w:val="272727" w:themeColor="text1" w:themeTint="D8"/>
    </w:rPr>
  </w:style>
  <w:style w:type="paragraph" w:styleId="Title">
    <w:name w:val="Title"/>
    <w:basedOn w:val="Normal"/>
    <w:next w:val="Normal"/>
    <w:link w:val="TitleChar"/>
    <w:uiPriority w:val="10"/>
    <w:qFormat/>
    <w:rsid w:val="00BA6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C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C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C97"/>
    <w:rPr>
      <w:i/>
      <w:iCs/>
      <w:color w:val="404040" w:themeColor="text1" w:themeTint="BF"/>
    </w:rPr>
  </w:style>
  <w:style w:type="paragraph" w:styleId="ListParagraph">
    <w:name w:val="List Paragraph"/>
    <w:basedOn w:val="Normal"/>
    <w:uiPriority w:val="34"/>
    <w:qFormat/>
    <w:rsid w:val="00BA6C97"/>
    <w:pPr>
      <w:ind w:left="720"/>
      <w:contextualSpacing/>
    </w:pPr>
  </w:style>
  <w:style w:type="character" w:styleId="IntenseEmphasis">
    <w:name w:val="Intense Emphasis"/>
    <w:basedOn w:val="DefaultParagraphFont"/>
    <w:uiPriority w:val="21"/>
    <w:qFormat/>
    <w:rsid w:val="00BA6C97"/>
    <w:rPr>
      <w:i/>
      <w:iCs/>
      <w:color w:val="365F91" w:themeColor="accent1" w:themeShade="BF"/>
    </w:rPr>
  </w:style>
  <w:style w:type="paragraph" w:styleId="IntenseQuote">
    <w:name w:val="Intense Quote"/>
    <w:basedOn w:val="Normal"/>
    <w:next w:val="Normal"/>
    <w:link w:val="IntenseQuoteChar"/>
    <w:uiPriority w:val="30"/>
    <w:qFormat/>
    <w:rsid w:val="00BA6C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C97"/>
    <w:rPr>
      <w:i/>
      <w:iCs/>
      <w:color w:val="365F91" w:themeColor="accent1" w:themeShade="BF"/>
    </w:rPr>
  </w:style>
  <w:style w:type="character" w:styleId="IntenseReference">
    <w:name w:val="Intense Reference"/>
    <w:basedOn w:val="DefaultParagraphFont"/>
    <w:uiPriority w:val="32"/>
    <w:qFormat/>
    <w:rsid w:val="00BA6C97"/>
    <w:rPr>
      <w:b/>
      <w:bCs/>
      <w:smallCaps/>
      <w:color w:val="365F91" w:themeColor="accent1" w:themeShade="BF"/>
      <w:spacing w:val="5"/>
    </w:rPr>
  </w:style>
  <w:style w:type="paragraph" w:styleId="HTMLPreformatted">
    <w:name w:val="HTML Preformatted"/>
    <w:basedOn w:val="Normal"/>
    <w:link w:val="HTMLPreformattedChar"/>
    <w:uiPriority w:val="99"/>
    <w:unhideWhenUsed/>
    <w:rsid w:val="00BA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6C97"/>
    <w:rPr>
      <w:rFonts w:ascii="Courier New" w:eastAsia="Times New Roman" w:hAnsi="Courier New" w:cs="Courier New"/>
      <w:sz w:val="20"/>
      <w:szCs w:val="20"/>
    </w:rPr>
  </w:style>
  <w:style w:type="character" w:customStyle="1" w:styleId="y2iqfc">
    <w:name w:val="y2iqfc"/>
    <w:basedOn w:val="DefaultParagraphFont"/>
    <w:rsid w:val="00BA6C97"/>
  </w:style>
  <w:style w:type="table" w:styleId="TableGrid">
    <w:name w:val="Table Grid"/>
    <w:basedOn w:val="TableNormal"/>
    <w:uiPriority w:val="39"/>
    <w:rsid w:val="005B214E"/>
    <w:pPr>
      <w:spacing w:after="0" w:line="240" w:lineRule="auto"/>
    </w:pPr>
    <w:rPr>
      <w:kern w:val="2"/>
      <w:szCs w:val="28"/>
      <w:lang w:val="id-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5227"/>
    <w:rPr>
      <w:color w:val="0000FF" w:themeColor="hyperlink"/>
      <w:u w:val="single"/>
    </w:rPr>
  </w:style>
  <w:style w:type="character" w:customStyle="1" w:styleId="Bodytext2Exact">
    <w:name w:val="Body text (2) Exact"/>
    <w:basedOn w:val="DefaultParagraphFont"/>
    <w:rsid w:val="00DB5227"/>
    <w:rPr>
      <w:rFonts w:ascii="Times New Roman" w:eastAsia="Times New Roman" w:hAnsi="Times New Roman" w:cs="Times New Roman"/>
      <w:b w:val="0"/>
      <w:bCs w:val="0"/>
      <w:i w:val="0"/>
      <w:iCs w:val="0"/>
      <w:smallCaps w:val="0"/>
      <w:strike w:val="0"/>
      <w:u w:val="none"/>
    </w:rPr>
  </w:style>
  <w:style w:type="paragraph" w:styleId="Header">
    <w:name w:val="header"/>
    <w:basedOn w:val="Normal"/>
    <w:link w:val="HeaderChar"/>
    <w:uiPriority w:val="99"/>
    <w:unhideWhenUsed/>
    <w:rsid w:val="00DB5227"/>
    <w:pPr>
      <w:tabs>
        <w:tab w:val="center" w:pos="4513"/>
        <w:tab w:val="right" w:pos="9026"/>
      </w:tabs>
      <w:spacing w:after="0" w:line="240" w:lineRule="auto"/>
    </w:pPr>
    <w:rPr>
      <w:kern w:val="2"/>
      <w:szCs w:val="28"/>
      <w:lang w:val="id-ID" w:bidi="th-TH"/>
      <w14:ligatures w14:val="standardContextual"/>
    </w:rPr>
  </w:style>
  <w:style w:type="character" w:customStyle="1" w:styleId="HeaderChar">
    <w:name w:val="Header Char"/>
    <w:basedOn w:val="DefaultParagraphFont"/>
    <w:link w:val="Header"/>
    <w:uiPriority w:val="99"/>
    <w:rsid w:val="00DB5227"/>
    <w:rPr>
      <w:kern w:val="2"/>
      <w:szCs w:val="28"/>
      <w:lang w:val="id-ID" w:bidi="th-TH"/>
      <w14:ligatures w14:val="standardContextual"/>
    </w:rPr>
  </w:style>
  <w:style w:type="character" w:styleId="UnresolvedMention">
    <w:name w:val="Unresolved Mention"/>
    <w:basedOn w:val="DefaultParagraphFont"/>
    <w:uiPriority w:val="99"/>
    <w:semiHidden/>
    <w:unhideWhenUsed/>
    <w:rsid w:val="00DB5227"/>
    <w:rPr>
      <w:color w:val="605E5C"/>
      <w:shd w:val="clear" w:color="auto" w:fill="E1DFDD"/>
    </w:rPr>
  </w:style>
  <w:style w:type="paragraph" w:styleId="Footer">
    <w:name w:val="footer"/>
    <w:basedOn w:val="Normal"/>
    <w:link w:val="FooterChar"/>
    <w:uiPriority w:val="99"/>
    <w:unhideWhenUsed/>
    <w:rsid w:val="00D37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4601</Words>
  <Characters>26231</Characters>
  <Application>Microsoft Office Word</Application>
  <DocSecurity>0</DocSecurity>
  <Lines>218</Lines>
  <Paragraphs>61</Paragraphs>
  <ScaleCrop>false</ScaleCrop>
  <Company/>
  <LinksUpToDate>false</LinksUpToDate>
  <CharactersWithSpaces>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1084</cp:lastModifiedBy>
  <cp:revision>18</cp:revision>
  <dcterms:created xsi:type="dcterms:W3CDTF">2025-11-26T22:53:00Z</dcterms:created>
  <dcterms:modified xsi:type="dcterms:W3CDTF">2026-01-10T07:41:00Z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4db0976f-5078-4dba-a50c-c8c155114c07</vt:lpwstr>
  </property>
</Properties>
</file>