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235" w:rsidRPr="00276B3B" w:rsidRDefault="00213697" w:rsidP="001A7E20">
      <w:pPr>
        <w:shd w:val="clear" w:color="000000" w:fill="FFFFFF"/>
        <w:spacing w:before="100" w:beforeAutospacing="1" w:after="384" w:afterAutospacing="1" w:line="360" w:lineRule="auto"/>
        <w:jc w:val="right"/>
        <w:rPr>
          <w:rFonts w:ascii="Arial" w:eastAsia="Times New Roman" w:hAnsi="Arial" w:cs="Arial"/>
          <w:sz w:val="28"/>
          <w:szCs w:val="28"/>
        </w:rPr>
      </w:pPr>
      <w:r w:rsidRPr="00276B3B">
        <w:rPr>
          <w:rFonts w:ascii="Arial" w:eastAsia="Times New Roman" w:hAnsi="Arial" w:cs="Arial"/>
          <w:bCs/>
          <w:sz w:val="28"/>
          <w:szCs w:val="28"/>
        </w:rPr>
        <w:t>Caregiver Knowledge and Feeding Practices as Determinants of Malnutrition Among Under-F</w:t>
      </w:r>
      <w:r w:rsidR="0002398B" w:rsidRPr="00276B3B">
        <w:rPr>
          <w:rFonts w:ascii="Arial" w:eastAsia="Times New Roman" w:hAnsi="Arial" w:cs="Arial"/>
          <w:bCs/>
          <w:sz w:val="28"/>
          <w:szCs w:val="28"/>
        </w:rPr>
        <w:t xml:space="preserve">ive Children </w:t>
      </w:r>
      <w:r w:rsidR="00E10D05" w:rsidRPr="00276B3B">
        <w:rPr>
          <w:rFonts w:ascii="Arial" w:eastAsia="Times New Roman" w:hAnsi="Arial" w:cs="Arial"/>
          <w:bCs/>
          <w:sz w:val="28"/>
          <w:szCs w:val="28"/>
        </w:rPr>
        <w:t xml:space="preserve">at </w:t>
      </w:r>
      <w:proofErr w:type="spellStart"/>
      <w:r w:rsidR="00EE5F53" w:rsidRPr="00276B3B">
        <w:rPr>
          <w:rFonts w:ascii="Arial" w:eastAsia="Times New Roman" w:hAnsi="Arial" w:cs="Arial"/>
          <w:bCs/>
          <w:sz w:val="28"/>
          <w:szCs w:val="28"/>
        </w:rPr>
        <w:t>Jitimai</w:t>
      </w:r>
      <w:proofErr w:type="spellEnd"/>
      <w:r w:rsidR="00EE5F53" w:rsidRPr="00276B3B">
        <w:rPr>
          <w:rFonts w:ascii="Arial" w:eastAsia="Times New Roman" w:hAnsi="Arial" w:cs="Arial"/>
          <w:bCs/>
          <w:sz w:val="28"/>
          <w:szCs w:val="28"/>
        </w:rPr>
        <w:t xml:space="preserve"> District Hospital</w:t>
      </w:r>
      <w:r w:rsidRPr="00276B3B">
        <w:rPr>
          <w:rFonts w:ascii="Arial" w:eastAsia="Times New Roman" w:hAnsi="Arial" w:cs="Arial"/>
          <w:bCs/>
          <w:sz w:val="28"/>
          <w:szCs w:val="28"/>
        </w:rPr>
        <w:t>. Zanzibar</w:t>
      </w:r>
      <w:r w:rsidR="00447235" w:rsidRPr="00276B3B">
        <w:rPr>
          <w:rFonts w:ascii="Arial" w:eastAsia="Times New Roman" w:hAnsi="Arial" w:cs="Arial"/>
          <w:sz w:val="28"/>
          <w:szCs w:val="28"/>
        </w:rPr>
        <w:t xml:space="preserve"> </w:t>
      </w:r>
    </w:p>
    <w:p w:rsidR="00E97C06" w:rsidRPr="004A02C3" w:rsidRDefault="00E97C06" w:rsidP="0095582E">
      <w:pPr>
        <w:spacing w:line="360" w:lineRule="auto"/>
        <w:rPr>
          <w:rFonts w:ascii="Arial" w:hAnsi="Arial" w:cs="Arial"/>
          <w:sz w:val="24"/>
          <w:szCs w:val="24"/>
        </w:rPr>
      </w:pPr>
    </w:p>
    <w:p w:rsidR="00F01DDE" w:rsidRPr="004A02C3" w:rsidRDefault="00F01DDE" w:rsidP="00F01DDE">
      <w:pPr>
        <w:pStyle w:val="Heading1"/>
        <w:spacing w:line="360" w:lineRule="auto"/>
        <w:jc w:val="both"/>
        <w:rPr>
          <w:rFonts w:ascii="Arial" w:hAnsi="Arial" w:cs="Arial"/>
          <w:b/>
          <w:bCs/>
          <w:color w:val="000000"/>
          <w:sz w:val="24"/>
          <w:szCs w:val="24"/>
        </w:rPr>
      </w:pPr>
      <w:bookmarkStart w:id="0" w:name="_Toc200740595"/>
      <w:r w:rsidRPr="004A02C3">
        <w:rPr>
          <w:rFonts w:ascii="Arial" w:hAnsi="Arial" w:cs="Arial"/>
          <w:b/>
          <w:bCs/>
          <w:color w:val="000000"/>
          <w:sz w:val="24"/>
          <w:szCs w:val="24"/>
        </w:rPr>
        <w:t>ABSTRACT</w:t>
      </w:r>
      <w:bookmarkEnd w:id="0"/>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Background:</w:t>
      </w:r>
      <w:r w:rsidRPr="00505546">
        <w:rPr>
          <w:rFonts w:ascii="Arial" w:hAnsi="Arial" w:cs="Arial"/>
        </w:rPr>
        <w:br/>
        <w:t xml:space="preserve">Malnutrition remains a major cause of morbidity and mortality among children under five in low- and middle-income countries. Suboptimal breastfeeding and </w:t>
      </w:r>
      <w:r>
        <w:rPr>
          <w:rFonts w:ascii="Arial" w:hAnsi="Arial" w:cs="Arial"/>
        </w:rPr>
        <w:t xml:space="preserve">complementary feeding practices, </w:t>
      </w:r>
      <w:r w:rsidRPr="00505546">
        <w:rPr>
          <w:rFonts w:ascii="Arial" w:hAnsi="Arial" w:cs="Arial"/>
        </w:rPr>
        <w:t>often driven by limited caregiver knowledge, financial barriers, and inadequate access to nutrition education</w:t>
      </w:r>
      <w:r w:rsidR="009D2EE1">
        <w:rPr>
          <w:rFonts w:ascii="Arial" w:hAnsi="Arial" w:cs="Arial"/>
        </w:rPr>
        <w:t xml:space="preserve">, </w:t>
      </w:r>
      <w:r w:rsidRPr="00505546">
        <w:rPr>
          <w:rFonts w:ascii="Arial" w:hAnsi="Arial" w:cs="Arial"/>
        </w:rPr>
        <w:t>significantly contribute to poor nutritional outcomes.</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Objective:</w:t>
      </w:r>
      <w:r w:rsidRPr="00505546">
        <w:rPr>
          <w:rFonts w:ascii="Arial" w:hAnsi="Arial" w:cs="Arial"/>
        </w:rPr>
        <w:br/>
        <w:t>To assess caregivers’ knowledge, feeding practices, and barriers related to infant and young child nutrition, and to identify opportunities for improving nutritional outcomes among children under five.</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Methods:</w:t>
      </w:r>
      <w:r w:rsidRPr="00505546">
        <w:rPr>
          <w:rFonts w:ascii="Arial" w:hAnsi="Arial" w:cs="Arial"/>
        </w:rPr>
        <w:br/>
        <w:t xml:space="preserve">A cross-sectional study was conducted among 96 caregivers of </w:t>
      </w:r>
      <w:r w:rsidR="009D2EE1">
        <w:rPr>
          <w:rFonts w:ascii="Arial" w:hAnsi="Arial" w:cs="Arial"/>
        </w:rPr>
        <w:t xml:space="preserve">children under five </w:t>
      </w:r>
      <w:r w:rsidRPr="00505546">
        <w:rPr>
          <w:rFonts w:ascii="Arial" w:hAnsi="Arial" w:cs="Arial"/>
        </w:rPr>
        <w:t>using structured questionnaires. Data collected included sociodemographic characteristics, breastfeeding and complementary feeding practices, nutrition knowledge, and perceived challenges. Statistical tests were performed to assess associations between feeding practices, caregiver knowledge, and child malnutrition status.</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Results:</w:t>
      </w:r>
      <w:r w:rsidRPr="00505546">
        <w:rPr>
          <w:rFonts w:ascii="Arial" w:hAnsi="Arial" w:cs="Arial"/>
        </w:rPr>
        <w:br/>
        <w:t xml:space="preserve">A significant association was found between </w:t>
      </w:r>
      <w:r w:rsidR="009D2EE1">
        <w:rPr>
          <w:rFonts w:ascii="Arial" w:hAnsi="Arial" w:cs="Arial"/>
        </w:rPr>
        <w:t xml:space="preserve">malnutrition type </w:t>
      </w:r>
      <w:r w:rsidRPr="00505546">
        <w:rPr>
          <w:rFonts w:ascii="Arial" w:hAnsi="Arial" w:cs="Arial"/>
        </w:rPr>
        <w:t xml:space="preserve">and maternal knowledge of the recommended duration of exclusive breastfeeding (Likelihood Ratio = 15.69, p = 0.016). The type of complementary food provided was also significantly associated with malnutrition status (χ² = 34.46, p &lt; 0.001), as was the relationship between a history of malnutrition diagnosis and the current malnutrition category (χ² = 42.91, p &lt; 0.001). </w:t>
      </w:r>
      <w:r w:rsidRPr="00505546">
        <w:rPr>
          <w:rFonts w:ascii="Arial" w:hAnsi="Arial" w:cs="Arial"/>
        </w:rPr>
        <w:lastRenderedPageBreak/>
        <w:t xml:space="preserve">Overall, most caregivers exhibited limited knowledge of recommended feeding practices, with major gaps in understanding the timing and nutritional adequacy of complementary foods. Financial constraints, lack of nutrition education, and common misconceptions were reported as key barriers. Despite these challenges, most caregivers expressed </w:t>
      </w:r>
      <w:r w:rsidR="009D2EE1">
        <w:rPr>
          <w:rFonts w:ascii="Arial" w:hAnsi="Arial" w:cs="Arial"/>
        </w:rPr>
        <w:t xml:space="preserve">a </w:t>
      </w:r>
      <w:r w:rsidRPr="00505546">
        <w:rPr>
          <w:rFonts w:ascii="Arial" w:hAnsi="Arial" w:cs="Arial"/>
        </w:rPr>
        <w:t>strong willingness to participate in nutrition training.</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Conclusions:</w:t>
      </w:r>
      <w:r w:rsidRPr="00505546">
        <w:rPr>
          <w:rFonts w:ascii="Arial" w:hAnsi="Arial" w:cs="Arial"/>
        </w:rPr>
        <w:br/>
        <w:t>Caregivers face substantial informational and socioeconomic barriers that heighten the risk of malnutrition in early childhood. Strengthening community-based nutrition education, improving access to counselling services, and addressing financial barriers are essential for improving feeding practices and promoting healthier growth among children under five.</w:t>
      </w:r>
    </w:p>
    <w:p w:rsidR="00F01DDE" w:rsidRPr="00213697" w:rsidRDefault="00F01DDE" w:rsidP="00F01DDE">
      <w:pPr>
        <w:spacing w:after="0" w:line="240" w:lineRule="auto"/>
        <w:rPr>
          <w:rFonts w:ascii="Arial" w:eastAsia="Times New Roman" w:hAnsi="Arial" w:cs="Arial"/>
          <w:sz w:val="24"/>
          <w:szCs w:val="24"/>
          <w:lang w:eastAsia="en-US"/>
        </w:rPr>
      </w:pPr>
    </w:p>
    <w:p w:rsidR="00F01DDE" w:rsidRPr="004A02C3" w:rsidRDefault="00F01DDE" w:rsidP="00F01DDE">
      <w:pPr>
        <w:spacing w:before="100" w:beforeAutospacing="1" w:after="100" w:afterAutospacing="1" w:line="360" w:lineRule="auto"/>
        <w:rPr>
          <w:rFonts w:ascii="Arial" w:eastAsia="Times New Roman" w:hAnsi="Arial" w:cs="Arial"/>
          <w:sz w:val="24"/>
          <w:szCs w:val="24"/>
          <w:lang w:eastAsia="en-US"/>
        </w:rPr>
      </w:pPr>
      <w:r w:rsidRPr="004A02C3">
        <w:rPr>
          <w:rFonts w:ascii="Arial" w:hAnsi="Arial" w:cs="Arial"/>
          <w:b/>
          <w:bCs/>
          <w:color w:val="000000"/>
          <w:sz w:val="24"/>
          <w:szCs w:val="24"/>
        </w:rPr>
        <w:t>Keywords</w:t>
      </w:r>
      <w:r w:rsidRPr="004A02C3">
        <w:rPr>
          <w:rFonts w:ascii="Arial" w:hAnsi="Arial" w:cs="Arial"/>
          <w:color w:val="000000"/>
          <w:sz w:val="24"/>
          <w:szCs w:val="24"/>
        </w:rPr>
        <w:t xml:space="preserve">: </w:t>
      </w:r>
      <w:r w:rsidRPr="004A02C3">
        <w:rPr>
          <w:rFonts w:ascii="Arial" w:eastAsia="Times New Roman" w:hAnsi="Arial" w:cs="Arial"/>
          <w:sz w:val="24"/>
          <w:szCs w:val="24"/>
          <w:lang w:eastAsia="en-US"/>
        </w:rPr>
        <w:t>Caregiver knowledge</w:t>
      </w:r>
      <w:r w:rsidRPr="004A02C3">
        <w:rPr>
          <w:rFonts w:ascii="Arial" w:hAnsi="Arial" w:cs="Arial"/>
          <w:color w:val="000000"/>
          <w:sz w:val="24"/>
          <w:szCs w:val="24"/>
        </w:rPr>
        <w:t xml:space="preserve">, </w:t>
      </w:r>
      <w:r w:rsidRPr="004A02C3">
        <w:rPr>
          <w:rFonts w:ascii="Arial" w:eastAsia="Times New Roman" w:hAnsi="Arial" w:cs="Arial"/>
          <w:sz w:val="24"/>
          <w:szCs w:val="24"/>
          <w:lang w:eastAsia="en-US"/>
        </w:rPr>
        <w:t>Child malnutrition, Infant and young child feeding, Breastfeeding practices, Complementary feeding, Nutrition education, Low- and middle-income countries, Zanzibar.</w:t>
      </w:r>
    </w:p>
    <w:p w:rsidR="00F01DDE" w:rsidRPr="004A02C3" w:rsidRDefault="00F01DDE" w:rsidP="00F01DDE">
      <w:pPr>
        <w:pStyle w:val="Heading2"/>
        <w:spacing w:line="360" w:lineRule="auto"/>
        <w:rPr>
          <w:rFonts w:ascii="Arial" w:hAnsi="Arial" w:cs="Arial"/>
          <w:b/>
          <w:bCs/>
          <w:color w:val="000000"/>
          <w:sz w:val="24"/>
          <w:szCs w:val="24"/>
        </w:rPr>
      </w:pPr>
      <w:bookmarkStart w:id="1" w:name="_Toc200716788"/>
    </w:p>
    <w:p w:rsidR="00F01DDE" w:rsidRPr="004A02C3" w:rsidRDefault="00F01DDE" w:rsidP="00F01DDE">
      <w:pPr>
        <w:pStyle w:val="Heading2"/>
        <w:spacing w:line="360" w:lineRule="auto"/>
        <w:rPr>
          <w:rFonts w:ascii="Arial" w:hAnsi="Arial" w:cs="Arial"/>
          <w:b/>
          <w:bCs/>
          <w:color w:val="000000"/>
          <w:sz w:val="24"/>
          <w:szCs w:val="24"/>
        </w:rPr>
      </w:pPr>
      <w:r w:rsidRPr="004A02C3">
        <w:rPr>
          <w:rFonts w:ascii="Arial" w:hAnsi="Arial" w:cs="Arial"/>
          <w:b/>
          <w:bCs/>
          <w:color w:val="000000"/>
          <w:sz w:val="24"/>
          <w:szCs w:val="24"/>
        </w:rPr>
        <w:t>INTRODUCTION</w:t>
      </w:r>
      <w:bookmarkEnd w:id="1"/>
      <w:r w:rsidRPr="004A02C3">
        <w:rPr>
          <w:rFonts w:ascii="Arial" w:hAnsi="Arial" w:cs="Arial"/>
          <w:b/>
          <w:bCs/>
          <w:color w:val="000000"/>
          <w:sz w:val="24"/>
          <w:szCs w:val="24"/>
        </w:rPr>
        <w:t xml:space="preserve"> </w:t>
      </w:r>
    </w:p>
    <w:p w:rsidR="00F01DDE" w:rsidRPr="004A02C3" w:rsidRDefault="00F01DDE" w:rsidP="00F01DDE">
      <w:pPr>
        <w:pStyle w:val="NormalWeb"/>
        <w:spacing w:line="360" w:lineRule="auto"/>
        <w:jc w:val="both"/>
        <w:rPr>
          <w:rFonts w:ascii="Arial" w:hAnsi="Arial" w:cs="Arial"/>
        </w:rPr>
      </w:pPr>
      <w:bookmarkStart w:id="2" w:name="_Toc200716809"/>
      <w:r w:rsidRPr="004A02C3">
        <w:rPr>
          <w:rFonts w:ascii="Arial" w:hAnsi="Arial" w:cs="Arial"/>
        </w:rPr>
        <w:t xml:space="preserve">Child malnutrition remains one of the most pressing global health challenges, contributing to nearly 45% of deaths among children under five and undermining long-term human development </w:t>
      </w:r>
      <w:r w:rsidRPr="004A02C3">
        <w:rPr>
          <w:rFonts w:ascii="Arial" w:hAnsi="Arial" w:cs="Arial"/>
        </w:rPr>
        <w:fldChar w:fldCharType="begin" w:fldLock="1"/>
      </w:r>
      <w:r w:rsidR="00A62D47">
        <w:rPr>
          <w:rFonts w:ascii="Arial" w:hAnsi="Arial" w:cs="Arial"/>
        </w:rPr>
        <w:instrText>ADDIN CSL_CITATION {"citationItems":[{"id":"ITEM-1","itemData":{"author":[{"dropping-particle":"","family":"Exposto","given":"Levi Anatolia S M","non-dropping-particle":"","parse-names":false,"suffix":""},{"dropping-particle":"","family":"Pacheco","given":"Conceição","non-dropping-particle":"","parse-names":false,"suffix":""},{"dropping-particle":"","family":"Pereira","given":"Elias","non-dropping-particle":"","parse-names":false,"suffix":""},{"dropping-particle":"","family":"Ximenes","given":"Eliseba Borges","non-dropping-particle":"","parse-names":false,"suffix":""},{"dropping-particle":"","family":"Carvalho","given":"Marcos","non-dropping-particle":"","parse-names":false,"suffix":""},{"dropping-particle":"","family":"Fernandes","given":"Daniela R M U","non-dropping-particle":"","parse-names":false,"suffix":""}],"id":"ITEM-1","issue":"6","issued":{"date-parts":[["2025"]]},"page":"251-260","title":"The Impact of Malnutrition Problems on Children Under 5 Years Old and its Management Strategies : A Retrospective Analysis","type":"article-journal","volume":"4"},"uris":["http://www.mendeley.com/documents/?uuid=e8f8e97a-77e9-4d84-bca9-5a175b49d6d4","http://www.mendeley.com/documents/?uuid=d6cfad9c-35e9-4530-856b-5b89acdf3e13"]}],"mendeley":{"formattedCitation":"[1]","plainTextFormattedCitation":"[1]","previouslyFormattedCitation":"[1]"},"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{"citationItems":[{"id":"ITEM-1","itemData":{"author":[{"dropping-particle":"","family":"Mathosi","given":"Meshack Mzamani","non-dropping-particle":"","parse-names":false,"suffix":""},{"dropping-particle":"","family":"Cele","given":"Lindiwe Priscilla","non-dropping-particle":"","parse-names":false,"suffix":""},{"dropping-particle":"","family":"Mathibe","given":"Mmampedi","non-dropping-particle":"","parse-names":false,"suffix":""}],"id":"ITEM-1","issued":{"date-parts":[["2025"]]},"page":"1-21","title":"Acute Malnutrition in Under-Five Children in KwaZulu-Natal , South Africa : Risk Factors and Implications for Dietary Quality","type":"article-journal"},"uris":["http://www.mendeley.com/documents/?uuid=65824218-2a37-4bf6-b5c4-2fae7f476c78","http://www.mendeley.com/documents/?uuid=d5b23679-9739-4ade-93be-910fe0e93c1d"]}],"mendeley":{"formattedCitation":"[2]","plainTextFormattedCitation":"[2]","previouslyFormattedCitation":"[2]"},"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[2]</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{"citationItems":[{"id":"ITEM-1","itemData":{"author":[{"dropping-particle":"","family":"Morales","given":"F","non-dropping-particle":"","parse-names":false,"suffix":""},{"dropping-particle":"","family":"Paz","given":"Sergio Montserrat-de","non-dropping-particle":"","parse-names":false,"suffix":""},{"dropping-particle":"","family":"Leon","given":"Maria J","non-dropping-particle":"","parse-names":false,"suffix":""},{"dropping-particle":"","family":"Rivero-pino","given":"Fernando","non-dropping-particle":"","parse-names":false,"suffix":""}],"id":"ITEM-1","issued":{"date-parts":[["2024"]]},"page":"1-16","title":"Effects of Malnutrition on the Immune System and Infection and the Role of Nutritional Strategies Regarding Improvements in Children ’ s Health Status : A Literature Review","type":"article-journal"},"uris":["http://www.mendeley.com/documents/?uuid=1a42909e-b03f-4b8b-adac-b578c14a3c53","http://www.mendeley.com/documents/?uuid=b70f1d79-4d1f-426d-8bb2-057c18b0af0c"]}],"mendeley":{"formattedCitation":"[3]","plainTextFormattedCitation":"[3]","previouslyFormattedCitation":"[3]"},"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[3]</w:t>
      </w:r>
      <w:r w:rsidRPr="004A02C3">
        <w:rPr>
          <w:rFonts w:ascii="Arial" w:hAnsi="Arial" w:cs="Arial"/>
        </w:rPr>
        <w:fldChar w:fldCharType="end"/>
      </w:r>
      <w:r w:rsidRPr="004A02C3">
        <w:rPr>
          <w:rFonts w:ascii="Arial" w:hAnsi="Arial" w:cs="Arial"/>
        </w:rPr>
        <w:t xml:space="preserve">. Although global initiatives have reduced </w:t>
      </w:r>
      <w:r w:rsidR="009D2EE1">
        <w:rPr>
          <w:rFonts w:ascii="Arial" w:hAnsi="Arial" w:cs="Arial"/>
        </w:rPr>
        <w:t>their</w:t>
      </w:r>
      <w:r w:rsidRPr="004A02C3">
        <w:rPr>
          <w:rFonts w:ascii="Arial" w:hAnsi="Arial" w:cs="Arial"/>
        </w:rPr>
        <w:t xml:space="preserve"> burden over recent decades, malnutrition persists at unacceptably high levels, particularly in low- and middle-income countries where structural inequities, recurrent infections, and suboptimal feeding practices continue to limit child survival and growth</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{"citationItems":[{"id":"ITEM-1","itemData":{"author":[{"dropping-particle":"","family":"Compte","given":"Mireya Vilar","non-dropping-particle":"","parse-names":false,"suffix":""},{"dropping-particle":"","family":"Velázquez","given":"Natalia Rovelo","non-dropping-particle":"","parse-names":false,"suffix":""},{"dropping-particle":"","family":"Thi","given":"Hoa","non-dropping-particle":"","parse-names":false,"suffix":""},{"dropping-particle":"","family":"Nguyen","given":"Mai","non-dropping-particle":"","parse-names":false,"suffix":""},{"dropping-particle":"","family":"Mehta","given":"Michelle Ashwin","non-dropping-particle":"","parse-names":false,"suffix":""}],"id":"ITEM-1","issued":{"date-parts":[["2025"]]},"publisher":"BioMed Central","title":"Impact of nutrition and health interventions on undernutrition : an overview of systematic reviews","type":"article-journal"},"uris":["http://www.mendeley.com/documents/?uuid=0795c64f-2396-478b-bc12-7108ffec5c90","http://www.mendeley.com/documents/?uuid=7863edf4-11e0-4536-ab80-9a6cf50b25db"]}],"mendeley":{"formattedCitation":"[4]","plainTextFormattedCitation":"[4]","previouslyFormattedCitation":"[4]"},"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[4]</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author":[{"dropping-particle":"","family":"Moramarco","given":"Stefania","non-dropping-particle":"","parse-names":false,"suffix":""},{"dropping-particle":"","family":"Buonomo","given":"Ersilia","non-dropping-particle":"","parse-names":false,"suffix":""},{"dropping-particle":"","family":"Andreoli","given":"Angela","non-dropping-particle":"","parse-names":false,"suffix":""}],"id":"ITEM-1","issued":{"date-parts":[["2025"]]},"page":"1-22","title":"Tackling Global Malnutrition and Hunger in the Final Push Toward the 2030 Agenda","type":"article-journal"},"uris":["http://www.mendeley.com/documents/?uuid=0d68c4e2-ad72-4f45-943c-1fe983efda81","http://www.mendeley.com/documents/?uuid=123a4b56-be6b-4b87-8a4b-5ac250a93624"]}],"mendeley":{"formattedCitation":"[5]","plainTextFormattedCitation":"[5]","previouslyFormattedCitation":"[5]"},"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[5]</w:t>
      </w:r>
      <w:r w:rsidRPr="004A02C3">
        <w:rPr>
          <w:rFonts w:ascii="Arial" w:hAnsi="Arial" w:cs="Arial"/>
        </w:rPr>
        <w:fldChar w:fldCharType="end"/>
      </w:r>
      <w:r w:rsidRPr="004A02C3">
        <w:rPr>
          <w:rFonts w:ascii="Arial" w:hAnsi="Arial" w:cs="Arial"/>
        </w:rPr>
        <w:t xml:space="preserve"> </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Malnutrition comprises several interrelated forms. Undernutrition: measured through wasting (low weight-for-height), stunting (low height-for-age), and underweight (low weight-for-age), remains the most critical</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{"citationItems":[{"id":"ITEM-1","itemData":{"author":[{"dropping-particle":"","family":"Warssamo","given":"Birhanu Betela","non-dropping-particle":"","parse-names":false,"suffix":""},{"dropping-particle":"","family":"Belay","given":"Denekew Bitew","non-dropping-particle":"","parse-names":false,"suffix":""},{"dropping-particle":"","family":"Chen","given":"Ding-geng","non-dropping-particle":"","parse-names":false,"suffix":""}],"id":"ITEM-1","issued":{"date-parts":[["2025"]]},"page":"1-13","title":"Determinants of chronic malnutrition among under- five children in Ethiopia using simultaneous quantile regression","type":"article-journal"},"uris":["http://www.mendeley.com/documents/?uuid=eb94759f-3f63-4551-9de6-55325f9b69c4","http://www.mendeley.com/documents/?uuid=63e821b5-92d7-4db4-b9bf-b3a3506b5b27"]}],"mendeley":{"formattedCitation":"[6]","plainTextFormattedCitation":"[6]","previouslyFormattedCitation":"[6]"},"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[6]</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{"citationItems":[{"id":"ITEM-1","itemData":{"DOI":"10.1080/16070658.2025.2477900","ISSN":"1607-0658","author":[{"dropping-particle":"","family":"Emera","given":"Willy Désiré","non-dropping-particle":"","parse-names":false,"suffix":""},{"dropping-particle":"","family":"Haese","given":"Marijke D","non-dropping-particle":"","parse-names":false,"suffix":""},{"dropping-particle":"","family":"Slosse","given":"Wannes","non-dropping-particle":"","parse-names":false,"suffix":""},{"dropping-particle":"","family":"Lachat","given":"Carl","non-dropping-particle":"","parse-names":false,"suffix":""},{"dropping-particle":"","family":"Désiré","given":"Willy","non-dropping-particle":"","parse-names":false,"suffix":""},{"dropping-particle":"","family":"Haese","given":"Marijke D","non-dropping-particle":"","parse-names":false,"suffix":""},{"dropping-particle":"","family":"Slosse","given":"Wannes","non-dropping-particle":"","parse-names":false,"suffix":""},{"dropping-particle":"","family":"Lachat","given":"Carl","non-dropping-particle":"","parse-names":false,"suffix":""},{"dropping-particle":"","family":"Group","given":"Francis","non-dropping-particle":"","parse-names":false,"suffix":""},{"dropping-particle":"","family":"Désiré","given":"Willy","non-dropping-particle":"","parse-names":false,"suffix":""}],"container-title":"South African Journal of Clinical Nutrition","id":"ITEM-1","issue":"2","issued":{"date-parts":[["2025"]]},"page":"82-90","title":"Understanding the factors associated with child malnutrition in rural Burundi : experiences from the Muyinga and Ngozi provinces Understanding the factors associated with child malnutrition in rural Burundi : experiences from the Muyinga and Ngozi provinces","type":"article-journal","volume":"38"},"uris":["http://www.mendeley.com/documents/?uuid=47034220-7ff9-4b48-a61e-0c1a67a05b16","http://www.mendeley.com/documents/?uuid=99cbfcc4-a829-4b0b-b1e1-32838ada0857"]}],"mendeley":{"formattedCitation":"[7]","plainTextFormattedCitation":"[7]","previouslyFormattedCitation":"[7]"},"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[7]</w:t>
      </w:r>
      <w:r w:rsidRPr="004A02C3">
        <w:rPr>
          <w:rFonts w:ascii="Arial" w:hAnsi="Arial" w:cs="Arial"/>
        </w:rPr>
        <w:fldChar w:fldCharType="end"/>
      </w:r>
      <w:r w:rsidRPr="004A02C3">
        <w:rPr>
          <w:rFonts w:ascii="Arial" w:hAnsi="Arial" w:cs="Arial"/>
        </w:rPr>
        <w:t xml:space="preserve">. Wasting reflects acute nutritional deficits or illness and is strongly associated with elevated mortality risk. Stunting indicates chronic </w:t>
      </w:r>
      <w:r w:rsidRPr="004A02C3">
        <w:rPr>
          <w:rFonts w:ascii="Arial" w:hAnsi="Arial" w:cs="Arial"/>
        </w:rPr>
        <w:lastRenderedPageBreak/>
        <w:t>nutritional deprivation and repeated infection, leading to impaired linear growth and long-term deficits in cognitive development, educational attainment, and economic productivity. Underweight, a composite measure, reflects both chronic and acute undernutrition and signals inadequate overall nutritional status</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DOI":"10.1186/s12889-022-12875-w","ISBN":"1288902212","ISSN":"1471-2458","author":[{"dropping-particle":"","family":"Li","given":"Huixia","non-dropping-particle":"","parse-names":false,"suffix":""},{"dropping-particle":"","family":"Yuan","given":"Shan","non-dropping-particle":"","parse-names":false,"suffix":""},{"dropping-particle":"","family":"Fang","given":"Hualing","non-dropping-particle":"","parse-names":false,"suffix":""},{"dropping-particle":"","family":"Huang","given":"Guangwen","non-dropping-particle":"","parse-names":false,"suffix":""},{"dropping-particle":"","family":"Huang","given":"Qun","non-dropping-particle":"","parse-names":false,"suffix":""},{"dropping-particle":"","family":"Wang","given":"Hua","non-dropping-particle":"","parse-names":false,"suffix":""},{"dropping-particle":"","family":"Wang","given":"Aihua","non-dropping-particle":"","parse-names":false,"suffix":""}],"container-title":"BMC Public Health","id":"ITEM-1","issued":{"date-parts":[["2022"]]},"page":"1-12","publisher":"BioMed Central","title":"Prevalence and associated factors for stunting , underweight and wasting among children under 6 years of age in rural Hunan Province , China : a community-based cross-sectional study","type":"article-journal"},"uris":["http://www.mendeley.com/documents/?uuid=c652c05b-6ec3-49ad-ab60-8dc2fb742751","http://www.mendeley.com/documents/?uuid=c5117dbd-3dd8-4729-b279-027e7d747b58"]}],"mendeley":{"formattedCitation":"[8]","plainTextFormattedCitation":"[8]","previouslyFormattedCitation":"[8]"},"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[8]</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DOI":"10.23750/abm.v92i1.11346","author":[{"dropping-particle":"","family":"Soliman","given":"Ashraf","non-dropping-particle":"","parse-names":false,"suffix":""},{"dropping-particle":"De","family":"Sanctis","given":"Vincenzo","non-dropping-particle":"","parse-names":false,"suffix":""},{"dropping-particle":"","family":"Alaaraj","given":"Nada","non-dropping-particle":"","parse-names":false,"suffix":""},{"dropping-particle":"","family":"Ahmed","given":"Shayma","non-dropping-particle":"","parse-names":false,"suffix":""},{"dropping-particle":"","family":"Alyafei","given":"Fawziya","non-dropping-particle":"","parse-names":false,"suffix":""},{"dropping-particle":"","family":"Hamed","given":"Noor","non-dropping-particle":"","parse-names":false,"suffix":""},{"dropping-particle":"","family":"Soliman","given":"Nada","non-dropping-particle":"","parse-names":false,"suffix":""}],"id":"ITEM-1","issue":"4","issued":{"date-parts":[["2021"]]},"page":"1-12","title":"Early and Long-term Consequences of Nutritional Stunting : From Childhood to Adulthood","type":"article-journal","volume":"92"},"uris":["http://www.mendeley.com/documents/?uuid=df933a02-0dd7-4ded-a9c7-74b68f08b87f","http://www.mendeley.com/documents/?uuid=da25f615-1723-4481-8295-74aafa7f00e4"]}],"mendeley":{"formattedCitation":"[9]","plainTextFormattedCitation":"[9]","previouslyFormattedCitation":"[9]"},"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[9]</w:t>
      </w:r>
      <w:r w:rsidRPr="004A02C3">
        <w:rPr>
          <w:rFonts w:ascii="Arial" w:hAnsi="Arial" w:cs="Arial"/>
        </w:rPr>
        <w:fldChar w:fldCharType="end"/>
      </w:r>
      <w:r w:rsidRPr="004A02C3">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Maternal education has consistently emerged as a powerful determinant of child nutritional outcomes. Globally, children born to mothers without formal education are twice as likely to be stunted compared with those whose mothers completed secondary education</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DOI":"10.1016/j.eclinm.2024.102574","ISSN":"2589-5370","author":[{"dropping-particle":"","family":"Rezaeizadeh","given":"Golnaz","non-dropping-particle":"","parse-names":false,"suffix":""},{"dropping-particle":"","family":"Mansournia","given":"Ali","non-dropping-particle":"","parse-names":false,"suffix":""},{"dropping-particle":"","family":"Keshtkar","given":"Abbasali","non-dropping-particle":"","parse-names":false,"suffix":""},{"dropping-particle":"","family":"Farahani","given":"Zahra","non-dropping-particle":"","parse-names":false,"suffix":""},{"dropping-particle":"","family":"Zarepour","given":"Fatemeh","non-dropping-particle":"","parse-names":false,"suffix":""},{"dropping-particle":"","family":"Sharafkhah","given":"Maryam","non-dropping-particle":"","parse-names":false,"suffix":""}],"container-title":"eClinicalMedicine","id":"ITEM-1","issued":{"date-parts":[["2024"]]},"page":"102574","publisher":"The Author(s)","title":"Articles Maternal education and its in fl uence on child growth and nutritional status during the fi rst two years of life : a systematic review and meta-analysis","type":"article-journal","volume":"71"},"uris":["http://www.mendeley.com/documents/?uuid=a2f53a13-a08e-4e93-bb25-b4c90bacb9ab","http://www.mendeley.com/documents/?uuid=ffdebd41-00f9-4114-9c1f-ef36a00388d6"]}],"mendeley":{"formattedCitation":"[10]","plainTextFormattedCitation":"[10]","previouslyFormattedCitation":"[10]"},"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[10]</w:t>
      </w:r>
      <w:r w:rsidRPr="004A02C3">
        <w:rPr>
          <w:rFonts w:ascii="Arial" w:hAnsi="Arial" w:cs="Arial"/>
        </w:rPr>
        <w:fldChar w:fldCharType="end"/>
      </w:r>
      <w:r w:rsidRPr="004A02C3">
        <w:rPr>
          <w:rFonts w:ascii="Arial" w:hAnsi="Arial" w:cs="Arial"/>
        </w:rPr>
        <w:t xml:space="preserve">. Feeding practices further shape early nutritional status. Despite robust evidence that exclusive breastfeeding during the first six months can reduce child mortality </w:t>
      </w:r>
      <w:r w:rsidR="009D2EE1">
        <w:rPr>
          <w:rFonts w:ascii="Arial" w:hAnsi="Arial" w:cs="Arial"/>
        </w:rPr>
        <w:t xml:space="preserve">in infants worldwide who </w:t>
      </w:r>
      <w:r w:rsidRPr="004A02C3">
        <w:rPr>
          <w:rFonts w:ascii="Arial" w:hAnsi="Arial" w:cs="Arial"/>
        </w:rPr>
        <w:t>receive exclusive breastfeeding</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{"citationItems":[{"id":"ITEM-1","itemData":{"author":[{"dropping-particle":"","family":"Orczyk-pawiłowicz","given":"Magdalena","non-dropping-particle":"","parse-names":false,"suffix":""}],"id":"ITEM-1","issued":{"date-parts":[["2024"]]},"title":"Breastfeeding Beyond Six Months : Evidence of Child Health Benefits","type":"article-journal"},"uris":["http://www.mendeley.com/documents/?uuid=55868656-1a55-4361-9695-591d4c9f20d0","http://www.mendeley.com/documents/?uuid=a163bea0-3b6e-493f-b143-284796034c9b"]}],"mendeley":{"formattedCitation":"[11]","plainTextFormattedCitation":"[11]","previouslyFormattedCitation":"[11]"},"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[11]</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{"citationItems":[{"id":"ITEM-1","itemData":{"author":[{"dropping-particle":"","family":"Maternal","given":"International","non-dropping-particle":"","parse-names":false,"suffix":""}],"id":"ITEM-1","issued":{"date-parts":[["2021"]]},"title":"The association between exclusive breastfeeding and nutritional status among infants under six months of age in Bangladesh A secondary analysis of Bangladesh Demographic and Health Survey , Kadira Aktar Master ’ s Degree Project in Global Health , 30 credits , Spring 2021 . International Maternal and Child Health ( IMCH ) Department of Women ’ s and Children ’ s Health Supervisor : Shirin Ziaei","type":"article-journal"},"uris":["http://www.mendeley.com/documents/?uuid=0c5fffb4-0e9d-486a-b0b0-34945f1f9f91","http://www.mendeley.com/documents/?uuid=1e76f38d-51ea-4142-a782-faa4ef88355a"]}],"mendeley":{"formattedCitation":"[12]","plainTextFormattedCitation":"[12]","previouslyFormattedCitation":"[12]"},"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[12]</w:t>
      </w:r>
      <w:r w:rsidRPr="004A02C3">
        <w:rPr>
          <w:rFonts w:ascii="Arial" w:hAnsi="Arial" w:cs="Arial"/>
        </w:rPr>
        <w:fldChar w:fldCharType="end"/>
      </w:r>
      <w:r w:rsidRPr="004A02C3">
        <w:rPr>
          <w:rFonts w:ascii="Arial" w:hAnsi="Arial" w:cs="Arial"/>
        </w:rPr>
        <w:t xml:space="preserve">. Complementary feeding practices are equally suboptimal. In Tanzania, only 23% of children aged 6–23 months meet the minimum acceptable diet, and national stunting prevalence remains high at 32% </w:t>
      </w:r>
      <w:r w:rsidRPr="004A02C3">
        <w:rPr>
          <w:rFonts w:ascii="Arial" w:hAnsi="Arial" w:cs="Arial"/>
        </w:rPr>
        <w:fldChar w:fldCharType="begin" w:fldLock="1"/>
      </w:r>
      <w:r w:rsidR="00A62D47">
        <w:rPr>
          <w:rFonts w:ascii="Arial" w:hAnsi="Arial" w:cs="Arial"/>
        </w:rPr>
        <w:instrText>ADDIN CSL_CITATION {"citationItems":[{"id":"ITEM-1","itemData":{"author":[{"dropping-particle":"","family":"Majengo","given":"Victoria Godfrey","non-dropping-particle":"","parse-names":false,"suffix":""},{"dropping-particle":"","family":"Lumbe","given":"Arnold Gideon","non-dropping-particle":"","parse-names":false,"suffix":""}],"id":"ITEM-1","issued":{"date-parts":[["2022"]]},"title":"Complementary feeding practices and associated factors among mothers of children aged 6 to 23 months in Tanzania : A multilevel analysis of the 2022 Demographic and Health Survey","type":"article-journal"},"uris":["http://www.mendeley.com/documents/?uuid=90d3aa89-52be-4f0d-a430-b23203c2b130","http://www.mendeley.com/documents/?uuid=d104de80-c062-4fb4-9c79-932c4ae31f6c"]}],"mendeley":{"formattedCitation":"[13]","plainTextFormattedCitation":"[13]","previouslyFormattedCitation":"[13]"},"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[13]</w:t>
      </w:r>
      <w:r w:rsidRPr="004A02C3">
        <w:rPr>
          <w:rFonts w:ascii="Arial" w:hAnsi="Arial" w:cs="Arial"/>
        </w:rPr>
        <w:fldChar w:fldCharType="end"/>
      </w:r>
      <w:r w:rsidRPr="004A02C3">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Zanzibar reflects similar challenges. Like in mainland Tanzania, Zanzibar suffers from the triple burden of malnutrition: (</w:t>
      </w:r>
      <w:proofErr w:type="spellStart"/>
      <w:r w:rsidRPr="004A02C3">
        <w:rPr>
          <w:rFonts w:ascii="Arial" w:hAnsi="Arial" w:cs="Arial"/>
        </w:rPr>
        <w:t>i</w:t>
      </w:r>
      <w:proofErr w:type="spellEnd"/>
      <w:r w:rsidRPr="004A02C3">
        <w:rPr>
          <w:rFonts w:ascii="Arial" w:hAnsi="Arial" w:cs="Arial"/>
        </w:rPr>
        <w:t>) protein-energy undernutrition manifested in high levels of stunting, wasting and underweight; (ii) Micronutrient deficiencies, especially of iron, folic acid, vitamin A and iodine; and (iii) overweight/Obesity and</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{"citationItems":[{"id":"ITEM-1","itemData":{"author":[{"dropping-particle":"","family":"Strategic","given":"Nutrition","non-dropping-particle":"","parse-names":false,"suffix":""}],"id":"ITEM-1","issued":{"date-parts":[["2025"]]},"title":"NUTRITION STRATEGIC ACTION PLAN ( ZMNSAP )","type":"article-journal"},"uris":["http://www.mendeley.com/documents/?uuid=1c890648-7301-47d8-847e-44115502f98f","http://www.mendeley.com/documents/?uuid=db332db0-fa0a-4d0d-a111-b13a4c81c098"]}],"mendeley":{"formattedCitation":"[14]","plainTextFormattedCitation":"[14]","previouslyFormattedCitation":"[14]"},"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[14]</w:t>
      </w:r>
      <w:r w:rsidRPr="004A02C3">
        <w:rPr>
          <w:rFonts w:ascii="Arial" w:hAnsi="Arial" w:cs="Arial"/>
        </w:rPr>
        <w:fldChar w:fldCharType="end"/>
      </w:r>
      <w:r w:rsidRPr="004A02C3">
        <w:rPr>
          <w:rFonts w:ascii="Arial" w:hAnsi="Arial" w:cs="Arial"/>
        </w:rPr>
        <w:t>. Maternal knowledge and education gaps exacerbate these issues, limiting caregivers’ capacity to provide</w:t>
      </w:r>
      <w:r w:rsidR="00276B3B">
        <w:rPr>
          <w:rFonts w:ascii="Arial" w:hAnsi="Arial" w:cs="Arial"/>
        </w:rPr>
        <w:t xml:space="preserve"> nutritionally adequate feeding </w:t>
      </w:r>
      <w:r w:rsidRPr="004A02C3">
        <w:rPr>
          <w:rFonts w:ascii="Arial" w:hAnsi="Arial" w:cs="Arial"/>
        </w:rPr>
        <w:fldChar w:fldCharType="begin" w:fldLock="1"/>
      </w:r>
      <w:r w:rsidR="00A62D47">
        <w:rPr>
          <w:rFonts w:ascii="Arial" w:hAnsi="Arial" w:cs="Arial"/>
        </w:rPr>
        <w:instrText>ADDIN CSL_CITATION {"citationItems":[{"id":"ITEM-1","itemData":{"author":[{"dropping-particle":"","family":"Stakeholders","given":"Key","non-dropping-particle":"","parse-names":false,"suffix":""},{"dropping-particle":"","family":"Frumence","given":"Gasto","non-dropping-particle":"","parse-names":false,"suffix":""},{"dropping-particle":"","family":"Jin","given":"Yannan","non-dropping-particle":"","parse-names":false,"suffix":""},{"dropping-particle":"","family":"Kasangala","given":"Amalberga","non-dropping-particle":"","parse-names":false,"suffix":""},{"dropping-particle":"","family":"Bakar","given":"Saidah","non-dropping-particle":"","parse-names":false,"suffix":""},{"dropping-particle":"","family":"Mahiti","given":"Gladys Reuben","non-dropping-particle":"","parse-names":false,"suffix":""},{"dropping-particle":"","family":"Ochieng","given":"Bertha","non-dropping-particle":"","parse-names":false,"suffix":""}],"id":"ITEM-1","issued":{"date-parts":[["2024"]]},"page":"1-21","title":"A Systems Approach in the Prevention of Undernutrition among Children under Five in Tanzania : Perspectives from","type":"article-journal"},"uris":["http://www.mendeley.com/documents/?uuid=1be4aa0f-cd7f-4ab7-ac2e-d7a896a7a6e3","http://www.mendeley.com/documents/?uuid=71f30a73-648c-459a-ab4b-457692eb2469"]}],"mendeley":{"formattedCitation":"[15]","plainTextFormattedCitation":"[15]","previouslyFormattedCitation":"[15]"},"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[15]</w:t>
      </w:r>
      <w:r w:rsidRPr="004A02C3">
        <w:rPr>
          <w:rFonts w:ascii="Arial" w:hAnsi="Arial" w:cs="Arial"/>
        </w:rPr>
        <w:fldChar w:fldCharType="end"/>
      </w:r>
      <w:r w:rsidR="00276B3B">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Despite these insights, the interaction between maternal education, feeding practices, and child nutritional outcomes in Zanzibar </w:t>
      </w:r>
      <w:r w:rsidR="00276B3B">
        <w:rPr>
          <w:rFonts w:ascii="Arial" w:hAnsi="Arial" w:cs="Arial"/>
        </w:rPr>
        <w:t xml:space="preserve">remains insufficiently explored </w:t>
      </w:r>
      <w:r w:rsidRPr="004A02C3">
        <w:rPr>
          <w:rFonts w:ascii="Arial" w:hAnsi="Arial" w:cs="Arial"/>
        </w:rPr>
        <w:fldChar w:fldCharType="begin" w:fldLock="1"/>
      </w:r>
      <w:r w:rsidR="00A62D47">
        <w:rPr>
          <w:rFonts w:ascii="Arial" w:hAnsi="Arial" w:cs="Arial"/>
        </w:rPr>
        <w:instrText>ADDIN CSL_CITATION {"citationItems":[{"id":"ITEM-1","itemData":{"author":[{"dropping-particle":"","family":"Ika","given":"S E R","non-dropping-particle":"","parse-names":false,"suffix":""}],"id":"ITEM-1","issued":{"date-parts":[["2020"]]},"title":"The State of Zanzibar ’ s Children Evidence from the Zanzibar Household Budget Surveys ( 2010 – 2020 )","type":"article-journal"},"uris":["http://www.mendeley.com/documents/?uuid=720699d8-36fb-4d34-bbcd-4a8da05fee81","http://www.mendeley.com/documents/?uuid=80c7c7ab-b7e7-49c0-9bb3-03a3cfe0a904"]}],"mendeley":{"formattedCitation":"[16]","plainTextFormattedCitation":"[16]","previouslyFormattedCitation":"[16]"},"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[16]</w:t>
      </w:r>
      <w:r w:rsidRPr="004A02C3">
        <w:rPr>
          <w:rFonts w:ascii="Arial" w:hAnsi="Arial" w:cs="Arial"/>
        </w:rPr>
        <w:fldChar w:fldCharType="end"/>
      </w:r>
      <w:r w:rsidR="00276B3B">
        <w:rPr>
          <w:rFonts w:ascii="Arial" w:hAnsi="Arial" w:cs="Arial"/>
        </w:rPr>
        <w:t>.</w:t>
      </w:r>
      <w:r w:rsidRPr="004A02C3">
        <w:rPr>
          <w:rFonts w:ascii="Arial" w:hAnsi="Arial" w:cs="Arial"/>
        </w:rPr>
        <w:t xml:space="preserve"> Persistently high rates of stunting, wasting, and underweight indicate ongoing gaps in prevention </w:t>
      </w:r>
      <w:r w:rsidR="00276B3B">
        <w:rPr>
          <w:rFonts w:ascii="Arial" w:hAnsi="Arial" w:cs="Arial"/>
        </w:rPr>
        <w:t xml:space="preserve">and care </w:t>
      </w:r>
      <w:r w:rsidRPr="004A02C3">
        <w:rPr>
          <w:rFonts w:ascii="Arial" w:hAnsi="Arial" w:cs="Arial"/>
        </w:rPr>
        <w:fldChar w:fldCharType="begin" w:fldLock="1"/>
      </w:r>
      <w:r w:rsidR="00A62D47">
        <w:rPr>
          <w:rFonts w:ascii="Arial" w:hAnsi="Arial" w:cs="Arial"/>
        </w:rPr>
        <w:instrText>ADDIN CSL_CITATION {"citationItems":[{"id":"ITEM-1","itemData":{"author":[{"dropping-particle":"","family":"Healthy","given":"Nutrition F O R A","non-dropping-particle":"","parse-names":false,"suffix":""},{"dropping-particle":"","family":"Zanzibar","given":"Wealthy","non-dropping-particle":"","parse-names":false,"suffix":""}],"id":"ITEM-1","issued":{"date-parts":[["2025"]]},"title":"ZANZIBAR MULTISECTORAL NUTRITION STRATEGIC ACTION PLAN ( ZMNSAP )","type":"article-journal"},"uris":["http://www.mendeley.com/documents/?uuid=ea8c76ab-7bc0-47e1-81d1-61bf8d627355","http://www.mendeley.com/documents/?uuid=89f3a290-2db1-4758-a34b-5acf6ec5930e"]}],"mendeley":{"formattedCitation":"[17]","plainTextFormattedCitation":"[17]","previouslyFormattedCitation":"[17]"},"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[17]</w:t>
      </w:r>
      <w:r w:rsidRPr="004A02C3">
        <w:rPr>
          <w:rFonts w:ascii="Arial" w:hAnsi="Arial" w:cs="Arial"/>
        </w:rPr>
        <w:fldChar w:fldCharType="end"/>
      </w:r>
      <w:r w:rsidR="00276B3B">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This study aims to address these gaps by examining the relationship </w:t>
      </w:r>
      <w:r w:rsidR="009D2EE1">
        <w:rPr>
          <w:rFonts w:ascii="Arial" w:hAnsi="Arial" w:cs="Arial"/>
        </w:rPr>
        <w:t xml:space="preserve">among maternal education, feeding practices, and nutritional status among children under five years of age </w:t>
      </w:r>
      <w:r w:rsidRPr="004A02C3">
        <w:rPr>
          <w:rFonts w:ascii="Arial" w:hAnsi="Arial" w:cs="Arial"/>
        </w:rPr>
        <w:t xml:space="preserve">attending </w:t>
      </w:r>
      <w:proofErr w:type="spellStart"/>
      <w:r w:rsidRPr="004A02C3">
        <w:rPr>
          <w:rFonts w:ascii="Arial" w:hAnsi="Arial" w:cs="Arial"/>
        </w:rPr>
        <w:t>Ijitimai</w:t>
      </w:r>
      <w:proofErr w:type="spellEnd"/>
      <w:r w:rsidRPr="004A02C3">
        <w:rPr>
          <w:rFonts w:ascii="Arial" w:hAnsi="Arial" w:cs="Arial"/>
        </w:rPr>
        <w:t xml:space="preserve"> District Hospital.</w:t>
      </w:r>
    </w:p>
    <w:p w:rsidR="00F01DDE" w:rsidRPr="00164506" w:rsidRDefault="00F01DDE" w:rsidP="00F01DDE">
      <w:pPr>
        <w:pStyle w:val="Heading3"/>
        <w:spacing w:line="360" w:lineRule="auto"/>
        <w:jc w:val="both"/>
        <w:rPr>
          <w:rFonts w:ascii="Arial" w:hAnsi="Arial" w:cs="Arial"/>
          <w:color w:val="auto"/>
        </w:rPr>
      </w:pPr>
      <w:r w:rsidRPr="00164506">
        <w:rPr>
          <w:rStyle w:val="Strong"/>
          <w:rFonts w:ascii="Arial" w:hAnsi="Arial" w:cs="Arial"/>
          <w:b w:val="0"/>
          <w:bCs w:val="0"/>
          <w:color w:val="auto"/>
        </w:rPr>
        <w:lastRenderedPageBreak/>
        <w:t>Objectives</w:t>
      </w:r>
    </w:p>
    <w:p w:rsidR="00F01DDE" w:rsidRPr="004A02C3" w:rsidRDefault="00F01DDE" w:rsidP="00F01DDE">
      <w:pPr>
        <w:pStyle w:val="NormalWeb"/>
        <w:numPr>
          <w:ilvl w:val="0"/>
          <w:numId w:val="5"/>
        </w:numPr>
        <w:spacing w:line="360" w:lineRule="auto"/>
        <w:jc w:val="both"/>
        <w:rPr>
          <w:rFonts w:ascii="Arial" w:hAnsi="Arial" w:cs="Arial"/>
        </w:rPr>
      </w:pPr>
      <w:r w:rsidRPr="004A02C3">
        <w:rPr>
          <w:rStyle w:val="Strong"/>
          <w:rFonts w:ascii="Arial" w:hAnsi="Arial" w:cs="Arial"/>
          <w:b w:val="0"/>
        </w:rPr>
        <w:t xml:space="preserve">To assess feeding practices among mothers of children under five attending </w:t>
      </w:r>
      <w:proofErr w:type="spellStart"/>
      <w:r w:rsidRPr="004A02C3">
        <w:rPr>
          <w:rStyle w:val="Strong"/>
          <w:rFonts w:ascii="Arial" w:hAnsi="Arial" w:cs="Arial"/>
          <w:b w:val="0"/>
        </w:rPr>
        <w:t>Ijitimai</w:t>
      </w:r>
      <w:proofErr w:type="spellEnd"/>
      <w:r w:rsidRPr="004A02C3">
        <w:rPr>
          <w:rStyle w:val="Strong"/>
          <w:rFonts w:ascii="Arial" w:hAnsi="Arial" w:cs="Arial"/>
          <w:b w:val="0"/>
        </w:rPr>
        <w:t xml:space="preserve"> District Hospital.</w:t>
      </w:r>
    </w:p>
    <w:p w:rsidR="00F01DDE" w:rsidRPr="004A02C3" w:rsidRDefault="00F01DDE" w:rsidP="00F01DDE">
      <w:pPr>
        <w:pStyle w:val="NormalWeb"/>
        <w:numPr>
          <w:ilvl w:val="0"/>
          <w:numId w:val="5"/>
        </w:numPr>
        <w:spacing w:line="360" w:lineRule="auto"/>
        <w:jc w:val="both"/>
        <w:rPr>
          <w:rFonts w:ascii="Arial" w:hAnsi="Arial" w:cs="Arial"/>
        </w:rPr>
      </w:pPr>
      <w:r w:rsidRPr="004A02C3">
        <w:rPr>
          <w:rStyle w:val="Strong"/>
          <w:rFonts w:ascii="Arial" w:hAnsi="Arial" w:cs="Arial"/>
          <w:b w:val="0"/>
        </w:rPr>
        <w:t>To evaluate maternal knowledge and education on child nutrition and their influence on feeding practices.</w:t>
      </w:r>
    </w:p>
    <w:p w:rsidR="00F01DDE" w:rsidRPr="004A02C3" w:rsidRDefault="00F01DDE" w:rsidP="00F01DDE">
      <w:pPr>
        <w:spacing w:line="360" w:lineRule="auto"/>
        <w:rPr>
          <w:rFonts w:ascii="Arial" w:hAnsi="Arial" w:cs="Arial"/>
          <w:sz w:val="24"/>
          <w:szCs w:val="24"/>
        </w:rPr>
      </w:pPr>
    </w:p>
    <w:p w:rsidR="00F01DDE" w:rsidRPr="00164506" w:rsidRDefault="00F01DDE" w:rsidP="00F61D00">
      <w:pPr>
        <w:pStyle w:val="Heading1"/>
        <w:spacing w:line="360" w:lineRule="auto"/>
        <w:jc w:val="both"/>
        <w:rPr>
          <w:rFonts w:ascii="Arial" w:hAnsi="Arial" w:cs="Arial"/>
          <w:color w:val="auto"/>
          <w:sz w:val="24"/>
          <w:szCs w:val="24"/>
        </w:rPr>
      </w:pPr>
      <w:r>
        <w:rPr>
          <w:rStyle w:val="Strong"/>
          <w:rFonts w:ascii="Arial" w:hAnsi="Arial" w:cs="Arial"/>
          <w:b w:val="0"/>
          <w:bCs w:val="0"/>
          <w:color w:val="auto"/>
          <w:sz w:val="24"/>
          <w:szCs w:val="24"/>
        </w:rPr>
        <w:t>Methods:</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This study employed a facility-based cross-sectional design to assess the relationship between maternal feeding practices, sociodemographic characteristics, and malnutrition among children under </w:t>
      </w:r>
      <w:r w:rsidR="009D2EE1">
        <w:rPr>
          <w:rFonts w:ascii="Arial" w:hAnsi="Arial" w:cs="Arial"/>
        </w:rPr>
        <w:t>5 years of age</w:t>
      </w:r>
      <w:r w:rsidRPr="004A02C3">
        <w:rPr>
          <w:rFonts w:ascii="Arial" w:hAnsi="Arial" w:cs="Arial"/>
        </w:rPr>
        <w:t xml:space="preserve">. Data were collected at a single time point from mothers and primary caregivers attending the </w:t>
      </w:r>
      <w:proofErr w:type="spellStart"/>
      <w:r w:rsidRPr="004A02C3">
        <w:rPr>
          <w:rFonts w:ascii="Arial" w:hAnsi="Arial" w:cs="Arial"/>
        </w:rPr>
        <w:t>Paediatrics</w:t>
      </w:r>
      <w:proofErr w:type="spellEnd"/>
      <w:r w:rsidRPr="004A02C3">
        <w:rPr>
          <w:rFonts w:ascii="Arial" w:hAnsi="Arial" w:cs="Arial"/>
        </w:rPr>
        <w:t xml:space="preserve"> Ward of </w:t>
      </w:r>
      <w:proofErr w:type="spellStart"/>
      <w:r w:rsidRPr="004A02C3">
        <w:rPr>
          <w:rFonts w:ascii="Arial" w:hAnsi="Arial" w:cs="Arial"/>
        </w:rPr>
        <w:t>Ijitimai</w:t>
      </w:r>
      <w:proofErr w:type="spellEnd"/>
      <w:r w:rsidRPr="004A02C3">
        <w:rPr>
          <w:rFonts w:ascii="Arial" w:hAnsi="Arial" w:cs="Arial"/>
        </w:rPr>
        <w:t xml:space="preserve"> District Hospital, a public district facility located in </w:t>
      </w:r>
      <w:proofErr w:type="spellStart"/>
      <w:r w:rsidRPr="004A02C3">
        <w:rPr>
          <w:rFonts w:ascii="Arial" w:hAnsi="Arial" w:cs="Arial"/>
        </w:rPr>
        <w:t>Mwanakwerekwe</w:t>
      </w:r>
      <w:proofErr w:type="spellEnd"/>
      <w:r w:rsidRPr="004A02C3">
        <w:rPr>
          <w:rFonts w:ascii="Arial" w:hAnsi="Arial" w:cs="Arial"/>
        </w:rPr>
        <w:t xml:space="preserve">, Zanzibar. The target population consisted of caregivers of children under </w:t>
      </w:r>
      <w:r w:rsidR="009D2EE1">
        <w:rPr>
          <w:rFonts w:ascii="Arial" w:hAnsi="Arial" w:cs="Arial"/>
        </w:rPr>
        <w:t xml:space="preserve">5 years of age </w:t>
      </w:r>
      <w:r w:rsidRPr="004A02C3">
        <w:rPr>
          <w:rFonts w:ascii="Arial" w:hAnsi="Arial" w:cs="Arial"/>
        </w:rPr>
        <w:t xml:space="preserve">seeking </w:t>
      </w:r>
      <w:proofErr w:type="spellStart"/>
      <w:r w:rsidRPr="004A02C3">
        <w:rPr>
          <w:rFonts w:ascii="Arial" w:hAnsi="Arial" w:cs="Arial"/>
        </w:rPr>
        <w:t>paediatric</w:t>
      </w:r>
      <w:proofErr w:type="spellEnd"/>
      <w:r w:rsidRPr="004A02C3">
        <w:rPr>
          <w:rFonts w:ascii="Arial" w:hAnsi="Arial" w:cs="Arial"/>
        </w:rPr>
        <w:t xml:space="preserve"> services during the study period. A minimum sample size of 96 participants was calculated using the Fisher formula for single-proportion estimates, based on a malnutrition prevalence of 6.7%, a 95% confidence level, and a 5% margin of error.</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The study considered maternal education, feeding practices, and </w:t>
      </w:r>
      <w:r w:rsidR="009D2EE1">
        <w:rPr>
          <w:rFonts w:ascii="Arial" w:hAnsi="Arial" w:cs="Arial"/>
        </w:rPr>
        <w:t>socioeconomic status as independent variables, while the child's nutritional status</w:t>
      </w:r>
      <w:r w:rsidRPr="004A02C3">
        <w:rPr>
          <w:rFonts w:ascii="Arial" w:hAnsi="Arial" w:cs="Arial"/>
        </w:rPr>
        <w:t>, classified according to WHO criteria, served as the dependent variable. Eligible participants were mothers or primary caregivers, including fathers or grandparents, who provided informed consent and were directly involved in the child’s daily care and feeding. Caregivers of children older than five years and individuals unable or unwilling to give informed consent due to language or cognitive barriers were excluded.</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Participants were recruited using convenience sampling, whereby eligible caregivers presenting to the </w:t>
      </w:r>
      <w:proofErr w:type="spellStart"/>
      <w:r w:rsidRPr="004A02C3">
        <w:rPr>
          <w:rFonts w:ascii="Arial" w:hAnsi="Arial" w:cs="Arial"/>
        </w:rPr>
        <w:t>Paediatrics</w:t>
      </w:r>
      <w:proofErr w:type="spellEnd"/>
      <w:r w:rsidRPr="004A02C3">
        <w:rPr>
          <w:rFonts w:ascii="Arial" w:hAnsi="Arial" w:cs="Arial"/>
        </w:rPr>
        <w:t xml:space="preserve"> Ward were consecutively invited to participate. Data were collected through a structured, interviewer-administered questionnaire designed to capture sociodemographic details, maternal feeding practices, and child nutritional </w:t>
      </w:r>
      <w:r w:rsidRPr="004A02C3">
        <w:rPr>
          <w:rFonts w:ascii="Arial" w:hAnsi="Arial" w:cs="Arial"/>
        </w:rPr>
        <w:lastRenderedPageBreak/>
        <w:t>indicators. The questionnaire consisted of clear, closed-ended items to promote accuracy and consistency in responses. Trained data collectors administered the tool using standardized procedures.</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Data analysis was conducted using SPSS version 23. Descriptive statistics, including frequencies, percentages, and means, were used to </w:t>
      </w:r>
      <w:r w:rsidR="009D2EE1">
        <w:rPr>
          <w:rFonts w:ascii="Arial" w:hAnsi="Arial" w:cs="Arial"/>
        </w:rPr>
        <w:t>summarize participant characteristics and the prevalence of malnutrition</w:t>
      </w:r>
      <w:r w:rsidRPr="004A02C3">
        <w:rPr>
          <w:rFonts w:ascii="Arial" w:hAnsi="Arial" w:cs="Arial"/>
        </w:rPr>
        <w:t>. Associations between maternal factors and child nutritional status were assessed using chi-square or likelihood-ratio chi-square tests, with statistical significance set at p &lt; 0.05. Ethical approval for the study was obtained from the Zanzibar Health Research Institute, and permission to conduct the research was granted by the School of Health and Medical Sciences at the State University of Zanzibar. Written informed consent was obtained from all participants, and confidentiality was maintained by omitting personal identifiers and securely storing all data.</w:t>
      </w:r>
    </w:p>
    <w:p w:rsidR="00F01DDE" w:rsidRPr="00410C5A" w:rsidRDefault="00F01DDE" w:rsidP="00F61D00">
      <w:pPr>
        <w:pStyle w:val="Heading1"/>
        <w:spacing w:line="360" w:lineRule="auto"/>
        <w:jc w:val="both"/>
        <w:rPr>
          <w:rFonts w:ascii="Arial" w:hAnsi="Arial" w:cs="Arial"/>
          <w:bCs/>
          <w:color w:val="000000"/>
          <w:sz w:val="24"/>
          <w:szCs w:val="24"/>
        </w:rPr>
      </w:pPr>
      <w:r>
        <w:rPr>
          <w:rFonts w:ascii="Arial" w:hAnsi="Arial" w:cs="Arial"/>
          <w:bCs/>
          <w:color w:val="000000"/>
          <w:sz w:val="24"/>
          <w:szCs w:val="24"/>
        </w:rPr>
        <w:t>R</w:t>
      </w:r>
      <w:r w:rsidRPr="00410C5A">
        <w:rPr>
          <w:rFonts w:ascii="Arial" w:hAnsi="Arial" w:cs="Arial"/>
          <w:bCs/>
          <w:color w:val="000000"/>
          <w:sz w:val="24"/>
          <w:szCs w:val="24"/>
        </w:rPr>
        <w:t>esult</w:t>
      </w:r>
      <w:bookmarkEnd w:id="2"/>
      <w:r w:rsidRPr="00410C5A">
        <w:rPr>
          <w:rFonts w:ascii="Arial" w:hAnsi="Arial" w:cs="Arial"/>
          <w:bCs/>
          <w:color w:val="000000"/>
          <w:sz w:val="24"/>
          <w:szCs w:val="24"/>
        </w:rPr>
        <w:t>s</w:t>
      </w:r>
    </w:p>
    <w:p w:rsidR="00F01DDE" w:rsidRPr="00410C5A" w:rsidRDefault="00F01DDE" w:rsidP="00F61D00">
      <w:pPr>
        <w:pStyle w:val="Heading1"/>
        <w:spacing w:line="360" w:lineRule="auto"/>
        <w:jc w:val="both"/>
        <w:rPr>
          <w:rFonts w:ascii="Arial" w:hAnsi="Arial" w:cs="Arial"/>
          <w:i/>
          <w:sz w:val="24"/>
          <w:szCs w:val="24"/>
        </w:rPr>
      </w:pPr>
      <w:r w:rsidRPr="004A02C3">
        <w:rPr>
          <w:rFonts w:ascii="Arial" w:hAnsi="Arial" w:cs="Arial"/>
          <w:color w:val="000000"/>
          <w:sz w:val="24"/>
          <w:szCs w:val="24"/>
        </w:rPr>
        <w:t xml:space="preserve"> </w:t>
      </w:r>
      <w:r w:rsidRPr="00410C5A">
        <w:rPr>
          <w:rStyle w:val="Strong"/>
          <w:rFonts w:ascii="Arial" w:hAnsi="Arial" w:cs="Arial"/>
          <w:b w:val="0"/>
          <w:bCs w:val="0"/>
          <w:i/>
          <w:color w:val="auto"/>
          <w:sz w:val="24"/>
          <w:szCs w:val="24"/>
        </w:rPr>
        <w:t>Sociodemographic Characteristics of Respondents</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A total of 96 caregivers participated in the study. Most of the res</w:t>
      </w:r>
      <w:r>
        <w:rPr>
          <w:rFonts w:ascii="Arial" w:hAnsi="Arial" w:cs="Arial"/>
        </w:rPr>
        <w:t>p</w:t>
      </w:r>
      <w:r w:rsidRPr="004A02C3">
        <w:rPr>
          <w:rFonts w:ascii="Arial" w:hAnsi="Arial" w:cs="Arial"/>
        </w:rPr>
        <w:t>ondents were female (64.6%), while males accounted for 35.4%. Regarding maternal education, over half of the mothers (52.1%) had attained secondary education, whereas 21.9% had primary education, 16.7% had no formal education, and only 9.4% had higher education.</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The majority of respondents were married (94.8%), with only a small proportion reporting being single (4.2%) or divorced (1.0%). In terms of occupation, slightly more than half of the mothers were unemployed (52.1%), while 42.7% were self-employed and 5.2% were formally employed.</w:t>
      </w:r>
    </w:p>
    <w:p w:rsidR="00F01DDE" w:rsidRPr="004A02C3" w:rsidRDefault="00F01DDE" w:rsidP="00F61D00">
      <w:pPr>
        <w:pStyle w:val="NormalWeb"/>
        <w:spacing w:line="360" w:lineRule="auto"/>
        <w:jc w:val="both"/>
        <w:rPr>
          <w:rFonts w:ascii="Arial" w:hAnsi="Arial" w:cs="Arial"/>
        </w:rPr>
      </w:pPr>
      <w:r w:rsidRPr="00410C5A">
        <w:rPr>
          <w:rStyle w:val="Strong"/>
          <w:rFonts w:ascii="Arial" w:hAnsi="Arial" w:cs="Arial"/>
          <w:b w:val="0"/>
        </w:rPr>
        <w:t>Overall, the demographic profile indicates that respondents were predominantly married women with secondary education and limited formal employment</w:t>
      </w:r>
      <w:r w:rsidRPr="004A02C3">
        <w:rPr>
          <w:rFonts w:ascii="Arial" w:hAnsi="Arial" w:cs="Arial"/>
        </w:rPr>
        <w:t>, which may have implications for household income and access to nutrition information.</w:t>
      </w:r>
    </w:p>
    <w:p w:rsidR="00F01DDE" w:rsidRPr="004A02C3" w:rsidRDefault="00F01DDE" w:rsidP="00F01DDE">
      <w:pPr>
        <w:spacing w:line="360" w:lineRule="auto"/>
        <w:rPr>
          <w:rFonts w:ascii="Arial" w:hAnsi="Arial" w:cs="Arial"/>
          <w:color w:val="000000"/>
          <w:sz w:val="24"/>
          <w:szCs w:val="24"/>
        </w:rPr>
      </w:pPr>
    </w:p>
    <w:p w:rsidR="00F01DDE" w:rsidRPr="004A02C3" w:rsidRDefault="00F01DDE" w:rsidP="00F01DDE">
      <w:pPr>
        <w:spacing w:line="360" w:lineRule="auto"/>
        <w:jc w:val="both"/>
        <w:rPr>
          <w:rFonts w:ascii="Arial" w:hAnsi="Arial" w:cs="Arial"/>
          <w:b/>
          <w:color w:val="000000"/>
          <w:sz w:val="24"/>
          <w:szCs w:val="24"/>
        </w:rPr>
      </w:pPr>
      <w:bookmarkStart w:id="3" w:name="_Toc183254846"/>
      <w:bookmarkEnd w:id="3"/>
      <w:r w:rsidRPr="004A02C3">
        <w:rPr>
          <w:rStyle w:val="Strong"/>
          <w:rFonts w:ascii="Arial" w:hAnsi="Arial" w:cs="Arial"/>
          <w:bCs w:val="0"/>
          <w:sz w:val="24"/>
          <w:szCs w:val="24"/>
        </w:rPr>
        <w:lastRenderedPageBreak/>
        <w:t>Table</w:t>
      </w:r>
      <w:r w:rsidR="009D2EE1">
        <w:rPr>
          <w:rStyle w:val="Strong"/>
          <w:rFonts w:ascii="Arial" w:hAnsi="Arial" w:cs="Arial"/>
          <w:bCs w:val="0"/>
          <w:sz w:val="24"/>
          <w:szCs w:val="24"/>
        </w:rPr>
        <w:t xml:space="preserve"> 1: Demographic Characteristics of Respondents (N = 96) children</w:t>
      </w:r>
      <w:r w:rsidR="00276B3B">
        <w:rPr>
          <w:rFonts w:ascii="Arial" w:hAnsi="Arial" w:cs="Arial"/>
          <w:b/>
          <w:color w:val="000000"/>
          <w:sz w:val="24"/>
          <w:szCs w:val="24"/>
        </w:rPr>
        <w:t xml:space="preserve"> under five</w:t>
      </w:r>
      <w:r w:rsidRPr="004A02C3">
        <w:rPr>
          <w:rFonts w:ascii="Arial" w:hAnsi="Arial" w:cs="Arial"/>
          <w:b/>
          <w:color w:val="000000"/>
          <w:sz w:val="24"/>
          <w:szCs w:val="24"/>
        </w:rPr>
        <w:t xml:space="preserve"> years old at </w:t>
      </w:r>
      <w:proofErr w:type="spellStart"/>
      <w:r w:rsidRPr="004A02C3">
        <w:rPr>
          <w:rFonts w:ascii="Arial" w:hAnsi="Arial" w:cs="Arial"/>
          <w:b/>
          <w:color w:val="000000"/>
          <w:sz w:val="24"/>
          <w:szCs w:val="24"/>
        </w:rPr>
        <w:t>Jitimai</w:t>
      </w:r>
      <w:proofErr w:type="spellEnd"/>
      <w:r w:rsidRPr="004A02C3">
        <w:rPr>
          <w:rFonts w:ascii="Arial" w:hAnsi="Arial" w:cs="Arial"/>
          <w:b/>
          <w:color w:val="000000"/>
          <w:sz w:val="24"/>
          <w:szCs w:val="24"/>
        </w:rPr>
        <w:t xml:space="preserve"> District Hospital</w:t>
      </w:r>
      <w:r w:rsidR="009D2EE1">
        <w:rPr>
          <w:rFonts w:ascii="Arial" w:hAnsi="Arial" w:cs="Arial"/>
          <w:b/>
          <w:color w:val="000000"/>
          <w:sz w:val="24"/>
          <w:szCs w:val="24"/>
        </w:rPr>
        <w:t xml:space="preserve">, Zanzibar </w:t>
      </w:r>
    </w:p>
    <w:p w:rsidR="00F01DDE" w:rsidRPr="004A02C3" w:rsidRDefault="00F01DDE" w:rsidP="00F01DDE">
      <w:pPr>
        <w:pStyle w:val="Heading2"/>
        <w:spacing w:line="360" w:lineRule="auto"/>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6"/>
        <w:gridCol w:w="1667"/>
        <w:gridCol w:w="1829"/>
      </w:tblGrid>
      <w:tr w:rsidR="00F01DDE" w:rsidRPr="004A02C3" w:rsidTr="009D2EE1">
        <w:trPr>
          <w:tblHeader/>
          <w:tblCellSpacing w:w="15" w:type="dxa"/>
        </w:trPr>
        <w:tc>
          <w:tcPr>
            <w:tcW w:w="0" w:type="auto"/>
            <w:vAlign w:val="center"/>
            <w:hideMark/>
          </w:tcPr>
          <w:p w:rsidR="00F01DDE" w:rsidRPr="004A02C3" w:rsidRDefault="00F01DDE" w:rsidP="009D2EE1">
            <w:pPr>
              <w:spacing w:line="360" w:lineRule="auto"/>
              <w:jc w:val="center"/>
              <w:rPr>
                <w:rFonts w:ascii="Arial" w:hAnsi="Arial" w:cs="Arial"/>
                <w:b/>
                <w:bCs/>
                <w:sz w:val="24"/>
                <w:szCs w:val="24"/>
              </w:rPr>
            </w:pPr>
            <w:r w:rsidRPr="004A02C3">
              <w:rPr>
                <w:rStyle w:val="Strong"/>
                <w:rFonts w:ascii="Arial" w:hAnsi="Arial" w:cs="Arial"/>
                <w:sz w:val="24"/>
                <w:szCs w:val="24"/>
              </w:rPr>
              <w:t>Item</w:t>
            </w:r>
          </w:p>
        </w:tc>
        <w:tc>
          <w:tcPr>
            <w:tcW w:w="0" w:type="auto"/>
            <w:vAlign w:val="center"/>
            <w:hideMark/>
          </w:tcPr>
          <w:p w:rsidR="00F01DDE" w:rsidRPr="004A02C3" w:rsidRDefault="00F01DDE" w:rsidP="009D2EE1">
            <w:pPr>
              <w:spacing w:line="360" w:lineRule="auto"/>
              <w:jc w:val="center"/>
              <w:rPr>
                <w:rFonts w:ascii="Arial" w:hAnsi="Arial" w:cs="Arial"/>
                <w:b/>
                <w:bCs/>
                <w:sz w:val="24"/>
                <w:szCs w:val="24"/>
              </w:rPr>
            </w:pPr>
            <w:r w:rsidRPr="004A02C3">
              <w:rPr>
                <w:rStyle w:val="Strong"/>
                <w:rFonts w:ascii="Arial" w:hAnsi="Arial" w:cs="Arial"/>
                <w:sz w:val="24"/>
                <w:szCs w:val="24"/>
              </w:rPr>
              <w:t>Frequency (n)</w:t>
            </w:r>
          </w:p>
        </w:tc>
        <w:tc>
          <w:tcPr>
            <w:tcW w:w="0" w:type="auto"/>
            <w:vAlign w:val="center"/>
            <w:hideMark/>
          </w:tcPr>
          <w:p w:rsidR="00F01DDE" w:rsidRPr="004A02C3" w:rsidRDefault="00F01DDE" w:rsidP="009D2EE1">
            <w:pPr>
              <w:spacing w:line="360" w:lineRule="auto"/>
              <w:jc w:val="center"/>
              <w:rPr>
                <w:rFonts w:ascii="Arial" w:hAnsi="Arial" w:cs="Arial"/>
                <w:b/>
                <w:bCs/>
                <w:sz w:val="24"/>
                <w:szCs w:val="24"/>
              </w:rPr>
            </w:pPr>
            <w:r w:rsidRPr="004A02C3">
              <w:rPr>
                <w:rStyle w:val="Strong"/>
                <w:rFonts w:ascii="Arial" w:hAnsi="Arial" w:cs="Arial"/>
                <w:sz w:val="24"/>
                <w:szCs w:val="24"/>
              </w:rPr>
              <w:t>Percentage (%)</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proofErr w:type="gramStart"/>
            <w:r w:rsidRPr="004A02C3">
              <w:rPr>
                <w:rStyle w:val="Strong"/>
                <w:rFonts w:ascii="Arial" w:hAnsi="Arial" w:cs="Arial"/>
                <w:sz w:val="24"/>
                <w:szCs w:val="24"/>
              </w:rPr>
              <w:t>Responder’s  Gender</w:t>
            </w:r>
            <w:proofErr w:type="gramEnd"/>
          </w:p>
        </w:tc>
        <w:tc>
          <w:tcPr>
            <w:tcW w:w="0" w:type="auto"/>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Male</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34</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35.4</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Female</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62</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64.6</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Style w:val="Strong"/>
                <w:rFonts w:ascii="Arial" w:hAnsi="Arial" w:cs="Arial"/>
                <w:sz w:val="24"/>
                <w:szCs w:val="24"/>
              </w:rPr>
            </w:pPr>
            <w:r w:rsidRPr="004A02C3">
              <w:rPr>
                <w:rStyle w:val="Strong"/>
                <w:rFonts w:ascii="Arial" w:hAnsi="Arial" w:cs="Arial"/>
                <w:sz w:val="24"/>
                <w:szCs w:val="24"/>
              </w:rPr>
              <w:t xml:space="preserve">Education Level of the </w:t>
            </w:r>
          </w:p>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Mother</w:t>
            </w:r>
          </w:p>
        </w:tc>
        <w:tc>
          <w:tcPr>
            <w:tcW w:w="0" w:type="auto"/>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No formal education</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16</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16.7</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Primary education</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21</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21.9</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Secondary education</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50</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52.1</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Higher education</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9</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9.4</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Marital Status</w:t>
            </w:r>
          </w:p>
        </w:tc>
        <w:tc>
          <w:tcPr>
            <w:tcW w:w="0" w:type="auto"/>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Married</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91</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94.8</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Single</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4.2</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Divorced</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1.0</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Occupation</w:t>
            </w:r>
          </w:p>
        </w:tc>
        <w:tc>
          <w:tcPr>
            <w:tcW w:w="0" w:type="auto"/>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Unemployed</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50</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52.1</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lastRenderedPageBreak/>
              <w:t>Self-employed</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41</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42.7</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Formally employed</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5.2</w:t>
            </w:r>
          </w:p>
        </w:tc>
      </w:tr>
    </w:tbl>
    <w:p w:rsidR="00F01DDE" w:rsidRDefault="00F01DDE" w:rsidP="00F01DDE">
      <w:pPr>
        <w:pStyle w:val="Heading2"/>
        <w:spacing w:line="360" w:lineRule="auto"/>
        <w:rPr>
          <w:rFonts w:ascii="Arial" w:hAnsi="Arial" w:cs="Arial"/>
          <w:b/>
          <w:bCs/>
          <w:color w:val="000000"/>
          <w:sz w:val="24"/>
          <w:szCs w:val="24"/>
        </w:rPr>
      </w:pPr>
      <w:bookmarkStart w:id="4" w:name="_Toc200716818"/>
      <w:bookmarkStart w:id="5" w:name="_Toc200716816"/>
    </w:p>
    <w:p w:rsidR="00F01DDE" w:rsidRDefault="00F01DDE" w:rsidP="00F01DDE">
      <w:pPr>
        <w:pStyle w:val="Heading2"/>
        <w:spacing w:line="360" w:lineRule="auto"/>
        <w:rPr>
          <w:rFonts w:ascii="Arial" w:hAnsi="Arial" w:cs="Arial"/>
          <w:bCs/>
          <w:i/>
          <w:color w:val="000000"/>
          <w:sz w:val="24"/>
          <w:szCs w:val="24"/>
        </w:rPr>
      </w:pPr>
      <w:r>
        <w:rPr>
          <w:rFonts w:ascii="Arial" w:hAnsi="Arial" w:cs="Arial"/>
          <w:bCs/>
          <w:i/>
          <w:color w:val="000000"/>
          <w:sz w:val="24"/>
          <w:szCs w:val="24"/>
        </w:rPr>
        <w:t>Prevalence of</w:t>
      </w:r>
      <w:r w:rsidRPr="00410C5A">
        <w:rPr>
          <w:rFonts w:ascii="Arial" w:hAnsi="Arial" w:cs="Arial"/>
          <w:bCs/>
          <w:i/>
          <w:color w:val="000000"/>
          <w:sz w:val="24"/>
          <w:szCs w:val="24"/>
        </w:rPr>
        <w:t xml:space="preserve"> Malnutrition</w:t>
      </w:r>
      <w:bookmarkEnd w:id="4"/>
      <w:r w:rsidR="00E36F56">
        <w:rPr>
          <w:rFonts w:ascii="Arial" w:hAnsi="Arial" w:cs="Arial"/>
          <w:bCs/>
          <w:i/>
          <w:color w:val="000000"/>
          <w:sz w:val="24"/>
          <w:szCs w:val="24"/>
        </w:rPr>
        <w:t xml:space="preserve"> among </w:t>
      </w:r>
      <w:r w:rsidR="009D2EE1">
        <w:rPr>
          <w:rFonts w:ascii="Arial" w:hAnsi="Arial" w:cs="Arial"/>
          <w:bCs/>
          <w:i/>
          <w:color w:val="000000"/>
          <w:sz w:val="24"/>
          <w:szCs w:val="24"/>
        </w:rPr>
        <w:t>Children</w:t>
      </w:r>
      <w:r w:rsidR="00276B3B">
        <w:rPr>
          <w:rFonts w:ascii="Arial" w:hAnsi="Arial" w:cs="Arial"/>
          <w:bCs/>
          <w:i/>
          <w:color w:val="000000"/>
          <w:sz w:val="24"/>
          <w:szCs w:val="24"/>
        </w:rPr>
        <w:t xml:space="preserve"> under five</w:t>
      </w:r>
      <w:r w:rsidR="00E36F56">
        <w:rPr>
          <w:rFonts w:ascii="Arial" w:hAnsi="Arial" w:cs="Arial"/>
          <w:bCs/>
          <w:i/>
          <w:color w:val="000000"/>
          <w:sz w:val="24"/>
          <w:szCs w:val="24"/>
        </w:rPr>
        <w:t xml:space="preserve">  </w:t>
      </w:r>
    </w:p>
    <w:p w:rsidR="00F01DDE" w:rsidRPr="00410C5A" w:rsidRDefault="00F01DDE" w:rsidP="00F01DDE"/>
    <w:p w:rsidR="00F01DDE" w:rsidRPr="009D2EE1" w:rsidRDefault="009D2EE1" w:rsidP="00F01DDE">
      <w:pPr>
        <w:spacing w:line="360" w:lineRule="auto"/>
        <w:jc w:val="both"/>
        <w:rPr>
          <w:rFonts w:ascii="Arial" w:hAnsi="Arial" w:cs="Arial"/>
          <w:color w:val="000000" w:themeColor="text1"/>
          <w:sz w:val="24"/>
          <w:szCs w:val="24"/>
        </w:rPr>
      </w:pPr>
      <w:r w:rsidRPr="009D2EE1">
        <w:rPr>
          <w:rFonts w:ascii="Arial" w:hAnsi="Arial" w:cs="Arial"/>
          <w:color w:val="000000" w:themeColor="text1"/>
          <w:sz w:val="24"/>
          <w:szCs w:val="24"/>
        </w:rPr>
        <w:t>Of the 96 caregivers, 83.3% (80 respondents) reported that their child had never experienced malnutrition, while 16.7</w:t>
      </w:r>
      <w:r w:rsidR="00F01DDE" w:rsidRPr="009D2EE1">
        <w:rPr>
          <w:rFonts w:ascii="Arial" w:hAnsi="Arial" w:cs="Arial"/>
          <w:color w:val="000000" w:themeColor="text1"/>
          <w:sz w:val="24"/>
          <w:szCs w:val="24"/>
        </w:rPr>
        <w:t>% (16 respondents) indicated that their child had. Among those who reported malnutrition, the majority, 83.3% (80 respondents), stated that they did not know the specific type of malnutrition. However, 9.4% (9 respondents) reported underweight (low weight for age), 5.2% (5 respondents) reported wasting (low weight for height), and 2.1% (2 respondents) reported stunting (low height for age).</w:t>
      </w:r>
    </w:p>
    <w:p w:rsidR="00F01DDE" w:rsidRPr="004A02C3" w:rsidRDefault="00F01DDE" w:rsidP="00F01DDE">
      <w:pPr>
        <w:spacing w:line="360" w:lineRule="auto"/>
        <w:jc w:val="both"/>
        <w:rPr>
          <w:rFonts w:ascii="Arial" w:hAnsi="Arial" w:cs="Arial"/>
          <w:color w:val="000000"/>
          <w:sz w:val="24"/>
          <w:szCs w:val="24"/>
        </w:rPr>
      </w:pPr>
      <w:r w:rsidRPr="004A02C3">
        <w:rPr>
          <w:rFonts w:ascii="Arial" w:hAnsi="Arial" w:cs="Arial"/>
          <w:color w:val="000000"/>
          <w:sz w:val="24"/>
          <w:szCs w:val="24"/>
        </w:rPr>
        <w:t>In seeking medical assistance for their children, the overwhelming majority, 99.0% (95 respondents), reported going to the hospital, while only 1.0% (1 respondent) sought help from a traditional healer.</w:t>
      </w:r>
    </w:p>
    <w:p w:rsidR="00F01DDE" w:rsidRPr="004A02C3" w:rsidRDefault="00F01DDE" w:rsidP="00F01DDE">
      <w:pPr>
        <w:spacing w:line="360" w:lineRule="auto"/>
        <w:jc w:val="both"/>
        <w:rPr>
          <w:rFonts w:ascii="Arial" w:hAnsi="Arial" w:cs="Arial"/>
          <w:b/>
          <w:color w:val="000000"/>
          <w:sz w:val="24"/>
          <w:szCs w:val="24"/>
        </w:rPr>
      </w:pPr>
      <w:r w:rsidRPr="004A02C3">
        <w:rPr>
          <w:rFonts w:ascii="Arial" w:hAnsi="Arial" w:cs="Arial"/>
          <w:b/>
          <w:color w:val="000000"/>
          <w:sz w:val="24"/>
          <w:szCs w:val="24"/>
        </w:rPr>
        <w:t>Figure 1</w:t>
      </w:r>
      <w:r w:rsidR="009D2EE1">
        <w:rPr>
          <w:rFonts w:ascii="Arial" w:hAnsi="Arial" w:cs="Arial"/>
          <w:b/>
          <w:color w:val="000000"/>
          <w:sz w:val="24"/>
          <w:szCs w:val="24"/>
        </w:rPr>
        <w:t>:</w:t>
      </w:r>
      <w:r w:rsidRPr="004A02C3">
        <w:rPr>
          <w:rFonts w:ascii="Arial" w:hAnsi="Arial" w:cs="Arial"/>
          <w:b/>
          <w:color w:val="000000"/>
          <w:sz w:val="24"/>
          <w:szCs w:val="24"/>
        </w:rPr>
        <w:t xml:space="preserve"> Prevalence of malnutrition and type of malnutrition in </w:t>
      </w:r>
      <w:r w:rsidR="009D2EE1">
        <w:rPr>
          <w:rFonts w:ascii="Arial" w:hAnsi="Arial" w:cs="Arial"/>
          <w:b/>
          <w:color w:val="000000"/>
          <w:sz w:val="24"/>
          <w:szCs w:val="24"/>
        </w:rPr>
        <w:t>children</w:t>
      </w:r>
      <w:r w:rsidR="00276B3B">
        <w:rPr>
          <w:rFonts w:ascii="Arial" w:hAnsi="Arial" w:cs="Arial"/>
          <w:b/>
          <w:color w:val="000000"/>
          <w:sz w:val="24"/>
          <w:szCs w:val="24"/>
        </w:rPr>
        <w:t xml:space="preserve"> under five</w:t>
      </w:r>
      <w:r w:rsidRPr="004A02C3">
        <w:rPr>
          <w:rFonts w:ascii="Arial" w:hAnsi="Arial" w:cs="Arial"/>
          <w:b/>
          <w:color w:val="000000"/>
          <w:sz w:val="24"/>
          <w:szCs w:val="24"/>
        </w:rPr>
        <w:t xml:space="preserve"> years old at </w:t>
      </w:r>
      <w:proofErr w:type="spellStart"/>
      <w:r w:rsidRPr="004A02C3">
        <w:rPr>
          <w:rFonts w:ascii="Arial" w:hAnsi="Arial" w:cs="Arial"/>
          <w:b/>
          <w:color w:val="000000"/>
          <w:sz w:val="24"/>
          <w:szCs w:val="24"/>
        </w:rPr>
        <w:t>Jitimai</w:t>
      </w:r>
      <w:proofErr w:type="spellEnd"/>
      <w:r w:rsidRPr="004A02C3">
        <w:rPr>
          <w:rFonts w:ascii="Arial" w:hAnsi="Arial" w:cs="Arial"/>
          <w:b/>
          <w:color w:val="000000"/>
          <w:sz w:val="24"/>
          <w:szCs w:val="24"/>
        </w:rPr>
        <w:t xml:space="preserve"> District Hospital</w:t>
      </w:r>
      <w:r w:rsidR="009D2EE1">
        <w:rPr>
          <w:rFonts w:ascii="Arial" w:hAnsi="Arial" w:cs="Arial"/>
          <w:b/>
          <w:color w:val="000000"/>
          <w:sz w:val="24"/>
          <w:szCs w:val="24"/>
        </w:rPr>
        <w:t xml:space="preserve">, Zanzibar </w:t>
      </w:r>
    </w:p>
    <w:p w:rsidR="00F01DDE" w:rsidRPr="004A02C3" w:rsidRDefault="00F01DDE" w:rsidP="00F01DDE">
      <w:pPr>
        <w:rPr>
          <w:rFonts w:ascii="Arial" w:hAnsi="Arial" w:cs="Arial"/>
          <w:noProof/>
          <w:sz w:val="24"/>
          <w:szCs w:val="24"/>
          <w:lang w:eastAsia="en-US"/>
        </w:rPr>
      </w:pPr>
      <w:r w:rsidRPr="0046610E">
        <w:rPr>
          <w:noProof/>
          <w:sz w:val="28"/>
          <w:szCs w:val="28"/>
          <w:lang w:eastAsia="en-US"/>
        </w:rPr>
        <w:lastRenderedPageBreak/>
        <w:drawing>
          <wp:inline distT="0" distB="0" distL="0" distR="0" wp14:anchorId="085D8AA4" wp14:editId="079C73D9">
            <wp:extent cx="6334125" cy="4676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1DDE" w:rsidRPr="004A02C3" w:rsidRDefault="00F01DDE" w:rsidP="00F01DDE">
      <w:pPr>
        <w:rPr>
          <w:rFonts w:ascii="Arial" w:hAnsi="Arial" w:cs="Arial"/>
          <w:sz w:val="24"/>
          <w:szCs w:val="24"/>
        </w:rPr>
      </w:pPr>
    </w:p>
    <w:p w:rsidR="00F01DDE" w:rsidRPr="004A02C3" w:rsidRDefault="00F01DDE" w:rsidP="00F01DDE">
      <w:pPr>
        <w:pStyle w:val="Heading2"/>
        <w:spacing w:line="360" w:lineRule="auto"/>
        <w:rPr>
          <w:rFonts w:ascii="Arial" w:hAnsi="Arial" w:cs="Arial"/>
          <w:bCs/>
          <w:i/>
          <w:color w:val="000000"/>
          <w:sz w:val="24"/>
          <w:szCs w:val="24"/>
        </w:rPr>
      </w:pPr>
      <w:r w:rsidRPr="004A02C3">
        <w:rPr>
          <w:rFonts w:ascii="Arial" w:hAnsi="Arial" w:cs="Arial"/>
          <w:bCs/>
          <w:i/>
          <w:color w:val="000000"/>
          <w:sz w:val="24"/>
          <w:szCs w:val="24"/>
        </w:rPr>
        <w:t>Maternal Knowledge of Child Nutrition</w:t>
      </w:r>
      <w:bookmarkEnd w:id="5"/>
    </w:p>
    <w:p w:rsidR="00F01DDE" w:rsidRPr="004A02C3" w:rsidRDefault="00F01DDE" w:rsidP="00F01DDE">
      <w:pPr>
        <w:spacing w:before="100" w:beforeAutospacing="1" w:after="100" w:afterAutospacing="1" w:line="360" w:lineRule="auto"/>
        <w:jc w:val="both"/>
        <w:rPr>
          <w:rFonts w:ascii="Arial" w:eastAsia="Times New Roman" w:hAnsi="Arial" w:cs="Arial"/>
          <w:sz w:val="24"/>
          <w:szCs w:val="24"/>
          <w:lang w:eastAsia="en-US"/>
        </w:rPr>
      </w:pPr>
      <w:r w:rsidRPr="004A02C3">
        <w:rPr>
          <w:rFonts w:ascii="Arial" w:eastAsia="Times New Roman" w:hAnsi="Arial" w:cs="Arial"/>
          <w:sz w:val="24"/>
          <w:szCs w:val="24"/>
          <w:lang w:eastAsia="en-US"/>
        </w:rPr>
        <w:t xml:space="preserve">Based on the responses from 96 caregivers, 62.5% reported never having received nutrition education, while 37.5% had received some form of guidance. Among those exposed to nutrition education, hospitals were the primary source (31.3%), followed by media platforms such as television, radio, and social media (20.8%). Smaller proportions obtained information from community health programs (6.3%) or schools (3.1%), whereas 38.5% selected an unspecified “other” source. Knowledge of recommended feeding practices varied: although 63.5% correctly identified that complementary feeding should begin after six months, more than one-quarter (28.1%) did not know the appropriate timing. Similarly, while 61.5% believed exclusive breastfeeding should continue for three to six months, almost one-third (29.2%) were unsure of the correct duration. These </w:t>
      </w:r>
      <w:r w:rsidRPr="004A02C3">
        <w:rPr>
          <w:rFonts w:ascii="Arial" w:eastAsia="Times New Roman" w:hAnsi="Arial" w:cs="Arial"/>
          <w:sz w:val="24"/>
          <w:szCs w:val="24"/>
          <w:lang w:eastAsia="en-US"/>
        </w:rPr>
        <w:lastRenderedPageBreak/>
        <w:t>findings highlight persistent gaps in caregiver knowledge, underscoring the need for strengthened nutrition education interventions.</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Cross</w:t>
      </w:r>
      <w:r w:rsidR="009D2EE1">
        <w:rPr>
          <w:rFonts w:ascii="Arial" w:hAnsi="Arial" w:cs="Arial"/>
        </w:rPr>
        <w:t>-</w:t>
      </w:r>
      <w:r w:rsidRPr="004A02C3">
        <w:rPr>
          <w:rFonts w:ascii="Arial" w:hAnsi="Arial" w:cs="Arial"/>
        </w:rPr>
        <w:t xml:space="preserve">tabulation analysis was performed to examine whether maternal knowledge </w:t>
      </w:r>
      <w:r w:rsidR="009D2EE1">
        <w:rPr>
          <w:rFonts w:ascii="Arial" w:hAnsi="Arial" w:cs="Arial"/>
        </w:rPr>
        <w:t>of</w:t>
      </w:r>
      <w:r w:rsidRPr="004A02C3">
        <w:rPr>
          <w:rFonts w:ascii="Arial" w:hAnsi="Arial" w:cs="Arial"/>
        </w:rPr>
        <w:t xml:space="preserve"> child nutrition was associated with the type of malnutrition reported among their children. Overall, the majority of caregivers (80/96; 83.3%) reported “I don’t know” when asked about the type of malnutrition, while 2.1% reported stunting, 9.4% underweight, and 5.2% wasting.</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There was </w:t>
      </w:r>
      <w:r w:rsidRPr="00320F50">
        <w:rPr>
          <w:rStyle w:val="Strong"/>
          <w:rFonts w:ascii="Arial" w:hAnsi="Arial" w:cs="Arial"/>
          <w:b w:val="0"/>
        </w:rPr>
        <w:t>no significant association</w:t>
      </w:r>
      <w:r w:rsidRPr="004A02C3">
        <w:rPr>
          <w:rFonts w:ascii="Arial" w:hAnsi="Arial" w:cs="Arial"/>
        </w:rPr>
        <w:t xml:space="preserve"> between </w:t>
      </w:r>
      <w:r w:rsidR="009D2EE1">
        <w:rPr>
          <w:rFonts w:ascii="Arial" w:hAnsi="Arial" w:cs="Arial"/>
        </w:rPr>
        <w:t xml:space="preserve">malnutrition type </w:t>
      </w:r>
      <w:r w:rsidRPr="004A02C3">
        <w:rPr>
          <w:rFonts w:ascii="Arial" w:hAnsi="Arial" w:cs="Arial"/>
        </w:rPr>
        <w:t>and whether caregivers had ever received nutrition education (Likelihood Ratio = 2.83, p = 0.418; χ² = 2.09, p = 0.554). Similarly, no significant associations were observed between malnutrition type and the main source of nutrition education (Likelihood Ratio = 11.63, p = 0.476; χ² = 8.59, p = 0.738), or alternative sources of nutrition information (Likelihood Ratio = 12.36, p = 0.652; χ² = 10.31, p = 0.800).</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Knowledge regarding the recommended age to begin complementary feeding also showed </w:t>
      </w:r>
      <w:r w:rsidRPr="00320F50">
        <w:rPr>
          <w:rStyle w:val="Strong"/>
          <w:rFonts w:ascii="Arial" w:hAnsi="Arial" w:cs="Arial"/>
          <w:b w:val="0"/>
        </w:rPr>
        <w:t>no statistically significant relationship</w:t>
      </w:r>
      <w:r w:rsidRPr="004A02C3">
        <w:rPr>
          <w:rFonts w:ascii="Arial" w:hAnsi="Arial" w:cs="Arial"/>
        </w:rPr>
        <w:t xml:space="preserve"> with the type of malnutrition (Likelihood Ratio = 12.27, p = 0.198; χ² = 8.02, p = 0.532).</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However, a </w:t>
      </w:r>
      <w:r w:rsidRPr="00320F50">
        <w:rPr>
          <w:rStyle w:val="Strong"/>
          <w:rFonts w:ascii="Arial" w:hAnsi="Arial" w:cs="Arial"/>
          <w:b w:val="0"/>
        </w:rPr>
        <w:t>significant association</w:t>
      </w:r>
      <w:r w:rsidRPr="004A02C3">
        <w:rPr>
          <w:rFonts w:ascii="Arial" w:hAnsi="Arial" w:cs="Arial"/>
        </w:rPr>
        <w:t xml:space="preserve"> was observed between </w:t>
      </w:r>
      <w:r w:rsidR="009D2EE1">
        <w:rPr>
          <w:rFonts w:ascii="Arial" w:hAnsi="Arial" w:cs="Arial"/>
        </w:rPr>
        <w:t xml:space="preserve">malnutrition type </w:t>
      </w:r>
      <w:r w:rsidRPr="004A02C3">
        <w:rPr>
          <w:rFonts w:ascii="Arial" w:hAnsi="Arial" w:cs="Arial"/>
        </w:rPr>
        <w:t xml:space="preserve">and maternal knowledge of the recommended duration of exclusive breastfeeding. The Likelihood Ratio test indicated a statistically significant association (LR = 15.69, p = 0.016), although the Pearson chi-square test was not significant (χ² = 10.73, p = 0.097). Given that several cells had expected counts below five, the Likelihood Ratio is the more reliable statistic in this context. This finding suggests that </w:t>
      </w:r>
      <w:r w:rsidR="009D2EE1">
        <w:rPr>
          <w:rFonts w:ascii="Arial" w:hAnsi="Arial" w:cs="Arial"/>
        </w:rPr>
        <w:t xml:space="preserve">caregivers' understanding of the duration of exclusive breastfeeding </w:t>
      </w:r>
      <w:r w:rsidRPr="004A02C3">
        <w:rPr>
          <w:rFonts w:ascii="Arial" w:hAnsi="Arial" w:cs="Arial"/>
        </w:rPr>
        <w:t>may be related to how they perceive or report malnutrition in their children.</w:t>
      </w:r>
    </w:p>
    <w:p w:rsidR="00F01DDE" w:rsidRPr="004A02C3" w:rsidRDefault="00F01DDE" w:rsidP="00F01DDE">
      <w:pPr>
        <w:spacing w:line="360" w:lineRule="auto"/>
        <w:rPr>
          <w:rFonts w:ascii="Arial" w:hAnsi="Arial" w:cs="Arial"/>
          <w:color w:val="000000"/>
          <w:sz w:val="24"/>
          <w:szCs w:val="24"/>
        </w:rPr>
      </w:pPr>
    </w:p>
    <w:p w:rsidR="00F01DDE" w:rsidRPr="004A02C3" w:rsidRDefault="00F01DDE" w:rsidP="00F01DDE">
      <w:pPr>
        <w:spacing w:line="360" w:lineRule="auto"/>
        <w:jc w:val="both"/>
        <w:rPr>
          <w:rFonts w:ascii="Arial" w:eastAsia="Times New Roman" w:hAnsi="Arial" w:cs="Arial"/>
          <w:b/>
          <w:bCs/>
          <w:kern w:val="36"/>
          <w:sz w:val="24"/>
          <w:szCs w:val="24"/>
        </w:rPr>
      </w:pPr>
      <w:r>
        <w:rPr>
          <w:rFonts w:ascii="Arial" w:eastAsia="Times New Roman" w:hAnsi="Arial" w:cs="Arial"/>
          <w:b/>
          <w:bCs/>
          <w:kern w:val="36"/>
          <w:sz w:val="24"/>
          <w:szCs w:val="24"/>
        </w:rPr>
        <w:t>Table 2</w:t>
      </w:r>
      <w:r w:rsidR="009D2EE1">
        <w:rPr>
          <w:rFonts w:ascii="Arial" w:eastAsia="Times New Roman" w:hAnsi="Arial" w:cs="Arial"/>
          <w:b/>
          <w:bCs/>
          <w:kern w:val="36"/>
          <w:sz w:val="24"/>
          <w:szCs w:val="24"/>
        </w:rPr>
        <w:t>:</w:t>
      </w:r>
      <w:r w:rsidR="003E0BD6">
        <w:rPr>
          <w:rFonts w:ascii="Arial" w:eastAsia="Times New Roman" w:hAnsi="Arial" w:cs="Arial"/>
          <w:b/>
          <w:bCs/>
          <w:kern w:val="36"/>
          <w:sz w:val="24"/>
          <w:szCs w:val="24"/>
        </w:rPr>
        <w:t xml:space="preserve"> Cross-tabulation between</w:t>
      </w:r>
      <w:r w:rsidR="009D2EE1">
        <w:rPr>
          <w:rFonts w:ascii="Arial" w:eastAsia="Times New Roman" w:hAnsi="Arial" w:cs="Arial"/>
          <w:b/>
          <w:bCs/>
          <w:kern w:val="36"/>
          <w:sz w:val="24"/>
          <w:szCs w:val="24"/>
        </w:rPr>
        <w:t xml:space="preserve"> Type of Malnutrition vs Maternal Knowledge on children</w:t>
      </w:r>
      <w:r w:rsidR="00276B3B">
        <w:rPr>
          <w:rFonts w:ascii="Arial" w:hAnsi="Arial" w:cs="Arial"/>
          <w:b/>
          <w:color w:val="000000"/>
          <w:sz w:val="24"/>
          <w:szCs w:val="24"/>
        </w:rPr>
        <w:t xml:space="preserve"> under five</w:t>
      </w:r>
      <w:r w:rsidRPr="004A02C3">
        <w:rPr>
          <w:rFonts w:ascii="Arial" w:hAnsi="Arial" w:cs="Arial"/>
          <w:b/>
          <w:color w:val="000000"/>
          <w:sz w:val="24"/>
          <w:szCs w:val="24"/>
        </w:rPr>
        <w:t xml:space="preserve"> years old at </w:t>
      </w:r>
      <w:proofErr w:type="spellStart"/>
      <w:r w:rsidRPr="004A02C3">
        <w:rPr>
          <w:rFonts w:ascii="Arial" w:hAnsi="Arial" w:cs="Arial"/>
          <w:b/>
          <w:color w:val="000000"/>
          <w:sz w:val="24"/>
          <w:szCs w:val="24"/>
        </w:rPr>
        <w:t>J</w:t>
      </w:r>
      <w:r w:rsidR="00276B3B">
        <w:rPr>
          <w:rFonts w:ascii="Arial" w:hAnsi="Arial" w:cs="Arial"/>
          <w:b/>
          <w:color w:val="000000"/>
          <w:sz w:val="24"/>
          <w:szCs w:val="24"/>
        </w:rPr>
        <w:t>itimai</w:t>
      </w:r>
      <w:proofErr w:type="spellEnd"/>
      <w:r w:rsidR="00276B3B">
        <w:rPr>
          <w:rFonts w:ascii="Arial" w:hAnsi="Arial" w:cs="Arial"/>
          <w:b/>
          <w:color w:val="000000"/>
          <w:sz w:val="24"/>
          <w:szCs w:val="24"/>
        </w:rPr>
        <w:t xml:space="preserve"> District Hospital, Zanzibar</w:t>
      </w:r>
      <w:r w:rsidRPr="004A02C3">
        <w:rPr>
          <w:rFonts w:ascii="Arial" w:eastAsia="Times New Roman" w:hAnsi="Arial" w:cs="Arial"/>
          <w:b/>
          <w:bCs/>
          <w:kern w:val="36"/>
          <w:sz w:val="24"/>
          <w:szCs w:val="24"/>
        </w:rPr>
        <w:t xml:space="preserve"> (N = 96)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6"/>
        <w:gridCol w:w="997"/>
        <w:gridCol w:w="1088"/>
        <w:gridCol w:w="1568"/>
        <w:gridCol w:w="1048"/>
        <w:gridCol w:w="1413"/>
        <w:gridCol w:w="1000"/>
      </w:tblGrid>
      <w:tr w:rsidR="00F01DDE" w:rsidRPr="004A02C3" w:rsidTr="009D2EE1">
        <w:trPr>
          <w:tblHeader/>
          <w:tblCellSpacing w:w="15" w:type="dxa"/>
        </w:trPr>
        <w:tc>
          <w:tcPr>
            <w:tcW w:w="0" w:type="auto"/>
            <w:vAlign w:val="center"/>
            <w:hideMark/>
          </w:tcPr>
          <w:p w:rsidR="00F01DDE" w:rsidRPr="004A02C3" w:rsidRDefault="00F01DDE" w:rsidP="009D2EE1">
            <w:pPr>
              <w:spacing w:after="0" w:line="360" w:lineRule="auto"/>
              <w:jc w:val="center"/>
              <w:rPr>
                <w:rFonts w:ascii="Arial" w:eastAsia="Times New Roman" w:hAnsi="Arial" w:cs="Arial"/>
                <w:b/>
                <w:bCs/>
                <w:sz w:val="24"/>
                <w:szCs w:val="24"/>
              </w:rPr>
            </w:pPr>
            <w:r w:rsidRPr="004A02C3">
              <w:rPr>
                <w:rFonts w:ascii="Arial" w:eastAsia="Times New Roman" w:hAnsi="Arial" w:cs="Arial"/>
                <w:b/>
                <w:bCs/>
                <w:sz w:val="24"/>
                <w:szCs w:val="24"/>
              </w:rPr>
              <w:lastRenderedPageBreak/>
              <w:t>Maternal knowledge variable</w:t>
            </w:r>
          </w:p>
        </w:tc>
        <w:tc>
          <w:tcPr>
            <w:tcW w:w="0" w:type="auto"/>
            <w:vAlign w:val="center"/>
            <w:hideMark/>
          </w:tcPr>
          <w:p w:rsidR="00F01DDE" w:rsidRPr="004A02C3" w:rsidRDefault="00F01DDE" w:rsidP="009D2EE1">
            <w:pPr>
              <w:spacing w:after="0" w:line="360" w:lineRule="auto"/>
              <w:jc w:val="center"/>
              <w:rPr>
                <w:rFonts w:ascii="Arial" w:eastAsia="Times New Roman" w:hAnsi="Arial" w:cs="Arial"/>
                <w:b/>
                <w:bCs/>
                <w:sz w:val="24"/>
                <w:szCs w:val="24"/>
              </w:rPr>
            </w:pPr>
            <w:r w:rsidRPr="004A02C3">
              <w:rPr>
                <w:rFonts w:ascii="Arial" w:eastAsia="Times New Roman" w:hAnsi="Arial" w:cs="Arial"/>
                <w:b/>
                <w:bCs/>
                <w:sz w:val="24"/>
                <w:szCs w:val="24"/>
              </w:rPr>
              <w:t xml:space="preserve">I don’t </w:t>
            </w:r>
            <w:r w:rsidR="009D2EE1">
              <w:rPr>
                <w:rFonts w:ascii="Arial" w:eastAsia="Times New Roman" w:hAnsi="Arial" w:cs="Arial"/>
                <w:b/>
                <w:bCs/>
                <w:sz w:val="24"/>
                <w:szCs w:val="24"/>
              </w:rPr>
              <w:t>know</w:t>
            </w:r>
            <w:r w:rsidRPr="004A02C3">
              <w:rPr>
                <w:rFonts w:ascii="Arial" w:eastAsia="Times New Roman" w:hAnsi="Arial" w:cs="Arial"/>
                <w:b/>
                <w:bCs/>
                <w:sz w:val="24"/>
                <w:szCs w:val="24"/>
              </w:rPr>
              <w:t xml:space="preserve"> (%)</w:t>
            </w:r>
          </w:p>
        </w:tc>
        <w:tc>
          <w:tcPr>
            <w:tcW w:w="0" w:type="auto"/>
            <w:vAlign w:val="center"/>
            <w:hideMark/>
          </w:tcPr>
          <w:p w:rsidR="00F01DDE" w:rsidRPr="004A02C3" w:rsidRDefault="009D2EE1" w:rsidP="009D2EE1">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Stunting</w:t>
            </w:r>
            <w:r w:rsidR="00F01DDE" w:rsidRPr="004A02C3">
              <w:rPr>
                <w:rFonts w:ascii="Arial" w:eastAsia="Times New Roman" w:hAnsi="Arial" w:cs="Arial"/>
                <w:b/>
                <w:bCs/>
                <w:sz w:val="24"/>
                <w:szCs w:val="24"/>
              </w:rPr>
              <w:t xml:space="preserve"> (%)</w:t>
            </w:r>
          </w:p>
        </w:tc>
        <w:tc>
          <w:tcPr>
            <w:tcW w:w="0" w:type="auto"/>
            <w:vAlign w:val="center"/>
            <w:hideMark/>
          </w:tcPr>
          <w:p w:rsidR="00F01DDE" w:rsidRPr="004A02C3" w:rsidRDefault="009D2EE1" w:rsidP="009D2EE1">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Underweight</w:t>
            </w:r>
            <w:r w:rsidR="00F01DDE" w:rsidRPr="004A02C3">
              <w:rPr>
                <w:rFonts w:ascii="Arial" w:eastAsia="Times New Roman" w:hAnsi="Arial" w:cs="Arial"/>
                <w:b/>
                <w:bCs/>
                <w:sz w:val="24"/>
                <w:szCs w:val="24"/>
              </w:rPr>
              <w:t xml:space="preserve"> (%)</w:t>
            </w:r>
          </w:p>
        </w:tc>
        <w:tc>
          <w:tcPr>
            <w:tcW w:w="0" w:type="auto"/>
            <w:vAlign w:val="center"/>
            <w:hideMark/>
          </w:tcPr>
          <w:p w:rsidR="00F01DDE" w:rsidRPr="004A02C3" w:rsidRDefault="009D2EE1" w:rsidP="009D2EE1">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Wasting</w:t>
            </w:r>
            <w:r w:rsidR="00F01DDE" w:rsidRPr="004A02C3">
              <w:rPr>
                <w:rFonts w:ascii="Arial" w:eastAsia="Times New Roman" w:hAnsi="Arial" w:cs="Arial"/>
                <w:b/>
                <w:bCs/>
                <w:sz w:val="24"/>
                <w:szCs w:val="24"/>
              </w:rPr>
              <w:t xml:space="preserve"> (%)</w:t>
            </w:r>
          </w:p>
        </w:tc>
        <w:tc>
          <w:tcPr>
            <w:tcW w:w="0" w:type="auto"/>
            <w:vAlign w:val="center"/>
            <w:hideMark/>
          </w:tcPr>
          <w:p w:rsidR="00F01DDE" w:rsidRPr="004A02C3" w:rsidRDefault="00F01DDE" w:rsidP="009D2EE1">
            <w:pPr>
              <w:spacing w:after="0" w:line="360" w:lineRule="auto"/>
              <w:jc w:val="center"/>
              <w:rPr>
                <w:rFonts w:ascii="Arial" w:eastAsia="Times New Roman" w:hAnsi="Arial" w:cs="Arial"/>
                <w:b/>
                <w:bCs/>
                <w:sz w:val="24"/>
                <w:szCs w:val="24"/>
              </w:rPr>
            </w:pPr>
            <w:r w:rsidRPr="004A02C3">
              <w:rPr>
                <w:rFonts w:ascii="Arial" w:eastAsia="Times New Roman" w:hAnsi="Arial" w:cs="Arial"/>
                <w:b/>
                <w:bCs/>
                <w:sz w:val="24"/>
                <w:szCs w:val="24"/>
              </w:rPr>
              <w:t>Likelihood Ratio (p-value)</w:t>
            </w:r>
          </w:p>
        </w:tc>
        <w:tc>
          <w:tcPr>
            <w:tcW w:w="0" w:type="auto"/>
            <w:vAlign w:val="center"/>
            <w:hideMark/>
          </w:tcPr>
          <w:p w:rsidR="00F01DDE" w:rsidRPr="004A02C3" w:rsidRDefault="00F01DDE" w:rsidP="009D2EE1">
            <w:pPr>
              <w:spacing w:after="0" w:line="360" w:lineRule="auto"/>
              <w:jc w:val="center"/>
              <w:rPr>
                <w:rFonts w:ascii="Arial" w:eastAsia="Times New Roman" w:hAnsi="Arial" w:cs="Arial"/>
                <w:b/>
                <w:bCs/>
                <w:sz w:val="24"/>
                <w:szCs w:val="24"/>
              </w:rPr>
            </w:pPr>
            <w:r w:rsidRPr="004A02C3">
              <w:rPr>
                <w:rFonts w:ascii="Arial" w:eastAsia="Times New Roman" w:hAnsi="Arial" w:cs="Arial"/>
                <w:b/>
                <w:bCs/>
                <w:sz w:val="24"/>
                <w:szCs w:val="24"/>
              </w:rPr>
              <w:t>Chi-square (p-value)</w:t>
            </w:r>
          </w:p>
        </w:tc>
      </w:tr>
      <w:tr w:rsidR="00F01DDE" w:rsidRPr="004A02C3" w:rsidTr="009D2EE1">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Received nutrition education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2.832 (p = 0.418)</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2.092 (p = 0.554)</w:t>
            </w:r>
          </w:p>
        </w:tc>
      </w:tr>
      <w:tr w:rsidR="00F01DDE" w:rsidRPr="004A02C3" w:rsidTr="009D2EE1">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Source of nutrition education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11.633 (p = 0.476)</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8.588 (p = 0.738)</w:t>
            </w:r>
          </w:p>
        </w:tc>
      </w:tr>
      <w:tr w:rsidR="00F01DDE" w:rsidRPr="004A02C3" w:rsidTr="009D2EE1">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Alternative source of nutrition information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12.358 (p = 0.652)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10.314 (p = 0.800)</w:t>
            </w:r>
          </w:p>
        </w:tc>
      </w:tr>
      <w:tr w:rsidR="00F01DDE" w:rsidRPr="004A02C3" w:rsidTr="009D2EE1">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Knowledge of when complementary feeding should begin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12.270 (p = 0.198)</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8.020 (p = 0.532)</w:t>
            </w:r>
          </w:p>
        </w:tc>
      </w:tr>
      <w:tr w:rsidR="00F01DDE" w:rsidRPr="004A02C3" w:rsidTr="009D2EE1">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 xml:space="preserve">Knowledge of </w:t>
            </w:r>
            <w:r w:rsidR="009D2EE1">
              <w:rPr>
                <w:rFonts w:ascii="Arial" w:eastAsia="Times New Roman" w:hAnsi="Arial" w:cs="Arial"/>
                <w:b/>
                <w:bCs/>
                <w:sz w:val="24"/>
                <w:szCs w:val="24"/>
              </w:rPr>
              <w:t xml:space="preserve">the </w:t>
            </w:r>
            <w:r w:rsidRPr="004A02C3">
              <w:rPr>
                <w:rFonts w:ascii="Arial" w:eastAsia="Times New Roman" w:hAnsi="Arial" w:cs="Arial"/>
                <w:b/>
                <w:bCs/>
                <w:sz w:val="24"/>
                <w:szCs w:val="24"/>
              </w:rPr>
              <w:t>duration of exclusive breastfeeding</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15.689 (p = 0.016)</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10.727 (p = 0.097)</w:t>
            </w:r>
          </w:p>
        </w:tc>
      </w:tr>
    </w:tbl>
    <w:p w:rsidR="00F01DDE" w:rsidRPr="004A02C3" w:rsidRDefault="00F01DDE" w:rsidP="00F01DDE">
      <w:pPr>
        <w:spacing w:line="360" w:lineRule="auto"/>
        <w:rPr>
          <w:rFonts w:ascii="Arial" w:hAnsi="Arial" w:cs="Arial"/>
          <w:b/>
          <w:bCs/>
          <w:color w:val="000000"/>
          <w:sz w:val="24"/>
          <w:szCs w:val="24"/>
        </w:rPr>
      </w:pPr>
    </w:p>
    <w:p w:rsidR="00F01DDE" w:rsidRPr="00320F50" w:rsidRDefault="00F01DDE" w:rsidP="00F01DDE">
      <w:pPr>
        <w:pStyle w:val="Heading2"/>
        <w:spacing w:line="360" w:lineRule="auto"/>
        <w:rPr>
          <w:rFonts w:ascii="Arial" w:hAnsi="Arial" w:cs="Arial"/>
          <w:bCs/>
          <w:i/>
          <w:color w:val="000000"/>
          <w:sz w:val="24"/>
          <w:szCs w:val="24"/>
        </w:rPr>
      </w:pPr>
      <w:bookmarkStart w:id="6" w:name="_Toc200716817"/>
      <w:r w:rsidRPr="00320F50">
        <w:rPr>
          <w:rFonts w:ascii="Arial" w:hAnsi="Arial" w:cs="Arial"/>
          <w:bCs/>
          <w:i/>
          <w:color w:val="000000"/>
          <w:sz w:val="24"/>
          <w:szCs w:val="24"/>
        </w:rPr>
        <w:t>Feeding Practice</w:t>
      </w:r>
      <w:bookmarkEnd w:id="6"/>
    </w:p>
    <w:p w:rsidR="00F01DDE" w:rsidRPr="004A02C3" w:rsidRDefault="00F01DDE" w:rsidP="00F01DDE">
      <w:pPr>
        <w:spacing w:line="360" w:lineRule="auto"/>
        <w:jc w:val="both"/>
        <w:rPr>
          <w:rFonts w:ascii="Arial" w:hAnsi="Arial" w:cs="Arial"/>
          <w:color w:val="000000"/>
          <w:sz w:val="24"/>
          <w:szCs w:val="24"/>
        </w:rPr>
      </w:pPr>
      <w:r w:rsidRPr="004A02C3">
        <w:rPr>
          <w:rFonts w:ascii="Arial" w:hAnsi="Arial" w:cs="Arial"/>
          <w:color w:val="000000"/>
          <w:sz w:val="24"/>
          <w:szCs w:val="24"/>
        </w:rPr>
        <w:t>Out of the 96 caregivers, 42.7% (41 respondents) reported feeding their child less than three times a day, while 28.1% (27 respondents) indicated "three times" a day, and 26.0% (25 respondents) said they fed their child 5 to 8 times daily. Only 3.1% (3 respondents) reported feeding more than 8 times a day.</w:t>
      </w:r>
    </w:p>
    <w:p w:rsidR="00F01DDE" w:rsidRPr="004A02C3" w:rsidRDefault="00F01DDE" w:rsidP="00F61D00">
      <w:pPr>
        <w:spacing w:line="360" w:lineRule="auto"/>
        <w:jc w:val="both"/>
        <w:rPr>
          <w:rFonts w:ascii="Arial" w:hAnsi="Arial" w:cs="Arial"/>
          <w:color w:val="000000"/>
          <w:sz w:val="24"/>
          <w:szCs w:val="24"/>
        </w:rPr>
      </w:pPr>
      <w:r w:rsidRPr="004A02C3">
        <w:rPr>
          <w:rFonts w:ascii="Arial" w:hAnsi="Arial" w:cs="Arial"/>
          <w:color w:val="000000"/>
          <w:sz w:val="24"/>
          <w:szCs w:val="24"/>
        </w:rPr>
        <w:t xml:space="preserve">When asked about the type of complementary food given to their child, the majority, 57.3% (55 respondents), gave fruits and vegetables, followed by 31.3% (30 respondents) </w:t>
      </w:r>
      <w:r w:rsidRPr="004A02C3">
        <w:rPr>
          <w:rFonts w:ascii="Arial" w:hAnsi="Arial" w:cs="Arial"/>
          <w:color w:val="000000"/>
          <w:sz w:val="24"/>
          <w:szCs w:val="24"/>
        </w:rPr>
        <w:lastRenderedPageBreak/>
        <w:t>who provided dairy products. A smaller number gave porridge 7.3% (7 respondents) and fish or eggs 4.2% (4 respondents).</w:t>
      </w:r>
    </w:p>
    <w:p w:rsidR="00F01DDE" w:rsidRPr="004A02C3" w:rsidRDefault="00F01DDE" w:rsidP="00F61D00">
      <w:pPr>
        <w:spacing w:line="360" w:lineRule="auto"/>
        <w:jc w:val="both"/>
        <w:rPr>
          <w:rFonts w:ascii="Arial" w:hAnsi="Arial" w:cs="Arial"/>
          <w:color w:val="000000"/>
          <w:sz w:val="24"/>
          <w:szCs w:val="24"/>
        </w:rPr>
      </w:pPr>
      <w:r w:rsidRPr="004A02C3">
        <w:rPr>
          <w:rFonts w:ascii="Arial" w:hAnsi="Arial" w:cs="Arial"/>
          <w:color w:val="000000"/>
          <w:sz w:val="24"/>
          <w:szCs w:val="24"/>
        </w:rPr>
        <w:t>Regarding the frequency of meal provision, most caregivers, 85.4% (82 respondents), reported feeding their child three or more times a day, while 6.3% (6 respondents) rarely provided meals. Only a few gave meals once a day, 2.1% (2 respondents), twice a day, 3.1% (3 respondents), or not at all, 3.1% (3 respondents).</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 xml:space="preserve">Among the 96 enrolled children, most caregivers (83.3%) were unable to identify the specific type of malnutrition affecting their child. When examining feeding practices, </w:t>
      </w:r>
      <w:r w:rsidRPr="00320F50">
        <w:rPr>
          <w:rStyle w:val="Strong"/>
          <w:rFonts w:ascii="Arial" w:hAnsi="Arial" w:cs="Arial"/>
          <w:b w:val="0"/>
        </w:rPr>
        <w:t xml:space="preserve">the type of complementary food provided </w:t>
      </w:r>
      <w:r w:rsidR="001E42CC">
        <w:rPr>
          <w:rStyle w:val="Strong"/>
          <w:rFonts w:ascii="Arial" w:hAnsi="Arial" w:cs="Arial"/>
          <w:b w:val="0"/>
        </w:rPr>
        <w:t>was associated</w:t>
      </w:r>
      <w:r w:rsidRPr="00320F50">
        <w:rPr>
          <w:rStyle w:val="Strong"/>
          <w:rFonts w:ascii="Arial" w:hAnsi="Arial" w:cs="Arial"/>
          <w:b w:val="0"/>
        </w:rPr>
        <w:t xml:space="preserve"> with the type of malnutrition</w:t>
      </w:r>
      <w:r w:rsidRPr="00320F50">
        <w:rPr>
          <w:rFonts w:ascii="Arial" w:hAnsi="Arial" w:cs="Arial"/>
          <w:b/>
        </w:rPr>
        <w:t xml:space="preserve"> </w:t>
      </w:r>
      <w:r w:rsidRPr="00320F50">
        <w:rPr>
          <w:rFonts w:ascii="Arial" w:hAnsi="Arial" w:cs="Arial"/>
        </w:rPr>
        <w:t>(χ² = 34.46, p &lt; 0.001; LR = 29.67, p &lt; 0.001). Children who were wasted or underweight were more likely to receive dairy products or porridge, whereas those consuming mainly fruits and vegetables fell predominantly into the “I don’t know” and stunting categories. Fish and eggs were rarely used as complementary foods across all groups.</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 xml:space="preserve">A similarly strong association was observed between </w:t>
      </w:r>
      <w:r w:rsidR="001E42CC">
        <w:rPr>
          <w:rStyle w:val="Strong"/>
          <w:rFonts w:ascii="Arial" w:hAnsi="Arial" w:cs="Arial"/>
          <w:b w:val="0"/>
        </w:rPr>
        <w:t xml:space="preserve">a history of malnutrition diagnosis and the </w:t>
      </w:r>
      <w:r w:rsidRPr="00320F50">
        <w:rPr>
          <w:rFonts w:ascii="Arial" w:hAnsi="Arial" w:cs="Arial"/>
        </w:rPr>
        <w:t>current malnutrition category (χ² = 42.91, p &lt; 0.001; LR = 36.71, p &lt; 0.001). Nearly all children previously diagnosed with malnutrition were classified as underweight or wasted, indicating a pattern of persistent or recurrent nutritional deficits.</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In contrast, other examined feeding-related variables</w:t>
      </w:r>
      <w:r>
        <w:rPr>
          <w:rFonts w:ascii="Arial" w:hAnsi="Arial" w:cs="Arial"/>
          <w:b/>
        </w:rPr>
        <w:t xml:space="preserve">: </w:t>
      </w:r>
      <w:r w:rsidRPr="00320F50">
        <w:rPr>
          <w:rStyle w:val="Strong"/>
          <w:rFonts w:ascii="Arial" w:hAnsi="Arial" w:cs="Arial"/>
          <w:b w:val="0"/>
        </w:rPr>
        <w:t>frequency of breastfeeding</w:t>
      </w:r>
      <w:r w:rsidRPr="00320F50">
        <w:rPr>
          <w:rFonts w:ascii="Arial" w:hAnsi="Arial" w:cs="Arial"/>
          <w:b/>
        </w:rPr>
        <w:t xml:space="preserve">, </w:t>
      </w:r>
      <w:r w:rsidRPr="00320F50">
        <w:rPr>
          <w:rStyle w:val="Strong"/>
          <w:rFonts w:ascii="Arial" w:hAnsi="Arial" w:cs="Arial"/>
          <w:b w:val="0"/>
        </w:rPr>
        <w:t>frequency of meals per day</w:t>
      </w:r>
      <w:r w:rsidRPr="00320F50">
        <w:rPr>
          <w:rFonts w:ascii="Arial" w:hAnsi="Arial" w:cs="Arial"/>
          <w:b/>
        </w:rPr>
        <w:t xml:space="preserve">, </w:t>
      </w:r>
      <w:r w:rsidRPr="00320F50">
        <w:rPr>
          <w:rFonts w:ascii="Arial" w:hAnsi="Arial" w:cs="Arial"/>
        </w:rPr>
        <w:t>and</w:t>
      </w:r>
      <w:r w:rsidRPr="00320F50">
        <w:rPr>
          <w:rFonts w:ascii="Arial" w:hAnsi="Arial" w:cs="Arial"/>
          <w:b/>
        </w:rPr>
        <w:t xml:space="preserve"> </w:t>
      </w:r>
      <w:r w:rsidRPr="00320F50">
        <w:rPr>
          <w:rStyle w:val="Strong"/>
          <w:rFonts w:ascii="Arial" w:hAnsi="Arial" w:cs="Arial"/>
          <w:b w:val="0"/>
        </w:rPr>
        <w:t>frequency of infections</w:t>
      </w:r>
      <w:r>
        <w:rPr>
          <w:rFonts w:ascii="Arial" w:hAnsi="Arial" w:cs="Arial"/>
        </w:rPr>
        <w:t xml:space="preserve">, </w:t>
      </w:r>
      <w:r w:rsidRPr="00320F50">
        <w:rPr>
          <w:rFonts w:ascii="Arial" w:hAnsi="Arial" w:cs="Arial"/>
        </w:rPr>
        <w:t>did not show statistically significant relationships with malnutrition type (all p &gt; 0.05). Most children were breastfed between 5</w:t>
      </w:r>
      <w:r w:rsidR="00853877">
        <w:rPr>
          <w:rFonts w:ascii="Arial" w:hAnsi="Arial" w:cs="Arial"/>
        </w:rPr>
        <w:t xml:space="preserve"> and </w:t>
      </w:r>
      <w:r w:rsidRPr="00320F50">
        <w:rPr>
          <w:rFonts w:ascii="Arial" w:hAnsi="Arial" w:cs="Arial"/>
        </w:rPr>
        <w:t xml:space="preserve">8 times per day or fewer than three times per day, and the majority received three or more meals per day. Episodes of fever or </w:t>
      </w:r>
      <w:r w:rsidR="001E42CC">
        <w:rPr>
          <w:rFonts w:ascii="Arial" w:hAnsi="Arial" w:cs="Arial"/>
        </w:rPr>
        <w:t>infection were generally reported as rare and did not differ substantially across malnutrition categories</w:t>
      </w:r>
      <w:r w:rsidRPr="00320F50">
        <w:rPr>
          <w:rFonts w:ascii="Arial" w:hAnsi="Arial" w:cs="Arial"/>
        </w:rPr>
        <w:t>.</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 xml:space="preserve">Overall, these findings indicate that </w:t>
      </w:r>
      <w:r w:rsidRPr="00320F50">
        <w:rPr>
          <w:rStyle w:val="Strong"/>
          <w:rFonts w:ascii="Arial" w:hAnsi="Arial" w:cs="Arial"/>
          <w:b w:val="0"/>
        </w:rPr>
        <w:t>the type of complementary foods provided and a prior diagnosis of malnutrition</w:t>
      </w:r>
      <w:r w:rsidRPr="00320F50">
        <w:rPr>
          <w:rFonts w:ascii="Arial" w:hAnsi="Arial" w:cs="Arial"/>
          <w:b/>
        </w:rPr>
        <w:t xml:space="preserve"> </w:t>
      </w:r>
      <w:r w:rsidRPr="00320F50">
        <w:rPr>
          <w:rFonts w:ascii="Arial" w:hAnsi="Arial" w:cs="Arial"/>
        </w:rPr>
        <w:t>are the factors most closely associated with the child’s current nutritional status, while general feeding frequency and infection patterns did not demonstrate significant variation across malnutrition groups.</w:t>
      </w:r>
    </w:p>
    <w:p w:rsidR="00F01DDE" w:rsidRPr="004A02C3" w:rsidRDefault="00F01DDE" w:rsidP="00F61D00">
      <w:pPr>
        <w:spacing w:line="360" w:lineRule="auto"/>
        <w:jc w:val="both"/>
        <w:rPr>
          <w:rFonts w:ascii="Arial" w:hAnsi="Arial" w:cs="Arial"/>
          <w:sz w:val="24"/>
          <w:szCs w:val="24"/>
        </w:rPr>
      </w:pPr>
    </w:p>
    <w:p w:rsidR="00F01DDE" w:rsidRPr="004A02C3" w:rsidRDefault="00EC3D63" w:rsidP="00F01DDE">
      <w:pPr>
        <w:spacing w:line="360" w:lineRule="auto"/>
        <w:jc w:val="both"/>
        <w:rPr>
          <w:rFonts w:ascii="Arial" w:hAnsi="Arial" w:cs="Arial"/>
          <w:sz w:val="24"/>
          <w:szCs w:val="24"/>
        </w:rPr>
      </w:pPr>
      <w:r>
        <w:rPr>
          <w:rStyle w:val="Strong"/>
          <w:rFonts w:ascii="Arial" w:hAnsi="Arial" w:cs="Arial"/>
          <w:bCs w:val="0"/>
        </w:rPr>
        <w:t>Table 3</w:t>
      </w:r>
      <w:r w:rsidR="00F01DDE" w:rsidRPr="004A02C3">
        <w:rPr>
          <w:rStyle w:val="Strong"/>
          <w:rFonts w:ascii="Arial" w:hAnsi="Arial" w:cs="Arial"/>
          <w:bCs w:val="0"/>
          <w:sz w:val="24"/>
          <w:szCs w:val="24"/>
        </w:rPr>
        <w:t xml:space="preserve">. Association between </w:t>
      </w:r>
      <w:r w:rsidR="00FC42FA">
        <w:rPr>
          <w:rStyle w:val="Strong"/>
          <w:rFonts w:ascii="Arial" w:hAnsi="Arial" w:cs="Arial"/>
          <w:bCs w:val="0"/>
          <w:sz w:val="24"/>
          <w:szCs w:val="24"/>
        </w:rPr>
        <w:t xml:space="preserve">malnutrition type and feeding practices among children under 5 years old at </w:t>
      </w:r>
      <w:proofErr w:type="spellStart"/>
      <w:r w:rsidR="00FC42FA">
        <w:rPr>
          <w:rStyle w:val="Strong"/>
          <w:rFonts w:ascii="Arial" w:hAnsi="Arial" w:cs="Arial"/>
          <w:bCs w:val="0"/>
          <w:sz w:val="24"/>
          <w:szCs w:val="24"/>
        </w:rPr>
        <w:t>Jitimai</w:t>
      </w:r>
      <w:proofErr w:type="spellEnd"/>
      <w:r w:rsidR="00FC42FA">
        <w:rPr>
          <w:rStyle w:val="Strong"/>
          <w:rFonts w:ascii="Arial" w:hAnsi="Arial" w:cs="Arial"/>
          <w:bCs w:val="0"/>
          <w:sz w:val="24"/>
          <w:szCs w:val="24"/>
        </w:rPr>
        <w:t xml:space="preserve"> District Hospital</w:t>
      </w:r>
      <w:r w:rsidR="00C46343">
        <w:rPr>
          <w:rStyle w:val="Strong"/>
          <w:rFonts w:ascii="Arial" w:hAnsi="Arial" w:cs="Arial"/>
          <w:bCs w:val="0"/>
          <w:sz w:val="24"/>
          <w:szCs w:val="24"/>
        </w:rPr>
        <w:t>,</w:t>
      </w:r>
      <w:r w:rsidR="00853877">
        <w:rPr>
          <w:rFonts w:ascii="Arial" w:hAnsi="Arial" w:cs="Arial"/>
          <w:b/>
          <w:color w:val="000000"/>
          <w:sz w:val="24"/>
          <w:szCs w:val="24"/>
        </w:rPr>
        <w:t xml:space="preserve"> </w:t>
      </w:r>
      <w:r w:rsidR="001E42CC">
        <w:rPr>
          <w:rFonts w:ascii="Arial" w:hAnsi="Arial" w:cs="Arial"/>
          <w:b/>
          <w:color w:val="000000"/>
          <w:sz w:val="24"/>
          <w:szCs w:val="24"/>
        </w:rPr>
        <w:t>Zanzibar</w:t>
      </w:r>
      <w:r w:rsidR="00F01DDE" w:rsidRPr="004A02C3">
        <w:rPr>
          <w:rStyle w:val="Strong"/>
          <w:rFonts w:ascii="Arial" w:hAnsi="Arial" w:cs="Arial"/>
          <w:bCs w:val="0"/>
        </w:rPr>
        <w:t xml:space="preserve"> </w:t>
      </w:r>
      <w:r w:rsidR="00F01DDE" w:rsidRPr="004A02C3">
        <w:rPr>
          <w:rStyle w:val="Strong"/>
          <w:rFonts w:ascii="Arial" w:hAnsi="Arial" w:cs="Arial"/>
          <w:bCs w:val="0"/>
          <w:sz w:val="24"/>
          <w:szCs w:val="24"/>
        </w:rPr>
        <w:t>(N=96)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7"/>
        <w:gridCol w:w="1128"/>
        <w:gridCol w:w="1076"/>
        <w:gridCol w:w="1534"/>
        <w:gridCol w:w="1149"/>
        <w:gridCol w:w="1280"/>
        <w:gridCol w:w="986"/>
      </w:tblGrid>
      <w:tr w:rsidR="00F01DDE" w:rsidRPr="004A02C3" w:rsidTr="009D2EE1">
        <w:trPr>
          <w:tblHeader/>
          <w:tblCellSpacing w:w="15" w:type="dxa"/>
        </w:trPr>
        <w:tc>
          <w:tcPr>
            <w:tcW w:w="0" w:type="auto"/>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Feeding Practice</w:t>
            </w:r>
          </w:p>
        </w:tc>
        <w:tc>
          <w:tcPr>
            <w:tcW w:w="1098" w:type="dxa"/>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I don’t know n (%)</w:t>
            </w:r>
          </w:p>
        </w:tc>
        <w:tc>
          <w:tcPr>
            <w:tcW w:w="1046" w:type="dxa"/>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Stunting</w:t>
            </w:r>
          </w:p>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 xml:space="preserve"> n (%)</w:t>
            </w:r>
          </w:p>
        </w:tc>
        <w:tc>
          <w:tcPr>
            <w:tcW w:w="1504" w:type="dxa"/>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Underweight n (%)</w:t>
            </w:r>
          </w:p>
        </w:tc>
        <w:tc>
          <w:tcPr>
            <w:tcW w:w="1119" w:type="dxa"/>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Wasting n (%)</w:t>
            </w:r>
          </w:p>
        </w:tc>
        <w:tc>
          <w:tcPr>
            <w:tcW w:w="1250" w:type="dxa"/>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Likelihood Ratio (p)</w:t>
            </w:r>
          </w:p>
        </w:tc>
        <w:tc>
          <w:tcPr>
            <w:tcW w:w="0" w:type="auto"/>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Chi-square (p)</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Frequency of breastfeeding per day</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&lt;3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36 (45.0)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(44.4)</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14.33 (0.111)</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13.07 (0.159)</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5–8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16 (20.0)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(44.4)</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(80)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&gt;8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Type of complementary feeding</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29.67 (0.000)</w:t>
            </w:r>
          </w:p>
        </w:tc>
        <w:tc>
          <w:tcPr>
            <w:tcW w:w="0" w:type="auto"/>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34.46 (0.000)</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Dairy products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23 (28.8)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(33.3)</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(80)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Fish/eggs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Fruits/vegetables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52 (65.0)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(100)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Porridge</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(44.4)</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(20)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Frequency of meals per day</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11.18 (0.513)</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17.67 (0.126)</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lastRenderedPageBreak/>
              <w:t>No</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(1.3)</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(20)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Once/day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Rarely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(5.0)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Twice/day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71 (88.7)</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6 (66.7)</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(80)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History of malnutrition diagnosis</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36.71 (0.000)</w:t>
            </w:r>
          </w:p>
        </w:tc>
        <w:tc>
          <w:tcPr>
            <w:tcW w:w="0" w:type="auto"/>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42.91 (0.000)</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No</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72 (90.0)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(100)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(22.2)</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Yes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8 (10.0)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 (77.8)</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 (100)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Frequency of fever/infections</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5.25 (0.513)</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4.67 (0.586)</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Frequently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24 (30.0)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 (55.6)</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(60)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Occasionally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10 (12.5)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Rarely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46 (57.5)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(33.3)</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(40)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Place of seeking medical help</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0.37 (0.947)</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0.20 (0.977)</w:t>
            </w: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Hospital</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79 (98.8)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(100)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9 (100)</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 (100)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9D2EE1">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lastRenderedPageBreak/>
              <w:t>Traditional healer</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(1.3)</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bl>
    <w:p w:rsidR="00F01DDE" w:rsidRPr="004A02C3" w:rsidRDefault="00F01DDE" w:rsidP="00F01DDE">
      <w:pPr>
        <w:spacing w:line="360" w:lineRule="auto"/>
        <w:rPr>
          <w:rFonts w:ascii="Arial" w:hAnsi="Arial" w:cs="Arial"/>
          <w:color w:val="000000"/>
          <w:sz w:val="24"/>
          <w:szCs w:val="24"/>
        </w:rPr>
      </w:pPr>
      <w:bookmarkStart w:id="7" w:name="_Toc183254849"/>
      <w:bookmarkEnd w:id="7"/>
    </w:p>
    <w:p w:rsidR="00F01DDE" w:rsidRPr="004A02C3" w:rsidRDefault="00F01DDE" w:rsidP="00F01DDE">
      <w:pPr>
        <w:spacing w:line="360" w:lineRule="auto"/>
        <w:rPr>
          <w:rFonts w:ascii="Arial" w:hAnsi="Arial" w:cs="Arial"/>
          <w:color w:val="000000"/>
          <w:sz w:val="24"/>
          <w:szCs w:val="24"/>
        </w:rPr>
      </w:pPr>
    </w:p>
    <w:p w:rsidR="00F01DDE" w:rsidRPr="004A02C3" w:rsidRDefault="00F01DDE" w:rsidP="00F01DDE">
      <w:pPr>
        <w:pStyle w:val="Heading1"/>
        <w:spacing w:line="360" w:lineRule="auto"/>
        <w:rPr>
          <w:rFonts w:ascii="Arial" w:hAnsi="Arial" w:cs="Arial"/>
          <w:b/>
          <w:bCs/>
          <w:color w:val="000000"/>
          <w:sz w:val="24"/>
          <w:szCs w:val="24"/>
        </w:rPr>
      </w:pPr>
      <w:r w:rsidRPr="004A02C3">
        <w:rPr>
          <w:rFonts w:ascii="Arial" w:hAnsi="Arial" w:cs="Arial"/>
          <w:b/>
          <w:bCs/>
          <w:color w:val="000000"/>
          <w:sz w:val="24"/>
          <w:szCs w:val="24"/>
        </w:rPr>
        <w:t>DISCUSSION</w:t>
      </w:r>
    </w:p>
    <w:p w:rsidR="00F01DDE" w:rsidRPr="004A02C3" w:rsidRDefault="00F01DDE" w:rsidP="00F01DDE">
      <w:pPr>
        <w:rPr>
          <w:rFonts w:ascii="Arial" w:hAnsi="Arial" w:cs="Arial"/>
          <w:sz w:val="24"/>
          <w:szCs w:val="24"/>
        </w:rPr>
      </w:pPr>
    </w:p>
    <w:p w:rsidR="00F01DDE" w:rsidRPr="004A02C3" w:rsidRDefault="00F01DDE" w:rsidP="00F01DDE">
      <w:pPr>
        <w:spacing w:line="360" w:lineRule="auto"/>
        <w:jc w:val="both"/>
        <w:rPr>
          <w:rFonts w:ascii="Arial" w:eastAsia="Times New Roman" w:hAnsi="Arial" w:cs="Arial"/>
          <w:sz w:val="24"/>
          <w:szCs w:val="24"/>
        </w:rPr>
      </w:pPr>
      <w:r w:rsidRPr="004A02C3">
        <w:rPr>
          <w:rFonts w:ascii="Arial" w:eastAsia="Times New Roman" w:hAnsi="Arial" w:cs="Arial"/>
          <w:sz w:val="24"/>
          <w:szCs w:val="24"/>
        </w:rPr>
        <w:t xml:space="preserve">The caregiver population at </w:t>
      </w:r>
      <w:proofErr w:type="spellStart"/>
      <w:r w:rsidRPr="004A02C3">
        <w:rPr>
          <w:rFonts w:ascii="Arial" w:eastAsia="Times New Roman" w:hAnsi="Arial" w:cs="Arial"/>
          <w:sz w:val="24"/>
          <w:szCs w:val="24"/>
        </w:rPr>
        <w:t>Jitimai</w:t>
      </w:r>
      <w:proofErr w:type="spellEnd"/>
      <w:r w:rsidRPr="004A02C3">
        <w:rPr>
          <w:rFonts w:ascii="Arial" w:eastAsia="Times New Roman" w:hAnsi="Arial" w:cs="Arial"/>
          <w:sz w:val="24"/>
          <w:szCs w:val="24"/>
        </w:rPr>
        <w:t xml:space="preserve"> Hospital was predominantly female (64.6%) and married (94.8%), with a majority having completed secondary education (52.1%) but low participation in formal wage employment (5.2%). Compared with nationally representative data from the 2022 Tanzania DHS</w:t>
      </w:r>
      <w:r w:rsidR="00F61D00">
        <w:rPr>
          <w:rFonts w:ascii="Arial" w:eastAsia="Times New Roman" w:hAnsi="Arial" w:cs="Arial"/>
          <w:sz w:val="24"/>
          <w:szCs w:val="24"/>
        </w:rPr>
        <w:t>, in which roughly 31% of women report secondary education or higher,</w:t>
      </w:r>
      <w:r w:rsidRPr="004A02C3">
        <w:rPr>
          <w:rFonts w:ascii="Arial" w:eastAsia="Times New Roman" w:hAnsi="Arial" w:cs="Arial"/>
          <w:sz w:val="24"/>
          <w:szCs w:val="24"/>
        </w:rPr>
        <w:t xml:space="preserve"> our sample appears comparatively more educated, likely reflecting hospital-based sampling and urban referral patterns</w:t>
      </w:r>
      <w:r w:rsidR="001E42CC">
        <w:rPr>
          <w:rFonts w:ascii="Arial" w:eastAsia="Times New Roman" w:hAnsi="Arial" w:cs="Arial"/>
          <w:sz w:val="24"/>
          <w:szCs w:val="24"/>
        </w:rPr>
        <w:t xml:space="preserve"> </w:t>
      </w:r>
      <w:r w:rsidRPr="004A02C3">
        <w:rPr>
          <w:rFonts w:ascii="Arial" w:eastAsia="Times New Roman" w:hAnsi="Arial" w:cs="Arial"/>
          <w:sz w:val="24"/>
          <w:szCs w:val="24"/>
        </w:rPr>
        <w:fldChar w:fldCharType="begin" w:fldLock="1"/>
      </w:r>
      <w:r w:rsidR="00A62D47">
        <w:rPr>
          <w:rFonts w:ascii="Arial" w:eastAsia="Times New Roman" w:hAnsi="Arial" w:cs="Arial"/>
          <w:sz w:val="24"/>
          <w:szCs w:val="24"/>
        </w:rPr>
        <w:instrText>ADDIN CSL_CITATION {"citationItems":[{"id":"ITEM-1","itemData":{"author":[{"dropping-particle":"","family":"Survey","given":"Health","non-dropping-particle":"","parse-names":false,"suffix":""},{"dropping-particle":"","family":"Survey","given":"Malaria Indicator","non-dropping-particle":"","parse-names":false,"suffix":""}],"id":"ITEM-1","issued":{"date-parts":[["2022"]]},"title":"Tanzania","type":"article-journal"},"uris":["http://www.mendeley.com/documents/?uuid=5d021e73-c72d-46ac-81b3-903c1b9eca56","http://www.mendeley.com/documents/?uuid=bdc2898e-6fe6-4a2f-9b27-ac11e82ee5d3"]}],"mendeley":{"formattedCitation":"[18]","plainTextFormattedCitation":"[18]","previouslyFormattedCitation":"[18]"},"properties":{"noteIndex":0},"schema":"https://github.com/citation-style-language/schema/raw/master/csl-citation.json"}</w:instrText>
      </w:r>
      <w:r w:rsidRPr="004A02C3">
        <w:rPr>
          <w:rFonts w:ascii="Arial" w:eastAsia="Times New Roman" w:hAnsi="Arial" w:cs="Arial"/>
          <w:sz w:val="24"/>
          <w:szCs w:val="24"/>
        </w:rPr>
        <w:fldChar w:fldCharType="separate"/>
      </w:r>
      <w:r w:rsidRPr="004A02C3">
        <w:rPr>
          <w:rFonts w:ascii="Arial" w:eastAsia="Times New Roman" w:hAnsi="Arial" w:cs="Arial"/>
          <w:noProof/>
          <w:sz w:val="24"/>
          <w:szCs w:val="24"/>
        </w:rPr>
        <w:t>[18]</w:t>
      </w:r>
      <w:r w:rsidRPr="004A02C3">
        <w:rPr>
          <w:rFonts w:ascii="Arial" w:eastAsia="Times New Roman" w:hAnsi="Arial" w:cs="Arial"/>
          <w:sz w:val="24"/>
          <w:szCs w:val="24"/>
        </w:rPr>
        <w:fldChar w:fldCharType="end"/>
      </w:r>
      <w:r w:rsidRPr="004A02C3">
        <w:rPr>
          <w:rFonts w:ascii="Arial" w:eastAsia="Times New Roman" w:hAnsi="Arial" w:cs="Arial"/>
          <w:sz w:val="24"/>
          <w:szCs w:val="24"/>
        </w:rPr>
        <w:t>. Maternal education and household economic status are well-established predictors of child feeding practices and nutritional outcomes</w:t>
      </w:r>
      <w:r w:rsidR="001E42CC">
        <w:rPr>
          <w:rFonts w:ascii="Arial" w:eastAsia="Times New Roman" w:hAnsi="Arial" w:cs="Arial"/>
          <w:sz w:val="24"/>
          <w:szCs w:val="24"/>
        </w:rPr>
        <w:t xml:space="preserve"> </w:t>
      </w:r>
      <w:r w:rsidRPr="004A02C3">
        <w:rPr>
          <w:rFonts w:ascii="Arial" w:eastAsia="Times New Roman" w:hAnsi="Arial" w:cs="Arial"/>
          <w:sz w:val="24"/>
          <w:szCs w:val="24"/>
        </w:rPr>
        <w:fldChar w:fldCharType="begin" w:fldLock="1"/>
      </w:r>
      <w:r w:rsidR="00A62D47">
        <w:rPr>
          <w:rFonts w:ascii="Arial" w:eastAsia="Times New Roman" w:hAnsi="Arial" w:cs="Arial"/>
          <w:sz w:val="24"/>
          <w:szCs w:val="24"/>
        </w:rPr>
        <w:instrText>ADDIN CSL_CITATION {"citationItems":[{"id":"ITEM-1","itemData":{"author":[{"dropping-particle":"","family":"Kauky","given":"Monica Sebastian","non-dropping-particle":"","parse-names":false,"suffix":""}],"id":"ITEM-1","issue":"September","issued":{"date-parts":[["2023"]]},"page":"203-218","title":"No Title","type":"article-journal","volume":"11"},"uris":["http://www.mendeley.com/documents/?uuid=08f03092-53a1-4737-9f67-dde0ed50f756","http://www.mendeley.com/documents/?uuid=f4c8de4f-7f3f-4e6c-921f-745452b42d60"]}],"mendeley":{"formattedCitation":"[19]","plainTextFormattedCitation":"[19]","previouslyFormattedCitation":"[19]"},"properties":{"noteIndex":0},"schema":"https://github.com/citation-style-language/schema/raw/master/csl-citation.json"}</w:instrText>
      </w:r>
      <w:r w:rsidRPr="004A02C3">
        <w:rPr>
          <w:rFonts w:ascii="Arial" w:eastAsia="Times New Roman" w:hAnsi="Arial" w:cs="Arial"/>
          <w:sz w:val="24"/>
          <w:szCs w:val="24"/>
        </w:rPr>
        <w:fldChar w:fldCharType="separate"/>
      </w:r>
      <w:r w:rsidRPr="004A02C3">
        <w:rPr>
          <w:rFonts w:ascii="Arial" w:eastAsia="Times New Roman" w:hAnsi="Arial" w:cs="Arial"/>
          <w:noProof/>
          <w:sz w:val="24"/>
          <w:szCs w:val="24"/>
        </w:rPr>
        <w:t>[19]</w:t>
      </w:r>
      <w:r w:rsidRPr="004A02C3">
        <w:rPr>
          <w:rFonts w:ascii="Arial" w:eastAsia="Times New Roman" w:hAnsi="Arial" w:cs="Arial"/>
          <w:sz w:val="24"/>
          <w:szCs w:val="24"/>
        </w:rPr>
        <w:fldChar w:fldCharType="end"/>
      </w:r>
      <w:r w:rsidRPr="004A02C3">
        <w:rPr>
          <w:rFonts w:ascii="Arial" w:eastAsia="Times New Roman" w:hAnsi="Arial" w:cs="Arial"/>
          <w:sz w:val="24"/>
          <w:szCs w:val="24"/>
        </w:rPr>
        <w:fldChar w:fldCharType="begin" w:fldLock="1"/>
      </w:r>
      <w:r w:rsidR="00A62D47">
        <w:rPr>
          <w:rFonts w:ascii="Arial" w:eastAsia="Times New Roman" w:hAnsi="Arial" w:cs="Arial"/>
          <w:sz w:val="24"/>
          <w:szCs w:val="24"/>
        </w:rPr>
        <w:instrText>ADDIN CSL_CITATION {"citationItems":[{"id":"ITEM-1","itemData":{"author":[{"dropping-particle":"","family":"Geda","given":"Nigatu Regassa","non-dropping-particle":"","parse-names":false,"suffix":""},{"dropping-particle":"","family":"Feng","given":"Cindy Xin","non-dropping-particle":"","parse-names":false,"suffix":""},{"dropping-particle":"","family":"Henry","given":"Carol J","non-dropping-particle":"","parse-names":false,"suffix":""},{"dropping-particle":"","family":"Lepnurm","given":"Rein","non-dropping-particle":"","parse-names":false,"suffix":""},{"dropping-particle":"","family":"Janzen","given":"Bonnie","non-dropping-particle":"","parse-names":false,"suffix":""},{"dropping-particle":"","family":"Whiting","given":"Susan J","non-dropping-particle":"","parse-names":false,"suffix":""}],"id":"ITEM-1","issued":{"date-parts":[["2021"]]},"page":"1-12","publisher":"BMC Pediatrics","title":"Multiple anthropometric and nutritional deficiencies in young children in Ethiopia : a multi-level analysis based on a nationally representative data","type":"article-journal"},"uris":["http://www.mendeley.com/documents/?uuid=07997ab2-1b3b-49af-9224-e8e8cf090a34","http://www.mendeley.com/documents/?uuid=0904dd5a-141c-438e-9251-2960d7e18c90"]}],"mendeley":{"formattedCitation":"[20]","plainTextFormattedCitation":"[20]","previouslyFormattedCitation":"[20]"},"properties":{"noteIndex":0},"schema":"https://github.com/citation-style-language/schema/raw/master/csl-citation.json"}</w:instrText>
      </w:r>
      <w:r w:rsidRPr="004A02C3">
        <w:rPr>
          <w:rFonts w:ascii="Arial" w:eastAsia="Times New Roman" w:hAnsi="Arial" w:cs="Arial"/>
          <w:sz w:val="24"/>
          <w:szCs w:val="24"/>
        </w:rPr>
        <w:fldChar w:fldCharType="separate"/>
      </w:r>
      <w:r w:rsidRPr="004A02C3">
        <w:rPr>
          <w:rFonts w:ascii="Arial" w:eastAsia="Times New Roman" w:hAnsi="Arial" w:cs="Arial"/>
          <w:noProof/>
          <w:sz w:val="24"/>
          <w:szCs w:val="24"/>
        </w:rPr>
        <w:t>[20]</w:t>
      </w:r>
      <w:r w:rsidRPr="004A02C3">
        <w:rPr>
          <w:rFonts w:ascii="Arial" w:eastAsia="Times New Roman" w:hAnsi="Arial" w:cs="Arial"/>
          <w:sz w:val="24"/>
          <w:szCs w:val="24"/>
        </w:rPr>
        <w:fldChar w:fldCharType="end"/>
      </w:r>
      <w:r w:rsidRPr="004A02C3">
        <w:rPr>
          <w:rFonts w:ascii="Arial" w:eastAsia="Times New Roman" w:hAnsi="Arial" w:cs="Arial"/>
          <w:sz w:val="24"/>
          <w:szCs w:val="24"/>
        </w:rPr>
        <w:t>; recent Tanzanian studies similarly report that caregiver education is associated with improved dietary diversity and feeding adequacy, while widespread informality of women’s employment constrains both income and caregiving time. These sociodemographic features should therefore be considered when interpreting the burden and determinants of malnutrition in this cohort and when d</w:t>
      </w:r>
      <w:r w:rsidR="001E42CC">
        <w:rPr>
          <w:rFonts w:ascii="Arial" w:eastAsia="Times New Roman" w:hAnsi="Arial" w:cs="Arial"/>
          <w:sz w:val="24"/>
          <w:szCs w:val="24"/>
        </w:rPr>
        <w:t>esigning targeted interventions</w:t>
      </w:r>
      <w:r w:rsidRPr="004A02C3">
        <w:rPr>
          <w:rFonts w:ascii="Arial" w:eastAsia="Times New Roman" w:hAnsi="Arial" w:cs="Arial"/>
          <w:sz w:val="24"/>
          <w:szCs w:val="24"/>
        </w:rPr>
        <w:t xml:space="preserve"> </w:t>
      </w:r>
      <w:r w:rsidRPr="004A02C3">
        <w:rPr>
          <w:rFonts w:ascii="Arial" w:eastAsia="Times New Roman" w:hAnsi="Arial" w:cs="Arial"/>
          <w:sz w:val="24"/>
          <w:szCs w:val="24"/>
        </w:rPr>
        <w:fldChar w:fldCharType="begin" w:fldLock="1"/>
      </w:r>
      <w:r w:rsidR="00A62D47">
        <w:rPr>
          <w:rFonts w:ascii="Arial" w:eastAsia="Times New Roman" w:hAnsi="Arial" w:cs="Arial"/>
          <w:sz w:val="24"/>
          <w:szCs w:val="24"/>
        </w:rPr>
        <w:instrText>ADDIN CSL_CITATION {"citationItems":[{"id":"ITEM-1","itemData":{"ISBN":"4079502400","author":[{"dropping-particle":"","family":"Heri","given":"Rashidi","non-dropping-particle":"","parse-names":false,"suffix":""},{"dropping-particle":"","family":"Malqvist","given":"Mats","non-dropping-particle":"","parse-names":false,"suffix":""},{"dropping-particle":"","family":"Yahya-malima","given":"Khadija I","non-dropping-particle":"","parse-names":false,"suffix":""},{"dropping-particle":"","family":"Mselle","given":"Lilian Teddy","non-dropping-particle":"","parse-names":false,"suffix":""}],"id":"ITEM-1","issued":{"date-parts":[["2024"]]},"page":"1-11","title":"Dietary diversity and associated factors among women attending antenatal clinics in the coast region of Tanzania","type":"article-journal"},"uris":["http://www.mendeley.com/documents/?uuid=ea331548-61e4-461e-a2cf-50c0c48c8ac2","http://www.mendeley.com/documents/?uuid=562d4b3f-5e97-47d2-baef-6a6ad46603a5"]}],"mendeley":{"formattedCitation":"[21]","plainTextFormattedCitation":"[21]","previouslyFormattedCitation":"[21]"},"properties":{"noteIndex":0},"schema":"https://github.com/citation-style-language/schema/raw/master/csl-citation.json"}</w:instrText>
      </w:r>
      <w:r w:rsidRPr="004A02C3">
        <w:rPr>
          <w:rFonts w:ascii="Arial" w:eastAsia="Times New Roman" w:hAnsi="Arial" w:cs="Arial"/>
          <w:sz w:val="24"/>
          <w:szCs w:val="24"/>
        </w:rPr>
        <w:fldChar w:fldCharType="separate"/>
      </w:r>
      <w:r w:rsidRPr="004A02C3">
        <w:rPr>
          <w:rFonts w:ascii="Arial" w:eastAsia="Times New Roman" w:hAnsi="Arial" w:cs="Arial"/>
          <w:noProof/>
          <w:sz w:val="24"/>
          <w:szCs w:val="24"/>
        </w:rPr>
        <w:t>[21]</w:t>
      </w:r>
      <w:r w:rsidRPr="004A02C3">
        <w:rPr>
          <w:rFonts w:ascii="Arial" w:eastAsia="Times New Roman" w:hAnsi="Arial" w:cs="Arial"/>
          <w:sz w:val="24"/>
          <w:szCs w:val="24"/>
        </w:rPr>
        <w:fldChar w:fldCharType="end"/>
      </w:r>
      <w:r w:rsidR="001E42CC">
        <w:rPr>
          <w:rFonts w:ascii="Arial" w:eastAsia="Times New Roman" w:hAnsi="Arial" w:cs="Arial"/>
          <w:sz w:val="24"/>
          <w:szCs w:val="24"/>
        </w:rPr>
        <w:t xml:space="preserve">. </w:t>
      </w:r>
    </w:p>
    <w:p w:rsidR="00F01DDE" w:rsidRPr="004A02C3" w:rsidRDefault="00F01DDE" w:rsidP="00F01DDE">
      <w:pPr>
        <w:spacing w:before="100" w:beforeAutospacing="1" w:after="100" w:afterAutospacing="1" w:line="360" w:lineRule="auto"/>
        <w:rPr>
          <w:rFonts w:ascii="Arial" w:eastAsia="Times New Roman" w:hAnsi="Arial" w:cs="Arial"/>
          <w:sz w:val="24"/>
          <w:szCs w:val="24"/>
        </w:rPr>
      </w:pPr>
      <w:r w:rsidRPr="004A02C3">
        <w:rPr>
          <w:rFonts w:ascii="Arial" w:eastAsia="Times New Roman" w:hAnsi="Arial" w:cs="Arial"/>
          <w:sz w:val="24"/>
          <w:szCs w:val="24"/>
        </w:rPr>
        <w:t xml:space="preserve">In this hospital-based sample (N = 96) from </w:t>
      </w:r>
      <w:proofErr w:type="spellStart"/>
      <w:r w:rsidRPr="004A02C3">
        <w:rPr>
          <w:rFonts w:ascii="Arial" w:eastAsia="Times New Roman" w:hAnsi="Arial" w:cs="Arial"/>
          <w:sz w:val="24"/>
          <w:szCs w:val="24"/>
        </w:rPr>
        <w:t>Jitimai</w:t>
      </w:r>
      <w:proofErr w:type="spellEnd"/>
      <w:r w:rsidRPr="004A02C3">
        <w:rPr>
          <w:rFonts w:ascii="Arial" w:eastAsia="Times New Roman" w:hAnsi="Arial" w:cs="Arial"/>
          <w:sz w:val="24"/>
          <w:szCs w:val="24"/>
        </w:rPr>
        <w:t xml:space="preserve"> Distr</w:t>
      </w:r>
      <w:r>
        <w:rPr>
          <w:rFonts w:ascii="Arial" w:eastAsia="Times New Roman" w:hAnsi="Arial" w:cs="Arial"/>
          <w:sz w:val="24"/>
          <w:szCs w:val="24"/>
        </w:rPr>
        <w:t>ict Hospital</w:t>
      </w:r>
      <w:r w:rsidRPr="001F2182">
        <w:rPr>
          <w:rFonts w:ascii="Arial" w:eastAsia="Times New Roman" w:hAnsi="Arial" w:cs="Arial"/>
          <w:color w:val="FF0000"/>
          <w:sz w:val="24"/>
          <w:szCs w:val="24"/>
        </w:rPr>
        <w:t xml:space="preserve">, </w:t>
      </w:r>
      <w:r w:rsidRPr="001E42CC">
        <w:rPr>
          <w:rFonts w:ascii="Arial" w:eastAsia="Times New Roman" w:hAnsi="Arial" w:cs="Arial"/>
          <w:sz w:val="24"/>
          <w:szCs w:val="24"/>
        </w:rPr>
        <w:t xml:space="preserve">near to a fifth part, </w:t>
      </w:r>
      <w:r w:rsidR="001E42CC">
        <w:rPr>
          <w:rFonts w:ascii="Arial" w:eastAsia="Times New Roman" w:hAnsi="Arial" w:cs="Arial"/>
          <w:sz w:val="24"/>
          <w:szCs w:val="24"/>
        </w:rPr>
        <w:t>(</w:t>
      </w:r>
      <w:r>
        <w:rPr>
          <w:rFonts w:ascii="Arial" w:eastAsia="Times New Roman" w:hAnsi="Arial" w:cs="Arial"/>
          <w:sz w:val="24"/>
          <w:szCs w:val="24"/>
        </w:rPr>
        <w:t xml:space="preserve">16.7 </w:t>
      </w:r>
      <w:r w:rsidRPr="004A02C3">
        <w:rPr>
          <w:rFonts w:ascii="Arial" w:eastAsia="Times New Roman" w:hAnsi="Arial" w:cs="Arial"/>
          <w:sz w:val="24"/>
          <w:szCs w:val="24"/>
        </w:rPr>
        <w:t>%</w:t>
      </w:r>
      <w:r w:rsidR="001E42CC">
        <w:rPr>
          <w:rFonts w:ascii="Arial" w:eastAsia="Times New Roman" w:hAnsi="Arial" w:cs="Arial"/>
          <w:sz w:val="24"/>
          <w:szCs w:val="24"/>
        </w:rPr>
        <w:t>)</w:t>
      </w:r>
      <w:r w:rsidRPr="004A02C3">
        <w:rPr>
          <w:rFonts w:ascii="Arial" w:eastAsia="Times New Roman" w:hAnsi="Arial" w:cs="Arial"/>
          <w:sz w:val="24"/>
          <w:szCs w:val="24"/>
        </w:rPr>
        <w:t xml:space="preserve"> of caregivers reported that their child had experienced malnutrition; when caregivers were asked about the type of malnutrition, most respondents in the whole sample indicated they did not know the specific classification (83.3%, 80/96), while 9.4% (9/96) reported underweight, 5.2% (5/95) reported wasting and 2.1% (2/96) reported stunting. These results should be interpreted as </w:t>
      </w:r>
      <w:r w:rsidRPr="004A02C3">
        <w:rPr>
          <w:rFonts w:ascii="Arial" w:eastAsia="Times New Roman" w:hAnsi="Arial" w:cs="Arial"/>
          <w:i/>
          <w:iCs/>
          <w:sz w:val="24"/>
          <w:szCs w:val="24"/>
        </w:rPr>
        <w:t>caregiver-reported</w:t>
      </w:r>
      <w:r w:rsidRPr="004A02C3">
        <w:rPr>
          <w:rFonts w:ascii="Arial" w:eastAsia="Times New Roman" w:hAnsi="Arial" w:cs="Arial"/>
          <w:sz w:val="24"/>
          <w:szCs w:val="24"/>
        </w:rPr>
        <w:t xml:space="preserve"> perceptions of malnutrition rather than anthropometrically measured prevalence, and therefore are </w:t>
      </w:r>
      <w:r w:rsidRPr="004A02C3">
        <w:rPr>
          <w:rFonts w:ascii="Arial" w:eastAsia="Times New Roman" w:hAnsi="Arial" w:cs="Arial"/>
          <w:sz w:val="24"/>
          <w:szCs w:val="24"/>
        </w:rPr>
        <w:lastRenderedPageBreak/>
        <w:t>subject to recall bias and misclassification because caregiver knowledge of anthr</w:t>
      </w:r>
      <w:r w:rsidR="001E42CC">
        <w:rPr>
          <w:rFonts w:ascii="Arial" w:eastAsia="Times New Roman" w:hAnsi="Arial" w:cs="Arial"/>
          <w:sz w:val="24"/>
          <w:szCs w:val="24"/>
        </w:rPr>
        <w:t xml:space="preserve">opometric categories is limited </w:t>
      </w:r>
      <w:r w:rsidRPr="004A02C3">
        <w:rPr>
          <w:rFonts w:ascii="Arial" w:eastAsia="Times New Roman" w:hAnsi="Arial" w:cs="Arial"/>
          <w:sz w:val="24"/>
          <w:szCs w:val="24"/>
        </w:rPr>
        <w:fldChar w:fldCharType="begin" w:fldLock="1"/>
      </w:r>
      <w:r w:rsidR="00A62D47">
        <w:rPr>
          <w:rFonts w:ascii="Arial" w:eastAsia="Times New Roman" w:hAnsi="Arial" w:cs="Arial"/>
          <w:sz w:val="24"/>
          <w:szCs w:val="24"/>
        </w:rPr>
        <w:instrText>ADDIN CSL_CITATION {"citationItems":[{"id":"ITEM-1","itemData":{"DOI":"10.1186/s12887-024-05239-3","ISSN":"1471-2431","author":[{"dropping-particle":"","family":"Matee","given":"Novest","non-dropping-particle":"","parse-names":false,"suffix":""},{"dropping-particle":"","family":"Ageru","given":"Temesgen Anjulo","non-dropping-particle":"","parse-names":false,"suffix":""},{"dropping-particle":"","family":"Mangi","given":"Ezekiel","non-dropping-particle":"","parse-names":false,"suffix":""},{"dropping-particle":"","family":"Nguyen","given":"Hien Thi","non-dropping-particle":"","parse-names":false,"suffix":""},{"dropping-particle":"","family":"Walugembe","given":"Francis","non-dropping-particle":"","parse-names":false,"suffix":""}],"container-title":"BMC Pediatrics","id":"ITEM-1","issued":{"date-parts":[["2024"]]},"publisher":"BioMed Central","title":"Caregivers ’ perceptions of factors influencing undernutrition among under five in Ubungo , Dar es Salaam , Tanzania","type":"article-journal"},"uris":["http://www.mendeley.com/documents/?uuid=91478385-d157-470e-a8e4-a5a8e48d6ff5","http://www.mendeley.com/documents/?uuid=3242ea8b-35ce-42be-a0dd-e5c306906a3f"]}],"mendeley":{"formattedCitation":"[22]","plainTextFormattedCitation":"[22]","previouslyFormattedCitation":"[22]"},"properties":{"noteIndex":0},"schema":"https://github.com/citation-style-language/schema/raw/master/csl-citation.json"}</w:instrText>
      </w:r>
      <w:r w:rsidRPr="004A02C3">
        <w:rPr>
          <w:rFonts w:ascii="Arial" w:eastAsia="Times New Roman" w:hAnsi="Arial" w:cs="Arial"/>
          <w:sz w:val="24"/>
          <w:szCs w:val="24"/>
        </w:rPr>
        <w:fldChar w:fldCharType="separate"/>
      </w:r>
      <w:r w:rsidRPr="004A02C3">
        <w:rPr>
          <w:rFonts w:ascii="Arial" w:eastAsia="Times New Roman" w:hAnsi="Arial" w:cs="Arial"/>
          <w:noProof/>
          <w:sz w:val="24"/>
          <w:szCs w:val="24"/>
        </w:rPr>
        <w:t>[22]</w:t>
      </w:r>
      <w:r w:rsidRPr="004A02C3">
        <w:rPr>
          <w:rFonts w:ascii="Arial" w:eastAsia="Times New Roman" w:hAnsi="Arial" w:cs="Arial"/>
          <w:sz w:val="24"/>
          <w:szCs w:val="24"/>
        </w:rPr>
        <w:fldChar w:fldCharType="end"/>
      </w:r>
      <w:r w:rsidR="001E42CC">
        <w:rPr>
          <w:rFonts w:ascii="Arial" w:eastAsia="Times New Roman" w:hAnsi="Arial" w:cs="Arial"/>
          <w:sz w:val="24"/>
          <w:szCs w:val="24"/>
        </w:rPr>
        <w:t>.</w:t>
      </w:r>
    </w:p>
    <w:p w:rsidR="00F01DDE" w:rsidRPr="004A02C3" w:rsidRDefault="00F01DDE" w:rsidP="00F01DDE">
      <w:pPr>
        <w:spacing w:before="100" w:beforeAutospacing="1" w:after="100" w:afterAutospacing="1" w:line="360" w:lineRule="auto"/>
        <w:jc w:val="both"/>
        <w:rPr>
          <w:rFonts w:ascii="Arial" w:hAnsi="Arial" w:cs="Arial"/>
          <w:color w:val="1B1B1B"/>
          <w:sz w:val="24"/>
          <w:szCs w:val="24"/>
          <w:shd w:val="clear" w:color="auto" w:fill="FFFFFF"/>
        </w:rPr>
      </w:pPr>
      <w:r w:rsidRPr="004A02C3">
        <w:rPr>
          <w:rFonts w:ascii="Arial" w:eastAsia="Times New Roman" w:hAnsi="Arial" w:cs="Arial"/>
          <w:sz w:val="24"/>
          <w:szCs w:val="24"/>
        </w:rPr>
        <w:t>Compared with nationally representative data, caregiver-reported prevalence in our sample differs in both magnitude and pattern from measured estimates</w:t>
      </w:r>
      <w:r>
        <w:rPr>
          <w:rFonts w:ascii="Arial" w:eastAsia="Times New Roman" w:hAnsi="Arial" w:cs="Arial"/>
          <w:sz w:val="24"/>
          <w:szCs w:val="24"/>
        </w:rPr>
        <w:t xml:space="preserve"> </w:t>
      </w:r>
      <w:r w:rsidRPr="004A02C3">
        <w:rPr>
          <w:rFonts w:ascii="Arial" w:eastAsia="Times New Roman" w:hAnsi="Arial" w:cs="Arial"/>
          <w:sz w:val="24"/>
          <w:szCs w:val="24"/>
        </w:rPr>
        <w:t>this is not aligned with one study done in Tanzania mainland that reported the p</w:t>
      </w:r>
      <w:r w:rsidRPr="004A02C3">
        <w:rPr>
          <w:rFonts w:ascii="Arial" w:hAnsi="Arial" w:cs="Arial"/>
          <w:color w:val="202020"/>
          <w:sz w:val="24"/>
          <w:szCs w:val="24"/>
          <w:shd w:val="clear" w:color="auto" w:fill="FFFFFF"/>
        </w:rPr>
        <w:t>revalence of malnutrition was higher in boys (53.0%) than in girls (45.0%) (</w:t>
      </w:r>
      <w:r w:rsidRPr="004A02C3">
        <w:rPr>
          <w:rStyle w:val="Emphasis"/>
          <w:rFonts w:ascii="Arial" w:hAnsi="Arial" w:cs="Arial"/>
          <w:color w:val="202020"/>
          <w:sz w:val="24"/>
          <w:szCs w:val="24"/>
          <w:shd w:val="clear" w:color="auto" w:fill="FFFFFF"/>
        </w:rPr>
        <w:t>x</w:t>
      </w:r>
      <w:r w:rsidRPr="004A02C3">
        <w:rPr>
          <w:rFonts w:ascii="Arial" w:hAnsi="Arial" w:cs="Arial"/>
          <w:color w:val="202020"/>
          <w:sz w:val="24"/>
          <w:szCs w:val="24"/>
          <w:shd w:val="clear" w:color="auto" w:fill="FFFFFF"/>
        </w:rPr>
        <w:t>2 = 13.9, </w:t>
      </w:r>
      <w:r w:rsidRPr="004A02C3">
        <w:rPr>
          <w:rStyle w:val="Emphasis"/>
          <w:rFonts w:ascii="Arial" w:hAnsi="Arial" w:cs="Arial"/>
          <w:color w:val="202020"/>
          <w:sz w:val="24"/>
          <w:szCs w:val="24"/>
          <w:shd w:val="clear" w:color="auto" w:fill="FFFFFF"/>
        </w:rPr>
        <w:t>p</w:t>
      </w:r>
      <w:r w:rsidRPr="004A02C3">
        <w:rPr>
          <w:rFonts w:ascii="Arial" w:hAnsi="Arial" w:cs="Arial"/>
          <w:color w:val="202020"/>
          <w:sz w:val="24"/>
          <w:szCs w:val="24"/>
          <w:shd w:val="clear" w:color="auto" w:fill="FFFFFF"/>
        </w:rPr>
        <w:t xml:space="preserve"> &lt; 0.001). Stunting was the most prevalent component of undernutrition; it was slightly prevalent in </w:t>
      </w:r>
      <w:proofErr w:type="spellStart"/>
      <w:r w:rsidRPr="004A02C3">
        <w:rPr>
          <w:rFonts w:ascii="Arial" w:hAnsi="Arial" w:cs="Arial"/>
          <w:color w:val="202020"/>
          <w:sz w:val="24"/>
          <w:szCs w:val="24"/>
          <w:shd w:val="clear" w:color="auto" w:fill="FFFFFF"/>
        </w:rPr>
        <w:t>Nanyumbu</w:t>
      </w:r>
      <w:proofErr w:type="spellEnd"/>
      <w:r w:rsidRPr="004A02C3">
        <w:rPr>
          <w:rFonts w:ascii="Arial" w:hAnsi="Arial" w:cs="Arial"/>
          <w:color w:val="202020"/>
          <w:sz w:val="24"/>
          <w:szCs w:val="24"/>
          <w:shd w:val="clear" w:color="auto" w:fill="FFFFFF"/>
        </w:rPr>
        <w:t xml:space="preserve"> (46.5%) compared to </w:t>
      </w:r>
      <w:proofErr w:type="spellStart"/>
      <w:r w:rsidRPr="004A02C3">
        <w:rPr>
          <w:rFonts w:ascii="Arial" w:hAnsi="Arial" w:cs="Arial"/>
          <w:color w:val="202020"/>
          <w:sz w:val="24"/>
          <w:szCs w:val="24"/>
          <w:shd w:val="clear" w:color="auto" w:fill="FFFFFF"/>
        </w:rPr>
        <w:t>Masasi</w:t>
      </w:r>
      <w:proofErr w:type="spellEnd"/>
      <w:r w:rsidRPr="004A02C3">
        <w:rPr>
          <w:rFonts w:ascii="Arial" w:hAnsi="Arial" w:cs="Arial"/>
          <w:color w:val="202020"/>
          <w:sz w:val="24"/>
          <w:szCs w:val="24"/>
          <w:shd w:val="clear" w:color="auto" w:fill="FFFFFF"/>
        </w:rPr>
        <w:t xml:space="preserve"> (42.0%), (</w:t>
      </w:r>
      <w:r w:rsidRPr="004A02C3">
        <w:rPr>
          <w:rStyle w:val="Emphasis"/>
          <w:rFonts w:ascii="Arial" w:hAnsi="Arial" w:cs="Arial"/>
          <w:color w:val="202020"/>
          <w:sz w:val="24"/>
          <w:szCs w:val="24"/>
          <w:shd w:val="clear" w:color="auto" w:fill="FFFFFF"/>
        </w:rPr>
        <w:t>x</w:t>
      </w:r>
      <w:r w:rsidRPr="004A02C3">
        <w:rPr>
          <w:rFonts w:ascii="Arial" w:hAnsi="Arial" w:cs="Arial"/>
          <w:color w:val="202020"/>
          <w:sz w:val="24"/>
          <w:szCs w:val="24"/>
          <w:shd w:val="clear" w:color="auto" w:fill="FFFFFF"/>
        </w:rPr>
        <w:t>2 = 3.624, </w:t>
      </w:r>
      <w:r w:rsidRPr="004A02C3">
        <w:rPr>
          <w:rStyle w:val="Emphasis"/>
          <w:rFonts w:ascii="Arial" w:hAnsi="Arial" w:cs="Arial"/>
          <w:color w:val="202020"/>
          <w:sz w:val="24"/>
          <w:szCs w:val="24"/>
          <w:shd w:val="clear" w:color="auto" w:fill="FFFFFF"/>
        </w:rPr>
        <w:t>p</w:t>
      </w:r>
      <w:r w:rsidRPr="004A02C3">
        <w:rPr>
          <w:rFonts w:ascii="Arial" w:hAnsi="Arial" w:cs="Arial"/>
          <w:color w:val="202020"/>
          <w:sz w:val="24"/>
          <w:szCs w:val="24"/>
          <w:shd w:val="clear" w:color="auto" w:fill="FFFFFF"/>
        </w:rPr>
        <w:t> = 0.057) and in boys (48.2%) than in girls (39.1%), </w:t>
      </w:r>
      <w:r w:rsidRPr="004A02C3">
        <w:rPr>
          <w:rStyle w:val="Emphasis"/>
          <w:rFonts w:ascii="Arial" w:hAnsi="Arial" w:cs="Arial"/>
          <w:color w:val="202020"/>
          <w:sz w:val="24"/>
          <w:szCs w:val="24"/>
          <w:shd w:val="clear" w:color="auto" w:fill="FFFFFF"/>
        </w:rPr>
        <w:t>x</w:t>
      </w:r>
      <w:r w:rsidRPr="004A02C3">
        <w:rPr>
          <w:rFonts w:ascii="Arial" w:hAnsi="Arial" w:cs="Arial"/>
          <w:color w:val="202020"/>
          <w:sz w:val="24"/>
          <w:szCs w:val="24"/>
          <w:shd w:val="clear" w:color="auto" w:fill="FFFFFF"/>
        </w:rPr>
        <w:t>2 = 17.44, </w:t>
      </w:r>
      <w:r w:rsidRPr="004A02C3">
        <w:rPr>
          <w:rStyle w:val="Emphasis"/>
          <w:rFonts w:ascii="Arial" w:hAnsi="Arial" w:cs="Arial"/>
          <w:color w:val="202020"/>
          <w:sz w:val="24"/>
          <w:szCs w:val="24"/>
          <w:shd w:val="clear" w:color="auto" w:fill="FFFFFF"/>
        </w:rPr>
        <w:t>p</w:t>
      </w:r>
      <w:r w:rsidRPr="004A02C3">
        <w:rPr>
          <w:rFonts w:ascii="Arial" w:hAnsi="Arial" w:cs="Arial"/>
          <w:color w:val="202020"/>
          <w:sz w:val="24"/>
          <w:szCs w:val="24"/>
          <w:shd w:val="clear" w:color="auto" w:fill="FFFFFF"/>
        </w:rPr>
        <w:t>&lt;0.001</w:t>
      </w:r>
      <w:r w:rsidR="001E42CC">
        <w:rPr>
          <w:rFonts w:ascii="Arial" w:hAnsi="Arial" w:cs="Arial"/>
          <w:color w:val="202020"/>
          <w:sz w:val="24"/>
          <w:szCs w:val="24"/>
          <w:shd w:val="clear" w:color="auto" w:fill="FFFFFF"/>
        </w:rPr>
        <w:t xml:space="preserve"> </w:t>
      </w:r>
      <w:r w:rsidRPr="004A02C3">
        <w:rPr>
          <w:rFonts w:ascii="Arial" w:hAnsi="Arial" w:cs="Arial"/>
          <w:color w:val="202020"/>
          <w:sz w:val="24"/>
          <w:szCs w:val="24"/>
          <w:shd w:val="clear" w:color="auto" w:fill="FFFFFF"/>
        </w:rPr>
        <w:fldChar w:fldCharType="begin" w:fldLock="1"/>
      </w:r>
      <w:r w:rsidR="00A62D47">
        <w:rPr>
          <w:rFonts w:ascii="Arial" w:hAnsi="Arial" w:cs="Arial"/>
          <w:color w:val="202020"/>
          <w:sz w:val="24"/>
          <w:szCs w:val="24"/>
          <w:shd w:val="clear" w:color="auto" w:fill="FFFFFF"/>
        </w:rPr>
        <w:instrText>ADDIN CSL_CITATION {"citationItems":[{"id":"ITEM-1","itemData":{"DOI":"10.1371/journal.pone.0267670","ISBN":"1111111111","author":[{"dropping-particle":"","family":"Id","given":"Bruno P Mmbando","non-dropping-particle":"","parse-names":false,"suffix":""},{"dropping-particle":"","family":"Mwaiswelo","given":"Richard O","non-dropping-particle":"","parse-names":false,"suffix":""},{"dropping-particle":"","family":"Chacky","given":"Frank","non-dropping-particle":"","parse-names":false,"suffix":""},{"dropping-particle":"","family":"Molteni","given":"Fabrizio","non-dropping-particle":"","parse-names":false,"suffix":""},{"dropping-particle":"","family":"Mohamed","given":"Ally","non-dropping-particle":"","parse-names":false,"suffix":""},{"dropping-particle":"","family":"Lazaro","given":"Samwel","non-dropping-particle":"","parse-names":false,"suffix":""},{"dropping-particle":"","family":"Ngasala","given":"Billy","non-dropping-particle":"","parse-names":false,"suffix":""}],"id":"ITEM-1","issued":{"date-parts":[["2022"]]},"page":"1-14","title":"Nutritional status of children under five years old involved in a seasonal malaria chemoprevention study in the Nanyumbu and Masasi districts in Tanzania","type":"article-journal"},"uris":["http://www.mendeley.com/documents/?uuid=d249dcd6-3d17-4993-b0fe-738c9eb6fdfb","http://www.mendeley.com/documents/?uuid=6883cfcf-05d1-4f5c-aa62-67f1731c0894"]}],"mendeley":{"formattedCitation":"[23]","plainTextFormattedCitation":"[23]","previouslyFormattedCitation":"[23]"},"properties":{"noteIndex":0},"schema":"https://github.com/citation-style-language/schema/raw/master/csl-citation.json"}</w:instrText>
      </w:r>
      <w:r w:rsidRPr="004A02C3">
        <w:rPr>
          <w:rFonts w:ascii="Arial" w:hAnsi="Arial" w:cs="Arial"/>
          <w:color w:val="202020"/>
          <w:sz w:val="24"/>
          <w:szCs w:val="24"/>
          <w:shd w:val="clear" w:color="auto" w:fill="FFFFFF"/>
        </w:rPr>
        <w:fldChar w:fldCharType="separate"/>
      </w:r>
      <w:r w:rsidRPr="004A02C3">
        <w:rPr>
          <w:rFonts w:ascii="Arial" w:hAnsi="Arial" w:cs="Arial"/>
          <w:noProof/>
          <w:color w:val="202020"/>
          <w:sz w:val="24"/>
          <w:szCs w:val="24"/>
          <w:shd w:val="clear" w:color="auto" w:fill="FFFFFF"/>
        </w:rPr>
        <w:t>[23]</w:t>
      </w:r>
      <w:r w:rsidRPr="004A02C3">
        <w:rPr>
          <w:rFonts w:ascii="Arial" w:hAnsi="Arial" w:cs="Arial"/>
          <w:color w:val="202020"/>
          <w:sz w:val="24"/>
          <w:szCs w:val="24"/>
          <w:shd w:val="clear" w:color="auto" w:fill="FFFFFF"/>
        </w:rPr>
        <w:fldChar w:fldCharType="end"/>
      </w:r>
      <w:r w:rsidRPr="004A02C3">
        <w:rPr>
          <w:rFonts w:ascii="Arial" w:eastAsia="Times New Roman" w:hAnsi="Arial" w:cs="Arial"/>
          <w:sz w:val="24"/>
          <w:szCs w:val="24"/>
        </w:rPr>
        <w:t xml:space="preserve">, indicating that objectively measured stunting and underweight remain more common than caregiver reports of these conditions in our study. This mismatch most likely reflects: the difference between measured anthropometry and caregiver recognition, the small hospital convenience sample, and </w:t>
      </w:r>
      <w:r w:rsidR="00F61D00">
        <w:rPr>
          <w:rFonts w:ascii="Arial" w:eastAsia="Times New Roman" w:hAnsi="Arial" w:cs="Arial"/>
          <w:sz w:val="24"/>
          <w:szCs w:val="24"/>
        </w:rPr>
        <w:t xml:space="preserve">the </w:t>
      </w:r>
      <w:r w:rsidRPr="004A02C3">
        <w:rPr>
          <w:rFonts w:ascii="Arial" w:eastAsia="Times New Roman" w:hAnsi="Arial" w:cs="Arial"/>
          <w:sz w:val="24"/>
          <w:szCs w:val="24"/>
        </w:rPr>
        <w:t xml:space="preserve">possible selection of caregivers seeking care for ill children.  Also ours </w:t>
      </w:r>
      <w:proofErr w:type="spellStart"/>
      <w:r w:rsidRPr="004A02C3">
        <w:rPr>
          <w:rFonts w:ascii="Arial" w:eastAsia="Times New Roman" w:hAnsi="Arial" w:cs="Arial"/>
          <w:sz w:val="24"/>
          <w:szCs w:val="24"/>
        </w:rPr>
        <w:t>resrultas</w:t>
      </w:r>
      <w:proofErr w:type="spellEnd"/>
      <w:r w:rsidRPr="004A02C3">
        <w:rPr>
          <w:rFonts w:ascii="Arial" w:eastAsia="Times New Roman" w:hAnsi="Arial" w:cs="Arial"/>
          <w:sz w:val="24"/>
          <w:szCs w:val="24"/>
        </w:rPr>
        <w:t xml:space="preserve"> are no</w:t>
      </w:r>
      <w:r w:rsidR="001E42CC">
        <w:rPr>
          <w:rFonts w:ascii="Arial" w:eastAsia="Times New Roman" w:hAnsi="Arial" w:cs="Arial"/>
          <w:sz w:val="24"/>
          <w:szCs w:val="24"/>
        </w:rPr>
        <w:t xml:space="preserve">t </w:t>
      </w:r>
      <w:proofErr w:type="spellStart"/>
      <w:r w:rsidR="001E42CC">
        <w:rPr>
          <w:rFonts w:ascii="Arial" w:eastAsia="Times New Roman" w:hAnsi="Arial" w:cs="Arial"/>
          <w:sz w:val="24"/>
          <w:szCs w:val="24"/>
        </w:rPr>
        <w:t>alined</w:t>
      </w:r>
      <w:proofErr w:type="spellEnd"/>
      <w:r w:rsidR="001E42CC">
        <w:rPr>
          <w:rFonts w:ascii="Arial" w:eastAsia="Times New Roman" w:hAnsi="Arial" w:cs="Arial"/>
          <w:sz w:val="24"/>
          <w:szCs w:val="24"/>
        </w:rPr>
        <w:t xml:space="preserve"> with </w:t>
      </w:r>
      <w:proofErr w:type="spellStart"/>
      <w:r w:rsidR="001E42CC">
        <w:rPr>
          <w:rFonts w:ascii="Arial" w:eastAsia="Times New Roman" w:hAnsi="Arial" w:cs="Arial"/>
          <w:sz w:val="24"/>
          <w:szCs w:val="24"/>
        </w:rPr>
        <w:t>Tchuente</w:t>
      </w:r>
      <w:proofErr w:type="spellEnd"/>
      <w:r w:rsidR="001E42CC">
        <w:rPr>
          <w:rFonts w:ascii="Arial" w:eastAsia="Times New Roman" w:hAnsi="Arial" w:cs="Arial"/>
          <w:sz w:val="24"/>
          <w:szCs w:val="24"/>
        </w:rPr>
        <w:t xml:space="preserve"> in Cameroon</w:t>
      </w:r>
      <w:r w:rsidRPr="004A02C3">
        <w:rPr>
          <w:rFonts w:ascii="Arial" w:hAnsi="Arial" w:cs="Arial"/>
          <w:color w:val="1B1B1B"/>
          <w:sz w:val="24"/>
          <w:szCs w:val="24"/>
          <w:shd w:val="clear" w:color="auto" w:fill="FFFFFF"/>
        </w:rPr>
        <w:t xml:space="preserve"> who founded a </w:t>
      </w:r>
      <w:proofErr w:type="spellStart"/>
      <w:r w:rsidRPr="004A02C3">
        <w:rPr>
          <w:rFonts w:ascii="Arial" w:hAnsi="Arial" w:cs="Arial"/>
          <w:color w:val="1B1B1B"/>
          <w:sz w:val="24"/>
          <w:szCs w:val="24"/>
          <w:shd w:val="clear" w:color="auto" w:fill="FFFFFF"/>
        </w:rPr>
        <w:t>prevalences</w:t>
      </w:r>
      <w:proofErr w:type="spellEnd"/>
      <w:r w:rsidRPr="004A02C3">
        <w:rPr>
          <w:rFonts w:ascii="Arial" w:hAnsi="Arial" w:cs="Arial"/>
          <w:color w:val="1B1B1B"/>
          <w:sz w:val="24"/>
          <w:szCs w:val="24"/>
          <w:shd w:val="clear" w:color="auto" w:fill="FFFFFF"/>
        </w:rPr>
        <w:t xml:space="preserve"> of 4.20% for the coexistence of underweight with wasting, 7.8% for the coexistence of underweight with stunting and 14.8% for the coexistence of stunting with overweight</w:t>
      </w:r>
      <w:r w:rsidR="001E42CC">
        <w:rPr>
          <w:rFonts w:ascii="Arial" w:hAnsi="Arial" w:cs="Arial"/>
          <w:color w:val="1B1B1B"/>
          <w:sz w:val="24"/>
          <w:szCs w:val="24"/>
          <w:shd w:val="clear" w:color="auto" w:fill="FFFFFF"/>
        </w:rPr>
        <w:t xml:space="preserve"> </w:t>
      </w:r>
      <w:r w:rsidRPr="004A02C3">
        <w:rPr>
          <w:rFonts w:ascii="Arial" w:hAnsi="Arial" w:cs="Arial"/>
          <w:color w:val="1B1B1B"/>
          <w:sz w:val="24"/>
          <w:szCs w:val="24"/>
          <w:shd w:val="clear" w:color="auto" w:fill="FFFFFF"/>
        </w:rPr>
        <w:fldChar w:fldCharType="begin" w:fldLock="1"/>
      </w:r>
      <w:r w:rsidR="00A62D47">
        <w:rPr>
          <w:rFonts w:ascii="Arial" w:hAnsi="Arial" w:cs="Arial"/>
          <w:color w:val="1B1B1B"/>
          <w:sz w:val="24"/>
          <w:szCs w:val="24"/>
          <w:shd w:val="clear" w:color="auto" w:fill="FFFFFF"/>
        </w:rPr>
        <w:instrText>ADDIN CSL_CITATION {"citationItems":[{"id":"ITEM-1","itemData":{"DOI":"10.1371/journal.pone.0303611","ISBN":"1111111111","author":[{"dropping-particle":"","family":"Ronald","given":"Boris","non-dropping-particle":"","parse-names":false,"suffix":""},{"dropping-particle":"","family":"Tchuente","given":"Tonou","non-dropping-particle":"","parse-names":false,"suffix":""},{"dropping-particle":"","family":"Wandji","given":"Maxwell","non-dropping-particle":"","parse-names":false,"suffix":""},{"dropping-particle":"","family":"Id","given":"Nguedjo","non-dropping-particle":"","parse-names":false,"suffix":""},{"dropping-particle":"","family":"Joe","given":"Dany","non-dropping-particle":"","parse-names":false,"suffix":""},{"dropping-particle":"","family":"Ngoumen","given":"Ngassa","non-dropping-particle":"","parse-names":false,"suffix":""},{"dropping-particle":"","family":"Cynthia","given":"Grace","non-dropping-particle":"","parse-names":false,"suffix":""},{"dropping-particle":"De","family":"Wandji","given":"Fandio","non-dropping-particle":"","parse-names":false,"suffix":""},{"dropping-particle":"","family":"Mouafo","given":"Hippolyte Tene","non-dropping-particle":"","parse-names":false,"suffix":""},{"dropping-particle":"","family":"Tambe","given":"Ayuk","non-dropping-particle":"","parse-names":false,"suffix":""},{"dropping-particle":"","family":"Medoua","given":"Gabriel Nama","non-dropping-particle":"","parse-names":false,"suffix":""},{"dropping-particle":"","family":"Tsamo","given":"Vigny Ndomo","non-dropping-particle":"","parse-names":false,"suffix":""}],"id":"ITEM-1","issued":{"date-parts":[["2024"]]},"page":"1-15","title":"Prevalence and associated factors of coexisting forms of malnutrition in children under 5 years age in a rural area of Cameroon","type":"article-journal"},"uris":["http://www.mendeley.com/documents/?uuid=794f94e7-bced-4763-b2b2-7b3620d9b010","http://www.mendeley.com/documents/?uuid=0be17236-b7ea-4b00-8759-ad9c2d7429cd"]}],"mendeley":{"formattedCitation":"[24]","plainTextFormattedCitation":"[24]","previouslyFormattedCitation":"[24]"},"properties":{"noteIndex":0},"schema":"https://github.com/citation-style-language/schema/raw/master/csl-citation.json"}</w:instrText>
      </w:r>
      <w:r w:rsidRPr="004A02C3">
        <w:rPr>
          <w:rFonts w:ascii="Arial" w:hAnsi="Arial" w:cs="Arial"/>
          <w:color w:val="1B1B1B"/>
          <w:sz w:val="24"/>
          <w:szCs w:val="24"/>
          <w:shd w:val="clear" w:color="auto" w:fill="FFFFFF"/>
        </w:rPr>
        <w:fldChar w:fldCharType="separate"/>
      </w:r>
      <w:r w:rsidRPr="004A02C3">
        <w:rPr>
          <w:rFonts w:ascii="Arial" w:hAnsi="Arial" w:cs="Arial"/>
          <w:noProof/>
          <w:color w:val="1B1B1B"/>
          <w:sz w:val="24"/>
          <w:szCs w:val="24"/>
          <w:shd w:val="clear" w:color="auto" w:fill="FFFFFF"/>
        </w:rPr>
        <w:t>[24]</w:t>
      </w:r>
      <w:r w:rsidRPr="004A02C3">
        <w:rPr>
          <w:rFonts w:ascii="Arial" w:hAnsi="Arial" w:cs="Arial"/>
          <w:color w:val="1B1B1B"/>
          <w:sz w:val="24"/>
          <w:szCs w:val="24"/>
          <w:shd w:val="clear" w:color="auto" w:fill="FFFFFF"/>
        </w:rPr>
        <w:fldChar w:fldCharType="end"/>
      </w:r>
      <w:r w:rsidR="00F61D00">
        <w:rPr>
          <w:rFonts w:ascii="Arial" w:hAnsi="Arial" w:cs="Arial"/>
          <w:color w:val="1B1B1B"/>
          <w:sz w:val="24"/>
          <w:szCs w:val="24"/>
          <w:shd w:val="clear" w:color="auto" w:fill="FFFFFF"/>
        </w:rPr>
        <w:t xml:space="preserve"> , </w:t>
      </w:r>
      <w:proofErr w:type="spellStart"/>
      <w:r w:rsidR="00F61D00">
        <w:rPr>
          <w:rFonts w:ascii="Arial" w:hAnsi="Arial" w:cs="Arial"/>
          <w:color w:val="1B1B1B"/>
          <w:sz w:val="24"/>
          <w:szCs w:val="24"/>
          <w:shd w:val="clear" w:color="auto" w:fill="FFFFFF"/>
        </w:rPr>
        <w:t>Rahi</w:t>
      </w:r>
      <w:proofErr w:type="spellEnd"/>
      <w:r w:rsidR="00F61D00">
        <w:rPr>
          <w:rFonts w:ascii="Arial" w:hAnsi="Arial" w:cs="Arial"/>
          <w:color w:val="1B1B1B"/>
          <w:sz w:val="24"/>
          <w:szCs w:val="24"/>
          <w:shd w:val="clear" w:color="auto" w:fill="FFFFFF"/>
        </w:rPr>
        <w:t xml:space="preserve"> in India reported t</w:t>
      </w:r>
      <w:r w:rsidRPr="004A02C3">
        <w:rPr>
          <w:rFonts w:ascii="Arial" w:hAnsi="Arial" w:cs="Arial"/>
          <w:color w:val="1B1B1B"/>
          <w:sz w:val="24"/>
          <w:szCs w:val="24"/>
          <w:shd w:val="clear" w:color="auto" w:fill="FFFFFF"/>
        </w:rPr>
        <w:t xml:space="preserve">he </w:t>
      </w:r>
      <w:proofErr w:type="spellStart"/>
      <w:r w:rsidRPr="004A02C3">
        <w:rPr>
          <w:rFonts w:ascii="Arial" w:hAnsi="Arial" w:cs="Arial"/>
          <w:color w:val="1B1B1B"/>
          <w:sz w:val="24"/>
          <w:szCs w:val="24"/>
          <w:shd w:val="clear" w:color="auto" w:fill="FFFFFF"/>
        </w:rPr>
        <w:t>prevalences</w:t>
      </w:r>
      <w:proofErr w:type="spellEnd"/>
      <w:r w:rsidRPr="004A02C3">
        <w:rPr>
          <w:rFonts w:ascii="Arial" w:hAnsi="Arial" w:cs="Arial"/>
          <w:color w:val="1B1B1B"/>
          <w:sz w:val="24"/>
          <w:szCs w:val="24"/>
          <w:shd w:val="clear" w:color="auto" w:fill="FFFFFF"/>
        </w:rPr>
        <w:t xml:space="preserve"> of underweight, stunting, and wasting in children under 5 years were 37%, 53%, and 21%, respectively</w:t>
      </w:r>
      <w:r w:rsidR="00F61D00">
        <w:rPr>
          <w:rFonts w:ascii="Arial" w:hAnsi="Arial" w:cs="Arial"/>
          <w:color w:val="1B1B1B"/>
          <w:sz w:val="24"/>
          <w:szCs w:val="24"/>
          <w:shd w:val="clear" w:color="auto" w:fill="FFFFFF"/>
        </w:rPr>
        <w:t xml:space="preserve"> </w:t>
      </w:r>
      <w:r w:rsidRPr="004A02C3">
        <w:rPr>
          <w:rFonts w:ascii="Arial" w:hAnsi="Arial" w:cs="Arial"/>
          <w:color w:val="1B1B1B"/>
          <w:sz w:val="24"/>
          <w:szCs w:val="24"/>
          <w:shd w:val="clear" w:color="auto" w:fill="FFFFFF"/>
        </w:rPr>
        <w:fldChar w:fldCharType="begin" w:fldLock="1"/>
      </w:r>
      <w:r w:rsidR="00A62D47">
        <w:rPr>
          <w:rFonts w:ascii="Arial" w:hAnsi="Arial" w:cs="Arial"/>
          <w:color w:val="1B1B1B"/>
          <w:sz w:val="24"/>
          <w:szCs w:val="24"/>
          <w:shd w:val="clear" w:color="auto" w:fill="FFFFFF"/>
        </w:rPr>
        <w:instrText>ADDIN CSL_CITATION {"citationItems":[{"id":"ITEM-1","itemData":{"DOI":"10.4269/ajtmh.23-0487","author":[{"dropping-particle":"","family":"Rahi","given":"Manju","non-dropping-particle":"","parse-names":false,"suffix":""},{"dropping-particle":"","family":"Nazmeen","given":"Aarifa","non-dropping-particle":"","parse-names":false,"suffix":""},{"dropping-particle":"","family":"Yadav","given":"Chander Prakash","non-dropping-particle":"","parse-names":false,"suffix":""},{"dropping-particle":"","family":"Sirohi","given":"Preeti Rana","non-dropping-particle":"","parse-names":false,"suffix":""},{"dropping-particle":"","family":"Gupta","given":"Sanjeev","non-dropping-particle":"","parse-names":false,"suffix":""},{"dropping-particle":"","family":"Bhati","given":"Gaurav","non-dropping-particle":"","parse-names":false,"suffix":""},{"dropping-particle":"","family":"Baharia","given":"Rajendra","non-dropping-particle":"","parse-names":false,"suffix":""},{"dropping-particle":"","family":"Goel","given":"Pawan","non-dropping-particle":"","parse-names":false,"suffix":""},{"dropping-particle":"","family":"Sharma","given":"Amit","non-dropping-particle":"","parse-names":false,"suffix":""}],"id":"ITEM-1","issue":"3","issued":{"date-parts":[["2024"]]},"page":"588-595","title":"Prevalence and Correlates of Malnutrition in Nuh District , Haryana State , India","type":"article-journal","volume":"110"},"uris":["http://www.mendeley.com/documents/?uuid=c08ad9f2-c50d-4443-946d-b13e219e4f2a","http://www.mendeley.com/documents/?uuid=48421b32-9697-470d-b421-0f94d7990d16"]}],"mendeley":{"formattedCitation":"[25]","plainTextFormattedCitation":"[25]","previouslyFormattedCitation":"[25]"},"properties":{"noteIndex":0},"schema":"https://github.com/citation-style-language/schema/raw/master/csl-citation.json"}</w:instrText>
      </w:r>
      <w:r w:rsidRPr="004A02C3">
        <w:rPr>
          <w:rFonts w:ascii="Arial" w:hAnsi="Arial" w:cs="Arial"/>
          <w:color w:val="1B1B1B"/>
          <w:sz w:val="24"/>
          <w:szCs w:val="24"/>
          <w:shd w:val="clear" w:color="auto" w:fill="FFFFFF"/>
        </w:rPr>
        <w:fldChar w:fldCharType="separate"/>
      </w:r>
      <w:r w:rsidRPr="004A02C3">
        <w:rPr>
          <w:rFonts w:ascii="Arial" w:hAnsi="Arial" w:cs="Arial"/>
          <w:noProof/>
          <w:color w:val="1B1B1B"/>
          <w:sz w:val="24"/>
          <w:szCs w:val="24"/>
          <w:shd w:val="clear" w:color="auto" w:fill="FFFFFF"/>
        </w:rPr>
        <w:t>[25]</w:t>
      </w:r>
      <w:r w:rsidRPr="004A02C3">
        <w:rPr>
          <w:rFonts w:ascii="Arial" w:hAnsi="Arial" w:cs="Arial"/>
          <w:color w:val="1B1B1B"/>
          <w:sz w:val="24"/>
          <w:szCs w:val="24"/>
          <w:shd w:val="clear" w:color="auto" w:fill="FFFFFF"/>
        </w:rPr>
        <w:fldChar w:fldCharType="end"/>
      </w:r>
      <w:r w:rsidR="00F61D00">
        <w:rPr>
          <w:rFonts w:ascii="Arial" w:hAnsi="Arial" w:cs="Arial"/>
          <w:color w:val="1B1B1B"/>
          <w:sz w:val="24"/>
          <w:szCs w:val="24"/>
          <w:shd w:val="clear" w:color="auto" w:fill="FFFFFF"/>
        </w:rPr>
        <w:t>.</w:t>
      </w:r>
      <w:r w:rsidRPr="004A02C3">
        <w:rPr>
          <w:rFonts w:ascii="Arial" w:hAnsi="Arial" w:cs="Arial"/>
          <w:color w:val="1B1B1B"/>
          <w:sz w:val="24"/>
          <w:szCs w:val="24"/>
          <w:shd w:val="clear" w:color="auto" w:fill="FFFFFF"/>
        </w:rPr>
        <w:t xml:space="preserve"> </w:t>
      </w:r>
    </w:p>
    <w:p w:rsidR="00F01DDE" w:rsidRPr="00320F50" w:rsidRDefault="00F01DDE" w:rsidP="00F01DDE">
      <w:pPr>
        <w:spacing w:before="100" w:beforeAutospacing="1" w:after="100" w:afterAutospacing="1" w:line="360" w:lineRule="auto"/>
        <w:jc w:val="both"/>
        <w:rPr>
          <w:rFonts w:ascii="Arial" w:eastAsia="Times New Roman" w:hAnsi="Arial" w:cs="Arial"/>
          <w:sz w:val="24"/>
          <w:szCs w:val="24"/>
        </w:rPr>
      </w:pPr>
      <w:r w:rsidRPr="00320F50">
        <w:rPr>
          <w:rFonts w:ascii="Arial" w:eastAsia="Times New Roman" w:hAnsi="Arial" w:cs="Arial"/>
          <w:sz w:val="24"/>
          <w:szCs w:val="24"/>
        </w:rPr>
        <w:t xml:space="preserve">Care-seeking </w:t>
      </w:r>
      <w:proofErr w:type="spellStart"/>
      <w:r w:rsidRPr="00320F50">
        <w:rPr>
          <w:rFonts w:ascii="Arial" w:eastAsia="Times New Roman" w:hAnsi="Arial" w:cs="Arial"/>
          <w:sz w:val="24"/>
          <w:szCs w:val="24"/>
        </w:rPr>
        <w:t>behaviour</w:t>
      </w:r>
      <w:proofErr w:type="spellEnd"/>
      <w:r w:rsidRPr="00320F50">
        <w:rPr>
          <w:rFonts w:ascii="Arial" w:eastAsia="Times New Roman" w:hAnsi="Arial" w:cs="Arial"/>
          <w:sz w:val="24"/>
          <w:szCs w:val="24"/>
        </w:rPr>
        <w:t xml:space="preserve"> in our cohort was almost exclusively biomedical: 99% of caregivers reported taking the child to the hospital when concerned about malnutrition, and only 1% sought traditional healers. This high reported use of formal health services is consistent with the sampling frame (caregivers recruited at a hospital) and contrasts with community studies that document a more mixed pattern of help-seeking (including traditional and community remedies) in some settings; it nevertheless suggests that facility-based platforms at </w:t>
      </w:r>
      <w:proofErr w:type="spellStart"/>
      <w:r w:rsidRPr="00320F50">
        <w:rPr>
          <w:rFonts w:ascii="Arial" w:eastAsia="Times New Roman" w:hAnsi="Arial" w:cs="Arial"/>
          <w:sz w:val="24"/>
          <w:szCs w:val="24"/>
        </w:rPr>
        <w:t>Jitimai</w:t>
      </w:r>
      <w:proofErr w:type="spellEnd"/>
      <w:r w:rsidRPr="00320F50">
        <w:rPr>
          <w:rFonts w:ascii="Arial" w:eastAsia="Times New Roman" w:hAnsi="Arial" w:cs="Arial"/>
          <w:sz w:val="24"/>
          <w:szCs w:val="24"/>
        </w:rPr>
        <w:t xml:space="preserve"> could be used to deliver targeted nutrition screening and caregi</w:t>
      </w:r>
      <w:r w:rsidR="00F61D00">
        <w:rPr>
          <w:rFonts w:ascii="Arial" w:eastAsia="Times New Roman" w:hAnsi="Arial" w:cs="Arial"/>
          <w:sz w:val="24"/>
          <w:szCs w:val="24"/>
        </w:rPr>
        <w:t xml:space="preserve">ver education </w:t>
      </w:r>
      <w:r w:rsidRPr="00320F50">
        <w:rPr>
          <w:rFonts w:ascii="Arial" w:eastAsia="Times New Roman" w:hAnsi="Arial" w:cs="Arial"/>
          <w:sz w:val="24"/>
          <w:szCs w:val="24"/>
        </w:rPr>
        <w:fldChar w:fldCharType="begin" w:fldLock="1"/>
      </w:r>
      <w:r w:rsidR="00A62D47">
        <w:rPr>
          <w:rFonts w:ascii="Arial" w:eastAsia="Times New Roman" w:hAnsi="Arial" w:cs="Arial"/>
          <w:sz w:val="24"/>
          <w:szCs w:val="24"/>
        </w:rPr>
        <w:instrText>ADDIN CSL_CITATION {"citationItems":[{"id":"ITEM-1","itemData":{"author":[{"dropping-particle":"","family":"Lyimo","given":"Elizabeth J","non-dropping-particle":"","parse-names":false,"suffix":""},{"dropping-particle":"","family":"Msangi","given":"Maria","non-dropping-particle":"","parse-names":false,"suffix":""},{"dropping-particle":"","family":"Zangira","given":"Anna J","non-dropping-particle":"","parse-names":false,"suffix":""},{"dropping-particle":"V","family":"Msaki","given":"Rose","non-dropping-particle":"","parse-names":false,"suffix":""},{"dropping-particle":"","family":"Lekey","given":"Aika","non-dropping-particle":"","parse-names":false,"suffix":""},{"dropping-particle":"","family":"Rwenyagira","given":"Magreth","non-dropping-particle":"","parse-names":false,"suffix":""},{"dropping-particle":"","family":"Mwiru","given":"Ramadhan","non-dropping-particle":"","parse-names":false,"suffix":""}],"id":"ITEM-1","issued":{"date-parts":[["2024"]]},"page":"1-12","title":"Healthcare-seeking behaviours among mother ’ s having under-five children with severe wasting in Dodoma and Mbeya regions of Tanzania-A qualitative study","type":"article-journal"},"uris":["http://www.mendeley.com/documents/?uuid=6c6d0523-54c7-4adb-aa51-2eaa22c60f87","http://www.mendeley.com/documents/?uuid=34cc73b1-6f61-4fdb-a354-1de3cf87d912"]}],"mendeley":{"formattedCitation":"[26]","plainTextFormattedCitation":"[26]","previouslyFormattedCitation":"[26]"},"properties":{"noteIndex":0},"schema":"https://github.com/citation-style-language/schema/raw/master/csl-citation.json"}</w:instrText>
      </w:r>
      <w:r w:rsidRPr="00320F50">
        <w:rPr>
          <w:rFonts w:ascii="Arial" w:eastAsia="Times New Roman" w:hAnsi="Arial" w:cs="Arial"/>
          <w:sz w:val="24"/>
          <w:szCs w:val="24"/>
        </w:rPr>
        <w:fldChar w:fldCharType="separate"/>
      </w:r>
      <w:r w:rsidRPr="00320F50">
        <w:rPr>
          <w:rFonts w:ascii="Arial" w:eastAsia="Times New Roman" w:hAnsi="Arial" w:cs="Arial"/>
          <w:noProof/>
          <w:sz w:val="24"/>
          <w:szCs w:val="24"/>
        </w:rPr>
        <w:t>[26]</w:t>
      </w:r>
      <w:r w:rsidRPr="00320F50">
        <w:rPr>
          <w:rFonts w:ascii="Arial" w:eastAsia="Times New Roman" w:hAnsi="Arial" w:cs="Arial"/>
          <w:sz w:val="24"/>
          <w:szCs w:val="24"/>
        </w:rPr>
        <w:fldChar w:fldCharType="end"/>
      </w:r>
      <w:r w:rsidR="00F61D00">
        <w:rPr>
          <w:rFonts w:ascii="Arial" w:eastAsia="Times New Roman" w:hAnsi="Arial" w:cs="Arial"/>
          <w:sz w:val="24"/>
          <w:szCs w:val="24"/>
        </w:rPr>
        <w:t>.</w:t>
      </w:r>
    </w:p>
    <w:p w:rsidR="00F01DDE" w:rsidRPr="004A02C3" w:rsidRDefault="00F01DDE" w:rsidP="00F01DDE">
      <w:pPr>
        <w:spacing w:line="360" w:lineRule="auto"/>
        <w:jc w:val="both"/>
        <w:rPr>
          <w:rFonts w:ascii="Arial" w:hAnsi="Arial" w:cs="Arial"/>
          <w:sz w:val="24"/>
          <w:szCs w:val="24"/>
        </w:rPr>
      </w:pPr>
      <w:r w:rsidRPr="004A02C3">
        <w:rPr>
          <w:rFonts w:ascii="Arial" w:hAnsi="Arial" w:cs="Arial"/>
          <w:sz w:val="24"/>
          <w:szCs w:val="24"/>
        </w:rPr>
        <w:t xml:space="preserve">The findings from this study reveal both alignment and divergence with existing research on maternal knowledge and child malnutrition. Aligned findings include the observed gaps in maternal knowledge regarding nutrition education and feeding practices. Similar </w:t>
      </w:r>
      <w:r w:rsidRPr="004A02C3">
        <w:rPr>
          <w:rFonts w:ascii="Arial" w:hAnsi="Arial" w:cs="Arial"/>
          <w:sz w:val="24"/>
          <w:szCs w:val="24"/>
        </w:rPr>
        <w:lastRenderedPageBreak/>
        <w:t>studies have reported that a substantial proportion of caregivers lack adequate nutrition education, which adversely affects child feeding behaviors and nutritional outcomes (e.g., inadequate knowledge of exclusive breastfeeding duration and complementary feeding timing)</w:t>
      </w:r>
      <w:r w:rsidR="00F61D00">
        <w:rPr>
          <w:rFonts w:ascii="Arial" w:hAnsi="Arial" w:cs="Arial"/>
          <w:sz w:val="24"/>
          <w:szCs w:val="24"/>
        </w:rPr>
        <w:t xml:space="preserve"> </w:t>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{"citationItems":[{"id":"ITEM-1","itemData":{"DOI":"10.47679/jchs.2025128","author":[{"dropping-particle":"","family":"Wulandari","given":"Dewi Triloka","non-dropping-particle":"","parse-names":false,"suffix":""},{"dropping-particle":"","family":"Azizah","given":"Ninik","non-dropping-particle":"","parse-names":false,"suffix":""},{"dropping-particle":"","family":"Rahmawati","given":"Vivin Eka","non-dropping-particle":"","parse-names":false,"suffix":""},{"dropping-particle":"","family":"Annuchasari","given":"Helmi","non-dropping-particle":"","parse-names":false,"suffix":""}],"id":"ITEM-1","issue":"3","issued":{"date-parts":[["2025"]]},"page":"145-154","title":"Community-Based Insights on Maternal Nutrition Knowledge and Its Role in Preventing Stunting and Wasting in Rural Indonesian Children","type":"article-journal","volume":"5"},"uris":["http://www.mendeley.com/documents/?uuid=d52e3a03-b215-4fac-af2d-b5fa0469d39f","http://www.mendeley.com/documents/?uuid=ca14ab00-3853-45eb-8aeb-a724fbb0a00b"]}],"mendeley":{"formattedCitation":"[27]","plainTextFormattedCitation":"[27]","previouslyFormattedCitation":"[27]"},"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[27]</w:t>
      </w:r>
      <w:r w:rsidRPr="004A02C3">
        <w:rPr>
          <w:rFonts w:ascii="Arial" w:hAnsi="Arial" w:cs="Arial"/>
          <w:sz w:val="24"/>
          <w:szCs w:val="24"/>
        </w:rPr>
        <w:fldChar w:fldCharType="end"/>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{"citationItems":[{"id":"ITEM-1","itemData":{"author":[{"dropping-particle":"","family":"Bakare","given":"A A","non-dropping-particle":"","parse-names":false,"suffix":""},{"dropping-particle":"","family":"Uchendu","given":"O C","non-dropping-particle":"","parse-names":false,"suffix":""},{"dropping-particle":"","family":"Omotayo","given":"O E","non-dropping-particle":"","parse-names":false,"suffix":""},{"dropping-particle":"","family":"King","given":"C","non-dropping-particle":"","parse-names":false,"suffix":""}],"id":"ITEM-1","issue":"1","issued":{"date-parts":[["2023"]]},"page":"50-62","title":"FEEDING PRACTICES AND NUTRITIONAL STATUS OF UNDER-FIVE CHILDREN IN A PERI-URBAN SETTING IN IBADAN , SOUTHWEST NIGERIA : A COMPARATIVE CROSS-SECTIONAL STUDY","type":"article-journal","volume":"21"},"uris":["http://www.mendeley.com/documents/?uuid=16e3200d-bf62-42c3-aa32-991f6bf98268","http://www.mendeley.com/documents/?uuid=2930c49b-fc3e-424d-8d26-b3671efcd4a1"]}],"mendeley":{"formattedCitation":"[28]","plainTextFormattedCitation":"[28]","previouslyFormattedCitation":"[28]"},"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[28]</w:t>
      </w:r>
      <w:r w:rsidRPr="004A02C3">
        <w:rPr>
          <w:rFonts w:ascii="Arial" w:hAnsi="Arial" w:cs="Arial"/>
          <w:sz w:val="24"/>
          <w:szCs w:val="24"/>
        </w:rPr>
        <w:fldChar w:fldCharType="end"/>
      </w:r>
      <w:r w:rsidRPr="004A02C3">
        <w:rPr>
          <w:rFonts w:ascii="Arial" w:hAnsi="Arial" w:cs="Arial"/>
          <w:sz w:val="24"/>
          <w:szCs w:val="24"/>
        </w:rPr>
        <w:t xml:space="preserve">, but it is not </w:t>
      </w:r>
      <w:r w:rsidR="00F61D00" w:rsidRPr="004A02C3">
        <w:rPr>
          <w:rFonts w:ascii="Arial" w:hAnsi="Arial" w:cs="Arial"/>
          <w:sz w:val="24"/>
          <w:szCs w:val="24"/>
        </w:rPr>
        <w:t>aligned</w:t>
      </w:r>
      <w:r w:rsidRPr="004A02C3">
        <w:rPr>
          <w:rFonts w:ascii="Arial" w:hAnsi="Arial" w:cs="Arial"/>
          <w:sz w:val="24"/>
          <w:szCs w:val="24"/>
        </w:rPr>
        <w:t xml:space="preserve"> with </w:t>
      </w:r>
      <w:proofErr w:type="spellStart"/>
      <w:r w:rsidRPr="004A02C3">
        <w:rPr>
          <w:rFonts w:ascii="Arial" w:hAnsi="Arial" w:cs="Arial"/>
          <w:sz w:val="24"/>
          <w:szCs w:val="24"/>
        </w:rPr>
        <w:t>Gemede</w:t>
      </w:r>
      <w:proofErr w:type="spellEnd"/>
      <w:r w:rsidRPr="004A02C3">
        <w:rPr>
          <w:rFonts w:ascii="Arial" w:hAnsi="Arial" w:cs="Arial"/>
          <w:sz w:val="24"/>
          <w:szCs w:val="24"/>
        </w:rPr>
        <w:t xml:space="preserve"> in Ethiopia that reported </w:t>
      </w:r>
      <w:r w:rsidRPr="004A02C3">
        <w:rPr>
          <w:rFonts w:ascii="Arial" w:hAnsi="Arial" w:cs="Arial"/>
          <w:sz w:val="24"/>
          <w:szCs w:val="24"/>
          <w:shd w:val="clear" w:color="auto" w:fill="FFFFFF"/>
        </w:rPr>
        <w:t>46.8% and 42.7% of the mothers were knowledgeable and had appropriate practices regarding their children's complementary feeding. Women's educational level (</w:t>
      </w:r>
      <w:r w:rsidRPr="004A02C3">
        <w:rPr>
          <w:rStyle w:val="Emphasis"/>
          <w:rFonts w:ascii="Arial" w:hAnsi="Arial" w:cs="Arial"/>
          <w:sz w:val="24"/>
          <w:szCs w:val="24"/>
          <w:shd w:val="clear" w:color="auto" w:fill="FFFFFF"/>
        </w:rPr>
        <w:t>p</w:t>
      </w:r>
      <w:r w:rsidRPr="004A02C3">
        <w:rPr>
          <w:rFonts w:ascii="Arial" w:hAnsi="Arial" w:cs="Arial"/>
          <w:sz w:val="24"/>
          <w:szCs w:val="24"/>
          <w:shd w:val="clear" w:color="auto" w:fill="FFFFFF"/>
        </w:rPr>
        <w:t> &lt; 0.01) was significantly associated with maternal knowledge of complementary feeding. Likewise, Women's education (</w:t>
      </w:r>
      <w:r w:rsidRPr="004A02C3">
        <w:rPr>
          <w:rStyle w:val="Emphasis"/>
          <w:rFonts w:ascii="Arial" w:hAnsi="Arial" w:cs="Arial"/>
          <w:sz w:val="24"/>
          <w:szCs w:val="24"/>
          <w:shd w:val="clear" w:color="auto" w:fill="FFFFFF"/>
        </w:rPr>
        <w:t>p</w:t>
      </w:r>
      <w:r w:rsidRPr="004A02C3">
        <w:rPr>
          <w:rFonts w:ascii="Arial" w:hAnsi="Arial" w:cs="Arial"/>
          <w:sz w:val="24"/>
          <w:szCs w:val="24"/>
          <w:shd w:val="clear" w:color="auto" w:fill="FFFFFF"/>
        </w:rPr>
        <w:t> &lt; 0.01),</w:t>
      </w:r>
      <w:r w:rsidRPr="004A02C3">
        <w:rPr>
          <w:rFonts w:ascii="Arial" w:hAnsi="Arial" w:cs="Arial"/>
          <w:sz w:val="24"/>
          <w:szCs w:val="24"/>
          <w:shd w:val="clear" w:color="auto" w:fill="FFFFFF"/>
        </w:rPr>
        <w:fldChar w:fldCharType="begin" w:fldLock="1"/>
      </w:r>
      <w:r w:rsidR="00A62D47">
        <w:rPr>
          <w:rFonts w:ascii="Arial" w:hAnsi="Arial" w:cs="Arial"/>
          <w:sz w:val="24"/>
          <w:szCs w:val="24"/>
          <w:shd w:val="clear" w:color="auto" w:fill="FFFFFF"/>
        </w:rPr>
        <w:instrText>ADDIN CSL_CITATION {"citationItems":[{"id":"ITEM-1","itemData":{"DOI":"10.1002/fsn3.70286","author":[{"dropping-particle":"","family":"Fekadu","given":"Habtamu","non-dropping-particle":"","parse-names":false,"suffix":""},{"dropping-particle":"","family":"Kassahun","given":"Gemede","non-dropping-particle":"","parse-names":false,"suffix":""}],"id":"ITEM-1","issued":{"date-parts":[["2025"]]},"page":"1-10","title":"Maternal Knowledge and Practices on Complementary Feeding and Associated Factors in Sedal District , Western Ethiopia","type":"article-journal"},"uris":["http://www.mendeley.com/documents/?uuid=e0fb5caa-c319-474f-a12c-ee5a8d6f6e12","http://www.mendeley.com/documents/?uuid=a2126e28-6f7d-4a6c-9140-0ffea6bc2937"]}],"mendeley":{"formattedCitation":"[29]","plainTextFormattedCitation":"[29]","previouslyFormattedCitation":"[29]"},"properties":{"noteIndex":0},"schema":"https://github.com/citation-style-language/schema/raw/master/csl-citation.json"}</w:instrText>
      </w:r>
      <w:r w:rsidRPr="004A02C3">
        <w:rPr>
          <w:rFonts w:ascii="Arial" w:hAnsi="Arial" w:cs="Arial"/>
          <w:sz w:val="24"/>
          <w:szCs w:val="24"/>
          <w:shd w:val="clear" w:color="auto" w:fill="FFFFFF"/>
        </w:rPr>
        <w:fldChar w:fldCharType="separate"/>
      </w:r>
      <w:r w:rsidRPr="004A02C3">
        <w:rPr>
          <w:rFonts w:ascii="Arial" w:hAnsi="Arial" w:cs="Arial"/>
          <w:noProof/>
          <w:sz w:val="24"/>
          <w:szCs w:val="24"/>
          <w:shd w:val="clear" w:color="auto" w:fill="FFFFFF"/>
        </w:rPr>
        <w:t>[29]</w:t>
      </w:r>
      <w:r w:rsidRPr="004A02C3">
        <w:rPr>
          <w:rFonts w:ascii="Arial" w:hAnsi="Arial" w:cs="Arial"/>
          <w:sz w:val="24"/>
          <w:szCs w:val="24"/>
          <w:shd w:val="clear" w:color="auto" w:fill="FFFFFF"/>
        </w:rPr>
        <w:fldChar w:fldCharType="end"/>
      </w:r>
      <w:r w:rsidRPr="004A02C3">
        <w:rPr>
          <w:rFonts w:ascii="Arial" w:hAnsi="Arial" w:cs="Arial"/>
          <w:sz w:val="24"/>
          <w:szCs w:val="24"/>
        </w:rPr>
        <w:t>. The significant association between maternal knowledge of exclusive breastfeeding duration and malnutrition type corroborates previous evidence emphasizing exclusive breastfeeding as a critical protective factor against malnutrition and infectious diseases in early childhood</w:t>
      </w:r>
      <w:r w:rsidR="00F61D00">
        <w:rPr>
          <w:rFonts w:ascii="Arial" w:hAnsi="Arial" w:cs="Arial"/>
          <w:sz w:val="24"/>
          <w:szCs w:val="24"/>
        </w:rPr>
        <w:t xml:space="preserve"> </w:t>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{"citationItems":[{"id":"ITEM-1","itemData":{"author":[{"dropping-particle":"","family":"Info","given":"Article","non-dropping-particle":"","parse-names":false,"suffix":""}],"id":"ITEM-1","issue":"1","issued":{"date-parts":[["2025"]]},"page":"1-7","title":"Maternal Knowledge of Exclusive Breastfeeding and Nutritional Status of Children Under Two Years During the COVID-19 Pandemic","type":"article-journal","volume":"4"},"uris":["http://www.mendeley.com/documents/?uuid=7b5c3906-c0ea-4232-9985-2788a4cf6af6","http://www.mendeley.com/documents/?uuid=200ae08b-a49c-4846-8af2-09fafb5e2214"]}],"mendeley":{"formattedCitation":"[30]","plainTextFormattedCitation":"[30]","previouslyFormattedCitation":"[30]"},"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[30]</w:t>
      </w:r>
      <w:r w:rsidRPr="004A02C3">
        <w:rPr>
          <w:rFonts w:ascii="Arial" w:hAnsi="Arial" w:cs="Arial"/>
          <w:sz w:val="24"/>
          <w:szCs w:val="24"/>
        </w:rPr>
        <w:fldChar w:fldCharType="end"/>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{"citationItems":[{"id":"ITEM-1","itemData":{"DOI":"10.1177/17455057241231478","author":[{"dropping-particle":"","family":"Ahmed","given":"Riyad","non-dropping-particle":"","parse-names":false,"suffix":""},{"dropping-particle":"","family":"Chibsa","given":"Samuel Ejeta","non-dropping-particle":"","parse-names":false,"suffix":""},{"dropping-particle":"","family":"Hussen","given":"Mustefa Adem","non-dropping-particle":"","parse-names":false,"suffix":""},{"dropping-particle":"","family":"Bayisa","given":"Kenbon","non-dropping-particle":"","parse-names":false,"suffix":""},{"dropping-particle":"","family":"Kefeni","given":"Bilisumamulifna Tefera","non-dropping-particle":"","parse-names":false,"suffix":""},{"dropping-particle":"","family":"Gezimu","given":"Wubishet","non-dropping-particle":"","parse-names":false,"suffix":""},{"dropping-particle":"","family":"Bidira","given":"Kebebe","non-dropping-particle":"","parse-names":false,"suffix":""}],"id":"ITEM-1","issued":{"date-parts":[["2024"]]},"title":"Undernutrition among exclusive breastfeeding mothers and its associated factors in Southwest Ethiopia : A community-based study","type":"article-journal"},"uris":["http://www.mendeley.com/documents/?uuid=928c92f4-0d04-41c9-bfdd-278a699a1037","http://www.mendeley.com/documents/?uuid=93bb167f-2278-4da3-87d4-b799ce00b740"]}],"mendeley":{"formattedCitation":"[31]","plainTextFormattedCitation":"[31]","previouslyFormattedCitation":"[31]"},"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[31]</w:t>
      </w:r>
      <w:r w:rsidRPr="004A02C3">
        <w:rPr>
          <w:rFonts w:ascii="Arial" w:hAnsi="Arial" w:cs="Arial"/>
          <w:sz w:val="24"/>
          <w:szCs w:val="24"/>
        </w:rPr>
        <w:fldChar w:fldCharType="end"/>
      </w:r>
      <w:r w:rsidRPr="004A02C3">
        <w:rPr>
          <w:rFonts w:ascii="Arial" w:hAnsi="Arial" w:cs="Arial"/>
          <w:sz w:val="24"/>
          <w:szCs w:val="24"/>
        </w:rPr>
        <w:t>. Additionally, the predominance of fruits and vegetables as complementary foods with limited protein-rich options aligns with reports from comparable low-resource settings, where dietary diversity remains insufficient to meet children's nutritional needs</w:t>
      </w:r>
      <w:r w:rsidR="00F61D00">
        <w:rPr>
          <w:rFonts w:ascii="Arial" w:hAnsi="Arial" w:cs="Arial"/>
          <w:sz w:val="24"/>
          <w:szCs w:val="24"/>
        </w:rPr>
        <w:t xml:space="preserve"> </w:t>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{"citationItems":[{"id":"ITEM-1","itemData":{"author":[{"dropping-particle":"","family":"Mabukela","given":"Tlhompho","non-dropping-particle":"","parse-names":false,"suffix":""},{"dropping-particle":"","family":"Chelule","given":"Paul Kiprono","non-dropping-particle":"","parse-names":false,"suffix":""}],"id":"ITEM-1","issued":{"date-parts":[["2025"]]},"page":"1-18","title":"Nutrition and Development of Children in Foundational Learning Spaces in Johannesburg : A Cross-Sectional Study of Dietary Diversity and Nutritional Status","type":"article-journal"},"uris":["http://www.mendeley.com/documents/?uuid=ee704000-5a4b-4cba-8eb1-45c0832215fe","http://www.mendeley.com/documents/?uuid=fe407d6a-cc5e-4954-8c79-c56893e67300"]}],"mendeley":{"formattedCitation":"[32]","plainTextFormattedCitation":"[32]","previouslyFormattedCitation":"[32]"},"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[32]</w:t>
      </w:r>
      <w:r w:rsidRPr="004A02C3">
        <w:rPr>
          <w:rFonts w:ascii="Arial" w:hAnsi="Arial" w:cs="Arial"/>
          <w:sz w:val="24"/>
          <w:szCs w:val="24"/>
        </w:rPr>
        <w:fldChar w:fldCharType="end"/>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DOI":"10.1016/j.cdnut.2023.100033","author":[{"dropping-particle":"De","family":"Bruyn","given":"Julia","non-dropping-particle":"","parse-names":false,"suffix":""},{"dropping-particle":"","family":"Wieringa","given":"Frank","non-dropping-particle":"","parse-names":false,"suffix":""}],"id":"ITEM-1","issue":"January","issued":{"date-parts":[["2023"]]},"title":"Exploring the Complementarity of Forti fi cation and Dietary Diversi fi cation to Combat Micronutrient De fi ciencies : A Scoping Review","type":"article-journal","volume":"7"},"uris":["http://www.mendeley.com/documents/?uuid=265eb549-769f-432a-9d80-0597956c93ca","http://www.mendeley.com/documents/?uuid=eaca698c-7e7a-4ee6-b7a8-451b5bfd06eb"]}],"mendeley":{"formattedCitation":"[33]","plainTextFormattedCitation":"[33]","previouslyFormattedCitation":"[33]"},"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[33]</w:t>
      </w:r>
      <w:r w:rsidRPr="004A02C3">
        <w:rPr>
          <w:rFonts w:ascii="Arial" w:hAnsi="Arial" w:cs="Arial"/>
          <w:sz w:val="24"/>
          <w:szCs w:val="24"/>
        </w:rPr>
        <w:fldChar w:fldCharType="end"/>
      </w:r>
      <w:r w:rsidR="00F61D00">
        <w:rPr>
          <w:rFonts w:ascii="Arial" w:hAnsi="Arial" w:cs="Arial"/>
          <w:sz w:val="24"/>
          <w:szCs w:val="24"/>
        </w:rPr>
        <w:t>.</w:t>
      </w:r>
      <w:r w:rsidRPr="004A02C3">
        <w:rPr>
          <w:rFonts w:ascii="Arial" w:hAnsi="Arial" w:cs="Arial"/>
          <w:sz w:val="24"/>
          <w:szCs w:val="24"/>
        </w:rPr>
        <w:t xml:space="preserve"> The persistence of malnutrition despite feeding frequency also echoes findings that nutrient quality and feeding practices are more influential than mere feeding frequency </w:t>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{"citationItems":[{"id":"ITEM-1","itemData":{"DOI":"10.11648/j.jfns.20241201.11","author":[{"dropping-particle":"","family":"Muhimbula","given":"Happiness Samuel","non-dropping-particle":"","parse-names":false,"suffix":""}],"id":"ITEM-1","issue":"1","issued":{"date-parts":[["2024"]]},"page":"1-19","title":"Determinants of Child Undernutrition in Tanzania : Agriculture and Season Perspective : A Review","type":"article-journal","volume":"12"},"uris":["http://www.mendeley.com/documents/?uuid=929f0b9b-db2c-46a9-b9ff-71e8f7688e1b","http://www.mendeley.com/documents/?uuid=1afbb618-4127-4990-9d2a-eaef50c71569"]}],"mendeley":{"formattedCitation":"[34]","plainTextFormattedCitation":"[34]","previouslyFormattedCitation":"[34]"},"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[34]</w:t>
      </w:r>
      <w:r w:rsidRPr="004A02C3">
        <w:rPr>
          <w:rFonts w:ascii="Arial" w:hAnsi="Arial" w:cs="Arial"/>
          <w:sz w:val="24"/>
          <w:szCs w:val="24"/>
        </w:rPr>
        <w:fldChar w:fldCharType="end"/>
      </w:r>
      <w:r w:rsidRPr="004A02C3">
        <w:rPr>
          <w:rFonts w:ascii="Arial" w:hAnsi="Arial" w:cs="Arial"/>
          <w:sz w:val="24"/>
          <w:szCs w:val="24"/>
        </w:rPr>
        <w:t xml:space="preserve">.  This is not </w:t>
      </w:r>
      <w:r w:rsidR="00F61D00">
        <w:rPr>
          <w:rFonts w:ascii="Arial" w:hAnsi="Arial" w:cs="Arial"/>
          <w:sz w:val="24"/>
          <w:szCs w:val="24"/>
        </w:rPr>
        <w:t>aligned with one study done in Dar es Salam that showed that exclusive breastfeeding, meal frequency and food dietary diversity were positively influencing the nutrition status,</w:t>
      </w:r>
      <w:r w:rsidRPr="004A02C3">
        <w:rPr>
          <w:rFonts w:ascii="Arial" w:hAnsi="Arial" w:cs="Arial"/>
          <w:sz w:val="24"/>
          <w:szCs w:val="24"/>
        </w:rPr>
        <w:t xml:space="preserve"> while household size was negatively influencing the nutrition status of the under-five years</w:t>
      </w:r>
      <w:r w:rsidR="005D72DB">
        <w:rPr>
          <w:rFonts w:ascii="Arial" w:hAnsi="Arial" w:cs="Arial"/>
          <w:sz w:val="24"/>
          <w:szCs w:val="24"/>
        </w:rPr>
        <w:t xml:space="preserve"> old </w:t>
      </w:r>
      <w:r w:rsidRPr="004A02C3">
        <w:rPr>
          <w:rFonts w:ascii="Arial" w:hAnsi="Arial" w:cs="Arial"/>
          <w:sz w:val="24"/>
          <w:szCs w:val="24"/>
        </w:rPr>
        <w:fldChar w:fldCharType="begin" w:fldLock="1"/>
      </w:r>
      <w:r w:rsidR="00A62D47">
        <w:rPr>
          <w:rFonts w:ascii="Arial" w:hAnsi="Arial" w:cs="Arial"/>
          <w:sz w:val="24"/>
          <w:szCs w:val="24"/>
        </w:rPr>
        <w:instrText>ADDIN CSL_CITATION {"citationItems":[{"id":"ITEM-1","itemData":{"author":[{"dropping-particle":"","family":"Mbunda","given":"Kastory Abel","non-dropping-particle":"","parse-names":false,"suffix":""}],"id":"ITEM-1","issue":"1","issued":{"date-parts":[["2023"]]},"page":"1-5","title":"The influence of feeding practices on under five nutrition status in Mbinga district , Tanzania","type":"article-journal","volume":"10"},"uris":["http://www.mendeley.com/documents/?uuid=801a9e45-3510-4347-98fe-6d6afb96eb63","http://www.mendeley.com/documents/?uuid=54edbe98-0686-4165-8aaa-ffb27632ba43"]}],"mendeley":{"formattedCitation":"[35]","plainTextFormattedCitation":"[35]","previouslyFormattedCitation":"[35]"},"properties":{"noteIndex":0},"schema":"https://github.com/citation-style-language/schema/raw/master/csl-citation.json"}</w:instrText>
      </w:r>
      <w:r w:rsidRPr="004A02C3">
        <w:rPr>
          <w:rFonts w:ascii="Arial" w:hAnsi="Arial" w:cs="Arial"/>
          <w:sz w:val="24"/>
          <w:szCs w:val="24"/>
        </w:rPr>
        <w:fldChar w:fldCharType="separate"/>
      </w:r>
      <w:r w:rsidRPr="004A02C3">
        <w:rPr>
          <w:rFonts w:ascii="Arial" w:hAnsi="Arial" w:cs="Arial"/>
          <w:noProof/>
          <w:sz w:val="24"/>
          <w:szCs w:val="24"/>
        </w:rPr>
        <w:t>[35]</w:t>
      </w:r>
      <w:r w:rsidRPr="004A02C3">
        <w:rPr>
          <w:rFonts w:ascii="Arial" w:hAnsi="Arial" w:cs="Arial"/>
          <w:sz w:val="24"/>
          <w:szCs w:val="24"/>
        </w:rPr>
        <w:fldChar w:fldCharType="end"/>
      </w:r>
      <w:r w:rsidR="005D72DB">
        <w:rPr>
          <w:rFonts w:ascii="Arial" w:hAnsi="Arial" w:cs="Arial"/>
          <w:sz w:val="24"/>
          <w:szCs w:val="24"/>
        </w:rPr>
        <w:t>.</w:t>
      </w:r>
    </w:p>
    <w:p w:rsidR="00F01DDE" w:rsidRPr="00320F50" w:rsidRDefault="00F01DDE" w:rsidP="00F01DDE">
      <w:pPr>
        <w:spacing w:line="360" w:lineRule="auto"/>
        <w:jc w:val="both"/>
        <w:rPr>
          <w:rFonts w:ascii="Arial" w:hAnsi="Arial" w:cs="Arial"/>
          <w:sz w:val="24"/>
          <w:szCs w:val="24"/>
        </w:rPr>
      </w:pPr>
      <w:r w:rsidRPr="00320F50">
        <w:rPr>
          <w:rFonts w:ascii="Arial" w:hAnsi="Arial" w:cs="Arial"/>
          <w:sz w:val="24"/>
          <w:szCs w:val="24"/>
        </w:rPr>
        <w:t xml:space="preserve">Conversely, the lack of significant association between receipt of nutrition education and malnutrition type contrasts with some studies that have demonstrated positive impacts of nutrition education interventions on reducing malnutrition prevalence, one study in Ghana in the </w:t>
      </w:r>
      <w:r w:rsidRPr="00320F50">
        <w:rPr>
          <w:rFonts w:ascii="Arial" w:hAnsi="Arial" w:cs="Arial"/>
          <w:sz w:val="24"/>
          <w:szCs w:val="24"/>
          <w:shd w:val="clear" w:color="auto" w:fill="FFFFFF"/>
        </w:rPr>
        <w:t>multivariable analysis, low maternal knowledge was associated with higher odds of malnutrition (AOR = 3.42; 95% CI: 1.88–6.21; p &lt; 0.001)</w:t>
      </w:r>
      <w:r w:rsidR="005D72DB">
        <w:rPr>
          <w:rFonts w:ascii="Arial" w:hAnsi="Arial" w:cs="Arial"/>
          <w:sz w:val="24"/>
          <w:szCs w:val="24"/>
          <w:shd w:val="clear" w:color="auto" w:fill="FFFFFF"/>
        </w:rPr>
        <w:t xml:space="preserve"> </w:t>
      </w:r>
      <w:r w:rsidRPr="00320F50">
        <w:rPr>
          <w:rFonts w:ascii="Arial" w:hAnsi="Arial" w:cs="Arial"/>
          <w:sz w:val="24"/>
          <w:szCs w:val="24"/>
          <w:shd w:val="clear" w:color="auto" w:fill="FFFFFF"/>
        </w:rPr>
        <w:fldChar w:fldCharType="begin" w:fldLock="1"/>
      </w:r>
      <w:r w:rsidR="00A62D47">
        <w:rPr>
          <w:rFonts w:ascii="Arial" w:hAnsi="Arial" w:cs="Arial"/>
          <w:sz w:val="24"/>
          <w:szCs w:val="24"/>
          <w:shd w:val="clear" w:color="auto" w:fill="FFFFFF"/>
        </w:rPr>
        <w:instrText>ADDIN CSL_CITATION {"citationItems":[{"id":"ITEM-1","itemData":{"author":[{"dropping-particle":"","family":"Nyarko","given":"Rachael","non-dropping-particle":"","parse-names":false,"suffix":""},{"dropping-particle":"","family":"Kwabena","given":"Francis","non-dropping-particle":"","parse-names":false,"suffix":""},{"dropping-particle":"","family":"Patience","given":"Mary","non-dropping-particle":"","parse-names":false,"suffix":""},{"dropping-particle":"","family":"Peter","given":"Moses","non-dropping-particle":"","parse-names":false,"suffix":""},{"dropping-particle":"","family":"Ofoe","given":"Teye","non-dropping-particle":"","parse-names":false,"suffix":""},{"dropping-particle":"","family":"Ofori","given":"Selma","non-dropping-particle":"","parse-names":false,"suffix":""},{"dropping-particle":"","family":"Annan","given":"Vivian","non-dropping-particle":"","parse-names":false,"suffix":""},{"dropping-particle":"","family":"Munufie","given":"Esther","non-dropping-particle":"","parse-names":false,"suffix":""},{"dropping-particle":"","family":"Eduku","given":"Sabina","non-dropping-particle":"","parse-names":false,"suffix":""},{"dropping-particle":"","family":"Rashida","given":"Atrime","non-dropping-particle":"","parse-names":false,"suffix":""},{"dropping-particle":"","family":"Amponsah","given":"Mavis","non-dropping-particle":"","parse-names":false,"suffix":""},{"dropping-particle":"","family":"Gyamfi","given":"Stephanie","non-dropping-particle":"","parse-names":false,"suffix":""},{"dropping-particle":"","family":"Ibrahim","given":"Balanjima","non-dropping-particle":"","parse-names":false,"suffix":""},{"dropping-particle":"","family":"Abu","given":"Juliet","non-dropping-particle":"","parse-names":false,"suffix":""},{"dropping-particle":"","family":"Leticia","given":"Kyei","non-dropping-particle":"","parse-names":false,"suffix":""},{"dropping-particle":"","family":"Boahemaa","given":"Adu","non-dropping-particle":"","parse-names":false,"suffix":""},{"dropping-particle":"","family":"Mavis","given":"Ali","non-dropping-particle":"","parse-names":false,"suffix":""}],"id":"ITEM-1","issue":"1","issued":{"date-parts":[["2025"]]},"page":"311-322","title":"Relationship between Maternal Knowledge and Feeding Practices in Relation to Infant Malnutrition among Breastfeeding Women in Savannah Region of Ghana","type":"article-journal","volume":"8"},"uris":["http://www.mendeley.com/documents/?uuid=67f4198f-5544-41ac-a182-8d7d80472892","http://www.mendeley.com/documents/?uuid=912f04f6-bade-43b3-91a0-127e166d88ec"]}],"mendeley":{"formattedCitation":"[36]","plainTextFormattedCitation":"[36]","previouslyFormattedCitation":"[36]"},"properties":{"noteIndex":0},"schema":"https://github.com/citation-style-language/schema/raw/master/csl-citation.json"}</w:instrText>
      </w:r>
      <w:r w:rsidRPr="00320F50">
        <w:rPr>
          <w:rFonts w:ascii="Arial" w:hAnsi="Arial" w:cs="Arial"/>
          <w:sz w:val="24"/>
          <w:szCs w:val="24"/>
          <w:shd w:val="clear" w:color="auto" w:fill="FFFFFF"/>
        </w:rPr>
        <w:fldChar w:fldCharType="separate"/>
      </w:r>
      <w:r w:rsidRPr="00320F50">
        <w:rPr>
          <w:rFonts w:ascii="Arial" w:hAnsi="Arial" w:cs="Arial"/>
          <w:noProof/>
          <w:sz w:val="24"/>
          <w:szCs w:val="24"/>
          <w:shd w:val="clear" w:color="auto" w:fill="FFFFFF"/>
        </w:rPr>
        <w:t>[36]</w:t>
      </w:r>
      <w:r w:rsidRPr="00320F50">
        <w:rPr>
          <w:rFonts w:ascii="Arial" w:hAnsi="Arial" w:cs="Arial"/>
          <w:sz w:val="24"/>
          <w:szCs w:val="24"/>
          <w:shd w:val="clear" w:color="auto" w:fill="FFFFFF"/>
        </w:rPr>
        <w:fldChar w:fldCharType="end"/>
      </w:r>
      <w:r w:rsidRPr="00320F50">
        <w:rPr>
          <w:rFonts w:ascii="Arial" w:hAnsi="Arial" w:cs="Arial"/>
          <w:sz w:val="24"/>
          <w:szCs w:val="24"/>
        </w:rPr>
        <w:fldChar w:fldCharType="begin" w:fldLock="1"/>
      </w:r>
      <w:r w:rsidR="00A62D47">
        <w:rPr>
          <w:rFonts w:ascii="Arial" w:hAnsi="Arial" w:cs="Arial"/>
          <w:sz w:val="24"/>
          <w:szCs w:val="24"/>
        </w:rPr>
        <w:instrText>ADDIN CSL_CITATION {"citationItems":[{"id":"ITEM-1","itemData":{"author":[{"dropping-particle":"","family":"Jard","given":"Cristina","non-dropping-particle":"","parse-names":false,"suffix":""},{"dropping-particle":"","family":"Casanova","given":"Byron David","non-dropping-particle":"","parse-names":false,"suffix":""},{"dropping-particle":"","family":"Arija","given":"Victoria","non-dropping-particle":"","parse-names":false,"suffix":""}],"id":"ITEM-1","issued":{"date-parts":[["2021"]]},"title":"Nutrition Education Programs Aimed at African Mothers of Infant Children : A Systematic Review","type":"article-journal"},"uris":["http://www.mendeley.com/documents/?uuid=4084a8ad-6e83-4ec5-a28b-885f4d87105a","http://www.mendeley.com/documents/?uuid=ef9d2f76-cabc-41ec-86aa-add9a3f007c6"]}],"mendeley":{"formattedCitation":"[37]","plainTextFormattedCitation":"[37]","previouslyFormattedCitation":"[37]"},"properties":{"noteIndex":0},"schema":"https://github.com/citation-style-language/schema/raw/master/csl-citation.json"}</w:instrText>
      </w:r>
      <w:r w:rsidRPr="00320F50">
        <w:rPr>
          <w:rFonts w:ascii="Arial" w:hAnsi="Arial" w:cs="Arial"/>
          <w:sz w:val="24"/>
          <w:szCs w:val="24"/>
        </w:rPr>
        <w:fldChar w:fldCharType="separate"/>
      </w:r>
      <w:r w:rsidRPr="00320F50">
        <w:rPr>
          <w:rFonts w:ascii="Arial" w:hAnsi="Arial" w:cs="Arial"/>
          <w:noProof/>
          <w:sz w:val="24"/>
          <w:szCs w:val="24"/>
        </w:rPr>
        <w:t>[37]</w:t>
      </w:r>
      <w:r w:rsidRPr="00320F50">
        <w:rPr>
          <w:rFonts w:ascii="Arial" w:hAnsi="Arial" w:cs="Arial"/>
          <w:sz w:val="24"/>
          <w:szCs w:val="24"/>
        </w:rPr>
        <w:fldChar w:fldCharType="end"/>
      </w:r>
      <w:r w:rsidRPr="00320F50">
        <w:rPr>
          <w:rFonts w:ascii="Arial" w:hAnsi="Arial" w:cs="Arial"/>
          <w:sz w:val="24"/>
          <w:szCs w:val="24"/>
        </w:rPr>
        <w:fldChar w:fldCharType="begin" w:fldLock="1"/>
      </w:r>
      <w:r w:rsidR="00A62D47">
        <w:rPr>
          <w:rFonts w:ascii="Arial" w:hAnsi="Arial" w:cs="Arial"/>
          <w:sz w:val="24"/>
          <w:szCs w:val="24"/>
        </w:rPr>
        <w:instrText>ADDIN CSL_CITATION {"citationItems":[{"id":"ITEM-1","itemData":{"author":[{"dropping-particle":"","family":"Govender","given":"Indiran","non-dropping-particle":"","parse-names":false,"suffix":""},{"dropping-particle":"","family":"Rangiah","given":"Selvandran","non-dropping-particle":"","parse-names":false,"suffix":""},{"dropping-particle":"","family":"Kaswa","given":"Ramprakash","non-dropping-particle":"","parse-names":false,"suffix":""},{"dropping-particle":"","family":"Nzaumvila","given":"Doudou","non-dropping-particle":"","parse-names":false,"suffix":""},{"dropping-particle":"","family":"Makgatho","given":"Sefako","non-dropping-particle":"","parse-names":false,"suffix":""},{"dropping-particle":"","family":"Africa","given":"South","non-dropping-particle":"","parse-names":false,"suffix":""},{"dropping-particle":"","family":"Sisulu","given":"Walter","non-dropping-particle":"","parse-names":false,"suffix":""}],"id":"ITEM-1","issued":{"date-parts":[["2021"]]},"page":"1-6","title":"Malnutrition in children under the age of 5 years in a primary health care setting","type":"article-journal"},"uris":["http://www.mendeley.com/documents/?uuid=b16af0ef-c539-4004-8fbc-7a1787088e02","http://www.mendeley.com/documents/?uuid=304e921d-480f-4a51-a8c6-5f72f6cd52f8"]}],"mendeley":{"formattedCitation":"[38]","plainTextFormattedCitation":"[38]","previouslyFormattedCitation":"[38]"},"properties":{"noteIndex":0},"schema":"https://github.com/citation-style-language/schema/raw/master/csl-citation.json"}</w:instrText>
      </w:r>
      <w:r w:rsidRPr="00320F50">
        <w:rPr>
          <w:rFonts w:ascii="Arial" w:hAnsi="Arial" w:cs="Arial"/>
          <w:sz w:val="24"/>
          <w:szCs w:val="24"/>
        </w:rPr>
        <w:fldChar w:fldCharType="separate"/>
      </w:r>
      <w:r w:rsidRPr="00320F50">
        <w:rPr>
          <w:rFonts w:ascii="Arial" w:hAnsi="Arial" w:cs="Arial"/>
          <w:noProof/>
          <w:sz w:val="24"/>
          <w:szCs w:val="24"/>
        </w:rPr>
        <w:t>[38]</w:t>
      </w:r>
      <w:r w:rsidRPr="00320F50">
        <w:rPr>
          <w:rFonts w:ascii="Arial" w:hAnsi="Arial" w:cs="Arial"/>
          <w:sz w:val="24"/>
          <w:szCs w:val="24"/>
        </w:rPr>
        <w:fldChar w:fldCharType="end"/>
      </w:r>
      <w:r w:rsidRPr="00320F50">
        <w:rPr>
          <w:rFonts w:ascii="Arial" w:hAnsi="Arial" w:cs="Arial"/>
          <w:sz w:val="24"/>
          <w:szCs w:val="24"/>
        </w:rPr>
        <w:fldChar w:fldCharType="begin" w:fldLock="1"/>
      </w:r>
      <w:r w:rsidR="00A62D47">
        <w:rPr>
          <w:rFonts w:ascii="Arial" w:hAnsi="Arial" w:cs="Arial"/>
          <w:sz w:val="24"/>
          <w:szCs w:val="24"/>
        </w:rPr>
        <w:instrText>ADDIN CSL_CITATION {"citationItems":[{"id":"ITEM-1","itemData":{"DOI":"10.4236/health.2022.147058","abstract":"Malnutrition is still a widespread public health problem worldwide. The ob-jective of this review is to identify the most effective nutrition programs used in the prevention and management of child malnutrition in children under five years. Also, it is to suggest courses of action to improve interventions in the fight against malnutrition. The promotion of exclusive breastfeeding and food diversification improves the mothers’ knowledge and contributes to prevention of malnutrition. Food supplementation increases the weight/height ratio of malnourished children. The two programs combined bring better results on mothers’ feeding practices and children’s anthropometric data. This review has highlighted the importance of food supplementation and nutritional education in the management and prevention of child malnutrition. In addition, the combination of several approaches to good dietary practices brings better results. Finally, primary prevention can protect children from the harmful consequences of malnutrition.","author":[{"dropping-particle":"","family":"Bougma","given":"Sibiri","non-dropping-particle":"","parse-names":false,"suffix":""},{"dropping-particle":"","family":"Hama-ba","given":"Fatoumata","non-dropping-particle":"","parse-names":false,"suffix":""},{"dropping-particle":"","family":"Garanet","given":"Franck","non-dropping-particle":"","parse-names":false,"suffix":""},{"dropping-particle":"","family":"Wendmintiri","given":"Arc","non-dropping-particle":"","parse-names":false,"suffix":""}],"id":"ITEM-1","issued":{"date-parts":[["2022"]]},"page":"810-831","title":"Impact of Health and Nutrition Interventions in the Prevention and Recovery of Child Malnutrition in Sub-Saharan Africa from 2010 to 2020 : Review Article","type":"article-journal"},"uris":["http://www.mendeley.com/documents/?uuid=28fbf75b-17cf-4f51-9cae-e5eacd992a41","http://www.mendeley.com/documents/?uuid=4e6244b0-145f-4b1d-bab0-150929cf714f"]}],"mendeley":{"formattedCitation":"[39]","plainTextFormattedCitation":"[39]","previouslyFormattedCitation":"[39]"},"properties":{"noteIndex":0},"schema":"https://github.com/citation-style-language/schema/raw/master/csl-citation.json"}</w:instrText>
      </w:r>
      <w:r w:rsidRPr="00320F50">
        <w:rPr>
          <w:rFonts w:ascii="Arial" w:hAnsi="Arial" w:cs="Arial"/>
          <w:sz w:val="24"/>
          <w:szCs w:val="24"/>
        </w:rPr>
        <w:fldChar w:fldCharType="separate"/>
      </w:r>
      <w:r w:rsidRPr="00320F50">
        <w:rPr>
          <w:rFonts w:ascii="Arial" w:hAnsi="Arial" w:cs="Arial"/>
          <w:noProof/>
          <w:sz w:val="24"/>
          <w:szCs w:val="24"/>
        </w:rPr>
        <w:t>[39]</w:t>
      </w:r>
      <w:r w:rsidRPr="00320F50">
        <w:rPr>
          <w:rFonts w:ascii="Arial" w:hAnsi="Arial" w:cs="Arial"/>
          <w:sz w:val="24"/>
          <w:szCs w:val="24"/>
        </w:rPr>
        <w:fldChar w:fldCharType="end"/>
      </w:r>
      <w:r w:rsidRPr="00320F50">
        <w:rPr>
          <w:rFonts w:ascii="Arial" w:hAnsi="Arial" w:cs="Arial"/>
          <w:sz w:val="24"/>
          <w:szCs w:val="24"/>
        </w:rPr>
        <w:t xml:space="preserve">. This discrepancy may reflect contextual differences in the content, delivery, or uptake of education programs, or limitations in caregiver recall and reporting. Similarly, the absence of significant relationships between malnutrition and infection </w:t>
      </w:r>
      <w:r w:rsidR="00F61D00">
        <w:rPr>
          <w:rFonts w:ascii="Arial" w:hAnsi="Arial" w:cs="Arial"/>
          <w:sz w:val="24"/>
          <w:szCs w:val="24"/>
        </w:rPr>
        <w:t>or breastfeeding frequency diverges from findings that frequent infections and suboptimal breastfeeding patterns contribute to malnutrition risk</w:t>
      </w:r>
      <w:r w:rsidRPr="00320F50">
        <w:rPr>
          <w:rFonts w:ascii="Arial" w:hAnsi="Arial" w:cs="Arial"/>
          <w:sz w:val="24"/>
          <w:szCs w:val="24"/>
        </w:rPr>
        <w:t xml:space="preserve">.  </w:t>
      </w:r>
      <w:r w:rsidR="00F61D00">
        <w:rPr>
          <w:rFonts w:ascii="Arial" w:hAnsi="Arial" w:cs="Arial"/>
          <w:sz w:val="24"/>
          <w:szCs w:val="24"/>
        </w:rPr>
        <w:t>One</w:t>
      </w:r>
      <w:r w:rsidRPr="00320F50">
        <w:rPr>
          <w:rFonts w:ascii="Arial" w:hAnsi="Arial" w:cs="Arial"/>
          <w:sz w:val="24"/>
          <w:szCs w:val="24"/>
        </w:rPr>
        <w:t xml:space="preserve"> study done </w:t>
      </w:r>
      <w:r w:rsidR="00F61D00">
        <w:rPr>
          <w:rFonts w:ascii="Arial" w:hAnsi="Arial" w:cs="Arial"/>
          <w:sz w:val="24"/>
          <w:szCs w:val="24"/>
        </w:rPr>
        <w:t>in</w:t>
      </w:r>
      <w:r w:rsidRPr="00320F50">
        <w:rPr>
          <w:rFonts w:ascii="Arial" w:hAnsi="Arial" w:cs="Arial"/>
          <w:sz w:val="24"/>
          <w:szCs w:val="24"/>
        </w:rPr>
        <w:t xml:space="preserve"> Uganda that </w:t>
      </w:r>
      <w:r w:rsidR="005D72DB">
        <w:rPr>
          <w:rFonts w:ascii="Arial" w:hAnsi="Arial" w:cs="Arial"/>
          <w:sz w:val="24"/>
          <w:szCs w:val="24"/>
        </w:rPr>
        <w:t>included</w:t>
      </w:r>
      <w:r w:rsidRPr="00320F50">
        <w:rPr>
          <w:rFonts w:ascii="Arial" w:hAnsi="Arial" w:cs="Arial"/>
          <w:sz w:val="24"/>
          <w:szCs w:val="24"/>
        </w:rPr>
        <w:t xml:space="preserve"> </w:t>
      </w:r>
      <w:r w:rsidRPr="00320F50">
        <w:rPr>
          <w:rFonts w:ascii="Arial" w:hAnsi="Arial" w:cs="Arial"/>
          <w:sz w:val="24"/>
          <w:szCs w:val="24"/>
          <w:shd w:val="clear" w:color="auto" w:fill="FFFFFF"/>
        </w:rPr>
        <w:t>1850 children </w:t>
      </w:r>
      <w:r w:rsidR="00F61D00">
        <w:rPr>
          <w:rFonts w:ascii="Arial" w:hAnsi="Arial" w:cs="Arial"/>
          <w:sz w:val="24"/>
          <w:szCs w:val="24"/>
          <w:shd w:val="clear" w:color="auto" w:fill="FFFFFF"/>
        </w:rPr>
        <w:t>found</w:t>
      </w:r>
      <w:r w:rsidRPr="00320F50">
        <w:rPr>
          <w:rFonts w:ascii="Arial" w:hAnsi="Arial" w:cs="Arial"/>
          <w:sz w:val="24"/>
          <w:szCs w:val="24"/>
          <w:shd w:val="clear" w:color="auto" w:fill="FFFFFF"/>
        </w:rPr>
        <w:t xml:space="preserve"> increased odds of death in children with pneumonia, malaria, and diarrheal illness, respectively</w:t>
      </w:r>
      <w:r w:rsidR="00F61D00">
        <w:rPr>
          <w:rFonts w:ascii="Arial" w:hAnsi="Arial" w:cs="Arial"/>
          <w:sz w:val="24"/>
          <w:szCs w:val="24"/>
          <w:shd w:val="clear" w:color="auto" w:fill="FFFFFF"/>
        </w:rPr>
        <w:t>. They</w:t>
      </w:r>
      <w:r w:rsidRPr="00320F50">
        <w:rPr>
          <w:rFonts w:ascii="Arial" w:hAnsi="Arial" w:cs="Arial"/>
          <w:sz w:val="24"/>
          <w:szCs w:val="24"/>
          <w:shd w:val="clear" w:color="auto" w:fill="FFFFFF"/>
        </w:rPr>
        <w:t xml:space="preserve"> conclude that these data highlight systemic inflammation as a </w:t>
      </w:r>
      <w:r w:rsidRPr="00320F50">
        <w:rPr>
          <w:rFonts w:ascii="Arial" w:hAnsi="Arial" w:cs="Arial"/>
          <w:sz w:val="24"/>
          <w:szCs w:val="24"/>
          <w:shd w:val="clear" w:color="auto" w:fill="FFFFFF"/>
        </w:rPr>
        <w:lastRenderedPageBreak/>
        <w:t>common pathway associated with malnutrition and infection </w:t>
      </w:r>
      <w:r w:rsidRPr="00320F50">
        <w:rPr>
          <w:rFonts w:ascii="Arial" w:hAnsi="Arial" w:cs="Arial"/>
          <w:sz w:val="24"/>
          <w:szCs w:val="24"/>
          <w:shd w:val="clear" w:color="auto" w:fill="FFFFFF"/>
        </w:rPr>
        <w:fldChar w:fldCharType="begin" w:fldLock="1"/>
      </w:r>
      <w:r w:rsidR="00A62D47">
        <w:rPr>
          <w:rFonts w:ascii="Arial" w:hAnsi="Arial" w:cs="Arial"/>
          <w:sz w:val="24"/>
          <w:szCs w:val="24"/>
          <w:shd w:val="clear" w:color="auto" w:fill="FFFFFF"/>
        </w:rPr>
        <w:instrText>ADDIN CSL_CITATION {"citationItems":[{"id":"ITEM-1","itemData":{"DOI":"10.1016/j.ebiom.2023.104721","ISSN":"2352-3964","author":[{"dropping-particle":"","family":"Weckman","given":"Andrea M","non-dropping-particle":"","parse-names":false,"suffix":""},{"dropping-particle":"","family":"Mcdonald","given":"Chloe R","non-dropping-particle":"","parse-names":false,"suffix":""},{"dropping-particle":"","family":"Ngai","given":"Michelle","non-dropping-particle":"","parse-names":false,"suffix":""},{"dropping-particle":"","family":"Richard-greenblatt","given":"Melissa","non-dropping-particle":"","parse-names":false,"suffix":""},{"dropping-particle":"","family":"Leligdowicz","given":"Aleksandra","non-dropping-particle":"","parse-names":false,"suffix":""},{"dropping-particle":"","family":"Conroy","given":"Andrea L","non-dropping-particle":"","parse-names":false,"suffix":""}],"container-title":"eBioMedicine","id":"ITEM-1","issued":{"date-parts":[["2023"]]},"page":"104721","publisher":"The Authors","title":"Articles In fl ammatory pro fi les in febrile children with moderate and severe malnutrition presenting at-hospital in Uganda are associated with increased mortality","type":"article-journal","volume":"94"},"uris":["http://www.mendeley.com/documents/?uuid=1da44816-fcaf-4043-8cc0-3912f2e7fed2","http://www.mendeley.com/documents/?uuid=e5f5d5dd-42b1-48e4-8048-268919cec6dc"]}],"mendeley":{"formattedCitation":"[40]","plainTextFormattedCitation":"[40]","previouslyFormattedCitation":"[40]"},"properties":{"noteIndex":0},"schema":"https://github.com/citation-style-language/schema/raw/master/csl-citation.json"}</w:instrText>
      </w:r>
      <w:r w:rsidRPr="00320F50">
        <w:rPr>
          <w:rFonts w:ascii="Arial" w:hAnsi="Arial" w:cs="Arial"/>
          <w:sz w:val="24"/>
          <w:szCs w:val="24"/>
          <w:shd w:val="clear" w:color="auto" w:fill="FFFFFF"/>
        </w:rPr>
        <w:fldChar w:fldCharType="separate"/>
      </w:r>
      <w:r w:rsidRPr="00320F50">
        <w:rPr>
          <w:rFonts w:ascii="Arial" w:hAnsi="Arial" w:cs="Arial"/>
          <w:noProof/>
          <w:sz w:val="24"/>
          <w:szCs w:val="24"/>
          <w:shd w:val="clear" w:color="auto" w:fill="FFFFFF"/>
        </w:rPr>
        <w:t>[40]</w:t>
      </w:r>
      <w:r w:rsidRPr="00320F50">
        <w:rPr>
          <w:rFonts w:ascii="Arial" w:hAnsi="Arial" w:cs="Arial"/>
          <w:sz w:val="24"/>
          <w:szCs w:val="24"/>
          <w:shd w:val="clear" w:color="auto" w:fill="FFFFFF"/>
        </w:rPr>
        <w:fldChar w:fldCharType="end"/>
      </w:r>
      <w:r w:rsidR="00A62D47">
        <w:rPr>
          <w:rFonts w:ascii="Arial" w:hAnsi="Arial" w:cs="Arial"/>
          <w:sz w:val="24"/>
          <w:szCs w:val="24"/>
          <w:shd w:val="clear" w:color="auto" w:fill="FFFFFF"/>
        </w:rPr>
        <w:fldChar w:fldCharType="begin" w:fldLock="1"/>
      </w:r>
      <w:r w:rsidR="00A62D47">
        <w:rPr>
          <w:rFonts w:ascii="Arial" w:hAnsi="Arial" w:cs="Arial"/>
          <w:sz w:val="24"/>
          <w:szCs w:val="24"/>
          <w:shd w:val="clear" w:color="auto" w:fill="FFFFFF"/>
        </w:rPr>
        <w:instrText>ADDIN CSL_CITATION {"citationItems":[{"id":"ITEM-1","itemData":{"DOI":"10.3390/nu17091479","ISSN":"20726643","PMID":"40362788","abstract":"Undernutrition affects thousands of children under five years old worldwide, and various factors are related to its onset, among which we highlight enteric infections and gastrointestinal barrier dysfunction. The cycle of intestinal infections and undernutrition has long-term consequences, such as cognitive deficits, poor growth, and metabolic diseases in adulthood. This review explores factors linked to childhood undernutrition, focusing on intestinal infections and markers of intestinal permeability that affect child development. This narrative review was conducted using Medline/PubMed, Web of Science, and Scopus, from July 2024 to March 2025. Studies involving children under five years old and addressing undernutrition, intestinal infections, or intestinal permeability markers were included. Exclusion criteria comprised studies without therapeutic focus, and books, case reports, or academic theses. No language restrictions were applied, and registration on global platforms was not required. Overall, the studies reported a close relationship between enteric pathogens, diarrheal and non-diarrheal stools, and undernutrition. Among the pathogens most frequently found in the feces of malnourished children were Shigella, enterotoxigenic Escherichia coli, enteroaggregative E. coli (EAEC), and Cryptosporidium. The studies also showed the relationship between gastrointestinal barrier function and undernutrition, with the deterioration of nutrient absorption and, consequently, repercussions on development, linear growth, and weight in children. Although the studies analyzed had different designs and heterogeneity in the age range of the studied children, it was possible to observe the relationship between the infection/undernutrition cycle. Future studies should optimize personalized nutrient-based therapies, assess long-term effects on gut health and growth, and explore the gut microbiome’s role in enteric infection susceptibility and undernutrition.","author":[{"dropping-particle":"","family":"Carvalho","given":"Maria Clara da Cruz","non-dropping-particle":"","parse-names":false,"suffix":""},{"dropping-particle":"","family":"Ribeiro","given":"Samilly Albuquerque","non-dropping-particle":"","parse-names":false,"suffix":""},{"dropping-particle":"","family":"Sousa","given":"Lélia Sales","non-dropping-particle":"de","parse-names":false,"suffix":""},{"dropping-particle":"","family":"Lima","given":"Aldo Ângelo Moreira","non-dropping-particle":"","parse-names":false,"suffix":""},{"dropping-particle":"","family":"Maciel","given":"Bruna Leal Lima","non-dropping-particle":"","parse-names":false,"suffix":""}],"container-title":"Nutrients ","id":"ITEM-1","issue":"9","issued":{"date-parts":[["2025"]]},"title":"Undernutrition and Intestinal Infections in Children: A Narrative Review","type":"article-journal","volume":"17"},"uris":["http://www.mendeley.com/documents/?uuid=680c699a-d19f-4d32-b422-4dd7c624cb28"]}],"mendeley":{"formattedCitation":"[41]","plainTextFormattedCitation":"[41]"},"properties":{"noteIndex":0},"schema":"https://github.com/citation-style-language/schema/raw/master/csl-citation.json"}</w:instrText>
      </w:r>
      <w:r w:rsidR="00A62D47">
        <w:rPr>
          <w:rFonts w:ascii="Arial" w:hAnsi="Arial" w:cs="Arial"/>
          <w:sz w:val="24"/>
          <w:szCs w:val="24"/>
          <w:shd w:val="clear" w:color="auto" w:fill="FFFFFF"/>
        </w:rPr>
        <w:fldChar w:fldCharType="separate"/>
      </w:r>
      <w:r w:rsidR="00A62D47" w:rsidRPr="00A62D47">
        <w:rPr>
          <w:rFonts w:ascii="Arial" w:hAnsi="Arial" w:cs="Arial"/>
          <w:noProof/>
          <w:sz w:val="24"/>
          <w:szCs w:val="24"/>
          <w:shd w:val="clear" w:color="auto" w:fill="FFFFFF"/>
        </w:rPr>
        <w:t>[41]</w:t>
      </w:r>
      <w:r w:rsidR="00A62D47">
        <w:rPr>
          <w:rFonts w:ascii="Arial" w:hAnsi="Arial" w:cs="Arial"/>
          <w:sz w:val="24"/>
          <w:szCs w:val="24"/>
          <w:shd w:val="clear" w:color="auto" w:fill="FFFFFF"/>
        </w:rPr>
        <w:fldChar w:fldCharType="end"/>
      </w:r>
      <w:r w:rsidR="00F61D00">
        <w:rPr>
          <w:rFonts w:ascii="Arial" w:hAnsi="Arial" w:cs="Arial"/>
          <w:sz w:val="24"/>
          <w:szCs w:val="24"/>
          <w:shd w:val="clear" w:color="auto" w:fill="FFFFFF"/>
        </w:rPr>
        <w:t xml:space="preserve">. </w:t>
      </w:r>
      <w:r w:rsidRPr="00320F50">
        <w:rPr>
          <w:rFonts w:ascii="Arial" w:hAnsi="Arial" w:cs="Arial"/>
          <w:sz w:val="24"/>
          <w:szCs w:val="24"/>
        </w:rPr>
        <w:t>These differences may be attributable to sample size, measurement methods, or local epidemiological factors in Zanzibar.</w:t>
      </w:r>
    </w:p>
    <w:p w:rsidR="00F01DDE" w:rsidRPr="00320F50" w:rsidRDefault="00F01DDE" w:rsidP="00F01DDE">
      <w:pPr>
        <w:spacing w:line="360" w:lineRule="auto"/>
        <w:jc w:val="both"/>
        <w:rPr>
          <w:rFonts w:ascii="Arial" w:hAnsi="Arial" w:cs="Arial"/>
          <w:sz w:val="24"/>
          <w:szCs w:val="24"/>
        </w:rPr>
      </w:pPr>
      <w:r w:rsidRPr="00320F50">
        <w:rPr>
          <w:rFonts w:ascii="Arial" w:hAnsi="Arial" w:cs="Arial"/>
          <w:sz w:val="24"/>
          <w:szCs w:val="24"/>
        </w:rPr>
        <w:t xml:space="preserve">Overall, this study reinforces the importance of targeted nutrition education </w:t>
      </w:r>
      <w:r w:rsidR="00F61D00">
        <w:rPr>
          <w:rFonts w:ascii="Arial" w:hAnsi="Arial" w:cs="Arial"/>
          <w:sz w:val="24"/>
          <w:szCs w:val="24"/>
        </w:rPr>
        <w:t>focused on exclusive breastfeeding and the quality of complementary feeding</w:t>
      </w:r>
      <w:r w:rsidRPr="00320F50">
        <w:rPr>
          <w:rFonts w:ascii="Arial" w:hAnsi="Arial" w:cs="Arial"/>
          <w:sz w:val="24"/>
          <w:szCs w:val="24"/>
        </w:rPr>
        <w:t>, while highlighting the need to evaluate and enhance the effectiveness of existing educational interventions.</w:t>
      </w:r>
    </w:p>
    <w:p w:rsidR="00F01DDE" w:rsidRPr="00410C5A" w:rsidRDefault="00F01DDE" w:rsidP="00F01DDE">
      <w:pPr>
        <w:spacing w:line="360" w:lineRule="auto"/>
        <w:jc w:val="both"/>
        <w:rPr>
          <w:rFonts w:ascii="Arial" w:hAnsi="Arial" w:cs="Arial"/>
          <w:color w:val="FF0000"/>
          <w:sz w:val="24"/>
          <w:szCs w:val="24"/>
        </w:rPr>
      </w:pPr>
      <w:r w:rsidRPr="00DD17E5">
        <w:rPr>
          <w:rStyle w:val="Strong"/>
          <w:rFonts w:ascii="Arial" w:hAnsi="Arial" w:cs="Arial"/>
          <w:b w:val="0"/>
          <w:sz w:val="24"/>
          <w:szCs w:val="24"/>
        </w:rPr>
        <w:t>Limitations:</w:t>
      </w:r>
      <w:r w:rsidRPr="00410C5A">
        <w:rPr>
          <w:rFonts w:ascii="Arial" w:hAnsi="Arial" w:cs="Arial"/>
          <w:sz w:val="24"/>
          <w:szCs w:val="24"/>
        </w:rPr>
        <w:br/>
        <w:t>This study has several limitations that should be considered when interpreting the findings. First, its cross-sectional design limits the ability to establish causal relationships between caregiver knowledge, feeding practices, and child malnutrition outcomes. Second, the study relied on self-reported information, which may be subject to recall bias or social desirability bias, potentially affecting the accuracy of responses regarding feeding practices and past malnutrition diagnoses. Third, the sample size was relatively small and drawn from a single healthcare facility, which may limit the generalizability of the results to broader populations or other settings. Additionally, the study did not assess dietary intake quantitatively or account for other house</w:t>
      </w:r>
      <w:r>
        <w:rPr>
          <w:rFonts w:ascii="Arial" w:hAnsi="Arial" w:cs="Arial"/>
          <w:sz w:val="24"/>
          <w:szCs w:val="24"/>
        </w:rPr>
        <w:t xml:space="preserve">hold-level factors </w:t>
      </w:r>
      <w:r w:rsidRPr="00410C5A">
        <w:rPr>
          <w:rFonts w:ascii="Arial" w:hAnsi="Arial" w:cs="Arial"/>
          <w:sz w:val="24"/>
          <w:szCs w:val="24"/>
        </w:rPr>
        <w:t>such as food security, caregiving dyna</w:t>
      </w:r>
      <w:r>
        <w:rPr>
          <w:rFonts w:ascii="Arial" w:hAnsi="Arial" w:cs="Arial"/>
          <w:sz w:val="24"/>
          <w:szCs w:val="24"/>
        </w:rPr>
        <w:t xml:space="preserve">mics, or cultural feeding norms </w:t>
      </w:r>
      <w:r w:rsidRPr="00410C5A">
        <w:rPr>
          <w:rFonts w:ascii="Arial" w:hAnsi="Arial" w:cs="Arial"/>
          <w:sz w:val="24"/>
          <w:szCs w:val="24"/>
        </w:rPr>
        <w:t>that may influence child nutrition. Future research using larger, more diverse samples and longitudinal designs would help strengthen the evidence and provide a more comprehensive understanding of caregiver-related determinants of malnutrition</w:t>
      </w:r>
      <w:r>
        <w:rPr>
          <w:rFonts w:ascii="Arial" w:hAnsi="Arial" w:cs="Arial"/>
          <w:sz w:val="24"/>
          <w:szCs w:val="24"/>
        </w:rPr>
        <w:t>.</w:t>
      </w:r>
    </w:p>
    <w:p w:rsidR="00F01DDE" w:rsidRPr="00410C5A" w:rsidRDefault="00F01DDE" w:rsidP="00F01DDE">
      <w:pPr>
        <w:pStyle w:val="Heading2"/>
        <w:rPr>
          <w:rFonts w:ascii="Arial" w:hAnsi="Arial" w:cs="Arial"/>
          <w:color w:val="auto"/>
          <w:sz w:val="24"/>
          <w:szCs w:val="24"/>
          <w:lang w:eastAsia="en-US"/>
        </w:rPr>
      </w:pPr>
      <w:r w:rsidRPr="00410C5A">
        <w:rPr>
          <w:rStyle w:val="Strong"/>
          <w:rFonts w:ascii="Arial" w:hAnsi="Arial" w:cs="Arial"/>
          <w:b w:val="0"/>
          <w:bCs w:val="0"/>
          <w:color w:val="auto"/>
          <w:sz w:val="24"/>
          <w:szCs w:val="24"/>
        </w:rPr>
        <w:t>Conclusion</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This study reveals that a substantial proportion of caregivers possess limited knowledge of optimal child feeding practices, with many constrained by both informational and financial barriers. Although some caregivers demonstrated appropriate breastfeeding and complementary feeding </w:t>
      </w:r>
      <w:proofErr w:type="spellStart"/>
      <w:r w:rsidR="00F61D00">
        <w:rPr>
          <w:rFonts w:ascii="Arial" w:hAnsi="Arial" w:cs="Arial"/>
        </w:rPr>
        <w:t>behaviours</w:t>
      </w:r>
      <w:proofErr w:type="spellEnd"/>
      <w:r w:rsidR="00F61D00">
        <w:rPr>
          <w:rFonts w:ascii="Arial" w:hAnsi="Arial" w:cs="Arial"/>
        </w:rPr>
        <w:t xml:space="preserve">, notable gaps persist, </w:t>
      </w:r>
      <w:r w:rsidRPr="004A02C3">
        <w:rPr>
          <w:rFonts w:ascii="Arial" w:hAnsi="Arial" w:cs="Arial"/>
        </w:rPr>
        <w:t>particularly regarding the recommended timing, diversity, and nutritional value of complementary foods. Limited access to nutrition education further compounds these deficiencies and may contribute to the continued risk of malnutrition among children under five years.</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lastRenderedPageBreak/>
        <w:t xml:space="preserve">Despite these challenges, </w:t>
      </w:r>
      <w:r>
        <w:rPr>
          <w:rFonts w:ascii="Arial" w:hAnsi="Arial" w:cs="Arial"/>
        </w:rPr>
        <w:t xml:space="preserve">caregivers' strong willingness </w:t>
      </w:r>
      <w:r w:rsidRPr="004A02C3">
        <w:rPr>
          <w:rFonts w:ascii="Arial" w:hAnsi="Arial" w:cs="Arial"/>
        </w:rPr>
        <w:t>to engage in nutrition training offers a promising avenue for intervention. Strengthening targeted educational initiatives, alongside addressing structural and socioeconomic barriers, has the potential to significantly enhance child feeding practices. By closing these knowledge gaps and mitigating commonly faced obstacles, meaningful progress can be made toward reducing malnutrition and improving the overall health and well-being of young children in the community.</w:t>
      </w:r>
    </w:p>
    <w:p w:rsidR="00F01DDE" w:rsidRPr="004A02C3" w:rsidRDefault="00F01DDE" w:rsidP="00F01DDE">
      <w:pPr>
        <w:spacing w:line="360" w:lineRule="auto"/>
        <w:jc w:val="both"/>
        <w:rPr>
          <w:rFonts w:ascii="Arial" w:hAnsi="Arial" w:cs="Arial"/>
          <w:sz w:val="24"/>
          <w:szCs w:val="24"/>
        </w:rPr>
      </w:pPr>
    </w:p>
    <w:p w:rsidR="00F01DDE" w:rsidRPr="00410C5A" w:rsidRDefault="00F01DDE" w:rsidP="00F01DDE">
      <w:pPr>
        <w:pStyle w:val="Heading2"/>
        <w:spacing w:line="360" w:lineRule="auto"/>
        <w:jc w:val="both"/>
        <w:rPr>
          <w:rFonts w:ascii="Arial" w:hAnsi="Arial" w:cs="Arial"/>
          <w:color w:val="auto"/>
          <w:sz w:val="24"/>
          <w:szCs w:val="24"/>
        </w:rPr>
      </w:pPr>
      <w:r w:rsidRPr="00410C5A">
        <w:rPr>
          <w:rStyle w:val="Strong"/>
          <w:rFonts w:ascii="Arial" w:hAnsi="Arial" w:cs="Arial"/>
          <w:b w:val="0"/>
          <w:bCs w:val="0"/>
          <w:color w:val="auto"/>
          <w:sz w:val="24"/>
          <w:szCs w:val="24"/>
        </w:rPr>
        <w:t>Recommendations</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Health authorities and relevant stakeholders should implement sustained, structured nutrition education programs tailored to caregi</w:t>
      </w:r>
      <w:r w:rsidR="00F61D00">
        <w:rPr>
          <w:rFonts w:ascii="Arial" w:hAnsi="Arial" w:cs="Arial"/>
        </w:rPr>
        <w:t xml:space="preserve">vers, particularly mothers </w:t>
      </w:r>
      <w:r w:rsidRPr="004A02C3">
        <w:rPr>
          <w:rFonts w:ascii="Arial" w:hAnsi="Arial" w:cs="Arial"/>
        </w:rPr>
        <w:t>of children under five. These programs should emphasize correct breastfeeding practices, appropriate timing of complementary feeding, and the selection of diverse, nutrient-dense foods to support healthy child growth. Special attention should be given to caregivers with limited formal education or those who explicitly cite inadequate knowledge as a barrier.</w:t>
      </w:r>
    </w:p>
    <w:p w:rsidR="00F01DDE" w:rsidRDefault="00F01DDE" w:rsidP="00F01DDE">
      <w:pPr>
        <w:pStyle w:val="NormalWeb"/>
        <w:spacing w:line="360" w:lineRule="auto"/>
        <w:rPr>
          <w:rFonts w:ascii="Arial" w:hAnsi="Arial" w:cs="Arial"/>
        </w:rPr>
      </w:pPr>
      <w:r w:rsidRPr="004A02C3">
        <w:rPr>
          <w:rFonts w:ascii="Arial" w:hAnsi="Arial" w:cs="Arial"/>
        </w:rPr>
        <w:t>Addressing financial and accessibility constraints is equally essential. Com</w:t>
      </w:r>
      <w:r w:rsidR="00F61D00">
        <w:rPr>
          <w:rFonts w:ascii="Arial" w:hAnsi="Arial" w:cs="Arial"/>
        </w:rPr>
        <w:t xml:space="preserve">munity-based support mechanisms, such as local nutrition counselling hubs, caregiver support groups, and household-level assistance, </w:t>
      </w:r>
      <w:r w:rsidRPr="004A02C3">
        <w:rPr>
          <w:rFonts w:ascii="Arial" w:hAnsi="Arial" w:cs="Arial"/>
        </w:rPr>
        <w:t>can help mitigate these challenges. Policies aimed at subsidizing nutritious foods, strengthening food security, and improving access to child nutrition counselling within primary healthcare services would further empower caregivers. Reinforcing these areas is critical for reducing malnutrition risk among children under five and advancing child health outcomes at the community level.</w:t>
      </w:r>
    </w:p>
    <w:p w:rsidR="00181B00" w:rsidRPr="00EC0B50" w:rsidRDefault="00181B00" w:rsidP="00181B00">
      <w:pPr>
        <w:spacing w:before="100" w:beforeAutospacing="1" w:after="100" w:afterAutospacing="1"/>
        <w:outlineLvl w:val="4"/>
        <w:rPr>
          <w:rFonts w:ascii="Times New Roman" w:eastAsia="Times New Roman" w:hAnsi="Times New Roman"/>
          <w:b/>
          <w:bCs/>
          <w:sz w:val="24"/>
          <w:szCs w:val="24"/>
        </w:rPr>
      </w:pPr>
      <w:r w:rsidRPr="00EC0B50">
        <w:rPr>
          <w:rFonts w:ascii="Times New Roman" w:eastAsia="Times New Roman" w:hAnsi="Times New Roman"/>
          <w:b/>
          <w:bCs/>
          <w:sz w:val="24"/>
          <w:szCs w:val="24"/>
        </w:rPr>
        <w:t>Availability of Data and Materials</w:t>
      </w:r>
    </w:p>
    <w:p w:rsidR="00181B00" w:rsidRPr="00EC0B50" w:rsidRDefault="00181B00" w:rsidP="00181B00">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T</w:t>
      </w:r>
      <w:r>
        <w:rPr>
          <w:rFonts w:ascii="Arial" w:hAnsi="Arial" w:cs="Arial"/>
          <w:color w:val="1C1C1C"/>
          <w:sz w:val="21"/>
          <w:szCs w:val="21"/>
          <w:shd w:val="clear" w:color="auto" w:fill="FFFFFF"/>
        </w:rPr>
        <w:t>he data from this study can be obtained from the corresponding author upon a reasonable request</w:t>
      </w:r>
    </w:p>
    <w:p w:rsidR="00181B00" w:rsidRPr="00EC0B50" w:rsidRDefault="00181B00" w:rsidP="00181B00">
      <w:pPr>
        <w:spacing w:before="100" w:beforeAutospacing="1" w:after="100" w:afterAutospacing="1"/>
        <w:outlineLvl w:val="4"/>
        <w:rPr>
          <w:rFonts w:ascii="Times New Roman" w:eastAsia="Times New Roman" w:hAnsi="Times New Roman"/>
          <w:b/>
          <w:bCs/>
          <w:sz w:val="24"/>
          <w:szCs w:val="24"/>
        </w:rPr>
      </w:pPr>
      <w:r w:rsidRPr="00EC0B50">
        <w:rPr>
          <w:rFonts w:ascii="Times New Roman" w:eastAsia="Times New Roman" w:hAnsi="Times New Roman"/>
          <w:b/>
          <w:bCs/>
          <w:sz w:val="24"/>
          <w:szCs w:val="24"/>
        </w:rPr>
        <w:t>Ethics Approval and Consent to Participate</w:t>
      </w:r>
    </w:p>
    <w:p w:rsidR="00181B00" w:rsidRPr="00EC0B50" w:rsidRDefault="00063B8A" w:rsidP="00181B00">
      <w:pPr>
        <w:pStyle w:val="NormalWeb"/>
        <w:spacing w:line="360" w:lineRule="auto"/>
        <w:jc w:val="both"/>
      </w:pPr>
      <w:r>
        <w:lastRenderedPageBreak/>
        <w:t>Ethical approval was obtained from the Zanzibar Health Research Institute (ZAHRI),</w:t>
      </w:r>
      <w:r w:rsidR="00181B00" w:rsidRPr="00EC0B50">
        <w:t xml:space="preserve"> </w:t>
      </w:r>
      <w:r>
        <w:t xml:space="preserve">approval number </w:t>
      </w:r>
      <w:r w:rsidRPr="00063B8A">
        <w:rPr>
          <w:b/>
        </w:rPr>
        <w:t>ZAHREC/02/ST/FEB/2025/74</w:t>
      </w:r>
      <w:r w:rsidR="00181B00" w:rsidRPr="00EC0B50">
        <w:t>, and written informed consent was secured from all participants. Confidentiality was ensured by omitting personal identifiers</w:t>
      </w:r>
      <w:r>
        <w:t xml:space="preserve"> </w:t>
      </w:r>
    </w:p>
    <w:p w:rsidR="00181B00" w:rsidRPr="00EC0B50" w:rsidRDefault="00181B00" w:rsidP="00181B00">
      <w:pPr>
        <w:spacing w:before="100" w:beforeAutospacing="1" w:after="100" w:afterAutospacing="1"/>
        <w:outlineLvl w:val="4"/>
        <w:rPr>
          <w:rFonts w:ascii="Times New Roman" w:eastAsia="Times New Roman" w:hAnsi="Times New Roman"/>
          <w:b/>
          <w:bCs/>
          <w:sz w:val="24"/>
          <w:szCs w:val="24"/>
        </w:rPr>
      </w:pPr>
      <w:r w:rsidRPr="00EC0B50">
        <w:rPr>
          <w:rFonts w:ascii="Times New Roman" w:eastAsia="Times New Roman" w:hAnsi="Times New Roman"/>
          <w:b/>
          <w:bCs/>
          <w:sz w:val="24"/>
          <w:szCs w:val="24"/>
        </w:rPr>
        <w:t>Consent for Publication</w:t>
      </w:r>
    </w:p>
    <w:p w:rsidR="00181B00" w:rsidRPr="00EC0B50" w:rsidRDefault="00181B00" w:rsidP="00181B00">
      <w:pPr>
        <w:spacing w:before="100" w:beforeAutospacing="1" w:after="100" w:afterAutospacing="1"/>
        <w:rPr>
          <w:rFonts w:ascii="Times New Roman" w:eastAsia="Times New Roman" w:hAnsi="Times New Roman"/>
          <w:sz w:val="24"/>
          <w:szCs w:val="24"/>
        </w:rPr>
      </w:pPr>
      <w:r w:rsidRPr="00EC0B50">
        <w:rPr>
          <w:rFonts w:ascii="Times New Roman" w:eastAsia="Times New Roman" w:hAnsi="Times New Roman"/>
          <w:sz w:val="24"/>
          <w:szCs w:val="24"/>
        </w:rPr>
        <w:t>Not applicable.</w:t>
      </w:r>
    </w:p>
    <w:p w:rsidR="00181B00" w:rsidRPr="00EC0B50" w:rsidRDefault="00181B00" w:rsidP="00181B00">
      <w:pPr>
        <w:spacing w:before="100" w:beforeAutospacing="1" w:after="100" w:afterAutospacing="1"/>
        <w:outlineLvl w:val="4"/>
        <w:rPr>
          <w:rFonts w:ascii="Times New Roman" w:eastAsia="Times New Roman" w:hAnsi="Times New Roman"/>
          <w:b/>
          <w:bCs/>
          <w:sz w:val="24"/>
          <w:szCs w:val="24"/>
        </w:rPr>
      </w:pPr>
      <w:r w:rsidRPr="00EC0B50">
        <w:rPr>
          <w:rFonts w:ascii="Times New Roman" w:eastAsia="Times New Roman" w:hAnsi="Times New Roman"/>
          <w:b/>
          <w:bCs/>
          <w:sz w:val="24"/>
          <w:szCs w:val="24"/>
        </w:rPr>
        <w:t>Conflicts of Interest</w:t>
      </w:r>
    </w:p>
    <w:p w:rsidR="00181B00" w:rsidRPr="00EC0B50" w:rsidRDefault="00181B00" w:rsidP="00181B00">
      <w:pPr>
        <w:spacing w:before="100" w:beforeAutospacing="1" w:after="100" w:afterAutospacing="1"/>
        <w:rPr>
          <w:rFonts w:ascii="Times New Roman" w:eastAsia="Times New Roman" w:hAnsi="Times New Roman"/>
          <w:sz w:val="24"/>
          <w:szCs w:val="24"/>
        </w:rPr>
      </w:pPr>
      <w:r w:rsidRPr="00EC0B50">
        <w:rPr>
          <w:rFonts w:ascii="Times New Roman" w:eastAsia="Times New Roman" w:hAnsi="Times New Roman"/>
          <w:sz w:val="24"/>
          <w:szCs w:val="24"/>
        </w:rPr>
        <w:t>The author</w:t>
      </w:r>
      <w:r>
        <w:rPr>
          <w:rFonts w:ascii="Times New Roman" w:eastAsia="Times New Roman" w:hAnsi="Times New Roman"/>
          <w:sz w:val="24"/>
          <w:szCs w:val="24"/>
        </w:rPr>
        <w:t xml:space="preserve">s hereby declare no conflicts of </w:t>
      </w:r>
      <w:r w:rsidR="00063B8A">
        <w:rPr>
          <w:rFonts w:ascii="Times New Roman" w:eastAsia="Times New Roman" w:hAnsi="Times New Roman"/>
          <w:sz w:val="24"/>
          <w:szCs w:val="24"/>
        </w:rPr>
        <w:t>interest</w:t>
      </w:r>
      <w:r w:rsidRPr="00EC0B50">
        <w:rPr>
          <w:rFonts w:ascii="Times New Roman" w:eastAsia="Times New Roman" w:hAnsi="Times New Roman"/>
          <w:sz w:val="24"/>
          <w:szCs w:val="24"/>
        </w:rPr>
        <w:t>.</w:t>
      </w:r>
    </w:p>
    <w:p w:rsidR="00181B00" w:rsidRPr="004A02C3" w:rsidRDefault="00181B00" w:rsidP="00F01DDE">
      <w:pPr>
        <w:pStyle w:val="NormalWeb"/>
        <w:spacing w:line="360" w:lineRule="auto"/>
        <w:rPr>
          <w:rFonts w:ascii="Arial" w:hAnsi="Arial" w:cs="Arial"/>
        </w:rPr>
      </w:pPr>
      <w:bookmarkStart w:id="8" w:name="_GoBack"/>
      <w:bookmarkEnd w:id="8"/>
    </w:p>
    <w:p w:rsidR="00F01DDE" w:rsidRPr="004A02C3" w:rsidRDefault="00F01DDE" w:rsidP="00F01DDE">
      <w:pPr>
        <w:pStyle w:val="Heading1"/>
        <w:spacing w:line="360" w:lineRule="auto"/>
        <w:rPr>
          <w:rFonts w:ascii="Arial" w:hAnsi="Arial" w:cs="Arial"/>
          <w:color w:val="000000"/>
          <w:sz w:val="24"/>
          <w:szCs w:val="24"/>
        </w:rPr>
      </w:pPr>
      <w:r w:rsidRPr="004A02C3">
        <w:rPr>
          <w:rFonts w:ascii="Arial" w:hAnsi="Arial" w:cs="Arial"/>
          <w:color w:val="000000"/>
          <w:sz w:val="24"/>
          <w:szCs w:val="24"/>
        </w:rPr>
        <w:t xml:space="preserve">REFERENCES </w:t>
      </w:r>
    </w:p>
    <w:p w:rsidR="00A62D47" w:rsidRPr="00A62D47" w:rsidRDefault="00F01DDE" w:rsidP="00A62D47">
      <w:pPr>
        <w:widowControl w:val="0"/>
        <w:autoSpaceDE w:val="0"/>
        <w:autoSpaceDN w:val="0"/>
        <w:adjustRightInd w:val="0"/>
        <w:spacing w:line="360" w:lineRule="auto"/>
        <w:ind w:left="640" w:hanging="640"/>
        <w:rPr>
          <w:rFonts w:ascii="Arial" w:hAnsi="Arial" w:cs="Arial"/>
          <w:noProof/>
          <w:sz w:val="24"/>
          <w:szCs w:val="24"/>
        </w:rPr>
      </w:pPr>
      <w:r w:rsidRPr="004A02C3">
        <w:rPr>
          <w:rFonts w:ascii="Arial" w:eastAsia="Times New Roman" w:hAnsi="Arial" w:cs="Arial"/>
          <w:color w:val="000000"/>
          <w:sz w:val="24"/>
          <w:szCs w:val="24"/>
        </w:rPr>
        <w:fldChar w:fldCharType="begin" w:fldLock="1"/>
      </w:r>
      <w:r w:rsidRPr="004A02C3">
        <w:rPr>
          <w:rFonts w:ascii="Arial" w:eastAsia="Times New Roman" w:hAnsi="Arial" w:cs="Arial"/>
          <w:color w:val="000000"/>
          <w:sz w:val="24"/>
          <w:szCs w:val="24"/>
        </w:rPr>
        <w:instrText xml:space="preserve">ADDIN Mendeley Bibliography CSL_BIBLIOGRAPHY </w:instrText>
      </w:r>
      <w:r w:rsidRPr="004A02C3">
        <w:rPr>
          <w:rFonts w:ascii="Arial" w:eastAsia="Times New Roman" w:hAnsi="Arial" w:cs="Arial"/>
          <w:color w:val="000000"/>
          <w:sz w:val="24"/>
          <w:szCs w:val="24"/>
        </w:rPr>
        <w:fldChar w:fldCharType="separate"/>
      </w:r>
      <w:r w:rsidR="00A62D47" w:rsidRPr="00A62D47">
        <w:rPr>
          <w:rFonts w:ascii="Arial" w:hAnsi="Arial" w:cs="Arial"/>
          <w:noProof/>
          <w:sz w:val="24"/>
          <w:szCs w:val="24"/>
        </w:rPr>
        <w:t>[1]</w:t>
      </w:r>
      <w:r w:rsidR="00A62D47" w:rsidRPr="00A62D47">
        <w:rPr>
          <w:rFonts w:ascii="Arial" w:hAnsi="Arial" w:cs="Arial"/>
          <w:noProof/>
          <w:sz w:val="24"/>
          <w:szCs w:val="24"/>
        </w:rPr>
        <w:tab/>
        <w:t>L. A. S. M. Exposto, C. Pacheco, E. Pereira, E. B. Ximenes, M. Carvalho, and D. R. M. U. Fernandes, “The Impact of Malnutrition Problems on Children Under 5 Years Old and its Management Strategies : A Retrospective Analysis,” vol. 4, no. 6, pp. 251–260,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w:t>
      </w:r>
      <w:r w:rsidRPr="00A62D47">
        <w:rPr>
          <w:rFonts w:ascii="Arial" w:hAnsi="Arial" w:cs="Arial"/>
          <w:noProof/>
          <w:sz w:val="24"/>
          <w:szCs w:val="24"/>
        </w:rPr>
        <w:tab/>
        <w:t>M. M. Mathosi, L. P. Cele, and M. Mathibe, “Acute Malnutrition in Under-Five Children in KwaZulu-Natal , South Africa : Risk Factors and Implications for Dietary Quality,” pp. 1–21,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w:t>
      </w:r>
      <w:r w:rsidRPr="00A62D47">
        <w:rPr>
          <w:rFonts w:ascii="Arial" w:hAnsi="Arial" w:cs="Arial"/>
          <w:noProof/>
          <w:sz w:val="24"/>
          <w:szCs w:val="24"/>
        </w:rPr>
        <w:tab/>
        <w:t>F. Morales, S. M. Paz, M. J. Leon, and F. Rivero-pino, “Effects of Malnutrition on the Immune System and Infection and the Role of Nutritional Strategies Regarding Improvements in Children ’ s Health Status : A Literature Review,” pp. 1–16, 2024.</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[4]</w:t>
      </w:r>
      <w:r w:rsidRPr="00A62D47">
        <w:rPr>
          <w:rFonts w:ascii="Arial" w:hAnsi="Arial" w:cs="Arial"/>
          <w:noProof/>
          <w:sz w:val="24"/>
          <w:szCs w:val="24"/>
        </w:rPr>
        <w:tab/>
        <w:t>M. V. Compte, N. R. Velázquez, H. Thi, M. Nguyen, and M. A. Mehta, “Impact of nutrition and health interventions on undernutrition : an overview of systematic reviews,”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[5]</w:t>
      </w:r>
      <w:r w:rsidRPr="00A62D47">
        <w:rPr>
          <w:rFonts w:ascii="Arial" w:hAnsi="Arial" w:cs="Arial"/>
          <w:noProof/>
          <w:sz w:val="24"/>
          <w:szCs w:val="24"/>
        </w:rPr>
        <w:tab/>
        <w:t>S. Moramarco, E. Buonomo, and A. Andreoli, “Tackling Global Malnutrition and Hunger in the Final Push Toward the 2030 Agenda,” pp. 1–22,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[6]</w:t>
      </w:r>
      <w:r w:rsidRPr="00A62D47">
        <w:rPr>
          <w:rFonts w:ascii="Arial" w:hAnsi="Arial" w:cs="Arial"/>
          <w:noProof/>
          <w:sz w:val="24"/>
          <w:szCs w:val="24"/>
        </w:rPr>
        <w:tab/>
        <w:t xml:space="preserve">B. B. Warssamo, D. B. Belay, and D. Chen, “Determinants of chronic malnutrition </w:t>
      </w:r>
      <w:r w:rsidRPr="00A62D47">
        <w:rPr>
          <w:rFonts w:ascii="Arial" w:hAnsi="Arial" w:cs="Arial"/>
          <w:noProof/>
          <w:sz w:val="24"/>
          <w:szCs w:val="24"/>
        </w:rPr>
        <w:lastRenderedPageBreak/>
        <w:t>among under- five children in Ethiopia using simultaneous quantile regression,” pp. 1–13,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[7]</w:t>
      </w:r>
      <w:r w:rsidRPr="00A62D47">
        <w:rPr>
          <w:rFonts w:ascii="Arial" w:hAnsi="Arial" w:cs="Arial"/>
          <w:noProof/>
          <w:sz w:val="24"/>
          <w:szCs w:val="24"/>
        </w:rPr>
        <w:tab/>
        <w:t xml:space="preserve">W. D. Emera </w:t>
      </w:r>
      <w:r w:rsidRPr="00A62D47">
        <w:rPr>
          <w:rFonts w:ascii="Arial" w:hAnsi="Arial" w:cs="Arial"/>
          <w:i/>
          <w:iCs/>
          <w:noProof/>
          <w:sz w:val="24"/>
          <w:szCs w:val="24"/>
        </w:rPr>
        <w:t>et al.</w:t>
      </w:r>
      <w:r w:rsidRPr="00A62D47">
        <w:rPr>
          <w:rFonts w:ascii="Arial" w:hAnsi="Arial" w:cs="Arial"/>
          <w:noProof/>
          <w:sz w:val="24"/>
          <w:szCs w:val="24"/>
        </w:rPr>
        <w:t xml:space="preserve">, “Understanding the factors associated with child malnutrition in rural Burundi : experiences from the Muyinga and Ngozi provinces Understanding the factors associated with child malnutrition in rural Burundi : experiences from the Muyinga and Ngozi provinces,” </w:t>
      </w:r>
      <w:r w:rsidRPr="00A62D47">
        <w:rPr>
          <w:rFonts w:ascii="Arial" w:hAnsi="Arial" w:cs="Arial"/>
          <w:i/>
          <w:iCs/>
          <w:noProof/>
          <w:sz w:val="24"/>
          <w:szCs w:val="24"/>
        </w:rPr>
        <w:t>South African J. Clin. Nutr.</w:t>
      </w:r>
      <w:r w:rsidRPr="00A62D47">
        <w:rPr>
          <w:rFonts w:ascii="Arial" w:hAnsi="Arial" w:cs="Arial"/>
          <w:noProof/>
          <w:sz w:val="24"/>
          <w:szCs w:val="24"/>
        </w:rPr>
        <w:t>, vol. 38, no. 2, pp. 82–90, 2025, doi: 10.1080/16070658.2025.2477900.</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[8]</w:t>
      </w:r>
      <w:r w:rsidRPr="00A62D47">
        <w:rPr>
          <w:rFonts w:ascii="Arial" w:hAnsi="Arial" w:cs="Arial"/>
          <w:noProof/>
          <w:sz w:val="24"/>
          <w:szCs w:val="24"/>
        </w:rPr>
        <w:tab/>
        <w:t xml:space="preserve">H. Li </w:t>
      </w:r>
      <w:r w:rsidRPr="00A62D47">
        <w:rPr>
          <w:rFonts w:ascii="Arial" w:hAnsi="Arial" w:cs="Arial"/>
          <w:i/>
          <w:iCs/>
          <w:noProof/>
          <w:sz w:val="24"/>
          <w:szCs w:val="24"/>
        </w:rPr>
        <w:t>et al.</w:t>
      </w:r>
      <w:r w:rsidRPr="00A62D47">
        <w:rPr>
          <w:rFonts w:ascii="Arial" w:hAnsi="Arial" w:cs="Arial"/>
          <w:noProof/>
          <w:sz w:val="24"/>
          <w:szCs w:val="24"/>
        </w:rPr>
        <w:t xml:space="preserve">, “Prevalence and associated factors for stunting , underweight and wasting among children under 6 years of age in rural Hunan Province , China : a community-based cross-sectional study,” </w:t>
      </w:r>
      <w:r w:rsidRPr="00A62D47">
        <w:rPr>
          <w:rFonts w:ascii="Arial" w:hAnsi="Arial" w:cs="Arial"/>
          <w:i/>
          <w:iCs/>
          <w:noProof/>
          <w:sz w:val="24"/>
          <w:szCs w:val="24"/>
        </w:rPr>
        <w:t>BMC Public Health</w:t>
      </w:r>
      <w:r w:rsidRPr="00A62D47">
        <w:rPr>
          <w:rFonts w:ascii="Arial" w:hAnsi="Arial" w:cs="Arial"/>
          <w:noProof/>
          <w:sz w:val="24"/>
          <w:szCs w:val="24"/>
        </w:rPr>
        <w:t>, pp. 1–12, 2022, doi: 10.1186/s12889-022-12875-w.</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[9]</w:t>
      </w:r>
      <w:r w:rsidRPr="00A62D47">
        <w:rPr>
          <w:rFonts w:ascii="Arial" w:hAnsi="Arial" w:cs="Arial"/>
          <w:noProof/>
          <w:sz w:val="24"/>
          <w:szCs w:val="24"/>
        </w:rPr>
        <w:tab/>
        <w:t xml:space="preserve">A. Soliman </w:t>
      </w:r>
      <w:r w:rsidRPr="00A62D47">
        <w:rPr>
          <w:rFonts w:ascii="Arial" w:hAnsi="Arial" w:cs="Arial"/>
          <w:i/>
          <w:iCs/>
          <w:noProof/>
          <w:sz w:val="24"/>
          <w:szCs w:val="24"/>
        </w:rPr>
        <w:t>et al.</w:t>
      </w:r>
      <w:r w:rsidRPr="00A62D47">
        <w:rPr>
          <w:rFonts w:ascii="Arial" w:hAnsi="Arial" w:cs="Arial"/>
          <w:noProof/>
          <w:sz w:val="24"/>
          <w:szCs w:val="24"/>
        </w:rPr>
        <w:t>, “Early and Long-term Consequences of Nutritional Stunting : From Childhood to Adulthood,” vol. 92, no. 4, pp. 1–12, 2021, doi: 10.23750/abm.v92i1.11346.</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[10]</w:t>
      </w:r>
      <w:r w:rsidRPr="00A62D47">
        <w:rPr>
          <w:rFonts w:ascii="Arial" w:hAnsi="Arial" w:cs="Arial"/>
          <w:noProof/>
          <w:sz w:val="24"/>
          <w:szCs w:val="24"/>
        </w:rPr>
        <w:tab/>
        <w:t xml:space="preserve">G. Rezaeizadeh, A. Mansournia, A. Keshtkar, Z. Farahani, F. Zarepour, and M. Sharafkhah, “Articles Maternal education and its in fl uence on child growth and nutritional status during the fi rst two years of life : a systematic review and meta-analysis,” </w:t>
      </w:r>
      <w:r w:rsidRPr="00A62D47">
        <w:rPr>
          <w:rFonts w:ascii="Arial" w:hAnsi="Arial" w:cs="Arial"/>
          <w:i/>
          <w:iCs/>
          <w:noProof/>
          <w:sz w:val="24"/>
          <w:szCs w:val="24"/>
        </w:rPr>
        <w:t>eClinicalMedicine</w:t>
      </w:r>
      <w:r w:rsidRPr="00A62D47">
        <w:rPr>
          <w:rFonts w:ascii="Arial" w:hAnsi="Arial" w:cs="Arial"/>
          <w:noProof/>
          <w:sz w:val="24"/>
          <w:szCs w:val="24"/>
        </w:rPr>
        <w:t>, vol. 71, p. 102574, 2024, doi: 10.1016/j.eclinm.2024.102574.</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[11]</w:t>
      </w:r>
      <w:r w:rsidRPr="00A62D47">
        <w:rPr>
          <w:rFonts w:ascii="Arial" w:hAnsi="Arial" w:cs="Arial"/>
          <w:noProof/>
          <w:sz w:val="24"/>
          <w:szCs w:val="24"/>
        </w:rPr>
        <w:tab/>
        <w:t>M. Orczyk-pawiłowicz, “Breastfeeding Beyond Six Months : Evidence of Child Health Benefits,” 2024.</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[12]</w:t>
      </w:r>
      <w:r w:rsidRPr="00A62D47">
        <w:rPr>
          <w:rFonts w:ascii="Arial" w:hAnsi="Arial" w:cs="Arial"/>
          <w:noProof/>
          <w:sz w:val="24"/>
          <w:szCs w:val="24"/>
        </w:rPr>
        <w:tab/>
        <w:t>I. Maternal, “The association between exclusive breastfeeding and nutritional status among infants under six months of age in Bangladesh A secondary analysis of Bangladesh Demographic and Health Survey , Kadira Aktar Master ’ s Degree Project in Global Health , 30 credits , Spring 2021 . International Maternal and Child Health ( IMCH ) Department of Women ’ s and Children ’ s Health Supervisor : Shirin Ziaei,” 2021.</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[13]</w:t>
      </w:r>
      <w:r w:rsidRPr="00A62D47">
        <w:rPr>
          <w:rFonts w:ascii="Arial" w:hAnsi="Arial" w:cs="Arial"/>
          <w:noProof/>
          <w:sz w:val="24"/>
          <w:szCs w:val="24"/>
        </w:rPr>
        <w:tab/>
        <w:t xml:space="preserve">V. G. Majengo and A. G. Lumbe, “Complementary feeding practices and </w:t>
      </w:r>
      <w:r w:rsidRPr="00A62D47">
        <w:rPr>
          <w:rFonts w:ascii="Arial" w:hAnsi="Arial" w:cs="Arial"/>
          <w:noProof/>
          <w:sz w:val="24"/>
          <w:szCs w:val="24"/>
        </w:rPr>
        <w:lastRenderedPageBreak/>
        <w:t>associated factors among mothers of children aged 6 to 23 months in Tanzania : A multilevel analysis of the 2022 Demographic and Health Survey,” 2022.</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[14]</w:t>
      </w:r>
      <w:r w:rsidRPr="00A62D47">
        <w:rPr>
          <w:rFonts w:ascii="Arial" w:hAnsi="Arial" w:cs="Arial"/>
          <w:noProof/>
          <w:sz w:val="24"/>
          <w:szCs w:val="24"/>
        </w:rPr>
        <w:tab/>
        <w:t>N. Strategic, “NUTRITION STRATEGIC ACTION PLAN ( ZMNSAP ),”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[15]</w:t>
      </w:r>
      <w:r w:rsidRPr="00A62D47">
        <w:rPr>
          <w:rFonts w:ascii="Arial" w:hAnsi="Arial" w:cs="Arial"/>
          <w:noProof/>
          <w:sz w:val="24"/>
          <w:szCs w:val="24"/>
        </w:rPr>
        <w:tab/>
        <w:t xml:space="preserve">K. Stakeholders </w:t>
      </w:r>
      <w:r w:rsidRPr="00A62D47">
        <w:rPr>
          <w:rFonts w:ascii="Arial" w:hAnsi="Arial" w:cs="Arial"/>
          <w:i/>
          <w:iCs/>
          <w:noProof/>
          <w:sz w:val="24"/>
          <w:szCs w:val="24"/>
        </w:rPr>
        <w:t>et al.</w:t>
      </w:r>
      <w:r w:rsidRPr="00A62D47">
        <w:rPr>
          <w:rFonts w:ascii="Arial" w:hAnsi="Arial" w:cs="Arial"/>
          <w:noProof/>
          <w:sz w:val="24"/>
          <w:szCs w:val="24"/>
        </w:rPr>
        <w:t>, “A Systems Approach in the Prevention of Undernutrition among Children under Five in Tanzania : Perspectives from,” pp. 1–21, 2024.</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[16]</w:t>
      </w:r>
      <w:r w:rsidRPr="00A62D47">
        <w:rPr>
          <w:rFonts w:ascii="Arial" w:hAnsi="Arial" w:cs="Arial"/>
          <w:noProof/>
          <w:sz w:val="24"/>
          <w:szCs w:val="24"/>
        </w:rPr>
        <w:tab/>
        <w:t>S. E. R. Ika, “The State of Zanzibar ’ s Children Evidence from the Zanzibar Household Budget Surveys ( 2010 – 2020 ),” 2020.</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[17]</w:t>
      </w:r>
      <w:r w:rsidRPr="00A62D47">
        <w:rPr>
          <w:rFonts w:ascii="Arial" w:hAnsi="Arial" w:cs="Arial"/>
          <w:noProof/>
          <w:sz w:val="24"/>
          <w:szCs w:val="24"/>
        </w:rPr>
        <w:tab/>
        <w:t>N. F. O. R. A. Healthy and W. Zanzibar, “ZANZIBAR MULTISECTORAL NUTRITION STRATEGIC ACTION PLAN ( ZMNSAP ),”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[18]</w:t>
      </w:r>
      <w:r w:rsidRPr="00A62D47">
        <w:rPr>
          <w:rFonts w:ascii="Arial" w:hAnsi="Arial" w:cs="Arial"/>
          <w:noProof/>
          <w:sz w:val="24"/>
          <w:szCs w:val="24"/>
        </w:rPr>
        <w:tab/>
        <w:t>H. Survey and M. I. Survey, “Tanzania,” 2022.</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[19]</w:t>
      </w:r>
      <w:r w:rsidRPr="00A62D47">
        <w:rPr>
          <w:rFonts w:ascii="Arial" w:hAnsi="Arial" w:cs="Arial"/>
          <w:noProof/>
          <w:sz w:val="24"/>
          <w:szCs w:val="24"/>
        </w:rPr>
        <w:tab/>
        <w:t>M. S. Kauky, “No Title,” vol. 11, no. September, pp. 203–218, 2023.</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[20]</w:t>
      </w:r>
      <w:r w:rsidRPr="00A62D47">
        <w:rPr>
          <w:rFonts w:ascii="Arial" w:hAnsi="Arial" w:cs="Arial"/>
          <w:noProof/>
          <w:sz w:val="24"/>
          <w:szCs w:val="24"/>
        </w:rPr>
        <w:tab/>
        <w:t>N. R. Geda, C. X. Feng, C. J. Henry, R. Lepnurm, B. Janzen, and S. J. Whiting, “Multiple anthropometric and nutritional deficiencies in young children in Ethiopia : a multi-level analysis based on a nationally representative data,” pp. 1–12, 2021.</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[21]</w:t>
      </w:r>
      <w:r w:rsidRPr="00A62D47">
        <w:rPr>
          <w:rFonts w:ascii="Arial" w:hAnsi="Arial" w:cs="Arial"/>
          <w:noProof/>
          <w:sz w:val="24"/>
          <w:szCs w:val="24"/>
        </w:rPr>
        <w:tab/>
        <w:t>R. Heri, M. Malqvist, K. I. Yahya-malima, and L. T. Mselle, “Dietary diversity and associated factors among women attending antenatal clinics in the coast region of Tanzania,” pp. 1–11, 2024.</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[22]</w:t>
      </w:r>
      <w:r w:rsidRPr="00A62D47">
        <w:rPr>
          <w:rFonts w:ascii="Arial" w:hAnsi="Arial" w:cs="Arial"/>
          <w:noProof/>
          <w:sz w:val="24"/>
          <w:szCs w:val="24"/>
        </w:rPr>
        <w:tab/>
        <w:t xml:space="preserve">N. Matee, T. A. Ageru, E. Mangi, H. T. Nguyen, and F. Walugembe, “Caregivers ’ perceptions of factors influencing undernutrition among under five in Ubungo , Dar es Salaam , Tanzania,” </w:t>
      </w:r>
      <w:r w:rsidRPr="00A62D47">
        <w:rPr>
          <w:rFonts w:ascii="Arial" w:hAnsi="Arial" w:cs="Arial"/>
          <w:i/>
          <w:iCs/>
          <w:noProof/>
          <w:sz w:val="24"/>
          <w:szCs w:val="24"/>
        </w:rPr>
        <w:t>BMC Pediatr.</w:t>
      </w:r>
      <w:r w:rsidRPr="00A62D47">
        <w:rPr>
          <w:rFonts w:ascii="Arial" w:hAnsi="Arial" w:cs="Arial"/>
          <w:noProof/>
          <w:sz w:val="24"/>
          <w:szCs w:val="24"/>
        </w:rPr>
        <w:t>, 2024, doi: 10.1186/s12887-024-05239-3.</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[23]</w:t>
      </w:r>
      <w:r w:rsidRPr="00A62D47">
        <w:rPr>
          <w:rFonts w:ascii="Arial" w:hAnsi="Arial" w:cs="Arial"/>
          <w:noProof/>
          <w:sz w:val="24"/>
          <w:szCs w:val="24"/>
        </w:rPr>
        <w:tab/>
        <w:t xml:space="preserve">B. P. M. Id </w:t>
      </w:r>
      <w:r w:rsidRPr="00A62D47">
        <w:rPr>
          <w:rFonts w:ascii="Arial" w:hAnsi="Arial" w:cs="Arial"/>
          <w:i/>
          <w:iCs/>
          <w:noProof/>
          <w:sz w:val="24"/>
          <w:szCs w:val="24"/>
        </w:rPr>
        <w:t>et al.</w:t>
      </w:r>
      <w:r w:rsidRPr="00A62D47">
        <w:rPr>
          <w:rFonts w:ascii="Arial" w:hAnsi="Arial" w:cs="Arial"/>
          <w:noProof/>
          <w:sz w:val="24"/>
          <w:szCs w:val="24"/>
        </w:rPr>
        <w:t>, “Nutritional status of children under five years old involved in a seasonal malaria chemoprevention study in the Nanyumbu and Masasi districts in Tanzania,” pp. 1–14, 2022, doi: 10.1371/journal.pone.0267670.</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[24]</w:t>
      </w:r>
      <w:r w:rsidRPr="00A62D47">
        <w:rPr>
          <w:rFonts w:ascii="Arial" w:hAnsi="Arial" w:cs="Arial"/>
          <w:noProof/>
          <w:sz w:val="24"/>
          <w:szCs w:val="24"/>
        </w:rPr>
        <w:tab/>
        <w:t xml:space="preserve">B. Ronald </w:t>
      </w:r>
      <w:r w:rsidRPr="00A62D47">
        <w:rPr>
          <w:rFonts w:ascii="Arial" w:hAnsi="Arial" w:cs="Arial"/>
          <w:i/>
          <w:iCs/>
          <w:noProof/>
          <w:sz w:val="24"/>
          <w:szCs w:val="24"/>
        </w:rPr>
        <w:t>et al.</w:t>
      </w:r>
      <w:r w:rsidRPr="00A62D47">
        <w:rPr>
          <w:rFonts w:ascii="Arial" w:hAnsi="Arial" w:cs="Arial"/>
          <w:noProof/>
          <w:sz w:val="24"/>
          <w:szCs w:val="24"/>
        </w:rPr>
        <w:t>, “Prevalence and associated factors of coexisting forms of malnutrition in children under 5 years age in a rural area of Cameroon,” pp. 1–15, 2024, doi: 10.1371/journal.pone.0303611.</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lastRenderedPageBreak/>
        <w:t>[25]</w:t>
      </w:r>
      <w:r w:rsidRPr="00A62D47">
        <w:rPr>
          <w:rFonts w:ascii="Arial" w:hAnsi="Arial" w:cs="Arial"/>
          <w:noProof/>
          <w:sz w:val="24"/>
          <w:szCs w:val="24"/>
        </w:rPr>
        <w:tab/>
        <w:t xml:space="preserve">M. Rahi </w:t>
      </w:r>
      <w:r w:rsidRPr="00A62D47">
        <w:rPr>
          <w:rFonts w:ascii="Arial" w:hAnsi="Arial" w:cs="Arial"/>
          <w:i/>
          <w:iCs/>
          <w:noProof/>
          <w:sz w:val="24"/>
          <w:szCs w:val="24"/>
        </w:rPr>
        <w:t>et al.</w:t>
      </w:r>
      <w:r w:rsidRPr="00A62D47">
        <w:rPr>
          <w:rFonts w:ascii="Arial" w:hAnsi="Arial" w:cs="Arial"/>
          <w:noProof/>
          <w:sz w:val="24"/>
          <w:szCs w:val="24"/>
        </w:rPr>
        <w:t>, “Prevalence and Correlates of Malnutrition in Nuh District , Haryana State , India,” vol. 110, no. 3, pp. 588–595, 2024, doi: 10.4269/ajtmh.23-0487.</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[26]</w:t>
      </w:r>
      <w:r w:rsidRPr="00A62D47">
        <w:rPr>
          <w:rFonts w:ascii="Arial" w:hAnsi="Arial" w:cs="Arial"/>
          <w:noProof/>
          <w:sz w:val="24"/>
          <w:szCs w:val="24"/>
        </w:rPr>
        <w:tab/>
        <w:t xml:space="preserve">E. J. Lyimo </w:t>
      </w:r>
      <w:r w:rsidRPr="00A62D47">
        <w:rPr>
          <w:rFonts w:ascii="Arial" w:hAnsi="Arial" w:cs="Arial"/>
          <w:i/>
          <w:iCs/>
          <w:noProof/>
          <w:sz w:val="24"/>
          <w:szCs w:val="24"/>
        </w:rPr>
        <w:t>et al.</w:t>
      </w:r>
      <w:r w:rsidRPr="00A62D47">
        <w:rPr>
          <w:rFonts w:ascii="Arial" w:hAnsi="Arial" w:cs="Arial"/>
          <w:noProof/>
          <w:sz w:val="24"/>
          <w:szCs w:val="24"/>
        </w:rPr>
        <w:t>, “Healthcare-seeking behaviours among mother ’ s having under-five children with severe wasting in Dodoma and Mbeya regions of Tanzania-A qualitative study,” pp. 1–12, 2024.</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[27]</w:t>
      </w:r>
      <w:r w:rsidRPr="00A62D47">
        <w:rPr>
          <w:rFonts w:ascii="Arial" w:hAnsi="Arial" w:cs="Arial"/>
          <w:noProof/>
          <w:sz w:val="24"/>
          <w:szCs w:val="24"/>
        </w:rPr>
        <w:tab/>
        <w:t>D. T. Wulandari, N. Azizah, V. E. Rahmawati, and H. Annuchasari, “Community-Based Insights on Maternal Nutrition Knowledge and Its Role in Preventing Stunting and Wasting in Rural Indonesian Children,” vol. 5, no. 3, pp. 145–154, 2025, doi: 10.47679/jchs.2025128.</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[28]</w:t>
      </w:r>
      <w:r w:rsidRPr="00A62D47">
        <w:rPr>
          <w:rFonts w:ascii="Arial" w:hAnsi="Arial" w:cs="Arial"/>
          <w:noProof/>
          <w:sz w:val="24"/>
          <w:szCs w:val="24"/>
        </w:rPr>
        <w:tab/>
        <w:t>A. A. Bakare, O. C. Uchendu, O. E. Omotayo, and C. King, “FEEDING PRACTICES AND NUTRITIONAL STATUS OF UNDER-FIVE CHILDREN IN A PERI-URBAN SETTING IN IBADAN , SOUTHWEST NIGERIA : A COMPARATIVE CROSS-SECTIONAL STUDY,” vol. 21, no. 1, pp. 50–62, 2023.</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[29]</w:t>
      </w:r>
      <w:r w:rsidRPr="00A62D47">
        <w:rPr>
          <w:rFonts w:ascii="Arial" w:hAnsi="Arial" w:cs="Arial"/>
          <w:noProof/>
          <w:sz w:val="24"/>
          <w:szCs w:val="24"/>
        </w:rPr>
        <w:tab/>
        <w:t>H. Fekadu and G. Kassahun, “Maternal Knowledge and Practices on Complementary Feeding and Associated Factors in Sedal District , Western Ethiopia,” pp. 1–10, 2025, doi: 10.1002/fsn3.70286.</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[30]</w:t>
      </w:r>
      <w:r w:rsidRPr="00A62D47">
        <w:rPr>
          <w:rFonts w:ascii="Arial" w:hAnsi="Arial" w:cs="Arial"/>
          <w:noProof/>
          <w:sz w:val="24"/>
          <w:szCs w:val="24"/>
        </w:rPr>
        <w:tab/>
        <w:t>A. Info, “Maternal Knowledge of Exclusive Breastfeeding and Nutritional Status of Children Under Two Years During the COVID-19 Pandemic,” vol. 4, no. 1, pp. 1–7,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[31]</w:t>
      </w:r>
      <w:r w:rsidRPr="00A62D47">
        <w:rPr>
          <w:rFonts w:ascii="Arial" w:hAnsi="Arial" w:cs="Arial"/>
          <w:noProof/>
          <w:sz w:val="24"/>
          <w:szCs w:val="24"/>
        </w:rPr>
        <w:tab/>
        <w:t xml:space="preserve">R. Ahmed </w:t>
      </w:r>
      <w:r w:rsidRPr="00A62D47">
        <w:rPr>
          <w:rFonts w:ascii="Arial" w:hAnsi="Arial" w:cs="Arial"/>
          <w:i/>
          <w:iCs/>
          <w:noProof/>
          <w:sz w:val="24"/>
          <w:szCs w:val="24"/>
        </w:rPr>
        <w:t>et al.</w:t>
      </w:r>
      <w:r w:rsidRPr="00A62D47">
        <w:rPr>
          <w:rFonts w:ascii="Arial" w:hAnsi="Arial" w:cs="Arial"/>
          <w:noProof/>
          <w:sz w:val="24"/>
          <w:szCs w:val="24"/>
        </w:rPr>
        <w:t>, “Undernutrition among exclusive breastfeeding mothers and its associated factors in Southwest Ethiopia : A community-based study,” 2024, doi: 10.1177/17455057241231478.</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[32]</w:t>
      </w:r>
      <w:r w:rsidRPr="00A62D47">
        <w:rPr>
          <w:rFonts w:ascii="Arial" w:hAnsi="Arial" w:cs="Arial"/>
          <w:noProof/>
          <w:sz w:val="24"/>
          <w:szCs w:val="24"/>
        </w:rPr>
        <w:tab/>
        <w:t>T. Mabukela and P. K. Chelule, “Nutrition and Development of Children in Foundational Learning Spaces in Johannesburg : A Cross-Sectional Study of Dietary Diversity and Nutritional Status,” pp. 1–18,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[33]</w:t>
      </w:r>
      <w:r w:rsidRPr="00A62D47">
        <w:rPr>
          <w:rFonts w:ascii="Arial" w:hAnsi="Arial" w:cs="Arial"/>
          <w:noProof/>
          <w:sz w:val="24"/>
          <w:szCs w:val="24"/>
        </w:rPr>
        <w:tab/>
        <w:t xml:space="preserve">J. De Bruyn and F. Wieringa, “Exploring the Complementarity of Forti fi cation and Dietary Diversi fi cation to Combat Micronutrient De fi ciencies : A Scoping </w:t>
      </w:r>
      <w:r w:rsidRPr="00A62D47">
        <w:rPr>
          <w:rFonts w:ascii="Arial" w:hAnsi="Arial" w:cs="Arial"/>
          <w:noProof/>
          <w:sz w:val="24"/>
          <w:szCs w:val="24"/>
        </w:rPr>
        <w:lastRenderedPageBreak/>
        <w:t>Review,” vol. 7, no. January, 2023, doi: 10.1016/j.cdnut.2023.100033.</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[34]</w:t>
      </w:r>
      <w:r w:rsidRPr="00A62D47">
        <w:rPr>
          <w:rFonts w:ascii="Arial" w:hAnsi="Arial" w:cs="Arial"/>
          <w:noProof/>
          <w:sz w:val="24"/>
          <w:szCs w:val="24"/>
        </w:rPr>
        <w:tab/>
        <w:t>H. S. Muhimbula, “Determinants of Child Undernutrition in Tanzania : Agriculture and Season Perspective : A Review,” vol. 12, no. 1, pp. 1–19, 2024, doi: 10.11648/j.jfns.20241201.11.</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[35]</w:t>
      </w:r>
      <w:r w:rsidRPr="00A62D47">
        <w:rPr>
          <w:rFonts w:ascii="Arial" w:hAnsi="Arial" w:cs="Arial"/>
          <w:noProof/>
          <w:sz w:val="24"/>
          <w:szCs w:val="24"/>
        </w:rPr>
        <w:tab/>
        <w:t>K. A. Mbunda, “The influence of feeding practices on under five nutrition status in Mbinga district , Tanzania,” vol. 10, no. 1, pp. 1–5, 2023.</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[36]</w:t>
      </w:r>
      <w:r w:rsidRPr="00A62D47">
        <w:rPr>
          <w:rFonts w:ascii="Arial" w:hAnsi="Arial" w:cs="Arial"/>
          <w:noProof/>
          <w:sz w:val="24"/>
          <w:szCs w:val="24"/>
        </w:rPr>
        <w:tab/>
        <w:t xml:space="preserve">R. Nyarko </w:t>
      </w:r>
      <w:r w:rsidRPr="00A62D47">
        <w:rPr>
          <w:rFonts w:ascii="Arial" w:hAnsi="Arial" w:cs="Arial"/>
          <w:i/>
          <w:iCs/>
          <w:noProof/>
          <w:sz w:val="24"/>
          <w:szCs w:val="24"/>
        </w:rPr>
        <w:t>et al.</w:t>
      </w:r>
      <w:r w:rsidRPr="00A62D47">
        <w:rPr>
          <w:rFonts w:ascii="Arial" w:hAnsi="Arial" w:cs="Arial"/>
          <w:noProof/>
          <w:sz w:val="24"/>
          <w:szCs w:val="24"/>
        </w:rPr>
        <w:t>, “Relationship between Maternal Knowledge and Feeding Practices in Relation to Infant Malnutrition among Breastfeeding Women in Savannah Region of Ghana,” vol. 8, no. 1, pp. 311–322, 2025.</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[37]</w:t>
      </w:r>
      <w:r w:rsidRPr="00A62D47">
        <w:rPr>
          <w:rFonts w:ascii="Arial" w:hAnsi="Arial" w:cs="Arial"/>
          <w:noProof/>
          <w:sz w:val="24"/>
          <w:szCs w:val="24"/>
        </w:rPr>
        <w:tab/>
        <w:t>C. Jard, B. D. Casanova, and V. Arija, “Nutrition Education Programs Aimed at African Mothers of Infant Children : A Systematic Review,” 2021.</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[38]</w:t>
      </w:r>
      <w:r w:rsidRPr="00A62D47">
        <w:rPr>
          <w:rFonts w:ascii="Arial" w:hAnsi="Arial" w:cs="Arial"/>
          <w:noProof/>
          <w:sz w:val="24"/>
          <w:szCs w:val="24"/>
        </w:rPr>
        <w:tab/>
        <w:t xml:space="preserve">I. Govender </w:t>
      </w:r>
      <w:r w:rsidRPr="00A62D47">
        <w:rPr>
          <w:rFonts w:ascii="Arial" w:hAnsi="Arial" w:cs="Arial"/>
          <w:i/>
          <w:iCs/>
          <w:noProof/>
          <w:sz w:val="24"/>
          <w:szCs w:val="24"/>
        </w:rPr>
        <w:t>et al.</w:t>
      </w:r>
      <w:r w:rsidRPr="00A62D47">
        <w:rPr>
          <w:rFonts w:ascii="Arial" w:hAnsi="Arial" w:cs="Arial"/>
          <w:noProof/>
          <w:sz w:val="24"/>
          <w:szCs w:val="24"/>
        </w:rPr>
        <w:t>, “Malnutrition in children under the age of 5 years in a primary health care setting,” pp. 1–6, 2021.</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[39]</w:t>
      </w:r>
      <w:r w:rsidRPr="00A62D47">
        <w:rPr>
          <w:rFonts w:ascii="Arial" w:hAnsi="Arial" w:cs="Arial"/>
          <w:noProof/>
          <w:sz w:val="24"/>
          <w:szCs w:val="24"/>
        </w:rPr>
        <w:tab/>
        <w:t>S. Bougma, F. Hama-ba, F. Garanet, and A. Wendmintiri, “Impact of Health and Nutrition Interventions in the Prevention and Recovery of Child Malnutrition in Sub-Saharan Africa from 2010 to 2020 : Review Article,” pp. 810–831, 2022, doi: 10.4236/health.2022.147058.</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szCs w:val="24"/>
        </w:rPr>
      </w:pPr>
      <w:r w:rsidRPr="00A62D47">
        <w:rPr>
          <w:rFonts w:ascii="Arial" w:hAnsi="Arial" w:cs="Arial"/>
          <w:noProof/>
          <w:sz w:val="24"/>
          <w:szCs w:val="24"/>
        </w:rPr>
        <w:t>[40]</w:t>
      </w:r>
      <w:r w:rsidRPr="00A62D47">
        <w:rPr>
          <w:rFonts w:ascii="Arial" w:hAnsi="Arial" w:cs="Arial"/>
          <w:noProof/>
          <w:sz w:val="24"/>
          <w:szCs w:val="24"/>
        </w:rPr>
        <w:tab/>
        <w:t xml:space="preserve">A. M. Weckman, C. R. Mcdonald, M. Ngai, M. Richard-greenblatt, A. Leligdowicz, and A. L. Conroy, “Articles In fl ammatory pro fi les in febrile children with moderate and severe malnutrition presenting at-hospital in Uganda are associated with increased mortality,” </w:t>
      </w:r>
      <w:r w:rsidRPr="00A62D47">
        <w:rPr>
          <w:rFonts w:ascii="Arial" w:hAnsi="Arial" w:cs="Arial"/>
          <w:i/>
          <w:iCs/>
          <w:noProof/>
          <w:sz w:val="24"/>
          <w:szCs w:val="24"/>
        </w:rPr>
        <w:t>eBioMedicine</w:t>
      </w:r>
      <w:r w:rsidRPr="00A62D47">
        <w:rPr>
          <w:rFonts w:ascii="Arial" w:hAnsi="Arial" w:cs="Arial"/>
          <w:noProof/>
          <w:sz w:val="24"/>
          <w:szCs w:val="24"/>
        </w:rPr>
        <w:t>, vol. 94, p. 104721, 2023, doi: 10.1016/j.ebiom.2023.104721.</w:t>
      </w:r>
    </w:p>
    <w:p w:rsidR="00A62D47" w:rsidRPr="00A62D47" w:rsidRDefault="00A62D47" w:rsidP="00A62D47">
      <w:pPr>
        <w:widowControl w:val="0"/>
        <w:autoSpaceDE w:val="0"/>
        <w:autoSpaceDN w:val="0"/>
        <w:adjustRightInd w:val="0"/>
        <w:spacing w:line="360" w:lineRule="auto"/>
        <w:ind w:left="640" w:hanging="640"/>
        <w:rPr>
          <w:rFonts w:ascii="Arial" w:hAnsi="Arial" w:cs="Arial"/>
          <w:noProof/>
          <w:sz w:val="24"/>
        </w:rPr>
      </w:pPr>
      <w:r w:rsidRPr="00A62D47">
        <w:rPr>
          <w:rFonts w:ascii="Arial" w:hAnsi="Arial" w:cs="Arial"/>
          <w:noProof/>
          <w:sz w:val="24"/>
          <w:szCs w:val="24"/>
        </w:rPr>
        <w:t>[41]</w:t>
      </w:r>
      <w:r w:rsidRPr="00A62D47">
        <w:rPr>
          <w:rFonts w:ascii="Arial" w:hAnsi="Arial" w:cs="Arial"/>
          <w:noProof/>
          <w:sz w:val="24"/>
          <w:szCs w:val="24"/>
        </w:rPr>
        <w:tab/>
        <w:t xml:space="preserve">M. C. da C. Carvalho, S. A. Ribeiro, L. S. de Sousa, A. Â. M. Lima, and B. L. L. Maciel, “Undernutrition and Intestinal Infections in Children: A Narrative Review,” </w:t>
      </w:r>
      <w:r w:rsidRPr="00A62D47">
        <w:rPr>
          <w:rFonts w:ascii="Arial" w:hAnsi="Arial" w:cs="Arial"/>
          <w:i/>
          <w:iCs/>
          <w:noProof/>
          <w:sz w:val="24"/>
          <w:szCs w:val="24"/>
        </w:rPr>
        <w:t xml:space="preserve">Nutr. </w:t>
      </w:r>
      <w:r w:rsidRPr="00A62D47">
        <w:rPr>
          <w:rFonts w:ascii="Arial" w:hAnsi="Arial" w:cs="Arial"/>
          <w:noProof/>
          <w:sz w:val="24"/>
          <w:szCs w:val="24"/>
        </w:rPr>
        <w:t>, vol. 17, no. 9, 2025, doi: 10.3390/nu17091479.</w:t>
      </w:r>
    </w:p>
    <w:p w:rsidR="00F01DDE" w:rsidRPr="004A02C3" w:rsidRDefault="00F01DDE" w:rsidP="00F01DDE">
      <w:pPr>
        <w:spacing w:line="360" w:lineRule="auto"/>
        <w:jc w:val="both"/>
        <w:rPr>
          <w:rFonts w:ascii="Arial" w:eastAsia="Times New Roman" w:hAnsi="Arial" w:cs="Arial"/>
          <w:color w:val="000000"/>
          <w:sz w:val="24"/>
          <w:szCs w:val="24"/>
        </w:rPr>
      </w:pPr>
      <w:r w:rsidRPr="004A02C3">
        <w:rPr>
          <w:rFonts w:ascii="Arial" w:eastAsia="Times New Roman" w:hAnsi="Arial" w:cs="Arial"/>
          <w:color w:val="000000"/>
          <w:sz w:val="24"/>
          <w:szCs w:val="24"/>
        </w:rPr>
        <w:fldChar w:fldCharType="end"/>
      </w: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rPr>
          <w:rFonts w:ascii="Arial" w:hAnsi="Arial" w:cs="Arial"/>
          <w:sz w:val="24"/>
          <w:szCs w:val="24"/>
        </w:rPr>
      </w:pPr>
    </w:p>
    <w:p w:rsidR="00447235" w:rsidRPr="004A02C3" w:rsidRDefault="00447235" w:rsidP="00F01DDE">
      <w:pPr>
        <w:pStyle w:val="Heading1"/>
        <w:spacing w:line="360" w:lineRule="auto"/>
        <w:jc w:val="both"/>
        <w:rPr>
          <w:rFonts w:ascii="Arial" w:hAnsi="Arial" w:cs="Arial"/>
          <w:sz w:val="24"/>
          <w:szCs w:val="24"/>
        </w:rPr>
      </w:pPr>
    </w:p>
    <w:sectPr w:rsidR="00447235" w:rsidRPr="004A02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0BC" w:rsidRDefault="000850BC" w:rsidP="00F04DA8">
      <w:pPr>
        <w:spacing w:after="0" w:line="240" w:lineRule="auto"/>
      </w:pPr>
      <w:r>
        <w:separator/>
      </w:r>
    </w:p>
  </w:endnote>
  <w:endnote w:type="continuationSeparator" w:id="0">
    <w:p w:rsidR="000850BC" w:rsidRDefault="000850BC" w:rsidP="00F0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NanumGothic">
    <w:altName w:val="Malgun Gothic Semilight"/>
    <w:charset w:val="81"/>
    <w:family w:val="auto"/>
    <w:pitch w:val="variable"/>
    <w:sig w:usb0="80000003" w:usb1="09D7FCEB" w:usb2="00000010" w:usb3="00000000" w:csb0="00080001" w:csb1="00000000"/>
  </w:font>
  <w:font w:name="Times-Roman">
    <w:altName w:val="Times New Roman"/>
    <w:charset w:val="00"/>
    <w:family w:val="auto"/>
    <w:pitch w:val="default"/>
    <w:sig w:usb0="00000000" w:usb1="00000000" w:usb2="00000000" w:usb3="00000000" w:csb0="FFFFFFFF" w:csb1="00000000"/>
  </w:font>
  <w:font w:name="TimesNewRoman">
    <w:altName w:val="Microsoft YaHei"/>
    <w:charset w:val="00"/>
    <w:family w:val="auto"/>
    <w:pitch w:val="default"/>
    <w:sig w:usb0="00000000" w:usb1="00000000" w:usb2="00000000" w:usb3="00000000" w:csb0="FFFFFF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E2F" w:rsidRDefault="00A66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E2F" w:rsidRDefault="00A66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E2F" w:rsidRDefault="00A66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0BC" w:rsidRDefault="000850BC" w:rsidP="00F04DA8">
      <w:pPr>
        <w:spacing w:after="0" w:line="240" w:lineRule="auto"/>
      </w:pPr>
      <w:r>
        <w:separator/>
      </w:r>
    </w:p>
  </w:footnote>
  <w:footnote w:type="continuationSeparator" w:id="0">
    <w:p w:rsidR="000850BC" w:rsidRDefault="000850BC" w:rsidP="00F0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E2F" w:rsidRDefault="00A66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55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E2F" w:rsidRDefault="00A66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55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E2F" w:rsidRDefault="00A66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55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56DF"/>
    <w:multiLevelType w:val="multilevel"/>
    <w:tmpl w:val="DE3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773F6"/>
    <w:multiLevelType w:val="multilevel"/>
    <w:tmpl w:val="F9BE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C454A"/>
    <w:multiLevelType w:val="multilevel"/>
    <w:tmpl w:val="2A0C4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660CD0"/>
    <w:multiLevelType w:val="multilevel"/>
    <w:tmpl w:val="98D4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24121"/>
    <w:multiLevelType w:val="multilevel"/>
    <w:tmpl w:val="5F824121"/>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3E689A"/>
    <w:multiLevelType w:val="multilevel"/>
    <w:tmpl w:val="43A2F7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24"/>
    <w:rsid w:val="000145C9"/>
    <w:rsid w:val="0002398B"/>
    <w:rsid w:val="00025D74"/>
    <w:rsid w:val="00063B8A"/>
    <w:rsid w:val="00072D38"/>
    <w:rsid w:val="000850BC"/>
    <w:rsid w:val="00096BD4"/>
    <w:rsid w:val="000B7D52"/>
    <w:rsid w:val="000F0BE5"/>
    <w:rsid w:val="001236EF"/>
    <w:rsid w:val="00164506"/>
    <w:rsid w:val="00181B00"/>
    <w:rsid w:val="001A72AE"/>
    <w:rsid w:val="001A7E20"/>
    <w:rsid w:val="001E055E"/>
    <w:rsid w:val="001E42CC"/>
    <w:rsid w:val="001F66F6"/>
    <w:rsid w:val="00200CC0"/>
    <w:rsid w:val="002132E6"/>
    <w:rsid w:val="00213697"/>
    <w:rsid w:val="00236A66"/>
    <w:rsid w:val="00276B3B"/>
    <w:rsid w:val="002970C6"/>
    <w:rsid w:val="002B4E2C"/>
    <w:rsid w:val="002C75E3"/>
    <w:rsid w:val="0031224C"/>
    <w:rsid w:val="00320F50"/>
    <w:rsid w:val="00331340"/>
    <w:rsid w:val="003466CF"/>
    <w:rsid w:val="0039008B"/>
    <w:rsid w:val="00396AB2"/>
    <w:rsid w:val="003B7EDE"/>
    <w:rsid w:val="003E0BD6"/>
    <w:rsid w:val="003E6504"/>
    <w:rsid w:val="003F1BF3"/>
    <w:rsid w:val="003F6C26"/>
    <w:rsid w:val="00407282"/>
    <w:rsid w:val="00410BC9"/>
    <w:rsid w:val="00410C5A"/>
    <w:rsid w:val="00447235"/>
    <w:rsid w:val="004A02C3"/>
    <w:rsid w:val="00510BA0"/>
    <w:rsid w:val="00512A0D"/>
    <w:rsid w:val="005377BD"/>
    <w:rsid w:val="00542866"/>
    <w:rsid w:val="00565186"/>
    <w:rsid w:val="00587765"/>
    <w:rsid w:val="005C36D6"/>
    <w:rsid w:val="005C455E"/>
    <w:rsid w:val="005C74BA"/>
    <w:rsid w:val="005D70AB"/>
    <w:rsid w:val="005D72DB"/>
    <w:rsid w:val="00603A1B"/>
    <w:rsid w:val="00625921"/>
    <w:rsid w:val="0068032B"/>
    <w:rsid w:val="006942B9"/>
    <w:rsid w:val="00707553"/>
    <w:rsid w:val="00714D16"/>
    <w:rsid w:val="00722BF8"/>
    <w:rsid w:val="007344C6"/>
    <w:rsid w:val="007704E4"/>
    <w:rsid w:val="007B1896"/>
    <w:rsid w:val="007E2AA2"/>
    <w:rsid w:val="0081279D"/>
    <w:rsid w:val="00821C0D"/>
    <w:rsid w:val="00827BB2"/>
    <w:rsid w:val="00853877"/>
    <w:rsid w:val="00893939"/>
    <w:rsid w:val="008A09A7"/>
    <w:rsid w:val="008B49AA"/>
    <w:rsid w:val="0095582E"/>
    <w:rsid w:val="00980941"/>
    <w:rsid w:val="00985724"/>
    <w:rsid w:val="009D2EE1"/>
    <w:rsid w:val="00A003BE"/>
    <w:rsid w:val="00A427B2"/>
    <w:rsid w:val="00A62D47"/>
    <w:rsid w:val="00A66E2F"/>
    <w:rsid w:val="00A72214"/>
    <w:rsid w:val="00A85E79"/>
    <w:rsid w:val="00AA773E"/>
    <w:rsid w:val="00B016AC"/>
    <w:rsid w:val="00B57EFB"/>
    <w:rsid w:val="00B6745B"/>
    <w:rsid w:val="00B743A0"/>
    <w:rsid w:val="00BA1DF4"/>
    <w:rsid w:val="00C14F45"/>
    <w:rsid w:val="00C46343"/>
    <w:rsid w:val="00C524C6"/>
    <w:rsid w:val="00C72358"/>
    <w:rsid w:val="00C874CA"/>
    <w:rsid w:val="00CB3F54"/>
    <w:rsid w:val="00CC6BCA"/>
    <w:rsid w:val="00D2068B"/>
    <w:rsid w:val="00D23994"/>
    <w:rsid w:val="00D379CA"/>
    <w:rsid w:val="00D41C80"/>
    <w:rsid w:val="00DB5926"/>
    <w:rsid w:val="00DD17E5"/>
    <w:rsid w:val="00E10D05"/>
    <w:rsid w:val="00E36F56"/>
    <w:rsid w:val="00E5160A"/>
    <w:rsid w:val="00E83CCC"/>
    <w:rsid w:val="00E85452"/>
    <w:rsid w:val="00E97C06"/>
    <w:rsid w:val="00EC3D63"/>
    <w:rsid w:val="00ED3676"/>
    <w:rsid w:val="00EE5F53"/>
    <w:rsid w:val="00F01DDE"/>
    <w:rsid w:val="00F04DA8"/>
    <w:rsid w:val="00F21A41"/>
    <w:rsid w:val="00F61D00"/>
    <w:rsid w:val="00F668BF"/>
    <w:rsid w:val="00F70683"/>
    <w:rsid w:val="00F8152C"/>
    <w:rsid w:val="00F81986"/>
    <w:rsid w:val="00FC4238"/>
    <w:rsid w:val="00FC42FA"/>
    <w:rsid w:val="00FF38BC"/>
    <w:rsid w:val="00FF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B816CE-316B-470D-B14D-23ECF39C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235"/>
    <w:pPr>
      <w:spacing w:after="200" w:line="276" w:lineRule="auto"/>
    </w:pPr>
    <w:rPr>
      <w:rFonts w:eastAsia="SimSun"/>
      <w:sz w:val="22"/>
      <w:szCs w:val="22"/>
      <w:lang w:eastAsia="zh-CN"/>
    </w:rPr>
  </w:style>
  <w:style w:type="paragraph" w:styleId="Heading1">
    <w:name w:val="heading 1"/>
    <w:basedOn w:val="Normal"/>
    <w:next w:val="Normal"/>
    <w:link w:val="Heading1Char"/>
    <w:uiPriority w:val="9"/>
    <w:qFormat/>
    <w:rsid w:val="0044723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85452"/>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E85452"/>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E85452"/>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7235"/>
    <w:rPr>
      <w:rFonts w:ascii="Calibri Light" w:eastAsia="Times New Roman" w:hAnsi="Calibri Light" w:cs="Times New Roman"/>
      <w:color w:val="2E74B5"/>
      <w:sz w:val="32"/>
      <w:szCs w:val="32"/>
      <w:lang w:eastAsia="zh-CN"/>
    </w:rPr>
  </w:style>
  <w:style w:type="character" w:customStyle="1" w:styleId="Heading2Char">
    <w:name w:val="Heading 2 Char"/>
    <w:link w:val="Heading2"/>
    <w:uiPriority w:val="9"/>
    <w:rsid w:val="00E85452"/>
    <w:rPr>
      <w:rFonts w:ascii="Calibri Light" w:eastAsia="Times New Roman" w:hAnsi="Calibri Light" w:cs="Times New Roman"/>
      <w:color w:val="2E74B5"/>
      <w:sz w:val="26"/>
      <w:szCs w:val="26"/>
      <w:lang w:eastAsia="zh-CN"/>
    </w:rPr>
  </w:style>
  <w:style w:type="character" w:customStyle="1" w:styleId="SubtleEmphasis1">
    <w:name w:val="Subtle Emphasis1"/>
    <w:uiPriority w:val="19"/>
    <w:qFormat/>
    <w:rsid w:val="00E85452"/>
    <w:rPr>
      <w:i/>
      <w:iCs/>
      <w:color w:val="404040"/>
    </w:rPr>
  </w:style>
  <w:style w:type="character" w:customStyle="1" w:styleId="Heading3Char">
    <w:name w:val="Heading 3 Char"/>
    <w:link w:val="Heading3"/>
    <w:uiPriority w:val="9"/>
    <w:semiHidden/>
    <w:rsid w:val="00E85452"/>
    <w:rPr>
      <w:rFonts w:ascii="Calibri Light" w:eastAsia="Times New Roman" w:hAnsi="Calibri Light" w:cs="Times New Roman"/>
      <w:color w:val="1F4D78"/>
      <w:sz w:val="24"/>
      <w:szCs w:val="24"/>
      <w:lang w:eastAsia="zh-CN"/>
    </w:rPr>
  </w:style>
  <w:style w:type="paragraph" w:styleId="ListParagraph">
    <w:name w:val="List Paragraph"/>
    <w:basedOn w:val="Normal"/>
    <w:uiPriority w:val="26"/>
    <w:qFormat/>
    <w:rsid w:val="00E85452"/>
    <w:pPr>
      <w:spacing w:after="0" w:line="240" w:lineRule="auto"/>
      <w:ind w:left="720"/>
    </w:pPr>
    <w:rPr>
      <w:rFonts w:ascii="NanumGothic" w:eastAsia="Calibri" w:hAnsi="NanumGothic"/>
      <w:sz w:val="20"/>
      <w:szCs w:val="20"/>
      <w:lang w:eastAsia="en-US"/>
    </w:rPr>
  </w:style>
  <w:style w:type="character" w:customStyle="1" w:styleId="Heading4Char">
    <w:name w:val="Heading 4 Char"/>
    <w:link w:val="Heading4"/>
    <w:uiPriority w:val="9"/>
    <w:rsid w:val="00E85452"/>
    <w:rPr>
      <w:rFonts w:ascii="Calibri Light" w:eastAsia="Times New Roman" w:hAnsi="Calibri Light" w:cs="Times New Roman"/>
      <w:i/>
      <w:iCs/>
      <w:color w:val="2E74B5"/>
      <w:lang w:eastAsia="zh-CN"/>
    </w:rPr>
  </w:style>
  <w:style w:type="character" w:customStyle="1" w:styleId="fontstyle01">
    <w:name w:val="fontstyle01"/>
    <w:rsid w:val="00E85452"/>
    <w:rPr>
      <w:rFonts w:ascii="Times-Roman" w:eastAsia="Times-Roman" w:hAnsi="Times-Roman"/>
      <w:color w:val="000000"/>
      <w:w w:val="100"/>
      <w:sz w:val="24"/>
      <w:szCs w:val="24"/>
      <w:shd w:val="clear" w:color="auto" w:fill="auto"/>
    </w:rPr>
  </w:style>
  <w:style w:type="character" w:customStyle="1" w:styleId="fontstyle31">
    <w:name w:val="fontstyle31"/>
    <w:rsid w:val="00E85452"/>
    <w:rPr>
      <w:rFonts w:ascii="TimesNewRoman" w:eastAsia="TimesNewRoman" w:hAnsi="TimesNewRoman"/>
      <w:color w:val="000000"/>
      <w:w w:val="100"/>
      <w:sz w:val="24"/>
      <w:szCs w:val="24"/>
      <w:shd w:val="clear" w:color="auto" w:fill="auto"/>
    </w:rPr>
  </w:style>
  <w:style w:type="paragraph" w:styleId="NormalWeb">
    <w:name w:val="Normal (Web)"/>
    <w:basedOn w:val="Normal"/>
    <w:uiPriority w:val="99"/>
    <w:unhideWhenUsed/>
    <w:rsid w:val="00025D74"/>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025D74"/>
    <w:rPr>
      <w:b/>
      <w:bCs/>
    </w:rPr>
  </w:style>
  <w:style w:type="character" w:styleId="Emphasis">
    <w:name w:val="Emphasis"/>
    <w:uiPriority w:val="20"/>
    <w:qFormat/>
    <w:rsid w:val="0095582E"/>
    <w:rPr>
      <w:i/>
      <w:iCs/>
    </w:rPr>
  </w:style>
  <w:style w:type="paragraph" w:styleId="EndnoteText">
    <w:name w:val="endnote text"/>
    <w:basedOn w:val="Normal"/>
    <w:link w:val="EndnoteTextChar"/>
    <w:uiPriority w:val="99"/>
    <w:semiHidden/>
    <w:unhideWhenUsed/>
    <w:rsid w:val="00F04DA8"/>
    <w:rPr>
      <w:sz w:val="20"/>
      <w:szCs w:val="20"/>
    </w:rPr>
  </w:style>
  <w:style w:type="character" w:customStyle="1" w:styleId="EndnoteTextChar">
    <w:name w:val="Endnote Text Char"/>
    <w:link w:val="EndnoteText"/>
    <w:uiPriority w:val="99"/>
    <w:semiHidden/>
    <w:rsid w:val="00F04DA8"/>
    <w:rPr>
      <w:rFonts w:eastAsia="SimSun"/>
      <w:lang w:eastAsia="zh-CN"/>
    </w:rPr>
  </w:style>
  <w:style w:type="character" w:styleId="EndnoteReference">
    <w:name w:val="endnote reference"/>
    <w:uiPriority w:val="99"/>
    <w:semiHidden/>
    <w:unhideWhenUsed/>
    <w:rsid w:val="00F04DA8"/>
    <w:rPr>
      <w:vertAlign w:val="superscript"/>
    </w:rPr>
  </w:style>
  <w:style w:type="table" w:styleId="TableGrid">
    <w:name w:val="Table Grid"/>
    <w:basedOn w:val="TableNormal"/>
    <w:uiPriority w:val="39"/>
    <w:rsid w:val="00510BA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379CA"/>
    <w:pPr>
      <w:spacing w:after="120" w:line="480"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rsid w:val="00D379CA"/>
    <w:rPr>
      <w:rFonts w:asciiTheme="minorHAnsi" w:eastAsiaTheme="minorHAnsi" w:hAnsiTheme="minorHAnsi" w:cstheme="minorBidi"/>
      <w:sz w:val="22"/>
      <w:szCs w:val="22"/>
    </w:rPr>
  </w:style>
  <w:style w:type="character" w:styleId="Hyperlink">
    <w:name w:val="Hyperlink"/>
    <w:uiPriority w:val="99"/>
    <w:rsid w:val="00E97C06"/>
    <w:rPr>
      <w:color w:val="0000FF"/>
      <w:u w:val="single"/>
    </w:rPr>
  </w:style>
  <w:style w:type="paragraph" w:styleId="Header">
    <w:name w:val="header"/>
    <w:basedOn w:val="Normal"/>
    <w:link w:val="HeaderChar"/>
    <w:uiPriority w:val="99"/>
    <w:unhideWhenUsed/>
    <w:rsid w:val="00A66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2F"/>
    <w:rPr>
      <w:rFonts w:eastAsia="SimSun"/>
      <w:sz w:val="22"/>
      <w:szCs w:val="22"/>
      <w:lang w:eastAsia="zh-CN"/>
    </w:rPr>
  </w:style>
  <w:style w:type="paragraph" w:styleId="Footer">
    <w:name w:val="footer"/>
    <w:basedOn w:val="Normal"/>
    <w:link w:val="FooterChar"/>
    <w:uiPriority w:val="99"/>
    <w:unhideWhenUsed/>
    <w:rsid w:val="00A66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2F"/>
    <w:rPr>
      <w:rFonts w:eastAsia="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7996">
      <w:bodyDiv w:val="1"/>
      <w:marLeft w:val="0"/>
      <w:marRight w:val="0"/>
      <w:marTop w:val="0"/>
      <w:marBottom w:val="0"/>
      <w:divBdr>
        <w:top w:val="none" w:sz="0" w:space="0" w:color="auto"/>
        <w:left w:val="none" w:sz="0" w:space="0" w:color="auto"/>
        <w:bottom w:val="none" w:sz="0" w:space="0" w:color="auto"/>
        <w:right w:val="none" w:sz="0" w:space="0" w:color="auto"/>
      </w:divBdr>
    </w:div>
    <w:div w:id="627321504">
      <w:bodyDiv w:val="1"/>
      <w:marLeft w:val="0"/>
      <w:marRight w:val="0"/>
      <w:marTop w:val="0"/>
      <w:marBottom w:val="0"/>
      <w:divBdr>
        <w:top w:val="none" w:sz="0" w:space="0" w:color="auto"/>
        <w:left w:val="none" w:sz="0" w:space="0" w:color="auto"/>
        <w:bottom w:val="none" w:sz="0" w:space="0" w:color="auto"/>
        <w:right w:val="none" w:sz="0" w:space="0" w:color="auto"/>
      </w:divBdr>
    </w:div>
    <w:div w:id="743406480">
      <w:bodyDiv w:val="1"/>
      <w:marLeft w:val="0"/>
      <w:marRight w:val="0"/>
      <w:marTop w:val="0"/>
      <w:marBottom w:val="0"/>
      <w:divBdr>
        <w:top w:val="none" w:sz="0" w:space="0" w:color="auto"/>
        <w:left w:val="none" w:sz="0" w:space="0" w:color="auto"/>
        <w:bottom w:val="none" w:sz="0" w:space="0" w:color="auto"/>
        <w:right w:val="none" w:sz="0" w:space="0" w:color="auto"/>
      </w:divBdr>
    </w:div>
    <w:div w:id="1199509348">
      <w:bodyDiv w:val="1"/>
      <w:marLeft w:val="0"/>
      <w:marRight w:val="0"/>
      <w:marTop w:val="0"/>
      <w:marBottom w:val="0"/>
      <w:divBdr>
        <w:top w:val="none" w:sz="0" w:space="0" w:color="auto"/>
        <w:left w:val="none" w:sz="0" w:space="0" w:color="auto"/>
        <w:bottom w:val="none" w:sz="0" w:space="0" w:color="auto"/>
        <w:right w:val="none" w:sz="0" w:space="0" w:color="auto"/>
      </w:divBdr>
    </w:div>
    <w:div w:id="1246841749">
      <w:bodyDiv w:val="1"/>
      <w:marLeft w:val="0"/>
      <w:marRight w:val="0"/>
      <w:marTop w:val="0"/>
      <w:marBottom w:val="0"/>
      <w:divBdr>
        <w:top w:val="none" w:sz="0" w:space="0" w:color="auto"/>
        <w:left w:val="none" w:sz="0" w:space="0" w:color="auto"/>
        <w:bottom w:val="none" w:sz="0" w:space="0" w:color="auto"/>
        <w:right w:val="none" w:sz="0" w:space="0" w:color="auto"/>
      </w:divBdr>
    </w:div>
    <w:div w:id="1302348674">
      <w:bodyDiv w:val="1"/>
      <w:marLeft w:val="0"/>
      <w:marRight w:val="0"/>
      <w:marTop w:val="0"/>
      <w:marBottom w:val="0"/>
      <w:divBdr>
        <w:top w:val="none" w:sz="0" w:space="0" w:color="auto"/>
        <w:left w:val="none" w:sz="0" w:space="0" w:color="auto"/>
        <w:bottom w:val="none" w:sz="0" w:space="0" w:color="auto"/>
        <w:right w:val="none" w:sz="0" w:space="0" w:color="auto"/>
      </w:divBdr>
    </w:div>
    <w:div w:id="1474299547">
      <w:bodyDiv w:val="1"/>
      <w:marLeft w:val="0"/>
      <w:marRight w:val="0"/>
      <w:marTop w:val="0"/>
      <w:marBottom w:val="0"/>
      <w:divBdr>
        <w:top w:val="none" w:sz="0" w:space="0" w:color="auto"/>
        <w:left w:val="none" w:sz="0" w:space="0" w:color="auto"/>
        <w:bottom w:val="none" w:sz="0" w:space="0" w:color="auto"/>
        <w:right w:val="none" w:sz="0" w:space="0" w:color="auto"/>
      </w:divBdr>
    </w:div>
    <w:div w:id="15612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dLbl>
              <c:idx val="2"/>
              <c:tx>
                <c:rich>
                  <a:bodyPr/>
                  <a:lstStyle/>
                  <a:p>
                    <a:fld id="{EB47708A-7561-411E-9C80-5434A4C61B45}"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ED3-4E59-A5C3-9C0F1C69A9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Sheet1!$C$7:$D$11</c:f>
              <c:multiLvlStrCache>
                <c:ptCount val="5"/>
                <c:lvl>
                  <c:pt idx="0">
                    <c:v>no</c:v>
                  </c:pt>
                  <c:pt idx="1">
                    <c:v>yes</c:v>
                  </c:pt>
                  <c:pt idx="2">
                    <c:v>stunting__low_height_for_age</c:v>
                  </c:pt>
                  <c:pt idx="3">
                    <c:v>underweight__low_weight_for_age</c:v>
                  </c:pt>
                  <c:pt idx="4">
                    <c:v>wasting__low_weight_for_height</c:v>
                  </c:pt>
                </c:lvl>
                <c:lvl>
                  <c:pt idx="0">
                    <c:v>Prevalence of malnutrition</c:v>
                  </c:pt>
                  <c:pt idx="2">
                    <c:v>Type of Malnutrition</c:v>
                  </c:pt>
                </c:lvl>
              </c:multiLvlStrCache>
            </c:multiLvlStrRef>
          </c:cat>
          <c:val>
            <c:numRef>
              <c:f>Sheet1!$E$7:$E$11</c:f>
              <c:numCache>
                <c:formatCode>0.00%</c:formatCode>
                <c:ptCount val="5"/>
                <c:pt idx="0">
                  <c:v>0.80300000000000005</c:v>
                </c:pt>
                <c:pt idx="1">
                  <c:v>0.16700000000000001</c:v>
                </c:pt>
                <c:pt idx="2">
                  <c:v>2.1000000000000001E-2</c:v>
                </c:pt>
                <c:pt idx="3">
                  <c:v>9.4E-2</c:v>
                </c:pt>
                <c:pt idx="4">
                  <c:v>5.1999999999999998E-2</c:v>
                </c:pt>
              </c:numCache>
            </c:numRef>
          </c:val>
          <c:extLst>
            <c:ext xmlns:c16="http://schemas.microsoft.com/office/drawing/2014/chart" uri="{C3380CC4-5D6E-409C-BE32-E72D297353CC}">
              <c16:uniqueId val="{00000001-DED3-4E59-A5C3-9C0F1C69A9F6}"/>
            </c:ext>
          </c:extLst>
        </c:ser>
        <c:dLbls>
          <c:showLegendKey val="0"/>
          <c:showVal val="1"/>
          <c:showCatName val="0"/>
          <c:showSerName val="0"/>
          <c:showPercent val="0"/>
          <c:showBubbleSize val="0"/>
        </c:dLbls>
        <c:gapWidth val="150"/>
        <c:shape val="box"/>
        <c:axId val="-38203376"/>
        <c:axId val="-38206096"/>
        <c:axId val="0"/>
      </c:bar3DChart>
      <c:catAx>
        <c:axId val="-3820337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06096"/>
        <c:crosses val="autoZero"/>
        <c:auto val="1"/>
        <c:lblAlgn val="ctr"/>
        <c:lblOffset val="100"/>
        <c:noMultiLvlLbl val="0"/>
      </c:catAx>
      <c:valAx>
        <c:axId val="-38206096"/>
        <c:scaling>
          <c:orientation val="minMax"/>
        </c:scaling>
        <c:delete val="0"/>
        <c:axPos val="b"/>
        <c:majorGridlines>
          <c:spPr>
            <a:ln>
              <a:solidFill>
                <a:schemeClr val="tx1">
                  <a:lumMod val="15000"/>
                  <a:lumOff val="85000"/>
                </a:schemeClr>
              </a:solidFill>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03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1B1C2D0-1813-4923-A033-5383B7D7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24</Pages>
  <Words>14012</Words>
  <Characters>79873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93698</CharactersWithSpaces>
  <SharedDoc>false</SharedDoc>
  <HLinks>
    <vt:vector size="12" baseType="variant">
      <vt:variant>
        <vt:i4>6357079</vt:i4>
      </vt:variant>
      <vt:variant>
        <vt:i4>78</vt:i4>
      </vt:variant>
      <vt:variant>
        <vt:i4>0</vt:i4>
      </vt:variant>
      <vt:variant>
        <vt:i4>5</vt:i4>
      </vt:variant>
      <vt:variant>
        <vt:lpwstr>https://www.tfnc.go.tz/uploads/publications/sw1706172658-Healthcare-seeking behaviours among mother%E2%80%99s having under-five children with severe wasting in Dodoma and Mbeya regions of Tanzania.pdf?utm_source=chatgpt.com</vt:lpwstr>
      </vt:variant>
      <vt:variant>
        <vt:lpwstr/>
      </vt:variant>
      <vt:variant>
        <vt:i4>5898358</vt:i4>
      </vt:variant>
      <vt:variant>
        <vt:i4>75</vt:i4>
      </vt:variant>
      <vt:variant>
        <vt:i4>0</vt:i4>
      </vt:variant>
      <vt:variant>
        <vt:i4>5</vt:i4>
      </vt:variant>
      <vt:variant>
        <vt:lpwstr>https://journals.plos.org/plosone/article?id=10.1371%2Fjournal.pone.0267670&amp;utm_source=chatgpt.com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Awadh Salalimana</dc:creator>
  <cp:keywords/>
  <dc:description/>
  <cp:lastModifiedBy>SDI 1084</cp:lastModifiedBy>
  <cp:revision>30</cp:revision>
  <dcterms:created xsi:type="dcterms:W3CDTF">2025-12-26T19:16:00Z</dcterms:created>
  <dcterms:modified xsi:type="dcterms:W3CDTF">2026-01-13T12:26:00Z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04de3b45-844c-42be-897d-cc1e8aa730eb</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cccce271-7dd1-3059-84fe-b8fbeaa9ff09</vt:lpwstr>
  </property>
  <property fmtid="{D5CDD505-2E9C-101B-9397-08002B2CF9AE}" pid="25" name="Mendeley Citation Style_1">
    <vt:lpwstr>http://www.zotero.org/styles/ieee</vt:lpwstr>
  </property>
</Properties>
</file>