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2DE52" w14:textId="250D9F55" w:rsidR="00037C0A" w:rsidRDefault="009306D8" w:rsidP="00037C0A">
      <w:pPr>
        <w:rPr>
          <w:rFonts w:ascii="Times New Roman" w:hAnsi="Times New Roman" w:cs="Times New Roman"/>
          <w:sz w:val="24"/>
          <w:szCs w:val="24"/>
        </w:rPr>
      </w:pPr>
      <w:r w:rsidRPr="00037C0A">
        <w:rPr>
          <w:rFonts w:ascii="Times New Roman" w:hAnsi="Times New Roman" w:cs="Times New Roman"/>
          <w:b/>
          <w:bCs/>
        </w:rPr>
        <w:t>Aortic–Thoracic Ratio in Nigerian Children: Normative Values and Sex Differences</w:t>
      </w:r>
      <w:r w:rsidR="00037C0A" w:rsidRPr="00037C0A">
        <w:rPr>
          <w:rFonts w:ascii="Times New Roman" w:hAnsi="Times New Roman" w:cs="Times New Roman"/>
          <w:sz w:val="24"/>
          <w:szCs w:val="24"/>
        </w:rPr>
        <w:t xml:space="preserve"> </w:t>
      </w:r>
    </w:p>
    <w:p w14:paraId="03DA4847" w14:textId="77777777" w:rsidR="00294FAB" w:rsidRPr="00037C0A" w:rsidRDefault="00294FAB" w:rsidP="00037C0A">
      <w:pPr>
        <w:rPr>
          <w:rFonts w:ascii="Times New Roman" w:hAnsi="Times New Roman" w:cs="Times New Roman"/>
          <w:sz w:val="24"/>
          <w:szCs w:val="24"/>
        </w:rPr>
      </w:pPr>
    </w:p>
    <w:p w14:paraId="5D9CB85E" w14:textId="77777777" w:rsidR="00072135" w:rsidRDefault="00072135" w:rsidP="0008302C">
      <w:pPr>
        <w:jc w:val="both"/>
        <w:rPr>
          <w:b/>
          <w:bCs/>
        </w:rPr>
      </w:pPr>
    </w:p>
    <w:p w14:paraId="16FF80B1" w14:textId="053BAE5C" w:rsidR="009306D8" w:rsidRPr="009306D8" w:rsidRDefault="009306D8" w:rsidP="0008302C">
      <w:pPr>
        <w:jc w:val="both"/>
        <w:rPr>
          <w:b/>
          <w:bCs/>
        </w:rPr>
      </w:pPr>
      <w:r w:rsidRPr="009306D8">
        <w:rPr>
          <w:b/>
          <w:bCs/>
        </w:rPr>
        <w:t>Abstract</w:t>
      </w:r>
    </w:p>
    <w:p w14:paraId="78E947B7" w14:textId="77777777" w:rsidR="00163185" w:rsidRDefault="009306D8" w:rsidP="0008302C">
      <w:pPr>
        <w:jc w:val="both"/>
        <w:rPr>
          <w:b/>
          <w:bCs/>
        </w:rPr>
      </w:pPr>
      <w:r w:rsidRPr="009306D8">
        <w:rPr>
          <w:b/>
          <w:bCs/>
        </w:rPr>
        <w:t>Background:</w:t>
      </w:r>
    </w:p>
    <w:p w14:paraId="62F8C025" w14:textId="321E73D5" w:rsidR="009306D8" w:rsidRPr="009306D8" w:rsidRDefault="009306D8" w:rsidP="0008302C">
      <w:pPr>
        <w:jc w:val="both"/>
      </w:pPr>
      <w:r w:rsidRPr="009306D8">
        <w:t xml:space="preserve">The aortic–thoracic ratio (ATR) is a simple radiographic index that relates aortic size to thoracic cavity width and may assist in recognizing abnormal aortic enlargement in children. Normative ATR data for African </w:t>
      </w:r>
      <w:r w:rsidR="00ED64C5" w:rsidRPr="009306D8">
        <w:t>paediatric</w:t>
      </w:r>
      <w:r w:rsidRPr="009306D8">
        <w:t xml:space="preserve"> populations are scarce.</w:t>
      </w:r>
    </w:p>
    <w:p w14:paraId="23927E0B" w14:textId="77777777" w:rsidR="00ED64C5" w:rsidRDefault="009306D8" w:rsidP="0008302C">
      <w:pPr>
        <w:jc w:val="both"/>
        <w:rPr>
          <w:b/>
          <w:bCs/>
        </w:rPr>
      </w:pPr>
      <w:r w:rsidRPr="009306D8">
        <w:rPr>
          <w:b/>
          <w:bCs/>
        </w:rPr>
        <w:t>Objective:</w:t>
      </w:r>
    </w:p>
    <w:p w14:paraId="7BF02DF8" w14:textId="3FD683FE" w:rsidR="009306D8" w:rsidRPr="009306D8" w:rsidRDefault="009306D8" w:rsidP="0008302C">
      <w:pPr>
        <w:jc w:val="both"/>
      </w:pPr>
      <w:r w:rsidRPr="009306D8">
        <w:t>To establish age- and sex-specific normative values for ATR in Nigerian children aged 9–13 years and to examine its relationship with age and sex.</w:t>
      </w:r>
    </w:p>
    <w:p w14:paraId="3C9690DB" w14:textId="77777777" w:rsidR="00ED64C5" w:rsidRDefault="009306D8" w:rsidP="0008302C">
      <w:pPr>
        <w:jc w:val="both"/>
        <w:rPr>
          <w:b/>
          <w:bCs/>
        </w:rPr>
      </w:pPr>
      <w:r w:rsidRPr="009306D8">
        <w:rPr>
          <w:b/>
          <w:bCs/>
        </w:rPr>
        <w:t>Methods:</w:t>
      </w:r>
    </w:p>
    <w:p w14:paraId="48207DD3" w14:textId="298A6021" w:rsidR="009306D8" w:rsidRPr="009306D8" w:rsidRDefault="009306D8" w:rsidP="0008302C">
      <w:pPr>
        <w:jc w:val="both"/>
      </w:pPr>
      <w:r w:rsidRPr="009306D8">
        <w:t>This cross-sectional radiographic study included 362 apparently healthy Nigerian children (222 males, 140 females) aged 9–13 years in Port Harcourt, Nigeria. Posteroanterior (PA) chest radiographs were used to measure aortic diameter (AD) at the level of the aortic arch and thoracic diameter (TD) as the maximal internal transverse diameter of the thoracic cavity. ATR was calculated as (AD/TD) × 100. Descriptive statistics were generated for AD, TD, and ATR by age and sex. Sex differences within age groups were evaluated using independent-sample t-tests, with p &lt; 0.05 considered statistically significant.</w:t>
      </w:r>
    </w:p>
    <w:p w14:paraId="3E04929F" w14:textId="77777777" w:rsidR="00230E1E" w:rsidRDefault="009306D8" w:rsidP="0008302C">
      <w:pPr>
        <w:jc w:val="both"/>
        <w:rPr>
          <w:b/>
          <w:bCs/>
        </w:rPr>
      </w:pPr>
      <w:r w:rsidRPr="009306D8">
        <w:rPr>
          <w:b/>
          <w:bCs/>
        </w:rPr>
        <w:t>Results:</w:t>
      </w:r>
    </w:p>
    <w:p w14:paraId="2187F5E0" w14:textId="1BB98095" w:rsidR="009306D8" w:rsidRPr="009306D8" w:rsidRDefault="00230E1E" w:rsidP="0008302C">
      <w:pPr>
        <w:jc w:val="both"/>
      </w:pPr>
      <w:r>
        <w:t xml:space="preserve"> The overall mean ATR for the study population was 22.4</w:t>
      </w:r>
      <w:r w:rsidR="009306D8" w:rsidRPr="009306D8">
        <w:t xml:space="preserve">%. In both sexes, mean AD and TD increased with age. Among males, mean ATR rose from 21.4 % at 9 years to 22.8 % at 12–13 years; among females, mean ATR ranged from 21.9 % at 9 years to 22.8 % at 12 years. There was no statistically significant sex difference in ATR across the 9–13-year age range. Thoracic diameter was larger in males than </w:t>
      </w:r>
      <w:r>
        <w:t xml:space="preserve">in </w:t>
      </w:r>
      <w:r w:rsidR="009306D8" w:rsidRPr="009306D8">
        <w:t xml:space="preserve">females in the 12-year age group, </w:t>
      </w:r>
      <w:r>
        <w:t xml:space="preserve">with a statistically significant difference in TD </w:t>
      </w:r>
      <w:r w:rsidR="009306D8" w:rsidRPr="009306D8">
        <w:t>(p &lt; 0.001).</w:t>
      </w:r>
    </w:p>
    <w:p w14:paraId="20F672A4" w14:textId="77777777" w:rsidR="00230E1E" w:rsidRDefault="009306D8" w:rsidP="0008302C">
      <w:pPr>
        <w:jc w:val="both"/>
        <w:rPr>
          <w:b/>
          <w:bCs/>
        </w:rPr>
      </w:pPr>
      <w:r w:rsidRPr="009306D8">
        <w:rPr>
          <w:b/>
          <w:bCs/>
        </w:rPr>
        <w:t>Conclusion:</w:t>
      </w:r>
    </w:p>
    <w:p w14:paraId="77F04D44" w14:textId="0EF3259B" w:rsidR="009306D8" w:rsidRPr="009306D8" w:rsidRDefault="009306D8" w:rsidP="0008302C">
      <w:pPr>
        <w:jc w:val="both"/>
      </w:pPr>
      <w:r w:rsidRPr="009306D8">
        <w:t>This study provides age- and sex-specific reference values for the aortic–thoracic ratio in Nigerian children aged 9–13 years. ATR appears to increase slightly with age while showing no meaningful sex-related differences within this range. These normative data may serve as a useful radiographic reference for assessing aortic size in Nigerian children and similar populations.</w:t>
      </w:r>
    </w:p>
    <w:p w14:paraId="32C076D4" w14:textId="77777777" w:rsidR="00D009FB" w:rsidRDefault="009306D8" w:rsidP="0008302C">
      <w:pPr>
        <w:jc w:val="both"/>
        <w:rPr>
          <w:b/>
          <w:bCs/>
        </w:rPr>
      </w:pPr>
      <w:r w:rsidRPr="009306D8">
        <w:rPr>
          <w:b/>
          <w:bCs/>
        </w:rPr>
        <w:t>Keywords:</w:t>
      </w:r>
    </w:p>
    <w:p w14:paraId="58D12110" w14:textId="41674B4C" w:rsidR="009306D8" w:rsidRPr="009306D8" w:rsidRDefault="009306D8" w:rsidP="0008302C">
      <w:pPr>
        <w:jc w:val="both"/>
      </w:pPr>
      <w:r w:rsidRPr="009306D8">
        <w:t xml:space="preserve">Aortic–thoracic ratio; chest radiography; Nigerian children; normative values; sex differences; </w:t>
      </w:r>
      <w:r w:rsidR="00EE4BED" w:rsidRPr="009306D8">
        <w:t>paediatric</w:t>
      </w:r>
      <w:r w:rsidRPr="009306D8">
        <w:t xml:space="preserve"> aorta.</w:t>
      </w:r>
    </w:p>
    <w:p w14:paraId="75A4CCCD" w14:textId="32102441" w:rsidR="009306D8" w:rsidRPr="009306D8" w:rsidRDefault="009306D8" w:rsidP="0008302C">
      <w:pPr>
        <w:jc w:val="both"/>
        <w:rPr>
          <w:b/>
          <w:bCs/>
        </w:rPr>
      </w:pPr>
      <w:r>
        <w:rPr>
          <w:b/>
          <w:bCs/>
        </w:rPr>
        <w:t>I</w:t>
      </w:r>
      <w:r w:rsidRPr="009306D8">
        <w:rPr>
          <w:b/>
          <w:bCs/>
        </w:rPr>
        <w:t>NTRODUCTION</w:t>
      </w:r>
    </w:p>
    <w:p w14:paraId="4E51BF18" w14:textId="563A0D32" w:rsidR="009306D8" w:rsidRPr="009306D8" w:rsidRDefault="009306D8" w:rsidP="0008302C">
      <w:pPr>
        <w:jc w:val="both"/>
      </w:pPr>
      <w:r w:rsidRPr="009306D8">
        <w:t>Chest radiography remains one of the most widely available and affordable imaging modalities for evaluating thoracic structures in children, particularly in low- and middle-income settings where access to advanced imaging is limited.</w:t>
      </w:r>
      <w:r w:rsidRPr="009306D8">
        <w:rPr>
          <w:vertAlign w:val="superscript"/>
        </w:rPr>
        <w:t>1,2</w:t>
      </w:r>
      <w:r w:rsidRPr="009306D8">
        <w:t xml:space="preserve"> Among radiographic indices, the cardiothoracic ratio (CTR) has been extensively used as a simple screening tool for cardiac enlargement in adults and children.</w:t>
      </w:r>
      <w:r w:rsidRPr="009306D8">
        <w:rPr>
          <w:vertAlign w:val="superscript"/>
        </w:rPr>
        <w:t>1–3</w:t>
      </w:r>
    </w:p>
    <w:p w14:paraId="311CE7D7" w14:textId="1AEAC5A4" w:rsidR="009306D8" w:rsidRPr="009306D8" w:rsidRDefault="009306D8" w:rsidP="0008302C">
      <w:pPr>
        <w:jc w:val="both"/>
      </w:pPr>
      <w:r>
        <w:lastRenderedPageBreak/>
        <w:t>Multiple factors, including age, sex, race, body posture, physique, respiratory phase, geographic location, and technical aspects of radiographic acquisition</w:t>
      </w:r>
      <w:r w:rsidR="00EE4BED">
        <w:t>,</w:t>
      </w:r>
      <w:r>
        <w:t xml:space="preserve"> influence thoracic and cardiac dimensions</w:t>
      </w:r>
      <w:r w:rsidRPr="009306D8">
        <w:t>.</w:t>
      </w:r>
      <w:r w:rsidRPr="009306D8">
        <w:rPr>
          <w:vertAlign w:val="superscript"/>
        </w:rPr>
        <w:t>4–7,9,10</w:t>
      </w:r>
      <w:r w:rsidRPr="009306D8">
        <w:t xml:space="preserve"> Studies in African and Caribbean populations have shown that CTR and related thoracic measurements can differ from those in Caucasian cohorts, underscoring the need for population-specific reference values for radiographic indices.</w:t>
      </w:r>
      <w:r w:rsidRPr="009306D8">
        <w:rPr>
          <w:vertAlign w:val="superscript"/>
        </w:rPr>
        <w:t>5–7,9,10</w:t>
      </w:r>
    </w:p>
    <w:p w14:paraId="3CF70111" w14:textId="6857CC39" w:rsidR="009306D8" w:rsidRPr="009306D8" w:rsidRDefault="009306D8" w:rsidP="0008302C">
      <w:pPr>
        <w:jc w:val="both"/>
      </w:pPr>
      <w:r w:rsidRPr="009306D8">
        <w:t>While CTR reflects cardiac size relative to thoracic width, it does not directly characterize the great vessels. Aortic dimensions vary with age, sex, height, weight, and body surface area and are central to the diagnosis and monitoring of congenital and acquired aortic disease.</w:t>
      </w:r>
      <w:r w:rsidRPr="009306D8">
        <w:rPr>
          <w:vertAlign w:val="superscript"/>
        </w:rPr>
        <w:t>8,11–14</w:t>
      </w:r>
      <w:r w:rsidRPr="009306D8">
        <w:t xml:space="preserve"> Echocardiographic and cardiovascular magnetic resonance (CMR) studies have provided detailed normative data </w:t>
      </w:r>
      <w:r w:rsidR="00CC44B9">
        <w:t>on the aortic root and thoracic aorta across the lifespan, along with</w:t>
      </w:r>
      <w:r w:rsidRPr="009306D8">
        <w:t xml:space="preserve"> their clinical determinants.</w:t>
      </w:r>
      <w:r w:rsidRPr="009306D8">
        <w:rPr>
          <w:vertAlign w:val="superscript"/>
        </w:rPr>
        <w:t>11–14</w:t>
      </w:r>
      <w:r w:rsidRPr="009306D8">
        <w:t xml:space="preserve"> However, most of these data arise from non-African populations and from advanced imaging techniques that may not be routinely available in many clinical environments.</w:t>
      </w:r>
    </w:p>
    <w:p w14:paraId="6AF0BA78" w14:textId="0ECF6972" w:rsidR="009306D8" w:rsidRPr="009306D8" w:rsidRDefault="009306D8" w:rsidP="0008302C">
      <w:pPr>
        <w:jc w:val="both"/>
      </w:pPr>
      <w:r w:rsidRPr="009306D8">
        <w:t xml:space="preserve">The aortic–thoracic ratio (ATR) is a simple radiographic index that expresses the transverse aortic diameter as a percentage of the maximal internal thoracic width on a PA chest radiograph. Conceptually, ATR parallels CTR by normalizing aortic size to the thoracic cavity. Despite its potential utility for screening and baseline assessment, ATR has not been widely studied, and normative </w:t>
      </w:r>
      <w:r w:rsidR="007F4BBE" w:rsidRPr="009306D8">
        <w:t>paediatric</w:t>
      </w:r>
      <w:r w:rsidRPr="009306D8">
        <w:t xml:space="preserve"> ATR values</w:t>
      </w:r>
      <w:r w:rsidR="00977A59">
        <w:t>, particularly in African populations,</w:t>
      </w:r>
      <w:r w:rsidR="007F4BBE">
        <w:t xml:space="preserve"> </w:t>
      </w:r>
      <w:r w:rsidRPr="009306D8">
        <w:t>are not well documented. In Nigeria, previous work has described aortic and cardiac dimensions and CTR in children using radiography</w:t>
      </w:r>
      <w:r w:rsidR="007F4BBE">
        <w:t xml:space="preserve"> </w:t>
      </w:r>
      <w:r w:rsidR="007F4BBE" w:rsidRPr="007F4BBE">
        <w:rPr>
          <w:vertAlign w:val="superscript"/>
        </w:rPr>
        <w:t>8</w:t>
      </w:r>
      <w:r w:rsidR="007F4BBE">
        <w:t>,</w:t>
      </w:r>
      <w:r w:rsidRPr="009306D8">
        <w:t xml:space="preserve"> but specific ATR reference values are lacking.</w:t>
      </w:r>
    </w:p>
    <w:p w14:paraId="302E90DF" w14:textId="24A5386E" w:rsidR="009306D8" w:rsidRPr="009306D8" w:rsidRDefault="009306D8" w:rsidP="0008302C">
      <w:pPr>
        <w:jc w:val="both"/>
      </w:pPr>
      <w:r w:rsidRPr="009306D8">
        <w:t xml:space="preserve">The present study was designed to address this gap by establishing age- and sex-specific normative values for ATR in Nigerian children aged 9–13 years using PA chest radiographs obtained in Port Harcourt. We also examined the relationship between ATR and age and evaluated potential sex differences in aortic and thoracic dimensions. These data aim to provide a straightforward, radiograph-based reference for assessing </w:t>
      </w:r>
      <w:r w:rsidR="007F4BBE" w:rsidRPr="009306D8">
        <w:t>paediatric</w:t>
      </w:r>
      <w:r w:rsidRPr="009306D8">
        <w:t xml:space="preserve"> aortic size in Nigerian children and comparable populations.</w:t>
      </w:r>
    </w:p>
    <w:p w14:paraId="798C738F" w14:textId="2249ACC2" w:rsidR="009306D8" w:rsidRPr="009306D8" w:rsidRDefault="009306D8" w:rsidP="009306D8">
      <w:pPr>
        <w:rPr>
          <w:b/>
          <w:bCs/>
        </w:rPr>
      </w:pPr>
      <w:r>
        <w:rPr>
          <w:b/>
          <w:bCs/>
        </w:rPr>
        <w:t>M</w:t>
      </w:r>
      <w:r w:rsidRPr="009306D8">
        <w:rPr>
          <w:b/>
          <w:bCs/>
        </w:rPr>
        <w:t>ATERIALS AND METHODS</w:t>
      </w:r>
    </w:p>
    <w:p w14:paraId="1C3A38E7" w14:textId="77777777" w:rsidR="009306D8" w:rsidRPr="009306D8" w:rsidRDefault="009306D8" w:rsidP="0008302C">
      <w:pPr>
        <w:jc w:val="both"/>
        <w:rPr>
          <w:b/>
          <w:bCs/>
        </w:rPr>
      </w:pPr>
      <w:r w:rsidRPr="009306D8">
        <w:rPr>
          <w:b/>
          <w:bCs/>
        </w:rPr>
        <w:t>Study design and setting</w:t>
      </w:r>
    </w:p>
    <w:p w14:paraId="00A5A474" w14:textId="77777777" w:rsidR="009306D8" w:rsidRPr="009306D8" w:rsidRDefault="009306D8" w:rsidP="0008302C">
      <w:pPr>
        <w:jc w:val="both"/>
      </w:pPr>
      <w:r w:rsidRPr="009306D8">
        <w:t>This was a cross-sectional radiographic study conducted in Port Harcourt, Rivers State, Nigeria. The analysis was based on PA chest radiographs of apparently healthy school-aged children who underwent imaging as part of routine clinical evaluation or screening at a tertiary institution.</w:t>
      </w:r>
    </w:p>
    <w:p w14:paraId="6DA2A1E5" w14:textId="77777777" w:rsidR="009306D8" w:rsidRPr="009306D8" w:rsidRDefault="009306D8" w:rsidP="0008302C">
      <w:pPr>
        <w:jc w:val="both"/>
        <w:rPr>
          <w:b/>
          <w:bCs/>
        </w:rPr>
      </w:pPr>
      <w:r w:rsidRPr="009306D8">
        <w:rPr>
          <w:b/>
          <w:bCs/>
        </w:rPr>
        <w:t>Study population</w:t>
      </w:r>
    </w:p>
    <w:p w14:paraId="1329D165" w14:textId="77777777" w:rsidR="009306D8" w:rsidRPr="009306D8" w:rsidRDefault="009306D8" w:rsidP="0008302C">
      <w:pPr>
        <w:jc w:val="both"/>
      </w:pPr>
      <w:r w:rsidRPr="009306D8">
        <w:t>A total of 362 children aged 9–13 years were included. There were 222 males and 140 females. Males were represented in all age groups from 9 through 13 years, whereas females were represented from 9 through 12 years.</w:t>
      </w:r>
    </w:p>
    <w:p w14:paraId="4652D0CE" w14:textId="109A820C" w:rsidR="009306D8" w:rsidRPr="009306D8" w:rsidRDefault="009306D8" w:rsidP="0008302C">
      <w:pPr>
        <w:jc w:val="both"/>
      </w:pPr>
      <w:r w:rsidRPr="009306D8">
        <w:t xml:space="preserve">Children were eligible if they were between 9 and 13 years </w:t>
      </w:r>
      <w:r w:rsidR="00B83EC6">
        <w:t xml:space="preserve">old and </w:t>
      </w:r>
      <w:r w:rsidRPr="009306D8">
        <w:t>considered clinically healthy at the time of imaging. Radiographs with obvious thoracic deformities, gross technical errors, or documented cardiothoracic abnormalities were excluded. Age (in completed years) and sex were recorded for each child.</w:t>
      </w:r>
    </w:p>
    <w:p w14:paraId="722142C1" w14:textId="77777777" w:rsidR="009306D8" w:rsidRPr="009306D8" w:rsidRDefault="009306D8" w:rsidP="0008302C">
      <w:pPr>
        <w:jc w:val="both"/>
        <w:rPr>
          <w:b/>
          <w:bCs/>
        </w:rPr>
      </w:pPr>
      <w:r w:rsidRPr="009306D8">
        <w:rPr>
          <w:b/>
          <w:bCs/>
        </w:rPr>
        <w:t>Radiographic technique and measurements</w:t>
      </w:r>
    </w:p>
    <w:p w14:paraId="010AD0BE" w14:textId="77777777" w:rsidR="009306D8" w:rsidRPr="009306D8" w:rsidRDefault="009306D8" w:rsidP="0008302C">
      <w:pPr>
        <w:jc w:val="both"/>
      </w:pPr>
      <w:r w:rsidRPr="009306D8">
        <w:t>Standard PA chest radiographs were acquired according to the departmental protocol. Only radiographs judged to be technically adequate with respect to positioning and exposure were included for analysis.</w:t>
      </w:r>
    </w:p>
    <w:p w14:paraId="16F6A86C" w14:textId="77777777" w:rsidR="009306D8" w:rsidRPr="009306D8" w:rsidRDefault="009306D8" w:rsidP="009306D8">
      <w:r w:rsidRPr="009306D8">
        <w:lastRenderedPageBreak/>
        <w:t>For each radiograph, the following measurements were made:</w:t>
      </w:r>
    </w:p>
    <w:p w14:paraId="0FA7EED6" w14:textId="77777777" w:rsidR="009306D8" w:rsidRPr="009306D8" w:rsidRDefault="009306D8" w:rsidP="009306D8">
      <w:pPr>
        <w:numPr>
          <w:ilvl w:val="0"/>
          <w:numId w:val="5"/>
        </w:numPr>
      </w:pPr>
      <w:r w:rsidRPr="009306D8">
        <w:rPr>
          <w:b/>
          <w:bCs/>
        </w:rPr>
        <w:t>Aortic diameter (AD):</w:t>
      </w:r>
      <w:r w:rsidRPr="009306D8">
        <w:t xml:space="preserve"> transverse aortic diameter at the level of the aortic arch on the PA view.</w:t>
      </w:r>
    </w:p>
    <w:p w14:paraId="38823E2E" w14:textId="77777777" w:rsidR="009306D8" w:rsidRPr="009306D8" w:rsidRDefault="009306D8" w:rsidP="009306D8">
      <w:pPr>
        <w:numPr>
          <w:ilvl w:val="0"/>
          <w:numId w:val="5"/>
        </w:numPr>
      </w:pPr>
      <w:r w:rsidRPr="009306D8">
        <w:rPr>
          <w:b/>
          <w:bCs/>
        </w:rPr>
        <w:t>Thoracic diameter (TD):</w:t>
      </w:r>
      <w:r w:rsidRPr="009306D8">
        <w:t xml:space="preserve"> maximal internal transverse diameter of the thoracic cavity at the level of the diaphragm.</w:t>
      </w:r>
    </w:p>
    <w:p w14:paraId="3F43D44D" w14:textId="77777777" w:rsidR="0058573B" w:rsidRPr="007D5ED2" w:rsidRDefault="0058573B" w:rsidP="0058573B">
      <w:pPr>
        <w:numPr>
          <w:ilvl w:val="0"/>
          <w:numId w:val="5"/>
        </w:numPr>
        <w:rPr>
          <w:rFonts w:ascii="Times New Roman" w:hAnsi="Times New Roman" w:cs="Times New Roman"/>
        </w:rPr>
      </w:pPr>
      <w:r w:rsidRPr="007D5ED2">
        <w:rPr>
          <w:rFonts w:ascii="Times New Roman" w:hAnsi="Times New Roman" w:cs="Times New Roman"/>
          <w:b/>
          <w:bCs/>
        </w:rPr>
        <w:t>Aortic-Thoracic Ratio (ATR):</w:t>
      </w:r>
      <w:r w:rsidRPr="007D5ED2">
        <w:rPr>
          <w:rFonts w:ascii="Times New Roman" w:hAnsi="Times New Roman" w:cs="Times New Roman"/>
        </w:rPr>
        <w:t> Calculated as (Aortic Diameter / Thoracic Diameter) × 100.</w:t>
      </w:r>
    </w:p>
    <w:p w14:paraId="2472BA7D" w14:textId="77777777" w:rsidR="009306D8" w:rsidRPr="009306D8" w:rsidRDefault="009306D8" w:rsidP="0008302C">
      <w:pPr>
        <w:jc w:val="both"/>
      </w:pPr>
      <w:r w:rsidRPr="009306D8">
        <w:t>Measurements were obtained in consistent units (e.g. millimetres) using a standardized method, and ATR was expressed as a percentage. The same measurement protocol was applied to all films to minimize variability.</w:t>
      </w:r>
    </w:p>
    <w:p w14:paraId="606913C4" w14:textId="77777777" w:rsidR="009306D8" w:rsidRPr="009306D8" w:rsidRDefault="009306D8" w:rsidP="0008302C">
      <w:pPr>
        <w:jc w:val="both"/>
        <w:rPr>
          <w:b/>
          <w:bCs/>
        </w:rPr>
      </w:pPr>
      <w:r w:rsidRPr="009306D8">
        <w:rPr>
          <w:b/>
          <w:bCs/>
        </w:rPr>
        <w:t>Statistical analysis</w:t>
      </w:r>
    </w:p>
    <w:p w14:paraId="3A28358C" w14:textId="77777777" w:rsidR="009306D8" w:rsidRPr="009306D8" w:rsidRDefault="009306D8" w:rsidP="0008302C">
      <w:pPr>
        <w:jc w:val="both"/>
      </w:pPr>
      <w:r w:rsidRPr="009306D8">
        <w:t>Data were summarized using descriptive statistics. Mean values of AD, TD, and ATR were calculated by age and sex. The overall mean ATR for the study population was also computed.</w:t>
      </w:r>
    </w:p>
    <w:p w14:paraId="339B128D" w14:textId="77777777" w:rsidR="009306D8" w:rsidRPr="009306D8" w:rsidRDefault="009306D8" w:rsidP="0008302C">
      <w:pPr>
        <w:jc w:val="both"/>
      </w:pPr>
      <w:r w:rsidRPr="009306D8">
        <w:t>Sex differences in AD, TD, and ATR within age groups were examined using independent-sample t-tests. A p-value &lt; 0.05 was considered statistically significant. Age-related trends in AD, TD, and ATR were evaluated by inspecting age-specific means and their progression across the 9–13-year range.</w:t>
      </w:r>
    </w:p>
    <w:p w14:paraId="719D5E02" w14:textId="77777777" w:rsidR="009306D8" w:rsidRPr="009306D8" w:rsidRDefault="009306D8" w:rsidP="0008302C">
      <w:pPr>
        <w:jc w:val="both"/>
        <w:rPr>
          <w:b/>
          <w:bCs/>
        </w:rPr>
      </w:pPr>
      <w:r w:rsidRPr="009306D8">
        <w:rPr>
          <w:b/>
          <w:bCs/>
        </w:rPr>
        <w:t>RESULTS</w:t>
      </w:r>
    </w:p>
    <w:p w14:paraId="3D2C5795" w14:textId="77777777" w:rsidR="009306D8" w:rsidRPr="009306D8" w:rsidRDefault="009306D8" w:rsidP="0008302C">
      <w:pPr>
        <w:jc w:val="both"/>
        <w:rPr>
          <w:b/>
          <w:bCs/>
        </w:rPr>
      </w:pPr>
      <w:r w:rsidRPr="009306D8">
        <w:rPr>
          <w:b/>
          <w:bCs/>
        </w:rPr>
        <w:t>Participant characteristics</w:t>
      </w:r>
    </w:p>
    <w:p w14:paraId="6928B57C" w14:textId="77777777" w:rsidR="009306D8" w:rsidRDefault="009306D8" w:rsidP="0008302C">
      <w:pPr>
        <w:jc w:val="both"/>
      </w:pPr>
      <w:r w:rsidRPr="009306D8">
        <w:t>The study sample comprised 362 children (222 males, 140 females) aged 9–13 years. All participants were reported as clinically healthy at the time of chest radiography. Males were represented at ages 9, 10, 11, 12, and 13 years; females at ages 9, 10, 11, and 12 years. Demographic characteristics are summarized in Table 1.</w:t>
      </w:r>
    </w:p>
    <w:p w14:paraId="3F7B9EDB" w14:textId="77777777" w:rsidR="00D04751" w:rsidRDefault="00D04751" w:rsidP="009306D8"/>
    <w:p w14:paraId="0D986940" w14:textId="77777777" w:rsidR="00D04751" w:rsidRPr="009306D8" w:rsidRDefault="00D04751" w:rsidP="00D04751">
      <w:pPr>
        <w:rPr>
          <w:b/>
          <w:bCs/>
        </w:rPr>
      </w:pPr>
      <w:r w:rsidRPr="009306D8">
        <w:rPr>
          <w:b/>
          <w:bCs/>
        </w:rPr>
        <w:t>Table 1. Demographic characteristics of the study population</w:t>
      </w:r>
    </w:p>
    <w:tbl>
      <w:tblPr>
        <w:tblW w:w="0" w:type="auto"/>
        <w:tblCellSpacing w:w="1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15" w:type="dxa"/>
          <w:left w:w="15" w:type="dxa"/>
          <w:bottom w:w="15" w:type="dxa"/>
          <w:right w:w="15" w:type="dxa"/>
        </w:tblCellMar>
        <w:tblLook w:val="04A0" w:firstRow="1" w:lastRow="0" w:firstColumn="1" w:lastColumn="0" w:noHBand="0" w:noVBand="1"/>
      </w:tblPr>
      <w:tblGrid>
        <w:gridCol w:w="2894"/>
        <w:gridCol w:w="1513"/>
        <w:gridCol w:w="1513"/>
        <w:gridCol w:w="1615"/>
      </w:tblGrid>
      <w:tr w:rsidR="00D04751" w:rsidRPr="009306D8" w14:paraId="69973426" w14:textId="77777777" w:rsidTr="001F07D8">
        <w:trPr>
          <w:tblHeader/>
          <w:tblCellSpacing w:w="15" w:type="dxa"/>
        </w:trPr>
        <w:tc>
          <w:tcPr>
            <w:tcW w:w="0" w:type="auto"/>
            <w:vAlign w:val="center"/>
            <w:hideMark/>
          </w:tcPr>
          <w:p w14:paraId="2B0A8768" w14:textId="77777777" w:rsidR="00D04751" w:rsidRPr="009306D8" w:rsidRDefault="00D04751" w:rsidP="001F07D8">
            <w:pPr>
              <w:rPr>
                <w:b/>
                <w:bCs/>
              </w:rPr>
            </w:pPr>
            <w:r w:rsidRPr="009306D8">
              <w:rPr>
                <w:b/>
                <w:bCs/>
              </w:rPr>
              <w:t>Characteristic</w:t>
            </w:r>
          </w:p>
        </w:tc>
        <w:tc>
          <w:tcPr>
            <w:tcW w:w="0" w:type="auto"/>
            <w:vAlign w:val="center"/>
            <w:hideMark/>
          </w:tcPr>
          <w:p w14:paraId="4DF95B60" w14:textId="77777777" w:rsidR="00D04751" w:rsidRPr="009306D8" w:rsidRDefault="00D04751" w:rsidP="001F07D8">
            <w:pPr>
              <w:rPr>
                <w:b/>
                <w:bCs/>
              </w:rPr>
            </w:pPr>
            <w:r w:rsidRPr="009306D8">
              <w:rPr>
                <w:b/>
                <w:bCs/>
              </w:rPr>
              <w:t>Total (N = 362)</w:t>
            </w:r>
          </w:p>
        </w:tc>
        <w:tc>
          <w:tcPr>
            <w:tcW w:w="0" w:type="auto"/>
            <w:vAlign w:val="center"/>
            <w:hideMark/>
          </w:tcPr>
          <w:p w14:paraId="72334D5C" w14:textId="77777777" w:rsidR="00D04751" w:rsidRPr="009306D8" w:rsidRDefault="00D04751" w:rsidP="001F07D8">
            <w:pPr>
              <w:rPr>
                <w:b/>
                <w:bCs/>
              </w:rPr>
            </w:pPr>
            <w:r w:rsidRPr="009306D8">
              <w:rPr>
                <w:b/>
                <w:bCs/>
              </w:rPr>
              <w:t>Male (n = 222)</w:t>
            </w:r>
          </w:p>
        </w:tc>
        <w:tc>
          <w:tcPr>
            <w:tcW w:w="0" w:type="auto"/>
            <w:vAlign w:val="center"/>
            <w:hideMark/>
          </w:tcPr>
          <w:p w14:paraId="352BBA4F" w14:textId="77777777" w:rsidR="00D04751" w:rsidRPr="009306D8" w:rsidRDefault="00D04751" w:rsidP="001F07D8">
            <w:pPr>
              <w:rPr>
                <w:b/>
                <w:bCs/>
              </w:rPr>
            </w:pPr>
            <w:r w:rsidRPr="009306D8">
              <w:rPr>
                <w:b/>
                <w:bCs/>
              </w:rPr>
              <w:t>Female (n = 140)</w:t>
            </w:r>
          </w:p>
        </w:tc>
      </w:tr>
      <w:tr w:rsidR="00D04751" w:rsidRPr="009306D8" w14:paraId="2A5BB8BA" w14:textId="77777777" w:rsidTr="001F07D8">
        <w:trPr>
          <w:tblCellSpacing w:w="15" w:type="dxa"/>
        </w:trPr>
        <w:tc>
          <w:tcPr>
            <w:tcW w:w="0" w:type="auto"/>
            <w:vAlign w:val="center"/>
            <w:hideMark/>
          </w:tcPr>
          <w:p w14:paraId="68B892A2" w14:textId="77777777" w:rsidR="00D04751" w:rsidRPr="009306D8" w:rsidRDefault="00D04751" w:rsidP="001F07D8">
            <w:r w:rsidRPr="009306D8">
              <w:t>Age range (years)</w:t>
            </w:r>
          </w:p>
        </w:tc>
        <w:tc>
          <w:tcPr>
            <w:tcW w:w="0" w:type="auto"/>
            <w:vAlign w:val="center"/>
            <w:hideMark/>
          </w:tcPr>
          <w:p w14:paraId="0BDE4239" w14:textId="77777777" w:rsidR="00D04751" w:rsidRPr="009306D8" w:rsidRDefault="00D04751" w:rsidP="001F07D8">
            <w:r w:rsidRPr="009306D8">
              <w:t>9–13</w:t>
            </w:r>
          </w:p>
        </w:tc>
        <w:tc>
          <w:tcPr>
            <w:tcW w:w="0" w:type="auto"/>
            <w:vAlign w:val="center"/>
            <w:hideMark/>
          </w:tcPr>
          <w:p w14:paraId="689F315D" w14:textId="77777777" w:rsidR="00D04751" w:rsidRPr="009306D8" w:rsidRDefault="00D04751" w:rsidP="001F07D8">
            <w:r w:rsidRPr="009306D8">
              <w:t>9–13</w:t>
            </w:r>
          </w:p>
        </w:tc>
        <w:tc>
          <w:tcPr>
            <w:tcW w:w="0" w:type="auto"/>
            <w:vAlign w:val="center"/>
            <w:hideMark/>
          </w:tcPr>
          <w:p w14:paraId="3E35A084" w14:textId="77777777" w:rsidR="00D04751" w:rsidRPr="009306D8" w:rsidRDefault="00D04751" w:rsidP="001F07D8">
            <w:r w:rsidRPr="009306D8">
              <w:t>9–12</w:t>
            </w:r>
          </w:p>
        </w:tc>
      </w:tr>
      <w:tr w:rsidR="00D04751" w:rsidRPr="009306D8" w14:paraId="0143D243" w14:textId="77777777" w:rsidTr="001F07D8">
        <w:trPr>
          <w:tblCellSpacing w:w="15" w:type="dxa"/>
        </w:trPr>
        <w:tc>
          <w:tcPr>
            <w:tcW w:w="0" w:type="auto"/>
            <w:vAlign w:val="center"/>
            <w:hideMark/>
          </w:tcPr>
          <w:p w14:paraId="1BCA8A12" w14:textId="77777777" w:rsidR="00D04751" w:rsidRPr="009306D8" w:rsidRDefault="00D04751" w:rsidP="001F07D8">
            <w:r w:rsidRPr="009306D8">
              <w:t>Age groups represented (years)</w:t>
            </w:r>
          </w:p>
        </w:tc>
        <w:tc>
          <w:tcPr>
            <w:tcW w:w="0" w:type="auto"/>
            <w:vAlign w:val="center"/>
            <w:hideMark/>
          </w:tcPr>
          <w:p w14:paraId="441F877E" w14:textId="77777777" w:rsidR="00D04751" w:rsidRPr="009306D8" w:rsidRDefault="00D04751" w:rsidP="001F07D8">
            <w:r w:rsidRPr="009306D8">
              <w:t>9, 10, 11, 12, 13</w:t>
            </w:r>
          </w:p>
        </w:tc>
        <w:tc>
          <w:tcPr>
            <w:tcW w:w="0" w:type="auto"/>
            <w:vAlign w:val="center"/>
            <w:hideMark/>
          </w:tcPr>
          <w:p w14:paraId="089DB409" w14:textId="77777777" w:rsidR="00D04751" w:rsidRPr="009306D8" w:rsidRDefault="00D04751" w:rsidP="001F07D8">
            <w:r w:rsidRPr="009306D8">
              <w:t>9, 10, 11, 12, 13</w:t>
            </w:r>
          </w:p>
        </w:tc>
        <w:tc>
          <w:tcPr>
            <w:tcW w:w="0" w:type="auto"/>
            <w:vAlign w:val="center"/>
            <w:hideMark/>
          </w:tcPr>
          <w:p w14:paraId="251066C8" w14:textId="77777777" w:rsidR="00D04751" w:rsidRPr="009306D8" w:rsidRDefault="00D04751" w:rsidP="001F07D8">
            <w:r w:rsidRPr="009306D8">
              <w:t>9, 10, 11, 12</w:t>
            </w:r>
          </w:p>
        </w:tc>
      </w:tr>
      <w:tr w:rsidR="00D04751" w:rsidRPr="009306D8" w14:paraId="1AB4E4B0" w14:textId="77777777" w:rsidTr="001F07D8">
        <w:trPr>
          <w:tblCellSpacing w:w="15" w:type="dxa"/>
        </w:trPr>
        <w:tc>
          <w:tcPr>
            <w:tcW w:w="0" w:type="auto"/>
            <w:vAlign w:val="center"/>
            <w:hideMark/>
          </w:tcPr>
          <w:p w14:paraId="21E61262" w14:textId="77777777" w:rsidR="00D04751" w:rsidRPr="009306D8" w:rsidRDefault="00D04751" w:rsidP="001F07D8">
            <w:r w:rsidRPr="009306D8">
              <w:t>Sex distribution (%)</w:t>
            </w:r>
          </w:p>
        </w:tc>
        <w:tc>
          <w:tcPr>
            <w:tcW w:w="0" w:type="auto"/>
            <w:vAlign w:val="center"/>
            <w:hideMark/>
          </w:tcPr>
          <w:p w14:paraId="125BFC5E" w14:textId="77777777" w:rsidR="00D04751" w:rsidRPr="009306D8" w:rsidRDefault="00D04751" w:rsidP="001F07D8">
            <w:r w:rsidRPr="009306D8">
              <w:t>100</w:t>
            </w:r>
          </w:p>
        </w:tc>
        <w:tc>
          <w:tcPr>
            <w:tcW w:w="0" w:type="auto"/>
            <w:vAlign w:val="center"/>
            <w:hideMark/>
          </w:tcPr>
          <w:p w14:paraId="6DED5B0E" w14:textId="77777777" w:rsidR="00D04751" w:rsidRPr="009306D8" w:rsidRDefault="00D04751" w:rsidP="001F07D8">
            <w:r w:rsidRPr="009306D8">
              <w:t>61.3</w:t>
            </w:r>
          </w:p>
        </w:tc>
        <w:tc>
          <w:tcPr>
            <w:tcW w:w="0" w:type="auto"/>
            <w:vAlign w:val="center"/>
            <w:hideMark/>
          </w:tcPr>
          <w:p w14:paraId="45CB136C" w14:textId="77777777" w:rsidR="00D04751" w:rsidRPr="009306D8" w:rsidRDefault="00D04751" w:rsidP="001F07D8">
            <w:r w:rsidRPr="009306D8">
              <w:t>38.7</w:t>
            </w:r>
          </w:p>
        </w:tc>
      </w:tr>
    </w:tbl>
    <w:p w14:paraId="3D660346" w14:textId="77777777" w:rsidR="00D04751" w:rsidRPr="009306D8" w:rsidRDefault="00D04751" w:rsidP="009306D8"/>
    <w:p w14:paraId="59C74564" w14:textId="77777777" w:rsidR="009306D8" w:rsidRPr="009306D8" w:rsidRDefault="009306D8" w:rsidP="009306D8">
      <w:pPr>
        <w:rPr>
          <w:b/>
          <w:bCs/>
        </w:rPr>
      </w:pPr>
      <w:r w:rsidRPr="009306D8">
        <w:rPr>
          <w:b/>
          <w:bCs/>
        </w:rPr>
        <w:t>Age-related changes in aortic and thoracic diameters</w:t>
      </w:r>
    </w:p>
    <w:p w14:paraId="4CBDE405" w14:textId="7F754DA3" w:rsidR="009306D8" w:rsidRPr="009306D8" w:rsidRDefault="009306D8" w:rsidP="0008302C">
      <w:pPr>
        <w:jc w:val="both"/>
      </w:pPr>
      <w:r w:rsidRPr="009306D8">
        <w:t xml:space="preserve">Age-specific mean values of AD and TD by sex are shown in Table 2. In both sexes, </w:t>
      </w:r>
      <w:r>
        <w:t xml:space="preserve">the </w:t>
      </w:r>
      <w:r w:rsidRPr="009306D8">
        <w:t>mean aortic diameter increased with age. Among males, mean AD rose from 4.88 (in the original measurement units) at 9 years to 5.70 at 12–13 years. Among females, mean AD increased from 5.04 at 9 years to 5.58 at 12 years.</w:t>
      </w:r>
    </w:p>
    <w:p w14:paraId="2BE173BA" w14:textId="2862E10F" w:rsidR="009306D8" w:rsidRPr="009306D8" w:rsidRDefault="009306D8" w:rsidP="0008302C">
      <w:pPr>
        <w:jc w:val="both"/>
      </w:pPr>
      <w:r w:rsidRPr="009306D8">
        <w:t xml:space="preserve">Thoracic diameter also increased with age. In males, mean TD increased from 22.81 at 9 years to 24.99 at 12–13 years. In females, mean TD increased from 22.97 at 9 years to 24.46 at 12 years. </w:t>
      </w:r>
    </w:p>
    <w:p w14:paraId="03216D3B" w14:textId="77777777" w:rsidR="009306D8" w:rsidRPr="009306D8" w:rsidRDefault="009306D8" w:rsidP="0008302C">
      <w:pPr>
        <w:jc w:val="both"/>
        <w:rPr>
          <w:b/>
          <w:bCs/>
        </w:rPr>
      </w:pPr>
      <w:r w:rsidRPr="009306D8">
        <w:rPr>
          <w:b/>
          <w:bCs/>
        </w:rPr>
        <w:t>Aortic–thoracic ratio</w:t>
      </w:r>
    </w:p>
    <w:p w14:paraId="34682EED" w14:textId="7460B41E" w:rsidR="009306D8" w:rsidRPr="009306D8" w:rsidRDefault="009306D8" w:rsidP="0008302C">
      <w:pPr>
        <w:jc w:val="both"/>
      </w:pPr>
      <w:r w:rsidRPr="009306D8">
        <w:lastRenderedPageBreak/>
        <w:t xml:space="preserve">The overall mean ATR </w:t>
      </w:r>
      <w:r w:rsidR="008D7BD0">
        <w:t>across the entire cohort was 22.4</w:t>
      </w:r>
      <w:r w:rsidRPr="009306D8">
        <w:t>%. Age-specific mean ATR values showed modest variation within a narrow range in both sexes (Table 2). In males, ATR increased from 21.4 % at 9 years to approximately 22.8 % at 12–13 years, while in females</w:t>
      </w:r>
      <w:r w:rsidR="008D7BD0">
        <w:t>,</w:t>
      </w:r>
      <w:r w:rsidRPr="009306D8">
        <w:t xml:space="preserve"> ATR ranged from 21.9 % at 9 years to 22.8 % at 12 years. </w:t>
      </w:r>
    </w:p>
    <w:p w14:paraId="1BDD004F" w14:textId="77777777" w:rsidR="009306D8" w:rsidRPr="009306D8" w:rsidRDefault="009306D8" w:rsidP="0008302C">
      <w:pPr>
        <w:jc w:val="both"/>
        <w:rPr>
          <w:b/>
          <w:bCs/>
        </w:rPr>
      </w:pPr>
      <w:r w:rsidRPr="009306D8">
        <w:rPr>
          <w:b/>
          <w:bCs/>
        </w:rPr>
        <w:t>Sex differences in AD, TD and ATR</w:t>
      </w:r>
    </w:p>
    <w:p w14:paraId="0861A8C0" w14:textId="4D376C37" w:rsidR="009306D8" w:rsidRDefault="009306D8" w:rsidP="0008302C">
      <w:pPr>
        <w:jc w:val="both"/>
      </w:pPr>
      <w:r w:rsidRPr="009306D8">
        <w:t xml:space="preserve">Overall, there was no statistically significant sex difference in ATR across the 9–13-year age range. Mean ATR values for boys and girls were closely aligned in all age groups (Table 2). Aortic diameter was also broadly similar between sexes within each age group. In contrast, thoracic diameter </w:t>
      </w:r>
      <w:r w:rsidR="00795094">
        <w:t>showed a marked sex difference at 12 years, with males having significantly larger TD than females (p &lt; 0.001). In contrast, no</w:t>
      </w:r>
      <w:r w:rsidRPr="009306D8">
        <w:t xml:space="preserve"> consistent sex differences in TD were observed in other age groups (Table 2). These findings are summarized in Table 3, which relates the observed age and sex patterns in AD, TD, and ATR to their clinical interpretation.</w:t>
      </w:r>
    </w:p>
    <w:p w14:paraId="6E1890EA" w14:textId="77777777" w:rsidR="00BC32D3" w:rsidRDefault="00BC32D3" w:rsidP="009306D8"/>
    <w:p w14:paraId="52CD63FC" w14:textId="77777777" w:rsidR="00BC32D3" w:rsidRPr="009306D8" w:rsidRDefault="00BC32D3" w:rsidP="00BC32D3">
      <w:pPr>
        <w:rPr>
          <w:b/>
          <w:bCs/>
        </w:rPr>
      </w:pPr>
      <w:r>
        <w:rPr>
          <w:b/>
          <w:bCs/>
        </w:rPr>
        <w:t>T</w:t>
      </w:r>
      <w:r w:rsidRPr="009306D8">
        <w:rPr>
          <w:b/>
          <w:bCs/>
        </w:rPr>
        <w:t>able 2. Age- and sex-specific mean aortic diameter (AD), thoracic diameter (TD), and aortic–thoracic ratio (ATR) in Nigerian children aged 9–13 years</w:t>
      </w:r>
    </w:p>
    <w:tbl>
      <w:tblPr>
        <w:tblW w:w="0" w:type="auto"/>
        <w:tblCellSpacing w:w="1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15" w:type="dxa"/>
          <w:left w:w="15" w:type="dxa"/>
          <w:bottom w:w="15" w:type="dxa"/>
          <w:right w:w="15" w:type="dxa"/>
        </w:tblCellMar>
        <w:tblLook w:val="04A0" w:firstRow="1" w:lastRow="0" w:firstColumn="1" w:lastColumn="0" w:noHBand="0" w:noVBand="1"/>
      </w:tblPr>
      <w:tblGrid>
        <w:gridCol w:w="754"/>
        <w:gridCol w:w="1108"/>
        <w:gridCol w:w="1051"/>
        <w:gridCol w:w="1027"/>
        <w:gridCol w:w="1381"/>
      </w:tblGrid>
      <w:tr w:rsidR="00BC32D3" w:rsidRPr="009306D8" w14:paraId="5F2E26B7" w14:textId="77777777" w:rsidTr="00BC32D3">
        <w:trPr>
          <w:tblHeader/>
          <w:tblCellSpacing w:w="15" w:type="dxa"/>
        </w:trPr>
        <w:tc>
          <w:tcPr>
            <w:tcW w:w="0" w:type="auto"/>
            <w:vAlign w:val="center"/>
            <w:hideMark/>
          </w:tcPr>
          <w:p w14:paraId="2C81894C" w14:textId="77777777" w:rsidR="00BC32D3" w:rsidRPr="009306D8" w:rsidRDefault="00BC32D3" w:rsidP="001F07D8">
            <w:pPr>
              <w:rPr>
                <w:b/>
                <w:bCs/>
              </w:rPr>
            </w:pPr>
            <w:r w:rsidRPr="009306D8">
              <w:rPr>
                <w:b/>
                <w:bCs/>
              </w:rPr>
              <w:t>Sex</w:t>
            </w:r>
          </w:p>
        </w:tc>
        <w:tc>
          <w:tcPr>
            <w:tcW w:w="0" w:type="auto"/>
            <w:vAlign w:val="center"/>
            <w:hideMark/>
          </w:tcPr>
          <w:p w14:paraId="007CFEC8" w14:textId="77777777" w:rsidR="00BC32D3" w:rsidRPr="009306D8" w:rsidRDefault="00BC32D3" w:rsidP="001F07D8">
            <w:pPr>
              <w:rPr>
                <w:b/>
                <w:bCs/>
              </w:rPr>
            </w:pPr>
            <w:r w:rsidRPr="009306D8">
              <w:rPr>
                <w:b/>
                <w:bCs/>
              </w:rPr>
              <w:t>Age (years)</w:t>
            </w:r>
          </w:p>
        </w:tc>
        <w:tc>
          <w:tcPr>
            <w:tcW w:w="0" w:type="auto"/>
            <w:vAlign w:val="center"/>
            <w:hideMark/>
          </w:tcPr>
          <w:p w14:paraId="5646EDC9" w14:textId="77777777" w:rsidR="00BC32D3" w:rsidRPr="009306D8" w:rsidRDefault="00BC32D3" w:rsidP="001F07D8">
            <w:pPr>
              <w:rPr>
                <w:b/>
                <w:bCs/>
              </w:rPr>
            </w:pPr>
            <w:r w:rsidRPr="009306D8">
              <w:rPr>
                <w:b/>
                <w:bCs/>
              </w:rPr>
              <w:t>Mean AD*</w:t>
            </w:r>
          </w:p>
        </w:tc>
        <w:tc>
          <w:tcPr>
            <w:tcW w:w="0" w:type="auto"/>
            <w:vAlign w:val="center"/>
            <w:hideMark/>
          </w:tcPr>
          <w:p w14:paraId="7A1D1B86" w14:textId="77777777" w:rsidR="00BC32D3" w:rsidRPr="009306D8" w:rsidRDefault="00BC32D3" w:rsidP="001F07D8">
            <w:pPr>
              <w:rPr>
                <w:b/>
                <w:bCs/>
              </w:rPr>
            </w:pPr>
            <w:r w:rsidRPr="009306D8">
              <w:rPr>
                <w:b/>
                <w:bCs/>
              </w:rPr>
              <w:t>Mean TD*</w:t>
            </w:r>
          </w:p>
        </w:tc>
        <w:tc>
          <w:tcPr>
            <w:tcW w:w="0" w:type="auto"/>
            <w:vAlign w:val="center"/>
            <w:hideMark/>
          </w:tcPr>
          <w:p w14:paraId="49B5D160" w14:textId="77777777" w:rsidR="00BC32D3" w:rsidRPr="009306D8" w:rsidRDefault="00BC32D3" w:rsidP="001F07D8">
            <w:pPr>
              <w:rPr>
                <w:b/>
                <w:bCs/>
              </w:rPr>
            </w:pPr>
            <w:r w:rsidRPr="009306D8">
              <w:rPr>
                <w:b/>
                <w:bCs/>
              </w:rPr>
              <w:t>Mean ATR (%)</w:t>
            </w:r>
          </w:p>
        </w:tc>
      </w:tr>
      <w:tr w:rsidR="00BC32D3" w:rsidRPr="009306D8" w14:paraId="3E0EC4F0" w14:textId="77777777" w:rsidTr="00BC32D3">
        <w:trPr>
          <w:tblCellSpacing w:w="15" w:type="dxa"/>
        </w:trPr>
        <w:tc>
          <w:tcPr>
            <w:tcW w:w="0" w:type="auto"/>
            <w:vAlign w:val="center"/>
            <w:hideMark/>
          </w:tcPr>
          <w:p w14:paraId="08902854" w14:textId="77777777" w:rsidR="00BC32D3" w:rsidRPr="009306D8" w:rsidRDefault="00BC32D3" w:rsidP="001F07D8">
            <w:r w:rsidRPr="009306D8">
              <w:t>Male</w:t>
            </w:r>
          </w:p>
        </w:tc>
        <w:tc>
          <w:tcPr>
            <w:tcW w:w="0" w:type="auto"/>
            <w:vAlign w:val="center"/>
            <w:hideMark/>
          </w:tcPr>
          <w:p w14:paraId="1D67DCEF" w14:textId="77777777" w:rsidR="00BC32D3" w:rsidRPr="009306D8" w:rsidRDefault="00BC32D3" w:rsidP="001F07D8">
            <w:r w:rsidRPr="009306D8">
              <w:t>9</w:t>
            </w:r>
          </w:p>
        </w:tc>
        <w:tc>
          <w:tcPr>
            <w:tcW w:w="0" w:type="auto"/>
            <w:vAlign w:val="center"/>
            <w:hideMark/>
          </w:tcPr>
          <w:p w14:paraId="34937C11" w14:textId="77777777" w:rsidR="00BC32D3" w:rsidRPr="009306D8" w:rsidRDefault="00BC32D3" w:rsidP="001F07D8">
            <w:r w:rsidRPr="009306D8">
              <w:t>4.8808</w:t>
            </w:r>
          </w:p>
        </w:tc>
        <w:tc>
          <w:tcPr>
            <w:tcW w:w="0" w:type="auto"/>
            <w:vAlign w:val="center"/>
            <w:hideMark/>
          </w:tcPr>
          <w:p w14:paraId="190B5758" w14:textId="77777777" w:rsidR="00BC32D3" w:rsidRPr="009306D8" w:rsidRDefault="00BC32D3" w:rsidP="001F07D8">
            <w:r w:rsidRPr="009306D8">
              <w:t>22.8115</w:t>
            </w:r>
          </w:p>
        </w:tc>
        <w:tc>
          <w:tcPr>
            <w:tcW w:w="0" w:type="auto"/>
            <w:vAlign w:val="center"/>
            <w:hideMark/>
          </w:tcPr>
          <w:p w14:paraId="6322832A" w14:textId="77777777" w:rsidR="00BC32D3" w:rsidRPr="009306D8" w:rsidRDefault="00BC32D3" w:rsidP="001F07D8">
            <w:r w:rsidRPr="009306D8">
              <w:t>21.4</w:t>
            </w:r>
          </w:p>
        </w:tc>
      </w:tr>
      <w:tr w:rsidR="00BC32D3" w:rsidRPr="009306D8" w14:paraId="14A548EA" w14:textId="77777777" w:rsidTr="00BC32D3">
        <w:trPr>
          <w:tblCellSpacing w:w="15" w:type="dxa"/>
        </w:trPr>
        <w:tc>
          <w:tcPr>
            <w:tcW w:w="0" w:type="auto"/>
            <w:vAlign w:val="center"/>
            <w:hideMark/>
          </w:tcPr>
          <w:p w14:paraId="57A60D7E" w14:textId="77777777" w:rsidR="00BC32D3" w:rsidRPr="009306D8" w:rsidRDefault="00BC32D3" w:rsidP="001F07D8">
            <w:r w:rsidRPr="009306D8">
              <w:t>Male</w:t>
            </w:r>
          </w:p>
        </w:tc>
        <w:tc>
          <w:tcPr>
            <w:tcW w:w="0" w:type="auto"/>
            <w:vAlign w:val="center"/>
            <w:hideMark/>
          </w:tcPr>
          <w:p w14:paraId="1860809B" w14:textId="77777777" w:rsidR="00BC32D3" w:rsidRPr="009306D8" w:rsidRDefault="00BC32D3" w:rsidP="001F07D8">
            <w:r w:rsidRPr="009306D8">
              <w:t>10</w:t>
            </w:r>
          </w:p>
        </w:tc>
        <w:tc>
          <w:tcPr>
            <w:tcW w:w="0" w:type="auto"/>
            <w:vAlign w:val="center"/>
            <w:hideMark/>
          </w:tcPr>
          <w:p w14:paraId="49326804" w14:textId="77777777" w:rsidR="00BC32D3" w:rsidRPr="009306D8" w:rsidRDefault="00BC32D3" w:rsidP="001F07D8">
            <w:r w:rsidRPr="009306D8">
              <w:t>5.1406</w:t>
            </w:r>
          </w:p>
        </w:tc>
        <w:tc>
          <w:tcPr>
            <w:tcW w:w="0" w:type="auto"/>
            <w:vAlign w:val="center"/>
            <w:hideMark/>
          </w:tcPr>
          <w:p w14:paraId="2DCD33A7" w14:textId="77777777" w:rsidR="00BC32D3" w:rsidRPr="009306D8" w:rsidRDefault="00BC32D3" w:rsidP="001F07D8">
            <w:r w:rsidRPr="009306D8">
              <w:t>23.3148</w:t>
            </w:r>
          </w:p>
        </w:tc>
        <w:tc>
          <w:tcPr>
            <w:tcW w:w="0" w:type="auto"/>
            <w:vAlign w:val="center"/>
            <w:hideMark/>
          </w:tcPr>
          <w:p w14:paraId="34434B1C" w14:textId="77777777" w:rsidR="00BC32D3" w:rsidRPr="009306D8" w:rsidRDefault="00BC32D3" w:rsidP="001F07D8">
            <w:r w:rsidRPr="009306D8">
              <w:t>22.1</w:t>
            </w:r>
          </w:p>
        </w:tc>
      </w:tr>
      <w:tr w:rsidR="00BC32D3" w:rsidRPr="009306D8" w14:paraId="6336A728" w14:textId="77777777" w:rsidTr="00BC32D3">
        <w:trPr>
          <w:tblCellSpacing w:w="15" w:type="dxa"/>
        </w:trPr>
        <w:tc>
          <w:tcPr>
            <w:tcW w:w="0" w:type="auto"/>
            <w:vAlign w:val="center"/>
            <w:hideMark/>
          </w:tcPr>
          <w:p w14:paraId="23EB0763" w14:textId="77777777" w:rsidR="00BC32D3" w:rsidRPr="009306D8" w:rsidRDefault="00BC32D3" w:rsidP="001F07D8">
            <w:r w:rsidRPr="009306D8">
              <w:t>Male</w:t>
            </w:r>
          </w:p>
        </w:tc>
        <w:tc>
          <w:tcPr>
            <w:tcW w:w="0" w:type="auto"/>
            <w:vAlign w:val="center"/>
            <w:hideMark/>
          </w:tcPr>
          <w:p w14:paraId="0A87144B" w14:textId="77777777" w:rsidR="00BC32D3" w:rsidRPr="009306D8" w:rsidRDefault="00BC32D3" w:rsidP="001F07D8">
            <w:r w:rsidRPr="009306D8">
              <w:t>11</w:t>
            </w:r>
          </w:p>
        </w:tc>
        <w:tc>
          <w:tcPr>
            <w:tcW w:w="0" w:type="auto"/>
            <w:vAlign w:val="center"/>
            <w:hideMark/>
          </w:tcPr>
          <w:p w14:paraId="7B2244FA" w14:textId="77777777" w:rsidR="00BC32D3" w:rsidRPr="009306D8" w:rsidRDefault="00BC32D3" w:rsidP="001F07D8">
            <w:r w:rsidRPr="009306D8">
              <w:t>5.3212</w:t>
            </w:r>
          </w:p>
        </w:tc>
        <w:tc>
          <w:tcPr>
            <w:tcW w:w="0" w:type="auto"/>
            <w:vAlign w:val="center"/>
            <w:hideMark/>
          </w:tcPr>
          <w:p w14:paraId="6CBD32D0" w14:textId="77777777" w:rsidR="00BC32D3" w:rsidRPr="009306D8" w:rsidRDefault="00BC32D3" w:rsidP="001F07D8">
            <w:r w:rsidRPr="009306D8">
              <w:t>23.6154</w:t>
            </w:r>
          </w:p>
        </w:tc>
        <w:tc>
          <w:tcPr>
            <w:tcW w:w="0" w:type="auto"/>
            <w:vAlign w:val="center"/>
            <w:hideMark/>
          </w:tcPr>
          <w:p w14:paraId="3153497A" w14:textId="77777777" w:rsidR="00BC32D3" w:rsidRPr="009306D8" w:rsidRDefault="00BC32D3" w:rsidP="001F07D8">
            <w:r w:rsidRPr="009306D8">
              <w:t>22.6</w:t>
            </w:r>
          </w:p>
        </w:tc>
      </w:tr>
      <w:tr w:rsidR="00BC32D3" w:rsidRPr="009306D8" w14:paraId="4847AB66" w14:textId="77777777" w:rsidTr="00BC32D3">
        <w:trPr>
          <w:tblCellSpacing w:w="15" w:type="dxa"/>
        </w:trPr>
        <w:tc>
          <w:tcPr>
            <w:tcW w:w="0" w:type="auto"/>
            <w:vAlign w:val="center"/>
            <w:hideMark/>
          </w:tcPr>
          <w:p w14:paraId="42B7A191" w14:textId="77777777" w:rsidR="00BC32D3" w:rsidRPr="009306D8" w:rsidRDefault="00BC32D3" w:rsidP="001F07D8">
            <w:r w:rsidRPr="009306D8">
              <w:t>Male</w:t>
            </w:r>
          </w:p>
        </w:tc>
        <w:tc>
          <w:tcPr>
            <w:tcW w:w="0" w:type="auto"/>
            <w:vAlign w:val="center"/>
            <w:hideMark/>
          </w:tcPr>
          <w:p w14:paraId="19BE1111" w14:textId="77777777" w:rsidR="00BC32D3" w:rsidRPr="009306D8" w:rsidRDefault="00BC32D3" w:rsidP="001F07D8">
            <w:r w:rsidRPr="009306D8">
              <w:t>12</w:t>
            </w:r>
          </w:p>
        </w:tc>
        <w:tc>
          <w:tcPr>
            <w:tcW w:w="0" w:type="auto"/>
            <w:vAlign w:val="center"/>
            <w:hideMark/>
          </w:tcPr>
          <w:p w14:paraId="2BA18767" w14:textId="77777777" w:rsidR="00BC32D3" w:rsidRPr="009306D8" w:rsidRDefault="00BC32D3" w:rsidP="001F07D8">
            <w:r w:rsidRPr="009306D8">
              <w:t>5.7000</w:t>
            </w:r>
          </w:p>
        </w:tc>
        <w:tc>
          <w:tcPr>
            <w:tcW w:w="0" w:type="auto"/>
            <w:vAlign w:val="center"/>
            <w:hideMark/>
          </w:tcPr>
          <w:p w14:paraId="6ED4462B" w14:textId="77777777" w:rsidR="00BC32D3" w:rsidRPr="009306D8" w:rsidRDefault="00BC32D3" w:rsidP="001F07D8">
            <w:r w:rsidRPr="009306D8">
              <w:t>24.9917</w:t>
            </w:r>
          </w:p>
        </w:tc>
        <w:tc>
          <w:tcPr>
            <w:tcW w:w="0" w:type="auto"/>
            <w:vAlign w:val="center"/>
            <w:hideMark/>
          </w:tcPr>
          <w:p w14:paraId="6094D1F6" w14:textId="77777777" w:rsidR="00BC32D3" w:rsidRPr="009306D8" w:rsidRDefault="00BC32D3" w:rsidP="001F07D8">
            <w:r w:rsidRPr="009306D8">
              <w:t>22.8</w:t>
            </w:r>
          </w:p>
        </w:tc>
      </w:tr>
      <w:tr w:rsidR="00BC32D3" w:rsidRPr="009306D8" w14:paraId="0BA37986" w14:textId="77777777" w:rsidTr="00BC32D3">
        <w:trPr>
          <w:tblCellSpacing w:w="15" w:type="dxa"/>
        </w:trPr>
        <w:tc>
          <w:tcPr>
            <w:tcW w:w="0" w:type="auto"/>
            <w:vAlign w:val="center"/>
            <w:hideMark/>
          </w:tcPr>
          <w:p w14:paraId="00874A84" w14:textId="77777777" w:rsidR="00BC32D3" w:rsidRPr="009306D8" w:rsidRDefault="00BC32D3" w:rsidP="001F07D8">
            <w:r w:rsidRPr="009306D8">
              <w:t>Male</w:t>
            </w:r>
          </w:p>
        </w:tc>
        <w:tc>
          <w:tcPr>
            <w:tcW w:w="0" w:type="auto"/>
            <w:vAlign w:val="center"/>
            <w:hideMark/>
          </w:tcPr>
          <w:p w14:paraId="614250FD" w14:textId="77777777" w:rsidR="00BC32D3" w:rsidRPr="009306D8" w:rsidRDefault="00BC32D3" w:rsidP="001F07D8">
            <w:r w:rsidRPr="009306D8">
              <w:t>13</w:t>
            </w:r>
          </w:p>
        </w:tc>
        <w:tc>
          <w:tcPr>
            <w:tcW w:w="0" w:type="auto"/>
            <w:vAlign w:val="center"/>
            <w:hideMark/>
          </w:tcPr>
          <w:p w14:paraId="4829EC1A" w14:textId="77777777" w:rsidR="00BC32D3" w:rsidRPr="009306D8" w:rsidRDefault="00BC32D3" w:rsidP="001F07D8">
            <w:r w:rsidRPr="009306D8">
              <w:t>5.7000</w:t>
            </w:r>
          </w:p>
        </w:tc>
        <w:tc>
          <w:tcPr>
            <w:tcW w:w="0" w:type="auto"/>
            <w:vAlign w:val="center"/>
            <w:hideMark/>
          </w:tcPr>
          <w:p w14:paraId="0B537FDC" w14:textId="77777777" w:rsidR="00BC32D3" w:rsidRPr="009306D8" w:rsidRDefault="00BC32D3" w:rsidP="001F07D8">
            <w:r w:rsidRPr="009306D8">
              <w:t>24.9917</w:t>
            </w:r>
          </w:p>
        </w:tc>
        <w:tc>
          <w:tcPr>
            <w:tcW w:w="0" w:type="auto"/>
            <w:vAlign w:val="center"/>
            <w:hideMark/>
          </w:tcPr>
          <w:p w14:paraId="1D5CC94E" w14:textId="77777777" w:rsidR="00BC32D3" w:rsidRPr="009306D8" w:rsidRDefault="00BC32D3" w:rsidP="001F07D8">
            <w:r w:rsidRPr="009306D8">
              <w:t>22.8</w:t>
            </w:r>
          </w:p>
        </w:tc>
      </w:tr>
      <w:tr w:rsidR="00BC32D3" w:rsidRPr="009306D8" w14:paraId="6D5B10E4" w14:textId="77777777" w:rsidTr="00BC32D3">
        <w:trPr>
          <w:tblCellSpacing w:w="15" w:type="dxa"/>
        </w:trPr>
        <w:tc>
          <w:tcPr>
            <w:tcW w:w="0" w:type="auto"/>
            <w:vAlign w:val="center"/>
            <w:hideMark/>
          </w:tcPr>
          <w:p w14:paraId="1979C866" w14:textId="77777777" w:rsidR="00BC32D3" w:rsidRPr="009306D8" w:rsidRDefault="00BC32D3" w:rsidP="001F07D8">
            <w:r w:rsidRPr="009306D8">
              <w:t>Female</w:t>
            </w:r>
          </w:p>
        </w:tc>
        <w:tc>
          <w:tcPr>
            <w:tcW w:w="0" w:type="auto"/>
            <w:vAlign w:val="center"/>
            <w:hideMark/>
          </w:tcPr>
          <w:p w14:paraId="7009A5CD" w14:textId="77777777" w:rsidR="00BC32D3" w:rsidRPr="009306D8" w:rsidRDefault="00BC32D3" w:rsidP="001F07D8">
            <w:r w:rsidRPr="009306D8">
              <w:t>9</w:t>
            </w:r>
          </w:p>
        </w:tc>
        <w:tc>
          <w:tcPr>
            <w:tcW w:w="0" w:type="auto"/>
            <w:vAlign w:val="center"/>
            <w:hideMark/>
          </w:tcPr>
          <w:p w14:paraId="3D2AA4E1" w14:textId="77777777" w:rsidR="00BC32D3" w:rsidRPr="009306D8" w:rsidRDefault="00BC32D3" w:rsidP="001F07D8">
            <w:r w:rsidRPr="009306D8">
              <w:t>5.0417</w:t>
            </w:r>
          </w:p>
        </w:tc>
        <w:tc>
          <w:tcPr>
            <w:tcW w:w="0" w:type="auto"/>
            <w:vAlign w:val="center"/>
            <w:hideMark/>
          </w:tcPr>
          <w:p w14:paraId="28042BE0" w14:textId="77777777" w:rsidR="00BC32D3" w:rsidRPr="009306D8" w:rsidRDefault="00BC32D3" w:rsidP="001F07D8">
            <w:r w:rsidRPr="009306D8">
              <w:t>22.9708</w:t>
            </w:r>
          </w:p>
        </w:tc>
        <w:tc>
          <w:tcPr>
            <w:tcW w:w="0" w:type="auto"/>
            <w:vAlign w:val="center"/>
            <w:hideMark/>
          </w:tcPr>
          <w:p w14:paraId="4313E593" w14:textId="77777777" w:rsidR="00BC32D3" w:rsidRPr="009306D8" w:rsidRDefault="00BC32D3" w:rsidP="001F07D8">
            <w:r w:rsidRPr="009306D8">
              <w:t>21.9</w:t>
            </w:r>
          </w:p>
        </w:tc>
      </w:tr>
      <w:tr w:rsidR="00BC32D3" w:rsidRPr="009306D8" w14:paraId="157294B1" w14:textId="77777777" w:rsidTr="00BC32D3">
        <w:trPr>
          <w:tblCellSpacing w:w="15" w:type="dxa"/>
        </w:trPr>
        <w:tc>
          <w:tcPr>
            <w:tcW w:w="0" w:type="auto"/>
            <w:vAlign w:val="center"/>
            <w:hideMark/>
          </w:tcPr>
          <w:p w14:paraId="59A3E886" w14:textId="77777777" w:rsidR="00BC32D3" w:rsidRPr="009306D8" w:rsidRDefault="00BC32D3" w:rsidP="001F07D8">
            <w:r w:rsidRPr="009306D8">
              <w:t>Female</w:t>
            </w:r>
          </w:p>
        </w:tc>
        <w:tc>
          <w:tcPr>
            <w:tcW w:w="0" w:type="auto"/>
            <w:vAlign w:val="center"/>
            <w:hideMark/>
          </w:tcPr>
          <w:p w14:paraId="001C3387" w14:textId="77777777" w:rsidR="00BC32D3" w:rsidRPr="009306D8" w:rsidRDefault="00BC32D3" w:rsidP="001F07D8">
            <w:r w:rsidRPr="009306D8">
              <w:t>10</w:t>
            </w:r>
          </w:p>
        </w:tc>
        <w:tc>
          <w:tcPr>
            <w:tcW w:w="0" w:type="auto"/>
            <w:vAlign w:val="center"/>
            <w:hideMark/>
          </w:tcPr>
          <w:p w14:paraId="54F16329" w14:textId="77777777" w:rsidR="00BC32D3" w:rsidRPr="009306D8" w:rsidRDefault="00BC32D3" w:rsidP="001F07D8">
            <w:r w:rsidRPr="009306D8">
              <w:t>5.2000</w:t>
            </w:r>
          </w:p>
        </w:tc>
        <w:tc>
          <w:tcPr>
            <w:tcW w:w="0" w:type="auto"/>
            <w:vAlign w:val="center"/>
            <w:hideMark/>
          </w:tcPr>
          <w:p w14:paraId="4B7600AD" w14:textId="77777777" w:rsidR="00BC32D3" w:rsidRPr="009306D8" w:rsidRDefault="00BC32D3" w:rsidP="001F07D8">
            <w:r w:rsidRPr="009306D8">
              <w:t>22.7903</w:t>
            </w:r>
          </w:p>
        </w:tc>
        <w:tc>
          <w:tcPr>
            <w:tcW w:w="0" w:type="auto"/>
            <w:vAlign w:val="center"/>
            <w:hideMark/>
          </w:tcPr>
          <w:p w14:paraId="0904BA7A" w14:textId="77777777" w:rsidR="00BC32D3" w:rsidRPr="009306D8" w:rsidRDefault="00BC32D3" w:rsidP="001F07D8">
            <w:r w:rsidRPr="009306D8">
              <w:t>22.9</w:t>
            </w:r>
          </w:p>
        </w:tc>
      </w:tr>
      <w:tr w:rsidR="00BC32D3" w:rsidRPr="009306D8" w14:paraId="4DA9AF61" w14:textId="77777777" w:rsidTr="00BC32D3">
        <w:trPr>
          <w:tblCellSpacing w:w="15" w:type="dxa"/>
        </w:trPr>
        <w:tc>
          <w:tcPr>
            <w:tcW w:w="0" w:type="auto"/>
            <w:vAlign w:val="center"/>
            <w:hideMark/>
          </w:tcPr>
          <w:p w14:paraId="67BF10E2" w14:textId="77777777" w:rsidR="00BC32D3" w:rsidRPr="009306D8" w:rsidRDefault="00BC32D3" w:rsidP="001F07D8">
            <w:r w:rsidRPr="009306D8">
              <w:t>Female</w:t>
            </w:r>
          </w:p>
        </w:tc>
        <w:tc>
          <w:tcPr>
            <w:tcW w:w="0" w:type="auto"/>
            <w:vAlign w:val="center"/>
            <w:hideMark/>
          </w:tcPr>
          <w:p w14:paraId="27F78BFD" w14:textId="77777777" w:rsidR="00BC32D3" w:rsidRPr="009306D8" w:rsidRDefault="00BC32D3" w:rsidP="001F07D8">
            <w:r w:rsidRPr="009306D8">
              <w:t>11</w:t>
            </w:r>
          </w:p>
        </w:tc>
        <w:tc>
          <w:tcPr>
            <w:tcW w:w="0" w:type="auto"/>
            <w:vAlign w:val="center"/>
            <w:hideMark/>
          </w:tcPr>
          <w:p w14:paraId="5EC2333D" w14:textId="77777777" w:rsidR="00BC32D3" w:rsidRPr="009306D8" w:rsidRDefault="00BC32D3" w:rsidP="001F07D8">
            <w:r w:rsidRPr="009306D8">
              <w:t>5.3794</w:t>
            </w:r>
          </w:p>
        </w:tc>
        <w:tc>
          <w:tcPr>
            <w:tcW w:w="0" w:type="auto"/>
            <w:vAlign w:val="center"/>
            <w:hideMark/>
          </w:tcPr>
          <w:p w14:paraId="5B348C31" w14:textId="77777777" w:rsidR="00BC32D3" w:rsidRPr="009306D8" w:rsidRDefault="00BC32D3" w:rsidP="001F07D8">
            <w:r w:rsidRPr="009306D8">
              <w:t>24.1529</w:t>
            </w:r>
          </w:p>
        </w:tc>
        <w:tc>
          <w:tcPr>
            <w:tcW w:w="0" w:type="auto"/>
            <w:vAlign w:val="center"/>
            <w:hideMark/>
          </w:tcPr>
          <w:p w14:paraId="09F31643" w14:textId="77777777" w:rsidR="00BC32D3" w:rsidRPr="009306D8" w:rsidRDefault="00BC32D3" w:rsidP="001F07D8">
            <w:r w:rsidRPr="009306D8">
              <w:t>22.3</w:t>
            </w:r>
          </w:p>
        </w:tc>
      </w:tr>
      <w:tr w:rsidR="00BC32D3" w:rsidRPr="009306D8" w14:paraId="38919274" w14:textId="77777777" w:rsidTr="00BC32D3">
        <w:trPr>
          <w:tblCellSpacing w:w="15" w:type="dxa"/>
        </w:trPr>
        <w:tc>
          <w:tcPr>
            <w:tcW w:w="0" w:type="auto"/>
            <w:vAlign w:val="center"/>
            <w:hideMark/>
          </w:tcPr>
          <w:p w14:paraId="01B9E812" w14:textId="77777777" w:rsidR="00BC32D3" w:rsidRPr="009306D8" w:rsidRDefault="00BC32D3" w:rsidP="001F07D8">
            <w:r w:rsidRPr="009306D8">
              <w:t>Female</w:t>
            </w:r>
          </w:p>
        </w:tc>
        <w:tc>
          <w:tcPr>
            <w:tcW w:w="0" w:type="auto"/>
            <w:vAlign w:val="center"/>
            <w:hideMark/>
          </w:tcPr>
          <w:p w14:paraId="5408A71F" w14:textId="77777777" w:rsidR="00BC32D3" w:rsidRPr="009306D8" w:rsidRDefault="00BC32D3" w:rsidP="001F07D8">
            <w:r w:rsidRPr="009306D8">
              <w:t>12</w:t>
            </w:r>
          </w:p>
        </w:tc>
        <w:tc>
          <w:tcPr>
            <w:tcW w:w="0" w:type="auto"/>
            <w:vAlign w:val="center"/>
            <w:hideMark/>
          </w:tcPr>
          <w:p w14:paraId="6B002D06" w14:textId="77777777" w:rsidR="00BC32D3" w:rsidRPr="009306D8" w:rsidRDefault="00BC32D3" w:rsidP="001F07D8">
            <w:r w:rsidRPr="009306D8">
              <w:t>5.5800</w:t>
            </w:r>
          </w:p>
        </w:tc>
        <w:tc>
          <w:tcPr>
            <w:tcW w:w="0" w:type="auto"/>
            <w:vAlign w:val="center"/>
            <w:hideMark/>
          </w:tcPr>
          <w:p w14:paraId="00CC2B15" w14:textId="77777777" w:rsidR="00BC32D3" w:rsidRPr="009306D8" w:rsidRDefault="00BC32D3" w:rsidP="001F07D8">
            <w:r w:rsidRPr="009306D8">
              <w:t>24.4600</w:t>
            </w:r>
          </w:p>
        </w:tc>
        <w:tc>
          <w:tcPr>
            <w:tcW w:w="0" w:type="auto"/>
            <w:vAlign w:val="center"/>
            <w:hideMark/>
          </w:tcPr>
          <w:p w14:paraId="339D6752" w14:textId="77777777" w:rsidR="00BC32D3" w:rsidRPr="009306D8" w:rsidRDefault="00BC32D3" w:rsidP="001F07D8">
            <w:r w:rsidRPr="009306D8">
              <w:t>22.8</w:t>
            </w:r>
          </w:p>
        </w:tc>
      </w:tr>
    </w:tbl>
    <w:p w14:paraId="43AC2D11" w14:textId="77777777" w:rsidR="00BC32D3" w:rsidRDefault="00BC32D3" w:rsidP="00BC32D3">
      <w:pPr>
        <w:rPr>
          <w:b/>
          <w:bCs/>
        </w:rPr>
      </w:pPr>
    </w:p>
    <w:p w14:paraId="78E21E1A" w14:textId="77777777" w:rsidR="00BC32D3" w:rsidRDefault="00BC32D3" w:rsidP="00BC32D3">
      <w:pPr>
        <w:rPr>
          <w:b/>
          <w:bCs/>
        </w:rPr>
      </w:pPr>
    </w:p>
    <w:p w14:paraId="2DD112CF" w14:textId="77777777" w:rsidR="00BC32D3" w:rsidRDefault="00BC32D3" w:rsidP="00BC32D3">
      <w:pPr>
        <w:rPr>
          <w:b/>
          <w:bCs/>
        </w:rPr>
      </w:pPr>
    </w:p>
    <w:p w14:paraId="19DAD0FC" w14:textId="77777777" w:rsidR="00E22399" w:rsidRDefault="00E22399" w:rsidP="00BC32D3">
      <w:pPr>
        <w:rPr>
          <w:b/>
          <w:bCs/>
        </w:rPr>
      </w:pPr>
    </w:p>
    <w:p w14:paraId="0B0A33A3" w14:textId="77777777" w:rsidR="00BC32D3" w:rsidRPr="009306D8" w:rsidRDefault="00BC32D3" w:rsidP="00BC32D3">
      <w:pPr>
        <w:rPr>
          <w:b/>
          <w:bCs/>
        </w:rPr>
      </w:pPr>
      <w:r w:rsidRPr="009306D8">
        <w:rPr>
          <w:b/>
          <w:bCs/>
        </w:rPr>
        <w:t>Table 3. Summary of age and sex patterns in aortic and thoracic measurements and aortic–thoracic ratio (ATR)</w:t>
      </w:r>
    </w:p>
    <w:tbl>
      <w:tblPr>
        <w:tblW w:w="0" w:type="auto"/>
        <w:tblCellSpacing w:w="1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15" w:type="dxa"/>
          <w:left w:w="15" w:type="dxa"/>
          <w:bottom w:w="15" w:type="dxa"/>
          <w:right w:w="15" w:type="dxa"/>
        </w:tblCellMar>
        <w:tblLook w:val="04A0" w:firstRow="1" w:lastRow="0" w:firstColumn="1" w:lastColumn="0" w:noHBand="0" w:noVBand="1"/>
      </w:tblPr>
      <w:tblGrid>
        <w:gridCol w:w="1427"/>
        <w:gridCol w:w="2107"/>
        <w:gridCol w:w="2328"/>
        <w:gridCol w:w="3148"/>
      </w:tblGrid>
      <w:tr w:rsidR="00BC32D3" w:rsidRPr="009306D8" w14:paraId="680B4113" w14:textId="77777777" w:rsidTr="001F07D8">
        <w:trPr>
          <w:tblHeader/>
          <w:tblCellSpacing w:w="15" w:type="dxa"/>
        </w:trPr>
        <w:tc>
          <w:tcPr>
            <w:tcW w:w="0" w:type="auto"/>
            <w:vAlign w:val="center"/>
            <w:hideMark/>
          </w:tcPr>
          <w:p w14:paraId="216BB2A2" w14:textId="77777777" w:rsidR="00BC32D3" w:rsidRPr="009306D8" w:rsidRDefault="00BC32D3" w:rsidP="001F07D8">
            <w:pPr>
              <w:rPr>
                <w:b/>
                <w:bCs/>
              </w:rPr>
            </w:pPr>
            <w:r w:rsidRPr="009306D8">
              <w:rPr>
                <w:b/>
                <w:bCs/>
              </w:rPr>
              <w:lastRenderedPageBreak/>
              <w:t>Variable</w:t>
            </w:r>
          </w:p>
        </w:tc>
        <w:tc>
          <w:tcPr>
            <w:tcW w:w="0" w:type="auto"/>
            <w:vAlign w:val="center"/>
            <w:hideMark/>
          </w:tcPr>
          <w:p w14:paraId="3BB0B017" w14:textId="77777777" w:rsidR="00BC32D3" w:rsidRPr="009306D8" w:rsidRDefault="00BC32D3" w:rsidP="001F07D8">
            <w:pPr>
              <w:rPr>
                <w:b/>
                <w:bCs/>
              </w:rPr>
            </w:pPr>
            <w:r w:rsidRPr="009306D8">
              <w:rPr>
                <w:b/>
                <w:bCs/>
              </w:rPr>
              <w:t>Pattern / Comparison</w:t>
            </w:r>
          </w:p>
        </w:tc>
        <w:tc>
          <w:tcPr>
            <w:tcW w:w="0" w:type="auto"/>
            <w:vAlign w:val="center"/>
            <w:hideMark/>
          </w:tcPr>
          <w:p w14:paraId="046047E3" w14:textId="77777777" w:rsidR="00BC32D3" w:rsidRPr="009306D8" w:rsidRDefault="00BC32D3" w:rsidP="001F07D8">
            <w:pPr>
              <w:rPr>
                <w:b/>
                <w:bCs/>
              </w:rPr>
            </w:pPr>
            <w:r w:rsidRPr="009306D8">
              <w:rPr>
                <w:b/>
                <w:bCs/>
              </w:rPr>
              <w:t>Statistical finding (reported)</w:t>
            </w:r>
          </w:p>
        </w:tc>
        <w:tc>
          <w:tcPr>
            <w:tcW w:w="0" w:type="auto"/>
            <w:vAlign w:val="center"/>
            <w:hideMark/>
          </w:tcPr>
          <w:p w14:paraId="7CB287A8" w14:textId="77777777" w:rsidR="00BC32D3" w:rsidRPr="009306D8" w:rsidRDefault="00BC32D3" w:rsidP="001F07D8">
            <w:pPr>
              <w:rPr>
                <w:b/>
                <w:bCs/>
              </w:rPr>
            </w:pPr>
            <w:r w:rsidRPr="009306D8">
              <w:rPr>
                <w:b/>
                <w:bCs/>
              </w:rPr>
              <w:t>Interpretation</w:t>
            </w:r>
          </w:p>
        </w:tc>
      </w:tr>
      <w:tr w:rsidR="00BC32D3" w:rsidRPr="009306D8" w14:paraId="4796C2E1" w14:textId="77777777" w:rsidTr="001F07D8">
        <w:trPr>
          <w:tblCellSpacing w:w="15" w:type="dxa"/>
        </w:trPr>
        <w:tc>
          <w:tcPr>
            <w:tcW w:w="0" w:type="auto"/>
            <w:vAlign w:val="center"/>
            <w:hideMark/>
          </w:tcPr>
          <w:p w14:paraId="12CC5849" w14:textId="77777777" w:rsidR="00BC32D3" w:rsidRPr="009306D8" w:rsidRDefault="00BC32D3" w:rsidP="001F07D8">
            <w:r w:rsidRPr="009306D8">
              <w:t>Aortic diameter (AD)</w:t>
            </w:r>
          </w:p>
        </w:tc>
        <w:tc>
          <w:tcPr>
            <w:tcW w:w="0" w:type="auto"/>
            <w:vAlign w:val="center"/>
            <w:hideMark/>
          </w:tcPr>
          <w:p w14:paraId="4463AEF4" w14:textId="77777777" w:rsidR="00BC32D3" w:rsidRPr="009306D8" w:rsidRDefault="00BC32D3" w:rsidP="001F07D8">
            <w:r w:rsidRPr="009306D8">
              <w:t>Across ages 9–13 years (both sexes)</w:t>
            </w:r>
          </w:p>
        </w:tc>
        <w:tc>
          <w:tcPr>
            <w:tcW w:w="0" w:type="auto"/>
            <w:vAlign w:val="center"/>
            <w:hideMark/>
          </w:tcPr>
          <w:p w14:paraId="3F3B9697" w14:textId="77777777" w:rsidR="00BC32D3" w:rsidRPr="009306D8" w:rsidRDefault="00BC32D3" w:rsidP="001F07D8">
            <w:r w:rsidRPr="009306D8">
              <w:t>AD increased with age in males and females</w:t>
            </w:r>
          </w:p>
        </w:tc>
        <w:tc>
          <w:tcPr>
            <w:tcW w:w="0" w:type="auto"/>
            <w:vAlign w:val="center"/>
            <w:hideMark/>
          </w:tcPr>
          <w:p w14:paraId="6C0CF16D" w14:textId="77777777" w:rsidR="00BC32D3" w:rsidRPr="009306D8" w:rsidRDefault="00BC32D3" w:rsidP="001F07D8">
            <w:r w:rsidRPr="009306D8">
              <w:t>Aortic size shows normal growth-related increase.</w:t>
            </w:r>
          </w:p>
        </w:tc>
      </w:tr>
      <w:tr w:rsidR="00BC32D3" w:rsidRPr="009306D8" w14:paraId="3365FA04" w14:textId="77777777" w:rsidTr="001F07D8">
        <w:trPr>
          <w:tblCellSpacing w:w="15" w:type="dxa"/>
        </w:trPr>
        <w:tc>
          <w:tcPr>
            <w:tcW w:w="0" w:type="auto"/>
            <w:vAlign w:val="center"/>
            <w:hideMark/>
          </w:tcPr>
          <w:p w14:paraId="7DBF1B4F" w14:textId="77777777" w:rsidR="00BC32D3" w:rsidRPr="009306D8" w:rsidRDefault="00BC32D3" w:rsidP="001F07D8">
            <w:r w:rsidRPr="009306D8">
              <w:t>Aortic diameter (AD)</w:t>
            </w:r>
          </w:p>
        </w:tc>
        <w:tc>
          <w:tcPr>
            <w:tcW w:w="0" w:type="auto"/>
            <w:vAlign w:val="center"/>
            <w:hideMark/>
          </w:tcPr>
          <w:p w14:paraId="2787A348" w14:textId="77777777" w:rsidR="00BC32D3" w:rsidRPr="009306D8" w:rsidRDefault="00BC32D3" w:rsidP="001F07D8">
            <w:r w:rsidRPr="009306D8">
              <w:t>Males vs females (same age groups)</w:t>
            </w:r>
          </w:p>
        </w:tc>
        <w:tc>
          <w:tcPr>
            <w:tcW w:w="0" w:type="auto"/>
            <w:vAlign w:val="center"/>
            <w:hideMark/>
          </w:tcPr>
          <w:p w14:paraId="198FC51E" w14:textId="77777777" w:rsidR="00BC32D3" w:rsidRPr="009306D8" w:rsidRDefault="00BC32D3" w:rsidP="001F07D8">
            <w:r w:rsidRPr="009306D8">
              <w:t>No significant sex differences reported</w:t>
            </w:r>
          </w:p>
        </w:tc>
        <w:tc>
          <w:tcPr>
            <w:tcW w:w="0" w:type="auto"/>
            <w:vAlign w:val="center"/>
            <w:hideMark/>
          </w:tcPr>
          <w:p w14:paraId="3B89E013" w14:textId="77777777" w:rsidR="00BC32D3" w:rsidRPr="009306D8" w:rsidRDefault="00BC32D3" w:rsidP="001F07D8">
            <w:r w:rsidRPr="009306D8">
              <w:t>Boys and girls have similar AD in this age range.</w:t>
            </w:r>
          </w:p>
        </w:tc>
      </w:tr>
      <w:tr w:rsidR="00BC32D3" w:rsidRPr="009306D8" w14:paraId="0FF097C8" w14:textId="77777777" w:rsidTr="001F07D8">
        <w:trPr>
          <w:tblCellSpacing w:w="15" w:type="dxa"/>
        </w:trPr>
        <w:tc>
          <w:tcPr>
            <w:tcW w:w="0" w:type="auto"/>
            <w:vAlign w:val="center"/>
            <w:hideMark/>
          </w:tcPr>
          <w:p w14:paraId="6A353F5F" w14:textId="77777777" w:rsidR="00BC32D3" w:rsidRPr="009306D8" w:rsidRDefault="00BC32D3" w:rsidP="001F07D8">
            <w:r w:rsidRPr="009306D8">
              <w:t>Thoracic diameter (TD)</w:t>
            </w:r>
          </w:p>
        </w:tc>
        <w:tc>
          <w:tcPr>
            <w:tcW w:w="0" w:type="auto"/>
            <w:vAlign w:val="center"/>
            <w:hideMark/>
          </w:tcPr>
          <w:p w14:paraId="17CD0A23" w14:textId="77777777" w:rsidR="00BC32D3" w:rsidRPr="009306D8" w:rsidRDefault="00BC32D3" w:rsidP="001F07D8">
            <w:r w:rsidRPr="009306D8">
              <w:t>Across ages 9–13 years (both sexes)</w:t>
            </w:r>
          </w:p>
        </w:tc>
        <w:tc>
          <w:tcPr>
            <w:tcW w:w="0" w:type="auto"/>
            <w:vAlign w:val="center"/>
            <w:hideMark/>
          </w:tcPr>
          <w:p w14:paraId="300AA666" w14:textId="77777777" w:rsidR="00BC32D3" w:rsidRPr="009306D8" w:rsidRDefault="00BC32D3" w:rsidP="001F07D8">
            <w:r w:rsidRPr="009306D8">
              <w:t>TD increased with age in both sexes</w:t>
            </w:r>
          </w:p>
        </w:tc>
        <w:tc>
          <w:tcPr>
            <w:tcW w:w="0" w:type="auto"/>
            <w:vAlign w:val="center"/>
            <w:hideMark/>
          </w:tcPr>
          <w:p w14:paraId="239E6E0C" w14:textId="77777777" w:rsidR="00BC32D3" w:rsidRPr="009306D8" w:rsidRDefault="00BC32D3" w:rsidP="001F07D8">
            <w:r>
              <w:t>The thoracic</w:t>
            </w:r>
            <w:r w:rsidRPr="009306D8">
              <w:t xml:space="preserve"> cavity widens with age in both boys and girls.</w:t>
            </w:r>
          </w:p>
        </w:tc>
      </w:tr>
      <w:tr w:rsidR="00BC32D3" w:rsidRPr="009306D8" w14:paraId="3FEA98BD" w14:textId="77777777" w:rsidTr="001F07D8">
        <w:trPr>
          <w:tblCellSpacing w:w="15" w:type="dxa"/>
        </w:trPr>
        <w:tc>
          <w:tcPr>
            <w:tcW w:w="0" w:type="auto"/>
            <w:vAlign w:val="center"/>
            <w:hideMark/>
          </w:tcPr>
          <w:p w14:paraId="1BFB89D5" w14:textId="77777777" w:rsidR="00BC32D3" w:rsidRPr="009306D8" w:rsidRDefault="00BC32D3" w:rsidP="001F07D8">
            <w:r w:rsidRPr="009306D8">
              <w:t>Thoracic diameter (TD)</w:t>
            </w:r>
          </w:p>
        </w:tc>
        <w:tc>
          <w:tcPr>
            <w:tcW w:w="0" w:type="auto"/>
            <w:vAlign w:val="center"/>
            <w:hideMark/>
          </w:tcPr>
          <w:p w14:paraId="1BE3705F" w14:textId="77777777" w:rsidR="00BC32D3" w:rsidRPr="009306D8" w:rsidRDefault="00BC32D3" w:rsidP="001F07D8">
            <w:r w:rsidRPr="009306D8">
              <w:t>Males vs females at age 12</w:t>
            </w:r>
          </w:p>
        </w:tc>
        <w:tc>
          <w:tcPr>
            <w:tcW w:w="0" w:type="auto"/>
            <w:vAlign w:val="center"/>
            <w:hideMark/>
          </w:tcPr>
          <w:p w14:paraId="7F5AA4A1" w14:textId="77777777" w:rsidR="00BC32D3" w:rsidRPr="009306D8" w:rsidRDefault="00BC32D3" w:rsidP="001F07D8">
            <w:r w:rsidRPr="009306D8">
              <w:t>Males significantly larger TD (p &lt; 0.001)</w:t>
            </w:r>
          </w:p>
        </w:tc>
        <w:tc>
          <w:tcPr>
            <w:tcW w:w="0" w:type="auto"/>
            <w:vAlign w:val="center"/>
            <w:hideMark/>
          </w:tcPr>
          <w:p w14:paraId="536AB690" w14:textId="77777777" w:rsidR="00BC32D3" w:rsidRPr="009306D8" w:rsidRDefault="00BC32D3" w:rsidP="001F07D8">
            <w:r w:rsidRPr="009306D8">
              <w:t>12-year-old boys have wider thoracic cavities than girls.</w:t>
            </w:r>
          </w:p>
        </w:tc>
      </w:tr>
      <w:tr w:rsidR="00BC32D3" w:rsidRPr="009306D8" w14:paraId="750A4164" w14:textId="77777777" w:rsidTr="001F07D8">
        <w:trPr>
          <w:tblCellSpacing w:w="15" w:type="dxa"/>
        </w:trPr>
        <w:tc>
          <w:tcPr>
            <w:tcW w:w="0" w:type="auto"/>
            <w:vAlign w:val="center"/>
            <w:hideMark/>
          </w:tcPr>
          <w:p w14:paraId="25F2701D" w14:textId="77777777" w:rsidR="00BC32D3" w:rsidRPr="009306D8" w:rsidRDefault="00BC32D3" w:rsidP="001F07D8">
            <w:r w:rsidRPr="009306D8">
              <w:t>ATR</w:t>
            </w:r>
          </w:p>
        </w:tc>
        <w:tc>
          <w:tcPr>
            <w:tcW w:w="0" w:type="auto"/>
            <w:vAlign w:val="center"/>
            <w:hideMark/>
          </w:tcPr>
          <w:p w14:paraId="60C3E020" w14:textId="77777777" w:rsidR="00BC32D3" w:rsidRPr="009306D8" w:rsidRDefault="00BC32D3" w:rsidP="001F07D8">
            <w:r w:rsidRPr="009306D8">
              <w:t>Across ages 9–13 years (both sexes)</w:t>
            </w:r>
          </w:p>
        </w:tc>
        <w:tc>
          <w:tcPr>
            <w:tcW w:w="0" w:type="auto"/>
            <w:vAlign w:val="center"/>
            <w:hideMark/>
          </w:tcPr>
          <w:p w14:paraId="557A126D" w14:textId="77777777" w:rsidR="00BC32D3" w:rsidRPr="009306D8" w:rsidRDefault="00BC32D3" w:rsidP="001F07D8">
            <w:r w:rsidRPr="009306D8">
              <w:t>Mean ATR ≈ 22.4 %, slight age variation</w:t>
            </w:r>
          </w:p>
        </w:tc>
        <w:tc>
          <w:tcPr>
            <w:tcW w:w="0" w:type="auto"/>
            <w:vAlign w:val="center"/>
            <w:hideMark/>
          </w:tcPr>
          <w:p w14:paraId="4721C187" w14:textId="77777777" w:rsidR="00BC32D3" w:rsidRPr="009306D8" w:rsidRDefault="00BC32D3" w:rsidP="001F07D8">
            <w:r w:rsidRPr="009306D8">
              <w:t xml:space="preserve">ATR </w:t>
            </w:r>
            <w:r>
              <w:t xml:space="preserve">is </w:t>
            </w:r>
            <w:r w:rsidRPr="009306D8">
              <w:t>relatively stable despite growth in absolute dimensions.</w:t>
            </w:r>
          </w:p>
        </w:tc>
      </w:tr>
      <w:tr w:rsidR="00BC32D3" w:rsidRPr="009306D8" w14:paraId="0C068525" w14:textId="77777777" w:rsidTr="001F07D8">
        <w:trPr>
          <w:tblCellSpacing w:w="15" w:type="dxa"/>
        </w:trPr>
        <w:tc>
          <w:tcPr>
            <w:tcW w:w="0" w:type="auto"/>
            <w:vAlign w:val="center"/>
            <w:hideMark/>
          </w:tcPr>
          <w:p w14:paraId="257B8201" w14:textId="77777777" w:rsidR="00BC32D3" w:rsidRPr="009306D8" w:rsidRDefault="00BC32D3" w:rsidP="001F07D8">
            <w:r w:rsidRPr="009306D8">
              <w:t>ATR</w:t>
            </w:r>
          </w:p>
        </w:tc>
        <w:tc>
          <w:tcPr>
            <w:tcW w:w="0" w:type="auto"/>
            <w:vAlign w:val="center"/>
            <w:hideMark/>
          </w:tcPr>
          <w:p w14:paraId="0E3730C4" w14:textId="77777777" w:rsidR="00BC32D3" w:rsidRPr="009306D8" w:rsidRDefault="00BC32D3" w:rsidP="001F07D8">
            <w:r w:rsidRPr="009306D8">
              <w:t>Males vs females (overall 9–13 years)</w:t>
            </w:r>
          </w:p>
        </w:tc>
        <w:tc>
          <w:tcPr>
            <w:tcW w:w="0" w:type="auto"/>
            <w:vAlign w:val="center"/>
            <w:hideMark/>
          </w:tcPr>
          <w:p w14:paraId="76567EDB" w14:textId="77777777" w:rsidR="00BC32D3" w:rsidRPr="009306D8" w:rsidRDefault="00BC32D3" w:rsidP="001F07D8">
            <w:r w:rsidRPr="009306D8">
              <w:t>No significant sex differences reported</w:t>
            </w:r>
          </w:p>
        </w:tc>
        <w:tc>
          <w:tcPr>
            <w:tcW w:w="0" w:type="auto"/>
            <w:vAlign w:val="center"/>
            <w:hideMark/>
          </w:tcPr>
          <w:p w14:paraId="6F4D857A" w14:textId="77777777" w:rsidR="00BC32D3" w:rsidRPr="009306D8" w:rsidRDefault="00BC32D3" w:rsidP="001F07D8">
            <w:r w:rsidRPr="009306D8">
              <w:t xml:space="preserve">Proportional aortic size relative to </w:t>
            </w:r>
            <w:r>
              <w:t xml:space="preserve">the </w:t>
            </w:r>
            <w:r w:rsidRPr="009306D8">
              <w:t>thorax is similar by sex.</w:t>
            </w:r>
          </w:p>
        </w:tc>
      </w:tr>
    </w:tbl>
    <w:p w14:paraId="712E9E9A" w14:textId="77777777" w:rsidR="00BC32D3" w:rsidRDefault="00BC32D3" w:rsidP="00BC32D3"/>
    <w:p w14:paraId="20A77201" w14:textId="77777777" w:rsidR="00BC32D3" w:rsidRPr="009306D8" w:rsidRDefault="00BC32D3" w:rsidP="009306D8"/>
    <w:p w14:paraId="7D31CBB9" w14:textId="77777777" w:rsidR="0058573B" w:rsidRDefault="0058573B" w:rsidP="009306D8">
      <w:pPr>
        <w:rPr>
          <w:b/>
          <w:bCs/>
        </w:rPr>
      </w:pPr>
    </w:p>
    <w:p w14:paraId="07B14D57" w14:textId="6B7E2E3D" w:rsidR="0058573B" w:rsidRDefault="0058573B" w:rsidP="009306D8">
      <w:pPr>
        <w:rPr>
          <w:b/>
          <w:bCs/>
        </w:rPr>
      </w:pPr>
    </w:p>
    <w:p w14:paraId="62C0BCD7" w14:textId="1719667D" w:rsidR="00E4023A" w:rsidRDefault="00E4023A" w:rsidP="009306D8">
      <w:pPr>
        <w:rPr>
          <w:b/>
          <w:bCs/>
        </w:rPr>
      </w:pPr>
    </w:p>
    <w:p w14:paraId="447D8FD8" w14:textId="2004216B" w:rsidR="00E4023A" w:rsidRDefault="00E4023A" w:rsidP="009306D8">
      <w:pPr>
        <w:rPr>
          <w:b/>
          <w:bCs/>
        </w:rPr>
      </w:pPr>
    </w:p>
    <w:p w14:paraId="6ADB7160" w14:textId="7F99667C" w:rsidR="00E4023A" w:rsidRDefault="00E4023A" w:rsidP="009306D8">
      <w:pPr>
        <w:rPr>
          <w:b/>
          <w:bCs/>
        </w:rPr>
      </w:pPr>
    </w:p>
    <w:p w14:paraId="3AFD9191" w14:textId="1F4C5E5E" w:rsidR="00E4023A" w:rsidRDefault="00E4023A" w:rsidP="009306D8">
      <w:pPr>
        <w:rPr>
          <w:b/>
          <w:bCs/>
        </w:rPr>
      </w:pPr>
      <w:r>
        <w:rPr>
          <w:noProof/>
        </w:rPr>
        <w:lastRenderedPageBreak/>
        <w:drawing>
          <wp:inline distT="0" distB="0" distL="0" distR="0" wp14:anchorId="7C146445" wp14:editId="28AB737F">
            <wp:extent cx="5731510" cy="4144731"/>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144731"/>
                    </a:xfrm>
                    <a:prstGeom prst="rect">
                      <a:avLst/>
                    </a:prstGeom>
                    <a:noFill/>
                    <a:ln>
                      <a:noFill/>
                    </a:ln>
                  </pic:spPr>
                </pic:pic>
              </a:graphicData>
            </a:graphic>
          </wp:inline>
        </w:drawing>
      </w:r>
    </w:p>
    <w:p w14:paraId="4C593BCC" w14:textId="1657E5E4" w:rsidR="00E4023A" w:rsidRDefault="00E4023A" w:rsidP="009306D8">
      <w:pPr>
        <w:rPr>
          <w:b/>
          <w:bCs/>
        </w:rPr>
      </w:pPr>
    </w:p>
    <w:p w14:paraId="451B1B11" w14:textId="3704D846" w:rsidR="00E4023A" w:rsidRDefault="00E700E7" w:rsidP="009306D8">
      <w:pPr>
        <w:rPr>
          <w:b/>
          <w:bCs/>
        </w:rPr>
      </w:pPr>
      <w:r>
        <w:rPr>
          <w:b/>
          <w:bCs/>
        </w:rPr>
        <w:t xml:space="preserve">Figure 1 is showing the aortic and thoracic diameters respectively. From </w:t>
      </w:r>
      <w:r w:rsidR="007C37BF">
        <w:rPr>
          <w:b/>
          <w:bCs/>
        </w:rPr>
        <w:t>this dimension</w:t>
      </w:r>
      <w:r>
        <w:rPr>
          <w:b/>
          <w:bCs/>
        </w:rPr>
        <w:t xml:space="preserve"> the aort</w:t>
      </w:r>
      <w:r w:rsidR="00A61FDB">
        <w:rPr>
          <w:b/>
          <w:bCs/>
        </w:rPr>
        <w:t>ic</w:t>
      </w:r>
      <w:r>
        <w:rPr>
          <w:b/>
          <w:bCs/>
        </w:rPr>
        <w:t>-thoracic diameter ratio is obtained.</w:t>
      </w:r>
    </w:p>
    <w:p w14:paraId="24C117F4" w14:textId="1EC0A7F6" w:rsidR="00E4023A" w:rsidRDefault="00E4023A" w:rsidP="009306D8">
      <w:pPr>
        <w:rPr>
          <w:b/>
          <w:bCs/>
        </w:rPr>
      </w:pPr>
    </w:p>
    <w:p w14:paraId="5FF8444F" w14:textId="52617087" w:rsidR="00E4023A" w:rsidRDefault="00E4023A" w:rsidP="009306D8">
      <w:pPr>
        <w:rPr>
          <w:b/>
          <w:bCs/>
        </w:rPr>
      </w:pPr>
    </w:p>
    <w:p w14:paraId="7F26BF1C" w14:textId="77777777" w:rsidR="00E4023A" w:rsidRDefault="00E4023A" w:rsidP="007C37BF">
      <w:pPr>
        <w:jc w:val="both"/>
        <w:rPr>
          <w:b/>
          <w:bCs/>
        </w:rPr>
      </w:pPr>
    </w:p>
    <w:p w14:paraId="26390699" w14:textId="7A617423" w:rsidR="009306D8" w:rsidRPr="009306D8" w:rsidRDefault="009306D8" w:rsidP="007C37BF">
      <w:pPr>
        <w:jc w:val="both"/>
        <w:rPr>
          <w:b/>
          <w:bCs/>
        </w:rPr>
      </w:pPr>
      <w:r w:rsidRPr="009306D8">
        <w:rPr>
          <w:b/>
          <w:bCs/>
        </w:rPr>
        <w:t>DISCUSSION</w:t>
      </w:r>
    </w:p>
    <w:p w14:paraId="74BEE934" w14:textId="57979B86" w:rsidR="009306D8" w:rsidRPr="009306D8" w:rsidRDefault="009306D8" w:rsidP="007C37BF">
      <w:pPr>
        <w:jc w:val="both"/>
      </w:pPr>
      <w:r w:rsidRPr="009306D8">
        <w:t>This study presents age- and sex-specific normative values for the aortic–thoracic ratio in Nigerian children aged 9–13 years</w:t>
      </w:r>
      <w:r w:rsidR="00385E78">
        <w:t>, based on</w:t>
      </w:r>
      <w:r w:rsidRPr="009306D8">
        <w:t xml:space="preserve"> chest radiographs. The key findings are that aortic and thoracic diameters increase with age in both sexes; ATR remains relatively stable, with a slight rise across the age range; and there are no meaningful sex differences in ATR, although 12-year-old boys have larger thoracic diameters than girls. These patterns are visually reinforced</w:t>
      </w:r>
      <w:r w:rsidR="00385E78">
        <w:t>, with the male and female ATR curves almost completely overlapping across age groups and showing</w:t>
      </w:r>
      <w:r w:rsidRPr="009306D8">
        <w:t xml:space="preserve"> parallel, age-related increases in both aortic and thoracic diameters in boys and girls.</w:t>
      </w:r>
    </w:p>
    <w:p w14:paraId="5B0576FC" w14:textId="77777777" w:rsidR="009306D8" w:rsidRPr="009306D8" w:rsidRDefault="009306D8" w:rsidP="007C37BF">
      <w:pPr>
        <w:jc w:val="both"/>
        <w:rPr>
          <w:b/>
          <w:bCs/>
        </w:rPr>
      </w:pPr>
      <w:r w:rsidRPr="009306D8">
        <w:rPr>
          <w:b/>
          <w:bCs/>
        </w:rPr>
        <w:t>Age-related changes in aortic and thoracic dimensions</w:t>
      </w:r>
    </w:p>
    <w:p w14:paraId="7BB28E90" w14:textId="2C2B71A1" w:rsidR="009306D8" w:rsidRPr="009306D8" w:rsidRDefault="009306D8" w:rsidP="007C37BF">
      <w:pPr>
        <w:jc w:val="both"/>
      </w:pPr>
      <w:r w:rsidRPr="009306D8">
        <w:t xml:space="preserve">The progressive increase in aortic diameter with age observed in this cohort aligns with earlier work </w:t>
      </w:r>
      <w:r w:rsidR="004A033A">
        <w:t>ss</w:t>
      </w:r>
      <w:r w:rsidRPr="009306D8">
        <w:t>on aortic and cardiac dimensions among Nigerian children and adolescents.</w:t>
      </w:r>
      <w:r w:rsidRPr="009306D8">
        <w:rPr>
          <w:vertAlign w:val="superscript"/>
        </w:rPr>
        <w:t>8</w:t>
      </w:r>
      <w:r w:rsidRPr="009306D8">
        <w:t xml:space="preserve"> Echocardiographic and CMR-based studies in other populations have also shown that aortic root and thoracic aortic diameters increase with age, height, weight, and body surface area.</w:t>
      </w:r>
      <w:r w:rsidRPr="009306D8">
        <w:rPr>
          <w:vertAlign w:val="superscript"/>
        </w:rPr>
        <w:t>11–14</w:t>
      </w:r>
      <w:r w:rsidRPr="009306D8">
        <w:t xml:space="preserve"> These findings reflect normal somatic growth and enlargement of the thoracic cage and great vessels during childhood and adolescence.</w:t>
      </w:r>
    </w:p>
    <w:p w14:paraId="0C143588" w14:textId="0045997A" w:rsidR="009306D8" w:rsidRPr="009306D8" w:rsidRDefault="009306D8" w:rsidP="007C37BF">
      <w:pPr>
        <w:jc w:val="both"/>
      </w:pPr>
      <w:r w:rsidRPr="009306D8">
        <w:lastRenderedPageBreak/>
        <w:t>Thoracic diameter also increased with age in both sexes. The larger thoracic diameter observed in 12-year-old boys compared with girls is consistent with the onset of sex-related differences in chest wall and musculoskeletal growth around puberty. Previous studies have documented that thoracic and cardiothoracic dimensions are influenced by body habitus, race, and sex, and that males tend to have slightly larger absolute thoracic measurements.</w:t>
      </w:r>
      <w:r w:rsidRPr="009306D8">
        <w:rPr>
          <w:vertAlign w:val="superscript"/>
        </w:rPr>
        <w:t>5–7,9,10</w:t>
      </w:r>
      <w:r w:rsidRPr="009306D8">
        <w:t xml:space="preserve"> The present findings are therefore in keeping with known physiological and anthropometric patterns.</w:t>
      </w:r>
    </w:p>
    <w:p w14:paraId="7E5668C3" w14:textId="77777777" w:rsidR="009306D8" w:rsidRPr="009306D8" w:rsidRDefault="009306D8" w:rsidP="007C37BF">
      <w:pPr>
        <w:jc w:val="both"/>
        <w:rPr>
          <w:b/>
          <w:bCs/>
        </w:rPr>
      </w:pPr>
      <w:r w:rsidRPr="009306D8">
        <w:rPr>
          <w:b/>
          <w:bCs/>
        </w:rPr>
        <w:t>Stability of the aortic–thoracic ratio and sex differences</w:t>
      </w:r>
    </w:p>
    <w:p w14:paraId="53FDF02F" w14:textId="77777777" w:rsidR="009306D8" w:rsidRPr="009306D8" w:rsidRDefault="009306D8" w:rsidP="007C37BF">
      <w:pPr>
        <w:jc w:val="both"/>
      </w:pPr>
      <w:r w:rsidRPr="009306D8">
        <w:t>Despite the age-related increases in both AD and TD, ATR remained within a narrow range around 22 % in both sexes. This suggests that proportional growth of the aorta and thoracic cavity is maintained across the 9–13-year interval. The lack of a meaningful sex difference in ATR implies that, although boys may develop larger thoracic diameters at certain ages, the relative size of the aorta to the thoracic cavity remains similar between sexes in this age group.</w:t>
      </w:r>
    </w:p>
    <w:p w14:paraId="4FF411EA" w14:textId="2F078609" w:rsidR="009306D8" w:rsidRPr="009306D8" w:rsidRDefault="009306D8" w:rsidP="007C37BF">
      <w:pPr>
        <w:jc w:val="both"/>
      </w:pPr>
      <w:r w:rsidRPr="009306D8">
        <w:t>These observations are consistent with studies that have expressed aortic dimensions relative to body size and found relatively stable proportional relationships, particularly in pre- to early-pubertal children.</w:t>
      </w:r>
      <w:r w:rsidRPr="009306D8">
        <w:rPr>
          <w:vertAlign w:val="superscript"/>
        </w:rPr>
        <w:t>11–14</w:t>
      </w:r>
      <w:r w:rsidRPr="009306D8">
        <w:t xml:space="preserve"> The relative stability of ATR supports its potential utility as a screening index: deviations beyond the expected range may be more indicative of pathological aortic enlargement than of normal growth variation.</w:t>
      </w:r>
    </w:p>
    <w:p w14:paraId="417F2EF9" w14:textId="0664B64C" w:rsidR="009306D8" w:rsidRPr="009306D8" w:rsidRDefault="009306D8" w:rsidP="007C37BF">
      <w:pPr>
        <w:jc w:val="both"/>
      </w:pPr>
      <w:r w:rsidRPr="009306D8">
        <w:t>Previous Nigerian studies have largely focused on CTR and absolute aortic and cardiac dimensions, rather than formal ratios such as ATR.</w:t>
      </w:r>
      <w:r w:rsidRPr="009306D8">
        <w:rPr>
          <w:vertAlign w:val="superscript"/>
        </w:rPr>
        <w:t>7,8</w:t>
      </w:r>
      <w:r w:rsidRPr="009306D8">
        <w:t xml:space="preserve"> The present work extends this literature by introducing ATR as a simple, reproducible radiographic measure that can be routinely derived from chest radiographs without additional imaging equipment.</w:t>
      </w:r>
    </w:p>
    <w:p w14:paraId="4739EC0F" w14:textId="124C5ED7" w:rsidR="009306D8" w:rsidRPr="009306D8" w:rsidRDefault="009306D8" w:rsidP="007C37BF">
      <w:pPr>
        <w:jc w:val="both"/>
      </w:pPr>
      <w:r>
        <w:t>Methodological differences limit direct comparison with echocardiographic or CMR-derived norms</w:t>
      </w:r>
      <w:r w:rsidRPr="009306D8">
        <w:t>, but the general pattern of age-related increases in aortic dimensions and the role of body size as a determinant of aortic diameter are consistent with international data.</w:t>
      </w:r>
      <w:r w:rsidRPr="009306D8">
        <w:rPr>
          <w:vertAlign w:val="superscript"/>
        </w:rPr>
        <w:t>11–14</w:t>
      </w:r>
      <w:r w:rsidRPr="009306D8">
        <w:t xml:space="preserve"> Many available normative datasets for aortic measurements are based on European or North American populations, which may not be directly generalizable to African children. In this context, locally derived radiographic reference values, such as the ATR presented here, provide useful complementary information.</w:t>
      </w:r>
    </w:p>
    <w:p w14:paraId="1421E0FB" w14:textId="77777777" w:rsidR="009306D8" w:rsidRPr="009306D8" w:rsidRDefault="009306D8" w:rsidP="009306D8">
      <w:pPr>
        <w:rPr>
          <w:b/>
          <w:bCs/>
        </w:rPr>
      </w:pPr>
      <w:r w:rsidRPr="009306D8">
        <w:rPr>
          <w:b/>
          <w:bCs/>
        </w:rPr>
        <w:t>Clinical and research implications</w:t>
      </w:r>
    </w:p>
    <w:p w14:paraId="72C0B561" w14:textId="77777777" w:rsidR="009306D8" w:rsidRPr="009306D8" w:rsidRDefault="009306D8" w:rsidP="009306D8">
      <w:r w:rsidRPr="009306D8">
        <w:t>The availability of population-specific ATR reference values may have several important applications:</w:t>
      </w:r>
    </w:p>
    <w:p w14:paraId="65FB2CEB" w14:textId="2A42FF35" w:rsidR="009306D8" w:rsidRPr="009306D8" w:rsidRDefault="009306D8" w:rsidP="007C37BF">
      <w:pPr>
        <w:numPr>
          <w:ilvl w:val="0"/>
          <w:numId w:val="6"/>
        </w:numPr>
        <w:jc w:val="both"/>
      </w:pPr>
      <w:r w:rsidRPr="009306D8">
        <w:rPr>
          <w:b/>
          <w:bCs/>
        </w:rPr>
        <w:t>Screening and early detection:</w:t>
      </w:r>
      <w:r w:rsidR="00E77158">
        <w:rPr>
          <w:b/>
          <w:bCs/>
        </w:rPr>
        <w:t xml:space="preserve"> </w:t>
      </w:r>
      <w:r w:rsidRPr="009306D8">
        <w:t>ATR may help identify children with disproportionate aortic enlargement who warrant further evaluation with echocardiography or CMR when resources permit.</w:t>
      </w:r>
    </w:p>
    <w:p w14:paraId="6FF715C0" w14:textId="6D94C0C7" w:rsidR="009306D8" w:rsidRPr="009306D8" w:rsidRDefault="009306D8" w:rsidP="007C37BF">
      <w:pPr>
        <w:numPr>
          <w:ilvl w:val="0"/>
          <w:numId w:val="6"/>
        </w:numPr>
        <w:jc w:val="both"/>
      </w:pPr>
      <w:r w:rsidRPr="009306D8">
        <w:rPr>
          <w:b/>
          <w:bCs/>
        </w:rPr>
        <w:t>Baseline for follow-up:</w:t>
      </w:r>
      <w:r w:rsidR="00E77158">
        <w:t xml:space="preserve"> </w:t>
      </w:r>
      <w:r w:rsidRPr="009306D8">
        <w:t xml:space="preserve">In children with conditions </w:t>
      </w:r>
      <w:r w:rsidR="007F4BBE">
        <w:t>predisposing to aortic dilation, such as certain congenital heart diseases or connective tissue disorders, ATR can provide a convenient radiographic baseline for longitudinal monitoring, particularly when chest radiography is more readily available</w:t>
      </w:r>
      <w:r w:rsidRPr="009306D8">
        <w:t xml:space="preserve"> than advanced imaging modalities.</w:t>
      </w:r>
    </w:p>
    <w:p w14:paraId="750A538B" w14:textId="6C6E319C" w:rsidR="009306D8" w:rsidRPr="009306D8" w:rsidRDefault="009306D8" w:rsidP="007C37BF">
      <w:pPr>
        <w:numPr>
          <w:ilvl w:val="0"/>
          <w:numId w:val="6"/>
        </w:numPr>
        <w:jc w:val="both"/>
      </w:pPr>
      <w:r w:rsidRPr="009306D8">
        <w:rPr>
          <w:b/>
          <w:bCs/>
        </w:rPr>
        <w:t>Foundation for further research:</w:t>
      </w:r>
      <w:r w:rsidR="00E77158">
        <w:t xml:space="preserve"> </w:t>
      </w:r>
      <w:r w:rsidRPr="009306D8">
        <w:t>The present data provide a starting point for multicentre and multi-regional studies incorporating anthropometric variables, broader age ranges, and comparative analyses across diverse populations. Such work could refine ATR reference ranges and explore its predictive value for clinically significant aortic disease.</w:t>
      </w:r>
    </w:p>
    <w:p w14:paraId="6BD064D8" w14:textId="77777777" w:rsidR="009306D8" w:rsidRPr="009306D8" w:rsidRDefault="009306D8" w:rsidP="009306D8">
      <w:pPr>
        <w:rPr>
          <w:b/>
          <w:bCs/>
        </w:rPr>
      </w:pPr>
      <w:r w:rsidRPr="009306D8">
        <w:rPr>
          <w:b/>
          <w:bCs/>
        </w:rPr>
        <w:t>CONCLUSION</w:t>
      </w:r>
    </w:p>
    <w:p w14:paraId="34B999B9" w14:textId="77777777" w:rsidR="009306D8" w:rsidRPr="009306D8" w:rsidRDefault="009306D8" w:rsidP="007C37BF">
      <w:pPr>
        <w:jc w:val="both"/>
      </w:pPr>
      <w:r w:rsidRPr="009306D8">
        <w:lastRenderedPageBreak/>
        <w:t>This study provides normative age- and sex-specific values for the aortic–thoracic ratio in Nigerian children aged 9–13 years. Aortic and thoracic diameters both increase with age, while ATR remains relatively stable within a narrow range around 22 %. No meaningful sex difference in ATR was observed, although 12-year-old boys had larger thoracic diameters than girls.</w:t>
      </w:r>
    </w:p>
    <w:p w14:paraId="4F4B0D5F" w14:textId="184F2FC2" w:rsidR="009306D8" w:rsidRPr="009306D8" w:rsidRDefault="009306D8" w:rsidP="007C37BF">
      <w:pPr>
        <w:jc w:val="both"/>
      </w:pPr>
      <w:r w:rsidRPr="009306D8">
        <w:t xml:space="preserve">These findings extend the limited radiographic data on </w:t>
      </w:r>
      <w:r w:rsidR="007F4BBE" w:rsidRPr="009306D8">
        <w:t>paediatric</w:t>
      </w:r>
      <w:r w:rsidRPr="009306D8">
        <w:t xml:space="preserve"> thoracic and aortic dimensions in African populations</w:t>
      </w:r>
      <w:r w:rsidR="007F4BBE">
        <w:t>. They may</w:t>
      </w:r>
      <w:r w:rsidRPr="009306D8">
        <w:t xml:space="preserve"> serve as a practical reference for clinicians assessing aortic size in Nigerian children. Further work is needed to incorporate anthropometric data, expand the age range, and correlate ATR with echocardiographic or CMR-based measures of aortic size and function.</w:t>
      </w:r>
    </w:p>
    <w:p w14:paraId="57709938" w14:textId="77777777" w:rsidR="009306D8" w:rsidRPr="009306D8" w:rsidRDefault="009306D8" w:rsidP="009306D8">
      <w:pPr>
        <w:rPr>
          <w:b/>
          <w:bCs/>
        </w:rPr>
      </w:pPr>
      <w:r w:rsidRPr="009306D8">
        <w:rPr>
          <w:b/>
          <w:bCs/>
        </w:rPr>
        <w:t>LIMITATIONS</w:t>
      </w:r>
    </w:p>
    <w:p w14:paraId="15B2DBA7" w14:textId="77777777" w:rsidR="009306D8" w:rsidRPr="009306D8" w:rsidRDefault="009306D8" w:rsidP="007C37BF">
      <w:pPr>
        <w:jc w:val="both"/>
      </w:pPr>
      <w:r w:rsidRPr="009306D8">
        <w:t>This study has several limitations. First, it was conducted at a single centre in southern Nigeria and may not fully represent regional variation in growth patterns, body habitus, or genetic background across the country. Second, the age range was restricted to 9–13 years, and normative ATR values for younger children and older adolescents remain to be defined. Third, height, weight, and body surface area were not included in the analysis; because aortic dimensions are strongly tied to body size, future studies should examine indexed ATR or adjust for anthropometric factors. Finally, measurements were derived from two-dimensional radiographs, which can be affected by technical factors such as positioning, rotation, and inspiratory effort. Although technically inadequate films were excluded, some measurement variability is unavoidable with radiographic methods.</w:t>
      </w:r>
    </w:p>
    <w:p w14:paraId="09A15523" w14:textId="393A2501" w:rsidR="009306D8" w:rsidRPr="009306D8" w:rsidRDefault="009306D8" w:rsidP="007C37BF">
      <w:pPr>
        <w:jc w:val="both"/>
      </w:pPr>
      <w:r w:rsidRPr="009306D8">
        <w:t xml:space="preserve">Despite these limitations, the study provides useful preliminary ATR reference data for a </w:t>
      </w:r>
      <w:r w:rsidR="007F4BBE" w:rsidRPr="009306D8">
        <w:t>paediatric</w:t>
      </w:r>
      <w:r w:rsidRPr="009306D8">
        <w:t xml:space="preserve"> population in which such information has been limited.</w:t>
      </w:r>
    </w:p>
    <w:p w14:paraId="30147A6F" w14:textId="77777777" w:rsidR="009306D8" w:rsidRPr="009306D8" w:rsidRDefault="009306D8" w:rsidP="009306D8">
      <w:pPr>
        <w:rPr>
          <w:b/>
          <w:bCs/>
        </w:rPr>
      </w:pPr>
      <w:r w:rsidRPr="009306D8">
        <w:rPr>
          <w:b/>
          <w:bCs/>
        </w:rPr>
        <w:t>RECOMMENDATIONS</w:t>
      </w:r>
    </w:p>
    <w:p w14:paraId="1CA9B1C5" w14:textId="77777777" w:rsidR="009306D8" w:rsidRPr="009306D8" w:rsidRDefault="009306D8" w:rsidP="009306D8">
      <w:r w:rsidRPr="009306D8">
        <w:t>We recommend that:</w:t>
      </w:r>
    </w:p>
    <w:p w14:paraId="351583F2" w14:textId="77777777" w:rsidR="009306D8" w:rsidRPr="009306D8" w:rsidRDefault="009306D8" w:rsidP="009306D8">
      <w:pPr>
        <w:numPr>
          <w:ilvl w:val="0"/>
          <w:numId w:val="7"/>
        </w:numPr>
      </w:pPr>
      <w:r w:rsidRPr="009306D8">
        <w:t>Multi-centre studies across different regions of Nigeria and sub-Saharan Africa be conducted to validate and refine ATR reference values in diverse pediatric populations.</w:t>
      </w:r>
    </w:p>
    <w:p w14:paraId="1573A94B" w14:textId="77777777" w:rsidR="009306D8" w:rsidRPr="009306D8" w:rsidRDefault="009306D8" w:rsidP="009306D8">
      <w:pPr>
        <w:numPr>
          <w:ilvl w:val="0"/>
          <w:numId w:val="7"/>
        </w:numPr>
      </w:pPr>
      <w:r w:rsidRPr="009306D8">
        <w:t>Future research incorporate anthropometric measures such as height, weight, and body surface area to derive indexed ATR nomograms and prediction equations.</w:t>
      </w:r>
    </w:p>
    <w:p w14:paraId="11325593" w14:textId="77777777" w:rsidR="009306D8" w:rsidRPr="009306D8" w:rsidRDefault="009306D8" w:rsidP="009306D8">
      <w:pPr>
        <w:numPr>
          <w:ilvl w:val="0"/>
          <w:numId w:val="7"/>
        </w:numPr>
      </w:pPr>
      <w:r w:rsidRPr="009306D8">
        <w:t>Comparative studies evaluate correlations between ATR and echocardiographic or CMR-derived aortic dimensions and investigate the role of ATR in detecting subclinical aortic pathology.</w:t>
      </w:r>
    </w:p>
    <w:p w14:paraId="351D9C59" w14:textId="77777777" w:rsidR="009306D8" w:rsidRPr="009306D8" w:rsidRDefault="009306D8" w:rsidP="009306D8">
      <w:pPr>
        <w:rPr>
          <w:b/>
          <w:bCs/>
        </w:rPr>
      </w:pPr>
      <w:r w:rsidRPr="009306D8">
        <w:rPr>
          <w:b/>
          <w:bCs/>
        </w:rPr>
        <w:t>DECLARATION OF PATIENT CONSENT</w:t>
      </w:r>
    </w:p>
    <w:p w14:paraId="4C03CFCF" w14:textId="77777777" w:rsidR="009306D8" w:rsidRPr="009306D8" w:rsidRDefault="009306D8" w:rsidP="009306D8">
      <w:r w:rsidRPr="009306D8">
        <w:t>The authors certify that appropriate consent was obtained for the use of anonymized radiographic data for research and publication. Parents or legal guardians were informed that the radiographic information could be used for scientific purposes and that confidentiality and anonymity would be maintained.</w:t>
      </w:r>
    </w:p>
    <w:p w14:paraId="6F9F037A" w14:textId="77777777" w:rsidR="00072135" w:rsidRDefault="00072135" w:rsidP="009306D8">
      <w:pPr>
        <w:rPr>
          <w:b/>
          <w:bCs/>
        </w:rPr>
      </w:pPr>
      <w:bookmarkStart w:id="0" w:name="_GoBack"/>
      <w:bookmarkEnd w:id="0"/>
    </w:p>
    <w:p w14:paraId="36D2BEA1" w14:textId="6059C9C9" w:rsidR="009306D8" w:rsidRPr="009306D8" w:rsidRDefault="009306D8" w:rsidP="009306D8">
      <w:pPr>
        <w:rPr>
          <w:b/>
          <w:bCs/>
        </w:rPr>
      </w:pPr>
      <w:r w:rsidRPr="009306D8">
        <w:rPr>
          <w:b/>
          <w:bCs/>
        </w:rPr>
        <w:t>REFERENCES</w:t>
      </w:r>
    </w:p>
    <w:p w14:paraId="4DE7EA13" w14:textId="16122218" w:rsidR="009306D8" w:rsidRPr="009306D8" w:rsidRDefault="00B76662" w:rsidP="009306D8">
      <w:pPr>
        <w:numPr>
          <w:ilvl w:val="0"/>
          <w:numId w:val="8"/>
        </w:numPr>
      </w:pPr>
      <w:proofErr w:type="spellStart"/>
      <w:r w:rsidRPr="00B76662">
        <w:t>Kono</w:t>
      </w:r>
      <w:proofErr w:type="spellEnd"/>
      <w:r w:rsidRPr="00B76662">
        <w:t xml:space="preserve">, T., </w:t>
      </w:r>
      <w:proofErr w:type="spellStart"/>
      <w:r w:rsidRPr="00B76662">
        <w:t>Suwa</w:t>
      </w:r>
      <w:proofErr w:type="spellEnd"/>
      <w:r w:rsidRPr="00B76662">
        <w:t xml:space="preserve">, M., </w:t>
      </w:r>
      <w:proofErr w:type="spellStart"/>
      <w:r w:rsidRPr="00B76662">
        <w:t>Hanada</w:t>
      </w:r>
      <w:proofErr w:type="spellEnd"/>
      <w:r w:rsidRPr="00B76662">
        <w:t xml:space="preserve">, H., </w:t>
      </w:r>
      <w:proofErr w:type="spellStart"/>
      <w:r w:rsidRPr="00B76662">
        <w:t>Hirota</w:t>
      </w:r>
      <w:proofErr w:type="spellEnd"/>
      <w:r w:rsidRPr="00B76662">
        <w:t xml:space="preserve">, Y., &amp; Kawamura, K. (1992). Clinical significance of normal cardiac silhouette in dilated cardiomyopathy--evaluation based upon echocardiography and magnetic resonance imaging. </w:t>
      </w:r>
      <w:proofErr w:type="spellStart"/>
      <w:r w:rsidRPr="00B76662">
        <w:t>Jpn</w:t>
      </w:r>
      <w:proofErr w:type="spellEnd"/>
      <w:r w:rsidRPr="00B76662">
        <w:t xml:space="preserve"> Circ J, 56(4), 359–365. </w:t>
      </w:r>
      <w:hyperlink r:id="rId8" w:history="1">
        <w:r w:rsidRPr="00AD4F2E">
          <w:rPr>
            <w:rStyle w:val="Hyperlink"/>
          </w:rPr>
          <w:t>https://doi.org/10.1253/jcj.56.359</w:t>
        </w:r>
      </w:hyperlink>
      <w:r>
        <w:t xml:space="preserve"> </w:t>
      </w:r>
      <w:r w:rsidR="009306D8" w:rsidRPr="009306D8">
        <w:t>.</w:t>
      </w:r>
    </w:p>
    <w:p w14:paraId="550BAE99" w14:textId="77777777" w:rsidR="009306D8" w:rsidRPr="009306D8" w:rsidRDefault="009306D8" w:rsidP="009306D8">
      <w:pPr>
        <w:numPr>
          <w:ilvl w:val="0"/>
          <w:numId w:val="8"/>
        </w:numPr>
      </w:pPr>
      <w:r w:rsidRPr="009306D8">
        <w:lastRenderedPageBreak/>
        <w:t>Raphael MJ, Donaldson RM. The normal heart. In: Sutton D, editor. Textbook of Radiology and Imaging. Edinburgh: Churchill Livingstone; 1998. p. 541–562.</w:t>
      </w:r>
    </w:p>
    <w:p w14:paraId="3C35F94D" w14:textId="2889432F" w:rsidR="009306D8" w:rsidRPr="009306D8" w:rsidRDefault="0073439B" w:rsidP="009306D8">
      <w:pPr>
        <w:numPr>
          <w:ilvl w:val="0"/>
          <w:numId w:val="8"/>
        </w:numPr>
      </w:pPr>
      <w:proofErr w:type="spellStart"/>
      <w:r w:rsidRPr="0073439B">
        <w:t>Danzer</w:t>
      </w:r>
      <w:proofErr w:type="spellEnd"/>
      <w:r w:rsidRPr="0073439B">
        <w:t xml:space="preserve">, C. S. (1919). The cardiothoracic ratio: An index of cardiac enlargement. *American Journal of Medical Sciences*, *157*, 513–521. </w:t>
      </w:r>
      <w:hyperlink r:id="rId9" w:history="1">
        <w:r w:rsidRPr="00AD4F2E">
          <w:rPr>
            <w:rStyle w:val="Hyperlink"/>
          </w:rPr>
          <w:t>https://doi.org/10.1097/00000441-191904000-00007</w:t>
        </w:r>
      </w:hyperlink>
      <w:r>
        <w:t xml:space="preserve"> </w:t>
      </w:r>
    </w:p>
    <w:p w14:paraId="7DA9D104" w14:textId="77777777" w:rsidR="009306D8" w:rsidRPr="009306D8" w:rsidRDefault="009306D8" w:rsidP="009306D8">
      <w:pPr>
        <w:numPr>
          <w:ilvl w:val="0"/>
          <w:numId w:val="8"/>
        </w:numPr>
      </w:pPr>
      <w:r w:rsidRPr="009306D8">
        <w:t>Kerwin AJ. Observations on heart size of natives living at high altitudes. Am Heart J. 1944;28:69–80.</w:t>
      </w:r>
    </w:p>
    <w:p w14:paraId="76C482AE" w14:textId="18B5EB9F" w:rsidR="009306D8" w:rsidRPr="009306D8" w:rsidRDefault="0073439B" w:rsidP="009306D8">
      <w:pPr>
        <w:numPr>
          <w:ilvl w:val="0"/>
          <w:numId w:val="8"/>
        </w:numPr>
      </w:pPr>
      <w:r w:rsidRPr="0073439B">
        <w:t xml:space="preserve">Ashcroft, M. T., &amp; </w:t>
      </w:r>
      <w:proofErr w:type="spellStart"/>
      <w:r w:rsidRPr="0073439B">
        <w:t>Miall</w:t>
      </w:r>
      <w:proofErr w:type="spellEnd"/>
      <w:r w:rsidRPr="0073439B">
        <w:t xml:space="preserve">, W. E. (1969). Cardiothoracic ratios in two Jamaican communities. American Journal of Epidemiology, 89(2), 161–167. </w:t>
      </w:r>
      <w:hyperlink r:id="rId10" w:history="1">
        <w:r w:rsidRPr="00AD4F2E">
          <w:rPr>
            <w:rStyle w:val="Hyperlink"/>
          </w:rPr>
          <w:t>https://doi.org/10.1093/oxfordjournals.aje.a120925</w:t>
        </w:r>
      </w:hyperlink>
      <w:r>
        <w:t xml:space="preserve"> </w:t>
      </w:r>
    </w:p>
    <w:p w14:paraId="6BD653B4" w14:textId="7C69F117" w:rsidR="009306D8" w:rsidRPr="009306D8" w:rsidRDefault="002B66EE" w:rsidP="009306D8">
      <w:pPr>
        <w:numPr>
          <w:ilvl w:val="0"/>
          <w:numId w:val="8"/>
        </w:numPr>
      </w:pPr>
      <w:proofErr w:type="spellStart"/>
      <w:r w:rsidRPr="002B66EE">
        <w:t>Nickol</w:t>
      </w:r>
      <w:proofErr w:type="spellEnd"/>
      <w:r w:rsidRPr="002B66EE">
        <w:t xml:space="preserve">, K., &amp; Wade, A. J. (1982). Radiographic heart size and the cardiothoracic ratio in three ethnic groups: a basis for a simple screening test for cardiac enlargement in men. Br J </w:t>
      </w:r>
      <w:proofErr w:type="spellStart"/>
      <w:r w:rsidRPr="002B66EE">
        <w:t>Radiol</w:t>
      </w:r>
      <w:proofErr w:type="spellEnd"/>
      <w:r w:rsidRPr="002B66EE">
        <w:t xml:space="preserve">, 55(654), 399–403. </w:t>
      </w:r>
      <w:hyperlink r:id="rId11" w:history="1">
        <w:r w:rsidRPr="00AD4F2E">
          <w:rPr>
            <w:rStyle w:val="Hyperlink"/>
          </w:rPr>
          <w:t>https://doi.org/10.1259/0007-1285-55-654-399</w:t>
        </w:r>
      </w:hyperlink>
      <w:r>
        <w:t xml:space="preserve"> </w:t>
      </w:r>
    </w:p>
    <w:p w14:paraId="18562265" w14:textId="77777777" w:rsidR="009306D8" w:rsidRPr="009306D8" w:rsidRDefault="009306D8" w:rsidP="009306D8">
      <w:pPr>
        <w:numPr>
          <w:ilvl w:val="0"/>
          <w:numId w:val="8"/>
        </w:numPr>
      </w:pPr>
      <w:r w:rsidRPr="009306D8">
        <w:rPr>
          <w:lang w:val="it-IT"/>
        </w:rPr>
        <w:t xml:space="preserve">Anyanwu GE, Anibeze CI, Akpuaka FC. </w:t>
      </w:r>
      <w:r w:rsidRPr="009306D8">
        <w:t>Cardiothoracic ratio and body habitus in a Nigerian population. Biomed Res. 2007;18(2):119–122.</w:t>
      </w:r>
    </w:p>
    <w:p w14:paraId="3B7235DD" w14:textId="77777777" w:rsidR="009306D8" w:rsidRPr="009306D8" w:rsidRDefault="009306D8" w:rsidP="009306D8">
      <w:pPr>
        <w:numPr>
          <w:ilvl w:val="0"/>
          <w:numId w:val="8"/>
        </w:numPr>
      </w:pPr>
      <w:r w:rsidRPr="009306D8">
        <w:t>Obikili EN, Okoye IJ, Anyanwu GE. Aortic and heart dimensions of children and adolescents in a Nigerian population. Biomed Res. 2010;21(2):195–198.</w:t>
      </w:r>
    </w:p>
    <w:p w14:paraId="27892977" w14:textId="2F6EBD02" w:rsidR="009306D8" w:rsidRPr="009306D8" w:rsidRDefault="002B66EE" w:rsidP="009306D8">
      <w:pPr>
        <w:numPr>
          <w:ilvl w:val="0"/>
          <w:numId w:val="8"/>
        </w:numPr>
      </w:pPr>
      <w:r w:rsidRPr="002B66EE">
        <w:t xml:space="preserve">Munro-Faure, A. D., </w:t>
      </w:r>
      <w:proofErr w:type="spellStart"/>
      <w:r w:rsidRPr="002B66EE">
        <w:t>Beilin</w:t>
      </w:r>
      <w:proofErr w:type="spellEnd"/>
      <w:r w:rsidRPr="002B66EE">
        <w:t xml:space="preserve">, L. J., </w:t>
      </w:r>
      <w:proofErr w:type="spellStart"/>
      <w:r w:rsidRPr="002B66EE">
        <w:t>Bulpitt</w:t>
      </w:r>
      <w:proofErr w:type="spellEnd"/>
      <w:r w:rsidRPr="002B66EE">
        <w:t xml:space="preserve">, C. J., Coles, E. C., </w:t>
      </w:r>
      <w:proofErr w:type="spellStart"/>
      <w:r w:rsidRPr="002B66EE">
        <w:t>Dollery</w:t>
      </w:r>
      <w:proofErr w:type="spellEnd"/>
      <w:r w:rsidRPr="002B66EE">
        <w:t xml:space="preserve">, C. T., Gear, J. S. S., Harper, G., &amp; Johnson, B. F. (1979). Comparison of black and white patients attending hypertension clinics in England. British Medical Journal, 1(6170), 1044–1047. </w:t>
      </w:r>
      <w:hyperlink r:id="rId12" w:history="1">
        <w:r w:rsidRPr="00AD4F2E">
          <w:rPr>
            <w:rStyle w:val="Hyperlink"/>
          </w:rPr>
          <w:t>https://doi.org/10.1136/bmj.1.6170.1044</w:t>
        </w:r>
      </w:hyperlink>
      <w:r>
        <w:t xml:space="preserve"> </w:t>
      </w:r>
    </w:p>
    <w:p w14:paraId="54088D53" w14:textId="78146228" w:rsidR="009306D8" w:rsidRPr="009306D8" w:rsidRDefault="006C4E40" w:rsidP="009306D8">
      <w:pPr>
        <w:numPr>
          <w:ilvl w:val="0"/>
          <w:numId w:val="8"/>
        </w:numPr>
      </w:pPr>
      <w:r w:rsidRPr="006C4E40">
        <w:t xml:space="preserve">Eveleth, P. B., &amp; Tanner, J. M. (Eds.). (1976). Worldwide variation in human growth. Cambridge University Press. </w:t>
      </w:r>
      <w:hyperlink r:id="rId13" w:history="1">
        <w:r w:rsidRPr="00AD4F2E">
          <w:rPr>
            <w:rStyle w:val="Hyperlink"/>
          </w:rPr>
          <w:t>https://www.cambridge.org/core/books/worldwide-variation-in-human-growth/</w:t>
        </w:r>
      </w:hyperlink>
      <w:r>
        <w:t xml:space="preserve"> </w:t>
      </w:r>
    </w:p>
    <w:p w14:paraId="672293D9" w14:textId="49696032" w:rsidR="009306D8" w:rsidRPr="009306D8" w:rsidRDefault="003D7AA5" w:rsidP="009306D8">
      <w:pPr>
        <w:numPr>
          <w:ilvl w:val="0"/>
          <w:numId w:val="8"/>
        </w:numPr>
      </w:pPr>
      <w:r w:rsidRPr="003D7AA5">
        <w:rPr>
          <w:lang w:val="de-DE"/>
        </w:rPr>
        <w:t xml:space="preserve">Kaiser, T., Kellenberger, C. J., Albisetti, M., Bergsträsser, E., &amp; Valsangiacomo Buechel, E. R. (2008). Normal values for aortic diameters in children and adolescents--assessment in vivo by contrast-enhanced CMR-angiography. Journal of Cardiovascular Magnetic Resonance, 10(1), 56. </w:t>
      </w:r>
      <w:r>
        <w:rPr>
          <w:lang w:val="de-DE"/>
        </w:rPr>
        <w:fldChar w:fldCharType="begin"/>
      </w:r>
      <w:r>
        <w:rPr>
          <w:lang w:val="de-DE"/>
        </w:rPr>
        <w:instrText xml:space="preserve"> HYPERLINK "</w:instrText>
      </w:r>
      <w:r w:rsidRPr="003D7AA5">
        <w:rPr>
          <w:lang w:val="de-DE"/>
        </w:rPr>
        <w:instrText>https://doi.org/10.1186/1532-429X-10-56</w:instrText>
      </w:r>
      <w:r>
        <w:rPr>
          <w:lang w:val="de-DE"/>
        </w:rPr>
        <w:instrText xml:space="preserve">" </w:instrText>
      </w:r>
      <w:r>
        <w:rPr>
          <w:lang w:val="de-DE"/>
        </w:rPr>
        <w:fldChar w:fldCharType="separate"/>
      </w:r>
      <w:r w:rsidRPr="00AD4F2E">
        <w:rPr>
          <w:rStyle w:val="Hyperlink"/>
          <w:lang w:val="de-DE"/>
        </w:rPr>
        <w:t>https://doi.org/10.1186/1532-429X-10-56</w:t>
      </w:r>
      <w:r>
        <w:rPr>
          <w:lang w:val="de-DE"/>
        </w:rPr>
        <w:fldChar w:fldCharType="end"/>
      </w:r>
      <w:r>
        <w:rPr>
          <w:lang w:val="de-DE"/>
        </w:rPr>
        <w:t xml:space="preserve"> </w:t>
      </w:r>
    </w:p>
    <w:p w14:paraId="348EDED9" w14:textId="24D22BBF" w:rsidR="009306D8" w:rsidRPr="009306D8" w:rsidRDefault="00D87B23" w:rsidP="009306D8">
      <w:pPr>
        <w:numPr>
          <w:ilvl w:val="0"/>
          <w:numId w:val="8"/>
        </w:numPr>
      </w:pPr>
      <w:r w:rsidRPr="00D87B23">
        <w:rPr>
          <w:lang w:val="de-DE"/>
        </w:rPr>
        <w:t xml:space="preserve">Campens, L., Demulier, L., De Groote, K., Vandekerckhove, K., De Wolf, D., Roman, M. J., Devereux, R. B., De Paepe, A., &amp; De Backer, J. (2014). Reference values for echocardiographic assessment of the diameter of the aortic root and ascending aorta spanning all age categories. American Journal of Cardiology, 114(6), 914–920. </w:t>
      </w:r>
      <w:r>
        <w:rPr>
          <w:lang w:val="de-DE"/>
        </w:rPr>
        <w:fldChar w:fldCharType="begin"/>
      </w:r>
      <w:r>
        <w:rPr>
          <w:lang w:val="de-DE"/>
        </w:rPr>
        <w:instrText xml:space="preserve"> HYPERLINK "</w:instrText>
      </w:r>
      <w:r w:rsidRPr="00D87B23">
        <w:rPr>
          <w:lang w:val="de-DE"/>
        </w:rPr>
        <w:instrText>https://doi.org/10.1016/j.amjcard.2014.06.024</w:instrText>
      </w:r>
      <w:r>
        <w:rPr>
          <w:lang w:val="de-DE"/>
        </w:rPr>
        <w:instrText xml:space="preserve">" </w:instrText>
      </w:r>
      <w:r>
        <w:rPr>
          <w:lang w:val="de-DE"/>
        </w:rPr>
        <w:fldChar w:fldCharType="separate"/>
      </w:r>
      <w:r w:rsidRPr="00AD4F2E">
        <w:rPr>
          <w:rStyle w:val="Hyperlink"/>
          <w:lang w:val="de-DE"/>
        </w:rPr>
        <w:t>https://doi.org/10.1016/j.amjcard.2014.06.024</w:t>
      </w:r>
      <w:r>
        <w:rPr>
          <w:lang w:val="de-DE"/>
        </w:rPr>
        <w:fldChar w:fldCharType="end"/>
      </w:r>
      <w:r>
        <w:rPr>
          <w:lang w:val="de-DE"/>
        </w:rPr>
        <w:t xml:space="preserve"> </w:t>
      </w:r>
    </w:p>
    <w:p w14:paraId="6807FDB3" w14:textId="269CC729" w:rsidR="009306D8" w:rsidRPr="009306D8" w:rsidRDefault="00C35D0A" w:rsidP="009306D8">
      <w:pPr>
        <w:numPr>
          <w:ilvl w:val="0"/>
          <w:numId w:val="8"/>
        </w:numPr>
      </w:pPr>
      <w:proofErr w:type="spellStart"/>
      <w:r w:rsidRPr="00C35D0A">
        <w:t>Vasan</w:t>
      </w:r>
      <w:proofErr w:type="spellEnd"/>
      <w:r w:rsidRPr="00C35D0A">
        <w:t xml:space="preserve">, R. S., Larson, M. G., Benjamin, E. J., &amp; Levy, D. (1995). Echocardiographic reference values for aortic root size: The Framingham Heart Study. Journal of the American Society of Echocardiography, 8(6), 793–800. </w:t>
      </w:r>
      <w:hyperlink r:id="rId14" w:history="1">
        <w:r w:rsidRPr="00AD4F2E">
          <w:rPr>
            <w:rStyle w:val="Hyperlink"/>
          </w:rPr>
          <w:t>https://doi.org/10.1016/s0894-7317(05)80003-3</w:t>
        </w:r>
      </w:hyperlink>
      <w:r>
        <w:t xml:space="preserve"> </w:t>
      </w:r>
    </w:p>
    <w:p w14:paraId="159CB830" w14:textId="4A804695" w:rsidR="009306D8" w:rsidRPr="009306D8" w:rsidRDefault="00C35D0A" w:rsidP="009306D8">
      <w:pPr>
        <w:numPr>
          <w:ilvl w:val="0"/>
          <w:numId w:val="8"/>
        </w:numPr>
      </w:pPr>
      <w:r w:rsidRPr="00C35D0A">
        <w:rPr>
          <w:lang w:val="de-DE"/>
        </w:rPr>
        <w:t xml:space="preserve">Voges, I., Jerosch-Herold, M., Hedderich, J., Pardun, E., Hart, C., Gabbert, D. D., Hansen, J. H., Petko, C., Kramer, H. H., &amp; Rickers, C. (2012). Normal values of aortic dimensions, distensibility, and pulse wave velocity in children and young adults: a cross-sectional study. Journal of Cardiovascular Magnetic Resonance, 14, 77. </w:t>
      </w:r>
      <w:hyperlink r:id="rId15" w:history="1">
        <w:r w:rsidRPr="00AD4F2E">
          <w:rPr>
            <w:rStyle w:val="Hyperlink"/>
            <w:lang w:val="de-DE"/>
          </w:rPr>
          <w:t>https://doi.org/10.1186/1532-429X-14-77</w:t>
        </w:r>
      </w:hyperlink>
      <w:r>
        <w:rPr>
          <w:lang w:val="de-DE"/>
        </w:rPr>
        <w:t xml:space="preserve"> </w:t>
      </w:r>
    </w:p>
    <w:p w14:paraId="19CFF0B8" w14:textId="77777777" w:rsidR="007F4BBE" w:rsidRDefault="007F4BBE" w:rsidP="009306D8">
      <w:pPr>
        <w:rPr>
          <w:b/>
          <w:bCs/>
        </w:rPr>
      </w:pPr>
    </w:p>
    <w:p w14:paraId="07BD2F09" w14:textId="77777777" w:rsidR="007F4BBE" w:rsidRDefault="007F4BBE" w:rsidP="009306D8">
      <w:pPr>
        <w:rPr>
          <w:b/>
          <w:bCs/>
        </w:rPr>
      </w:pPr>
    </w:p>
    <w:p w14:paraId="15CA6A55" w14:textId="77777777" w:rsidR="007F4BBE" w:rsidRDefault="007F4BBE" w:rsidP="009306D8">
      <w:pPr>
        <w:rPr>
          <w:b/>
          <w:bCs/>
        </w:rPr>
      </w:pPr>
    </w:p>
    <w:p w14:paraId="5E88C350" w14:textId="77777777" w:rsidR="007F4BBE" w:rsidRDefault="007F4BBE" w:rsidP="009306D8">
      <w:pPr>
        <w:rPr>
          <w:b/>
          <w:bCs/>
        </w:rPr>
      </w:pPr>
    </w:p>
    <w:p w14:paraId="528D7A5D" w14:textId="77777777" w:rsidR="007F4BBE" w:rsidRDefault="007F4BBE" w:rsidP="009306D8">
      <w:pPr>
        <w:rPr>
          <w:b/>
          <w:bCs/>
        </w:rPr>
      </w:pPr>
    </w:p>
    <w:p w14:paraId="38D98F6B" w14:textId="77777777" w:rsidR="007F4BBE" w:rsidRDefault="007F4BBE" w:rsidP="009306D8">
      <w:pPr>
        <w:rPr>
          <w:b/>
          <w:bCs/>
        </w:rPr>
      </w:pPr>
    </w:p>
    <w:p w14:paraId="2DEA5792" w14:textId="77777777" w:rsidR="007F4BBE" w:rsidRDefault="007F4BBE" w:rsidP="009306D8">
      <w:pPr>
        <w:rPr>
          <w:b/>
          <w:bCs/>
        </w:rPr>
      </w:pPr>
    </w:p>
    <w:sectPr w:rsidR="007F4BB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460FB" w14:textId="77777777" w:rsidR="004943F5" w:rsidRDefault="004943F5" w:rsidP="00072135">
      <w:pPr>
        <w:spacing w:after="0" w:line="240" w:lineRule="auto"/>
      </w:pPr>
      <w:r>
        <w:separator/>
      </w:r>
    </w:p>
  </w:endnote>
  <w:endnote w:type="continuationSeparator" w:id="0">
    <w:p w14:paraId="6F0B7F86" w14:textId="77777777" w:rsidR="004943F5" w:rsidRDefault="004943F5" w:rsidP="00072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4998C" w14:textId="77777777" w:rsidR="00072135" w:rsidRDefault="00072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D77E8" w14:textId="77777777" w:rsidR="00072135" w:rsidRDefault="00072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BC292" w14:textId="77777777" w:rsidR="00072135" w:rsidRDefault="00072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A65F1" w14:textId="77777777" w:rsidR="004943F5" w:rsidRDefault="004943F5" w:rsidP="00072135">
      <w:pPr>
        <w:spacing w:after="0" w:line="240" w:lineRule="auto"/>
      </w:pPr>
      <w:r>
        <w:separator/>
      </w:r>
    </w:p>
  </w:footnote>
  <w:footnote w:type="continuationSeparator" w:id="0">
    <w:p w14:paraId="237DAEA1" w14:textId="77777777" w:rsidR="004943F5" w:rsidRDefault="004943F5" w:rsidP="00072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4CC0E" w14:textId="35879CDC" w:rsidR="00072135" w:rsidRDefault="00072135">
    <w:pPr>
      <w:pStyle w:val="Header"/>
    </w:pPr>
    <w:r>
      <w:rPr>
        <w:noProof/>
      </w:rPr>
      <w:pict w14:anchorId="44596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815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AF2B4" w14:textId="292A6FB7" w:rsidR="00072135" w:rsidRDefault="00072135">
    <w:pPr>
      <w:pStyle w:val="Header"/>
    </w:pPr>
    <w:r>
      <w:rPr>
        <w:noProof/>
      </w:rPr>
      <w:pict w14:anchorId="7D5B0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815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C229" w14:textId="65C26F06" w:rsidR="00072135" w:rsidRDefault="00072135">
    <w:pPr>
      <w:pStyle w:val="Header"/>
    </w:pPr>
    <w:r>
      <w:rPr>
        <w:noProof/>
      </w:rPr>
      <w:pict w14:anchorId="19E448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815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7D35"/>
    <w:multiLevelType w:val="multilevel"/>
    <w:tmpl w:val="6DE090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E30E7"/>
    <w:multiLevelType w:val="multilevel"/>
    <w:tmpl w:val="B8B6C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D40C61"/>
    <w:multiLevelType w:val="multilevel"/>
    <w:tmpl w:val="295E4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D357FE"/>
    <w:multiLevelType w:val="multilevel"/>
    <w:tmpl w:val="0242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4C774C"/>
    <w:multiLevelType w:val="multilevel"/>
    <w:tmpl w:val="E1643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D91F18"/>
    <w:multiLevelType w:val="multilevel"/>
    <w:tmpl w:val="0C101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450E2A"/>
    <w:multiLevelType w:val="multilevel"/>
    <w:tmpl w:val="3C1EB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FE377A"/>
    <w:multiLevelType w:val="multilevel"/>
    <w:tmpl w:val="14AEB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912D65"/>
    <w:multiLevelType w:val="multilevel"/>
    <w:tmpl w:val="7B9C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2"/>
  </w:num>
  <w:num w:numId="5">
    <w:abstractNumId w:val="0"/>
  </w:num>
  <w:num w:numId="6">
    <w:abstractNumId w:val="5"/>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D8"/>
    <w:rsid w:val="00037C0A"/>
    <w:rsid w:val="00072135"/>
    <w:rsid w:val="0008302C"/>
    <w:rsid w:val="00163185"/>
    <w:rsid w:val="00230E1E"/>
    <w:rsid w:val="00294FAB"/>
    <w:rsid w:val="002B66EE"/>
    <w:rsid w:val="002D4D93"/>
    <w:rsid w:val="003443C0"/>
    <w:rsid w:val="00385E78"/>
    <w:rsid w:val="003D7AA5"/>
    <w:rsid w:val="004073BE"/>
    <w:rsid w:val="00466CB2"/>
    <w:rsid w:val="004943F5"/>
    <w:rsid w:val="004A033A"/>
    <w:rsid w:val="004D7784"/>
    <w:rsid w:val="0058573B"/>
    <w:rsid w:val="006B2A47"/>
    <w:rsid w:val="006C4E40"/>
    <w:rsid w:val="00723A54"/>
    <w:rsid w:val="0073439B"/>
    <w:rsid w:val="00795094"/>
    <w:rsid w:val="007C37BF"/>
    <w:rsid w:val="007F4BBE"/>
    <w:rsid w:val="00876DA2"/>
    <w:rsid w:val="008D7BD0"/>
    <w:rsid w:val="008E172A"/>
    <w:rsid w:val="00916901"/>
    <w:rsid w:val="009306D8"/>
    <w:rsid w:val="00977A59"/>
    <w:rsid w:val="009C632F"/>
    <w:rsid w:val="00A61FDB"/>
    <w:rsid w:val="00B76662"/>
    <w:rsid w:val="00B83EC6"/>
    <w:rsid w:val="00BC32D3"/>
    <w:rsid w:val="00C305B3"/>
    <w:rsid w:val="00C3442A"/>
    <w:rsid w:val="00C35D0A"/>
    <w:rsid w:val="00CC44B9"/>
    <w:rsid w:val="00D009FB"/>
    <w:rsid w:val="00D04751"/>
    <w:rsid w:val="00D87B23"/>
    <w:rsid w:val="00E22399"/>
    <w:rsid w:val="00E4023A"/>
    <w:rsid w:val="00E700E7"/>
    <w:rsid w:val="00E77158"/>
    <w:rsid w:val="00ED64C5"/>
    <w:rsid w:val="00EE4BED"/>
    <w:rsid w:val="00F52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D02F98"/>
  <w15:chartTrackingRefBased/>
  <w15:docId w15:val="{4146E66E-6FAB-4E2B-B6D9-F4337D7F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6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06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06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06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06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06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6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6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6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6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06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06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06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06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0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6D8"/>
    <w:rPr>
      <w:rFonts w:eastAsiaTheme="majorEastAsia" w:cstheme="majorBidi"/>
      <w:color w:val="272727" w:themeColor="text1" w:themeTint="D8"/>
    </w:rPr>
  </w:style>
  <w:style w:type="paragraph" w:styleId="Title">
    <w:name w:val="Title"/>
    <w:basedOn w:val="Normal"/>
    <w:next w:val="Normal"/>
    <w:link w:val="TitleChar"/>
    <w:uiPriority w:val="10"/>
    <w:qFormat/>
    <w:rsid w:val="00930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6D8"/>
    <w:pPr>
      <w:spacing w:before="160"/>
      <w:jc w:val="center"/>
    </w:pPr>
    <w:rPr>
      <w:i/>
      <w:iCs/>
      <w:color w:val="404040" w:themeColor="text1" w:themeTint="BF"/>
    </w:rPr>
  </w:style>
  <w:style w:type="character" w:customStyle="1" w:styleId="QuoteChar">
    <w:name w:val="Quote Char"/>
    <w:basedOn w:val="DefaultParagraphFont"/>
    <w:link w:val="Quote"/>
    <w:uiPriority w:val="29"/>
    <w:rsid w:val="009306D8"/>
    <w:rPr>
      <w:i/>
      <w:iCs/>
      <w:color w:val="404040" w:themeColor="text1" w:themeTint="BF"/>
    </w:rPr>
  </w:style>
  <w:style w:type="paragraph" w:styleId="ListParagraph">
    <w:name w:val="List Paragraph"/>
    <w:basedOn w:val="Normal"/>
    <w:uiPriority w:val="34"/>
    <w:qFormat/>
    <w:rsid w:val="009306D8"/>
    <w:pPr>
      <w:ind w:left="720"/>
      <w:contextualSpacing/>
    </w:pPr>
  </w:style>
  <w:style w:type="character" w:styleId="IntenseEmphasis">
    <w:name w:val="Intense Emphasis"/>
    <w:basedOn w:val="DefaultParagraphFont"/>
    <w:uiPriority w:val="21"/>
    <w:qFormat/>
    <w:rsid w:val="009306D8"/>
    <w:rPr>
      <w:i/>
      <w:iCs/>
      <w:color w:val="2F5496" w:themeColor="accent1" w:themeShade="BF"/>
    </w:rPr>
  </w:style>
  <w:style w:type="paragraph" w:styleId="IntenseQuote">
    <w:name w:val="Intense Quote"/>
    <w:basedOn w:val="Normal"/>
    <w:next w:val="Normal"/>
    <w:link w:val="IntenseQuoteChar"/>
    <w:uiPriority w:val="30"/>
    <w:qFormat/>
    <w:rsid w:val="009306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06D8"/>
    <w:rPr>
      <w:i/>
      <w:iCs/>
      <w:color w:val="2F5496" w:themeColor="accent1" w:themeShade="BF"/>
    </w:rPr>
  </w:style>
  <w:style w:type="character" w:styleId="IntenseReference">
    <w:name w:val="Intense Reference"/>
    <w:basedOn w:val="DefaultParagraphFont"/>
    <w:uiPriority w:val="32"/>
    <w:qFormat/>
    <w:rsid w:val="009306D8"/>
    <w:rPr>
      <w:b/>
      <w:bCs/>
      <w:smallCaps/>
      <w:color w:val="2F5496" w:themeColor="accent1" w:themeShade="BF"/>
      <w:spacing w:val="5"/>
    </w:rPr>
  </w:style>
  <w:style w:type="paragraph" w:styleId="NoSpacing">
    <w:name w:val="No Spacing"/>
    <w:uiPriority w:val="1"/>
    <w:qFormat/>
    <w:rsid w:val="00037C0A"/>
    <w:pPr>
      <w:spacing w:after="0" w:line="240" w:lineRule="auto"/>
    </w:pPr>
  </w:style>
  <w:style w:type="character" w:styleId="Hyperlink">
    <w:name w:val="Hyperlink"/>
    <w:basedOn w:val="DefaultParagraphFont"/>
    <w:uiPriority w:val="99"/>
    <w:unhideWhenUsed/>
    <w:rsid w:val="00B76662"/>
    <w:rPr>
      <w:color w:val="0563C1" w:themeColor="hyperlink"/>
      <w:u w:val="single"/>
    </w:rPr>
  </w:style>
  <w:style w:type="character" w:styleId="UnresolvedMention">
    <w:name w:val="Unresolved Mention"/>
    <w:basedOn w:val="DefaultParagraphFont"/>
    <w:uiPriority w:val="99"/>
    <w:semiHidden/>
    <w:unhideWhenUsed/>
    <w:rsid w:val="00B76662"/>
    <w:rPr>
      <w:color w:val="605E5C"/>
      <w:shd w:val="clear" w:color="auto" w:fill="E1DFDD"/>
    </w:rPr>
  </w:style>
  <w:style w:type="paragraph" w:styleId="Header">
    <w:name w:val="header"/>
    <w:basedOn w:val="Normal"/>
    <w:link w:val="HeaderChar"/>
    <w:uiPriority w:val="99"/>
    <w:unhideWhenUsed/>
    <w:rsid w:val="00072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135"/>
  </w:style>
  <w:style w:type="paragraph" w:styleId="Footer">
    <w:name w:val="footer"/>
    <w:basedOn w:val="Normal"/>
    <w:link w:val="FooterChar"/>
    <w:uiPriority w:val="99"/>
    <w:unhideWhenUsed/>
    <w:rsid w:val="00072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53/jcj.56.359" TargetMode="External"/><Relationship Id="rId13" Type="http://schemas.openxmlformats.org/officeDocument/2006/relationships/hyperlink" Target="https://www.cambridge.org/core/books/worldwide-variation-in-human-growth/"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doi.org/10.1136/bmj.1.6170.1044"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59/0007-1285-55-654-399" TargetMode="External"/><Relationship Id="rId5" Type="http://schemas.openxmlformats.org/officeDocument/2006/relationships/footnotes" Target="footnotes.xml"/><Relationship Id="rId15" Type="http://schemas.openxmlformats.org/officeDocument/2006/relationships/hyperlink" Target="https://doi.org/10.1186/1532-429X-14-77" TargetMode="External"/><Relationship Id="rId23" Type="http://schemas.openxmlformats.org/officeDocument/2006/relationships/theme" Target="theme/theme1.xml"/><Relationship Id="rId10" Type="http://schemas.openxmlformats.org/officeDocument/2006/relationships/hyperlink" Target="https://doi.org/10.1093/oxfordjournals.aje.a120925"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97/00000441-191904000-00007" TargetMode="External"/><Relationship Id="rId14" Type="http://schemas.openxmlformats.org/officeDocument/2006/relationships/hyperlink" Target="https://doi.org/10.1016/s0894-7317(05)80003-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10</Pages>
  <Words>3314</Words>
  <Characters>18895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 ugboma</dc:creator>
  <cp:keywords/>
  <dc:description/>
  <cp:lastModifiedBy>SDI 1084</cp:lastModifiedBy>
  <cp:revision>21</cp:revision>
  <dcterms:created xsi:type="dcterms:W3CDTF">2025-12-05T21:08:00Z</dcterms:created>
  <dcterms:modified xsi:type="dcterms:W3CDTF">2025-12-17T11:40:00Z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619a2204-ec8c-4d97-920a-73fb403285e4</vt:lpwstr>
  </property>
</Properties>
</file>