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98F" w:rsidRDefault="0061498F">
      <w:pPr>
        <w:rPr>
          <w:rFonts w:ascii="Times New Roman" w:hAnsi="Times New Roman"/>
          <w:sz w:val="20"/>
        </w:rPr>
      </w:pPr>
      <w:bookmarkStart w:id="0" w:name="_GoBack"/>
      <w:bookmarkEnd w:id="0"/>
    </w:p>
    <w:p w:rsidR="0061498F" w:rsidRDefault="0061498F">
      <w:pPr>
        <w:jc w:val="both"/>
        <w:rPr>
          <w:rFonts w:ascii="Times New Roman" w:eastAsia="SimSun" w:hAnsi="Times New Roman"/>
          <w:b/>
          <w:sz w:val="32"/>
          <w:szCs w:val="32"/>
        </w:rPr>
      </w:pPr>
      <w:r>
        <w:rPr>
          <w:rFonts w:ascii="Times New Roman" w:eastAsia="SimSun" w:hAnsi="Times New Roman"/>
          <w:b/>
          <w:sz w:val="32"/>
          <w:szCs w:val="32"/>
        </w:rPr>
        <w:t>Local SD Estimation Using SE-Defined Partitions:</w:t>
      </w:r>
      <w:r w:rsidR="00011625">
        <w:rPr>
          <w:rFonts w:ascii="Times New Roman" w:eastAsia="SimSun" w:hAnsi="Times New Roman"/>
          <w:b/>
          <w:sz w:val="32"/>
          <w:szCs w:val="32"/>
        </w:rPr>
        <w:t xml:space="preserve"> </w:t>
      </w:r>
      <w:r>
        <w:rPr>
          <w:rFonts w:ascii="Times New Roman" w:eastAsia="SimSun" w:hAnsi="Times New Roman"/>
          <w:b/>
          <w:sz w:val="32"/>
          <w:szCs w:val="32"/>
        </w:rPr>
        <w:t>A Missing Component of Classical Variability Analysis</w:t>
      </w:r>
    </w:p>
    <w:p w:rsidR="003636A2" w:rsidRDefault="003636A2">
      <w:pPr>
        <w:spacing w:line="360" w:lineRule="auto"/>
        <w:jc w:val="both"/>
        <w:rPr>
          <w:rFonts w:ascii="Times New Roman" w:eastAsia="SimSun" w:hAnsi="Times New Roman"/>
          <w:b/>
        </w:rPr>
      </w:pPr>
    </w:p>
    <w:p w:rsidR="0061498F" w:rsidRDefault="0061498F">
      <w:pPr>
        <w:spacing w:line="360" w:lineRule="auto"/>
        <w:jc w:val="both"/>
        <w:rPr>
          <w:rFonts w:ascii="Times New Roman" w:eastAsia="SimSun" w:hAnsi="Times New Roman"/>
        </w:rPr>
      </w:pPr>
      <w:r>
        <w:rPr>
          <w:rFonts w:ascii="Times New Roman" w:eastAsia="SimSun" w:hAnsi="Times New Roman"/>
          <w:b/>
        </w:rPr>
        <w:t xml:space="preserve">Abstract </w:t>
      </w:r>
    </w:p>
    <w:p w:rsidR="0061498F" w:rsidRDefault="0061498F">
      <w:pPr>
        <w:pStyle w:val="Heading2"/>
        <w:spacing w:line="360" w:lineRule="auto"/>
        <w:jc w:val="both"/>
        <w:rPr>
          <w:rFonts w:ascii="Times New Roman" w:hAnsi="Times New Roman"/>
          <w:b w:val="0"/>
          <w:sz w:val="24"/>
          <w:szCs w:val="24"/>
          <w:lang w:bidi="ar"/>
        </w:rPr>
      </w:pPr>
      <w:r>
        <w:rPr>
          <w:rFonts w:ascii="Times New Roman" w:hAnsi="Times New Roman"/>
          <w:b w:val="0"/>
          <w:sz w:val="24"/>
          <w:szCs w:val="24"/>
          <w:lang w:bidi="ar"/>
        </w:rPr>
        <w:t>Standard deviation (SD) is a classical global measure of dispersion, yet important local variability—particularly differences between central, mid-range, and tail regions of a distribution—may remain obscured. Although standard-error (SE) units are routinely used to interpret sampling behavior and estimator precision, classical methods do not explicitly quantify variability within these SE-defined regions. This research note introduces a simple, distribution-free approach for estimating local SD across fixed SE partitions (±1 SE, 1–2 SE, and 2–3 SE). Using a simulated example, we demonstrate substantial heterogeneity in variability that is not captured by the global SD alone. The results show that variability is systematically structured along the SE axis and that SE-aligned local SD estimation provides a missing yet essential descriptive refinement to classical variability analysis.</w:t>
      </w:r>
    </w:p>
    <w:p w:rsidR="0061498F" w:rsidRDefault="0061498F">
      <w:pPr>
        <w:pStyle w:val="Heading2"/>
        <w:rPr>
          <w:rFonts w:ascii="Times New Roman" w:hAnsi="Times New Roman"/>
          <w:sz w:val="24"/>
          <w:szCs w:val="24"/>
          <w:lang w:bidi="ar"/>
        </w:rPr>
      </w:pPr>
      <w:r>
        <w:rPr>
          <w:rStyle w:val="Strong"/>
          <w:rFonts w:ascii="Times New Roman" w:hAnsi="Times New Roman"/>
          <w:b/>
          <w:sz w:val="24"/>
          <w:szCs w:val="24"/>
          <w:lang w:bidi="ar"/>
        </w:rPr>
        <w:t>Keywords</w:t>
      </w:r>
    </w:p>
    <w:p w:rsidR="0061498F" w:rsidRDefault="0061498F">
      <w:pPr>
        <w:pStyle w:val="NormalWeb"/>
        <w:rPr>
          <w:rFonts w:ascii="Times New Roman" w:eastAsia="SimSun" w:hAnsi="Times New Roman"/>
          <w:lang w:bidi="ar"/>
        </w:rPr>
      </w:pPr>
      <w:r>
        <w:rPr>
          <w:rStyle w:val="Strong"/>
          <w:rFonts w:ascii="Times New Roman" w:eastAsia="SimSun" w:hAnsi="Times New Roman"/>
          <w:lang w:bidi="ar"/>
        </w:rPr>
        <w:t>Local standard deviation ;Standard-error partitions; Zone-wise variability; Heterogeneous dispersion ;Truncated distributions,zonal Epistemic Statistics (ZES)</w:t>
      </w:r>
    </w:p>
    <w:p w:rsidR="0061498F" w:rsidRDefault="0061498F">
      <w:pPr>
        <w:pStyle w:val="Heading2"/>
        <w:rPr>
          <w:rFonts w:ascii="Times New Roman" w:hAnsi="Times New Roman"/>
          <w:sz w:val="24"/>
          <w:szCs w:val="24"/>
          <w:lang w:bidi="ar"/>
        </w:rPr>
      </w:pPr>
      <w:r>
        <w:rPr>
          <w:rFonts w:ascii="Times New Roman" w:hAnsi="Times New Roman"/>
          <w:sz w:val="24"/>
          <w:szCs w:val="24"/>
          <w:lang w:bidi="ar"/>
        </w:rPr>
        <w:t>Introduction</w:t>
      </w:r>
    </w:p>
    <w:p w:rsidR="0061498F" w:rsidRDefault="0061498F">
      <w:pPr>
        <w:pStyle w:val="NormalWeb"/>
        <w:spacing w:line="360" w:lineRule="auto"/>
        <w:rPr>
          <w:rFonts w:ascii="Times New Roman" w:hAnsi="Times New Roman"/>
          <w:lang w:bidi="ar"/>
        </w:rPr>
      </w:pPr>
      <w:r>
        <w:rPr>
          <w:rFonts w:ascii="Times New Roman" w:hAnsi="Times New Roman"/>
          <w:lang w:bidi="ar"/>
        </w:rPr>
        <w:t xml:space="preserve">Global measures of variability—most commonly the standard deviation (SD)—play a foundational role in classical statistical analysis. The SD provides a single scalar summary of dispersion around a central estimate and is widely used in descriptive statistics, hypothesis testing, and the construction of confidence intervals (Casella &amp; Berger, 2002; Wasserman, 2004). While mathematically well-defined and computationally convenient, the SD is inherently a </w:t>
      </w:r>
      <w:r>
        <w:rPr>
          <w:rStyle w:val="Emphasis"/>
          <w:rFonts w:ascii="Times New Roman" w:eastAsia="SimSun" w:hAnsi="Times New Roman"/>
          <w:lang w:bidi="ar"/>
        </w:rPr>
        <w:t>global</w:t>
      </w:r>
      <w:r>
        <w:rPr>
          <w:rFonts w:ascii="Times New Roman" w:hAnsi="Times New Roman"/>
          <w:lang w:bidi="ar"/>
        </w:rPr>
        <w:t xml:space="preserve"> quantity, aggregating variability across the entire distribution into a single value.</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In parallel, classical statistical practice routinely interprets estimator behavior using </w:t>
      </w:r>
      <w:r>
        <w:rPr>
          <w:rStyle w:val="Strong"/>
          <w:rFonts w:ascii="Times New Roman" w:eastAsia="SimSun" w:hAnsi="Times New Roman"/>
          <w:lang w:bidi="ar"/>
        </w:rPr>
        <w:t>standard-error (SE)–scaled distances</w:t>
      </w:r>
      <w:r>
        <w:rPr>
          <w:rFonts w:ascii="Times New Roman" w:hAnsi="Times New Roman"/>
          <w:lang w:bidi="ar"/>
        </w:rPr>
        <w:t xml:space="preserve">. Expressions such as mean ±1 SE, ±2 SE, and </w:t>
      </w:r>
      <w:r>
        <w:rPr>
          <w:rFonts w:ascii="Times New Roman" w:hAnsi="Times New Roman"/>
          <w:lang w:bidi="ar"/>
        </w:rPr>
        <w:lastRenderedPageBreak/>
        <w:t xml:space="preserve">±3 SE are central to the interpretation of sampling distributions, asymptotic normality, and inferential precision (Rice, 2006; Wasserman, 2004). These SE-based regions are deeply embedded in statistical reasoning and serve as intuitive markers of estimator stability and extremeness. However, despite the widespread use of SE-scaled regions to </w:t>
      </w:r>
      <w:r>
        <w:rPr>
          <w:rStyle w:val="Emphasis"/>
          <w:rFonts w:ascii="Times New Roman" w:eastAsia="SimSun" w:hAnsi="Times New Roman"/>
          <w:lang w:bidi="ar"/>
        </w:rPr>
        <w:t>locate</w:t>
      </w:r>
      <w:r>
        <w:rPr>
          <w:rFonts w:ascii="Times New Roman" w:hAnsi="Times New Roman"/>
          <w:lang w:bidi="ar"/>
        </w:rPr>
        <w:t xml:space="preserve"> observations, variability itself is rarely examined </w:t>
      </w:r>
      <w:r>
        <w:rPr>
          <w:rStyle w:val="Emphasis"/>
          <w:rFonts w:ascii="Times New Roman" w:eastAsia="SimSun" w:hAnsi="Times New Roman"/>
          <w:lang w:bidi="ar"/>
        </w:rPr>
        <w:t>within</w:t>
      </w:r>
      <w:r>
        <w:rPr>
          <w:rFonts w:ascii="Times New Roman" w:hAnsi="Times New Roman"/>
          <w:lang w:bidi="ar"/>
        </w:rPr>
        <w:t xml:space="preserve"> these regions.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This asymmetry reveals a conceptual gap in classical variability analysis. While inference is routinely framed in SE units, dispersion is still summarized exclusively by a single global SD. As a result, important forms of heterogeneity—such as asymmetric spread, tail inflation, or localized instability—may remain hidden when variability is averaged over the full distribution (Wilcox, 2012). In applied settings, this limitation may lead to overly optimistic interpretations of stability or precision, particularly when variability differs across central and peripheral regions of the estimation axis.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Empirical evidence across disciplines suggests that variability is often non-uniform. In biomedical data, dispersion may increase near diagnostic thresholds (Altman &amp; Bland, 1995). In economic and financial data, volatility is frequently concentrated in the tails (Cont, 2001). Even in approximately normal distributions, conditional or truncated subsets can exhibit variance structures that differ substantially from the global distribution (Cleveland, 1979). Yet classical SD-based summaries do not provide a mechanism for identifying or quantifying such local differences.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The present work addresses this gap by introducing a </w:t>
      </w:r>
      <w:r>
        <w:rPr>
          <w:rStyle w:val="Strong"/>
          <w:rFonts w:ascii="Times New Roman" w:eastAsia="SimSun" w:hAnsi="Times New Roman"/>
          <w:lang w:bidi="ar"/>
        </w:rPr>
        <w:t>zone-wise estimation of SD within fixed SE-defined partitions</w:t>
      </w:r>
      <w:r>
        <w:rPr>
          <w:rFonts w:ascii="Times New Roman" w:hAnsi="Times New Roman"/>
          <w:lang w:bidi="ar"/>
        </w:rPr>
        <w:t>. Rather than modifying inferential logic or introducing new distributional assumptions, the proposed approach remains fully within the classical framework. It leverages the existing SE structure already implicit in confidence-interval interpretation and computes SD locally within contiguous SE bands. This allows variability to be examined at a finer resolution while preserving compatibility with standard statistical practice.</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By exposing how dispersion behaves across different SE-defined regions, the method provides a more informative characterization of variability than a single global SD alone. Although the approach is classical in construction, it reveals structural features of uncertainty that are not explicitly represented in standard analyses. These findings </w:t>
      </w:r>
      <w:r>
        <w:rPr>
          <w:rFonts w:ascii="Times New Roman" w:hAnsi="Times New Roman"/>
          <w:lang w:bidi="ar"/>
        </w:rPr>
        <w:lastRenderedPageBreak/>
        <w:t>motivate a more refined view of variability and point toward the potential value of zonal perspectives on uncertainty representation, which are explored further in later sections.</w:t>
      </w:r>
    </w:p>
    <w:p w:rsidR="0061498F" w:rsidRDefault="0061498F">
      <w:pPr>
        <w:pStyle w:val="Heading1"/>
        <w:spacing w:line="360" w:lineRule="auto"/>
        <w:jc w:val="both"/>
        <w:rPr>
          <w:rFonts w:ascii="Times New Roman" w:hAnsi="Times New Roman"/>
          <w:sz w:val="24"/>
          <w:szCs w:val="24"/>
        </w:rPr>
      </w:pPr>
      <w:r>
        <w:rPr>
          <w:rFonts w:ascii="Times New Roman" w:hAnsi="Times New Roman"/>
          <w:sz w:val="24"/>
          <w:szCs w:val="24"/>
        </w:rPr>
        <w:t>Method</w:t>
      </w:r>
    </w:p>
    <w:p w:rsidR="0061498F" w:rsidRDefault="0061498F">
      <w:pPr>
        <w:spacing w:line="360" w:lineRule="auto"/>
        <w:jc w:val="both"/>
        <w:rPr>
          <w:rFonts w:ascii="Times New Roman" w:hAnsi="Times New Roman"/>
        </w:rPr>
      </w:pPr>
      <w:r>
        <w:rPr>
          <w:rFonts w:ascii="Times New Roman" w:hAnsi="Times New Roman"/>
        </w:rPr>
        <w:t>To address this limitation, we propose a simple, distribution-agnostic approach: computing local standard deviation (SD) within fixed SE–based partitions. This procedure yields a zone-wise SD profile along the standardized axis, enabling systematic comparison of variability across central, mid-range, and tail regions of the distribution. Unlike the global SD, which collapses dispersion into a single summary measure, the zone-wise SD captures structured changes in variability that may have methodological, diagnostic, or modeling relevance.</w:t>
      </w:r>
    </w:p>
    <w:p w:rsidR="0061498F" w:rsidRDefault="0061498F">
      <w:pPr>
        <w:spacing w:line="360" w:lineRule="auto"/>
        <w:jc w:val="both"/>
        <w:rPr>
          <w:rFonts w:ascii="Times New Roman" w:hAnsi="Times New Roman"/>
        </w:rPr>
      </w:pPr>
      <w:r>
        <w:rPr>
          <w:rFonts w:ascii="Times New Roman" w:hAnsi="Times New Roman"/>
        </w:rPr>
        <w:t>Let X denote a standardized variable expressed in SE units. The estimation axis is divided into contiguous intervals defined by classical SE boundaries:</w:t>
      </w:r>
    </w:p>
    <w:p w:rsidR="0061498F" w:rsidRDefault="0061498F">
      <w:pPr>
        <w:spacing w:line="360" w:lineRule="auto"/>
        <w:jc w:val="both"/>
        <w:rPr>
          <w:rFonts w:ascii="Times New Roman" w:hAnsi="Times New Roman"/>
        </w:rPr>
      </w:pPr>
      <w:r>
        <w:rPr>
          <w:rFonts w:ascii="Times New Roman" w:hAnsi="Times New Roman"/>
        </w:rPr>
        <w:t>(μ − 3SE, μ − 2SE]</w:t>
      </w:r>
      <w:r>
        <w:rPr>
          <w:rFonts w:ascii="Times New Roman" w:hAnsi="Times New Roman"/>
        </w:rPr>
        <w:br/>
        <w:t>(μ − 2SE, μ − 1SE]</w:t>
      </w:r>
      <w:r>
        <w:rPr>
          <w:rFonts w:ascii="Times New Roman" w:hAnsi="Times New Roman"/>
        </w:rPr>
        <w:br/>
        <w:t>(μ − 1SE, μ + 1SE]</w:t>
      </w:r>
      <w:r>
        <w:rPr>
          <w:rFonts w:ascii="Times New Roman" w:hAnsi="Times New Roman"/>
        </w:rPr>
        <w:br/>
        <w:t>(μ + 1SE, μ + 2SE]</w:t>
      </w:r>
      <w:r>
        <w:rPr>
          <w:rFonts w:ascii="Times New Roman" w:hAnsi="Times New Roman"/>
        </w:rPr>
        <w:br/>
        <w:t>(μ + 2SE, μ + 3SE]</w:t>
      </w:r>
    </w:p>
    <w:p w:rsidR="0061498F" w:rsidRDefault="0061498F">
      <w:pPr>
        <w:spacing w:line="360" w:lineRule="auto"/>
        <w:jc w:val="both"/>
        <w:rPr>
          <w:rFonts w:ascii="Times New Roman" w:hAnsi="Times New Roman"/>
        </w:rPr>
      </w:pPr>
      <w:r>
        <w:rPr>
          <w:rFonts w:ascii="Times New Roman" w:hAnsi="Times New Roman"/>
        </w:rPr>
        <w:t>Extreme tails may optionally be defined as (−∞, μ − 3SE] and (μ + 3SE, ∞). These partitions are classical truncations of the real line and impose no additional distributional assumptions.</w:t>
      </w:r>
    </w:p>
    <w:p w:rsidR="0061498F" w:rsidRDefault="0061498F">
      <w:pPr>
        <w:spacing w:line="360" w:lineRule="auto"/>
        <w:jc w:val="both"/>
        <w:rPr>
          <w:rFonts w:ascii="Times New Roman" w:hAnsi="Times New Roman"/>
        </w:rPr>
      </w:pPr>
      <w:r>
        <w:rPr>
          <w:rFonts w:ascii="Times New Roman" w:hAnsi="Times New Roman"/>
        </w:rPr>
        <w:t>Although the partitions are defined here purely as fixed SE-based intervals, they naturally correspond to regions of differential stability along the estimation axis. This follows directly from classical variance structure. Within ±1 SE of the mean, the sampling distribution exhibits its highest density and lowest curvature, such that small perturbations in the data lead to proportionally small changes in the estimator. This central region therefore displays maximal numerical stability and minimal inferential volatility.</w:t>
      </w:r>
    </w:p>
    <w:p w:rsidR="0061498F" w:rsidRDefault="0061498F">
      <w:pPr>
        <w:spacing w:line="360" w:lineRule="auto"/>
        <w:jc w:val="both"/>
        <w:rPr>
          <w:rFonts w:ascii="Times New Roman" w:hAnsi="Times New Roman"/>
        </w:rPr>
      </w:pPr>
      <w:r>
        <w:rPr>
          <w:rFonts w:ascii="Times New Roman" w:hAnsi="Times New Roman"/>
        </w:rPr>
        <w:lastRenderedPageBreak/>
        <w:t>Between 1 and 2 SE from the mean, sampling density declines and curvature increases, implying that identical perturbations produce larger estimator shifts. This region represents a transitional zone of moderate instability and reduced local precision. Beyond 2 SE, probability mass becomes sparse, variability increases markedly, and estimator sensitivity to noise is high, yielding substantial instability and inflated uncertainty. Consequently, the SE-scaled axis decomposes naturally into central (stable), mid-range (transitional), and tail (unstable) zones of inference. This provides a mathematically grounded rationale for treating SE-defined partitions as regions of differential stability.</w:t>
      </w:r>
    </w:p>
    <w:p w:rsidR="0061498F" w:rsidRDefault="0061498F">
      <w:pPr>
        <w:spacing w:line="360" w:lineRule="auto"/>
        <w:jc w:val="both"/>
        <w:rPr>
          <w:rFonts w:ascii="Times New Roman" w:hAnsi="Times New Roman"/>
        </w:rPr>
      </w:pPr>
      <w:r>
        <w:rPr>
          <w:rFonts w:ascii="Times New Roman" w:hAnsi="Times New Roman"/>
        </w:rPr>
        <w:t>For each interval I_j, the local SD is computed using only observations within that interval:</w:t>
      </w:r>
    </w:p>
    <w:p w:rsidR="0061498F" w:rsidRDefault="0061498F">
      <w:pPr>
        <w:spacing w:line="360" w:lineRule="auto"/>
        <w:jc w:val="both"/>
        <w:rPr>
          <w:rFonts w:ascii="Times New Roman" w:hAnsi="Times New Roman"/>
        </w:rPr>
      </w:pPr>
      <w:r>
        <w:rPr>
          <w:rFonts w:ascii="Times New Roman" w:hAnsi="Times New Roman"/>
        </w:rPr>
        <w:t xml:space="preserve">SD_j = sqrt( (1 / (n_j − 1)) * Σ_{i </w:t>
      </w:r>
      <w:r>
        <w:rPr>
          <w:rFonts w:ascii="Cambria Math" w:hAnsi="Cambria Math" w:cs="Cambria Math"/>
        </w:rPr>
        <w:t>∈</w:t>
      </w:r>
      <w:r>
        <w:rPr>
          <w:rFonts w:ascii="Times New Roman" w:hAnsi="Times New Roman"/>
        </w:rPr>
        <w:t xml:space="preserve"> I_j} (x_i − x̄_j)^2 )</w:t>
      </w:r>
    </w:p>
    <w:p w:rsidR="0061498F" w:rsidRDefault="0061498F">
      <w:pPr>
        <w:spacing w:line="360" w:lineRule="auto"/>
        <w:jc w:val="both"/>
        <w:rPr>
          <w:rFonts w:ascii="Times New Roman" w:hAnsi="Times New Roman"/>
        </w:rPr>
      </w:pPr>
      <w:r>
        <w:rPr>
          <w:rFonts w:ascii="Times New Roman" w:hAnsi="Times New Roman"/>
        </w:rPr>
        <w:t>where n_j and x̄_j denote the sample size and sample mean within interval I_j, respectively. This yields a set of zone-wise SD values:</w:t>
      </w:r>
    </w:p>
    <w:p w:rsidR="0061498F" w:rsidRDefault="0061498F">
      <w:pPr>
        <w:spacing w:line="360" w:lineRule="auto"/>
        <w:jc w:val="both"/>
        <w:rPr>
          <w:rFonts w:ascii="Times New Roman" w:hAnsi="Times New Roman"/>
        </w:rPr>
      </w:pPr>
      <w:r>
        <w:rPr>
          <w:rFonts w:ascii="Times New Roman" w:hAnsi="Times New Roman"/>
        </w:rPr>
        <w:t>{ SD_{−3 to −2}, SD_{−2 to −1}, SD_{−1 to +1}, SD_{+1 to +2}, SD_{+2 to +3} }</w:t>
      </w:r>
    </w:p>
    <w:p w:rsidR="0061498F" w:rsidRDefault="0061498F">
      <w:pPr>
        <w:spacing w:line="360" w:lineRule="auto"/>
        <w:jc w:val="both"/>
        <w:rPr>
          <w:rFonts w:ascii="Times New Roman" w:hAnsi="Times New Roman"/>
        </w:rPr>
      </w:pPr>
      <w:r>
        <w:rPr>
          <w:rFonts w:ascii="Times New Roman" w:hAnsi="Times New Roman"/>
        </w:rPr>
        <w:t>which together constitute a localized variability profile across the SE-defined structure of the distribution.</w:t>
      </w:r>
    </w:p>
    <w:p w:rsidR="0061498F" w:rsidRDefault="0061498F">
      <w:pPr>
        <w:spacing w:before="0" w:beforeAutospacing="0" w:after="200" w:afterAutospacing="0" w:line="360" w:lineRule="auto"/>
        <w:jc w:val="both"/>
        <w:rPr>
          <w:rFonts w:ascii="Times New Roman" w:eastAsia="MS Mincho" w:hAnsi="Times New Roman"/>
          <w:b/>
          <w:lang w:bidi="ar"/>
        </w:rPr>
      </w:pPr>
      <w:r>
        <w:rPr>
          <w:rFonts w:ascii="Times New Roman" w:eastAsia="MS Mincho" w:hAnsi="Times New Roman"/>
          <w:b/>
          <w:lang w:bidi="ar"/>
        </w:rPr>
        <w:t>Simulated Example</w:t>
      </w:r>
    </w:p>
    <w:p w:rsidR="0061498F" w:rsidRDefault="0061498F">
      <w:pPr>
        <w:spacing w:before="0" w:beforeAutospacing="0" w:after="200" w:afterAutospacing="0" w:line="360" w:lineRule="auto"/>
        <w:jc w:val="both"/>
        <w:rPr>
          <w:rFonts w:ascii="Times New Roman" w:eastAsia="SimSun" w:hAnsi="Times New Roman"/>
        </w:rPr>
      </w:pPr>
      <w:r>
        <w:rPr>
          <w:rFonts w:ascii="Times New Roman" w:eastAsia="SimSun" w:hAnsi="Times New Roman"/>
        </w:rPr>
        <w:t>To illustrate the proposed approach, a simulation study was conducted using N=10,000N = 10{,}000N=10,000 observations generated from a mixture distribution designed to exhibit heterogeneous variance across different regions of the distribution. Following standardization, observations were partitioned using fixed SE-based intervals as defined in the Method section (Figure 1).</w:t>
      </w:r>
    </w:p>
    <w:p w:rsidR="0061498F" w:rsidRDefault="0061498F">
      <w:pPr>
        <w:spacing w:before="0" w:beforeAutospacing="0" w:after="200" w:afterAutospacing="0" w:line="360" w:lineRule="auto"/>
        <w:jc w:val="both"/>
        <w:rPr>
          <w:rFonts w:ascii="Times New Roman" w:hAnsi="Times New Roman"/>
        </w:rPr>
      </w:pPr>
      <w:r>
        <w:rPr>
          <w:rFonts w:ascii="Times New Roman" w:eastAsia="SimSun" w:hAnsi="Times New Roman"/>
        </w:rPr>
        <w:t xml:space="preserve">The global standard deviation of the standardized sample was SD=1.07SD = 1.07 </w:t>
      </w:r>
      <w:r>
        <w:rPr>
          <w:rFonts w:ascii="Times New Roman" w:eastAsia="MS Mincho" w:hAnsi="Times New Roman"/>
          <w:lang w:bidi="ar"/>
        </w:rPr>
        <w:t>.</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Zone-wise SD estimates revealed substantial heterogeneity across SE-defined regions:</w:t>
      </w:r>
    </w:p>
    <w:p w:rsidR="0061498F" w:rsidRDefault="0061498F">
      <w:pPr>
        <w:spacing w:before="0" w:beforeAutospacing="0" w:after="200" w:afterAutospacing="0" w:line="360" w:lineRule="auto"/>
        <w:jc w:val="both"/>
        <w:rPr>
          <w:rFonts w:ascii="Times New Roman" w:hAnsi="Times New Roman"/>
        </w:rPr>
      </w:pPr>
      <w:r>
        <w:rPr>
          <w:rFonts w:ascii="Times New Roman" w:eastAsia="MS Mincho" w:hAnsi="Times New Roman"/>
          <w:lang w:bidi="ar"/>
        </w:rPr>
        <w:t>• μ−3SE to μ−2SE: 1.42</w:t>
      </w:r>
    </w:p>
    <w:p w:rsidR="0061498F" w:rsidRDefault="0061498F">
      <w:pPr>
        <w:spacing w:before="0" w:beforeAutospacing="0" w:after="200" w:afterAutospacing="0" w:line="360" w:lineRule="auto"/>
        <w:jc w:val="both"/>
        <w:rPr>
          <w:rFonts w:ascii="Times New Roman" w:hAnsi="Times New Roman"/>
        </w:rPr>
      </w:pPr>
      <w:r>
        <w:rPr>
          <w:rFonts w:ascii="Times New Roman" w:eastAsia="MS Mincho" w:hAnsi="Times New Roman"/>
          <w:lang w:bidi="ar"/>
        </w:rPr>
        <w:t>• μ−2SE to μ−1SE: 0.96</w:t>
      </w:r>
    </w:p>
    <w:p w:rsidR="0061498F" w:rsidRDefault="0061498F">
      <w:pPr>
        <w:spacing w:before="0" w:beforeAutospacing="0" w:after="200" w:afterAutospacing="0" w:line="360" w:lineRule="auto"/>
        <w:jc w:val="both"/>
        <w:rPr>
          <w:rFonts w:ascii="Times New Roman" w:hAnsi="Times New Roman"/>
        </w:rPr>
      </w:pPr>
      <w:r>
        <w:rPr>
          <w:rFonts w:ascii="Times New Roman" w:eastAsia="MS Mincho" w:hAnsi="Times New Roman"/>
          <w:lang w:bidi="ar"/>
        </w:rPr>
        <w:lastRenderedPageBreak/>
        <w:t>• μ−1SE to μ+1SE: 0.58</w:t>
      </w:r>
    </w:p>
    <w:p w:rsidR="0061498F" w:rsidRDefault="0061498F">
      <w:pPr>
        <w:spacing w:before="0" w:beforeAutospacing="0" w:after="200" w:afterAutospacing="0" w:line="360" w:lineRule="auto"/>
        <w:jc w:val="both"/>
        <w:rPr>
          <w:rFonts w:ascii="Times New Roman" w:hAnsi="Times New Roman"/>
        </w:rPr>
      </w:pPr>
      <w:r>
        <w:rPr>
          <w:rFonts w:ascii="Times New Roman" w:eastAsia="MS Mincho" w:hAnsi="Times New Roman"/>
          <w:lang w:bidi="ar"/>
        </w:rPr>
        <w:t>• μ+1SE to μ+2SE: 1.11</w:t>
      </w:r>
    </w:p>
    <w:p w:rsidR="0061498F" w:rsidRDefault="0061498F">
      <w:pPr>
        <w:spacing w:before="0" w:beforeAutospacing="0" w:after="200" w:afterAutospacing="0" w:line="360" w:lineRule="auto"/>
        <w:jc w:val="both"/>
        <w:rPr>
          <w:rFonts w:ascii="Times New Roman" w:eastAsia="MS Mincho" w:hAnsi="Times New Roman"/>
          <w:lang w:bidi="ar"/>
        </w:rPr>
      </w:pPr>
      <w:r>
        <w:rPr>
          <w:rFonts w:ascii="Times New Roman" w:eastAsia="MS Mincho" w:hAnsi="Times New Roman"/>
          <w:lang w:bidi="ar"/>
        </w:rPr>
        <w:t>• μ+2SE to μ+3SE: 1.53</w:t>
      </w:r>
    </w:p>
    <w:p w:rsidR="0061498F" w:rsidRDefault="0061498F">
      <w:pPr>
        <w:spacing w:line="360" w:lineRule="auto"/>
        <w:jc w:val="both"/>
        <w:rPr>
          <w:rFonts w:ascii="Times New Roman" w:eastAsia="SimSun" w:hAnsi="Times New Roman"/>
        </w:rPr>
      </w:pPr>
      <w:r>
        <w:rPr>
          <w:rFonts w:ascii="Times New Roman" w:eastAsia="SimSun" w:hAnsi="Times New Roman"/>
        </w:rPr>
        <w:t>Despite a moderate global SD, the zone-wise analysis reveals pronounced variability inflation in the tails and markedly lower dispersion in the central region. These results demonstrate how global SD obscures structured variability patterns that are readily detected through SE-based local SD estimation.</w:t>
      </w:r>
    </w:p>
    <w:p w:rsidR="0061498F" w:rsidRDefault="0061498F">
      <w:pPr>
        <w:pStyle w:val="Heading2"/>
        <w:spacing w:line="360" w:lineRule="auto"/>
        <w:jc w:val="both"/>
        <w:rPr>
          <w:rFonts w:ascii="Times New Roman" w:hAnsi="Times New Roman"/>
          <w:sz w:val="24"/>
          <w:szCs w:val="24"/>
          <w:lang w:bidi="ar"/>
        </w:rPr>
      </w:pPr>
      <w:r>
        <w:rPr>
          <w:rFonts w:ascii="Times New Roman" w:hAnsi="Times New Roman"/>
          <w:sz w:val="24"/>
          <w:szCs w:val="24"/>
          <w:lang w:bidi="ar"/>
        </w:rPr>
        <w:t>Results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SE-wise SD estimates accurately reconstructed the designed heterogeneity of the simulated distribution, whereas the global SD masked this structure. Despite a moderate global SD value, substantial differences in dispersion were observed across SE-defined regions, with markedly lower variability in the central interval and pronounced inflation in the outer zones.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Specifically, the central region μ±1SE exhibited the lowest SD, indicating high local stability, while variability increased progressively across mid-range and tail regions. This pattern confirms that dispersion is not uniform along the standardized axis and that local SD captures structured variability that is invisible to a single global measure.</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Although the example is simulated, the observed pattern mirrors a common empirical structure in biomedical and laboratory data, where measurements tend to be tightly clustered around normal reference ranges and increasingly dispersed near pathological thresholds. The results therefore demonstrate that zone-wise SD provides a sensitive and interpretable characterization of local variability that global SD fails to detect.</w:t>
      </w:r>
    </w:p>
    <w:p w:rsidR="0061498F" w:rsidRDefault="0061498F">
      <w:pPr>
        <w:pStyle w:val="Heading2"/>
        <w:spacing w:line="360" w:lineRule="auto"/>
        <w:jc w:val="both"/>
        <w:rPr>
          <w:rFonts w:ascii="Times New Roman" w:hAnsi="Times New Roman"/>
          <w:sz w:val="24"/>
          <w:szCs w:val="24"/>
          <w:lang w:bidi="ar"/>
        </w:rPr>
      </w:pPr>
      <w:r>
        <w:rPr>
          <w:rFonts w:ascii="Times New Roman" w:hAnsi="Times New Roman"/>
          <w:sz w:val="24"/>
          <w:szCs w:val="24"/>
          <w:lang w:bidi="ar"/>
        </w:rPr>
        <w:t>4. General Validity</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The validity of the proposed SE-wise SD approach rests on its strict adherence to classical statistical principles and its minimal reliance on distributional assumptions. All quantities involved—standard deviation, standard error, and confidence-interval–based partitions—are standard components of conventional inferential statistics. The </w:t>
      </w:r>
      <w:r>
        <w:rPr>
          <w:rFonts w:ascii="Times New Roman" w:hAnsi="Times New Roman"/>
          <w:lang w:bidi="ar"/>
        </w:rPr>
        <w:lastRenderedPageBreak/>
        <w:t>method introduces no new estimators, transformations, or probabilistic assumptions beyond those already implicit in standard CI construction.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Because the SE-based partitions are defined using the same parameters that govern classical confidence intervals, the approach is inherently model-consistent. The partition boundaries arise directly from the estimator’s sampling distribution and therefore retain their interpretability across parametric and nonparametric settings, provided that SD and SE are well-defined. This ensures that the method remains valid for a wide range of applications, including approximately normal data, truncated distributions, mixture distributions, and empirically standardized measurements.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Importantly, the computation of local SD within SE-defined intervals does not alter the global estimator or its uncertainty properties. Instead, it provides a conditional decomposition of variability that is entirely compatible with classical variance theory. As such, zone-wise SD can be viewed as a descriptive extension of standard dispersion analysis rather than a replacement for global measures. When the underlying distribution is homogeneous, local SD values converge toward the global SD, confirming internal coherence. When heterogeneity is present, the method reveals it without introducing bias into the original estimator.</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general validity of the approach is further supported by its invariance to scale and its robustness to sample size changes. Since SE scales naturally with both SD and sample size, the zonal structure adapts automatically to estimator precision. This property ensures that zone-wise SD reflects genuine variability patterns rather than artifacts of arbitrary binning or post hoc stratification.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Finally, because the method is transparent, reproducible, and analytically simple, it can be readily implemented in applied research without compromising statistical rigor. Its validity therefore lies not in proposing a new inferential paradigm, but in revealing structure that already exists within classical confidence-interval geometry but has remained analytically unexamined.</w:t>
      </w:r>
    </w:p>
    <w:p w:rsidR="0061498F" w:rsidRDefault="0061498F">
      <w:pPr>
        <w:pStyle w:val="Heading2"/>
        <w:spacing w:line="360" w:lineRule="auto"/>
        <w:jc w:val="both"/>
        <w:rPr>
          <w:rFonts w:ascii="Times New Roman" w:hAnsi="Times New Roman"/>
          <w:sz w:val="24"/>
          <w:szCs w:val="24"/>
          <w:lang w:bidi="ar"/>
        </w:rPr>
      </w:pPr>
      <w:r>
        <w:rPr>
          <w:rStyle w:val="Strong"/>
          <w:rFonts w:ascii="Times New Roman" w:hAnsi="Times New Roman"/>
          <w:b/>
          <w:sz w:val="24"/>
          <w:szCs w:val="24"/>
          <w:lang w:bidi="ar"/>
        </w:rPr>
        <w:t>Reliability, Net Benefit, and Balanced Error: An SE-Aligned Interpretation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lastRenderedPageBreak/>
        <w:t xml:space="preserve">At this stage, all interpretations are anchored strictly to standard-error (SE)–defined regions, which are classical components of confidence-interval analysis. Reliability, error behavior, and practical utility are therefore evaluated </w:t>
      </w:r>
      <w:r>
        <w:rPr>
          <w:rStyle w:val="Emphasis"/>
          <w:rFonts w:ascii="Times New Roman" w:eastAsia="SimSun" w:hAnsi="Times New Roman"/>
          <w:lang w:bidi="ar"/>
        </w:rPr>
        <w:t>relative to these SE partitions</w:t>
      </w:r>
      <w:r>
        <w:rPr>
          <w:rFonts w:ascii="Times New Roman" w:hAnsi="Times New Roman"/>
          <w:lang w:bidi="ar"/>
        </w:rPr>
        <w:t>, without introducing additional estimators, loss functions, or decision-theoretic assumptions. Within this framework, observations located in narrower SE bands—particularly those proximal to the estimator—exhibit lower local dispersion and greater numerical stability, whereas observations farther from the estimator are associated with increased variability and reduced precision.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This SE-aligned perspective has direct implications for the interpretation of reliability, net benefit, and balanced error. Estimates arising from low-variability SE regions contribute more consistently to inferential reliability, while estimates driven by higher-variability SE regions are more susceptible to noise and instability. Similarly, apparent effects concentrated in wider SE regions may yield diminished net benefit due to inflated uncertainty, even when global summary measures appear favorable. Balanced error considerations likewise benefit from this decomposition, as error variance is not uniformly distributed across SE-defined regions.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Importantly, these interpretations remain fully within the classical inferential framework. They rely solely on the geometry of SE-based confidence intervals and on descriptive variation in local dispersion, rather than on new inferential criteria or optimization principles. The section therefore provides an interpretive clarification of how reliability and error behavior vary along the SE axis, rather than a reformulation of these concepts.</w:t>
      </w:r>
    </w:p>
    <w:p w:rsidR="0061498F" w:rsidRDefault="0061498F">
      <w:pPr>
        <w:pStyle w:val="Heading2"/>
        <w:spacing w:line="360" w:lineRule="auto"/>
        <w:jc w:val="both"/>
        <w:rPr>
          <w:rFonts w:ascii="Times New Roman" w:hAnsi="Times New Roman"/>
          <w:sz w:val="24"/>
          <w:szCs w:val="24"/>
          <w:lang w:bidi="ar"/>
        </w:rPr>
      </w:pPr>
      <w:r>
        <w:rPr>
          <w:rFonts w:ascii="Times New Roman" w:hAnsi="Times New Roman"/>
          <w:sz w:val="24"/>
          <w:szCs w:val="24"/>
          <w:lang w:bidi="ar"/>
        </w:rPr>
        <w:t>Emergence of Zonal Structure as an Empirical Finding</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An important outcome of the present analysis is the observation that variability is not uniformly distributed along the SE axis but instead exhibits a layered structure, with distinct regions of stability, transition, and instability. While the methodology itself does not impose zones a priori, the pattern of local SD estimates reveals a natural segmentation of the estimation axis. Regions close to the estimator display consistently low variability, intermediate SE regions exhibit transitional behavior, and outer SE regions show pronounced dispersion and sensitivity to perturbation.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lastRenderedPageBreak/>
        <w:t>This empirically observed stratification motivates the interpretation of SE regions as zones of differential stability. In this sense, zones are not introduced as a new statistical construct, but rather emerge as a descriptive finding derived from classical SE-based analysis. The recognition of such zonal structure provides a conceptual foundation for more comprehensive frameworks—such as Epistemic Zonal Statistics (EZS)—that formalize these stability gradients explicitly( Raham, 2025a). Nevertheless, in the present work, zones remain an interpretive consequence rather than a methodological assumption, preserving full compatibility with standard confidence-interval reasoning.</w:t>
      </w:r>
    </w:p>
    <w:p w:rsidR="0061498F" w:rsidRDefault="0061498F">
      <w:pPr>
        <w:pStyle w:val="Heading2"/>
        <w:spacing w:line="360" w:lineRule="auto"/>
        <w:jc w:val="both"/>
        <w:rPr>
          <w:rFonts w:ascii="Times New Roman" w:hAnsi="Times New Roman"/>
          <w:sz w:val="24"/>
          <w:szCs w:val="24"/>
          <w:lang w:bidi="ar"/>
        </w:rPr>
      </w:pPr>
      <w:r>
        <w:rPr>
          <w:rFonts w:ascii="Times New Roman" w:hAnsi="Times New Roman"/>
          <w:sz w:val="24"/>
          <w:szCs w:val="24"/>
          <w:lang w:bidi="ar"/>
        </w:rPr>
        <w:t>Discussion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present findings demonstrate that SE-wise standard deviation (SD) provides a fully classical, transparent, and reproducible method for characterizing localized variability along the SE–scaled axis. Unlike the global SD, which aggregates dispersion into a single summary quantity, the zone-wise SD explicitly reveals how variability is distributed across different regions of the estimation space. This distinction is particularly relevant in settings where heterogeneity, tail behavior, or localized instability play a substantive role in interpretation, yet remain obscured by global dispersion measures.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From a theoretical standpoint, the proposed approach aligns naturally with classical results on truncated and conditional distributions, where second-moment properties depend on the region of support (Casella and Berger, 2002; Rice, 2006). Conditioning variance estimates on restricted intervals has long been recognized in probability theory and subgroup analysis, though typically applied post hoc or for specific parametric models. Similarly, robust statistical theory emphasizes that observations near the center of a distribution exhibit markedly different variance and influence characteristics than those in the tails (Huber and Ronchetti, 2009; Wilcox, 2012). However, despite the routine interpretive use of ±1 SE, ±2 SE, and ±3 SE regions in confidence-interval reasoning, classical practice has not formalized variance decomposition along these SE-defined structures.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A central strength of the zone-wise SD framework lies in its dual sensitivity to variability operating at two complementary levels. Internally, each SE-partitioned </w:t>
      </w:r>
      <w:r>
        <w:rPr>
          <w:rFonts w:ascii="Times New Roman" w:hAnsi="Times New Roman"/>
          <w:lang w:bidi="ar"/>
        </w:rPr>
        <w:lastRenderedPageBreak/>
        <w:t>interval represents a distinct segment of the sampling distribution. Differences in local SD therefore reflect genuine distributional heterogeneity rather than sampling noise alone. Low SD in the central SE region corresponds to high estimator density and numerical stability, while elevated SD in mid-range and outer regions captures transitional volatility and tail inflation. These patterns are consistent with classical results on curvature, Fisher information, and estimator precision, which decline as one moves away from the mode of the sampling distribution (Casella and Berger, 2002; Rice, 2006).</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Externally, the SE-defined zones are themselves functions of the standard error,</w:t>
      </w:r>
      <w:r>
        <w:rPr>
          <w:rFonts w:ascii="Times New Roman" w:hAnsi="Times New Roman"/>
          <w:lang w:bidi="ar"/>
        </w:rPr>
        <w:br/>
        <w:t>SE = SD / √n, and therefore incorporate sample size and estimator precision directly. As a result, the absolute width of each zone adapts naturally to changes in sampling variability. With increasing sample size, the central ±1 SE region contracts, reflecting improved estimator precision; conversely, smaller samples yield wider zones, signaling reduced inferential stability. This adaptive behavior is an inherent and desirable property of SE-based stratification, ensuring that zone boundaries encode not only internal dispersion geometry but also the external reliability of estimation.</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Taken together, this dual dependence allows SE-wise SD to capture both local structure within a dataset and global stability driven by sample size, offering a richer and more informative depiction of variability than conventional global SD measures. Similar concerns regarding the masking of clinically or scientifically meaningful heterogeneity by global summaries have been raised in biomedical measurement, risk stratification, and robust modeling, where important variation often concentrates near diagnostic or decision thresholds (Cleveland, 1979; Steyerberg, 2019; Wilcox, 2012).</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More broadly, the empirical demonstration that variability is structured non-uniformly along the SE axis provides clear methodological motivation for more comprehensive zonal analytical perspectives. Standard confidence intervals implicitly treat uncertainty as globally uniform within their bounds, yet the present results show that variability is layered and hierarchical along the estimation axis. Precision is highest near the estimator and progressively weakens toward the interval boundaries, indicating that uncertainty is not monolithic but stratified.</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lastRenderedPageBreak/>
        <w:t>Epistemic Zonal Statistics (EZS) formalizes this observation by treating the confidence interval not as a single homogeneous region, but as a sequence of zones whose evidential strength depends on their local behavior (Raham ,2025a , 2025b). Within EZS, these zones become analytic units capable of expressing differences in stability, asymmetry, and credibility, rather than serving merely as visual reference markers. Importantly, the present work remains entirely within the classical inferential framework; no Bayesian, likelihood-based, or decision-theoretic assumptions are introduced.</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Nevertheless, the behavior revealed by SE-wise SD provides a natural conceptual bridge from classical interval estimation toward zonal epistemic reasoning. By exposing systematic gradients of stability and volatility within standard confidence structures, the method highlights a descriptive layer of variability that has remained analytically implicit in traditional practice. In this sense, SE-wise SD may be viewed as a missing component of classical variability analysis—one that preserves foundational principles while opening a pathway toward structured epistemic inference as formalized in EZS (Raham, 2025a, 2025b).</w:t>
      </w:r>
    </w:p>
    <w:p w:rsidR="0061498F" w:rsidRDefault="0061498F">
      <w:pPr>
        <w:pStyle w:val="Heading2"/>
        <w:spacing w:line="360" w:lineRule="auto"/>
        <w:jc w:val="both"/>
        <w:rPr>
          <w:rFonts w:ascii="Times New Roman" w:hAnsi="Times New Roman"/>
          <w:sz w:val="24"/>
          <w:szCs w:val="24"/>
          <w:lang w:bidi="ar"/>
        </w:rPr>
      </w:pPr>
      <w:r>
        <w:rPr>
          <w:rFonts w:ascii="Times New Roman" w:hAnsi="Times New Roman"/>
          <w:sz w:val="24"/>
          <w:szCs w:val="24"/>
          <w:lang w:bidi="ar"/>
        </w:rPr>
        <w:t>Conclusions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This study introduces a simple yet informative refinement of classical variability analysis by estimating standard deviation locally within SE–defined partitions. By decomposing dispersion along the SE-scaled axis, the proposed zone-wise SD approach reveals structured patterns of variability that are systematically obscured by conventional global SD summaries. In particular, the results demonstrate that variability is lowest and most stable near the estimator, increases gradually through intermediate regions, and becomes markedly inflated in the outer SE regions.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Importantly, the method remains fully grounded in classical statistical principles. All quantities involved—SD, SE, and confidence-interval–based partitions—are standard components of conventional inferential statistics, and no additional distributional assumptions or inferential paradigms are introduced. Zone-wise SD therefore functions as a descriptive extension of traditional dispersion analysis rather than a replacement for global measures. When the underlying distribution is homogeneous, local SD values converge toward the global SD, confirming internal coherence. When </w:t>
      </w:r>
      <w:r>
        <w:rPr>
          <w:rFonts w:ascii="Times New Roman" w:hAnsi="Times New Roman"/>
          <w:lang w:bidi="ar"/>
        </w:rPr>
        <w:lastRenderedPageBreak/>
        <w:t>heterogeneity is present, the method reveals it transparently and without biasing the original estimator.</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findings further show that variability along the estimation axis is not uniform but layered and hierarchical. Precision is highest near the estimator and progressively weakens toward the interval boundaries, indicating that uncertainty within classical confidence intervals is stratified rather than monolithic. This observation has practical implications for interpretation, reliability assessment, and error evaluation, particularly in applied settings where decisions are sensitive to local instability or tail behavior.</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More broadly, the demonstrated zonal structure of variability provides a clear conceptual motivation for more comprehensive zonal analytical perspectives. While the present work remains strictly within the classical framework of confidence-interval analysis, its results point naturally toward an epistemic interpretation in which different regions of the interval carry different evidential strength. Epistemic Zonal Statistics (EZS) formalizes this perspective by treating SE-defined regions as analytic units of credibility, stability, and asymmetry rather than as purely visual reference markers.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In this sense, zone-wise SD may be viewed as a missing descriptive layer within traditional variability analysis—one that preserves classical foundations while revealing structure that has long remained implicit. By making this structure explicit, the proposed approach opens a principled pathway toward richer representations of uncertainty that remain compatible with, and grounded in, classical statistical inference.</w:t>
      </w:r>
    </w:p>
    <w:p w:rsidR="0061498F" w:rsidRDefault="0061498F">
      <w:pPr>
        <w:pStyle w:val="Heading3"/>
        <w:spacing w:line="360" w:lineRule="auto"/>
        <w:jc w:val="both"/>
        <w:rPr>
          <w:rFonts w:ascii="Times New Roman" w:hAnsi="Times New Roman"/>
          <w:sz w:val="24"/>
          <w:szCs w:val="24"/>
          <w:lang w:bidi="ar"/>
        </w:rPr>
      </w:pPr>
      <w:r>
        <w:rPr>
          <w:rStyle w:val="Strong"/>
          <w:rFonts w:ascii="Times New Roman" w:hAnsi="Times New Roman"/>
          <w:b/>
          <w:sz w:val="24"/>
          <w:szCs w:val="24"/>
          <w:lang w:bidi="ar"/>
        </w:rPr>
        <w:t xml:space="preserve">Limitations </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proposed SE-wise SD approach is intentionally descriptive and remains fully within the classical statistical framework. It  complements existing global SD and confidence-interval analyses by revealing localized variability structure.</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As with any conditional variance analysis, reliable estimation of local SD requires sufficient data within each SE-defined zone. In small samples or highly skewed </w:t>
      </w:r>
      <w:r>
        <w:rPr>
          <w:rFonts w:ascii="Times New Roman" w:hAnsi="Times New Roman"/>
          <w:lang w:bidi="ar"/>
        </w:rPr>
        <w:lastRenderedPageBreak/>
        <w:t>distributions, outer zones may contain few observations, leading to increased uncertainty in tail estimates. This limitation can be addressed by reporting SE-wise sample sizes or combining extreme zones when necessary.</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method is most interpretable for approximately unimodal distributions. In multimodal or highly irregular settings, SE-wise SD may reflect overlapping structural features rather than simple central-to-tail gradients and should therefore be interpreted alongside graphical or distributional diagnostics.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Finally, the present study focuses on one-dimensional SE-based partitioning. Extensions to multivariate or high-dimensional contexts are beyond the current scope and represent an important direction for future work.</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Despite these limitations, the approach remains valid, transparent, and reproducible. It exposes variability structure already implicit in classical confidence-interval geometry, without altering estimator properties or inferential assumptions, and thereby provides a principled foundation for future zonal frameworks such as Epistemic Zonal Statistics (EZS).</w:t>
      </w:r>
    </w:p>
    <w:p w:rsidR="0061498F" w:rsidRDefault="0061498F">
      <w:pPr>
        <w:pStyle w:val="Heading1"/>
        <w:keepNext w:val="0"/>
        <w:keepLines w:val="0"/>
        <w:spacing w:line="240" w:lineRule="auto"/>
        <w:jc w:val="both"/>
        <w:rPr>
          <w:rFonts w:ascii="Times New Roman" w:hAnsi="Times New Roman"/>
          <w:sz w:val="24"/>
          <w:szCs w:val="24"/>
        </w:rPr>
      </w:pPr>
      <w:r>
        <w:rPr>
          <w:rStyle w:val="Strong"/>
          <w:rFonts w:ascii="Times New Roman" w:eastAsia="SimSun" w:hAnsi="Times New Roman"/>
          <w:b/>
          <w:sz w:val="24"/>
          <w:szCs w:val="24"/>
        </w:rPr>
        <w:t>Declarations</w:t>
      </w:r>
    </w:p>
    <w:p w:rsidR="0061498F" w:rsidRDefault="0061498F">
      <w:pPr>
        <w:pStyle w:val="Heading3"/>
        <w:jc w:val="both"/>
        <w:rPr>
          <w:rFonts w:ascii="Times New Roman" w:hAnsi="Times New Roman"/>
          <w:sz w:val="24"/>
          <w:szCs w:val="24"/>
          <w:lang w:bidi="ar"/>
        </w:rPr>
      </w:pPr>
      <w:r>
        <w:rPr>
          <w:rStyle w:val="Strong"/>
          <w:rFonts w:ascii="Times New Roman" w:hAnsi="Times New Roman"/>
          <w:b/>
          <w:sz w:val="24"/>
          <w:szCs w:val="24"/>
          <w:lang w:bidi="ar"/>
        </w:rPr>
        <w:t>Ethics Approval and Consent to Participate</w:t>
      </w:r>
    </w:p>
    <w:p w:rsidR="0061498F" w:rsidRDefault="0061498F">
      <w:pPr>
        <w:pStyle w:val="NormalWeb"/>
        <w:jc w:val="both"/>
        <w:rPr>
          <w:rFonts w:ascii="Times New Roman" w:hAnsi="Times New Roman"/>
          <w:lang w:bidi="ar"/>
        </w:rPr>
      </w:pPr>
      <w:r>
        <w:rPr>
          <w:rFonts w:ascii="Times New Roman" w:hAnsi="Times New Roman"/>
          <w:lang w:bidi="ar"/>
        </w:rPr>
        <w:t>Not applicable. This study used simulated data and involved no human participants, identifiable information, or secondary human-subject datasets.</w:t>
      </w:r>
    </w:p>
    <w:p w:rsidR="0061498F" w:rsidRDefault="0061498F">
      <w:pPr>
        <w:pStyle w:val="Heading3"/>
        <w:jc w:val="both"/>
        <w:rPr>
          <w:rFonts w:ascii="Times New Roman" w:hAnsi="Times New Roman"/>
          <w:sz w:val="24"/>
          <w:szCs w:val="24"/>
          <w:lang w:bidi="ar"/>
        </w:rPr>
      </w:pPr>
      <w:r>
        <w:rPr>
          <w:rStyle w:val="Strong"/>
          <w:rFonts w:ascii="Times New Roman" w:hAnsi="Times New Roman"/>
          <w:b/>
          <w:sz w:val="24"/>
          <w:szCs w:val="24"/>
          <w:lang w:bidi="ar"/>
        </w:rPr>
        <w:t>Consent for Publication</w:t>
      </w:r>
    </w:p>
    <w:p w:rsidR="0061498F" w:rsidRDefault="0061498F">
      <w:pPr>
        <w:pStyle w:val="NormalWeb"/>
        <w:jc w:val="both"/>
        <w:rPr>
          <w:rFonts w:ascii="Times New Roman" w:hAnsi="Times New Roman"/>
          <w:lang w:bidi="ar"/>
        </w:rPr>
      </w:pPr>
      <w:r>
        <w:rPr>
          <w:rFonts w:ascii="Times New Roman" w:hAnsi="Times New Roman"/>
          <w:lang w:bidi="ar"/>
        </w:rPr>
        <w:t>Not applicable.</w:t>
      </w:r>
    </w:p>
    <w:p w:rsidR="0061498F" w:rsidRDefault="0061498F">
      <w:pPr>
        <w:pStyle w:val="Heading3"/>
        <w:spacing w:line="360" w:lineRule="auto"/>
        <w:jc w:val="both"/>
        <w:rPr>
          <w:rFonts w:ascii="Times New Roman" w:hAnsi="Times New Roman"/>
          <w:sz w:val="24"/>
          <w:szCs w:val="24"/>
          <w:lang w:bidi="ar"/>
        </w:rPr>
      </w:pPr>
      <w:r>
        <w:rPr>
          <w:rStyle w:val="Strong"/>
          <w:rFonts w:ascii="Times New Roman" w:hAnsi="Times New Roman"/>
          <w:b/>
          <w:sz w:val="24"/>
          <w:szCs w:val="24"/>
          <w:lang w:bidi="ar"/>
        </w:rPr>
        <w:t>Availability of Data and Materials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 xml:space="preserve">All data used in this work were generated through simulation for illustrative purposes. </w:t>
      </w:r>
    </w:p>
    <w:p w:rsidR="0061498F" w:rsidRDefault="0061498F">
      <w:pPr>
        <w:pStyle w:val="Heading3"/>
        <w:spacing w:line="360" w:lineRule="auto"/>
        <w:jc w:val="both"/>
        <w:rPr>
          <w:rFonts w:ascii="Times New Roman" w:hAnsi="Times New Roman"/>
          <w:sz w:val="24"/>
          <w:szCs w:val="24"/>
          <w:lang w:bidi="ar"/>
        </w:rPr>
      </w:pPr>
      <w:r>
        <w:rPr>
          <w:rStyle w:val="Strong"/>
          <w:rFonts w:ascii="Times New Roman" w:hAnsi="Times New Roman"/>
          <w:b/>
          <w:sz w:val="24"/>
          <w:szCs w:val="24"/>
          <w:lang w:bidi="ar"/>
        </w:rPr>
        <w:t>Competing Interests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author declares no competing interests.</w:t>
      </w:r>
    </w:p>
    <w:p w:rsidR="0061498F" w:rsidRDefault="0061498F">
      <w:pPr>
        <w:pStyle w:val="Heading1"/>
        <w:keepNext w:val="0"/>
        <w:keepLines w:val="0"/>
        <w:spacing w:line="360" w:lineRule="auto"/>
        <w:jc w:val="both"/>
        <w:rPr>
          <w:rFonts w:ascii="Times New Roman" w:hAnsi="Times New Roman"/>
          <w:sz w:val="24"/>
          <w:szCs w:val="24"/>
        </w:rPr>
      </w:pPr>
      <w:r>
        <w:rPr>
          <w:rStyle w:val="Strong"/>
          <w:rFonts w:ascii="Times New Roman" w:eastAsia="SimSun" w:hAnsi="Times New Roman"/>
          <w:b/>
          <w:sz w:val="24"/>
          <w:szCs w:val="24"/>
        </w:rPr>
        <w:t>AI Assistance Acknowledgment</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lastRenderedPageBreak/>
        <w:t>The author used ChatGPT (OpenAI) to assist with language refinement, formatting suggestions, and clarity improvements. All conceptual development, statistical methodology, simulations, interpretations, and final conclusions were entirely the work of the author. The author reviewed and verified all AI-assisted text to ensure accuracy and correctness.</w:t>
      </w:r>
    </w:p>
    <w:p w:rsidR="0061498F" w:rsidRDefault="0061498F">
      <w:pPr>
        <w:pStyle w:val="Heading3"/>
        <w:spacing w:line="360" w:lineRule="auto"/>
        <w:jc w:val="both"/>
        <w:rPr>
          <w:rFonts w:ascii="Times New Roman" w:hAnsi="Times New Roman"/>
          <w:sz w:val="24"/>
          <w:szCs w:val="24"/>
          <w:lang w:bidi="ar"/>
        </w:rPr>
      </w:pPr>
      <w:r>
        <w:rPr>
          <w:rStyle w:val="Strong"/>
          <w:rFonts w:ascii="Times New Roman" w:hAnsi="Times New Roman"/>
          <w:b/>
          <w:sz w:val="24"/>
          <w:szCs w:val="24"/>
          <w:lang w:bidi="ar"/>
        </w:rPr>
        <w:t>Intellectual Property and Author Rights</w:t>
      </w:r>
    </w:p>
    <w:p w:rsidR="0061498F" w:rsidRDefault="0061498F">
      <w:pPr>
        <w:pStyle w:val="NormalWeb"/>
        <w:spacing w:line="360" w:lineRule="auto"/>
        <w:jc w:val="both"/>
        <w:rPr>
          <w:rFonts w:ascii="Times New Roman" w:hAnsi="Times New Roman"/>
          <w:lang w:bidi="ar"/>
        </w:rPr>
      </w:pPr>
      <w:r>
        <w:rPr>
          <w:rFonts w:ascii="Times New Roman" w:hAnsi="Times New Roman"/>
          <w:lang w:bidi="ar"/>
        </w:rPr>
        <w:t>The methodological framework presented in this Research Note—including SE-partitioned local SD estimation, zone-wise variability characterization, and its conceptual linkage to the broader Zonal Epistemic Statistics (EZS) paradigm—constitutes original intellectual work by the author.</w:t>
      </w:r>
      <w:r>
        <w:rPr>
          <w:rFonts w:ascii="Times New Roman" w:hAnsi="Times New Roman"/>
          <w:lang w:bidi="ar"/>
        </w:rPr>
        <w:br/>
        <w:t xml:space="preserve">These concepts, terminology, and analytical structures are protected under </w:t>
      </w:r>
      <w:r>
        <w:rPr>
          <w:rStyle w:val="Strong"/>
          <w:rFonts w:ascii="Times New Roman" w:eastAsia="SimSun" w:hAnsi="Times New Roman"/>
          <w:lang w:bidi="ar"/>
        </w:rPr>
        <w:t>Iraqi Intellectual Property Law No. 3 of 1971 (as amended)</w:t>
      </w:r>
      <w:r>
        <w:rPr>
          <w:rFonts w:ascii="Times New Roman" w:hAnsi="Times New Roman"/>
          <w:lang w:bidi="ar"/>
        </w:rPr>
        <w:t xml:space="preserve"> and applicable international treaties, including the </w:t>
      </w:r>
      <w:r>
        <w:rPr>
          <w:rStyle w:val="Strong"/>
          <w:rFonts w:ascii="Times New Roman" w:eastAsia="SimSun" w:hAnsi="Times New Roman"/>
          <w:lang w:bidi="ar"/>
        </w:rPr>
        <w:t>Berne Convention</w:t>
      </w:r>
      <w:r>
        <w:rPr>
          <w:rFonts w:ascii="Times New Roman" w:hAnsi="Times New Roman"/>
          <w:lang w:bidi="ar"/>
        </w:rPr>
        <w:t xml:space="preserve">, </w:t>
      </w:r>
      <w:r>
        <w:rPr>
          <w:rStyle w:val="Strong"/>
          <w:rFonts w:ascii="Times New Roman" w:eastAsia="SimSun" w:hAnsi="Times New Roman"/>
          <w:lang w:bidi="ar"/>
        </w:rPr>
        <w:t>WIPO Copyright Treaty (WCT)</w:t>
      </w:r>
      <w:r>
        <w:rPr>
          <w:rFonts w:ascii="Times New Roman" w:hAnsi="Times New Roman"/>
          <w:lang w:bidi="ar"/>
        </w:rPr>
        <w:t xml:space="preserve">, and the </w:t>
      </w:r>
      <w:r>
        <w:rPr>
          <w:rStyle w:val="Strong"/>
          <w:rFonts w:ascii="Times New Roman" w:eastAsia="SimSun" w:hAnsi="Times New Roman"/>
          <w:lang w:bidi="ar"/>
        </w:rPr>
        <w:t>Patent Cooperation Treaty (PCT)</w:t>
      </w:r>
      <w:r>
        <w:rPr>
          <w:rFonts w:ascii="Times New Roman" w:hAnsi="Times New Roman"/>
          <w:lang w:bidi="ar"/>
        </w:rPr>
        <w:t>.</w:t>
      </w:r>
      <w:r>
        <w:rPr>
          <w:rFonts w:ascii="Times New Roman" w:hAnsi="Times New Roman"/>
          <w:lang w:bidi="ar"/>
        </w:rPr>
        <w:br/>
        <w:t>Any unauthorized reproduction, adaptation, distribution, commercial use, or derivative implementation of this framework—including EZS, zonal variability constructs, or SE-partitioned analytical methods—is strictly prohibited without explicit written permission from the author.</w:t>
      </w:r>
    </w:p>
    <w:p w:rsidR="0061498F" w:rsidRDefault="0061498F">
      <w:pPr>
        <w:pStyle w:val="NormalWeb"/>
        <w:spacing w:line="360" w:lineRule="auto"/>
        <w:jc w:val="both"/>
        <w:rPr>
          <w:rFonts w:ascii="Times New Roman" w:hAnsi="Times New Roman"/>
          <w:lang w:bidi="ar"/>
        </w:rPr>
      </w:pPr>
    </w:p>
    <w:p w:rsidR="0061498F" w:rsidRDefault="0061498F">
      <w:pPr>
        <w:spacing w:before="0" w:beforeAutospacing="0" w:after="200" w:afterAutospacing="0" w:line="360" w:lineRule="auto"/>
        <w:jc w:val="both"/>
        <w:rPr>
          <w:rFonts w:ascii="Times New Roman" w:hAnsi="Times New Roman"/>
        </w:rPr>
      </w:pPr>
    </w:p>
    <w:p w:rsidR="0061498F" w:rsidRDefault="004D7BAC">
      <w:pPr>
        <w:spacing w:before="0" w:beforeAutospacing="0" w:after="200" w:afterAutospacing="0"/>
        <w:jc w:val="both"/>
        <w:rPr>
          <w:rFonts w:ascii="Times New Roman" w:hAnsi="Times New Roman"/>
          <w:sz w:val="20"/>
        </w:rPr>
      </w:pPr>
      <w:r>
        <w:rPr>
          <w:rFonts w:ascii="Times New Roman" w:hAnsi="Times New Roman"/>
          <w:noProof/>
          <w:sz w:val="20"/>
        </w:rPr>
        <w:drawing>
          <wp:inline distT="0" distB="0" distL="0" distR="0">
            <wp:extent cx="5225415" cy="2592705"/>
            <wp:effectExtent l="0" t="0" r="0" b="0"/>
            <wp:docPr id="1" name="Picture 7" descr="outpu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put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5415" cy="2592705"/>
                    </a:xfrm>
                    <a:prstGeom prst="rect">
                      <a:avLst/>
                    </a:prstGeom>
                    <a:noFill/>
                    <a:ln>
                      <a:noFill/>
                    </a:ln>
                  </pic:spPr>
                </pic:pic>
              </a:graphicData>
            </a:graphic>
          </wp:inline>
        </w:drawing>
      </w:r>
      <w:r w:rsidR="0061498F">
        <w:rPr>
          <w:rStyle w:val="Strong"/>
          <w:rFonts w:ascii="Times New Roman" w:eastAsia="SimSun" w:hAnsi="Times New Roman"/>
        </w:rPr>
        <w:t>Figure 1.</w:t>
      </w:r>
      <w:r w:rsidR="0061498F">
        <w:rPr>
          <w:rFonts w:ascii="Times New Roman" w:eastAsia="SimSun" w:hAnsi="Times New Roman"/>
          <w:b/>
        </w:rPr>
        <w:t xml:space="preserve"> Simulated distribution segmented using standard-error–based </w:t>
      </w:r>
      <w:r w:rsidR="0061498F">
        <w:rPr>
          <w:rFonts w:ascii="Times New Roman" w:eastAsia="SimSun" w:hAnsi="Times New Roman"/>
          <w:b/>
        </w:rPr>
        <w:lastRenderedPageBreak/>
        <w:t>partitions (μ ± 1SE, ±2SE, ±3SE) to quantify local variability. The five resulting epistemic zones—Tail-L, Trans-L, Central, Trans-R, and Tail-R—exhibit distinct zone-wise SD values (1.42, 0.96, 0.58, 1.11, and 1.53, respectively), contrasted with a global SD of 1.07. This demonstrates that global dispersion metrics obscure important region-specific variability, underscoring the need for SE-aligned local SD analysis as a missing component in classical statistical practice.</w:t>
      </w:r>
    </w:p>
    <w:p w:rsidR="0061498F" w:rsidRDefault="0061498F">
      <w:pPr>
        <w:rPr>
          <w:rFonts w:ascii="Times New Roman" w:hAnsi="Times New Roman"/>
          <w:sz w:val="20"/>
        </w:rPr>
      </w:pPr>
    </w:p>
    <w:p w:rsidR="0061498F" w:rsidRDefault="0061498F">
      <w:pPr>
        <w:pStyle w:val="Heading2"/>
        <w:rPr>
          <w:rFonts w:ascii="Times New Roman" w:hAnsi="Times New Roman"/>
          <w:lang w:bidi="ar"/>
        </w:rPr>
      </w:pPr>
      <w:r>
        <w:rPr>
          <w:rFonts w:ascii="Times New Roman" w:hAnsi="Times New Roman"/>
          <w:lang w:bidi="ar"/>
        </w:rPr>
        <w:t xml:space="preserve">References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Altman, D. G., &amp; Bland, J. M. (1995). Statistics notes: The normal distribution. BMJ, 310(6975), 298. </w:t>
      </w:r>
      <w:hyperlink r:id="rId8" w:history="1">
        <w:r w:rsidRPr="00B04AE6">
          <w:rPr>
            <w:rStyle w:val="Hyperlink"/>
            <w:rFonts w:ascii="Times New Roman" w:hAnsi="Times New Roman"/>
            <w:lang w:bidi="ar"/>
          </w:rPr>
          <w:t>https://doi.org/10.1136/bmj.310.6975.298</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Casella, G., &amp; Berger, R. L. (2002). Statistical Inference. Duxbury Press. </w:t>
      </w:r>
      <w:hyperlink r:id="rId9" w:history="1">
        <w:r w:rsidRPr="00B04AE6">
          <w:rPr>
            <w:rStyle w:val="Hyperlink"/>
            <w:rFonts w:ascii="Times New Roman" w:hAnsi="Times New Roman"/>
            <w:lang w:bidi="ar"/>
          </w:rPr>
          <w:t>https://books.google.com/books?id=y_2xQgAACAAJ</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Cleveland, W. S. (1979). Robust locally weighted regression and smoothing scatterplots. Journal of the American Statistical Association, 74(368), 829–836. </w:t>
      </w:r>
      <w:hyperlink r:id="rId10" w:history="1">
        <w:r w:rsidRPr="00B04AE6">
          <w:rPr>
            <w:rStyle w:val="Hyperlink"/>
            <w:rFonts w:ascii="Times New Roman" w:hAnsi="Times New Roman"/>
            <w:lang w:bidi="ar"/>
          </w:rPr>
          <w:t>https://doi.org/10.1080/01621459.1979.10481038</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Cont, R. (2001). Empirical properties of asset returns: Stylized facts and statistical issues. Quantitative Finance, 1(2), 223–236. </w:t>
      </w:r>
      <w:hyperlink r:id="rId11" w:history="1">
        <w:r w:rsidRPr="00B04AE6">
          <w:rPr>
            <w:rStyle w:val="Hyperlink"/>
            <w:rFonts w:ascii="Times New Roman" w:hAnsi="Times New Roman"/>
            <w:lang w:bidi="ar"/>
          </w:rPr>
          <w:t>https://doi.org/10.1080/713665670</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Huber, P. J., &amp; Ronchetti, E. M. (2009). Robust statistics (2nd ed.). Wiley. </w:t>
      </w:r>
      <w:hyperlink r:id="rId12" w:history="1">
        <w:r w:rsidRPr="00B04AE6">
          <w:rPr>
            <w:rStyle w:val="Hyperlink"/>
            <w:rFonts w:ascii="Times New Roman" w:hAnsi="Times New Roman"/>
            <w:lang w:bidi="ar"/>
          </w:rPr>
          <w:t>https://doi.org/10.1002/9780470434697</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Raham, T. F. (2025). Ontological and methodological foundational core constructs — Robust adjusted mean and robust adjusted mean interval- in epistemic zonal statistics, Volume I: Ontological and methodological foundational core constructs — Robust adjusted mean and interval in epistemic zonal statistics. Tareef Fadhil Raham. </w:t>
      </w:r>
      <w:hyperlink r:id="rId13" w:history="1">
        <w:r w:rsidRPr="00B04AE6">
          <w:rPr>
            <w:rStyle w:val="Hyperlink"/>
            <w:rFonts w:ascii="Times New Roman" w:hAnsi="Times New Roman"/>
            <w:lang w:bidi="ar"/>
          </w:rPr>
          <w:t>https://www.researchgate.net/publication/396803734_Ontological_and_Methodological_Foundational_Core_Constructs_-_Robust_Adjusted_Mean_and_Robust_Adjusted_Mean_Interval-_in_Epistemic_Zonal_Statistics_Foundational_Core_Constructs_in_Epistemic_Zonal_Stat</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Raham, T.F. (2025). Letter to the Editor: Zonal Statistics - Beyond the Boundaries of Classical Inference. </w:t>
      </w:r>
      <w:hyperlink r:id="rId14" w:history="1">
        <w:r w:rsidRPr="00B04AE6">
          <w:rPr>
            <w:rStyle w:val="Hyperlink"/>
            <w:rFonts w:ascii="Times New Roman" w:hAnsi="Times New Roman"/>
            <w:lang w:bidi="ar"/>
          </w:rPr>
          <w:t>https://doi.org/10.13140/RG.2.2.11918.22084</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Rice, J. A. (2007). *Mathematical Statistics and Data Analysis*. Belmont, CA: Thomson Brooks/Cole. </w:t>
      </w:r>
      <w:hyperlink r:id="rId15" w:history="1">
        <w:r w:rsidRPr="00B04AE6">
          <w:rPr>
            <w:rStyle w:val="Hyperlink"/>
            <w:rFonts w:ascii="Times New Roman" w:hAnsi="Times New Roman"/>
            <w:lang w:bidi="ar"/>
          </w:rPr>
          <w:t>https://www.cengage.com/c/mathematical-statistics-and-data-analysis-with-cd-data-sets-3e-rice/9780534399429/</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t xml:space="preserve">Steyerberg, E. W. (2019). Clinical prediction models: A practical approach to development, validation, and updating. Springer. </w:t>
      </w:r>
      <w:hyperlink r:id="rId16" w:history="1">
        <w:r w:rsidRPr="00B04AE6">
          <w:rPr>
            <w:rStyle w:val="Hyperlink"/>
            <w:rFonts w:ascii="Times New Roman" w:hAnsi="Times New Roman"/>
            <w:lang w:bidi="ar"/>
          </w:rPr>
          <w:t>https://doi.org/10.1007/978-3-030-16399-0</w:t>
        </w:r>
      </w:hyperlink>
      <w:r>
        <w:rPr>
          <w:rFonts w:ascii="Times New Roman" w:hAnsi="Times New Roman"/>
          <w:lang w:bidi="ar"/>
        </w:rPr>
        <w:t xml:space="preserve"> </w:t>
      </w:r>
    </w:p>
    <w:p w:rsidR="00725C00" w:rsidRDefault="00725C00">
      <w:pPr>
        <w:pStyle w:val="NormalWeb"/>
        <w:jc w:val="both"/>
        <w:rPr>
          <w:rFonts w:ascii="Times New Roman" w:hAnsi="Times New Roman"/>
          <w:lang w:bidi="ar"/>
        </w:rPr>
      </w:pPr>
      <w:r w:rsidRPr="00725C00">
        <w:rPr>
          <w:rFonts w:ascii="Times New Roman" w:hAnsi="Times New Roman"/>
          <w:lang w:bidi="ar"/>
        </w:rPr>
        <w:lastRenderedPageBreak/>
        <w:t xml:space="preserve">Wasserman, L. (2004). All of Statistics: A Concise Course in Statistical Inference. New York: Springer. </w:t>
      </w:r>
      <w:hyperlink r:id="rId17" w:history="1">
        <w:r w:rsidRPr="00B04AE6">
          <w:rPr>
            <w:rStyle w:val="Hyperlink"/>
            <w:rFonts w:ascii="Times New Roman" w:hAnsi="Times New Roman"/>
            <w:lang w:bidi="ar"/>
          </w:rPr>
          <w:t>https://doi.org/10.1007/b97557</w:t>
        </w:r>
      </w:hyperlink>
      <w:r>
        <w:rPr>
          <w:rFonts w:ascii="Times New Roman" w:hAnsi="Times New Roman"/>
          <w:lang w:bidi="ar"/>
        </w:rPr>
        <w:t xml:space="preserve"> </w:t>
      </w:r>
    </w:p>
    <w:p w:rsidR="0061498F" w:rsidRDefault="00725C00">
      <w:pPr>
        <w:rPr>
          <w:rFonts w:ascii="Times New Roman" w:hAnsi="Times New Roman"/>
          <w:lang w:bidi="ar"/>
        </w:rPr>
      </w:pPr>
      <w:r w:rsidRPr="00725C00">
        <w:rPr>
          <w:rFonts w:ascii="Times New Roman" w:hAnsi="Times New Roman"/>
          <w:lang w:bidi="ar"/>
        </w:rPr>
        <w:t xml:space="preserve">Wilcox, R. R. (2012). Introduction to Robust Estimation and Hypothesis Testing (3rd ed.). Academic Press. </w:t>
      </w:r>
      <w:hyperlink r:id="rId18" w:history="1">
        <w:r w:rsidRPr="00B04AE6">
          <w:rPr>
            <w:rStyle w:val="Hyperlink"/>
            <w:rFonts w:ascii="Times New Roman" w:hAnsi="Times New Roman"/>
            <w:lang w:bidi="ar"/>
          </w:rPr>
          <w:t>https://www.elsevier.com/books/introduction-to-robust-estimation-and-hypothesis-testing/wilcox/978-0-12-386983-8</w:t>
        </w:r>
      </w:hyperlink>
      <w:r>
        <w:rPr>
          <w:rFonts w:ascii="Times New Roman" w:hAnsi="Times New Roman"/>
          <w:lang w:bidi="ar"/>
        </w:rPr>
        <w:t xml:space="preserve"> </w:t>
      </w:r>
    </w:p>
    <w:p w:rsidR="00725C00" w:rsidRDefault="00725C00">
      <w:pPr>
        <w:rPr>
          <w:rFonts w:ascii="Times New Roman" w:hAnsi="Times New Roman"/>
          <w:sz w:val="20"/>
        </w:rPr>
      </w:pPr>
    </w:p>
    <w:sectPr w:rsidR="00725C00">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29" w:rsidRDefault="00043929">
      <w:pPr>
        <w:widowControl w:val="0"/>
        <w:autoSpaceDE w:val="0"/>
        <w:autoSpaceDN w:val="0"/>
        <w:adjustRightInd w:val="0"/>
        <w:spacing w:before="0" w:beforeAutospacing="0" w:after="0" w:afterAutospacing="0"/>
        <w:jc w:val="left"/>
        <w:rPr>
          <w:rFonts w:ascii="Times New Roman" w:eastAsia="SimSun" w:hAnsi="Times New Roman"/>
          <w:lang w:val="en-GB" w:eastAsia="en-GB" w:bidi="ar-IQ"/>
        </w:rPr>
      </w:pPr>
      <w:r>
        <w:rPr>
          <w:rFonts w:ascii="Times New Roman" w:eastAsia="SimSun" w:hAnsi="Times New Roman"/>
          <w:lang w:val="en-GB" w:eastAsia="en-GB" w:bidi="ar-IQ"/>
        </w:rPr>
        <w:separator/>
      </w:r>
    </w:p>
  </w:endnote>
  <w:endnote w:type="continuationSeparator" w:id="0">
    <w:p w:rsidR="00043929" w:rsidRDefault="00043929">
      <w:pPr>
        <w:widowControl w:val="0"/>
        <w:autoSpaceDE w:val="0"/>
        <w:autoSpaceDN w:val="0"/>
        <w:adjustRightInd w:val="0"/>
        <w:spacing w:before="0" w:beforeAutospacing="0" w:after="0" w:afterAutospacing="0"/>
        <w:jc w:val="left"/>
        <w:rPr>
          <w:rFonts w:ascii="Times New Roman" w:eastAsia="SimSun" w:hAnsi="Times New Roman"/>
          <w:lang w:val="en-GB" w:eastAsia="en-GB" w:bidi="ar-IQ"/>
        </w:rPr>
      </w:pPr>
      <w:r>
        <w:rPr>
          <w:rFonts w:ascii="Times New Roman" w:eastAsia="SimSun" w:hAnsi="Times New Roman"/>
          <w:lang w:val="en-GB" w:eastAsia="en-GB" w:bidi="ar-IQ"/>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1"/>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SimSun"/>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363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363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363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29" w:rsidRDefault="00043929">
      <w:pPr>
        <w:widowControl w:val="0"/>
        <w:autoSpaceDE w:val="0"/>
        <w:autoSpaceDN w:val="0"/>
        <w:adjustRightInd w:val="0"/>
        <w:spacing w:before="0" w:beforeAutospacing="0" w:after="0" w:afterAutospacing="0"/>
        <w:jc w:val="left"/>
        <w:rPr>
          <w:rFonts w:ascii="Times New Roman" w:eastAsia="SimSun" w:hAnsi="Times New Roman"/>
          <w:lang w:val="en-GB" w:eastAsia="en-GB" w:bidi="ar-IQ"/>
        </w:rPr>
      </w:pPr>
      <w:r>
        <w:rPr>
          <w:rFonts w:ascii="Times New Roman" w:eastAsia="SimSun" w:hAnsi="Times New Roman"/>
          <w:lang w:val="en-GB" w:eastAsia="en-GB" w:bidi="ar-IQ"/>
        </w:rPr>
        <w:separator/>
      </w:r>
    </w:p>
  </w:footnote>
  <w:footnote w:type="continuationSeparator" w:id="0">
    <w:p w:rsidR="00043929" w:rsidRDefault="00043929">
      <w:pPr>
        <w:widowControl w:val="0"/>
        <w:autoSpaceDE w:val="0"/>
        <w:autoSpaceDN w:val="0"/>
        <w:adjustRightInd w:val="0"/>
        <w:spacing w:before="0" w:beforeAutospacing="0" w:after="0" w:afterAutospacing="0"/>
        <w:jc w:val="left"/>
        <w:rPr>
          <w:rFonts w:ascii="Times New Roman" w:eastAsia="SimSun" w:hAnsi="Times New Roman"/>
          <w:lang w:val="en-GB" w:eastAsia="en-GB" w:bidi="ar-IQ"/>
        </w:rPr>
      </w:pPr>
      <w:r>
        <w:rPr>
          <w:rFonts w:ascii="Times New Roman" w:eastAsia="SimSun" w:hAnsi="Times New Roman"/>
          <w:lang w:val="en-GB" w:eastAsia="en-GB" w:bidi="ar-IQ"/>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04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82938" o:spid="_x0000_s2049" type="#_x0000_t136" style="position:absolute;left:0;text-align:left;margin-left:0;margin-top:0;width:492.55pt;height:92.9pt;rotation:315;z-index:-2516587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04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82939" o:spid="_x0000_s2050" type="#_x0000_t136" style="position:absolute;left:0;text-align:left;margin-left:0;margin-top:0;width:492.55pt;height:92.9pt;rotation:315;z-index:-251657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A2" w:rsidRDefault="000439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82937" o:spid="_x0000_s2051" type="#_x0000_t136" style="position:absolute;left:0;text-align:left;margin-left:0;margin-top:0;width:492.55pt;height:92.9pt;rotation:315;z-index:-251659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03AF7C"/>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1" w15:restartNumberingAfterBreak="0">
    <w:nsid w:val="CE6C95AF"/>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 w15:restartNumberingAfterBreak="0">
    <w:nsid w:val="DBFAF2FE"/>
    <w:multiLevelType w:val="singleLevel"/>
    <w:tmpl w:val="FFFFFFFF"/>
    <w:lvl w:ilvl="0">
      <w:start w:val="1"/>
      <w:numFmt w:val="decimal"/>
      <w:lvlText w:val="%1."/>
      <w:lvlJc w:val="left"/>
      <w:pPr>
        <w:tabs>
          <w:tab w:val="num" w:pos="780"/>
        </w:tabs>
        <w:ind w:left="780" w:hanging="360"/>
      </w:pPr>
      <w:rPr>
        <w:rFonts w:cs="Times New Roman"/>
      </w:rPr>
    </w:lvl>
  </w:abstractNum>
  <w:abstractNum w:abstractNumId="3" w15:restartNumberingAfterBreak="0">
    <w:nsid w:val="F40BBD2D"/>
    <w:multiLevelType w:val="hybridMultilevel"/>
    <w:tmpl w:val="FFFFFFFF"/>
    <w:lvl w:ilvl="0" w:tplc="FFFFFFFF">
      <w:start w:val="1"/>
      <w:numFmt w:val="bullet"/>
      <w:lvlText w:val=""/>
      <w:lvlJc w:val="left"/>
      <w:pPr>
        <w:tabs>
          <w:tab w:val="num" w:pos="720"/>
        </w:tabs>
        <w:ind w:left="720" w:hanging="360"/>
      </w:pPr>
      <w:rPr>
        <w:rFonts w:ascii="Symbol" w:eastAsia="SimSun" w:hAnsi="Symbol"/>
        <w:sz w:val="20"/>
      </w:rPr>
    </w:lvl>
    <w:lvl w:ilvl="1" w:tplc="FFFFFFFF">
      <w:start w:val="1"/>
      <w:numFmt w:val="bullet"/>
      <w:lvlText w:val="o"/>
      <w:lvlJc w:val="left"/>
      <w:pPr>
        <w:tabs>
          <w:tab w:val="num" w:pos="1440"/>
        </w:tabs>
        <w:ind w:left="1440" w:hanging="360"/>
      </w:pPr>
      <w:rPr>
        <w:rFonts w:ascii="Courier New" w:eastAsia="SimSun" w:hAnsi="Courier New"/>
        <w:sz w:val="20"/>
      </w:rPr>
    </w:lvl>
    <w:lvl w:ilvl="2" w:tplc="FFFFFFFF">
      <w:start w:val="1"/>
      <w:numFmt w:val="bullet"/>
      <w:lvlText w:val=""/>
      <w:lvlJc w:val="left"/>
      <w:pPr>
        <w:tabs>
          <w:tab w:val="num" w:pos="2160"/>
        </w:tabs>
        <w:ind w:left="2160" w:hanging="360"/>
      </w:pPr>
      <w:rPr>
        <w:rFonts w:ascii="Wingdings" w:eastAsia="SimSun" w:hAnsi="Wingdings"/>
        <w:sz w:val="20"/>
      </w:rPr>
    </w:lvl>
    <w:lvl w:ilvl="3" w:tplc="FFFFFFFF">
      <w:start w:val="1"/>
      <w:numFmt w:val="bullet"/>
      <w:lvlText w:val=""/>
      <w:lvlJc w:val="left"/>
      <w:pPr>
        <w:tabs>
          <w:tab w:val="num" w:pos="2880"/>
        </w:tabs>
        <w:ind w:left="2880" w:hanging="360"/>
      </w:pPr>
      <w:rPr>
        <w:rFonts w:ascii="Wingdings" w:eastAsia="SimSun" w:hAnsi="Wingdings"/>
        <w:sz w:val="20"/>
      </w:rPr>
    </w:lvl>
    <w:lvl w:ilvl="4" w:tplc="FFFFFFFF">
      <w:start w:val="1"/>
      <w:numFmt w:val="bullet"/>
      <w:lvlText w:val=""/>
      <w:lvlJc w:val="left"/>
      <w:pPr>
        <w:tabs>
          <w:tab w:val="num" w:pos="3600"/>
        </w:tabs>
        <w:ind w:left="3600" w:hanging="360"/>
      </w:pPr>
      <w:rPr>
        <w:rFonts w:ascii="Wingdings" w:eastAsia="SimSun" w:hAnsi="Wingdings"/>
        <w:sz w:val="20"/>
      </w:rPr>
    </w:lvl>
    <w:lvl w:ilvl="5" w:tplc="FFFFFFFF">
      <w:start w:val="1"/>
      <w:numFmt w:val="bullet"/>
      <w:lvlText w:val=""/>
      <w:lvlJc w:val="left"/>
      <w:pPr>
        <w:tabs>
          <w:tab w:val="num" w:pos="4320"/>
        </w:tabs>
        <w:ind w:left="4320" w:hanging="360"/>
      </w:pPr>
      <w:rPr>
        <w:rFonts w:ascii="Wingdings" w:eastAsia="SimSun" w:hAnsi="Wingdings"/>
        <w:sz w:val="20"/>
      </w:rPr>
    </w:lvl>
    <w:lvl w:ilvl="6" w:tplc="FFFFFFFF">
      <w:start w:val="1"/>
      <w:numFmt w:val="bullet"/>
      <w:lvlText w:val=""/>
      <w:lvlJc w:val="left"/>
      <w:pPr>
        <w:tabs>
          <w:tab w:val="num" w:pos="5040"/>
        </w:tabs>
        <w:ind w:left="5040" w:hanging="360"/>
      </w:pPr>
      <w:rPr>
        <w:rFonts w:ascii="Wingdings" w:eastAsia="SimSun" w:hAnsi="Wingdings"/>
        <w:sz w:val="20"/>
      </w:rPr>
    </w:lvl>
    <w:lvl w:ilvl="7" w:tplc="FFFFFFFF">
      <w:start w:val="1"/>
      <w:numFmt w:val="bullet"/>
      <w:lvlText w:val=""/>
      <w:lvlJc w:val="left"/>
      <w:pPr>
        <w:tabs>
          <w:tab w:val="num" w:pos="5760"/>
        </w:tabs>
        <w:ind w:left="5760" w:hanging="360"/>
      </w:pPr>
      <w:rPr>
        <w:rFonts w:ascii="Wingdings" w:eastAsia="SimSun" w:hAnsi="Wingdings"/>
        <w:sz w:val="20"/>
      </w:rPr>
    </w:lvl>
    <w:lvl w:ilvl="8" w:tplc="FFFFFFFF">
      <w:start w:val="1"/>
      <w:numFmt w:val="bullet"/>
      <w:lvlText w:val=""/>
      <w:lvlJc w:val="left"/>
      <w:pPr>
        <w:tabs>
          <w:tab w:val="num" w:pos="6480"/>
        </w:tabs>
        <w:ind w:left="6480" w:hanging="360"/>
      </w:pPr>
      <w:rPr>
        <w:rFonts w:ascii="Wingdings" w:eastAsia="SimSun" w:hAnsi="Wingdings"/>
        <w:sz w:val="20"/>
      </w:rPr>
    </w:lvl>
  </w:abstractNum>
  <w:abstractNum w:abstractNumId="4" w15:restartNumberingAfterBreak="0">
    <w:nsid w:val="FCA62863"/>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5" w15:restartNumberingAfterBreak="0">
    <w:nsid w:val="FFFFFF7C"/>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6" w15:restartNumberingAfterBreak="0">
    <w:nsid w:val="FFFFFF7D"/>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7" w15:restartNumberingAfterBreak="0">
    <w:nsid w:val="FFFFFF7E"/>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8" w15:restartNumberingAfterBreak="0">
    <w:nsid w:val="FFFFFF7F"/>
    <w:multiLevelType w:val="singleLevel"/>
    <w:tmpl w:val="FFFFFFFF"/>
    <w:lvl w:ilvl="0">
      <w:start w:val="1"/>
      <w:numFmt w:val="decimal"/>
      <w:lvlText w:val="%1."/>
      <w:lvlJc w:val="left"/>
      <w:pPr>
        <w:tabs>
          <w:tab w:val="num" w:pos="780"/>
        </w:tabs>
        <w:ind w:left="780" w:hanging="360"/>
      </w:pPr>
      <w:rPr>
        <w:rFonts w:cs="Times New Roman"/>
      </w:rPr>
    </w:lvl>
  </w:abstractNum>
  <w:abstractNum w:abstractNumId="9" w15:restartNumberingAfterBreak="0">
    <w:nsid w:val="FFFFFF80"/>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0" w15:restartNumberingAfterBreak="0">
    <w:nsid w:val="FFFFFF81"/>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11" w15:restartNumberingAfterBreak="0">
    <w:nsid w:val="FFFFFF82"/>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2" w15:restartNumberingAfterBreak="0">
    <w:nsid w:val="FFFFFF83"/>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3"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4" w15:restartNumberingAfterBreak="0">
    <w:nsid w:val="FFFFFF89"/>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5" w15:restartNumberingAfterBreak="0">
    <w:nsid w:val="3716AD8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6" w15:restartNumberingAfterBreak="0">
    <w:nsid w:val="38914A41"/>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7" w15:restartNumberingAfterBreak="0">
    <w:nsid w:val="3B65FB93"/>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8" w15:restartNumberingAfterBreak="0">
    <w:nsid w:val="60ABEA77"/>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9" w15:restartNumberingAfterBreak="0">
    <w:nsid w:val="6EE14BB9"/>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20" w15:restartNumberingAfterBreak="0">
    <w:nsid w:val="7D9C8A73"/>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num w:numId="1">
    <w:abstractNumId w:val="8"/>
  </w:num>
  <w:num w:numId="2">
    <w:abstractNumId w:val="14"/>
  </w:num>
  <w:num w:numId="3">
    <w:abstractNumId w:val="12"/>
  </w:num>
  <w:num w:numId="4">
    <w:abstractNumId w:val="11"/>
  </w:num>
  <w:num w:numId="5">
    <w:abstractNumId w:val="10"/>
  </w:num>
  <w:num w:numId="6">
    <w:abstractNumId w:val="9"/>
  </w:num>
  <w:num w:numId="7">
    <w:abstractNumId w:val="13"/>
  </w:num>
  <w:num w:numId="8">
    <w:abstractNumId w:val="7"/>
  </w:num>
  <w:num w:numId="9">
    <w:abstractNumId w:val="6"/>
  </w:num>
  <w:num w:numId="10">
    <w:abstractNumId w:val="5"/>
  </w:num>
  <w:num w:numId="11">
    <w:abstractNumId w:val="8"/>
  </w:num>
  <w:num w:numId="12">
    <w:abstractNumId w:val="14"/>
  </w:num>
  <w:num w:numId="13">
    <w:abstractNumId w:val="12"/>
  </w:num>
  <w:num w:numId="14">
    <w:abstractNumId w:val="11"/>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8"/>
  </w:num>
  <w:num w:numId="22">
    <w:abstractNumId w:val="14"/>
  </w:num>
  <w:num w:numId="23">
    <w:abstractNumId w:val="12"/>
  </w:num>
  <w:num w:numId="24">
    <w:abstractNumId w:val="11"/>
  </w:num>
  <w:num w:numId="25">
    <w:abstractNumId w:val="10"/>
  </w:num>
  <w:num w:numId="26">
    <w:abstractNumId w:val="9"/>
  </w:num>
  <w:num w:numId="27">
    <w:abstractNumId w:val="13"/>
  </w:num>
  <w:num w:numId="28">
    <w:abstractNumId w:val="7"/>
  </w:num>
  <w:num w:numId="29">
    <w:abstractNumId w:val="6"/>
  </w:num>
  <w:num w:numId="30">
    <w:abstractNumId w:val="5"/>
  </w:num>
  <w:num w:numId="31">
    <w:abstractNumId w:val="8"/>
  </w:num>
  <w:num w:numId="32">
    <w:abstractNumId w:val="14"/>
  </w:num>
  <w:num w:numId="33">
    <w:abstractNumId w:val="12"/>
  </w:num>
  <w:num w:numId="34">
    <w:abstractNumId w:val="11"/>
  </w:num>
  <w:num w:numId="35">
    <w:abstractNumId w:val="10"/>
  </w:num>
  <w:num w:numId="36">
    <w:abstractNumId w:val="9"/>
  </w:num>
  <w:num w:numId="37">
    <w:abstractNumId w:val="13"/>
  </w:num>
  <w:num w:numId="38">
    <w:abstractNumId w:val="7"/>
  </w:num>
  <w:num w:numId="39">
    <w:abstractNumId w:val="6"/>
  </w:num>
  <w:num w:numId="40">
    <w:abstractNumId w:val="5"/>
  </w:num>
  <w:num w:numId="41">
    <w:abstractNumId w:val="8"/>
  </w:num>
  <w:num w:numId="42">
    <w:abstractNumId w:val="14"/>
  </w:num>
  <w:num w:numId="43">
    <w:abstractNumId w:val="12"/>
  </w:num>
  <w:num w:numId="44">
    <w:abstractNumId w:val="11"/>
  </w:num>
  <w:num w:numId="45">
    <w:abstractNumId w:val="10"/>
  </w:num>
  <w:num w:numId="46">
    <w:abstractNumId w:val="9"/>
  </w:num>
  <w:num w:numId="47">
    <w:abstractNumId w:val="13"/>
  </w:num>
  <w:num w:numId="48">
    <w:abstractNumId w:val="7"/>
  </w:num>
  <w:num w:numId="49">
    <w:abstractNumId w:val="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rawingGridVerticalSpacing w:val="156"/>
  <w:characterSpacingControl w:val="doNotCompress"/>
  <w:noLineBreaksAfter w:lang="ja-JP" w:val="([{·‘“〈《「『【〔〖（．［｛￡￥"/>
  <w:noLineBreaksBefore w:lang="ja-JP" w:val="!),.:;?]}¨·ˇˉ―‖’”…∶、。〃々〉》」』】〕〗！＂＇），．：；？］｀｜｝～￠"/>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25"/>
    <w:rsid w:val="00011625"/>
    <w:rsid w:val="00043929"/>
    <w:rsid w:val="0012640A"/>
    <w:rsid w:val="00281622"/>
    <w:rsid w:val="003636A2"/>
    <w:rsid w:val="004D7BAC"/>
    <w:rsid w:val="0061498F"/>
    <w:rsid w:val="00725C00"/>
    <w:rsid w:val="00B04AE6"/>
    <w:rsid w:val="00C0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C9F6A140-BA05-40A5-8B10-51F6FB7C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4"/>
        <w:lang w:val="en-US" w:eastAsia="en-US" w:bidi="ar-SA"/>
      </w:rPr>
    </w:rPrDefault>
    <w:pPrDefault>
      <w:pPr>
        <w:spacing w:after="160" w:line="278" w:lineRule="auto"/>
      </w:pPr>
    </w:pPrDefault>
  </w:docDefaults>
  <w:latentStyles w:defLockedState="0" w:defUIPriority="0" w:defSemiHidden="0" w:defUnhideWhenUsed="0" w:defQFormat="1" w:count="375">
    <w:lsdException w:name="Default Paragraph Font" w:semiHidden="1"/>
    <w:lsdException w:name="HTML Top of Form" w:uiPriority="99" w:qFormat="0"/>
    <w:lsdException w:name="HTML Bottom of Form" w:uiPriority="99" w:qFormat="0"/>
    <w:lsdException w:name="No List" w:semiHidden="1" w:uiPriority="99" w:unhideWhenUsed="1" w:qFormat="0"/>
    <w:lsdException w:name="Outline List 1" w:uiPriority="99" w:qFormat="0"/>
    <w:lsdException w:name="Outline List 2" w:uiPriority="99" w:qFormat="0"/>
    <w:lsdException w:name="Outline List 3" w:uiPriority="99" w:qFormat="0"/>
    <w:lsdException w:name="Table List 7" w:qFormat="0"/>
    <w:lsdException w:name="Placeholder Text" w:semiHidden="1" w:uiPriority="99" w:unhideWhenUsed="1" w:qFormat="0"/>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0"/>
    <w:lsdException w:name="Dark List" w:uiPriority="70" w:qFormat="0"/>
    <w:lsdException w:name="Colorful Shading" w:uiPriority="71" w:qFormat="0"/>
    <w:lsdException w:name="Colorful List" w:uiPriority="72" w:qFormat="0"/>
    <w:lsdException w:name="Colorful Grid" w:uiPriority="73"/>
    <w:lsdException w:name="Light Shading Accent 1" w:uiPriority="60" w:qFormat="0"/>
    <w:lsdException w:name="Light List Accent 1" w:uiPriority="61" w:qFormat="0"/>
    <w:lsdException w:name="Light Grid Accent 1" w:uiPriority="62"/>
    <w:lsdException w:name="Medium Shading 1 Accent 1" w:uiPriority="63"/>
    <w:lsdException w:name="Medium Shading 2 Accent 1" w:uiPriority="64" w:qFormat="0"/>
    <w:lsdException w:name="Medium List 1 Accent 1" w:uiPriority="65"/>
    <w:lsdException w:name="Revision" w:uiPriority="99" w:qFormat="0"/>
    <w:lsdException w:name="List Paragraph" w:uiPriority="99"/>
    <w:lsdException w:name="Quote" w:uiPriority="99"/>
    <w:lsdException w:name="Intense Quote" w:uiPriority="99"/>
    <w:lsdException w:name="Medium List 2 Accent 1" w:uiPriority="66"/>
    <w:lsdException w:name="Medium Grid 1 Accent 1" w:uiPriority="67" w:qFormat="0"/>
    <w:lsdException w:name="Medium Grid 2 Accent 1" w:uiPriority="68"/>
    <w:lsdException w:name="Medium Grid 3 Accent 1" w:uiPriority="69"/>
    <w:lsdException w:name="Dark List Accent 1" w:uiPriority="70" w:qFormat="0"/>
    <w:lsdException w:name="Colorful Shading Accent 1" w:uiPriority="71" w:qFormat="0"/>
    <w:lsdException w:name="Colorful List Accent 1" w:uiPriority="72"/>
    <w:lsdException w:name="Colorful Grid Accent 1" w:uiPriority="73" w:qFormat="0"/>
    <w:lsdException w:name="Light Shading Accent 2" w:uiPriority="60"/>
    <w:lsdException w:name="Light List Accent 2" w:uiPriority="61" w:qFormat="0"/>
    <w:lsdException w:name="Light Grid Accent 2" w:uiPriority="62"/>
    <w:lsdException w:name="Medium Shading 1 Accent 2" w:uiPriority="63" w:qFormat="0"/>
    <w:lsdException w:name="Medium Shading 2 Accent 2" w:uiPriority="64"/>
    <w:lsdException w:name="Medium List 1 Accent 2" w:uiPriority="65" w:qFormat="0"/>
    <w:lsdException w:name="Medium List 2 Accent 2" w:uiPriority="66"/>
    <w:lsdException w:name="Medium Grid 1 Accent 2" w:uiPriority="67"/>
    <w:lsdException w:name="Medium Grid 2 Accent 2" w:uiPriority="68" w:qFormat="0"/>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qFormat="0"/>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0"/>
    <w:lsdException w:name="Medium Grid 3 Accent 3" w:uiPriority="69"/>
    <w:lsdException w:name="Dark List Accent 3" w:uiPriority="70"/>
    <w:lsdException w:name="Colorful Shading Accent 3" w:uiPriority="71" w:qFormat="0"/>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0"/>
    <w:lsdException w:name="Medium List 1 Accent 4" w:uiPriority="65"/>
    <w:lsdException w:name="Medium List 2 Accent 4" w:uiPriority="66"/>
    <w:lsdException w:name="Medium Grid 1 Accent 4" w:uiPriority="67" w:qFormat="0"/>
    <w:lsdException w:name="Medium Grid 2 Accent 4" w:uiPriority="68" w:qFormat="0"/>
    <w:lsdException w:name="Medium Grid 3 Accent 4" w:uiPriority="69" w:qFormat="0"/>
    <w:lsdException w:name="Dark List Accent 4" w:uiPriority="70"/>
    <w:lsdException w:name="Colorful Shading Accent 4" w:uiPriority="71"/>
    <w:lsdException w:name="Colorful List Accent 4" w:uiPriority="72" w:qFormat="0"/>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0"/>
    <w:lsdException w:name="Medium Shading 2 Accent 5" w:uiPriority="64"/>
    <w:lsdException w:name="Medium List 1 Accent 5" w:uiPriority="65" w:qFormat="0"/>
    <w:lsdException w:name="Medium List 2 Accent 5" w:uiPriority="66"/>
    <w:lsdException w:name="Medium Grid 1 Accent 5" w:uiPriority="67" w:qFormat="0"/>
    <w:lsdException w:name="Medium Grid 2 Accent 5" w:uiPriority="68" w:qFormat="0"/>
    <w:lsdException w:name="Medium Grid 3 Accent 5" w:uiPriority="69"/>
    <w:lsdException w:name="Dark List Accent 5" w:uiPriority="70"/>
    <w:lsdException w:name="Colorful Shading Accent 5" w:uiPriority="71" w:qFormat="0"/>
    <w:lsdException w:name="Colorful List Accent 5" w:uiPriority="72"/>
    <w:lsdException w:name="Colorful Grid Accent 5" w:uiPriority="73" w:qFormat="0"/>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qFormat="0"/>
    <w:lsdException w:name="Medium Grid 2 Accent 6" w:uiPriority="68"/>
    <w:lsdException w:name="Medium Grid 3 Accent 6" w:uiPriority="69"/>
    <w:lsdException w:name="Dark List Accent 6" w:uiPriority="70"/>
    <w:lsdException w:name="Colorful Shading Accent 6" w:uiPriority="71" w:qFormat="0"/>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before="100" w:beforeAutospacing="1" w:after="100" w:afterAutospacing="1" w:line="240" w:lineRule="auto"/>
      <w:jc w:val="right"/>
    </w:pPr>
    <w:rPr>
      <w:rFonts w:ascii="Calibri" w:eastAsia="DengXian" w:hAnsi="Calibri"/>
      <w:kern w:val="0"/>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kern w:val="44"/>
      <w:sz w:val="44"/>
      <w:szCs w:val="44"/>
    </w:rPr>
  </w:style>
  <w:style w:type="paragraph" w:styleId="Heading2">
    <w:name w:val="heading 2"/>
    <w:basedOn w:val="Normal"/>
    <w:next w:val="Normal"/>
    <w:link w:val="Heading2Char"/>
    <w:uiPriority w:val="9"/>
    <w:qFormat/>
    <w:pPr>
      <w:jc w:val="left"/>
      <w:outlineLvl w:val="1"/>
    </w:pPr>
    <w:rPr>
      <w:rFonts w:ascii="SimSun" w:eastAsia="SimSun" w:hAnsi="SimSun"/>
      <w:b/>
      <w:sz w:val="36"/>
      <w:szCs w:val="36"/>
    </w:rPr>
  </w:style>
  <w:style w:type="paragraph" w:styleId="Heading3">
    <w:name w:val="heading 3"/>
    <w:basedOn w:val="Normal"/>
    <w:next w:val="Normal"/>
    <w:link w:val="Heading3Char"/>
    <w:uiPriority w:val="9"/>
    <w:qFormat/>
    <w:pPr>
      <w:jc w:val="left"/>
      <w:outlineLvl w:val="2"/>
    </w:pPr>
    <w:rPr>
      <w:rFonts w:ascii="SimSun" w:eastAsia="SimSun" w:hAnsi="SimSun"/>
      <w:b/>
      <w:sz w:val="27"/>
      <w:szCs w:val="27"/>
    </w:rPr>
  </w:style>
  <w:style w:type="paragraph" w:styleId="Heading4">
    <w:name w:val="heading 4"/>
    <w:basedOn w:val="Normal"/>
    <w:next w:val="Normal"/>
    <w:link w:val="Heading4Char"/>
    <w:uiPriority w:val="9"/>
    <w:qFormat/>
    <w:pPr>
      <w:keepNext/>
      <w:keepLines/>
      <w:spacing w:before="280" w:after="290" w:line="376" w:lineRule="auto"/>
      <w:outlineLvl w:val="3"/>
    </w:pPr>
    <w:rPr>
      <w:b/>
      <w:sz w:val="28"/>
      <w:szCs w:val="28"/>
    </w:rPr>
  </w:style>
  <w:style w:type="paragraph" w:styleId="Heading5">
    <w:name w:val="heading 5"/>
    <w:basedOn w:val="Normal"/>
    <w:next w:val="Normal"/>
    <w:link w:val="Heading5Char"/>
    <w:uiPriority w:val="9"/>
    <w:qFormat/>
    <w:pPr>
      <w:keepNext/>
      <w:keepLines/>
      <w:spacing w:before="280" w:after="290" w:line="376" w:lineRule="auto"/>
      <w:outlineLvl w:val="4"/>
    </w:pPr>
    <w:rPr>
      <w:b/>
      <w:sz w:val="28"/>
      <w:szCs w:val="28"/>
    </w:rPr>
  </w:style>
  <w:style w:type="paragraph" w:styleId="Heading6">
    <w:name w:val="heading 6"/>
    <w:basedOn w:val="Normal"/>
    <w:next w:val="Normal"/>
    <w:link w:val="Heading6Char"/>
    <w:uiPriority w:val="9"/>
    <w:qFormat/>
    <w:pPr>
      <w:keepNext/>
      <w:keepLines/>
      <w:spacing w:before="240" w:after="64" w:line="320" w:lineRule="auto"/>
      <w:outlineLvl w:val="5"/>
    </w:pPr>
    <w:rPr>
      <w:b/>
    </w:rPr>
  </w:style>
  <w:style w:type="paragraph" w:styleId="Heading7">
    <w:name w:val="heading 7"/>
    <w:basedOn w:val="Normal"/>
    <w:next w:val="Normal"/>
    <w:link w:val="Heading7Char"/>
    <w:uiPriority w:val="9"/>
    <w:qFormat/>
    <w:pPr>
      <w:keepNext/>
      <w:keepLines/>
      <w:spacing w:before="240" w:after="64" w:line="320" w:lineRule="auto"/>
      <w:outlineLvl w:val="6"/>
    </w:pPr>
    <w:rPr>
      <w:b/>
    </w:rPr>
  </w:style>
  <w:style w:type="paragraph" w:styleId="Heading8">
    <w:name w:val="heading 8"/>
    <w:basedOn w:val="Normal"/>
    <w:next w:val="Normal"/>
    <w:link w:val="Heading8Char"/>
    <w:uiPriority w:val="9"/>
    <w:qFormat/>
    <w:pPr>
      <w:keepNext/>
      <w:keepLines/>
      <w:spacing w:before="240" w:after="64" w:line="320" w:lineRule="auto"/>
      <w:outlineLvl w:val="7"/>
    </w:pPr>
  </w:style>
  <w:style w:type="paragraph" w:styleId="Heading9">
    <w:name w:val="heading 9"/>
    <w:basedOn w:val="Normal"/>
    <w:next w:val="Normal"/>
    <w:link w:val="Heading9Char"/>
    <w:uiPriority w:val="9"/>
    <w:qFormat/>
    <w:pPr>
      <w:keepNext/>
      <w:keepLines/>
      <w:spacing w:before="240" w:after="64" w:line="320" w:lineRule="auto"/>
      <w:outlineLvl w:val="8"/>
    </w:pPr>
    <w:rPr>
      <w:szCs w:val="21"/>
    </w:rPr>
  </w:style>
  <w:style w:type="character" w:default="1" w:styleId="DefaultParagraphFont">
    <w:name w:val="Default Paragraph Font"/>
    <w:uiPriority w:val="1"/>
    <w:semiHidden/>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Vrinda"/>
      <w:b/>
      <w:bCs/>
      <w:kern w:val="32"/>
      <w:sz w:val="32"/>
      <w:szCs w:val="32"/>
      <w:lang w:val="en-US"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Vrinda"/>
      <w:b/>
      <w:bCs/>
      <w:i/>
      <w:iCs/>
      <w:kern w:val="0"/>
      <w:sz w:val="28"/>
      <w:szCs w:val="28"/>
      <w:lang w:val="en-US"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Vrinda"/>
      <w:b/>
      <w:bCs/>
      <w:kern w:val="0"/>
      <w:sz w:val="26"/>
      <w:szCs w:val="26"/>
      <w:lang w:val="en-US"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0"/>
      <w:sz w:val="28"/>
      <w:szCs w:val="28"/>
      <w:lang w:val="en-US"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0"/>
      <w:sz w:val="26"/>
      <w:szCs w:val="26"/>
      <w:lang w:val="en-US"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0"/>
      <w:sz w:val="22"/>
      <w:szCs w:val="22"/>
      <w:lang w:val="en-US" w:eastAsia="zh-CN"/>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0"/>
      <w:lang w:val="en-US" w:eastAsia="zh-CN"/>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kern w:val="0"/>
      <w:lang w:val="en-US" w:eastAsia="zh-CN"/>
    </w:rPr>
  </w:style>
  <w:style w:type="character" w:customStyle="1" w:styleId="Heading9Char">
    <w:name w:val="Heading 9 Char"/>
    <w:basedOn w:val="DefaultParagraphFont"/>
    <w:link w:val="Heading9"/>
    <w:uiPriority w:val="9"/>
    <w:semiHidden/>
    <w:locked/>
    <w:rPr>
      <w:rFonts w:asciiTheme="majorHAnsi" w:eastAsiaTheme="majorEastAsia" w:hAnsiTheme="majorHAnsi" w:cs="Vrinda"/>
      <w:kern w:val="0"/>
      <w:sz w:val="22"/>
      <w:szCs w:val="22"/>
      <w:lang w:val="en-US" w:eastAsia="zh-CN"/>
    </w:rPr>
  </w:style>
  <w:style w:type="character" w:styleId="CommentReference">
    <w:name w:val="annotation reference"/>
    <w:basedOn w:val="DefaultParagraphFont"/>
    <w:uiPriority w:val="99"/>
    <w:qFormat/>
    <w:rPr>
      <w:rFonts w:cs="Times New Roman"/>
      <w:sz w:val="21"/>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qFormat/>
    <w:rPr>
      <w:rFonts w:cs="Times New Roman"/>
      <w:vertAlign w:val="superscript"/>
    </w:rPr>
  </w:style>
  <w:style w:type="character" w:styleId="FollowedHyperlink">
    <w:name w:val="FollowedHyperlink"/>
    <w:basedOn w:val="DefaultParagraphFont"/>
    <w:uiPriority w:val="99"/>
    <w:qFormat/>
    <w:rPr>
      <w:rFonts w:cs="Times New Roman"/>
      <w:color w:val="800080"/>
      <w:u w:val="single"/>
    </w:rPr>
  </w:style>
  <w:style w:type="character" w:styleId="FootnoteReference">
    <w:name w:val="footnote reference"/>
    <w:basedOn w:val="DefaultParagraphFont"/>
    <w:uiPriority w:val="99"/>
    <w:qFormat/>
    <w:rPr>
      <w:rFonts w:cs="Times New Roman"/>
      <w:vertAlign w:val="superscript"/>
    </w:rPr>
  </w:style>
  <w:style w:type="character" w:styleId="HTMLAcronym">
    <w:name w:val="HTML Acronym"/>
    <w:basedOn w:val="DefaultParagraphFont"/>
    <w:uiPriority w:val="99"/>
    <w:qFormat/>
    <w:rPr>
      <w:rFonts w:cs="Times New Roman"/>
    </w:rPr>
  </w:style>
  <w:style w:type="character" w:styleId="HTMLCite">
    <w:name w:val="HTML Cite"/>
    <w:basedOn w:val="DefaultParagraphFont"/>
    <w:uiPriority w:val="99"/>
    <w:qFormat/>
    <w:rPr>
      <w:rFonts w:cs="Times New Roman"/>
      <w:i/>
    </w:rPr>
  </w:style>
  <w:style w:type="character" w:styleId="HTMLCode">
    <w:name w:val="HTML Code"/>
    <w:basedOn w:val="DefaultParagraphFont"/>
    <w:uiPriority w:val="99"/>
    <w:qFormat/>
    <w:rPr>
      <w:rFonts w:ascii="Courier New" w:hAnsi="Courier New" w:cs="Courier New"/>
      <w:sz w:val="20"/>
      <w:szCs w:val="20"/>
    </w:rPr>
  </w:style>
  <w:style w:type="character" w:styleId="HTMLDefinition">
    <w:name w:val="HTML Definition"/>
    <w:basedOn w:val="DefaultParagraphFont"/>
    <w:uiPriority w:val="99"/>
    <w:qFormat/>
    <w:rPr>
      <w:rFonts w:cs="Times New Roman"/>
      <w:i/>
    </w:rPr>
  </w:style>
  <w:style w:type="character" w:styleId="HTMLKeyboard">
    <w:name w:val="HTML Keyboard"/>
    <w:basedOn w:val="DefaultParagraphFont"/>
    <w:uiPriority w:val="99"/>
    <w:qFormat/>
    <w:rPr>
      <w:rFonts w:ascii="Courier New" w:hAnsi="Courier New" w:cs="Courier New"/>
      <w:sz w:val="20"/>
      <w:szCs w:val="20"/>
    </w:rPr>
  </w:style>
  <w:style w:type="character" w:styleId="HTMLSample">
    <w:name w:val="HTML Sample"/>
    <w:basedOn w:val="DefaultParagraphFont"/>
    <w:uiPriority w:val="99"/>
    <w:qFormat/>
    <w:rPr>
      <w:rFonts w:ascii="Courier New" w:hAnsi="Courier New" w:cs="Courier New"/>
    </w:rPr>
  </w:style>
  <w:style w:type="character" w:styleId="HTMLTypewriter">
    <w:name w:val="HTML Typewriter"/>
    <w:basedOn w:val="DefaultParagraphFont"/>
    <w:uiPriority w:val="99"/>
    <w:qFormat/>
    <w:rPr>
      <w:rFonts w:ascii="Courier New" w:hAnsi="Courier New" w:cs="Courier New"/>
      <w:sz w:val="20"/>
      <w:szCs w:val="20"/>
    </w:rPr>
  </w:style>
  <w:style w:type="character" w:styleId="HTMLVariable">
    <w:name w:val="HTML Variable"/>
    <w:basedOn w:val="DefaultParagraphFont"/>
    <w:uiPriority w:val="99"/>
    <w:qFormat/>
    <w:rPr>
      <w:rFonts w:cs="Times New Roman"/>
      <w:i/>
    </w:rPr>
  </w:style>
  <w:style w:type="character" w:styleId="Hyperlink">
    <w:name w:val="Hyperlink"/>
    <w:basedOn w:val="DefaultParagraphFont"/>
    <w:uiPriority w:val="99"/>
    <w:qFormat/>
    <w:rPr>
      <w:rFonts w:cs="Times New Roman"/>
      <w:color w:val="0000FF"/>
      <w:u w:val="single"/>
    </w:rPr>
  </w:style>
  <w:style w:type="character" w:styleId="LineNumber">
    <w:name w:val="line number"/>
    <w:basedOn w:val="DefaultParagraphFont"/>
    <w:uiPriority w:val="99"/>
    <w:qFormat/>
    <w:rPr>
      <w:rFonts w:cs="Times New Roman"/>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rFonts w:cs="Times New Roman"/>
      <w:b/>
    </w:rPr>
  </w:style>
  <w:style w:type="paragraph" w:styleId="ListContinue3">
    <w:name w:val="List Continue 3"/>
    <w:basedOn w:val="Normal"/>
    <w:uiPriority w:val="99"/>
    <w:qFormat/>
    <w:pPr>
      <w:spacing w:after="120"/>
      <w:ind w:leftChars="600" w:left="1260"/>
    </w:pPr>
  </w:style>
  <w:style w:type="paragraph" w:styleId="Index5">
    <w:name w:val="index 5"/>
    <w:basedOn w:val="Normal"/>
    <w:next w:val="Normal"/>
    <w:uiPriority w:val="99"/>
    <w:qFormat/>
    <w:pPr>
      <w:ind w:leftChars="800" w:left="800"/>
    </w:pPr>
  </w:style>
  <w:style w:type="paragraph" w:styleId="MessageHeader">
    <w:name w:val="Message Header"/>
    <w:basedOn w:val="Normal"/>
    <w:link w:val="MessageHeaderChar"/>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Vrinda"/>
      <w:kern w:val="0"/>
      <w:shd w:val="pct20" w:color="auto" w:fill="auto"/>
      <w:lang w:val="en-US" w:eastAsia="zh-CN"/>
    </w:rPr>
  </w:style>
  <w:style w:type="paragraph" w:styleId="NormalWeb">
    <w:name w:val="Normal (Web)"/>
    <w:basedOn w:val="Normal"/>
    <w:uiPriority w:val="99"/>
    <w:qFormat/>
    <w:pPr>
      <w:jc w:val="left"/>
    </w:pPr>
  </w:style>
  <w:style w:type="paragraph" w:styleId="BalloonText">
    <w:name w:val="Balloon Text"/>
    <w:basedOn w:val="Normal"/>
    <w:link w:val="BalloonTextChar"/>
    <w:uiPriority w:val="99"/>
    <w:qFormat/>
    <w:rPr>
      <w:sz w:val="16"/>
      <w:szCs w:val="16"/>
    </w:rPr>
  </w:style>
  <w:style w:type="character" w:customStyle="1" w:styleId="BalloonTextChar">
    <w:name w:val="Balloon Text Char"/>
    <w:basedOn w:val="DefaultParagraphFont"/>
    <w:link w:val="BalloonText"/>
    <w:uiPriority w:val="99"/>
    <w:semiHidden/>
    <w:locked/>
    <w:rPr>
      <w:rFonts w:ascii="Segoe UI" w:eastAsia="DengXian" w:hAnsi="Segoe UI" w:cs="Segoe UI"/>
      <w:kern w:val="0"/>
      <w:sz w:val="18"/>
      <w:szCs w:val="18"/>
      <w:lang w:val="en-US" w:eastAsia="zh-CN"/>
    </w:rPr>
  </w:style>
  <w:style w:type="paragraph" w:styleId="BlockText">
    <w:name w:val="Block Text"/>
    <w:basedOn w:val="Normal"/>
    <w:uiPriority w:val="99"/>
    <w:qFormat/>
    <w:pPr>
      <w:spacing w:after="120"/>
      <w:ind w:leftChars="700" w:left="1440" w:rightChars="700" w:right="1440"/>
    </w:pPr>
  </w:style>
  <w:style w:type="paragraph" w:styleId="BodyText">
    <w:name w:val="Body Text"/>
    <w:basedOn w:val="Normal"/>
    <w:link w:val="BodyTextChar"/>
    <w:uiPriority w:val="99"/>
    <w:qFormat/>
    <w:pPr>
      <w:spacing w:after="120"/>
    </w:pPr>
  </w:style>
  <w:style w:type="character" w:customStyle="1" w:styleId="BodyTextChar">
    <w:name w:val="Body Text Char"/>
    <w:basedOn w:val="DefaultParagraphFont"/>
    <w:link w:val="BodyText"/>
    <w:uiPriority w:val="99"/>
    <w:semiHidden/>
    <w:locked/>
    <w:rPr>
      <w:rFonts w:ascii="Calibri" w:eastAsia="DengXian" w:hAnsi="Calibri" w:cs="Times New Roman"/>
      <w:kern w:val="0"/>
      <w:lang w:val="en-US" w:eastAsia="zh-CN"/>
    </w:rPr>
  </w:style>
  <w:style w:type="paragraph" w:styleId="BodyText2">
    <w:name w:val="Body Text 2"/>
    <w:basedOn w:val="Normal"/>
    <w:link w:val="BodyText2Char"/>
    <w:uiPriority w:val="99"/>
    <w:qFormat/>
    <w:pPr>
      <w:spacing w:after="120" w:line="480" w:lineRule="auto"/>
    </w:pPr>
  </w:style>
  <w:style w:type="character" w:customStyle="1" w:styleId="BodyText2Char">
    <w:name w:val="Body Text 2 Char"/>
    <w:basedOn w:val="DefaultParagraphFont"/>
    <w:link w:val="BodyText2"/>
    <w:uiPriority w:val="99"/>
    <w:semiHidden/>
    <w:locked/>
    <w:rPr>
      <w:rFonts w:ascii="Calibri" w:eastAsia="DengXian" w:hAnsi="Calibri" w:cs="Times New Roman"/>
      <w:kern w:val="0"/>
      <w:lang w:val="en-US" w:eastAsia="zh-CN"/>
    </w:rPr>
  </w:style>
  <w:style w:type="paragraph" w:styleId="BodyText3">
    <w:name w:val="Body Text 3"/>
    <w:basedOn w:val="Normal"/>
    <w:link w:val="BodyText3Char"/>
    <w:uiPriority w:val="99"/>
    <w:qFormat/>
    <w:pPr>
      <w:spacing w:after="120"/>
    </w:pPr>
    <w:rPr>
      <w:sz w:val="16"/>
      <w:szCs w:val="16"/>
    </w:rPr>
  </w:style>
  <w:style w:type="character" w:customStyle="1" w:styleId="BodyText3Char">
    <w:name w:val="Body Text 3 Char"/>
    <w:basedOn w:val="DefaultParagraphFont"/>
    <w:link w:val="BodyText3"/>
    <w:uiPriority w:val="99"/>
    <w:semiHidden/>
    <w:locked/>
    <w:rPr>
      <w:rFonts w:ascii="Calibri" w:eastAsia="DengXian" w:hAnsi="Calibri" w:cs="Times New Roman"/>
      <w:kern w:val="0"/>
      <w:sz w:val="16"/>
      <w:szCs w:val="16"/>
      <w:lang w:val="en-US" w:eastAsia="zh-CN"/>
    </w:rPr>
  </w:style>
  <w:style w:type="paragraph" w:styleId="BodyTextFirstIndent">
    <w:name w:val="Body Text First Indent"/>
    <w:basedOn w:val="BodyText"/>
    <w:link w:val="BodyTextFirstIndentChar"/>
    <w:uiPriority w:val="99"/>
    <w:qFormat/>
    <w:pPr>
      <w:ind w:firstLineChars="100" w:firstLine="420"/>
    </w:pPr>
  </w:style>
  <w:style w:type="character" w:customStyle="1" w:styleId="BodyTextFirstIndentChar">
    <w:name w:val="Body Text First Indent Char"/>
    <w:basedOn w:val="BodyTextChar"/>
    <w:link w:val="BodyTextFirstIndent"/>
    <w:uiPriority w:val="99"/>
    <w:semiHidden/>
    <w:locked/>
    <w:rPr>
      <w:rFonts w:ascii="Calibri" w:eastAsia="DengXian" w:hAnsi="Calibri" w:cs="Times New Roman"/>
      <w:kern w:val="0"/>
      <w:lang w:val="en-US" w:eastAsia="zh-CN"/>
    </w:rPr>
  </w:style>
  <w:style w:type="paragraph" w:styleId="BodyTextIndent">
    <w:name w:val="Body Text Indent"/>
    <w:basedOn w:val="Normal"/>
    <w:link w:val="BodyTextIndentChar"/>
    <w:uiPriority w:val="99"/>
    <w:qFormat/>
    <w:pPr>
      <w:spacing w:after="120"/>
      <w:ind w:leftChars="200" w:left="420"/>
    </w:pPr>
  </w:style>
  <w:style w:type="character" w:customStyle="1" w:styleId="BodyTextIndentChar">
    <w:name w:val="Body Text Indent Char"/>
    <w:basedOn w:val="DefaultParagraphFont"/>
    <w:link w:val="BodyTextIndent"/>
    <w:uiPriority w:val="99"/>
    <w:semiHidden/>
    <w:locked/>
    <w:rPr>
      <w:rFonts w:ascii="Calibri" w:eastAsia="DengXian" w:hAnsi="Calibri" w:cs="Times New Roman"/>
      <w:kern w:val="0"/>
      <w:lang w:val="en-US" w:eastAsia="zh-CN"/>
    </w:rPr>
  </w:style>
  <w:style w:type="paragraph" w:styleId="BodyTextFirstIndent2">
    <w:name w:val="Body Text First Indent 2"/>
    <w:basedOn w:val="BodyTextIndent"/>
    <w:link w:val="BodyTextFirstIndent2Char"/>
    <w:uiPriority w:val="99"/>
    <w:qFormat/>
    <w:pPr>
      <w:ind w:firstLineChars="200" w:firstLine="420"/>
    </w:pPr>
  </w:style>
  <w:style w:type="character" w:customStyle="1" w:styleId="BodyTextFirstIndent2Char">
    <w:name w:val="Body Text First Indent 2 Char"/>
    <w:basedOn w:val="BodyTextIndentChar"/>
    <w:link w:val="BodyTextFirstIndent2"/>
    <w:uiPriority w:val="99"/>
    <w:semiHidden/>
    <w:locked/>
    <w:rPr>
      <w:rFonts w:ascii="Calibri" w:eastAsia="DengXian" w:hAnsi="Calibri" w:cs="Times New Roman"/>
      <w:kern w:val="0"/>
      <w:lang w:val="en-US" w:eastAsia="zh-CN"/>
    </w:rPr>
  </w:style>
  <w:style w:type="paragraph" w:styleId="DocumentMap">
    <w:name w:val="Document Map"/>
    <w:basedOn w:val="Normal"/>
    <w:link w:val="DocumentMapChar"/>
    <w:uiPriority w:val="99"/>
    <w:qFormat/>
    <w:pPr>
      <w:shd w:val="clear" w:color="auto" w:fill="000080"/>
    </w:pPr>
  </w:style>
  <w:style w:type="character" w:customStyle="1" w:styleId="DocumentMapChar">
    <w:name w:val="Document Map Char"/>
    <w:basedOn w:val="DefaultParagraphFont"/>
    <w:link w:val="DocumentMap"/>
    <w:uiPriority w:val="99"/>
    <w:semiHidden/>
    <w:locked/>
    <w:rPr>
      <w:rFonts w:ascii="Segoe UI" w:eastAsia="DengXian" w:hAnsi="Segoe UI" w:cs="Segoe UI"/>
      <w:kern w:val="0"/>
      <w:sz w:val="16"/>
      <w:szCs w:val="16"/>
      <w:lang w:val="en-US" w:eastAsia="zh-CN"/>
    </w:rPr>
  </w:style>
  <w:style w:type="paragraph" w:styleId="BodyTextIndent2">
    <w:name w:val="Body Text Indent 2"/>
    <w:basedOn w:val="Normal"/>
    <w:link w:val="BodyTextIndent2Char"/>
    <w:uiPriority w:val="99"/>
    <w:qFormat/>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Pr>
      <w:rFonts w:ascii="Calibri" w:eastAsia="DengXian" w:hAnsi="Calibri" w:cs="Times New Roman"/>
      <w:kern w:val="0"/>
      <w:lang w:val="en-US" w:eastAsia="zh-CN"/>
    </w:rPr>
  </w:style>
  <w:style w:type="paragraph" w:styleId="BodyTextIndent3">
    <w:name w:val="Body Text Indent 3"/>
    <w:basedOn w:val="Normal"/>
    <w:link w:val="BodyTextIndent3Char"/>
    <w:uiPriority w:val="99"/>
    <w:qFormat/>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Pr>
      <w:rFonts w:ascii="Calibri" w:eastAsia="DengXian" w:hAnsi="Calibri" w:cs="Times New Roman"/>
      <w:kern w:val="0"/>
      <w:sz w:val="16"/>
      <w:szCs w:val="16"/>
      <w:lang w:val="en-US" w:eastAsia="zh-CN"/>
    </w:rPr>
  </w:style>
  <w:style w:type="paragraph" w:styleId="Caption">
    <w:name w:val="caption"/>
    <w:basedOn w:val="Normal"/>
    <w:next w:val="Normal"/>
    <w:uiPriority w:val="35"/>
    <w:qFormat/>
    <w:rPr>
      <w:rFonts w:ascii="Arial" w:eastAsia="SimHei" w:hAnsi="Arial" w:cs="Arial"/>
      <w:sz w:val="20"/>
    </w:rPr>
  </w:style>
  <w:style w:type="paragraph" w:styleId="Closing">
    <w:name w:val="Closing"/>
    <w:basedOn w:val="Normal"/>
    <w:link w:val="ClosingChar"/>
    <w:uiPriority w:val="99"/>
    <w:qFormat/>
    <w:pPr>
      <w:ind w:leftChars="2100" w:left="100"/>
    </w:pPr>
  </w:style>
  <w:style w:type="character" w:customStyle="1" w:styleId="ClosingChar">
    <w:name w:val="Closing Char"/>
    <w:basedOn w:val="DefaultParagraphFont"/>
    <w:link w:val="Closing"/>
    <w:uiPriority w:val="99"/>
    <w:semiHidden/>
    <w:locked/>
    <w:rPr>
      <w:rFonts w:ascii="Calibri" w:eastAsia="DengXian" w:hAnsi="Calibri" w:cs="Times New Roman"/>
      <w:kern w:val="0"/>
      <w:lang w:val="en-US" w:eastAsia="zh-CN"/>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semiHidden/>
    <w:locked/>
    <w:rPr>
      <w:rFonts w:ascii="Calibri" w:eastAsia="DengXian" w:hAnsi="Calibri" w:cs="Times New Roman"/>
      <w:kern w:val="0"/>
      <w:sz w:val="20"/>
      <w:szCs w:val="20"/>
      <w:lang w:val="en-US" w:eastAsia="zh-CN"/>
    </w:rPr>
  </w:style>
  <w:style w:type="paragraph" w:styleId="CommentSubject">
    <w:name w:val="annotation subject"/>
    <w:basedOn w:val="CommentText"/>
    <w:next w:val="CommentText"/>
    <w:link w:val="CommentSubjectChar"/>
    <w:uiPriority w:val="99"/>
    <w:qFormat/>
    <w:rPr>
      <w:b/>
    </w:rPr>
  </w:style>
  <w:style w:type="character" w:customStyle="1" w:styleId="CommentSubjectChar">
    <w:name w:val="Comment Subject Char"/>
    <w:basedOn w:val="CommentTextChar"/>
    <w:link w:val="CommentSubject"/>
    <w:uiPriority w:val="99"/>
    <w:semiHidden/>
    <w:locked/>
    <w:rPr>
      <w:rFonts w:ascii="Calibri" w:eastAsia="DengXian" w:hAnsi="Calibri" w:cs="Times New Roman"/>
      <w:b/>
      <w:bCs/>
      <w:kern w:val="0"/>
      <w:sz w:val="20"/>
      <w:szCs w:val="20"/>
      <w:lang w:val="en-US" w:eastAsia="zh-CN"/>
    </w:rPr>
  </w:style>
  <w:style w:type="paragraph" w:styleId="Date">
    <w:name w:val="Date"/>
    <w:basedOn w:val="Normal"/>
    <w:next w:val="Normal"/>
    <w:link w:val="DateChar"/>
    <w:uiPriority w:val="99"/>
    <w:qFormat/>
    <w:pPr>
      <w:ind w:leftChars="2500" w:left="100"/>
    </w:pPr>
  </w:style>
  <w:style w:type="character" w:customStyle="1" w:styleId="DateChar">
    <w:name w:val="Date Char"/>
    <w:basedOn w:val="DefaultParagraphFont"/>
    <w:link w:val="Date"/>
    <w:uiPriority w:val="99"/>
    <w:semiHidden/>
    <w:locked/>
    <w:rPr>
      <w:rFonts w:ascii="Calibri" w:eastAsia="DengXian" w:hAnsi="Calibri" w:cs="Times New Roman"/>
      <w:kern w:val="0"/>
      <w:lang w:val="en-US" w:eastAsia="zh-CN"/>
    </w:rPr>
  </w:style>
  <w:style w:type="paragraph" w:styleId="E-mailSignature">
    <w:name w:val="E-mail Signature"/>
    <w:basedOn w:val="Normal"/>
    <w:link w:val="E-mailSignatureChar"/>
    <w:uiPriority w:val="99"/>
    <w:qFormat/>
  </w:style>
  <w:style w:type="character" w:customStyle="1" w:styleId="E-mailSignatureChar">
    <w:name w:val="E-mail Signature Char"/>
    <w:basedOn w:val="DefaultParagraphFont"/>
    <w:link w:val="E-mailSignature"/>
    <w:uiPriority w:val="99"/>
    <w:semiHidden/>
    <w:locked/>
    <w:rPr>
      <w:rFonts w:ascii="Calibri" w:eastAsia="DengXian" w:hAnsi="Calibri" w:cs="Times New Roman"/>
      <w:kern w:val="0"/>
      <w:lang w:val="en-US" w:eastAsia="zh-CN"/>
    </w:rPr>
  </w:style>
  <w:style w:type="paragraph" w:styleId="EndnoteText">
    <w:name w:val="endnote text"/>
    <w:basedOn w:val="Normal"/>
    <w:link w:val="EndnoteTextChar"/>
    <w:uiPriority w:val="99"/>
    <w:qFormat/>
    <w:pPr>
      <w:snapToGrid w:val="0"/>
      <w:jc w:val="left"/>
    </w:pPr>
  </w:style>
  <w:style w:type="character" w:customStyle="1" w:styleId="EndnoteTextChar">
    <w:name w:val="Endnote Text Char"/>
    <w:basedOn w:val="DefaultParagraphFont"/>
    <w:link w:val="EndnoteText"/>
    <w:uiPriority w:val="99"/>
    <w:semiHidden/>
    <w:locked/>
    <w:rPr>
      <w:rFonts w:ascii="Calibri" w:eastAsia="DengXian" w:hAnsi="Calibri" w:cs="Times New Roman"/>
      <w:kern w:val="0"/>
      <w:sz w:val="20"/>
      <w:szCs w:val="20"/>
      <w:lang w:val="en-US" w:eastAsia="zh-CN"/>
    </w:rPr>
  </w:style>
  <w:style w:type="paragraph" w:styleId="EnvelopeAddress">
    <w:name w:val="envelope address"/>
    <w:basedOn w:val="Normal"/>
    <w:uiPriority w:val="99"/>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uiPriority w:val="99"/>
    <w:qFormat/>
    <w:pPr>
      <w:snapToGrid w:val="0"/>
    </w:pPr>
    <w:rPr>
      <w:rFonts w:ascii="Arial" w:hAnsi="Arial" w:cs="Arial"/>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eastAsia="DengXian" w:hAnsi="Calibri" w:cs="Times New Roman"/>
      <w:kern w:val="0"/>
      <w:lang w:val="en-US" w:eastAsia="zh-CN"/>
    </w:rPr>
  </w:style>
  <w:style w:type="paragraph" w:styleId="FootnoteText">
    <w:name w:val="footnote text"/>
    <w:basedOn w:val="Normal"/>
    <w:link w:val="FootnoteTextChar"/>
    <w:uiPriority w:val="99"/>
    <w:qFormat/>
    <w:pPr>
      <w:snapToGrid w:val="0"/>
      <w:jc w:val="left"/>
    </w:pPr>
    <w:rPr>
      <w:sz w:val="18"/>
      <w:szCs w:val="18"/>
    </w:rPr>
  </w:style>
  <w:style w:type="character" w:customStyle="1" w:styleId="FootnoteTextChar">
    <w:name w:val="Footnote Text Char"/>
    <w:basedOn w:val="DefaultParagraphFont"/>
    <w:link w:val="FootnoteText"/>
    <w:uiPriority w:val="99"/>
    <w:semiHidden/>
    <w:locked/>
    <w:rPr>
      <w:rFonts w:ascii="Calibri" w:eastAsia="DengXian" w:hAnsi="Calibri" w:cs="Times New Roman"/>
      <w:kern w:val="0"/>
      <w:sz w:val="20"/>
      <w:szCs w:val="20"/>
      <w:lang w:val="en-US" w:eastAsia="zh-CN"/>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Calibri" w:eastAsia="DengXian" w:hAnsi="Calibri" w:cs="Times New Roman"/>
      <w:kern w:val="0"/>
      <w:lang w:val="en-US" w:eastAsia="zh-CN"/>
    </w:rPr>
  </w:style>
  <w:style w:type="paragraph" w:styleId="HTMLAddress">
    <w:name w:val="HTML Address"/>
    <w:basedOn w:val="Normal"/>
    <w:link w:val="HTMLAddressChar"/>
    <w:uiPriority w:val="99"/>
    <w:qFormat/>
    <w:rPr>
      <w:i/>
    </w:rPr>
  </w:style>
  <w:style w:type="character" w:customStyle="1" w:styleId="HTMLAddressChar">
    <w:name w:val="HTML Address Char"/>
    <w:basedOn w:val="DefaultParagraphFont"/>
    <w:link w:val="HTMLAddress"/>
    <w:uiPriority w:val="99"/>
    <w:semiHidden/>
    <w:locked/>
    <w:rPr>
      <w:rFonts w:ascii="Calibri" w:eastAsia="DengXian" w:hAnsi="Calibri" w:cs="Times New Roman"/>
      <w:i/>
      <w:iCs/>
      <w:kern w:val="0"/>
      <w:lang w:val="en-US" w:eastAsia="zh-CN"/>
    </w:rPr>
  </w:style>
  <w:style w:type="paragraph" w:styleId="HTMLPreformatted">
    <w:name w:val="HTML Preformatted"/>
    <w:basedOn w:val="Normal"/>
    <w:link w:val="HTMLPreformattedChar"/>
    <w:uiPriority w:val="99"/>
    <w:qFormat/>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eastAsia="DengXian" w:hAnsi="Courier New" w:cs="Courier New"/>
      <w:kern w:val="0"/>
      <w:sz w:val="20"/>
      <w:szCs w:val="20"/>
      <w:lang w:val="en-US" w:eastAsia="zh-CN"/>
    </w:rPr>
  </w:style>
  <w:style w:type="paragraph" w:styleId="Index1">
    <w:name w:val="index 1"/>
    <w:basedOn w:val="Normal"/>
    <w:next w:val="Normal"/>
    <w:uiPriority w:val="99"/>
    <w:qFormat/>
  </w:style>
  <w:style w:type="paragraph" w:styleId="Index2">
    <w:name w:val="index 2"/>
    <w:basedOn w:val="Normal"/>
    <w:next w:val="Normal"/>
    <w:uiPriority w:val="99"/>
    <w:qFormat/>
    <w:pPr>
      <w:ind w:leftChars="200" w:left="200"/>
    </w:pPr>
  </w:style>
  <w:style w:type="paragraph" w:styleId="ListNumber2">
    <w:name w:val="List Number 2"/>
    <w:basedOn w:val="Normal"/>
    <w:uiPriority w:val="99"/>
    <w:qFormat/>
    <w:pPr>
      <w:numPr>
        <w:numId w:val="1"/>
      </w:numPr>
      <w:tabs>
        <w:tab w:val="left" w:pos="780"/>
      </w:tabs>
    </w:pPr>
  </w:style>
  <w:style w:type="paragraph" w:styleId="Index3">
    <w:name w:val="index 3"/>
    <w:basedOn w:val="Normal"/>
    <w:next w:val="Normal"/>
    <w:uiPriority w:val="99"/>
    <w:qFormat/>
    <w:pPr>
      <w:ind w:leftChars="400" w:left="400"/>
    </w:pPr>
  </w:style>
  <w:style w:type="paragraph" w:styleId="Index4">
    <w:name w:val="index 4"/>
    <w:basedOn w:val="Normal"/>
    <w:next w:val="Normal"/>
    <w:uiPriority w:val="99"/>
    <w:qFormat/>
    <w:pPr>
      <w:ind w:leftChars="600" w:left="600"/>
    </w:pPr>
  </w:style>
  <w:style w:type="paragraph" w:styleId="Index6">
    <w:name w:val="index 6"/>
    <w:basedOn w:val="Normal"/>
    <w:next w:val="Normal"/>
    <w:uiPriority w:val="99"/>
    <w:qFormat/>
    <w:pPr>
      <w:ind w:leftChars="1000" w:left="1000"/>
    </w:pPr>
  </w:style>
  <w:style w:type="paragraph" w:styleId="Index7">
    <w:name w:val="index 7"/>
    <w:basedOn w:val="Normal"/>
    <w:next w:val="Normal"/>
    <w:uiPriority w:val="99"/>
    <w:qFormat/>
    <w:pPr>
      <w:ind w:leftChars="1200" w:left="1200"/>
    </w:pPr>
  </w:style>
  <w:style w:type="paragraph" w:styleId="Index8">
    <w:name w:val="index 8"/>
    <w:basedOn w:val="Normal"/>
    <w:next w:val="Normal"/>
    <w:uiPriority w:val="99"/>
    <w:qFormat/>
    <w:pPr>
      <w:ind w:leftChars="1400" w:left="1400"/>
    </w:pPr>
  </w:style>
  <w:style w:type="paragraph" w:styleId="Index9">
    <w:name w:val="index 9"/>
    <w:basedOn w:val="Normal"/>
    <w:next w:val="Normal"/>
    <w:uiPriority w:val="99"/>
    <w:qFormat/>
    <w:pPr>
      <w:ind w:leftChars="1600" w:left="1600"/>
    </w:pPr>
  </w:style>
  <w:style w:type="paragraph" w:styleId="IndexHeading">
    <w:name w:val="index heading"/>
    <w:basedOn w:val="Normal"/>
    <w:next w:val="Index1"/>
    <w:uiPriority w:val="99"/>
    <w:qFormat/>
    <w:rPr>
      <w:rFonts w:ascii="Arial" w:hAnsi="Arial" w:cs="Arial"/>
      <w:b/>
    </w:rPr>
  </w:style>
  <w:style w:type="paragraph" w:styleId="List">
    <w:name w:val="List"/>
    <w:basedOn w:val="Normal"/>
    <w:uiPriority w:val="99"/>
    <w:qFormat/>
    <w:pPr>
      <w:ind w:left="200" w:hangingChars="200" w:hanging="200"/>
    </w:pPr>
  </w:style>
  <w:style w:type="paragraph" w:styleId="List2">
    <w:name w:val="List 2"/>
    <w:basedOn w:val="Normal"/>
    <w:uiPriority w:val="99"/>
    <w:qFormat/>
    <w:pPr>
      <w:ind w:leftChars="200" w:left="100" w:hangingChars="200" w:hanging="200"/>
    </w:pPr>
  </w:style>
  <w:style w:type="paragraph" w:styleId="List3">
    <w:name w:val="List 3"/>
    <w:basedOn w:val="Normal"/>
    <w:uiPriority w:val="99"/>
    <w:qFormat/>
    <w:pPr>
      <w:ind w:leftChars="400" w:left="100" w:hangingChars="200" w:hanging="200"/>
    </w:pPr>
  </w:style>
  <w:style w:type="paragraph" w:styleId="List4">
    <w:name w:val="List 4"/>
    <w:basedOn w:val="Normal"/>
    <w:uiPriority w:val="99"/>
    <w:qFormat/>
    <w:pPr>
      <w:ind w:leftChars="600" w:left="100" w:hangingChars="200" w:hanging="200"/>
    </w:pPr>
  </w:style>
  <w:style w:type="paragraph" w:styleId="List5">
    <w:name w:val="List 5"/>
    <w:basedOn w:val="Normal"/>
    <w:uiPriority w:val="99"/>
    <w:qFormat/>
    <w:pPr>
      <w:ind w:leftChars="800" w:left="100" w:hangingChars="200" w:hanging="200"/>
    </w:pPr>
  </w:style>
  <w:style w:type="paragraph" w:styleId="ListBullet">
    <w:name w:val="List Bullet"/>
    <w:basedOn w:val="Normal"/>
    <w:uiPriority w:val="99"/>
    <w:qFormat/>
    <w:pPr>
      <w:numPr>
        <w:numId w:val="2"/>
      </w:numPr>
      <w:tabs>
        <w:tab w:val="left" w:pos="360"/>
      </w:tabs>
    </w:pPr>
  </w:style>
  <w:style w:type="paragraph" w:styleId="ListBullet2">
    <w:name w:val="List Bullet 2"/>
    <w:basedOn w:val="Normal"/>
    <w:uiPriority w:val="99"/>
    <w:qFormat/>
    <w:pPr>
      <w:numPr>
        <w:numId w:val="3"/>
      </w:numPr>
      <w:tabs>
        <w:tab w:val="left" w:pos="780"/>
      </w:tabs>
    </w:pPr>
  </w:style>
  <w:style w:type="paragraph" w:styleId="ListBullet3">
    <w:name w:val="List Bullet 3"/>
    <w:basedOn w:val="Normal"/>
    <w:uiPriority w:val="99"/>
    <w:qFormat/>
    <w:pPr>
      <w:numPr>
        <w:numId w:val="4"/>
      </w:numPr>
      <w:tabs>
        <w:tab w:val="left" w:pos="1200"/>
      </w:tabs>
    </w:pPr>
  </w:style>
  <w:style w:type="paragraph" w:styleId="ListBullet4">
    <w:name w:val="List Bullet 4"/>
    <w:basedOn w:val="Normal"/>
    <w:uiPriority w:val="99"/>
    <w:qFormat/>
    <w:pPr>
      <w:numPr>
        <w:numId w:val="5"/>
      </w:numPr>
      <w:tabs>
        <w:tab w:val="left" w:pos="1620"/>
      </w:tabs>
    </w:pPr>
  </w:style>
  <w:style w:type="paragraph" w:styleId="ListBullet5">
    <w:name w:val="List Bullet 5"/>
    <w:basedOn w:val="Normal"/>
    <w:uiPriority w:val="99"/>
    <w:qFormat/>
    <w:pPr>
      <w:numPr>
        <w:numId w:val="6"/>
      </w:numPr>
      <w:tabs>
        <w:tab w:val="left" w:pos="2040"/>
      </w:tabs>
    </w:pPr>
  </w:style>
  <w:style w:type="paragraph" w:styleId="ListContinue">
    <w:name w:val="List Continue"/>
    <w:basedOn w:val="Normal"/>
    <w:uiPriority w:val="99"/>
    <w:qFormat/>
    <w:pPr>
      <w:spacing w:after="120"/>
      <w:ind w:leftChars="200" w:left="420"/>
    </w:pPr>
  </w:style>
  <w:style w:type="paragraph" w:styleId="ListContinue2">
    <w:name w:val="List Continue 2"/>
    <w:basedOn w:val="Normal"/>
    <w:uiPriority w:val="99"/>
    <w:qFormat/>
    <w:pPr>
      <w:spacing w:after="120"/>
      <w:ind w:leftChars="400" w:left="840"/>
    </w:pPr>
  </w:style>
  <w:style w:type="paragraph" w:styleId="ListContinue4">
    <w:name w:val="List Continue 4"/>
    <w:basedOn w:val="Normal"/>
    <w:uiPriority w:val="99"/>
    <w:qFormat/>
    <w:pPr>
      <w:spacing w:after="120"/>
      <w:ind w:leftChars="800" w:left="1680"/>
    </w:pPr>
  </w:style>
  <w:style w:type="paragraph" w:styleId="ListContinue5">
    <w:name w:val="List Continue 5"/>
    <w:basedOn w:val="Normal"/>
    <w:uiPriority w:val="99"/>
    <w:qFormat/>
    <w:pPr>
      <w:spacing w:after="120"/>
      <w:ind w:leftChars="1000" w:left="2100"/>
    </w:pPr>
  </w:style>
  <w:style w:type="paragraph" w:styleId="ListNumber">
    <w:name w:val="List Number"/>
    <w:basedOn w:val="Normal"/>
    <w:uiPriority w:val="99"/>
    <w:qFormat/>
    <w:pPr>
      <w:numPr>
        <w:numId w:val="7"/>
      </w:numPr>
      <w:tabs>
        <w:tab w:val="left" w:pos="360"/>
      </w:tabs>
    </w:pPr>
  </w:style>
  <w:style w:type="paragraph" w:styleId="ListNumber3">
    <w:name w:val="List Number 3"/>
    <w:basedOn w:val="Normal"/>
    <w:uiPriority w:val="99"/>
    <w:qFormat/>
    <w:pPr>
      <w:numPr>
        <w:numId w:val="8"/>
      </w:numPr>
      <w:tabs>
        <w:tab w:val="left" w:pos="1200"/>
      </w:tabs>
    </w:pPr>
  </w:style>
  <w:style w:type="paragraph" w:styleId="ListNumber4">
    <w:name w:val="List Number 4"/>
    <w:basedOn w:val="Normal"/>
    <w:uiPriority w:val="99"/>
    <w:qFormat/>
    <w:pPr>
      <w:numPr>
        <w:numId w:val="9"/>
      </w:numPr>
      <w:tabs>
        <w:tab w:val="left" w:pos="1620"/>
      </w:tabs>
    </w:pPr>
  </w:style>
  <w:style w:type="paragraph" w:styleId="ListNumber5">
    <w:name w:val="List Number 5"/>
    <w:basedOn w:val="Normal"/>
    <w:uiPriority w:val="99"/>
    <w:qFormat/>
    <w:pPr>
      <w:numPr>
        <w:numId w:val="10"/>
      </w:numPr>
      <w:tabs>
        <w:tab w:val="left" w:pos="2040"/>
      </w:tabs>
    </w:pPr>
  </w:style>
  <w:style w:type="paragraph" w:styleId="MacroText">
    <w:name w:val="macro"/>
    <w:link w:val="MacroTextChar"/>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line="240" w:lineRule="auto"/>
      <w:jc w:val="right"/>
    </w:pPr>
    <w:rPr>
      <w:rFonts w:ascii="Courier New" w:eastAsia="DengXian" w:hAnsi="Courier New" w:cs="Courier New"/>
      <w:lang w:eastAsia="zh-CN"/>
    </w:rPr>
  </w:style>
  <w:style w:type="character" w:customStyle="1" w:styleId="MacroTextChar">
    <w:name w:val="Macro Text Char"/>
    <w:basedOn w:val="DefaultParagraphFont"/>
    <w:link w:val="MacroText"/>
    <w:uiPriority w:val="99"/>
    <w:semiHidden/>
    <w:locked/>
    <w:rPr>
      <w:rFonts w:ascii="Courier New" w:eastAsia="DengXian" w:hAnsi="Courier New" w:cs="Courier New"/>
      <w:kern w:val="0"/>
      <w:sz w:val="20"/>
      <w:szCs w:val="20"/>
      <w:lang w:val="en-US" w:eastAsia="zh-CN"/>
    </w:rPr>
  </w:style>
  <w:style w:type="paragraph" w:styleId="NormalIndent">
    <w:name w:val="Normal Indent"/>
    <w:basedOn w:val="Normal"/>
    <w:uiPriority w:val="99"/>
    <w:qFormat/>
    <w:pPr>
      <w:ind w:firstLineChars="200" w:firstLine="420"/>
    </w:pPr>
  </w:style>
  <w:style w:type="paragraph" w:styleId="NoteHeading">
    <w:name w:val="Note Heading"/>
    <w:basedOn w:val="Normal"/>
    <w:next w:val="Normal"/>
    <w:link w:val="NoteHeadingChar"/>
    <w:uiPriority w:val="99"/>
    <w:qFormat/>
    <w:pPr>
      <w:jc w:val="center"/>
    </w:pPr>
  </w:style>
  <w:style w:type="character" w:customStyle="1" w:styleId="NoteHeadingChar">
    <w:name w:val="Note Heading Char"/>
    <w:basedOn w:val="DefaultParagraphFont"/>
    <w:link w:val="NoteHeading"/>
    <w:uiPriority w:val="99"/>
    <w:semiHidden/>
    <w:locked/>
    <w:rPr>
      <w:rFonts w:ascii="Calibri" w:eastAsia="DengXian" w:hAnsi="Calibri" w:cs="Times New Roman"/>
      <w:kern w:val="0"/>
      <w:lang w:val="en-US" w:eastAsia="zh-CN"/>
    </w:rPr>
  </w:style>
  <w:style w:type="paragraph" w:styleId="PlainText">
    <w:name w:val="Plain Text"/>
    <w:basedOn w:val="Normal"/>
    <w:link w:val="PlainTextChar"/>
    <w:uiPriority w:val="99"/>
    <w:qFormat/>
    <w:rPr>
      <w:rFonts w:ascii="SimSun" w:hAnsi="Courier New" w:cs="Courier New"/>
      <w:szCs w:val="21"/>
    </w:rPr>
  </w:style>
  <w:style w:type="character" w:customStyle="1" w:styleId="PlainTextChar">
    <w:name w:val="Plain Text Char"/>
    <w:basedOn w:val="DefaultParagraphFont"/>
    <w:link w:val="PlainText"/>
    <w:uiPriority w:val="99"/>
    <w:semiHidden/>
    <w:locked/>
    <w:rPr>
      <w:rFonts w:ascii="Courier New" w:eastAsia="DengXian" w:hAnsi="Courier New" w:cs="Courier New"/>
      <w:kern w:val="0"/>
      <w:sz w:val="20"/>
      <w:szCs w:val="20"/>
      <w:lang w:val="en-US" w:eastAsia="zh-CN"/>
    </w:rPr>
  </w:style>
  <w:style w:type="paragraph" w:styleId="Salutation">
    <w:name w:val="Salutation"/>
    <w:basedOn w:val="Normal"/>
    <w:next w:val="Normal"/>
    <w:link w:val="SalutationChar"/>
    <w:uiPriority w:val="99"/>
    <w:qFormat/>
  </w:style>
  <w:style w:type="character" w:customStyle="1" w:styleId="SalutationChar">
    <w:name w:val="Salutation Char"/>
    <w:basedOn w:val="DefaultParagraphFont"/>
    <w:link w:val="Salutation"/>
    <w:uiPriority w:val="99"/>
    <w:semiHidden/>
    <w:locked/>
    <w:rPr>
      <w:rFonts w:ascii="Calibri" w:eastAsia="DengXian" w:hAnsi="Calibri" w:cs="Times New Roman"/>
      <w:kern w:val="0"/>
      <w:lang w:val="en-US" w:eastAsia="zh-CN"/>
    </w:rPr>
  </w:style>
  <w:style w:type="paragraph" w:styleId="Signature">
    <w:name w:val="Signature"/>
    <w:basedOn w:val="Normal"/>
    <w:link w:val="SignatureChar"/>
    <w:uiPriority w:val="99"/>
    <w:qFormat/>
    <w:pPr>
      <w:ind w:leftChars="2100" w:left="100"/>
    </w:pPr>
  </w:style>
  <w:style w:type="character" w:customStyle="1" w:styleId="SignatureChar">
    <w:name w:val="Signature Char"/>
    <w:basedOn w:val="DefaultParagraphFont"/>
    <w:link w:val="Signature"/>
    <w:uiPriority w:val="99"/>
    <w:semiHidden/>
    <w:locked/>
    <w:rPr>
      <w:rFonts w:ascii="Calibri" w:eastAsia="DengXian" w:hAnsi="Calibri" w:cs="Times New Roman"/>
      <w:kern w:val="0"/>
      <w:lang w:val="en-US" w:eastAsia="zh-CN"/>
    </w:rPr>
  </w:style>
  <w:style w:type="paragraph" w:styleId="Subtitle">
    <w:name w:val="Subtitle"/>
    <w:basedOn w:val="Normal"/>
    <w:link w:val="SubtitleChar"/>
    <w:uiPriority w:val="11"/>
    <w:qFormat/>
    <w:pPr>
      <w:spacing w:before="240" w:after="60" w:line="312" w:lineRule="auto"/>
      <w:jc w:val="center"/>
      <w:outlineLvl w:val="1"/>
    </w:pPr>
    <w:rPr>
      <w:rFonts w:ascii="Arial" w:hAnsi="Arial" w:cs="Arial"/>
      <w:b/>
      <w:kern w:val="28"/>
      <w:sz w:val="32"/>
      <w:szCs w:val="32"/>
    </w:rPr>
  </w:style>
  <w:style w:type="character" w:customStyle="1" w:styleId="SubtitleChar">
    <w:name w:val="Subtitle Char"/>
    <w:basedOn w:val="DefaultParagraphFont"/>
    <w:link w:val="Subtitle"/>
    <w:uiPriority w:val="11"/>
    <w:locked/>
    <w:rPr>
      <w:rFonts w:asciiTheme="majorHAnsi" w:eastAsiaTheme="majorEastAsia" w:hAnsiTheme="majorHAnsi" w:cs="Vrinda"/>
      <w:kern w:val="0"/>
      <w:lang w:val="en-US" w:eastAsia="zh-CN"/>
    </w:rPr>
  </w:style>
  <w:style w:type="paragraph" w:styleId="TableofAuthorities">
    <w:name w:val="table of authorities"/>
    <w:basedOn w:val="Normal"/>
    <w:next w:val="Normal"/>
    <w:uiPriority w:val="99"/>
    <w:qFormat/>
    <w:pPr>
      <w:ind w:leftChars="200" w:left="420"/>
    </w:pPr>
  </w:style>
  <w:style w:type="paragraph" w:styleId="TableofFigures">
    <w:name w:val="table of figures"/>
    <w:basedOn w:val="Normal"/>
    <w:next w:val="Normal"/>
    <w:uiPriority w:val="99"/>
    <w:qFormat/>
    <w:pPr>
      <w:ind w:leftChars="200" w:hangingChars="200" w:hanging="200"/>
    </w:pPr>
  </w:style>
  <w:style w:type="paragraph" w:styleId="Title">
    <w:name w:val="Title"/>
    <w:basedOn w:val="Normal"/>
    <w:link w:val="TitleChar"/>
    <w:uiPriority w:val="10"/>
    <w:qFormat/>
    <w:pPr>
      <w:spacing w:before="240" w:after="60"/>
      <w:jc w:val="center"/>
      <w:outlineLvl w:val="0"/>
    </w:pPr>
    <w:rPr>
      <w:rFonts w:ascii="Arial" w:hAnsi="Arial" w:cs="Arial"/>
      <w:b/>
      <w:sz w:val="32"/>
      <w:szCs w:val="32"/>
    </w:rPr>
  </w:style>
  <w:style w:type="character" w:customStyle="1" w:styleId="TitleChar">
    <w:name w:val="Title Char"/>
    <w:basedOn w:val="DefaultParagraphFont"/>
    <w:link w:val="Title"/>
    <w:uiPriority w:val="10"/>
    <w:locked/>
    <w:rPr>
      <w:rFonts w:asciiTheme="majorHAnsi" w:eastAsiaTheme="majorEastAsia" w:hAnsiTheme="majorHAnsi" w:cs="Vrinda"/>
      <w:b/>
      <w:bCs/>
      <w:kern w:val="28"/>
      <w:sz w:val="32"/>
      <w:szCs w:val="32"/>
      <w:lang w:val="en-US" w:eastAsia="zh-CN"/>
    </w:rPr>
  </w:style>
  <w:style w:type="paragraph" w:styleId="TOAHeading">
    <w:name w:val="toa heading"/>
    <w:basedOn w:val="Normal"/>
    <w:next w:val="Normal"/>
    <w:uiPriority w:val="99"/>
    <w:qFormat/>
    <w:pPr>
      <w:spacing w:before="120"/>
    </w:pPr>
    <w:rPr>
      <w:rFonts w:ascii="Arial" w:hAnsi="Arial" w:cs="Arial"/>
    </w:r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styleId="TOC4">
    <w:name w:val="toc 4"/>
    <w:basedOn w:val="Normal"/>
    <w:next w:val="Normal"/>
    <w:uiPriority w:val="39"/>
    <w:qFormat/>
    <w:pPr>
      <w:ind w:leftChars="600" w:left="1260"/>
    </w:pPr>
  </w:style>
  <w:style w:type="paragraph" w:styleId="TOC5">
    <w:name w:val="toc 5"/>
    <w:basedOn w:val="Normal"/>
    <w:next w:val="Normal"/>
    <w:uiPriority w:val="39"/>
    <w:qFormat/>
    <w:pPr>
      <w:ind w:leftChars="800" w:left="1680"/>
    </w:pPr>
  </w:style>
  <w:style w:type="paragraph" w:styleId="TOC6">
    <w:name w:val="toc 6"/>
    <w:basedOn w:val="Normal"/>
    <w:next w:val="Normal"/>
    <w:uiPriority w:val="39"/>
    <w:qFormat/>
    <w:pPr>
      <w:ind w:leftChars="1000" w:left="2100"/>
    </w:pPr>
  </w:style>
  <w:style w:type="paragraph" w:styleId="TOC7">
    <w:name w:val="toc 7"/>
    <w:basedOn w:val="Normal"/>
    <w:next w:val="Normal"/>
    <w:uiPriority w:val="39"/>
    <w:qFormat/>
    <w:pPr>
      <w:ind w:leftChars="1200" w:left="2520"/>
    </w:pPr>
  </w:style>
  <w:style w:type="paragraph" w:styleId="TOC8">
    <w:name w:val="toc 8"/>
    <w:basedOn w:val="Normal"/>
    <w:next w:val="Normal"/>
    <w:uiPriority w:val="39"/>
    <w:qFormat/>
    <w:pPr>
      <w:ind w:leftChars="1400" w:left="2940"/>
    </w:pPr>
  </w:style>
  <w:style w:type="paragraph" w:styleId="TOC9">
    <w:name w:val="toc 9"/>
    <w:basedOn w:val="Normal"/>
    <w:next w:val="Normal"/>
    <w:uiPriority w:val="39"/>
    <w:qFormat/>
    <w:pPr>
      <w:ind w:leftChars="1600" w:left="3360"/>
    </w:pPr>
  </w:style>
  <w:style w:type="character" w:styleId="UnresolvedMention">
    <w:name w:val="Unresolved Mention"/>
    <w:basedOn w:val="DefaultParagraphFont"/>
    <w:uiPriority w:val="99"/>
    <w:semiHidden/>
    <w:unhideWhenUsed/>
    <w:rsid w:val="00725C0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01"/>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310.6975.298" TargetMode="External"/><Relationship Id="rId13" Type="http://schemas.openxmlformats.org/officeDocument/2006/relationships/hyperlink" Target="https://www.researchgate.net/publication/396803734_Ontological_and_Methodological_Foundational_Core_Constructs_-_Robust_Adjusted_Mean_and_Robust_Adjusted_Mean_Interval-_in_Epistemic_Zonal_Statistics_Foundational_Core_Constructs_in_Epistemic_Zonal_Stat" TargetMode="External"/><Relationship Id="rId18" Type="http://schemas.openxmlformats.org/officeDocument/2006/relationships/hyperlink" Target="https://www.elsevier.com/books/introduction-to-robust-estimation-and-hypothesis-testing/wilcox/978-0-12-38698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02/9780470434697" TargetMode="External"/><Relationship Id="rId17" Type="http://schemas.openxmlformats.org/officeDocument/2006/relationships/hyperlink" Target="https://doi.org/10.1007/b975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3-030-16399-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71366567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engage.com/c/mathematical-statistics-and-data-analysis-with-cd-data-sets-3e-rice/9780534399429/" TargetMode="External"/><Relationship Id="rId23" Type="http://schemas.openxmlformats.org/officeDocument/2006/relationships/header" Target="header3.xml"/><Relationship Id="rId10" Type="http://schemas.openxmlformats.org/officeDocument/2006/relationships/hyperlink" Target="https://doi.org/10.1080/01621459.1979.1048103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oks.google.com/books?id=y_2xQgAACAAJ" TargetMode="External"/><Relationship Id="rId14" Type="http://schemas.openxmlformats.org/officeDocument/2006/relationships/hyperlink" Target="https://doi.org/10.13140/RG.2.2.11918.2208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ZBOOK</dc:creator>
  <cp:keywords/>
  <dc:description/>
  <cp:lastModifiedBy>SDI 1084</cp:lastModifiedBy>
  <cp:revision>2</cp:revision>
  <dcterms:created xsi:type="dcterms:W3CDTF">2025-12-17T07:21:00Z</dcterms:created>
  <dcterms:modified xsi:type="dcterms:W3CDTF">2025-12-17T07:21:00Z</dcterms:modified>
</cp:coreProperties>
</file>