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73BD" w14:textId="77777777" w:rsidR="00155A2B" w:rsidRDefault="00155A2B" w:rsidP="00E017E1">
      <w:pPr>
        <w:rPr>
          <w:rFonts w:ascii="Cambria" w:hAnsi="Cambria"/>
          <w:b/>
          <w:bCs/>
        </w:rPr>
      </w:pPr>
      <w:r w:rsidRPr="00155A2B">
        <w:rPr>
          <w:rFonts w:ascii="Cambria" w:hAnsi="Cambria"/>
          <w:b/>
          <w:bCs/>
        </w:rPr>
        <w:t>Original Research Article</w:t>
      </w:r>
    </w:p>
    <w:p w14:paraId="22E80B0E" w14:textId="77777777" w:rsidR="00155A2B" w:rsidRDefault="00155A2B" w:rsidP="00E017E1">
      <w:pPr>
        <w:rPr>
          <w:rFonts w:ascii="Cambria" w:hAnsi="Cambria"/>
          <w:b/>
          <w:bCs/>
        </w:rPr>
      </w:pPr>
    </w:p>
    <w:p w14:paraId="70F7F91B" w14:textId="4F44F140" w:rsidR="00A17FBE" w:rsidRDefault="00E017E1" w:rsidP="00E017E1">
      <w:pPr>
        <w:rPr>
          <w:rFonts w:ascii="Cambria" w:hAnsi="Cambria"/>
          <w:b/>
          <w:bCs/>
        </w:rPr>
      </w:pPr>
      <w:r w:rsidRPr="00F25846">
        <w:rPr>
          <w:rFonts w:ascii="Cambria" w:hAnsi="Cambria"/>
          <w:b/>
          <w:bCs/>
        </w:rPr>
        <w:t xml:space="preserve">Correlation Between Perioperative Neurology and Intraoperative Neuromonitoring- A Single </w:t>
      </w:r>
      <w:proofErr w:type="spellStart"/>
      <w:r w:rsidRPr="00F25846">
        <w:rPr>
          <w:rFonts w:ascii="Cambria" w:hAnsi="Cambria"/>
          <w:b/>
          <w:bCs/>
        </w:rPr>
        <w:t>Center</w:t>
      </w:r>
      <w:proofErr w:type="spellEnd"/>
      <w:r w:rsidRPr="00F25846">
        <w:rPr>
          <w:rFonts w:ascii="Cambria" w:hAnsi="Cambria"/>
          <w:b/>
          <w:bCs/>
        </w:rPr>
        <w:t xml:space="preserve"> Study regarding its Value and Applicability for spine patients.</w:t>
      </w:r>
    </w:p>
    <w:p w14:paraId="7389BF48" w14:textId="77777777" w:rsidR="00C15A4B" w:rsidRPr="00C15A4B" w:rsidRDefault="00C15A4B" w:rsidP="00C15A4B">
      <w:pPr>
        <w:rPr>
          <w:rFonts w:ascii="Cambria" w:hAnsi="Cambria"/>
          <w:b/>
          <w:bCs/>
        </w:rPr>
      </w:pPr>
      <w:bookmarkStart w:id="0" w:name="_GoBack"/>
      <w:bookmarkEnd w:id="0"/>
    </w:p>
    <w:p w14:paraId="237CA90A" w14:textId="31722A99" w:rsidR="00C15A4B" w:rsidRPr="00C15A4B" w:rsidRDefault="00C15A4B" w:rsidP="00E017E1">
      <w:pPr>
        <w:rPr>
          <w:rFonts w:ascii="Cambria" w:hAnsi="Cambria"/>
          <w:b/>
          <w:bCs/>
        </w:rPr>
      </w:pPr>
      <w:r w:rsidRPr="00C15A4B">
        <w:rPr>
          <w:rFonts w:ascii="Cambria" w:hAnsi="Cambria"/>
          <w:b/>
          <w:bCs/>
        </w:rPr>
        <w:t>Abstract</w:t>
      </w:r>
    </w:p>
    <w:p w14:paraId="266A6FF2" w14:textId="77777777" w:rsidR="00BF4A5B" w:rsidRPr="00F25846" w:rsidRDefault="00BF4A5B" w:rsidP="00BF4A5B">
      <w:pPr>
        <w:rPr>
          <w:rFonts w:ascii="Cambria" w:hAnsi="Cambria"/>
        </w:rPr>
      </w:pPr>
      <w:r w:rsidRPr="00F25846">
        <w:rPr>
          <w:rFonts w:ascii="Cambria" w:hAnsi="Cambria"/>
          <w:b/>
          <w:bCs/>
        </w:rPr>
        <w:t>Study Design:</w:t>
      </w:r>
      <w:r w:rsidRPr="00F25846">
        <w:rPr>
          <w:rFonts w:ascii="Cambria" w:hAnsi="Cambria"/>
        </w:rPr>
        <w:t xml:space="preserve"> Cross Sectional Retrospective Study</w:t>
      </w:r>
    </w:p>
    <w:p w14:paraId="5C5561EA" w14:textId="150C48AD" w:rsidR="00BF4A5B" w:rsidRPr="00F25846" w:rsidRDefault="00BF4A5B" w:rsidP="00BF4A5B">
      <w:pPr>
        <w:rPr>
          <w:rFonts w:ascii="Cambria" w:hAnsi="Cambria"/>
        </w:rPr>
      </w:pPr>
      <w:r w:rsidRPr="00F25846">
        <w:rPr>
          <w:rFonts w:ascii="Cambria" w:hAnsi="Cambria"/>
          <w:b/>
          <w:bCs/>
        </w:rPr>
        <w:t>Purpose:</w:t>
      </w:r>
      <w:r w:rsidRPr="00F25846">
        <w:rPr>
          <w:rFonts w:ascii="Cambria" w:hAnsi="Cambria"/>
        </w:rPr>
        <w:t xml:space="preserve">  To evaluate the correlation between perioperative neurology and intraoperative neuromonitoring (IONM), to </w:t>
      </w:r>
      <w:r w:rsidR="0058441E">
        <w:rPr>
          <w:rFonts w:ascii="Cambria" w:hAnsi="Cambria"/>
        </w:rPr>
        <w:t>define</w:t>
      </w:r>
      <w:r w:rsidRPr="00F25846">
        <w:rPr>
          <w:rFonts w:ascii="Cambria" w:hAnsi="Cambria"/>
        </w:rPr>
        <w:t xml:space="preserve"> IONM's clinical value and its optimal applicability in spine patient.</w:t>
      </w:r>
    </w:p>
    <w:p w14:paraId="529A4764" w14:textId="71112FED" w:rsidR="00BF4A5B" w:rsidRPr="00F25846" w:rsidRDefault="00BF4A5B" w:rsidP="00BF4A5B">
      <w:pPr>
        <w:rPr>
          <w:rFonts w:ascii="Cambria" w:hAnsi="Cambria"/>
        </w:rPr>
      </w:pPr>
      <w:r w:rsidRPr="00F25846">
        <w:rPr>
          <w:rFonts w:ascii="Cambria" w:hAnsi="Cambria"/>
          <w:b/>
          <w:bCs/>
        </w:rPr>
        <w:t>Overview of Literature:</w:t>
      </w:r>
      <w:r w:rsidRPr="00F25846">
        <w:rPr>
          <w:rFonts w:ascii="Cambria" w:hAnsi="Cambria"/>
        </w:rPr>
        <w:t xml:space="preserve"> In Malaysia, rising spine surgery rates and a 5.2-12.6% risk of neurological deficits </w:t>
      </w:r>
      <w:r w:rsidR="004E6484" w:rsidRPr="00F25846">
        <w:rPr>
          <w:rFonts w:ascii="Cambria" w:hAnsi="Cambria"/>
        </w:rPr>
        <w:t>highlights</w:t>
      </w:r>
      <w:r w:rsidRPr="00F25846">
        <w:rPr>
          <w:rFonts w:ascii="Cambria" w:hAnsi="Cambria"/>
        </w:rPr>
        <w:t xml:space="preserve"> the need for safety measures. IONM can mitigate risks, but its high cost and contentious clinical value create a dilemma for surgeons, balancing medicolegal pressures against proven patient benefits.</w:t>
      </w:r>
    </w:p>
    <w:p w14:paraId="03B1AB10" w14:textId="5809EC33" w:rsidR="00BF4A5B" w:rsidRPr="00F25846" w:rsidRDefault="00BF4A5B" w:rsidP="00BF4A5B">
      <w:pPr>
        <w:rPr>
          <w:rFonts w:ascii="Cambria" w:hAnsi="Cambria"/>
        </w:rPr>
      </w:pPr>
      <w:r w:rsidRPr="00F25846">
        <w:rPr>
          <w:rFonts w:ascii="Cambria" w:hAnsi="Cambria"/>
          <w:b/>
          <w:bCs/>
        </w:rPr>
        <w:t>Methods:</w:t>
      </w:r>
      <w:r w:rsidRPr="00F25846">
        <w:rPr>
          <w:rFonts w:ascii="Cambria" w:hAnsi="Cambria"/>
        </w:rPr>
        <w:t xml:space="preserve"> The study employed a retrospective cross-sectional design, </w:t>
      </w:r>
      <w:r w:rsidR="00982E7A" w:rsidRPr="00F25846">
        <w:rPr>
          <w:rFonts w:ascii="Cambria" w:hAnsi="Cambria"/>
        </w:rPr>
        <w:t>analysing</w:t>
      </w:r>
      <w:r w:rsidRPr="00F25846">
        <w:rPr>
          <w:rFonts w:ascii="Cambria" w:hAnsi="Cambria"/>
        </w:rPr>
        <w:t xml:space="preserve"> a cohort of 114 patients who received spinal surgery with IONM at Hospital Queen Elizabeth over a one-year period (January - December 2024). Through a systematic review of medical records, we collected a defined dataset encompassing demographic profiles, primary spinal diagnoses, serial ASIA Impairment Scale scores (preoperative and at 24h/72h postoperative), patient-reported symptoms, and full intraoperative neurophysiological data (MEP, SSEP, and EMG).</w:t>
      </w:r>
    </w:p>
    <w:p w14:paraId="51FC2F39" w14:textId="7D16185A" w:rsidR="00BF4A5B" w:rsidRPr="00F25846" w:rsidRDefault="00BF4A5B" w:rsidP="00BF4A5B">
      <w:pPr>
        <w:rPr>
          <w:rFonts w:ascii="Cambria" w:hAnsi="Cambria"/>
        </w:rPr>
      </w:pPr>
      <w:r w:rsidRPr="00F25846">
        <w:rPr>
          <w:rFonts w:ascii="Cambria" w:hAnsi="Cambria"/>
          <w:b/>
          <w:bCs/>
        </w:rPr>
        <w:t>Results:</w:t>
      </w:r>
      <w:r w:rsidRPr="00F25846">
        <w:rPr>
          <w:rFonts w:ascii="Cambria" w:hAnsi="Cambria"/>
        </w:rPr>
        <w:t xml:space="preserve"> </w:t>
      </w:r>
      <w:r w:rsidR="001C2DFF" w:rsidRPr="00F25846">
        <w:rPr>
          <w:rFonts w:ascii="Cambria" w:hAnsi="Cambria"/>
        </w:rPr>
        <w:t xml:space="preserve">In this study of 114 patients, IONM was most frequently used for scoliosis </w:t>
      </w:r>
      <w:r w:rsidR="00310491">
        <w:rPr>
          <w:rFonts w:ascii="Cambria" w:hAnsi="Cambria"/>
        </w:rPr>
        <w:t xml:space="preserve">corrective </w:t>
      </w:r>
      <w:r w:rsidR="001C2DFF" w:rsidRPr="00F25846">
        <w:rPr>
          <w:rFonts w:ascii="Cambria" w:hAnsi="Cambria"/>
        </w:rPr>
        <w:t xml:space="preserve">surgeries (56%). </w:t>
      </w:r>
      <w:r w:rsidR="00D114BA">
        <w:rPr>
          <w:rFonts w:ascii="Cambria" w:hAnsi="Cambria"/>
        </w:rPr>
        <w:t>Remarkably</w:t>
      </w:r>
      <w:r w:rsidR="001C2DFF" w:rsidRPr="00F25846">
        <w:rPr>
          <w:rFonts w:ascii="Cambria" w:hAnsi="Cambria"/>
        </w:rPr>
        <w:t xml:space="preserve">, the vast majority of its use was for </w:t>
      </w:r>
      <w:r w:rsidR="005C4110">
        <w:rPr>
          <w:rFonts w:ascii="Cambria" w:hAnsi="Cambria"/>
        </w:rPr>
        <w:t>spine surgeries</w:t>
      </w:r>
      <w:r w:rsidR="001C2DFF" w:rsidRPr="00F25846">
        <w:rPr>
          <w:rFonts w:ascii="Cambria" w:hAnsi="Cambria"/>
        </w:rPr>
        <w:t xml:space="preserve"> involving the cervical and thoracic regions (95.6%). </w:t>
      </w:r>
      <w:r w:rsidRPr="00F25846">
        <w:rPr>
          <w:rFonts w:ascii="Cambria" w:hAnsi="Cambria"/>
        </w:rPr>
        <w:t>A significant association existed between preoperative ASIA scores and baseline IONM signals (p&lt;0.001). MEPs demonstrated superior sensitivity</w:t>
      </w:r>
      <w:r w:rsidR="00A6166A">
        <w:rPr>
          <w:rFonts w:ascii="Cambria" w:hAnsi="Cambria"/>
        </w:rPr>
        <w:t xml:space="preserve"> than SSEP</w:t>
      </w:r>
      <w:r w:rsidRPr="00F25846">
        <w:rPr>
          <w:rFonts w:ascii="Cambria" w:hAnsi="Cambria"/>
        </w:rPr>
        <w:t xml:space="preserve"> for detecting </w:t>
      </w:r>
      <w:r w:rsidR="00C77A18">
        <w:rPr>
          <w:rFonts w:ascii="Cambria" w:hAnsi="Cambria"/>
        </w:rPr>
        <w:t>pre</w:t>
      </w:r>
      <w:r w:rsidR="00177658">
        <w:rPr>
          <w:rFonts w:ascii="Cambria" w:hAnsi="Cambria"/>
        </w:rPr>
        <w:t xml:space="preserve">operative </w:t>
      </w:r>
      <w:r w:rsidRPr="00F25846">
        <w:rPr>
          <w:rFonts w:ascii="Cambria" w:hAnsi="Cambria"/>
        </w:rPr>
        <w:t>neurological deficits. Crucially, intraoperative MEP changes strongly predicted postoperative neurological and symptomatic outcomes (p&lt;0.001), unlike SSEPs. Transient EMG bursts were not associated with postoperative radiculopathy.</w:t>
      </w:r>
    </w:p>
    <w:p w14:paraId="62287961" w14:textId="3D03B552" w:rsidR="00BF4A5B" w:rsidRPr="00F25846" w:rsidRDefault="00BF4A5B" w:rsidP="00BF4A5B">
      <w:pPr>
        <w:rPr>
          <w:rFonts w:ascii="Cambria" w:hAnsi="Cambria"/>
        </w:rPr>
      </w:pPr>
      <w:r w:rsidRPr="00F25846">
        <w:rPr>
          <w:rFonts w:ascii="Cambria" w:hAnsi="Cambria"/>
          <w:b/>
          <w:bCs/>
        </w:rPr>
        <w:t>Conclusion:</w:t>
      </w:r>
      <w:r w:rsidRPr="00F25846">
        <w:rPr>
          <w:rFonts w:ascii="Cambria" w:hAnsi="Cambria"/>
        </w:rPr>
        <w:t xml:space="preserve"> This study substantiates our institutional protocol mandating IONM for scoliosis corrections and recommending it for cervical/thoracic </w:t>
      </w:r>
      <w:r w:rsidR="002411A6">
        <w:rPr>
          <w:rFonts w:ascii="Cambria" w:hAnsi="Cambria"/>
        </w:rPr>
        <w:t xml:space="preserve">spine </w:t>
      </w:r>
      <w:r w:rsidRPr="00F25846">
        <w:rPr>
          <w:rFonts w:ascii="Cambria" w:hAnsi="Cambria"/>
        </w:rPr>
        <w:t>surgeries. We found a significant association between preoperative neurological status and baseline IONM signals. Crucially, intraoperative MEP changes proved to be a specific and significant predictor of postoperative neurological function, underscoring MEP's paramount value in preventing deficits and enhancing surgical safety.</w:t>
      </w:r>
    </w:p>
    <w:p w14:paraId="7DAD0E80" w14:textId="77777777" w:rsidR="00383250" w:rsidRPr="00F25846" w:rsidRDefault="00383250" w:rsidP="00A17FBE">
      <w:pPr>
        <w:rPr>
          <w:rFonts w:ascii="Cambria" w:hAnsi="Cambria"/>
        </w:rPr>
      </w:pPr>
    </w:p>
    <w:p w14:paraId="7CA1FA8E" w14:textId="77777777" w:rsidR="004D633A" w:rsidRPr="00F25846" w:rsidRDefault="004D633A" w:rsidP="00A17FBE">
      <w:pPr>
        <w:rPr>
          <w:rFonts w:ascii="Cambria" w:hAnsi="Cambria"/>
        </w:rPr>
      </w:pPr>
    </w:p>
    <w:p w14:paraId="05CB1668" w14:textId="1ECA7D40" w:rsidR="004D633A" w:rsidRPr="00F34EB2" w:rsidRDefault="00F34EB2" w:rsidP="00A17FBE">
      <w:pPr>
        <w:rPr>
          <w:rFonts w:ascii="Cambria" w:hAnsi="Cambria"/>
        </w:rPr>
      </w:pPr>
      <w:r w:rsidRPr="00F34EB2">
        <w:rPr>
          <w:rFonts w:ascii="Cambria" w:hAnsi="Cambria"/>
          <w:b/>
          <w:bCs/>
        </w:rPr>
        <w:t>Keywords:</w:t>
      </w:r>
      <w:r>
        <w:rPr>
          <w:rFonts w:ascii="Cambria" w:hAnsi="Cambria"/>
          <w:b/>
          <w:bCs/>
        </w:rPr>
        <w:t xml:space="preserve"> </w:t>
      </w:r>
      <w:r>
        <w:rPr>
          <w:rFonts w:ascii="Cambria" w:hAnsi="Cambria"/>
        </w:rPr>
        <w:t xml:space="preserve">Intraoperative </w:t>
      </w:r>
      <w:r w:rsidR="00EF7B5F">
        <w:rPr>
          <w:rFonts w:ascii="Cambria" w:hAnsi="Cambria"/>
        </w:rPr>
        <w:t xml:space="preserve">Neuromonitoring, Motor Evoked Potential, Somatosensory Evoked Potentials, </w:t>
      </w:r>
      <w:r w:rsidR="0030393F">
        <w:rPr>
          <w:rFonts w:ascii="Cambria" w:hAnsi="Cambria"/>
        </w:rPr>
        <w:t>Perioperative Neurology</w:t>
      </w:r>
      <w:r w:rsidR="006C29D9">
        <w:rPr>
          <w:rFonts w:ascii="Cambria" w:hAnsi="Cambria"/>
        </w:rPr>
        <w:t>.</w:t>
      </w:r>
    </w:p>
    <w:p w14:paraId="0D9D7860" w14:textId="77777777" w:rsidR="004D633A" w:rsidRPr="00F25846" w:rsidRDefault="004D633A" w:rsidP="00A17FBE">
      <w:pPr>
        <w:rPr>
          <w:rFonts w:ascii="Cambria" w:hAnsi="Cambria"/>
        </w:rPr>
      </w:pPr>
    </w:p>
    <w:p w14:paraId="0B7AC2C9" w14:textId="3168CCEC" w:rsidR="00383250" w:rsidRPr="00F25846" w:rsidRDefault="00383250" w:rsidP="00A17FBE">
      <w:pPr>
        <w:rPr>
          <w:rFonts w:ascii="Cambria" w:hAnsi="Cambria"/>
          <w:b/>
          <w:bCs/>
        </w:rPr>
      </w:pPr>
      <w:r w:rsidRPr="00F25846">
        <w:rPr>
          <w:rFonts w:ascii="Cambria" w:hAnsi="Cambria"/>
          <w:b/>
          <w:bCs/>
        </w:rPr>
        <w:t>Background:</w:t>
      </w:r>
    </w:p>
    <w:p w14:paraId="3CD5EB6B" w14:textId="77777777" w:rsidR="00534126" w:rsidRPr="00F25846" w:rsidRDefault="00534126" w:rsidP="00534126">
      <w:pPr>
        <w:ind w:firstLine="720"/>
        <w:rPr>
          <w:rFonts w:ascii="Cambria" w:hAnsi="Cambria"/>
        </w:rPr>
      </w:pPr>
      <w:r w:rsidRPr="00F25846">
        <w:rPr>
          <w:rFonts w:ascii="Cambria" w:hAnsi="Cambria"/>
        </w:rPr>
        <w:t>In Malaysia, the number of spine surgeries has been steadily increasing due to factors such as population growth, an ageing population, and advancements in medical knowledge and technology.</w:t>
      </w:r>
      <w:r w:rsidRPr="00F25846">
        <w:rPr>
          <w:rFonts w:ascii="Cambria" w:hAnsi="Cambria"/>
          <w:vertAlign w:val="superscript"/>
        </w:rPr>
        <w:t>1</w:t>
      </w:r>
      <w:r w:rsidRPr="00F25846">
        <w:rPr>
          <w:rFonts w:ascii="Cambria" w:hAnsi="Cambria"/>
        </w:rPr>
        <w:t xml:space="preserve"> The rising prevalence of degenerative spine conditions, such as spinal canal stenosis and spondylolisthesis, particularly among the elderly, has contributed significantly to this trend.</w:t>
      </w:r>
      <w:r w:rsidRPr="00F25846">
        <w:rPr>
          <w:rFonts w:ascii="Cambria" w:hAnsi="Cambria"/>
          <w:vertAlign w:val="superscript"/>
        </w:rPr>
        <w:t>2</w:t>
      </w:r>
      <w:r w:rsidRPr="00F25846">
        <w:rPr>
          <w:rFonts w:ascii="Cambria" w:hAnsi="Cambria"/>
        </w:rPr>
        <w:t xml:space="preserve"> Additionally, traumatic spine injuries from road accidents and falls, as well as deformities like scoliosis, often necessitate surgical intervention.</w:t>
      </w:r>
      <w:r w:rsidRPr="00F25846">
        <w:rPr>
          <w:rFonts w:ascii="Cambria" w:hAnsi="Cambria"/>
          <w:vertAlign w:val="superscript"/>
        </w:rPr>
        <w:t>3</w:t>
      </w:r>
      <w:r w:rsidRPr="00F25846">
        <w:rPr>
          <w:rFonts w:ascii="Cambria" w:hAnsi="Cambria"/>
        </w:rPr>
        <w:t xml:space="preserve"> Improved diagnostic tools, such as MRI and CT imaging, along with minimally invasive surgical techniques, have expanded treatment options, making spine surgery more accessible and effective.</w:t>
      </w:r>
      <w:r w:rsidRPr="00F25846">
        <w:rPr>
          <w:rFonts w:ascii="Cambria" w:hAnsi="Cambria"/>
          <w:vertAlign w:val="superscript"/>
        </w:rPr>
        <w:t>4</w:t>
      </w:r>
      <w:r w:rsidRPr="00F25846">
        <w:rPr>
          <w:rFonts w:ascii="Cambria" w:hAnsi="Cambria"/>
        </w:rPr>
        <w:t xml:space="preserve"> As a result, hospitals nationwide are seeing higher demand for spinal procedures, reflecting both the burden of spine-related disorders and the evolving capabilities of Malaysia’s healthcare system.</w:t>
      </w:r>
    </w:p>
    <w:p w14:paraId="75B54561" w14:textId="77777777" w:rsidR="00534126" w:rsidRPr="00F25846" w:rsidRDefault="00534126" w:rsidP="00534126">
      <w:pPr>
        <w:ind w:firstLine="720"/>
        <w:rPr>
          <w:rFonts w:ascii="Cambria" w:hAnsi="Cambria"/>
        </w:rPr>
      </w:pPr>
      <w:r w:rsidRPr="00F25846">
        <w:rPr>
          <w:rFonts w:ascii="Cambria" w:hAnsi="Cambria"/>
        </w:rPr>
        <w:t>Neurological complications following spine surgery remain a significant concern in Malaysia, with potentially severe consequences for patients. Due to the proximity of neural structures to the surgical site, spine procedures carry an inherent risk of intraoperative neurological deterioration, including nerve root injuries, spinal cord damage, or cauda equina syndrome. Recent Malaysian studies report an incidence of postoperative neurological deficits ranging from 5% to 1</w:t>
      </w:r>
      <w:r>
        <w:rPr>
          <w:rFonts w:ascii="Cambria" w:hAnsi="Cambria"/>
        </w:rPr>
        <w:t>8</w:t>
      </w:r>
      <w:r w:rsidRPr="00F25846">
        <w:rPr>
          <w:rFonts w:ascii="Cambria" w:hAnsi="Cambria"/>
        </w:rPr>
        <w:t>%, with higher rates observed in complex procedures such as deformity corrections and revision surgeries.</w:t>
      </w:r>
      <w:r w:rsidRPr="00F25846">
        <w:rPr>
          <w:rFonts w:ascii="Cambria" w:hAnsi="Cambria"/>
          <w:vertAlign w:val="superscript"/>
        </w:rPr>
        <w:t>5,6</w:t>
      </w:r>
      <w:r w:rsidRPr="00F25846">
        <w:rPr>
          <w:rFonts w:ascii="Cambria" w:hAnsi="Cambria"/>
        </w:rPr>
        <w:t xml:space="preserve"> These complications often lead to prolonged rehabilitation, permanent disability, or even litigation. Medical negligence claims related to spine surgery in Malaysia frequently involve allegations of improper surgical technique, delayed recognition of complications, or insufficient preoperative counseling.</w:t>
      </w:r>
      <w:r w:rsidRPr="00F25846">
        <w:rPr>
          <w:rFonts w:ascii="Cambria" w:hAnsi="Cambria"/>
          <w:vertAlign w:val="superscript"/>
        </w:rPr>
        <w:t>7</w:t>
      </w:r>
      <w:r w:rsidRPr="00F25846">
        <w:rPr>
          <w:rFonts w:ascii="Cambria" w:hAnsi="Cambria"/>
        </w:rPr>
        <w:t xml:space="preserve"> Given the rising volume of spine surgeries nationwide, optimizing surgical protocols and informed consent processes is critical to mitigating risks and improving patient outcomes.</w:t>
      </w:r>
    </w:p>
    <w:p w14:paraId="46338E74" w14:textId="77777777" w:rsidR="00534126" w:rsidRDefault="00534126" w:rsidP="00534126">
      <w:pPr>
        <w:ind w:firstLine="720"/>
        <w:rPr>
          <w:rFonts w:ascii="Cambria" w:hAnsi="Cambria"/>
        </w:rPr>
      </w:pPr>
      <w:r w:rsidRPr="00F25846">
        <w:rPr>
          <w:rFonts w:ascii="Cambria" w:hAnsi="Cambria"/>
        </w:rPr>
        <w:t>Intraoperative neuromonitoring (IONM), including motor-evoked potentials (MEPs), somatosensory-evoked potentials (SSEPs), and electromyography (EMG), plays a pivotal role in modern spine surgery by providing real-time feedback on neural integrity. These modalities enable early detection of nerve irritation or injury, allowing surgeons to intervene promptly—such as adjusting retractor placement or correcting screw mispositioning—to prevent permanent neurological deficits.</w:t>
      </w:r>
      <w:r w:rsidRPr="00F25846">
        <w:rPr>
          <w:rFonts w:ascii="Cambria" w:hAnsi="Cambria"/>
          <w:vertAlign w:val="superscript"/>
        </w:rPr>
        <w:t>8</w:t>
      </w:r>
      <w:r w:rsidRPr="00F25846">
        <w:rPr>
          <w:rFonts w:ascii="Cambria" w:hAnsi="Cambria"/>
        </w:rPr>
        <w:t xml:space="preserve"> IONM also serves as critical medicolegal documentation, offering objective evidence of due diligence in cases of postoperative complications. However, its adoption in Malaysia is limited by high costs, with each procedure exceeding RM 3,500, depending on hospital tier and monitoring complexity.</w:t>
      </w:r>
      <w:r w:rsidRPr="00F25846">
        <w:rPr>
          <w:rFonts w:ascii="Cambria" w:hAnsi="Cambria"/>
          <w:vertAlign w:val="superscript"/>
        </w:rPr>
        <w:t>9</w:t>
      </w:r>
      <w:r w:rsidRPr="00F25846">
        <w:rPr>
          <w:rFonts w:ascii="Cambria" w:hAnsi="Cambria"/>
        </w:rPr>
        <w:t xml:space="preserve"> Despite this, the medicolegal risks of not using IONM are significant, as seen in recent Malaysian lawsuits where the absence of neuromonitoring </w:t>
      </w:r>
      <w:r w:rsidRPr="00F25846">
        <w:rPr>
          <w:rFonts w:ascii="Cambria" w:hAnsi="Cambria"/>
        </w:rPr>
        <w:lastRenderedPageBreak/>
        <w:t>contributed to allegations of negligence in spinal cord injury cases.</w:t>
      </w:r>
      <w:r w:rsidRPr="00F25846">
        <w:rPr>
          <w:rFonts w:ascii="Cambria" w:hAnsi="Cambria"/>
          <w:vertAlign w:val="superscript"/>
        </w:rPr>
        <w:t>10,11</w:t>
      </w:r>
      <w:r w:rsidRPr="00F25846">
        <w:rPr>
          <w:rFonts w:ascii="Cambria" w:hAnsi="Cambria"/>
        </w:rPr>
        <w:t xml:space="preserve"> Balancing cost and clinical necessity remains a challenge, but IONM’s role in enhancing surgical safety and legal defensibility is increasingly recognized.</w:t>
      </w:r>
    </w:p>
    <w:p w14:paraId="42ECC77D" w14:textId="77777777" w:rsidR="00534126" w:rsidRPr="00F25846" w:rsidRDefault="00534126" w:rsidP="00534126">
      <w:pPr>
        <w:ind w:firstLine="720"/>
        <w:rPr>
          <w:rFonts w:ascii="Cambria" w:hAnsi="Cambria"/>
        </w:rPr>
      </w:pPr>
    </w:p>
    <w:p w14:paraId="10ADEDF7" w14:textId="77777777" w:rsidR="00534126" w:rsidRDefault="00534126" w:rsidP="00534126">
      <w:pPr>
        <w:rPr>
          <w:rFonts w:ascii="Cambria" w:hAnsi="Cambria"/>
          <w:b/>
          <w:bCs/>
        </w:rPr>
      </w:pPr>
    </w:p>
    <w:p w14:paraId="7B8ED140" w14:textId="77777777" w:rsidR="00534126" w:rsidRPr="00F25846" w:rsidRDefault="00534126" w:rsidP="00534126">
      <w:pPr>
        <w:rPr>
          <w:rFonts w:ascii="Cambria" w:hAnsi="Cambria"/>
          <w:b/>
          <w:bCs/>
        </w:rPr>
      </w:pPr>
      <w:r w:rsidRPr="00F25846">
        <w:rPr>
          <w:rFonts w:ascii="Cambria" w:hAnsi="Cambria"/>
          <w:b/>
          <w:bCs/>
        </w:rPr>
        <w:t>Problems Statement:</w:t>
      </w:r>
    </w:p>
    <w:p w14:paraId="30FE911E" w14:textId="77777777" w:rsidR="00534126" w:rsidRDefault="00534126" w:rsidP="00534126">
      <w:pPr>
        <w:ind w:firstLine="720"/>
        <w:rPr>
          <w:rFonts w:ascii="Cambria" w:hAnsi="Cambria"/>
          <w:vertAlign w:val="superscript"/>
        </w:rPr>
      </w:pPr>
      <w:r w:rsidRPr="00F25846">
        <w:rPr>
          <w:rFonts w:ascii="Cambria" w:hAnsi="Cambria"/>
        </w:rPr>
        <w:t>The adoption of intraoperative neuromonitoring (IONM) in spine surgeries has grown in Malaysia alongside advancements in surgical technology. However, its clinical benefits and cost-effectiveness remain contentious.</w:t>
      </w:r>
      <w:r w:rsidRPr="00F25846">
        <w:rPr>
          <w:rFonts w:ascii="Cambria" w:hAnsi="Cambria"/>
          <w:vertAlign w:val="superscript"/>
        </w:rPr>
        <w:t>12</w:t>
      </w:r>
      <w:r w:rsidRPr="00F25846">
        <w:rPr>
          <w:rFonts w:ascii="Cambria" w:hAnsi="Cambria"/>
        </w:rPr>
        <w:t xml:space="preserve"> </w:t>
      </w:r>
      <w:r w:rsidRPr="00966B7E">
        <w:rPr>
          <w:rFonts w:ascii="Cambria" w:hAnsi="Cambria"/>
        </w:rPr>
        <w:t>Reflecting broader industry trends where Malaysian insurers frequently deny claims for expensive interventions deemed non-essential, many local providers classify IONM as 'not medically necessary' for routine spinal procedures due to its high cost (exceeding RM 3,500 per case) and variable evidence on outcomes.</w:t>
      </w:r>
      <w:r w:rsidRPr="00F25846">
        <w:rPr>
          <w:rFonts w:ascii="Cambria" w:hAnsi="Cambria"/>
          <w:vertAlign w:val="superscript"/>
        </w:rPr>
        <w:t>13</w:t>
      </w:r>
      <w:r w:rsidRPr="00F25846">
        <w:rPr>
          <w:rFonts w:ascii="Cambria" w:hAnsi="Cambria"/>
        </w:rPr>
        <w:t xml:space="preserve"> Conversely,</w:t>
      </w:r>
      <w:r>
        <w:rPr>
          <w:rFonts w:ascii="Cambria" w:hAnsi="Cambria"/>
        </w:rPr>
        <w:t xml:space="preserve"> </w:t>
      </w:r>
      <w:r w:rsidRPr="00F25846">
        <w:rPr>
          <w:rFonts w:ascii="Cambria" w:hAnsi="Cambria"/>
        </w:rPr>
        <w:t>courts have increasingly acknowledged IONM’s role in establishing the </w:t>
      </w:r>
      <w:r w:rsidRPr="00F25846">
        <w:rPr>
          <w:rFonts w:ascii="Cambria" w:hAnsi="Cambria"/>
          <w:i/>
          <w:iCs/>
        </w:rPr>
        <w:t>standard of care</w:t>
      </w:r>
      <w:r w:rsidRPr="00F25846">
        <w:rPr>
          <w:rFonts w:ascii="Cambria" w:hAnsi="Cambria"/>
        </w:rPr>
        <w:t>, particularly in cases involving postoperative neurological deficits.</w:t>
      </w:r>
      <w:r w:rsidRPr="00F25846">
        <w:rPr>
          <w:rFonts w:ascii="Cambria" w:hAnsi="Cambria"/>
          <w:vertAlign w:val="superscript"/>
        </w:rPr>
        <w:t>14</w:t>
      </w:r>
      <w:r w:rsidRPr="00F25846">
        <w:rPr>
          <w:rFonts w:ascii="Cambria" w:hAnsi="Cambria"/>
        </w:rPr>
        <w:t xml:space="preserve"> This legal precedent, combined with inconsistent insurance coverage, creates a dilemma for spine surgeons—some may overuse IONM for medicolegal protection, while others avoid it due to financial constraints, regardless of its actual clinical value in preventing nerve injuries. </w:t>
      </w:r>
      <w:r w:rsidRPr="00F25846">
        <w:rPr>
          <w:rFonts w:ascii="Cambria" w:hAnsi="Cambria"/>
          <w:vertAlign w:val="superscript"/>
        </w:rPr>
        <w:t>15</w:t>
      </w:r>
    </w:p>
    <w:p w14:paraId="3111F1F5" w14:textId="77777777" w:rsidR="00534126" w:rsidRPr="00F25846" w:rsidRDefault="00534126" w:rsidP="00534126">
      <w:pPr>
        <w:ind w:firstLine="720"/>
        <w:rPr>
          <w:rFonts w:ascii="Cambria" w:hAnsi="Cambria"/>
        </w:rPr>
      </w:pPr>
      <w:r w:rsidRPr="00705D90">
        <w:rPr>
          <w:rFonts w:ascii="Cambria" w:hAnsi="Cambria"/>
        </w:rPr>
        <w:t xml:space="preserve">Despite the established global utilization of intraoperative neuromonitoring (IONM) to mitigate neurological risks in complex spine surgeries, its integration into Malaysian clinical practice remains inadequately informed by local evidence. Presently, there is a paucity of Malaysian data correlating patients' </w:t>
      </w:r>
      <w:r>
        <w:rPr>
          <w:rFonts w:ascii="Cambria" w:hAnsi="Cambria"/>
        </w:rPr>
        <w:t>pre</w:t>
      </w:r>
      <w:r w:rsidRPr="00705D90">
        <w:rPr>
          <w:rFonts w:ascii="Cambria" w:hAnsi="Cambria"/>
        </w:rPr>
        <w:t>operative neurolog</w:t>
      </w:r>
      <w:r>
        <w:rPr>
          <w:rFonts w:ascii="Cambria" w:hAnsi="Cambria"/>
        </w:rPr>
        <w:t xml:space="preserve">y </w:t>
      </w:r>
      <w:r w:rsidRPr="00705D90">
        <w:rPr>
          <w:rFonts w:ascii="Cambria" w:hAnsi="Cambria"/>
        </w:rPr>
        <w:t xml:space="preserve">with baseline IONM signals, which are crucial for accurate intraoperative interpretation. Furthermore, a significant gap exists as no local studies have systematically evaluated the predictive value of IONM </w:t>
      </w:r>
      <w:r>
        <w:rPr>
          <w:rFonts w:ascii="Cambria" w:hAnsi="Cambria"/>
        </w:rPr>
        <w:t xml:space="preserve">signals </w:t>
      </w:r>
      <w:r w:rsidRPr="00705D90">
        <w:rPr>
          <w:rFonts w:ascii="Cambria" w:hAnsi="Cambria"/>
        </w:rPr>
        <w:t>changes for postoperative neurological outcomes</w:t>
      </w:r>
      <w:r>
        <w:rPr>
          <w:rFonts w:ascii="Cambria" w:hAnsi="Cambria"/>
        </w:rPr>
        <w:t xml:space="preserve"> and clinical symptoms</w:t>
      </w:r>
      <w:r w:rsidRPr="00705D90">
        <w:rPr>
          <w:rFonts w:ascii="Cambria" w:hAnsi="Cambria"/>
        </w:rPr>
        <w:t xml:space="preserve"> in the Malaysian population. This evidence deficit directly impedes the formulation of context-specific guidelines, creating an urgent need for rigorous research to establish the clinical efficacy, cost-effectiveness, and optimal practice protocols for IONM adoption within the country's unique healthcare landscape.</w:t>
      </w:r>
    </w:p>
    <w:p w14:paraId="08B8ABB6" w14:textId="77777777" w:rsidR="00AA79AC" w:rsidRPr="00F25846" w:rsidRDefault="00AA79AC" w:rsidP="00AA79AC">
      <w:pPr>
        <w:rPr>
          <w:rFonts w:ascii="Cambria" w:hAnsi="Cambria"/>
          <w:b/>
          <w:bCs/>
        </w:rPr>
      </w:pPr>
      <w:r w:rsidRPr="00F25846">
        <w:rPr>
          <w:rFonts w:ascii="Cambria" w:hAnsi="Cambria"/>
          <w:b/>
          <w:bCs/>
        </w:rPr>
        <w:t>Study Objectives:</w:t>
      </w:r>
    </w:p>
    <w:p w14:paraId="2FA02CAD" w14:textId="77777777" w:rsidR="00AA79AC" w:rsidRPr="00F25846" w:rsidRDefault="00AA79AC" w:rsidP="00AA79AC">
      <w:pPr>
        <w:numPr>
          <w:ilvl w:val="0"/>
          <w:numId w:val="5"/>
        </w:numPr>
        <w:rPr>
          <w:rFonts w:ascii="Cambria" w:hAnsi="Cambria"/>
        </w:rPr>
      </w:pPr>
      <w:r w:rsidRPr="00F25846">
        <w:rPr>
          <w:rFonts w:ascii="Cambria" w:hAnsi="Cambria"/>
        </w:rPr>
        <w:t xml:space="preserve">To characterize the demographic profile of patients undergoing intraoperative neuromonitoring (IONM) during spine surgery at our tertiary medical </w:t>
      </w:r>
      <w:proofErr w:type="spellStart"/>
      <w:r w:rsidRPr="00F25846">
        <w:rPr>
          <w:rFonts w:ascii="Cambria" w:hAnsi="Cambria"/>
        </w:rPr>
        <w:t>center</w:t>
      </w:r>
      <w:proofErr w:type="spellEnd"/>
      <w:r w:rsidRPr="00F25846">
        <w:rPr>
          <w:rFonts w:ascii="Cambria" w:hAnsi="Cambria"/>
        </w:rPr>
        <w:t>.</w:t>
      </w:r>
    </w:p>
    <w:p w14:paraId="2EDEB9BC" w14:textId="77777777" w:rsidR="00AA79AC" w:rsidRPr="00F25846" w:rsidRDefault="00AA79AC" w:rsidP="00AA79AC">
      <w:pPr>
        <w:numPr>
          <w:ilvl w:val="0"/>
          <w:numId w:val="5"/>
        </w:numPr>
        <w:rPr>
          <w:rFonts w:ascii="Cambria" w:hAnsi="Cambria"/>
        </w:rPr>
      </w:pPr>
      <w:r w:rsidRPr="00F25846">
        <w:rPr>
          <w:rFonts w:ascii="Cambria" w:hAnsi="Cambria"/>
        </w:rPr>
        <w:t>To evaluate the relationship between preoperative neurological status and baseline IONM signal parameters obtained at surgery commencement.</w:t>
      </w:r>
    </w:p>
    <w:p w14:paraId="31882B11" w14:textId="5D887A96" w:rsidR="00AA79AC" w:rsidRPr="00F25846" w:rsidRDefault="00AA79AC" w:rsidP="00AA79AC">
      <w:pPr>
        <w:numPr>
          <w:ilvl w:val="0"/>
          <w:numId w:val="5"/>
        </w:numPr>
        <w:rPr>
          <w:rFonts w:ascii="Cambria" w:hAnsi="Cambria"/>
        </w:rPr>
      </w:pPr>
      <w:r w:rsidRPr="00F25846">
        <w:rPr>
          <w:rFonts w:ascii="Cambria" w:hAnsi="Cambria"/>
        </w:rPr>
        <w:t xml:space="preserve">To determine the association between intraoperative IONM signal changes and immediate postoperative </w:t>
      </w:r>
      <w:r w:rsidR="007474D0" w:rsidRPr="00F25846">
        <w:rPr>
          <w:rFonts w:ascii="Cambria" w:hAnsi="Cambria"/>
        </w:rPr>
        <w:t>sym</w:t>
      </w:r>
      <w:r w:rsidR="003A46BE" w:rsidRPr="00F25846">
        <w:rPr>
          <w:rFonts w:ascii="Cambria" w:hAnsi="Cambria"/>
        </w:rPr>
        <w:t xml:space="preserve">ptoms and </w:t>
      </w:r>
      <w:r w:rsidRPr="00F25846">
        <w:rPr>
          <w:rFonts w:ascii="Cambria" w:hAnsi="Cambria"/>
        </w:rPr>
        <w:t>neurological outcomes.</w:t>
      </w:r>
    </w:p>
    <w:p w14:paraId="43705310" w14:textId="18BDEA9B" w:rsidR="00C12AC2" w:rsidRPr="00F25846" w:rsidRDefault="00C12AC2" w:rsidP="00C12AC2">
      <w:pPr>
        <w:rPr>
          <w:rFonts w:ascii="Cambria" w:hAnsi="Cambria"/>
          <w:b/>
          <w:bCs/>
        </w:rPr>
      </w:pPr>
      <w:r w:rsidRPr="00F25846">
        <w:rPr>
          <w:rFonts w:ascii="Cambria" w:hAnsi="Cambria"/>
          <w:b/>
          <w:bCs/>
        </w:rPr>
        <w:t>Hypothesis:</w:t>
      </w:r>
    </w:p>
    <w:p w14:paraId="3A3AB18C" w14:textId="27F271D5" w:rsidR="00461B76" w:rsidRPr="00F25846" w:rsidRDefault="00C12AC2" w:rsidP="00461B76">
      <w:pPr>
        <w:numPr>
          <w:ilvl w:val="0"/>
          <w:numId w:val="6"/>
        </w:numPr>
        <w:rPr>
          <w:rFonts w:ascii="Cambria" w:hAnsi="Cambria"/>
        </w:rPr>
      </w:pPr>
      <w:r w:rsidRPr="00F25846">
        <w:rPr>
          <w:rFonts w:ascii="Cambria" w:hAnsi="Cambria"/>
        </w:rPr>
        <w:lastRenderedPageBreak/>
        <w:t xml:space="preserve">We hypothesize that patients receiving IONM in our Malaysian tertiary </w:t>
      </w:r>
      <w:r w:rsidR="0047460D" w:rsidRPr="00F25846">
        <w:rPr>
          <w:rFonts w:ascii="Cambria" w:hAnsi="Cambria"/>
        </w:rPr>
        <w:t>centre</w:t>
      </w:r>
      <w:r w:rsidRPr="00F25846">
        <w:rPr>
          <w:rFonts w:ascii="Cambria" w:hAnsi="Cambria"/>
        </w:rPr>
        <w:t xml:space="preserve"> will predominantly comprise</w:t>
      </w:r>
      <w:r w:rsidR="001424FA" w:rsidRPr="00F25846">
        <w:rPr>
          <w:rFonts w:ascii="Cambria" w:hAnsi="Cambria"/>
        </w:rPr>
        <w:t xml:space="preserve"> patients who underwent scoliosis deformity correction surgery</w:t>
      </w:r>
      <w:r w:rsidR="004F7D13">
        <w:rPr>
          <w:rFonts w:ascii="Cambria" w:hAnsi="Cambria"/>
        </w:rPr>
        <w:t>;</w:t>
      </w:r>
      <w:r w:rsidR="001424FA" w:rsidRPr="00F25846">
        <w:rPr>
          <w:rFonts w:ascii="Cambria" w:hAnsi="Cambria"/>
        </w:rPr>
        <w:t xml:space="preserve"> </w:t>
      </w:r>
      <w:r w:rsidR="000240B3" w:rsidRPr="00F25846">
        <w:rPr>
          <w:rFonts w:ascii="Cambria" w:hAnsi="Cambria"/>
        </w:rPr>
        <w:t>cervical and thoracic spine surgery</w:t>
      </w:r>
      <w:r w:rsidR="002D29A3">
        <w:rPr>
          <w:rFonts w:ascii="Cambria" w:hAnsi="Cambria"/>
        </w:rPr>
        <w:t>;</w:t>
      </w:r>
      <w:r w:rsidR="0083228E" w:rsidRPr="00F25846">
        <w:rPr>
          <w:rFonts w:ascii="Cambria" w:hAnsi="Cambria"/>
        </w:rPr>
        <w:t xml:space="preserve"> </w:t>
      </w:r>
      <w:r w:rsidR="003C66AE" w:rsidRPr="00F25846">
        <w:rPr>
          <w:rFonts w:ascii="Cambria" w:hAnsi="Cambria"/>
        </w:rPr>
        <w:t xml:space="preserve">and </w:t>
      </w:r>
      <w:r w:rsidR="0083228E" w:rsidRPr="00F25846">
        <w:rPr>
          <w:rFonts w:ascii="Cambria" w:hAnsi="Cambria"/>
        </w:rPr>
        <w:t xml:space="preserve">minimally invasive lumbar </w:t>
      </w:r>
      <w:r w:rsidR="002D29A3">
        <w:rPr>
          <w:rFonts w:ascii="Cambria" w:hAnsi="Cambria"/>
        </w:rPr>
        <w:t xml:space="preserve">spine </w:t>
      </w:r>
      <w:r w:rsidR="0083228E" w:rsidRPr="00F25846">
        <w:rPr>
          <w:rFonts w:ascii="Cambria" w:hAnsi="Cambria"/>
        </w:rPr>
        <w:t>surgery</w:t>
      </w:r>
      <w:r w:rsidR="000A7D2E" w:rsidRPr="00F25846">
        <w:rPr>
          <w:rFonts w:ascii="Cambria" w:hAnsi="Cambria"/>
        </w:rPr>
        <w:t>.</w:t>
      </w:r>
    </w:p>
    <w:p w14:paraId="0B0FFD00" w14:textId="0BB2A6EE" w:rsidR="00C12AC2" w:rsidRPr="00F25846" w:rsidRDefault="00C12AC2" w:rsidP="00461B76">
      <w:pPr>
        <w:numPr>
          <w:ilvl w:val="0"/>
          <w:numId w:val="6"/>
        </w:numPr>
        <w:rPr>
          <w:rFonts w:ascii="Cambria" w:hAnsi="Cambria"/>
        </w:rPr>
      </w:pPr>
      <w:r w:rsidRPr="00F25846">
        <w:rPr>
          <w:rFonts w:ascii="Cambria" w:hAnsi="Cambria"/>
        </w:rPr>
        <w:t xml:space="preserve">We anticipate </w:t>
      </w:r>
      <w:r w:rsidR="0082094D">
        <w:rPr>
          <w:rFonts w:ascii="Cambria" w:hAnsi="Cambria"/>
        </w:rPr>
        <w:t xml:space="preserve">baseline </w:t>
      </w:r>
      <w:r w:rsidR="000D14F7" w:rsidRPr="00F25846">
        <w:rPr>
          <w:rFonts w:ascii="Cambria" w:hAnsi="Cambria"/>
        </w:rPr>
        <w:t xml:space="preserve">MEP is more sensitive than SSEP in detecting </w:t>
      </w:r>
      <w:r w:rsidR="00461B76" w:rsidRPr="00F25846">
        <w:rPr>
          <w:rFonts w:ascii="Cambria" w:hAnsi="Cambria"/>
        </w:rPr>
        <w:t>preoperative neurological deficit.</w:t>
      </w:r>
    </w:p>
    <w:p w14:paraId="08837E52" w14:textId="463D1B5C" w:rsidR="00C12AC2" w:rsidRPr="00F25846" w:rsidRDefault="00C12AC2" w:rsidP="006F1C80">
      <w:pPr>
        <w:numPr>
          <w:ilvl w:val="0"/>
          <w:numId w:val="6"/>
        </w:numPr>
        <w:rPr>
          <w:rFonts w:ascii="Cambria" w:hAnsi="Cambria"/>
        </w:rPr>
      </w:pPr>
      <w:r w:rsidRPr="00F25846">
        <w:rPr>
          <w:rFonts w:ascii="Cambria" w:hAnsi="Cambria"/>
        </w:rPr>
        <w:t>We postulate that</w:t>
      </w:r>
      <w:r w:rsidR="006F1C80" w:rsidRPr="00F25846">
        <w:rPr>
          <w:rFonts w:ascii="Cambria" w:hAnsi="Cambria"/>
        </w:rPr>
        <w:t xml:space="preserve"> i</w:t>
      </w:r>
      <w:r w:rsidRPr="00F25846">
        <w:rPr>
          <w:rFonts w:ascii="Cambria" w:hAnsi="Cambria"/>
        </w:rPr>
        <w:t>ntraoperative signal deterioration will predict new postoperative deficits</w:t>
      </w:r>
      <w:r w:rsidR="0014770F" w:rsidRPr="00F25846">
        <w:rPr>
          <w:rFonts w:ascii="Cambria" w:hAnsi="Cambria"/>
        </w:rPr>
        <w:t xml:space="preserve"> or worsening </w:t>
      </w:r>
      <w:r w:rsidR="0082094D">
        <w:rPr>
          <w:rFonts w:ascii="Cambria" w:hAnsi="Cambria"/>
        </w:rPr>
        <w:t xml:space="preserve">post </w:t>
      </w:r>
      <w:r w:rsidR="00A05B27">
        <w:rPr>
          <w:rFonts w:ascii="Cambria" w:hAnsi="Cambria"/>
        </w:rPr>
        <w:t xml:space="preserve">operative </w:t>
      </w:r>
      <w:r w:rsidR="0014770F" w:rsidRPr="00F25846">
        <w:rPr>
          <w:rFonts w:ascii="Cambria" w:hAnsi="Cambria"/>
        </w:rPr>
        <w:t>symptoms</w:t>
      </w:r>
      <w:r w:rsidR="00A05B27">
        <w:rPr>
          <w:rFonts w:ascii="Cambria" w:hAnsi="Cambria"/>
        </w:rPr>
        <w:t>.</w:t>
      </w:r>
    </w:p>
    <w:p w14:paraId="48ADE043" w14:textId="01F3DDCF" w:rsidR="00470AC1" w:rsidRPr="00F25846" w:rsidRDefault="00470AC1" w:rsidP="00470AC1">
      <w:pPr>
        <w:rPr>
          <w:rFonts w:ascii="Cambria" w:hAnsi="Cambria"/>
          <w:b/>
          <w:bCs/>
        </w:rPr>
      </w:pPr>
      <w:r w:rsidRPr="00F25846">
        <w:rPr>
          <w:rFonts w:ascii="Cambria" w:hAnsi="Cambria"/>
          <w:b/>
          <w:bCs/>
        </w:rPr>
        <w:t>Methodology:</w:t>
      </w:r>
    </w:p>
    <w:p w14:paraId="17D14CC0" w14:textId="23031062" w:rsidR="00967A31" w:rsidRPr="00F25846" w:rsidRDefault="00EC6638" w:rsidP="00B0392E">
      <w:pPr>
        <w:rPr>
          <w:rFonts w:ascii="Cambria" w:hAnsi="Cambria"/>
        </w:rPr>
      </w:pPr>
      <w:r w:rsidRPr="00F25846">
        <w:rPr>
          <w:rFonts w:ascii="Cambria" w:hAnsi="Cambria"/>
        </w:rPr>
        <w:t>This retrospective study included patients who underwent spinal surgery with concurrent IONM at Hospital Queen Elizabeth 1 between January 2</w:t>
      </w:r>
      <w:r w:rsidR="00682DBB" w:rsidRPr="00F25846">
        <w:rPr>
          <w:rFonts w:ascii="Cambria" w:hAnsi="Cambria"/>
        </w:rPr>
        <w:t>024</w:t>
      </w:r>
      <w:r w:rsidRPr="00F25846">
        <w:rPr>
          <w:rFonts w:ascii="Cambria" w:hAnsi="Cambria"/>
        </w:rPr>
        <w:t xml:space="preserve"> and </w:t>
      </w:r>
      <w:r w:rsidR="00682DBB" w:rsidRPr="00F25846">
        <w:rPr>
          <w:rFonts w:ascii="Cambria" w:hAnsi="Cambria"/>
        </w:rPr>
        <w:t>December</w:t>
      </w:r>
      <w:r w:rsidRPr="00F25846">
        <w:rPr>
          <w:rFonts w:ascii="Cambria" w:hAnsi="Cambria"/>
        </w:rPr>
        <w:t xml:space="preserve"> 2024. Medical records were reviewed to collect patient demographics, spinal diagnoses, pre-operative and post-operative ASIA Impairment Scale scores, </w:t>
      </w:r>
      <w:r w:rsidR="00560C05" w:rsidRPr="00F25846">
        <w:rPr>
          <w:rFonts w:ascii="Cambria" w:hAnsi="Cambria"/>
        </w:rPr>
        <w:t>p</w:t>
      </w:r>
      <w:r w:rsidR="00386B60" w:rsidRPr="00F25846">
        <w:rPr>
          <w:rFonts w:ascii="Cambria" w:hAnsi="Cambria"/>
        </w:rPr>
        <w:t xml:space="preserve">ost-operative symptoms, </w:t>
      </w:r>
      <w:r w:rsidRPr="00F25846">
        <w:rPr>
          <w:rFonts w:ascii="Cambria" w:hAnsi="Cambria"/>
        </w:rPr>
        <w:t xml:space="preserve">and </w:t>
      </w:r>
      <w:r w:rsidR="00B52971" w:rsidRPr="00F25846">
        <w:rPr>
          <w:rFonts w:ascii="Cambria" w:hAnsi="Cambria"/>
        </w:rPr>
        <w:t>intraoperative</w:t>
      </w:r>
      <w:r w:rsidRPr="00F25846">
        <w:rPr>
          <w:rFonts w:ascii="Cambria" w:hAnsi="Cambria"/>
        </w:rPr>
        <w:t xml:space="preserve"> MEP, SSEP, and EMG data. </w:t>
      </w:r>
    </w:p>
    <w:p w14:paraId="35D78B9C" w14:textId="00B4E8F4" w:rsidR="003A3B2C" w:rsidRPr="00F25846" w:rsidRDefault="003A3B2C" w:rsidP="00B0392E">
      <w:pPr>
        <w:rPr>
          <w:rFonts w:ascii="Cambria" w:hAnsi="Cambria"/>
          <w:b/>
          <w:bCs/>
        </w:rPr>
      </w:pPr>
      <w:r w:rsidRPr="00F25846">
        <w:rPr>
          <w:rFonts w:ascii="Cambria" w:hAnsi="Cambria"/>
          <w:b/>
          <w:bCs/>
        </w:rPr>
        <w:t>Study Design:</w:t>
      </w:r>
    </w:p>
    <w:p w14:paraId="00B79435" w14:textId="7129126D" w:rsidR="003A3B2C" w:rsidRDefault="003A3B2C" w:rsidP="00B0392E">
      <w:pPr>
        <w:rPr>
          <w:rFonts w:ascii="Cambria" w:hAnsi="Cambria"/>
        </w:rPr>
      </w:pPr>
      <w:r w:rsidRPr="00F25846">
        <w:rPr>
          <w:rFonts w:ascii="Cambria" w:hAnsi="Cambria"/>
        </w:rPr>
        <w:t>Cross Sectional retrospective Study</w:t>
      </w:r>
    </w:p>
    <w:p w14:paraId="2124154E" w14:textId="7CC7F670" w:rsidR="0073097B" w:rsidRPr="0073097B" w:rsidRDefault="0073097B" w:rsidP="00B0392E">
      <w:pPr>
        <w:rPr>
          <w:rFonts w:ascii="Cambria" w:hAnsi="Cambria"/>
          <w:b/>
          <w:bCs/>
        </w:rPr>
      </w:pPr>
      <w:r w:rsidRPr="0073097B">
        <w:rPr>
          <w:rFonts w:ascii="Cambria" w:hAnsi="Cambria"/>
          <w:b/>
          <w:bCs/>
        </w:rPr>
        <w:t>Sampling Method:</w:t>
      </w:r>
    </w:p>
    <w:p w14:paraId="0140EDC1" w14:textId="1DA8017B" w:rsidR="0073097B" w:rsidRPr="00F25846" w:rsidRDefault="0073097B" w:rsidP="00B0392E">
      <w:pPr>
        <w:rPr>
          <w:rFonts w:ascii="Cambria" w:hAnsi="Cambria"/>
        </w:rPr>
      </w:pPr>
      <w:r>
        <w:rPr>
          <w:rFonts w:ascii="Cambria" w:hAnsi="Cambria"/>
        </w:rPr>
        <w:t>Consecutive Sampling</w:t>
      </w:r>
    </w:p>
    <w:p w14:paraId="342D2D39" w14:textId="761402F1" w:rsidR="00B40332" w:rsidRPr="00F25846" w:rsidRDefault="00B40332" w:rsidP="00B0392E">
      <w:pPr>
        <w:rPr>
          <w:rFonts w:ascii="Cambria" w:hAnsi="Cambria"/>
          <w:b/>
          <w:bCs/>
        </w:rPr>
      </w:pPr>
      <w:r w:rsidRPr="00F25846">
        <w:rPr>
          <w:rFonts w:ascii="Cambria" w:hAnsi="Cambria"/>
          <w:b/>
          <w:bCs/>
        </w:rPr>
        <w:t>Ethic Approval:</w:t>
      </w:r>
    </w:p>
    <w:p w14:paraId="3297D5A3" w14:textId="2DA377A9" w:rsidR="00007476" w:rsidRPr="00F25846" w:rsidRDefault="00007476" w:rsidP="00B0392E">
      <w:pPr>
        <w:rPr>
          <w:rFonts w:ascii="Cambria" w:hAnsi="Cambria"/>
        </w:rPr>
      </w:pPr>
      <w:r w:rsidRPr="00F25846">
        <w:rPr>
          <w:rFonts w:ascii="Cambria" w:hAnsi="Cambria"/>
        </w:rPr>
        <w:t xml:space="preserve">Approval letter from </w:t>
      </w:r>
      <w:r w:rsidR="002D7705" w:rsidRPr="00F25846">
        <w:rPr>
          <w:rFonts w:ascii="Cambria" w:hAnsi="Cambria"/>
        </w:rPr>
        <w:t xml:space="preserve">Ministry of Health Medical Research and Ethics Committee (MREC), Malaysia acquired </w:t>
      </w:r>
      <w:r w:rsidR="009C2C6A" w:rsidRPr="00F25846">
        <w:rPr>
          <w:rFonts w:ascii="Cambria" w:hAnsi="Cambria"/>
        </w:rPr>
        <w:t>prior to conduct of research.</w:t>
      </w:r>
    </w:p>
    <w:p w14:paraId="3A542DF2" w14:textId="77777777" w:rsidR="009C2C6A" w:rsidRPr="00F25846" w:rsidRDefault="00007476" w:rsidP="00B0392E">
      <w:pPr>
        <w:rPr>
          <w:rFonts w:ascii="Cambria" w:hAnsi="Cambria"/>
        </w:rPr>
      </w:pPr>
      <w:r w:rsidRPr="00F25846">
        <w:rPr>
          <w:rFonts w:ascii="Cambria" w:hAnsi="Cambria"/>
        </w:rPr>
        <w:t xml:space="preserve">NMRR ID: </w:t>
      </w:r>
      <w:r w:rsidR="00834C55" w:rsidRPr="00F25846">
        <w:rPr>
          <w:rFonts w:ascii="Cambria" w:hAnsi="Cambria"/>
        </w:rPr>
        <w:t>NMRR ID-25-00227-QED</w:t>
      </w:r>
    </w:p>
    <w:p w14:paraId="1D0CF10F" w14:textId="3DCB4649" w:rsidR="00834C55" w:rsidRPr="00F25846" w:rsidRDefault="00007476" w:rsidP="00B0392E">
      <w:pPr>
        <w:rPr>
          <w:rFonts w:ascii="Cambria" w:hAnsi="Cambria"/>
        </w:rPr>
      </w:pPr>
      <w:r w:rsidRPr="00F25846">
        <w:rPr>
          <w:rFonts w:ascii="Cambria" w:hAnsi="Cambria"/>
        </w:rPr>
        <w:t>Research ID: RSCH ID-24-05553-VRY</w:t>
      </w:r>
    </w:p>
    <w:p w14:paraId="074E945F" w14:textId="77777777" w:rsidR="003E61D1" w:rsidRPr="00F25846" w:rsidRDefault="003E61D1" w:rsidP="003E61D1">
      <w:pPr>
        <w:rPr>
          <w:rFonts w:ascii="Cambria" w:hAnsi="Cambria"/>
        </w:rPr>
      </w:pPr>
      <w:r w:rsidRPr="00F25846">
        <w:rPr>
          <w:rFonts w:ascii="Cambria" w:hAnsi="Cambria"/>
          <w:b/>
          <w:bCs/>
        </w:rPr>
        <w:t>Study Eligibility Criteria</w:t>
      </w:r>
    </w:p>
    <w:p w14:paraId="6C9EA6A6" w14:textId="77777777" w:rsidR="003E61D1" w:rsidRPr="00F25846" w:rsidRDefault="003E61D1" w:rsidP="003E61D1">
      <w:pPr>
        <w:rPr>
          <w:rFonts w:ascii="Cambria" w:hAnsi="Cambria"/>
        </w:rPr>
      </w:pPr>
      <w:r w:rsidRPr="00F25846">
        <w:rPr>
          <w:rFonts w:ascii="Cambria" w:hAnsi="Cambria"/>
          <w:b/>
          <w:bCs/>
        </w:rPr>
        <w:t>Inclusion Criteria:</w:t>
      </w:r>
    </w:p>
    <w:p w14:paraId="1D6C199B" w14:textId="7D3A9447" w:rsidR="003E61D1" w:rsidRPr="00F25846" w:rsidRDefault="003E61D1" w:rsidP="003E61D1">
      <w:pPr>
        <w:numPr>
          <w:ilvl w:val="0"/>
          <w:numId w:val="7"/>
        </w:numPr>
        <w:rPr>
          <w:rFonts w:ascii="Cambria" w:hAnsi="Cambria"/>
        </w:rPr>
      </w:pPr>
      <w:r w:rsidRPr="00F25846">
        <w:rPr>
          <w:rFonts w:ascii="Cambria" w:hAnsi="Cambria"/>
        </w:rPr>
        <w:t xml:space="preserve">Adult patients who underwent elective or emergent spinal surgery at Hospital Queen Elizabeth </w:t>
      </w:r>
    </w:p>
    <w:p w14:paraId="571F06FB" w14:textId="77777777" w:rsidR="003E61D1" w:rsidRPr="00F25846" w:rsidRDefault="003E61D1" w:rsidP="003E61D1">
      <w:pPr>
        <w:numPr>
          <w:ilvl w:val="0"/>
          <w:numId w:val="7"/>
        </w:numPr>
        <w:rPr>
          <w:rFonts w:ascii="Cambria" w:hAnsi="Cambria"/>
        </w:rPr>
      </w:pPr>
      <w:r w:rsidRPr="00F25846">
        <w:rPr>
          <w:rFonts w:ascii="Cambria" w:hAnsi="Cambria"/>
        </w:rPr>
        <w:t>Cases where comprehensive intraoperative neuromonitoring (MEP/SSEP/EMG) was systematically employed</w:t>
      </w:r>
    </w:p>
    <w:p w14:paraId="5C5BA373" w14:textId="74FA837A" w:rsidR="003E61D1" w:rsidRPr="00F25846" w:rsidRDefault="003E61D1" w:rsidP="003E61D1">
      <w:pPr>
        <w:numPr>
          <w:ilvl w:val="0"/>
          <w:numId w:val="7"/>
        </w:numPr>
        <w:rPr>
          <w:rFonts w:ascii="Cambria" w:hAnsi="Cambria"/>
        </w:rPr>
      </w:pPr>
      <w:r w:rsidRPr="00F25846">
        <w:rPr>
          <w:rFonts w:ascii="Cambria" w:hAnsi="Cambria"/>
        </w:rPr>
        <w:t>Availability of complete</w:t>
      </w:r>
      <w:r w:rsidR="00D80BB7" w:rsidRPr="00F25846">
        <w:rPr>
          <w:rFonts w:ascii="Cambria" w:hAnsi="Cambria"/>
        </w:rPr>
        <w:t xml:space="preserve"> documentation</w:t>
      </w:r>
      <w:r w:rsidRPr="00F25846">
        <w:rPr>
          <w:rFonts w:ascii="Cambria" w:hAnsi="Cambria"/>
        </w:rPr>
        <w:t>:</w:t>
      </w:r>
    </w:p>
    <w:p w14:paraId="429A4B91" w14:textId="77777777" w:rsidR="003E61D1" w:rsidRPr="00F25846" w:rsidRDefault="003E61D1" w:rsidP="00264B4C">
      <w:pPr>
        <w:numPr>
          <w:ilvl w:val="1"/>
          <w:numId w:val="17"/>
        </w:numPr>
        <w:rPr>
          <w:rFonts w:ascii="Cambria" w:hAnsi="Cambria"/>
        </w:rPr>
      </w:pPr>
      <w:r w:rsidRPr="00F25846">
        <w:rPr>
          <w:rFonts w:ascii="Cambria" w:hAnsi="Cambria"/>
        </w:rPr>
        <w:t>Preoperative neurological assessment (ASIA Impairment Scale documented ≤24h pre-surgery)</w:t>
      </w:r>
    </w:p>
    <w:p w14:paraId="3451DCE2" w14:textId="77777777" w:rsidR="003E61D1" w:rsidRPr="00F25846" w:rsidRDefault="003E61D1" w:rsidP="00264B4C">
      <w:pPr>
        <w:numPr>
          <w:ilvl w:val="1"/>
          <w:numId w:val="17"/>
        </w:numPr>
        <w:rPr>
          <w:rFonts w:ascii="Cambria" w:hAnsi="Cambria"/>
        </w:rPr>
      </w:pPr>
      <w:r w:rsidRPr="00F25846">
        <w:rPr>
          <w:rFonts w:ascii="Cambria" w:hAnsi="Cambria"/>
        </w:rPr>
        <w:lastRenderedPageBreak/>
        <w:t>Postoperative neurological evaluation (ASIA documented at 24h and 72h post-op)</w:t>
      </w:r>
    </w:p>
    <w:p w14:paraId="43939076" w14:textId="77777777" w:rsidR="003E61D1" w:rsidRPr="00F25846" w:rsidRDefault="003E61D1" w:rsidP="00264B4C">
      <w:pPr>
        <w:numPr>
          <w:ilvl w:val="1"/>
          <w:numId w:val="17"/>
        </w:numPr>
        <w:rPr>
          <w:rFonts w:ascii="Cambria" w:hAnsi="Cambria"/>
        </w:rPr>
      </w:pPr>
      <w:r w:rsidRPr="00F25846">
        <w:rPr>
          <w:rFonts w:ascii="Cambria" w:hAnsi="Cambria"/>
        </w:rPr>
        <w:t>Standardized surgical procedure notes</w:t>
      </w:r>
    </w:p>
    <w:p w14:paraId="356FA9F9" w14:textId="77777777" w:rsidR="00264B4C" w:rsidRPr="00F25846" w:rsidRDefault="00264B4C" w:rsidP="00CC2933">
      <w:pPr>
        <w:rPr>
          <w:rFonts w:ascii="Cambria" w:hAnsi="Cambria"/>
        </w:rPr>
      </w:pPr>
    </w:p>
    <w:p w14:paraId="0F19C7DA" w14:textId="77777777" w:rsidR="003E61D1" w:rsidRPr="00F25846" w:rsidRDefault="003E61D1" w:rsidP="003E61D1">
      <w:pPr>
        <w:rPr>
          <w:rFonts w:ascii="Cambria" w:hAnsi="Cambria"/>
        </w:rPr>
      </w:pPr>
      <w:r w:rsidRPr="00F25846">
        <w:rPr>
          <w:rFonts w:ascii="Cambria" w:hAnsi="Cambria"/>
          <w:b/>
          <w:bCs/>
        </w:rPr>
        <w:t>Exclusion Criteria:</w:t>
      </w:r>
    </w:p>
    <w:p w14:paraId="12454297" w14:textId="5F0A8F0D" w:rsidR="003E61D1" w:rsidRPr="00F25846" w:rsidRDefault="003E61D1" w:rsidP="003E61D1">
      <w:pPr>
        <w:numPr>
          <w:ilvl w:val="0"/>
          <w:numId w:val="8"/>
        </w:numPr>
        <w:rPr>
          <w:rFonts w:ascii="Cambria" w:hAnsi="Cambria"/>
        </w:rPr>
      </w:pPr>
      <w:r w:rsidRPr="00F25846">
        <w:rPr>
          <w:rFonts w:ascii="Cambria" w:hAnsi="Cambria"/>
        </w:rPr>
        <w:t>Incomplete/missing</w:t>
      </w:r>
      <w:r w:rsidR="00D80BB7" w:rsidRPr="00F25846">
        <w:rPr>
          <w:rFonts w:ascii="Cambria" w:hAnsi="Cambria"/>
        </w:rPr>
        <w:t xml:space="preserve"> documentation</w:t>
      </w:r>
      <w:r w:rsidRPr="00F25846">
        <w:rPr>
          <w:rFonts w:ascii="Cambria" w:hAnsi="Cambria"/>
        </w:rPr>
        <w:t>:</w:t>
      </w:r>
    </w:p>
    <w:p w14:paraId="06186184" w14:textId="77777777" w:rsidR="003E61D1" w:rsidRPr="00F25846" w:rsidRDefault="003E61D1" w:rsidP="001F1DB1">
      <w:pPr>
        <w:numPr>
          <w:ilvl w:val="1"/>
          <w:numId w:val="18"/>
        </w:numPr>
        <w:rPr>
          <w:rFonts w:ascii="Cambria" w:hAnsi="Cambria"/>
        </w:rPr>
      </w:pPr>
      <w:r w:rsidRPr="00F25846">
        <w:rPr>
          <w:rFonts w:ascii="Cambria" w:hAnsi="Cambria"/>
        </w:rPr>
        <w:t>IONM tracings or technician reports</w:t>
      </w:r>
    </w:p>
    <w:p w14:paraId="7061C371" w14:textId="77777777" w:rsidR="003E61D1" w:rsidRPr="00F25846" w:rsidRDefault="003E61D1" w:rsidP="001F1DB1">
      <w:pPr>
        <w:numPr>
          <w:ilvl w:val="1"/>
          <w:numId w:val="18"/>
        </w:numPr>
        <w:rPr>
          <w:rFonts w:ascii="Cambria" w:hAnsi="Cambria"/>
        </w:rPr>
      </w:pPr>
      <w:r w:rsidRPr="00F25846">
        <w:rPr>
          <w:rFonts w:ascii="Cambria" w:hAnsi="Cambria"/>
        </w:rPr>
        <w:t>Serial ASIA documentation</w:t>
      </w:r>
    </w:p>
    <w:p w14:paraId="0EF47394" w14:textId="3DD49CF7" w:rsidR="00967A31" w:rsidRDefault="0057137B" w:rsidP="00B0392E">
      <w:pPr>
        <w:numPr>
          <w:ilvl w:val="0"/>
          <w:numId w:val="8"/>
        </w:numPr>
        <w:rPr>
          <w:rFonts w:ascii="Cambria" w:hAnsi="Cambria"/>
        </w:rPr>
      </w:pPr>
      <w:r w:rsidRPr="00F25846">
        <w:rPr>
          <w:rFonts w:ascii="Cambria" w:hAnsi="Cambria"/>
        </w:rPr>
        <w:t xml:space="preserve">Concomitant </w:t>
      </w:r>
      <w:r w:rsidR="00F42D74" w:rsidRPr="00F25846">
        <w:rPr>
          <w:rFonts w:ascii="Cambria" w:hAnsi="Cambria"/>
        </w:rPr>
        <w:t xml:space="preserve">brain injury, where </w:t>
      </w:r>
      <w:r w:rsidR="00385854" w:rsidRPr="00F25846">
        <w:rPr>
          <w:rFonts w:ascii="Cambria" w:hAnsi="Cambria"/>
        </w:rPr>
        <w:t xml:space="preserve">peri-operative neurology and symptoms not </w:t>
      </w:r>
      <w:r w:rsidR="009731C7" w:rsidRPr="00F25846">
        <w:rPr>
          <w:rFonts w:ascii="Cambria" w:hAnsi="Cambria"/>
        </w:rPr>
        <w:t>reliable</w:t>
      </w:r>
      <w:r w:rsidR="00385854" w:rsidRPr="00F25846">
        <w:rPr>
          <w:rFonts w:ascii="Cambria" w:hAnsi="Cambria"/>
        </w:rPr>
        <w:t>.</w:t>
      </w:r>
    </w:p>
    <w:p w14:paraId="1F71848A" w14:textId="67E574D2" w:rsidR="00D2270E" w:rsidRPr="001F1DB1" w:rsidRDefault="00D2270E" w:rsidP="00D2270E">
      <w:pPr>
        <w:rPr>
          <w:rFonts w:ascii="Cambria" w:hAnsi="Cambria"/>
        </w:rPr>
      </w:pPr>
      <w:r>
        <w:rPr>
          <w:rFonts w:ascii="Cambria" w:hAnsi="Cambria"/>
          <w:noProof/>
        </w:rPr>
        <w:lastRenderedPageBreak/>
        <w:drawing>
          <wp:inline distT="0" distB="0" distL="0" distR="0" wp14:anchorId="68BF8E8D" wp14:editId="609DEFBE">
            <wp:extent cx="5731510" cy="6772910"/>
            <wp:effectExtent l="0" t="0" r="2540" b="8890"/>
            <wp:docPr id="768250197" name="Picture 1" descr="Flow Diagram of Patient Eligibility and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0197" name="Picture 1" descr="Flow Diagram of Patient Eligibility and Enroll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772910"/>
                    </a:xfrm>
                    <a:prstGeom prst="rect">
                      <a:avLst/>
                    </a:prstGeom>
                  </pic:spPr>
                </pic:pic>
              </a:graphicData>
            </a:graphic>
          </wp:inline>
        </w:drawing>
      </w:r>
    </w:p>
    <w:p w14:paraId="2CEF39C3" w14:textId="77777777" w:rsidR="00742C13" w:rsidRPr="00742C13" w:rsidRDefault="00742C13" w:rsidP="00742C13">
      <w:pPr>
        <w:rPr>
          <w:rFonts w:ascii="Cambria" w:hAnsi="Cambria"/>
          <w:b/>
          <w:bCs/>
        </w:rPr>
      </w:pPr>
      <w:r w:rsidRPr="00742C13">
        <w:rPr>
          <w:rFonts w:ascii="Cambria" w:hAnsi="Cambria"/>
          <w:b/>
          <w:bCs/>
        </w:rPr>
        <w:t xml:space="preserve">Flow Diagram of Patient Eligibility and </w:t>
      </w:r>
      <w:proofErr w:type="spellStart"/>
      <w:r w:rsidRPr="00742C13">
        <w:rPr>
          <w:rFonts w:ascii="Cambria" w:hAnsi="Cambria"/>
          <w:b/>
          <w:bCs/>
        </w:rPr>
        <w:t>Enrollment</w:t>
      </w:r>
      <w:proofErr w:type="spellEnd"/>
    </w:p>
    <w:p w14:paraId="784036E7" w14:textId="26D773FC" w:rsidR="00DB6529" w:rsidRPr="00F25846" w:rsidRDefault="00B00B0C" w:rsidP="00DB6529">
      <w:pPr>
        <w:rPr>
          <w:rFonts w:ascii="Cambria" w:hAnsi="Cambria"/>
          <w:b/>
          <w:bCs/>
        </w:rPr>
      </w:pPr>
      <w:r w:rsidRPr="00F25846">
        <w:rPr>
          <w:rFonts w:ascii="Cambria" w:hAnsi="Cambria"/>
          <w:b/>
          <w:bCs/>
        </w:rPr>
        <w:t>Data</w:t>
      </w:r>
      <w:r w:rsidR="00DB6529" w:rsidRPr="00F25846">
        <w:rPr>
          <w:rFonts w:ascii="Cambria" w:hAnsi="Cambria"/>
          <w:b/>
          <w:bCs/>
        </w:rPr>
        <w:t xml:space="preserve"> Analysis</w:t>
      </w:r>
    </w:p>
    <w:p w14:paraId="0FA4841E" w14:textId="546D5A2B" w:rsidR="005B6C29" w:rsidRPr="00F25846" w:rsidRDefault="005B6C29" w:rsidP="00B0027E">
      <w:pPr>
        <w:ind w:firstLine="720"/>
        <w:jc w:val="both"/>
        <w:rPr>
          <w:rFonts w:ascii="Cambria" w:hAnsi="Cambria"/>
        </w:rPr>
      </w:pPr>
      <w:r w:rsidRPr="00F25846">
        <w:rPr>
          <w:rFonts w:ascii="Cambria" w:hAnsi="Cambria"/>
        </w:rPr>
        <w:t>All scoliosis cases in this study were classified as thoracic because every Lenke type, including type 5, involves a structural deformity in the</w:t>
      </w:r>
      <w:r w:rsidR="000F3C8C">
        <w:rPr>
          <w:rFonts w:ascii="Cambria" w:hAnsi="Cambria"/>
        </w:rPr>
        <w:t xml:space="preserve"> </w:t>
      </w:r>
      <w:r w:rsidRPr="00F25846">
        <w:rPr>
          <w:rFonts w:ascii="Cambria" w:hAnsi="Cambria"/>
        </w:rPr>
        <w:t>thoracic region—the area that houses the spinal cord.</w:t>
      </w:r>
    </w:p>
    <w:p w14:paraId="528744F6" w14:textId="48F59010" w:rsidR="00DB6529" w:rsidRPr="00F25846" w:rsidRDefault="00DB6529" w:rsidP="00B0027E">
      <w:pPr>
        <w:ind w:firstLine="720"/>
        <w:jc w:val="both"/>
        <w:rPr>
          <w:rFonts w:ascii="Cambria" w:hAnsi="Cambria"/>
        </w:rPr>
      </w:pPr>
      <w:r w:rsidRPr="00F25846">
        <w:rPr>
          <w:rFonts w:ascii="Cambria" w:hAnsi="Cambria"/>
        </w:rPr>
        <w:t xml:space="preserve">Data were analysed using IBM SPSS Statistics version 25.0 (IBM Corp., Armonk, NY, USA). Descriptive statistics were used to summarize the characteristics of the study </w:t>
      </w:r>
      <w:r w:rsidRPr="00F25846">
        <w:rPr>
          <w:rFonts w:ascii="Cambria" w:hAnsi="Cambria"/>
        </w:rPr>
        <w:lastRenderedPageBreak/>
        <w:t>population. Continuous variables are expressed as mean ± standard deviation, and categorical variables are presented as frequencies and percentages.</w:t>
      </w:r>
    </w:p>
    <w:p w14:paraId="27DFF700" w14:textId="77777777" w:rsidR="00FF7045" w:rsidRDefault="00DB6529" w:rsidP="00FF7045">
      <w:pPr>
        <w:ind w:firstLine="720"/>
        <w:jc w:val="both"/>
        <w:rPr>
          <w:rFonts w:ascii="Cambria" w:hAnsi="Cambria"/>
        </w:rPr>
      </w:pPr>
      <w:r w:rsidRPr="00F25846">
        <w:rPr>
          <w:rFonts w:ascii="Cambria" w:hAnsi="Cambria"/>
        </w:rPr>
        <w:t>For preoperative assessment, the association between ASIA impairment scale classifications and baseline neurophysiological signals (MEP and SSEP) was analysed using Fisher's exact test. The associations between intraoperative neurophysiological monitoring parameters (MEP</w:t>
      </w:r>
      <w:r w:rsidR="008D28D2" w:rsidRPr="00F25846">
        <w:rPr>
          <w:rFonts w:ascii="Cambria" w:hAnsi="Cambria"/>
        </w:rPr>
        <w:t xml:space="preserve"> and </w:t>
      </w:r>
      <w:r w:rsidRPr="00F25846">
        <w:rPr>
          <w:rFonts w:ascii="Cambria" w:hAnsi="Cambria"/>
        </w:rPr>
        <w:t>SSEP) and clinical outcomes (neurological changes and clinical symptoms) were evaluated using Fisher's exact test due to the presence of cells with expected frequencies of &lt; 5. This non-parametric test was chosen as the appropriate method for examining the independence of categorical variables in our dataset.</w:t>
      </w:r>
      <w:r w:rsidR="00FF7045">
        <w:rPr>
          <w:rFonts w:ascii="Cambria" w:hAnsi="Cambria"/>
        </w:rPr>
        <w:t xml:space="preserve"> </w:t>
      </w:r>
    </w:p>
    <w:p w14:paraId="2151DAFD" w14:textId="41AEF964" w:rsidR="00934853" w:rsidRPr="00934853" w:rsidRDefault="00DB6529" w:rsidP="00FF7045">
      <w:pPr>
        <w:ind w:firstLine="720"/>
        <w:jc w:val="both"/>
        <w:rPr>
          <w:rFonts w:ascii="Cambria" w:hAnsi="Cambria"/>
        </w:rPr>
      </w:pPr>
      <w:r w:rsidRPr="00F25846">
        <w:rPr>
          <w:rFonts w:ascii="Cambria" w:hAnsi="Cambria"/>
        </w:rPr>
        <w:t xml:space="preserve">For the analysis of neurophysiological signal changes, </w:t>
      </w:r>
      <w:r w:rsidR="005C4CFD">
        <w:rPr>
          <w:rFonts w:ascii="Cambria" w:hAnsi="Cambria"/>
        </w:rPr>
        <w:t xml:space="preserve">we categorized baseline MEP and SSEP </w:t>
      </w:r>
      <w:r w:rsidR="00D23FE8">
        <w:rPr>
          <w:rFonts w:ascii="Cambria" w:hAnsi="Cambria"/>
        </w:rPr>
        <w:t xml:space="preserve">signals as ‘Intact’, ‘Zero’, </w:t>
      </w:r>
      <w:r w:rsidR="00D440D2">
        <w:rPr>
          <w:rFonts w:ascii="Cambria" w:hAnsi="Cambria"/>
        </w:rPr>
        <w:t>‘Reduced’</w:t>
      </w:r>
      <w:r w:rsidR="00E32538">
        <w:rPr>
          <w:rFonts w:ascii="Cambria" w:hAnsi="Cambria"/>
        </w:rPr>
        <w:t>.</w:t>
      </w:r>
      <w:r w:rsidR="00DD17A5">
        <w:rPr>
          <w:rFonts w:ascii="Cambria" w:hAnsi="Cambria"/>
        </w:rPr>
        <w:t xml:space="preserve"> </w:t>
      </w:r>
      <w:r w:rsidR="00ED7B2E">
        <w:rPr>
          <w:rFonts w:ascii="Cambria" w:hAnsi="Cambria"/>
        </w:rPr>
        <w:t>Baseline signals are</w:t>
      </w:r>
      <w:r w:rsidR="00ED7B2E" w:rsidRPr="00901691">
        <w:rPr>
          <w:rFonts w:ascii="Cambria" w:hAnsi="Cambria"/>
        </w:rPr>
        <w:t xml:space="preserve"> established after anaesthesia induction and before surgical incision.</w:t>
      </w:r>
      <w:r w:rsidR="00ED7B2E">
        <w:rPr>
          <w:rFonts w:ascii="Cambria" w:hAnsi="Cambria"/>
        </w:rPr>
        <w:t xml:space="preserve"> </w:t>
      </w:r>
      <w:r w:rsidR="00353755">
        <w:rPr>
          <w:rFonts w:ascii="Cambria" w:hAnsi="Cambria"/>
        </w:rPr>
        <w:t xml:space="preserve">‘Intact’ </w:t>
      </w:r>
      <w:r w:rsidR="00DD17A5" w:rsidRPr="00DD17A5">
        <w:rPr>
          <w:rFonts w:ascii="Cambria" w:hAnsi="Cambria"/>
        </w:rPr>
        <w:t>baseline MEP</w:t>
      </w:r>
      <w:r w:rsidR="0037137C">
        <w:rPr>
          <w:rFonts w:ascii="Cambria" w:hAnsi="Cambria"/>
        </w:rPr>
        <w:t xml:space="preserve">: </w:t>
      </w:r>
      <w:r w:rsidR="00775C54">
        <w:rPr>
          <w:rFonts w:ascii="Cambria" w:hAnsi="Cambria"/>
        </w:rPr>
        <w:t>amplitude</w:t>
      </w:r>
      <w:r w:rsidR="00CB7FBC">
        <w:rPr>
          <w:rFonts w:ascii="Cambria" w:hAnsi="Cambria"/>
        </w:rPr>
        <w:t xml:space="preserve"> </w:t>
      </w:r>
      <w:r w:rsidR="00CB7FBC" w:rsidRPr="00F87528">
        <w:rPr>
          <w:rFonts w:ascii="Cambria" w:hAnsi="Cambria"/>
        </w:rPr>
        <w:t xml:space="preserve">≥50 µV (peak-to-peak), reproducible, </w:t>
      </w:r>
      <w:r w:rsidR="006921D8">
        <w:rPr>
          <w:rFonts w:ascii="Cambria" w:hAnsi="Cambria"/>
        </w:rPr>
        <w:t xml:space="preserve">polymorphic, </w:t>
      </w:r>
      <w:r w:rsidR="005425E7" w:rsidRPr="00F87528">
        <w:rPr>
          <w:rFonts w:ascii="Cambria" w:hAnsi="Cambria"/>
        </w:rPr>
        <w:t>with stimulus intensity &lt; 80</w:t>
      </w:r>
      <w:r w:rsidR="007E78CD" w:rsidRPr="00F87528">
        <w:rPr>
          <w:rFonts w:ascii="Cambria" w:hAnsi="Cambria"/>
        </w:rPr>
        <w:t>% of maximum safe stimulation limit (≤200 mA for transcranial electrical stimulation).</w:t>
      </w:r>
      <w:r w:rsidR="00DD17A5" w:rsidRPr="00901691">
        <w:rPr>
          <w:rFonts w:ascii="Cambria" w:hAnsi="Cambria"/>
        </w:rPr>
        <w:t xml:space="preserve"> </w:t>
      </w:r>
      <w:r w:rsidR="00541B91" w:rsidRPr="002C4B93">
        <w:rPr>
          <w:rFonts w:ascii="Cambria" w:hAnsi="Cambria"/>
        </w:rPr>
        <w:t>‘Reduced’ baseline MEP</w:t>
      </w:r>
      <w:r w:rsidR="00CE65EE">
        <w:rPr>
          <w:rFonts w:ascii="Cambria" w:hAnsi="Cambria"/>
        </w:rPr>
        <w:t xml:space="preserve">: </w:t>
      </w:r>
      <w:r w:rsidR="00775C54" w:rsidRPr="002C4B93">
        <w:rPr>
          <w:rFonts w:ascii="Cambria" w:hAnsi="Cambria"/>
        </w:rPr>
        <w:t>amplitude &lt;20 µV</w:t>
      </w:r>
      <w:r w:rsidR="00BA0EFD" w:rsidRPr="002C4B93">
        <w:rPr>
          <w:rFonts w:ascii="Cambria" w:hAnsi="Cambria"/>
        </w:rPr>
        <w:t xml:space="preserve">, </w:t>
      </w:r>
      <w:r w:rsidR="002C4B93" w:rsidRPr="002C4B93">
        <w:rPr>
          <w:rFonts w:ascii="Cambria" w:hAnsi="Cambria"/>
        </w:rPr>
        <w:t>responses require &gt;80% of maximum stimulator output, and not reproducible.</w:t>
      </w:r>
      <w:r w:rsidR="00FF7045">
        <w:rPr>
          <w:rFonts w:ascii="Cambria" w:hAnsi="Cambria"/>
          <w:b/>
          <w:bCs/>
        </w:rPr>
        <w:t xml:space="preserve"> </w:t>
      </w:r>
      <w:r w:rsidR="00FF7045" w:rsidRPr="00CE65EE">
        <w:rPr>
          <w:rFonts w:ascii="Cambria" w:hAnsi="Cambria"/>
        </w:rPr>
        <w:t>‘</w:t>
      </w:r>
      <w:r w:rsidR="00934853" w:rsidRPr="00CE65EE">
        <w:rPr>
          <w:rFonts w:ascii="Cambria" w:hAnsi="Cambria"/>
        </w:rPr>
        <w:t>Intact</w:t>
      </w:r>
      <w:r w:rsidR="00FF7045" w:rsidRPr="00CE65EE">
        <w:rPr>
          <w:rFonts w:ascii="Cambria" w:hAnsi="Cambria"/>
        </w:rPr>
        <w:t>’</w:t>
      </w:r>
      <w:r w:rsidR="00CE65EE">
        <w:rPr>
          <w:rFonts w:ascii="Cambria" w:hAnsi="Cambria"/>
        </w:rPr>
        <w:t xml:space="preserve"> b</w:t>
      </w:r>
      <w:r w:rsidR="00934853" w:rsidRPr="00CE65EE">
        <w:rPr>
          <w:rFonts w:ascii="Cambria" w:hAnsi="Cambria"/>
        </w:rPr>
        <w:t>aseline SSEP: Norma</w:t>
      </w:r>
      <w:r w:rsidR="006E7E6C">
        <w:rPr>
          <w:rFonts w:ascii="Cambria" w:hAnsi="Cambria"/>
        </w:rPr>
        <w:t>l</w:t>
      </w:r>
      <w:r w:rsidR="00934853" w:rsidRPr="00CE65EE">
        <w:rPr>
          <w:rFonts w:ascii="Cambria" w:hAnsi="Cambria"/>
        </w:rPr>
        <w:t xml:space="preserve"> latency, adequate amplitude</w:t>
      </w:r>
      <w:r w:rsidR="006E7E6C">
        <w:rPr>
          <w:rFonts w:ascii="Cambria" w:hAnsi="Cambria"/>
        </w:rPr>
        <w:t xml:space="preserve"> (</w:t>
      </w:r>
      <w:r w:rsidR="006E7E6C" w:rsidRPr="006E7E6C">
        <w:rPr>
          <w:rFonts w:ascii="Cambria" w:hAnsi="Cambria"/>
        </w:rPr>
        <w:t>&gt;0.5 µV</w:t>
      </w:r>
      <w:r w:rsidR="006E7E6C">
        <w:rPr>
          <w:rFonts w:ascii="Cambria" w:hAnsi="Cambria"/>
        </w:rPr>
        <w:t>)</w:t>
      </w:r>
      <w:r w:rsidR="00934853" w:rsidRPr="00CE65EE">
        <w:rPr>
          <w:rFonts w:ascii="Cambria" w:hAnsi="Cambria"/>
        </w:rPr>
        <w:t>, symmetrical, reproducible.</w:t>
      </w:r>
      <w:r w:rsidR="00FF7045" w:rsidRPr="00CE65EE">
        <w:rPr>
          <w:rFonts w:ascii="Cambria" w:hAnsi="Cambria"/>
        </w:rPr>
        <w:t xml:space="preserve"> </w:t>
      </w:r>
      <w:r w:rsidR="0037137C" w:rsidRPr="00CE65EE">
        <w:rPr>
          <w:rFonts w:ascii="Cambria" w:hAnsi="Cambria"/>
        </w:rPr>
        <w:t>‘</w:t>
      </w:r>
      <w:r w:rsidR="00934853" w:rsidRPr="00934853">
        <w:rPr>
          <w:rFonts w:ascii="Cambria" w:hAnsi="Cambria"/>
        </w:rPr>
        <w:t>Reduced</w:t>
      </w:r>
      <w:r w:rsidR="0037137C" w:rsidRPr="00CE65EE">
        <w:rPr>
          <w:rFonts w:ascii="Cambria" w:hAnsi="Cambria"/>
        </w:rPr>
        <w:t>’</w:t>
      </w:r>
      <w:r w:rsidR="00934853" w:rsidRPr="00934853">
        <w:rPr>
          <w:rFonts w:ascii="Cambria" w:hAnsi="Cambria"/>
        </w:rPr>
        <w:t xml:space="preserve"> </w:t>
      </w:r>
      <w:r w:rsidR="00CE65EE">
        <w:rPr>
          <w:rFonts w:ascii="Cambria" w:hAnsi="Cambria"/>
        </w:rPr>
        <w:t>b</w:t>
      </w:r>
      <w:r w:rsidR="00934853" w:rsidRPr="00934853">
        <w:rPr>
          <w:rFonts w:ascii="Cambria" w:hAnsi="Cambria"/>
        </w:rPr>
        <w:t>aseline SSEP: abnormally prolonged, markedly low amplitude</w:t>
      </w:r>
      <w:r w:rsidR="00D537CD">
        <w:rPr>
          <w:rFonts w:ascii="Cambria" w:hAnsi="Cambria"/>
        </w:rPr>
        <w:t xml:space="preserve"> </w:t>
      </w:r>
      <w:r w:rsidR="00D537CD" w:rsidRPr="00D537CD">
        <w:rPr>
          <w:rFonts w:ascii="Cambria" w:hAnsi="Cambria"/>
        </w:rPr>
        <w:t>(&lt;0.5 µV)</w:t>
      </w:r>
      <w:r w:rsidR="00934853" w:rsidRPr="00934853">
        <w:rPr>
          <w:rFonts w:ascii="Cambria" w:hAnsi="Cambria"/>
        </w:rPr>
        <w:t>, or significantly asymmetric.</w:t>
      </w:r>
    </w:p>
    <w:p w14:paraId="5D7757ED" w14:textId="34D33DC0" w:rsidR="009723F2" w:rsidRPr="00F25846" w:rsidRDefault="00DD17A5" w:rsidP="00B0027E">
      <w:pPr>
        <w:ind w:firstLine="720"/>
        <w:jc w:val="both"/>
        <w:rPr>
          <w:rFonts w:ascii="Cambria" w:hAnsi="Cambria"/>
        </w:rPr>
      </w:pPr>
      <w:r>
        <w:rPr>
          <w:rFonts w:ascii="Cambria" w:hAnsi="Cambria"/>
        </w:rPr>
        <w:t>While</w:t>
      </w:r>
      <w:r w:rsidR="00DB6529" w:rsidRPr="00F25846">
        <w:rPr>
          <w:rFonts w:ascii="Cambria" w:hAnsi="Cambria"/>
        </w:rPr>
        <w:t xml:space="preserve"> </w:t>
      </w:r>
      <w:r w:rsidR="007034A5">
        <w:rPr>
          <w:rFonts w:ascii="Cambria" w:hAnsi="Cambria"/>
        </w:rPr>
        <w:t xml:space="preserve">intraoperative </w:t>
      </w:r>
      <w:r w:rsidR="00DB6529" w:rsidRPr="00F25846">
        <w:rPr>
          <w:rFonts w:ascii="Cambria" w:hAnsi="Cambria"/>
        </w:rPr>
        <w:t xml:space="preserve">MEP and SSEP changes </w:t>
      </w:r>
      <w:r>
        <w:rPr>
          <w:rFonts w:ascii="Cambria" w:hAnsi="Cambria"/>
        </w:rPr>
        <w:t xml:space="preserve">are categorized </w:t>
      </w:r>
      <w:r w:rsidR="00DB6529" w:rsidRPr="00F25846">
        <w:rPr>
          <w:rFonts w:ascii="Cambria" w:hAnsi="Cambria"/>
        </w:rPr>
        <w:t xml:space="preserve">as "Better”, "Same”, or "Worsen" based on signal amplitude and latency measurements compared to baseline readings. </w:t>
      </w:r>
      <w:r w:rsidR="00B046A9">
        <w:rPr>
          <w:rFonts w:ascii="Cambria" w:hAnsi="Cambria"/>
        </w:rPr>
        <w:t>‘Same’ MEP</w:t>
      </w:r>
      <w:r w:rsidR="004F00FD">
        <w:rPr>
          <w:rFonts w:ascii="Cambria" w:hAnsi="Cambria"/>
        </w:rPr>
        <w:t xml:space="preserve">: amplitude </w:t>
      </w:r>
      <w:r w:rsidR="0081402A">
        <w:rPr>
          <w:rFonts w:ascii="Cambria" w:hAnsi="Cambria"/>
        </w:rPr>
        <w:t>&lt;</w:t>
      </w:r>
      <w:r w:rsidR="004F00FD">
        <w:rPr>
          <w:rFonts w:ascii="Cambria" w:hAnsi="Cambria"/>
        </w:rPr>
        <w:t xml:space="preserve">50% reduction from baseline. </w:t>
      </w:r>
      <w:r w:rsidR="000441B0">
        <w:rPr>
          <w:rFonts w:ascii="Cambria" w:hAnsi="Cambria"/>
        </w:rPr>
        <w:t>‘Worsen’ MEP:</w:t>
      </w:r>
      <w:r w:rsidR="0081402A">
        <w:rPr>
          <w:rFonts w:ascii="Cambria" w:hAnsi="Cambria"/>
        </w:rPr>
        <w:t xml:space="preserve"> &gt;50% </w:t>
      </w:r>
      <w:r w:rsidR="004F585C">
        <w:rPr>
          <w:rFonts w:ascii="Cambria" w:hAnsi="Cambria"/>
        </w:rPr>
        <w:t xml:space="preserve">amplitude reduction from baseline. </w:t>
      </w:r>
      <w:r w:rsidR="00C56B0B">
        <w:rPr>
          <w:rFonts w:ascii="Cambria" w:hAnsi="Cambria"/>
        </w:rPr>
        <w:t>‘Same’ SSEP</w:t>
      </w:r>
      <w:r w:rsidR="00F267A1">
        <w:rPr>
          <w:rFonts w:ascii="Cambria" w:hAnsi="Cambria"/>
        </w:rPr>
        <w:t xml:space="preserve">: </w:t>
      </w:r>
      <w:r w:rsidR="00F267A1" w:rsidRPr="00094059">
        <w:rPr>
          <w:rFonts w:ascii="Cambria" w:hAnsi="Cambria"/>
        </w:rPr>
        <w:t xml:space="preserve">Increase of &lt; 10% from baseline latency and </w:t>
      </w:r>
      <w:r w:rsidR="00C70360">
        <w:rPr>
          <w:rFonts w:ascii="Cambria" w:hAnsi="Cambria"/>
        </w:rPr>
        <w:t>r</w:t>
      </w:r>
      <w:r w:rsidR="00094059" w:rsidRPr="00094059">
        <w:rPr>
          <w:rFonts w:ascii="Cambria" w:hAnsi="Cambria"/>
        </w:rPr>
        <w:t>eduction of &lt; 50% from baseline peak-to-peak amplitude. </w:t>
      </w:r>
      <w:r w:rsidR="00C70360">
        <w:rPr>
          <w:rFonts w:ascii="Cambria" w:hAnsi="Cambria"/>
        </w:rPr>
        <w:t xml:space="preserve">‘Worsen’ SSEP: </w:t>
      </w:r>
      <w:r w:rsidR="00C70360" w:rsidRPr="00094059">
        <w:rPr>
          <w:rFonts w:ascii="Cambria" w:hAnsi="Cambria"/>
        </w:rPr>
        <w:t xml:space="preserve">Increase of </w:t>
      </w:r>
      <w:r w:rsidR="00C70360">
        <w:rPr>
          <w:rFonts w:ascii="Cambria" w:hAnsi="Cambria"/>
        </w:rPr>
        <w:t>&gt;</w:t>
      </w:r>
      <w:r w:rsidR="00C70360" w:rsidRPr="00094059">
        <w:rPr>
          <w:rFonts w:ascii="Cambria" w:hAnsi="Cambria"/>
        </w:rPr>
        <w:t xml:space="preserve">10% from baseline latency and </w:t>
      </w:r>
      <w:r w:rsidR="00C70360">
        <w:rPr>
          <w:rFonts w:ascii="Cambria" w:hAnsi="Cambria"/>
        </w:rPr>
        <w:t>r</w:t>
      </w:r>
      <w:r w:rsidR="00C70360" w:rsidRPr="00094059">
        <w:rPr>
          <w:rFonts w:ascii="Cambria" w:hAnsi="Cambria"/>
        </w:rPr>
        <w:t xml:space="preserve">eduction of </w:t>
      </w:r>
      <w:r w:rsidR="00C70360">
        <w:rPr>
          <w:rFonts w:ascii="Cambria" w:hAnsi="Cambria"/>
        </w:rPr>
        <w:t>&gt;</w:t>
      </w:r>
      <w:r w:rsidR="00C70360" w:rsidRPr="00094059">
        <w:rPr>
          <w:rFonts w:ascii="Cambria" w:hAnsi="Cambria"/>
        </w:rPr>
        <w:t>50% from baseline peak-to-peak amplitude. </w:t>
      </w:r>
      <w:r w:rsidR="00C70360">
        <w:rPr>
          <w:rFonts w:ascii="Cambria" w:hAnsi="Cambria"/>
        </w:rPr>
        <w:t xml:space="preserve"> </w:t>
      </w:r>
      <w:r w:rsidR="00DB6529" w:rsidRPr="00F25846">
        <w:rPr>
          <w:rFonts w:ascii="Cambria" w:hAnsi="Cambria"/>
        </w:rPr>
        <w:t>EMG activity was dichotomised into the presence or absence of irritation. Postoperative neurological outcomes were classified as "Improved”, "Same”, or "Worsen" based on changes in the ASIA impairment scale and detailed neurological examination at follow-up. Clinical symptoms were categorised as "Improved" or "None" based on patient-reported outcomes.</w:t>
      </w:r>
    </w:p>
    <w:p w14:paraId="29BEC20C" w14:textId="77777777" w:rsidR="00AF7674" w:rsidRPr="00F25846" w:rsidRDefault="00AF7674" w:rsidP="00B0027E">
      <w:pPr>
        <w:ind w:firstLine="720"/>
        <w:jc w:val="both"/>
        <w:rPr>
          <w:rFonts w:ascii="Cambria" w:hAnsi="Cambria"/>
        </w:rPr>
      </w:pPr>
    </w:p>
    <w:p w14:paraId="7641C220" w14:textId="77777777" w:rsidR="00AF7674" w:rsidRPr="00F25846" w:rsidRDefault="00AF7674" w:rsidP="00B0027E">
      <w:pPr>
        <w:ind w:firstLine="720"/>
        <w:jc w:val="both"/>
        <w:rPr>
          <w:rFonts w:ascii="Cambria" w:hAnsi="Cambria"/>
        </w:rPr>
      </w:pPr>
    </w:p>
    <w:p w14:paraId="379B1375" w14:textId="77777777" w:rsidR="00AF7674" w:rsidRPr="00F25846" w:rsidRDefault="00AF7674" w:rsidP="00B0027E">
      <w:pPr>
        <w:ind w:firstLine="720"/>
        <w:jc w:val="both"/>
        <w:rPr>
          <w:rFonts w:ascii="Cambria" w:hAnsi="Cambria"/>
        </w:rPr>
      </w:pPr>
    </w:p>
    <w:p w14:paraId="48A254A7" w14:textId="67A8898B" w:rsidR="00803B11" w:rsidRDefault="00803B11" w:rsidP="00DB6529">
      <w:pPr>
        <w:jc w:val="both"/>
        <w:rPr>
          <w:rFonts w:ascii="Cambria" w:hAnsi="Cambria"/>
          <w:b/>
          <w:bCs/>
        </w:rPr>
      </w:pPr>
      <w:r w:rsidRPr="00F25846">
        <w:rPr>
          <w:rFonts w:ascii="Cambria" w:hAnsi="Cambria"/>
          <w:b/>
          <w:bCs/>
        </w:rPr>
        <w:t>Results:</w:t>
      </w:r>
    </w:p>
    <w:p w14:paraId="34691E1A" w14:textId="280E5679" w:rsidR="00C11737" w:rsidRPr="00E858D5" w:rsidRDefault="00390BEE" w:rsidP="00390BEE">
      <w:pPr>
        <w:ind w:firstLine="720"/>
        <w:jc w:val="both"/>
        <w:rPr>
          <w:rFonts w:ascii="Cambria" w:hAnsi="Cambria"/>
        </w:rPr>
      </w:pPr>
      <w:r w:rsidRPr="00E858D5">
        <w:rPr>
          <w:rFonts w:ascii="Cambria" w:hAnsi="Cambria"/>
        </w:rPr>
        <w:t>Five patients were excluded from the final cohort. Exclusions were necessitated in three cases because of inadequate documentation of perioperative ASIA scores, and in two cases because concurrent brain injury made it impossible to isolate and evaluate neurology specific to the spinal procedure.</w:t>
      </w:r>
    </w:p>
    <w:p w14:paraId="0A7B9B1D" w14:textId="77777777" w:rsidR="00390BEE" w:rsidRPr="00F25846" w:rsidRDefault="00390BEE" w:rsidP="00DB6529">
      <w:pPr>
        <w:jc w:val="both"/>
        <w:rPr>
          <w:rFonts w:ascii="Cambria" w:hAnsi="Cambria"/>
          <w:b/>
          <w:bCs/>
        </w:rPr>
      </w:pPr>
    </w:p>
    <w:tbl>
      <w:tblPr>
        <w:tblStyle w:val="TableGrid"/>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gridCol w:w="1559"/>
        <w:gridCol w:w="1739"/>
      </w:tblGrid>
      <w:tr w:rsidR="00803B11" w:rsidRPr="00F25846" w14:paraId="212B4D98" w14:textId="77777777" w:rsidTr="00B01D53">
        <w:trPr>
          <w:trHeight w:val="300"/>
        </w:trPr>
        <w:tc>
          <w:tcPr>
            <w:tcW w:w="9110" w:type="dxa"/>
            <w:gridSpan w:val="4"/>
            <w:tcBorders>
              <w:bottom w:val="single" w:sz="4" w:space="0" w:color="auto"/>
            </w:tcBorders>
          </w:tcPr>
          <w:p w14:paraId="19C4778E" w14:textId="48ECA7F8" w:rsidR="00803B11" w:rsidRPr="00F25846" w:rsidRDefault="00803B11" w:rsidP="001A1528">
            <w:pPr>
              <w:rPr>
                <w:rFonts w:ascii="Cambria" w:hAnsi="Cambria"/>
                <w:b/>
                <w:bCs/>
                <w:sz w:val="24"/>
                <w:szCs w:val="24"/>
              </w:rPr>
            </w:pPr>
            <w:r w:rsidRPr="00F25846">
              <w:rPr>
                <w:rFonts w:ascii="Cambria" w:hAnsi="Cambria"/>
                <w:b/>
                <w:bCs/>
                <w:sz w:val="24"/>
                <w:szCs w:val="24"/>
              </w:rPr>
              <w:lastRenderedPageBreak/>
              <w:t xml:space="preserve">Table 1: </w:t>
            </w:r>
            <w:r w:rsidRPr="00F25846">
              <w:rPr>
                <w:rFonts w:ascii="Cambria" w:hAnsi="Cambria"/>
                <w:sz w:val="24"/>
                <w:szCs w:val="24"/>
              </w:rPr>
              <w:t>Demographic and clinical characteristics of patient</w:t>
            </w:r>
            <w:r w:rsidR="00960274" w:rsidRPr="00F25846">
              <w:rPr>
                <w:rFonts w:ascii="Cambria" w:hAnsi="Cambria"/>
                <w:sz w:val="24"/>
                <w:szCs w:val="24"/>
              </w:rPr>
              <w:t>s</w:t>
            </w:r>
            <w:r w:rsidRPr="00F25846">
              <w:rPr>
                <w:rFonts w:ascii="Cambria" w:hAnsi="Cambria"/>
                <w:sz w:val="24"/>
                <w:szCs w:val="24"/>
              </w:rPr>
              <w:t xml:space="preserve"> (n = 114)</w:t>
            </w:r>
          </w:p>
        </w:tc>
      </w:tr>
      <w:tr w:rsidR="00803B11" w:rsidRPr="00F25846" w14:paraId="2B49F5DD" w14:textId="77777777" w:rsidTr="001A1528">
        <w:trPr>
          <w:trHeight w:val="210"/>
        </w:trPr>
        <w:tc>
          <w:tcPr>
            <w:tcW w:w="1843" w:type="dxa"/>
            <w:tcBorders>
              <w:top w:val="single" w:sz="4" w:space="0" w:color="auto"/>
              <w:bottom w:val="single" w:sz="4" w:space="0" w:color="auto"/>
            </w:tcBorders>
            <w:hideMark/>
          </w:tcPr>
          <w:p w14:paraId="154C83E2" w14:textId="77777777" w:rsidR="00803B11" w:rsidRPr="00F25846" w:rsidRDefault="00803B11" w:rsidP="001A1528">
            <w:pPr>
              <w:rPr>
                <w:rFonts w:ascii="Cambria" w:hAnsi="Cambria"/>
                <w:b/>
                <w:bCs/>
                <w:sz w:val="24"/>
                <w:szCs w:val="24"/>
              </w:rPr>
            </w:pPr>
            <w:r w:rsidRPr="00F25846">
              <w:rPr>
                <w:rFonts w:ascii="Cambria" w:hAnsi="Cambria"/>
                <w:b/>
                <w:bCs/>
                <w:sz w:val="24"/>
                <w:szCs w:val="24"/>
              </w:rPr>
              <w:t>Variables</w:t>
            </w:r>
          </w:p>
        </w:tc>
        <w:tc>
          <w:tcPr>
            <w:tcW w:w="3969" w:type="dxa"/>
            <w:tcBorders>
              <w:top w:val="single" w:sz="4" w:space="0" w:color="auto"/>
              <w:bottom w:val="single" w:sz="4" w:space="0" w:color="auto"/>
            </w:tcBorders>
          </w:tcPr>
          <w:p w14:paraId="336C2967" w14:textId="77777777" w:rsidR="00803B11" w:rsidRPr="00F25846" w:rsidRDefault="00803B11" w:rsidP="001A1528">
            <w:pPr>
              <w:rPr>
                <w:rFonts w:ascii="Cambria" w:hAnsi="Cambria"/>
                <w:b/>
                <w:bCs/>
                <w:sz w:val="24"/>
                <w:szCs w:val="24"/>
              </w:rPr>
            </w:pPr>
            <w:r w:rsidRPr="00F25846">
              <w:rPr>
                <w:rFonts w:ascii="Cambria" w:hAnsi="Cambria"/>
                <w:b/>
                <w:bCs/>
                <w:sz w:val="24"/>
                <w:szCs w:val="24"/>
              </w:rPr>
              <w:t>Categories/Statistics</w:t>
            </w:r>
          </w:p>
        </w:tc>
        <w:tc>
          <w:tcPr>
            <w:tcW w:w="1559" w:type="dxa"/>
            <w:tcBorders>
              <w:top w:val="single" w:sz="4" w:space="0" w:color="auto"/>
              <w:bottom w:val="single" w:sz="4" w:space="0" w:color="auto"/>
            </w:tcBorders>
            <w:hideMark/>
          </w:tcPr>
          <w:p w14:paraId="577D260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Frequency</w:t>
            </w:r>
          </w:p>
          <w:p w14:paraId="772839DF"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w:t>
            </w:r>
          </w:p>
        </w:tc>
        <w:tc>
          <w:tcPr>
            <w:tcW w:w="1739" w:type="dxa"/>
            <w:tcBorders>
              <w:top w:val="single" w:sz="4" w:space="0" w:color="auto"/>
              <w:bottom w:val="single" w:sz="4" w:space="0" w:color="auto"/>
            </w:tcBorders>
          </w:tcPr>
          <w:p w14:paraId="5D4118B8"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Percentage</w:t>
            </w:r>
          </w:p>
          <w:p w14:paraId="255E3CA9"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w:t>
            </w:r>
          </w:p>
        </w:tc>
      </w:tr>
      <w:tr w:rsidR="00803B11" w:rsidRPr="00F25846" w14:paraId="2CADFEC3" w14:textId="77777777" w:rsidTr="001A1528">
        <w:trPr>
          <w:trHeight w:val="671"/>
        </w:trPr>
        <w:tc>
          <w:tcPr>
            <w:tcW w:w="1843" w:type="dxa"/>
            <w:tcBorders>
              <w:top w:val="single" w:sz="4" w:space="0" w:color="auto"/>
              <w:bottom w:val="single" w:sz="4" w:space="0" w:color="auto"/>
            </w:tcBorders>
            <w:hideMark/>
          </w:tcPr>
          <w:p w14:paraId="4F69EA4A" w14:textId="77777777" w:rsidR="00803B11" w:rsidRPr="00F25846" w:rsidRDefault="00803B11" w:rsidP="001A1528">
            <w:pPr>
              <w:rPr>
                <w:rFonts w:ascii="Cambria" w:hAnsi="Cambria"/>
                <w:b/>
                <w:bCs/>
                <w:sz w:val="24"/>
                <w:szCs w:val="24"/>
                <w:vertAlign w:val="superscript"/>
              </w:rPr>
            </w:pPr>
            <w:r w:rsidRPr="00F25846">
              <w:rPr>
                <w:rFonts w:ascii="Cambria" w:hAnsi="Cambria"/>
                <w:b/>
                <w:bCs/>
                <w:sz w:val="24"/>
                <w:szCs w:val="24"/>
              </w:rPr>
              <w:t xml:space="preserve">Age </w:t>
            </w:r>
          </w:p>
        </w:tc>
        <w:tc>
          <w:tcPr>
            <w:tcW w:w="3969" w:type="dxa"/>
            <w:tcBorders>
              <w:top w:val="single" w:sz="4" w:space="0" w:color="auto"/>
              <w:bottom w:val="single" w:sz="4" w:space="0" w:color="auto"/>
            </w:tcBorders>
          </w:tcPr>
          <w:p w14:paraId="2D4DEBE8" w14:textId="77777777" w:rsidR="00803B11" w:rsidRPr="00F25846" w:rsidRDefault="00803B11" w:rsidP="001A1528">
            <w:pPr>
              <w:rPr>
                <w:rFonts w:ascii="Cambria" w:hAnsi="Cambria"/>
                <w:sz w:val="24"/>
                <w:szCs w:val="24"/>
                <w:vertAlign w:val="superscript"/>
              </w:rPr>
            </w:pPr>
            <w:r w:rsidRPr="00F25846">
              <w:rPr>
                <w:rFonts w:ascii="Cambria" w:hAnsi="Cambria"/>
                <w:sz w:val="24"/>
                <w:szCs w:val="24"/>
              </w:rPr>
              <w:t>Mean (SD)</w:t>
            </w:r>
          </w:p>
        </w:tc>
        <w:tc>
          <w:tcPr>
            <w:tcW w:w="1559" w:type="dxa"/>
            <w:tcBorders>
              <w:top w:val="single" w:sz="4" w:space="0" w:color="auto"/>
              <w:bottom w:val="single" w:sz="4" w:space="0" w:color="auto"/>
            </w:tcBorders>
            <w:hideMark/>
          </w:tcPr>
          <w:p w14:paraId="215FE0A6" w14:textId="77777777" w:rsidR="00803B11" w:rsidRPr="00F25846" w:rsidRDefault="00803B11" w:rsidP="001A1528">
            <w:pPr>
              <w:jc w:val="right"/>
              <w:rPr>
                <w:rFonts w:ascii="Cambria" w:hAnsi="Cambria"/>
                <w:sz w:val="24"/>
                <w:szCs w:val="24"/>
              </w:rPr>
            </w:pPr>
            <w:r w:rsidRPr="00F25846">
              <w:rPr>
                <w:rFonts w:ascii="Cambria" w:hAnsi="Cambria"/>
                <w:sz w:val="24"/>
                <w:szCs w:val="24"/>
              </w:rPr>
              <w:t>32.0 (19.95)</w:t>
            </w:r>
          </w:p>
        </w:tc>
        <w:tc>
          <w:tcPr>
            <w:tcW w:w="1739" w:type="dxa"/>
            <w:tcBorders>
              <w:top w:val="single" w:sz="4" w:space="0" w:color="auto"/>
              <w:bottom w:val="single" w:sz="4" w:space="0" w:color="auto"/>
            </w:tcBorders>
          </w:tcPr>
          <w:p w14:paraId="763A1113" w14:textId="77777777" w:rsidR="00803B11" w:rsidRPr="00F25846" w:rsidRDefault="00803B11" w:rsidP="001A1528">
            <w:pPr>
              <w:jc w:val="right"/>
              <w:rPr>
                <w:rFonts w:ascii="Cambria" w:hAnsi="Cambria"/>
                <w:sz w:val="24"/>
                <w:szCs w:val="24"/>
              </w:rPr>
            </w:pPr>
            <w:r w:rsidRPr="00F25846">
              <w:rPr>
                <w:rFonts w:ascii="Cambria" w:hAnsi="Cambria"/>
                <w:sz w:val="24"/>
                <w:szCs w:val="24"/>
              </w:rPr>
              <w:t>-</w:t>
            </w:r>
          </w:p>
        </w:tc>
      </w:tr>
      <w:tr w:rsidR="00803B11" w:rsidRPr="00F25846" w14:paraId="26CC8208" w14:textId="77777777" w:rsidTr="001A1528">
        <w:trPr>
          <w:trHeight w:val="426"/>
        </w:trPr>
        <w:tc>
          <w:tcPr>
            <w:tcW w:w="1843" w:type="dxa"/>
            <w:tcBorders>
              <w:top w:val="single" w:sz="4" w:space="0" w:color="auto"/>
              <w:bottom w:val="single" w:sz="4" w:space="0" w:color="auto"/>
            </w:tcBorders>
          </w:tcPr>
          <w:p w14:paraId="2A13583B" w14:textId="77777777" w:rsidR="00803B11" w:rsidRPr="00F25846" w:rsidRDefault="00803B11" w:rsidP="001A1528">
            <w:pPr>
              <w:rPr>
                <w:rFonts w:ascii="Cambria" w:hAnsi="Cambria"/>
                <w:b/>
                <w:bCs/>
                <w:sz w:val="24"/>
                <w:szCs w:val="24"/>
              </w:rPr>
            </w:pPr>
            <w:r w:rsidRPr="00F25846">
              <w:rPr>
                <w:rFonts w:ascii="Cambria" w:hAnsi="Cambria"/>
                <w:b/>
                <w:bCs/>
                <w:sz w:val="24"/>
                <w:szCs w:val="24"/>
              </w:rPr>
              <w:t>Gender</w:t>
            </w:r>
          </w:p>
        </w:tc>
        <w:tc>
          <w:tcPr>
            <w:tcW w:w="3969" w:type="dxa"/>
            <w:tcBorders>
              <w:top w:val="single" w:sz="4" w:space="0" w:color="auto"/>
              <w:bottom w:val="single" w:sz="4" w:space="0" w:color="auto"/>
            </w:tcBorders>
          </w:tcPr>
          <w:p w14:paraId="432C9DA9" w14:textId="77777777" w:rsidR="00803B11" w:rsidRPr="00F25846" w:rsidRDefault="00803B11" w:rsidP="001A1528">
            <w:pPr>
              <w:rPr>
                <w:rFonts w:ascii="Cambria" w:hAnsi="Cambria"/>
                <w:sz w:val="24"/>
                <w:szCs w:val="24"/>
              </w:rPr>
            </w:pPr>
            <w:r w:rsidRPr="00F25846">
              <w:rPr>
                <w:rFonts w:ascii="Cambria" w:hAnsi="Cambria"/>
                <w:sz w:val="24"/>
                <w:szCs w:val="24"/>
              </w:rPr>
              <w:t>Male</w:t>
            </w:r>
          </w:p>
          <w:p w14:paraId="21A92826" w14:textId="77777777" w:rsidR="00803B11" w:rsidRPr="00F25846" w:rsidRDefault="00803B11" w:rsidP="001A1528">
            <w:pPr>
              <w:rPr>
                <w:rFonts w:ascii="Cambria" w:hAnsi="Cambria"/>
                <w:sz w:val="24"/>
                <w:szCs w:val="24"/>
              </w:rPr>
            </w:pPr>
            <w:r w:rsidRPr="00F25846">
              <w:rPr>
                <w:rFonts w:ascii="Cambria" w:hAnsi="Cambria"/>
                <w:sz w:val="24"/>
                <w:szCs w:val="24"/>
              </w:rPr>
              <w:t>Female</w:t>
            </w:r>
          </w:p>
        </w:tc>
        <w:tc>
          <w:tcPr>
            <w:tcW w:w="1559" w:type="dxa"/>
            <w:tcBorders>
              <w:top w:val="single" w:sz="4" w:space="0" w:color="auto"/>
              <w:bottom w:val="single" w:sz="4" w:space="0" w:color="auto"/>
            </w:tcBorders>
          </w:tcPr>
          <w:p w14:paraId="717605C7" w14:textId="77777777" w:rsidR="00803B11" w:rsidRPr="00F25846" w:rsidRDefault="00803B11" w:rsidP="001A1528">
            <w:pPr>
              <w:jc w:val="right"/>
              <w:rPr>
                <w:rFonts w:ascii="Cambria" w:hAnsi="Cambria"/>
                <w:sz w:val="24"/>
                <w:szCs w:val="24"/>
              </w:rPr>
            </w:pPr>
            <w:r w:rsidRPr="00F25846">
              <w:rPr>
                <w:rFonts w:ascii="Cambria" w:hAnsi="Cambria"/>
                <w:sz w:val="24"/>
                <w:szCs w:val="24"/>
              </w:rPr>
              <w:t>43</w:t>
            </w:r>
          </w:p>
          <w:p w14:paraId="57C8AA8A" w14:textId="77777777" w:rsidR="00803B11" w:rsidRPr="00F25846" w:rsidRDefault="00803B11" w:rsidP="001A1528">
            <w:pPr>
              <w:jc w:val="right"/>
              <w:rPr>
                <w:rFonts w:ascii="Cambria" w:hAnsi="Cambria"/>
                <w:sz w:val="24"/>
                <w:szCs w:val="24"/>
              </w:rPr>
            </w:pPr>
            <w:r w:rsidRPr="00F25846">
              <w:rPr>
                <w:rFonts w:ascii="Cambria" w:hAnsi="Cambria"/>
                <w:sz w:val="24"/>
                <w:szCs w:val="24"/>
              </w:rPr>
              <w:t>71</w:t>
            </w:r>
          </w:p>
        </w:tc>
        <w:tc>
          <w:tcPr>
            <w:tcW w:w="1739" w:type="dxa"/>
            <w:tcBorders>
              <w:top w:val="single" w:sz="4" w:space="0" w:color="auto"/>
              <w:bottom w:val="single" w:sz="4" w:space="0" w:color="auto"/>
            </w:tcBorders>
          </w:tcPr>
          <w:p w14:paraId="484344BA" w14:textId="77777777" w:rsidR="00803B11" w:rsidRPr="00F25846" w:rsidRDefault="00803B11" w:rsidP="001A1528">
            <w:pPr>
              <w:jc w:val="right"/>
              <w:rPr>
                <w:rFonts w:ascii="Cambria" w:hAnsi="Cambria"/>
                <w:sz w:val="24"/>
                <w:szCs w:val="24"/>
              </w:rPr>
            </w:pPr>
            <w:r w:rsidRPr="00F25846">
              <w:rPr>
                <w:rFonts w:ascii="Cambria" w:hAnsi="Cambria"/>
                <w:sz w:val="24"/>
                <w:szCs w:val="24"/>
              </w:rPr>
              <w:t>37.7</w:t>
            </w:r>
          </w:p>
          <w:p w14:paraId="57B0702E" w14:textId="77777777" w:rsidR="00803B11" w:rsidRPr="00F25846" w:rsidRDefault="00803B11" w:rsidP="001A1528">
            <w:pPr>
              <w:jc w:val="right"/>
              <w:rPr>
                <w:rFonts w:ascii="Cambria" w:hAnsi="Cambria"/>
                <w:sz w:val="24"/>
                <w:szCs w:val="24"/>
              </w:rPr>
            </w:pPr>
            <w:r w:rsidRPr="00F25846">
              <w:rPr>
                <w:rFonts w:ascii="Cambria" w:hAnsi="Cambria"/>
                <w:sz w:val="24"/>
                <w:szCs w:val="24"/>
              </w:rPr>
              <w:t>62.3</w:t>
            </w:r>
          </w:p>
        </w:tc>
      </w:tr>
      <w:tr w:rsidR="00803B11" w:rsidRPr="00F25846" w14:paraId="1E55B13C" w14:textId="77777777" w:rsidTr="001A1528">
        <w:trPr>
          <w:trHeight w:val="426"/>
        </w:trPr>
        <w:tc>
          <w:tcPr>
            <w:tcW w:w="1843" w:type="dxa"/>
            <w:tcBorders>
              <w:top w:val="single" w:sz="4" w:space="0" w:color="auto"/>
              <w:bottom w:val="single" w:sz="4" w:space="0" w:color="auto"/>
            </w:tcBorders>
          </w:tcPr>
          <w:p w14:paraId="0EA54746" w14:textId="77777777" w:rsidR="00803B11" w:rsidRPr="00F25846" w:rsidRDefault="00803B11" w:rsidP="001A1528">
            <w:pPr>
              <w:rPr>
                <w:rFonts w:ascii="Cambria" w:hAnsi="Cambria"/>
                <w:b/>
                <w:bCs/>
                <w:sz w:val="24"/>
                <w:szCs w:val="24"/>
              </w:rPr>
            </w:pPr>
            <w:r w:rsidRPr="00F25846">
              <w:rPr>
                <w:rFonts w:ascii="Cambria" w:hAnsi="Cambria"/>
                <w:b/>
                <w:bCs/>
                <w:sz w:val="24"/>
                <w:szCs w:val="24"/>
              </w:rPr>
              <w:t>Spine diagnosis requiring IONM</w:t>
            </w:r>
          </w:p>
        </w:tc>
        <w:tc>
          <w:tcPr>
            <w:tcW w:w="3969" w:type="dxa"/>
            <w:tcBorders>
              <w:top w:val="single" w:sz="4" w:space="0" w:color="auto"/>
              <w:bottom w:val="single" w:sz="4" w:space="0" w:color="auto"/>
            </w:tcBorders>
          </w:tcPr>
          <w:p w14:paraId="75ABFE26" w14:textId="40834BDD" w:rsidR="00803B11" w:rsidRPr="00F25846" w:rsidRDefault="00743797" w:rsidP="001A1528">
            <w:pPr>
              <w:rPr>
                <w:rFonts w:ascii="Cambria" w:hAnsi="Cambria"/>
                <w:b/>
                <w:bCs/>
                <w:sz w:val="24"/>
                <w:szCs w:val="24"/>
              </w:rPr>
            </w:pPr>
            <w:r w:rsidRPr="00F25846">
              <w:rPr>
                <w:rFonts w:ascii="Cambria" w:hAnsi="Cambria"/>
                <w:b/>
                <w:bCs/>
                <w:sz w:val="24"/>
                <w:szCs w:val="24"/>
              </w:rPr>
              <w:t xml:space="preserve">Spine </w:t>
            </w:r>
            <w:r w:rsidR="00803B11" w:rsidRPr="00F25846">
              <w:rPr>
                <w:rFonts w:ascii="Cambria" w:hAnsi="Cambria"/>
                <w:b/>
                <w:bCs/>
                <w:sz w:val="24"/>
                <w:szCs w:val="24"/>
              </w:rPr>
              <w:t>Scoliosis</w:t>
            </w:r>
            <w:r w:rsidRPr="00F25846">
              <w:rPr>
                <w:rFonts w:ascii="Cambria" w:hAnsi="Cambria"/>
                <w:b/>
                <w:bCs/>
                <w:sz w:val="24"/>
                <w:szCs w:val="24"/>
              </w:rPr>
              <w:t xml:space="preserve"> </w:t>
            </w:r>
          </w:p>
          <w:p w14:paraId="383F72EE" w14:textId="1E28B7BF" w:rsidR="00B03195" w:rsidRPr="00F25846" w:rsidRDefault="00B03195" w:rsidP="001A1528">
            <w:pPr>
              <w:rPr>
                <w:rFonts w:ascii="Cambria" w:hAnsi="Cambria"/>
                <w:sz w:val="24"/>
                <w:szCs w:val="24"/>
              </w:rPr>
            </w:pPr>
            <w:r w:rsidRPr="00F25846">
              <w:rPr>
                <w:rFonts w:ascii="Cambria" w:hAnsi="Cambria"/>
                <w:sz w:val="24"/>
                <w:szCs w:val="24"/>
              </w:rPr>
              <w:t>-</w:t>
            </w:r>
            <w:r w:rsidR="00332274" w:rsidRPr="00F25846">
              <w:rPr>
                <w:rFonts w:ascii="Cambria" w:hAnsi="Cambria"/>
                <w:sz w:val="24"/>
                <w:szCs w:val="24"/>
              </w:rPr>
              <w:t>Idiopathic</w:t>
            </w:r>
          </w:p>
          <w:p w14:paraId="2A0C5D8B" w14:textId="385FE2F6" w:rsidR="009B77AB" w:rsidRPr="00F25846" w:rsidRDefault="00332274" w:rsidP="001A1528">
            <w:pPr>
              <w:rPr>
                <w:rFonts w:ascii="Cambria" w:hAnsi="Cambria"/>
                <w:sz w:val="24"/>
                <w:szCs w:val="24"/>
              </w:rPr>
            </w:pPr>
            <w:r w:rsidRPr="00F25846">
              <w:rPr>
                <w:rFonts w:ascii="Cambria" w:hAnsi="Cambria"/>
                <w:sz w:val="24"/>
                <w:szCs w:val="24"/>
              </w:rPr>
              <w:t>-</w:t>
            </w:r>
            <w:r w:rsidR="004974DF" w:rsidRPr="00F25846">
              <w:rPr>
                <w:rFonts w:ascii="Cambria" w:hAnsi="Cambria"/>
                <w:sz w:val="24"/>
                <w:szCs w:val="24"/>
              </w:rPr>
              <w:t>Non-Idiopathic</w:t>
            </w:r>
          </w:p>
          <w:p w14:paraId="62420112" w14:textId="329306C0" w:rsidR="00803B11" w:rsidRPr="00F25846" w:rsidRDefault="00803B11" w:rsidP="001A1528">
            <w:pPr>
              <w:rPr>
                <w:rFonts w:ascii="Cambria" w:hAnsi="Cambria"/>
                <w:b/>
                <w:bCs/>
                <w:sz w:val="24"/>
                <w:szCs w:val="24"/>
              </w:rPr>
            </w:pPr>
            <w:r w:rsidRPr="00F25846">
              <w:rPr>
                <w:rFonts w:ascii="Cambria" w:hAnsi="Cambria"/>
                <w:b/>
                <w:bCs/>
                <w:sz w:val="24"/>
                <w:szCs w:val="24"/>
              </w:rPr>
              <w:t xml:space="preserve">Cervical </w:t>
            </w:r>
            <w:proofErr w:type="spellStart"/>
            <w:r w:rsidR="00FB0AC6" w:rsidRPr="00F25846">
              <w:rPr>
                <w:rFonts w:ascii="Cambria" w:hAnsi="Cambria"/>
                <w:b/>
                <w:bCs/>
                <w:sz w:val="24"/>
                <w:szCs w:val="24"/>
              </w:rPr>
              <w:t>S</w:t>
            </w:r>
            <w:r w:rsidRPr="00F25846">
              <w:rPr>
                <w:rFonts w:ascii="Cambria" w:hAnsi="Cambria"/>
                <w:b/>
                <w:bCs/>
                <w:sz w:val="24"/>
                <w:szCs w:val="24"/>
              </w:rPr>
              <w:t>pondylotic</w:t>
            </w:r>
            <w:proofErr w:type="spellEnd"/>
            <w:r w:rsidRPr="00F25846">
              <w:rPr>
                <w:rFonts w:ascii="Cambria" w:hAnsi="Cambria"/>
                <w:b/>
                <w:bCs/>
                <w:sz w:val="24"/>
                <w:szCs w:val="24"/>
              </w:rPr>
              <w:t xml:space="preserve"> </w:t>
            </w:r>
            <w:r w:rsidR="008201A2" w:rsidRPr="00F25846">
              <w:rPr>
                <w:rFonts w:ascii="Cambria" w:hAnsi="Cambria"/>
                <w:b/>
                <w:bCs/>
                <w:sz w:val="24"/>
                <w:szCs w:val="24"/>
              </w:rPr>
              <w:t>M</w:t>
            </w:r>
            <w:r w:rsidRPr="00F25846">
              <w:rPr>
                <w:rFonts w:ascii="Cambria" w:hAnsi="Cambria"/>
                <w:b/>
                <w:bCs/>
                <w:sz w:val="24"/>
                <w:szCs w:val="24"/>
              </w:rPr>
              <w:t>yelopathy</w:t>
            </w:r>
          </w:p>
          <w:p w14:paraId="17F3C05A" w14:textId="060713D7" w:rsidR="003E7DBC" w:rsidRPr="00F25846" w:rsidRDefault="003E7DBC" w:rsidP="001A1528">
            <w:pPr>
              <w:rPr>
                <w:rFonts w:ascii="Cambria" w:hAnsi="Cambria"/>
                <w:b/>
                <w:bCs/>
                <w:sz w:val="24"/>
                <w:szCs w:val="24"/>
              </w:rPr>
            </w:pPr>
            <w:r w:rsidRPr="00F25846">
              <w:rPr>
                <w:rFonts w:ascii="Cambria" w:hAnsi="Cambria"/>
                <w:b/>
                <w:bCs/>
                <w:sz w:val="24"/>
                <w:szCs w:val="24"/>
              </w:rPr>
              <w:t xml:space="preserve">Traumatic </w:t>
            </w:r>
            <w:r w:rsidR="00FB0AC6" w:rsidRPr="00F25846">
              <w:rPr>
                <w:rFonts w:ascii="Cambria" w:hAnsi="Cambria"/>
                <w:b/>
                <w:bCs/>
                <w:sz w:val="24"/>
                <w:szCs w:val="24"/>
              </w:rPr>
              <w:t>C</w:t>
            </w:r>
            <w:r w:rsidRPr="00F25846">
              <w:rPr>
                <w:rFonts w:ascii="Cambria" w:hAnsi="Cambria"/>
                <w:b/>
                <w:bCs/>
                <w:sz w:val="24"/>
                <w:szCs w:val="24"/>
              </w:rPr>
              <w:t xml:space="preserve">ervical </w:t>
            </w:r>
            <w:r w:rsidR="00FB0AC6" w:rsidRPr="00F25846">
              <w:rPr>
                <w:rFonts w:ascii="Cambria" w:hAnsi="Cambria"/>
                <w:b/>
                <w:bCs/>
                <w:sz w:val="24"/>
                <w:szCs w:val="24"/>
              </w:rPr>
              <w:t>S</w:t>
            </w:r>
            <w:r w:rsidRPr="00F25846">
              <w:rPr>
                <w:rFonts w:ascii="Cambria" w:hAnsi="Cambria"/>
                <w:b/>
                <w:bCs/>
                <w:sz w:val="24"/>
                <w:szCs w:val="24"/>
              </w:rPr>
              <w:t xml:space="preserve">pine </w:t>
            </w:r>
            <w:r w:rsidR="00FB0AC6" w:rsidRPr="00F25846">
              <w:rPr>
                <w:rFonts w:ascii="Cambria" w:hAnsi="Cambria"/>
                <w:b/>
                <w:bCs/>
                <w:sz w:val="24"/>
                <w:szCs w:val="24"/>
              </w:rPr>
              <w:t>I</w:t>
            </w:r>
            <w:r w:rsidRPr="00F25846">
              <w:rPr>
                <w:rFonts w:ascii="Cambria" w:hAnsi="Cambria"/>
                <w:b/>
                <w:bCs/>
                <w:sz w:val="24"/>
                <w:szCs w:val="24"/>
              </w:rPr>
              <w:t>njury</w:t>
            </w:r>
          </w:p>
          <w:p w14:paraId="0D6D3BF3" w14:textId="04060C9F" w:rsidR="00D80BD2" w:rsidRPr="00F25846" w:rsidRDefault="001129C2" w:rsidP="001A1528">
            <w:pPr>
              <w:rPr>
                <w:rFonts w:ascii="Cambria" w:hAnsi="Cambria"/>
                <w:b/>
                <w:bCs/>
                <w:sz w:val="24"/>
                <w:szCs w:val="24"/>
              </w:rPr>
            </w:pPr>
            <w:r w:rsidRPr="00F25846">
              <w:rPr>
                <w:rFonts w:ascii="Cambria" w:hAnsi="Cambria"/>
                <w:b/>
                <w:bCs/>
                <w:sz w:val="24"/>
                <w:szCs w:val="24"/>
              </w:rPr>
              <w:t xml:space="preserve">Spine </w:t>
            </w:r>
            <w:r w:rsidR="008201A2" w:rsidRPr="00F25846">
              <w:rPr>
                <w:rFonts w:ascii="Cambria" w:hAnsi="Cambria"/>
                <w:b/>
                <w:bCs/>
                <w:sz w:val="24"/>
                <w:szCs w:val="24"/>
              </w:rPr>
              <w:t>T</w:t>
            </w:r>
            <w:r w:rsidR="0040705B" w:rsidRPr="00F25846">
              <w:rPr>
                <w:rFonts w:ascii="Cambria" w:hAnsi="Cambria"/>
                <w:b/>
                <w:bCs/>
                <w:sz w:val="24"/>
                <w:szCs w:val="24"/>
              </w:rPr>
              <w:t xml:space="preserve">uberculosis </w:t>
            </w:r>
            <w:r w:rsidR="008201A2" w:rsidRPr="00F25846">
              <w:rPr>
                <w:rFonts w:ascii="Cambria" w:hAnsi="Cambria"/>
                <w:b/>
                <w:bCs/>
                <w:sz w:val="24"/>
                <w:szCs w:val="24"/>
              </w:rPr>
              <w:t>I</w:t>
            </w:r>
            <w:r w:rsidR="0040705B" w:rsidRPr="00F25846">
              <w:rPr>
                <w:rFonts w:ascii="Cambria" w:hAnsi="Cambria"/>
                <w:b/>
                <w:bCs/>
                <w:sz w:val="24"/>
                <w:szCs w:val="24"/>
              </w:rPr>
              <w:t>nfection</w:t>
            </w:r>
          </w:p>
          <w:p w14:paraId="7BF9646C" w14:textId="77777777" w:rsidR="00462294" w:rsidRPr="00F25846" w:rsidRDefault="00462294" w:rsidP="001A1528">
            <w:pPr>
              <w:rPr>
                <w:rFonts w:ascii="Cambria" w:hAnsi="Cambria"/>
                <w:sz w:val="24"/>
                <w:szCs w:val="24"/>
              </w:rPr>
            </w:pPr>
            <w:r w:rsidRPr="00F25846">
              <w:rPr>
                <w:rFonts w:ascii="Cambria" w:hAnsi="Cambria"/>
                <w:sz w:val="24"/>
                <w:szCs w:val="24"/>
              </w:rPr>
              <w:t>-Cervical</w:t>
            </w:r>
          </w:p>
          <w:p w14:paraId="261D79AF" w14:textId="77777777" w:rsidR="00F70894" w:rsidRPr="00F25846" w:rsidRDefault="00462294" w:rsidP="001A1528">
            <w:pPr>
              <w:rPr>
                <w:rFonts w:ascii="Cambria" w:hAnsi="Cambria"/>
                <w:sz w:val="24"/>
                <w:szCs w:val="24"/>
              </w:rPr>
            </w:pPr>
            <w:r w:rsidRPr="00F25846">
              <w:rPr>
                <w:rFonts w:ascii="Cambria" w:hAnsi="Cambria"/>
                <w:sz w:val="24"/>
                <w:szCs w:val="24"/>
              </w:rPr>
              <w:t>-</w:t>
            </w:r>
            <w:r w:rsidR="00F70894" w:rsidRPr="00F25846">
              <w:rPr>
                <w:rFonts w:ascii="Cambria" w:hAnsi="Cambria"/>
                <w:sz w:val="24"/>
                <w:szCs w:val="24"/>
              </w:rPr>
              <w:t>Thoracic</w:t>
            </w:r>
          </w:p>
          <w:p w14:paraId="6E8F2F48" w14:textId="380208D7" w:rsidR="001129C2" w:rsidRPr="00F25846" w:rsidRDefault="00F70894" w:rsidP="001A1528">
            <w:pPr>
              <w:rPr>
                <w:rFonts w:ascii="Cambria" w:hAnsi="Cambria"/>
                <w:sz w:val="24"/>
                <w:szCs w:val="24"/>
              </w:rPr>
            </w:pPr>
            <w:r w:rsidRPr="00F25846">
              <w:rPr>
                <w:rFonts w:ascii="Cambria" w:hAnsi="Cambria"/>
                <w:sz w:val="24"/>
                <w:szCs w:val="24"/>
              </w:rPr>
              <w:t>-Lumbar</w:t>
            </w:r>
            <w:r w:rsidR="0040705B" w:rsidRPr="00F25846">
              <w:rPr>
                <w:rFonts w:ascii="Cambria" w:hAnsi="Cambria"/>
                <w:sz w:val="24"/>
                <w:szCs w:val="24"/>
              </w:rPr>
              <w:t xml:space="preserve"> </w:t>
            </w:r>
          </w:p>
          <w:p w14:paraId="6DEB5E5A" w14:textId="3074D726" w:rsidR="003C1EC7" w:rsidRPr="00F25846" w:rsidRDefault="00D66065" w:rsidP="001A1528">
            <w:pPr>
              <w:rPr>
                <w:rFonts w:ascii="Cambria" w:hAnsi="Cambria"/>
                <w:b/>
                <w:bCs/>
                <w:sz w:val="24"/>
                <w:szCs w:val="24"/>
              </w:rPr>
            </w:pPr>
            <w:r w:rsidRPr="00F25846">
              <w:rPr>
                <w:rFonts w:ascii="Cambria" w:hAnsi="Cambria"/>
                <w:b/>
                <w:bCs/>
                <w:sz w:val="24"/>
                <w:szCs w:val="24"/>
              </w:rPr>
              <w:t xml:space="preserve">Thoracic </w:t>
            </w:r>
            <w:r w:rsidR="008201A2" w:rsidRPr="00F25846">
              <w:rPr>
                <w:rFonts w:ascii="Cambria" w:hAnsi="Cambria"/>
                <w:b/>
                <w:bCs/>
                <w:sz w:val="24"/>
                <w:szCs w:val="24"/>
              </w:rPr>
              <w:t>S</w:t>
            </w:r>
            <w:r w:rsidR="00462C68" w:rsidRPr="00F25846">
              <w:rPr>
                <w:rFonts w:ascii="Cambria" w:hAnsi="Cambria"/>
                <w:b/>
                <w:bCs/>
                <w:sz w:val="24"/>
                <w:szCs w:val="24"/>
              </w:rPr>
              <w:t xml:space="preserve">pine </w:t>
            </w:r>
            <w:r w:rsidR="008201A2" w:rsidRPr="00F25846">
              <w:rPr>
                <w:rFonts w:ascii="Cambria" w:hAnsi="Cambria"/>
                <w:b/>
                <w:bCs/>
                <w:sz w:val="24"/>
                <w:szCs w:val="24"/>
              </w:rPr>
              <w:t>M</w:t>
            </w:r>
            <w:r w:rsidR="00462C68" w:rsidRPr="00F25846">
              <w:rPr>
                <w:rFonts w:ascii="Cambria" w:hAnsi="Cambria"/>
                <w:b/>
                <w:bCs/>
                <w:sz w:val="24"/>
                <w:szCs w:val="24"/>
              </w:rPr>
              <w:t>etastasis</w:t>
            </w:r>
          </w:p>
          <w:p w14:paraId="1CC1A8A6" w14:textId="289E9AC7" w:rsidR="00803B11" w:rsidRPr="00F25846" w:rsidRDefault="003C1EC7" w:rsidP="001A1528">
            <w:pPr>
              <w:rPr>
                <w:rFonts w:ascii="Cambria" w:hAnsi="Cambria"/>
                <w:b/>
                <w:bCs/>
                <w:sz w:val="24"/>
                <w:szCs w:val="24"/>
              </w:rPr>
            </w:pPr>
            <w:r w:rsidRPr="00F25846">
              <w:rPr>
                <w:rFonts w:ascii="Cambria" w:hAnsi="Cambria"/>
                <w:b/>
                <w:bCs/>
                <w:sz w:val="24"/>
                <w:szCs w:val="24"/>
              </w:rPr>
              <w:t xml:space="preserve">Lumbar </w:t>
            </w:r>
            <w:r w:rsidR="00F025D9" w:rsidRPr="00F25846">
              <w:rPr>
                <w:rFonts w:ascii="Cambria" w:hAnsi="Cambria"/>
                <w:b/>
                <w:bCs/>
                <w:sz w:val="24"/>
                <w:szCs w:val="24"/>
              </w:rPr>
              <w:t>D</w:t>
            </w:r>
            <w:r w:rsidR="00DC3C84" w:rsidRPr="00F25846">
              <w:rPr>
                <w:rFonts w:ascii="Cambria" w:hAnsi="Cambria"/>
                <w:b/>
                <w:bCs/>
                <w:sz w:val="24"/>
                <w:szCs w:val="24"/>
              </w:rPr>
              <w:t xml:space="preserve">egenerative </w:t>
            </w:r>
            <w:r w:rsidR="00F025D9" w:rsidRPr="00F25846">
              <w:rPr>
                <w:rFonts w:ascii="Cambria" w:hAnsi="Cambria"/>
                <w:b/>
                <w:bCs/>
                <w:sz w:val="24"/>
                <w:szCs w:val="24"/>
              </w:rPr>
              <w:t>S</w:t>
            </w:r>
            <w:r w:rsidR="00DC3C84" w:rsidRPr="00F25846">
              <w:rPr>
                <w:rFonts w:ascii="Cambria" w:hAnsi="Cambria"/>
                <w:b/>
                <w:bCs/>
                <w:sz w:val="24"/>
                <w:szCs w:val="24"/>
              </w:rPr>
              <w:t>pine</w:t>
            </w:r>
            <w:r w:rsidR="00F025D9" w:rsidRPr="00F25846">
              <w:rPr>
                <w:rFonts w:ascii="Cambria" w:hAnsi="Cambria"/>
                <w:b/>
                <w:bCs/>
                <w:sz w:val="24"/>
                <w:szCs w:val="24"/>
              </w:rPr>
              <w:t xml:space="preserve"> Stenosis</w:t>
            </w:r>
          </w:p>
          <w:p w14:paraId="0138099C" w14:textId="3390D51F" w:rsidR="00647138" w:rsidRPr="00F25846" w:rsidRDefault="00647138" w:rsidP="001A1528">
            <w:pPr>
              <w:rPr>
                <w:rFonts w:ascii="Cambria" w:hAnsi="Cambria"/>
                <w:b/>
                <w:bCs/>
                <w:sz w:val="24"/>
                <w:szCs w:val="24"/>
              </w:rPr>
            </w:pPr>
            <w:r w:rsidRPr="00F25846">
              <w:rPr>
                <w:rFonts w:ascii="Cambria" w:hAnsi="Cambria"/>
                <w:b/>
                <w:bCs/>
                <w:sz w:val="24"/>
                <w:szCs w:val="24"/>
              </w:rPr>
              <w:t xml:space="preserve">Cervical </w:t>
            </w:r>
            <w:r w:rsidR="005E5B1C" w:rsidRPr="00F25846">
              <w:rPr>
                <w:rFonts w:ascii="Cambria" w:hAnsi="Cambria"/>
                <w:b/>
                <w:bCs/>
                <w:sz w:val="24"/>
                <w:szCs w:val="24"/>
              </w:rPr>
              <w:t>P</w:t>
            </w:r>
            <w:r w:rsidRPr="00F25846">
              <w:rPr>
                <w:rFonts w:ascii="Cambria" w:hAnsi="Cambria"/>
                <w:b/>
                <w:bCs/>
                <w:sz w:val="24"/>
                <w:szCs w:val="24"/>
              </w:rPr>
              <w:t xml:space="preserve">rolapsed </w:t>
            </w:r>
            <w:r w:rsidR="005E5B1C" w:rsidRPr="00F25846">
              <w:rPr>
                <w:rFonts w:ascii="Cambria" w:hAnsi="Cambria"/>
                <w:b/>
                <w:bCs/>
                <w:sz w:val="24"/>
                <w:szCs w:val="24"/>
              </w:rPr>
              <w:t>I</w:t>
            </w:r>
            <w:r w:rsidRPr="00F25846">
              <w:rPr>
                <w:rFonts w:ascii="Cambria" w:hAnsi="Cambria"/>
                <w:b/>
                <w:bCs/>
                <w:sz w:val="24"/>
                <w:szCs w:val="24"/>
              </w:rPr>
              <w:t xml:space="preserve">ntervertebral </w:t>
            </w:r>
            <w:r w:rsidR="005E5B1C" w:rsidRPr="00F25846">
              <w:rPr>
                <w:rFonts w:ascii="Cambria" w:hAnsi="Cambria"/>
                <w:b/>
                <w:bCs/>
                <w:sz w:val="24"/>
                <w:szCs w:val="24"/>
              </w:rPr>
              <w:t>D</w:t>
            </w:r>
            <w:r w:rsidRPr="00F25846">
              <w:rPr>
                <w:rFonts w:ascii="Cambria" w:hAnsi="Cambria"/>
                <w:b/>
                <w:bCs/>
                <w:sz w:val="24"/>
                <w:szCs w:val="24"/>
              </w:rPr>
              <w:t>isc</w:t>
            </w:r>
          </w:p>
          <w:p w14:paraId="627FCD36" w14:textId="32AB51E3" w:rsidR="00F70894" w:rsidRPr="00F25846" w:rsidRDefault="00F70894" w:rsidP="001A1528">
            <w:pPr>
              <w:rPr>
                <w:rFonts w:ascii="Cambria" w:hAnsi="Cambria"/>
                <w:b/>
                <w:bCs/>
                <w:sz w:val="24"/>
                <w:szCs w:val="24"/>
              </w:rPr>
            </w:pPr>
            <w:r w:rsidRPr="00F25846">
              <w:rPr>
                <w:rFonts w:ascii="Cambria" w:hAnsi="Cambria"/>
                <w:b/>
                <w:bCs/>
                <w:sz w:val="24"/>
                <w:szCs w:val="24"/>
              </w:rPr>
              <w:t>Others</w:t>
            </w:r>
          </w:p>
        </w:tc>
        <w:tc>
          <w:tcPr>
            <w:tcW w:w="1559" w:type="dxa"/>
            <w:tcBorders>
              <w:top w:val="single" w:sz="4" w:space="0" w:color="auto"/>
              <w:bottom w:val="single" w:sz="4" w:space="0" w:color="auto"/>
            </w:tcBorders>
          </w:tcPr>
          <w:p w14:paraId="5E1D2DEC" w14:textId="0A8C9CA6" w:rsidR="009C3FEC" w:rsidRPr="00F25846" w:rsidRDefault="000644A3" w:rsidP="009C3FEC">
            <w:pPr>
              <w:jc w:val="right"/>
              <w:rPr>
                <w:rFonts w:ascii="Cambria" w:hAnsi="Cambria"/>
                <w:sz w:val="24"/>
                <w:szCs w:val="24"/>
              </w:rPr>
            </w:pPr>
            <w:r w:rsidRPr="00F25846">
              <w:rPr>
                <w:rFonts w:ascii="Cambria" w:hAnsi="Cambria"/>
                <w:sz w:val="24"/>
                <w:szCs w:val="24"/>
              </w:rPr>
              <w:t>6</w:t>
            </w:r>
            <w:r w:rsidR="00FE0EB1" w:rsidRPr="00F25846">
              <w:rPr>
                <w:rFonts w:ascii="Cambria" w:hAnsi="Cambria"/>
                <w:sz w:val="24"/>
                <w:szCs w:val="24"/>
              </w:rPr>
              <w:t>4</w:t>
            </w:r>
          </w:p>
          <w:p w14:paraId="1241A68A" w14:textId="3FEC0F8B" w:rsidR="00803B11" w:rsidRPr="00F25846" w:rsidRDefault="000644A3" w:rsidP="009C3FEC">
            <w:pPr>
              <w:jc w:val="right"/>
              <w:rPr>
                <w:rFonts w:ascii="Cambria" w:hAnsi="Cambria"/>
                <w:sz w:val="24"/>
                <w:szCs w:val="24"/>
              </w:rPr>
            </w:pPr>
            <w:r w:rsidRPr="00F25846">
              <w:rPr>
                <w:rFonts w:ascii="Cambria" w:hAnsi="Cambria"/>
                <w:sz w:val="24"/>
                <w:szCs w:val="24"/>
              </w:rPr>
              <w:t>55</w:t>
            </w:r>
          </w:p>
          <w:p w14:paraId="37BF7ABC" w14:textId="47D454EA" w:rsidR="00C97DAA" w:rsidRPr="00F25846" w:rsidRDefault="00C97DAA" w:rsidP="009C3FEC">
            <w:pPr>
              <w:jc w:val="right"/>
              <w:rPr>
                <w:rFonts w:ascii="Cambria" w:hAnsi="Cambria"/>
                <w:sz w:val="24"/>
                <w:szCs w:val="24"/>
              </w:rPr>
            </w:pPr>
            <w:r w:rsidRPr="00F25846">
              <w:rPr>
                <w:rFonts w:ascii="Cambria" w:hAnsi="Cambria"/>
                <w:sz w:val="24"/>
                <w:szCs w:val="24"/>
              </w:rPr>
              <w:t>9</w:t>
            </w:r>
          </w:p>
          <w:p w14:paraId="66C223C2" w14:textId="3A408E89" w:rsidR="009911A7" w:rsidRPr="00F25846" w:rsidRDefault="009911A7" w:rsidP="009C3FEC">
            <w:pPr>
              <w:jc w:val="right"/>
              <w:rPr>
                <w:rFonts w:ascii="Cambria" w:hAnsi="Cambria"/>
                <w:sz w:val="24"/>
                <w:szCs w:val="24"/>
              </w:rPr>
            </w:pPr>
            <w:r w:rsidRPr="00F25846">
              <w:rPr>
                <w:rFonts w:ascii="Cambria" w:hAnsi="Cambria"/>
                <w:sz w:val="24"/>
                <w:szCs w:val="24"/>
              </w:rPr>
              <w:t>1</w:t>
            </w:r>
            <w:r w:rsidR="00152CA1" w:rsidRPr="00F25846">
              <w:rPr>
                <w:rFonts w:ascii="Cambria" w:hAnsi="Cambria"/>
                <w:sz w:val="24"/>
                <w:szCs w:val="24"/>
              </w:rPr>
              <w:t>7</w:t>
            </w:r>
          </w:p>
          <w:p w14:paraId="1D405576" w14:textId="3BAB6C65" w:rsidR="00D80BD2" w:rsidRPr="00F25846" w:rsidRDefault="003A545B" w:rsidP="00D7383F">
            <w:pPr>
              <w:jc w:val="right"/>
              <w:rPr>
                <w:rFonts w:ascii="Cambria" w:hAnsi="Cambria"/>
                <w:sz w:val="24"/>
                <w:szCs w:val="24"/>
              </w:rPr>
            </w:pPr>
            <w:r w:rsidRPr="00F25846">
              <w:rPr>
                <w:rFonts w:ascii="Cambria" w:hAnsi="Cambria"/>
                <w:sz w:val="24"/>
                <w:szCs w:val="24"/>
              </w:rPr>
              <w:t>11</w:t>
            </w:r>
          </w:p>
          <w:p w14:paraId="351A31D4" w14:textId="218B1C4E" w:rsidR="00B05A34" w:rsidRPr="00F25846" w:rsidRDefault="00A005FB" w:rsidP="00D7383F">
            <w:pPr>
              <w:jc w:val="right"/>
              <w:rPr>
                <w:rFonts w:ascii="Cambria" w:hAnsi="Cambria"/>
                <w:sz w:val="24"/>
                <w:szCs w:val="24"/>
              </w:rPr>
            </w:pPr>
            <w:r w:rsidRPr="00F25846">
              <w:rPr>
                <w:rFonts w:ascii="Cambria" w:hAnsi="Cambria"/>
                <w:sz w:val="24"/>
                <w:szCs w:val="24"/>
              </w:rPr>
              <w:t>8</w:t>
            </w:r>
          </w:p>
          <w:p w14:paraId="4F238945" w14:textId="55806F77" w:rsidR="00A45088" w:rsidRPr="00F25846" w:rsidRDefault="00B05A34" w:rsidP="00B05A34">
            <w:pPr>
              <w:jc w:val="right"/>
              <w:rPr>
                <w:rFonts w:ascii="Cambria" w:hAnsi="Cambria"/>
                <w:sz w:val="24"/>
                <w:szCs w:val="24"/>
              </w:rPr>
            </w:pPr>
            <w:r w:rsidRPr="00F25846">
              <w:rPr>
                <w:rFonts w:ascii="Cambria" w:hAnsi="Cambria"/>
                <w:sz w:val="24"/>
                <w:szCs w:val="24"/>
              </w:rPr>
              <w:t>2</w:t>
            </w:r>
          </w:p>
          <w:p w14:paraId="4C3AAD32" w14:textId="02133B92" w:rsidR="00B05A34" w:rsidRPr="00F25846" w:rsidRDefault="00B05A34" w:rsidP="00B05A34">
            <w:pPr>
              <w:jc w:val="right"/>
              <w:rPr>
                <w:rFonts w:ascii="Cambria" w:hAnsi="Cambria"/>
                <w:sz w:val="24"/>
                <w:szCs w:val="24"/>
              </w:rPr>
            </w:pPr>
            <w:r w:rsidRPr="00F25846">
              <w:rPr>
                <w:rFonts w:ascii="Cambria" w:hAnsi="Cambria"/>
                <w:sz w:val="24"/>
                <w:szCs w:val="24"/>
              </w:rPr>
              <w:t>5</w:t>
            </w:r>
          </w:p>
          <w:p w14:paraId="034E16AF" w14:textId="77777777" w:rsidR="005A7E20" w:rsidRPr="00F25846" w:rsidRDefault="00B05A34" w:rsidP="00C97025">
            <w:pPr>
              <w:jc w:val="right"/>
              <w:rPr>
                <w:rFonts w:ascii="Cambria" w:hAnsi="Cambria"/>
                <w:sz w:val="24"/>
                <w:szCs w:val="24"/>
              </w:rPr>
            </w:pPr>
            <w:r w:rsidRPr="00F25846">
              <w:rPr>
                <w:rFonts w:ascii="Cambria" w:hAnsi="Cambria"/>
                <w:sz w:val="24"/>
                <w:szCs w:val="24"/>
              </w:rPr>
              <w:t>1</w:t>
            </w:r>
          </w:p>
          <w:p w14:paraId="21B15F7E" w14:textId="77777777" w:rsidR="00C97025" w:rsidRPr="00F25846" w:rsidRDefault="00C97025" w:rsidP="00C97025">
            <w:pPr>
              <w:jc w:val="right"/>
              <w:rPr>
                <w:rFonts w:ascii="Cambria" w:hAnsi="Cambria"/>
                <w:sz w:val="24"/>
                <w:szCs w:val="24"/>
              </w:rPr>
            </w:pPr>
            <w:r w:rsidRPr="00F25846">
              <w:rPr>
                <w:rFonts w:ascii="Cambria" w:hAnsi="Cambria"/>
                <w:sz w:val="24"/>
                <w:szCs w:val="24"/>
              </w:rPr>
              <w:t>4</w:t>
            </w:r>
          </w:p>
          <w:p w14:paraId="3E9DDCFF" w14:textId="56AF442E" w:rsidR="007277EF" w:rsidRPr="00F25846" w:rsidRDefault="009E26A4" w:rsidP="00135ED3">
            <w:pPr>
              <w:jc w:val="right"/>
              <w:rPr>
                <w:rFonts w:ascii="Cambria" w:hAnsi="Cambria"/>
                <w:sz w:val="24"/>
                <w:szCs w:val="24"/>
              </w:rPr>
            </w:pPr>
            <w:r w:rsidRPr="00F25846">
              <w:rPr>
                <w:rFonts w:ascii="Cambria" w:hAnsi="Cambria"/>
                <w:sz w:val="24"/>
                <w:szCs w:val="24"/>
              </w:rPr>
              <w:t>4</w:t>
            </w:r>
          </w:p>
          <w:p w14:paraId="6919551F" w14:textId="0BE37575" w:rsidR="007277EF" w:rsidRPr="00F25846" w:rsidRDefault="007277EF" w:rsidP="00C97025">
            <w:pPr>
              <w:jc w:val="right"/>
              <w:rPr>
                <w:rFonts w:ascii="Cambria" w:hAnsi="Cambria"/>
                <w:sz w:val="24"/>
                <w:szCs w:val="24"/>
              </w:rPr>
            </w:pPr>
            <w:r w:rsidRPr="00F25846">
              <w:rPr>
                <w:rFonts w:ascii="Cambria" w:hAnsi="Cambria"/>
                <w:sz w:val="24"/>
                <w:szCs w:val="24"/>
              </w:rPr>
              <w:t>3</w:t>
            </w:r>
          </w:p>
          <w:p w14:paraId="7B9EB320" w14:textId="5B6BA013" w:rsidR="00042C0A" w:rsidRPr="00F25846" w:rsidRDefault="00801CFC" w:rsidP="00B55B78">
            <w:pPr>
              <w:jc w:val="right"/>
              <w:rPr>
                <w:rFonts w:ascii="Cambria" w:hAnsi="Cambria"/>
                <w:sz w:val="24"/>
                <w:szCs w:val="24"/>
              </w:rPr>
            </w:pPr>
            <w:r w:rsidRPr="00F25846">
              <w:rPr>
                <w:rFonts w:ascii="Cambria" w:hAnsi="Cambria"/>
                <w:sz w:val="24"/>
                <w:szCs w:val="24"/>
              </w:rPr>
              <w:t>3</w:t>
            </w:r>
          </w:p>
        </w:tc>
        <w:tc>
          <w:tcPr>
            <w:tcW w:w="1739" w:type="dxa"/>
            <w:tcBorders>
              <w:top w:val="single" w:sz="4" w:space="0" w:color="auto"/>
              <w:bottom w:val="single" w:sz="4" w:space="0" w:color="auto"/>
            </w:tcBorders>
          </w:tcPr>
          <w:p w14:paraId="124ADF45" w14:textId="6152968F" w:rsidR="00803B11" w:rsidRPr="00F25846" w:rsidRDefault="00F45B84" w:rsidP="001A1528">
            <w:pPr>
              <w:jc w:val="right"/>
              <w:rPr>
                <w:rFonts w:ascii="Cambria" w:hAnsi="Cambria"/>
                <w:sz w:val="24"/>
                <w:szCs w:val="24"/>
              </w:rPr>
            </w:pPr>
            <w:r w:rsidRPr="00F25846">
              <w:rPr>
                <w:rFonts w:ascii="Cambria" w:hAnsi="Cambria"/>
                <w:sz w:val="24"/>
                <w:szCs w:val="24"/>
              </w:rPr>
              <w:t>56</w:t>
            </w:r>
            <w:r w:rsidR="00F768E9" w:rsidRPr="00F25846">
              <w:rPr>
                <w:rFonts w:ascii="Cambria" w:hAnsi="Cambria"/>
                <w:sz w:val="24"/>
                <w:szCs w:val="24"/>
              </w:rPr>
              <w:t>.0</w:t>
            </w:r>
          </w:p>
          <w:p w14:paraId="5D640B4B" w14:textId="3E4DBB0E" w:rsidR="00803B11" w:rsidRPr="00F25846" w:rsidRDefault="00803B11" w:rsidP="001A1528">
            <w:pPr>
              <w:jc w:val="right"/>
              <w:rPr>
                <w:rFonts w:ascii="Cambria" w:hAnsi="Cambria"/>
                <w:sz w:val="24"/>
                <w:szCs w:val="24"/>
              </w:rPr>
            </w:pPr>
          </w:p>
          <w:p w14:paraId="6212230C" w14:textId="71DCF3CD" w:rsidR="00803B11" w:rsidRPr="00F25846" w:rsidRDefault="00803B11" w:rsidP="001A1528">
            <w:pPr>
              <w:jc w:val="right"/>
              <w:rPr>
                <w:rFonts w:ascii="Cambria" w:hAnsi="Cambria"/>
                <w:sz w:val="24"/>
                <w:szCs w:val="24"/>
              </w:rPr>
            </w:pPr>
          </w:p>
          <w:p w14:paraId="181E0D67" w14:textId="628E9151" w:rsidR="00803B11" w:rsidRPr="00F25846" w:rsidRDefault="00335583" w:rsidP="001A1528">
            <w:pPr>
              <w:jc w:val="right"/>
              <w:rPr>
                <w:rFonts w:ascii="Cambria" w:hAnsi="Cambria"/>
                <w:sz w:val="24"/>
                <w:szCs w:val="24"/>
              </w:rPr>
            </w:pPr>
            <w:r w:rsidRPr="00F25846">
              <w:rPr>
                <w:rFonts w:ascii="Cambria" w:hAnsi="Cambria"/>
                <w:sz w:val="24"/>
                <w:szCs w:val="24"/>
              </w:rPr>
              <w:t>1</w:t>
            </w:r>
            <w:r w:rsidR="00574340" w:rsidRPr="00F25846">
              <w:rPr>
                <w:rFonts w:ascii="Cambria" w:hAnsi="Cambria"/>
                <w:sz w:val="24"/>
                <w:szCs w:val="24"/>
              </w:rPr>
              <w:t>4.9</w:t>
            </w:r>
          </w:p>
          <w:p w14:paraId="60FE8283" w14:textId="0998BB91" w:rsidR="00335583" w:rsidRPr="00F25846" w:rsidRDefault="007A6C08" w:rsidP="001A1528">
            <w:pPr>
              <w:jc w:val="right"/>
              <w:rPr>
                <w:rFonts w:ascii="Cambria" w:hAnsi="Cambria"/>
                <w:sz w:val="24"/>
                <w:szCs w:val="24"/>
              </w:rPr>
            </w:pPr>
            <w:r w:rsidRPr="00F25846">
              <w:rPr>
                <w:rFonts w:ascii="Cambria" w:hAnsi="Cambria"/>
                <w:sz w:val="24"/>
                <w:szCs w:val="24"/>
              </w:rPr>
              <w:t>9.6</w:t>
            </w:r>
          </w:p>
          <w:p w14:paraId="6ECBB256" w14:textId="07BB2AB2" w:rsidR="004079F0" w:rsidRPr="00F25846" w:rsidRDefault="004079F0" w:rsidP="001A1528">
            <w:pPr>
              <w:jc w:val="right"/>
              <w:rPr>
                <w:rFonts w:ascii="Cambria" w:hAnsi="Cambria"/>
                <w:sz w:val="24"/>
                <w:szCs w:val="24"/>
              </w:rPr>
            </w:pPr>
            <w:r w:rsidRPr="00F25846">
              <w:rPr>
                <w:rFonts w:ascii="Cambria" w:hAnsi="Cambria"/>
                <w:sz w:val="24"/>
                <w:szCs w:val="24"/>
              </w:rPr>
              <w:t>7</w:t>
            </w:r>
            <w:r w:rsidR="009872FD" w:rsidRPr="00F25846">
              <w:rPr>
                <w:rFonts w:ascii="Cambria" w:hAnsi="Cambria"/>
                <w:sz w:val="24"/>
                <w:szCs w:val="24"/>
              </w:rPr>
              <w:t>.0</w:t>
            </w:r>
          </w:p>
          <w:p w14:paraId="77B2F5A0" w14:textId="77777777" w:rsidR="00406628" w:rsidRPr="00F25846" w:rsidRDefault="00406628" w:rsidP="001A1528">
            <w:pPr>
              <w:jc w:val="right"/>
              <w:rPr>
                <w:rFonts w:ascii="Cambria" w:hAnsi="Cambria"/>
                <w:sz w:val="24"/>
                <w:szCs w:val="24"/>
              </w:rPr>
            </w:pPr>
          </w:p>
          <w:p w14:paraId="5A0A770F" w14:textId="77777777" w:rsidR="00406628" w:rsidRPr="00F25846" w:rsidRDefault="00406628" w:rsidP="001A1528">
            <w:pPr>
              <w:jc w:val="right"/>
              <w:rPr>
                <w:rFonts w:ascii="Cambria" w:hAnsi="Cambria"/>
                <w:sz w:val="24"/>
                <w:szCs w:val="24"/>
              </w:rPr>
            </w:pPr>
          </w:p>
          <w:p w14:paraId="61AD1471" w14:textId="77777777" w:rsidR="00406628" w:rsidRPr="00F25846" w:rsidRDefault="00406628" w:rsidP="001A1528">
            <w:pPr>
              <w:jc w:val="right"/>
              <w:rPr>
                <w:rFonts w:ascii="Cambria" w:hAnsi="Cambria"/>
                <w:sz w:val="24"/>
                <w:szCs w:val="24"/>
              </w:rPr>
            </w:pPr>
          </w:p>
          <w:p w14:paraId="2B3BB92B" w14:textId="643E4331" w:rsidR="00406628" w:rsidRPr="00F25846" w:rsidRDefault="00406628" w:rsidP="001A1528">
            <w:pPr>
              <w:jc w:val="right"/>
              <w:rPr>
                <w:rFonts w:ascii="Cambria" w:hAnsi="Cambria"/>
                <w:sz w:val="24"/>
                <w:szCs w:val="24"/>
              </w:rPr>
            </w:pPr>
            <w:r w:rsidRPr="00F25846">
              <w:rPr>
                <w:rFonts w:ascii="Cambria" w:hAnsi="Cambria"/>
                <w:sz w:val="24"/>
                <w:szCs w:val="24"/>
              </w:rPr>
              <w:t>3.5</w:t>
            </w:r>
          </w:p>
          <w:p w14:paraId="28662878" w14:textId="43A48844" w:rsidR="00406628" w:rsidRPr="00F25846" w:rsidRDefault="00406628" w:rsidP="00135ED3">
            <w:pPr>
              <w:jc w:val="right"/>
              <w:rPr>
                <w:rFonts w:ascii="Cambria" w:hAnsi="Cambria"/>
                <w:sz w:val="24"/>
                <w:szCs w:val="24"/>
              </w:rPr>
            </w:pPr>
            <w:r w:rsidRPr="00F25846">
              <w:rPr>
                <w:rFonts w:ascii="Cambria" w:hAnsi="Cambria"/>
                <w:sz w:val="24"/>
                <w:szCs w:val="24"/>
              </w:rPr>
              <w:t>3.5</w:t>
            </w:r>
          </w:p>
          <w:p w14:paraId="48E84AE0" w14:textId="1A0C6DE6" w:rsidR="00406628" w:rsidRPr="00F25846" w:rsidRDefault="00406628" w:rsidP="001A1528">
            <w:pPr>
              <w:jc w:val="right"/>
              <w:rPr>
                <w:rFonts w:ascii="Cambria" w:hAnsi="Cambria"/>
                <w:sz w:val="24"/>
                <w:szCs w:val="24"/>
              </w:rPr>
            </w:pPr>
            <w:r w:rsidRPr="00F25846">
              <w:rPr>
                <w:rFonts w:ascii="Cambria" w:hAnsi="Cambria"/>
                <w:sz w:val="24"/>
                <w:szCs w:val="24"/>
              </w:rPr>
              <w:t>2.6</w:t>
            </w:r>
          </w:p>
          <w:p w14:paraId="6CD7654A" w14:textId="69E0D82F" w:rsidR="00406628" w:rsidRPr="00F25846" w:rsidRDefault="00406628" w:rsidP="001A1528">
            <w:pPr>
              <w:jc w:val="right"/>
              <w:rPr>
                <w:rFonts w:ascii="Cambria" w:hAnsi="Cambria"/>
                <w:sz w:val="24"/>
                <w:szCs w:val="24"/>
              </w:rPr>
            </w:pPr>
            <w:r w:rsidRPr="00F25846">
              <w:rPr>
                <w:rFonts w:ascii="Cambria" w:hAnsi="Cambria"/>
                <w:sz w:val="24"/>
                <w:szCs w:val="24"/>
              </w:rPr>
              <w:t>2.6</w:t>
            </w:r>
          </w:p>
        </w:tc>
      </w:tr>
      <w:tr w:rsidR="00803B11" w:rsidRPr="00F25846" w14:paraId="45335B35" w14:textId="77777777" w:rsidTr="001A1528">
        <w:trPr>
          <w:trHeight w:val="288"/>
        </w:trPr>
        <w:tc>
          <w:tcPr>
            <w:tcW w:w="1843" w:type="dxa"/>
            <w:tcBorders>
              <w:top w:val="single" w:sz="4" w:space="0" w:color="auto"/>
              <w:bottom w:val="single" w:sz="4" w:space="0" w:color="auto"/>
            </w:tcBorders>
            <w:vAlign w:val="center"/>
            <w:hideMark/>
          </w:tcPr>
          <w:p w14:paraId="587D0D42" w14:textId="77777777" w:rsidR="00803B11" w:rsidRPr="00F25846" w:rsidRDefault="00803B11" w:rsidP="001A1528">
            <w:pPr>
              <w:rPr>
                <w:rFonts w:ascii="Cambria" w:hAnsi="Cambria"/>
                <w:b/>
                <w:bCs/>
                <w:sz w:val="24"/>
                <w:szCs w:val="24"/>
              </w:rPr>
            </w:pPr>
            <w:r w:rsidRPr="00F25846">
              <w:rPr>
                <w:rFonts w:ascii="Cambria" w:hAnsi="Cambria"/>
                <w:b/>
                <w:bCs/>
                <w:sz w:val="24"/>
                <w:szCs w:val="24"/>
              </w:rPr>
              <w:t>Spine region</w:t>
            </w:r>
          </w:p>
        </w:tc>
        <w:tc>
          <w:tcPr>
            <w:tcW w:w="3969" w:type="dxa"/>
            <w:tcBorders>
              <w:top w:val="single" w:sz="4" w:space="0" w:color="auto"/>
              <w:bottom w:val="single" w:sz="4" w:space="0" w:color="auto"/>
            </w:tcBorders>
          </w:tcPr>
          <w:p w14:paraId="524D3A3A" w14:textId="4F5EF5C8" w:rsidR="0076076C" w:rsidRPr="00F25846" w:rsidRDefault="0076076C" w:rsidP="001A1528">
            <w:pPr>
              <w:rPr>
                <w:rFonts w:ascii="Cambria" w:hAnsi="Cambria"/>
                <w:sz w:val="24"/>
                <w:szCs w:val="24"/>
              </w:rPr>
            </w:pPr>
            <w:r w:rsidRPr="00F25846">
              <w:rPr>
                <w:rFonts w:ascii="Cambria" w:hAnsi="Cambria"/>
                <w:sz w:val="24"/>
                <w:szCs w:val="24"/>
              </w:rPr>
              <w:t>Thoracic</w:t>
            </w:r>
          </w:p>
          <w:p w14:paraId="50727B3C" w14:textId="496F6A48" w:rsidR="00803B11" w:rsidRPr="00F25846" w:rsidRDefault="00803B11" w:rsidP="001A1528">
            <w:pPr>
              <w:rPr>
                <w:rFonts w:ascii="Cambria" w:hAnsi="Cambria"/>
                <w:sz w:val="24"/>
                <w:szCs w:val="24"/>
              </w:rPr>
            </w:pPr>
            <w:r w:rsidRPr="00F25846">
              <w:rPr>
                <w:rFonts w:ascii="Cambria" w:hAnsi="Cambria"/>
                <w:sz w:val="24"/>
                <w:szCs w:val="24"/>
              </w:rPr>
              <w:t>Cervical</w:t>
            </w:r>
          </w:p>
          <w:p w14:paraId="52EE99F7" w14:textId="63360622" w:rsidR="00803B11" w:rsidRPr="00F25846" w:rsidRDefault="00DC66DC" w:rsidP="001A1528">
            <w:pPr>
              <w:rPr>
                <w:rFonts w:ascii="Cambria" w:hAnsi="Cambria"/>
                <w:sz w:val="24"/>
                <w:szCs w:val="24"/>
              </w:rPr>
            </w:pPr>
            <w:r w:rsidRPr="00F25846">
              <w:rPr>
                <w:rFonts w:ascii="Cambria" w:hAnsi="Cambria"/>
                <w:sz w:val="24"/>
                <w:szCs w:val="24"/>
              </w:rPr>
              <w:t>Upper Cervical</w:t>
            </w:r>
          </w:p>
          <w:p w14:paraId="70F190EC" w14:textId="55C94A2C" w:rsidR="00803B11" w:rsidRPr="00F25846" w:rsidRDefault="00803B11" w:rsidP="0076076C">
            <w:pPr>
              <w:rPr>
                <w:rFonts w:ascii="Cambria" w:hAnsi="Cambria"/>
                <w:sz w:val="24"/>
                <w:szCs w:val="24"/>
              </w:rPr>
            </w:pPr>
            <w:r w:rsidRPr="00F25846">
              <w:rPr>
                <w:rFonts w:ascii="Cambria" w:hAnsi="Cambria"/>
                <w:sz w:val="24"/>
                <w:szCs w:val="24"/>
              </w:rPr>
              <w:t>Lumbosacral</w:t>
            </w:r>
          </w:p>
        </w:tc>
        <w:tc>
          <w:tcPr>
            <w:tcW w:w="1559" w:type="dxa"/>
            <w:tcBorders>
              <w:top w:val="single" w:sz="4" w:space="0" w:color="auto"/>
              <w:bottom w:val="single" w:sz="4" w:space="0" w:color="auto"/>
            </w:tcBorders>
          </w:tcPr>
          <w:p w14:paraId="0BF95392" w14:textId="0EDBC332" w:rsidR="0076076C" w:rsidRPr="00F25846" w:rsidRDefault="0076076C" w:rsidP="001A1528">
            <w:pPr>
              <w:jc w:val="right"/>
              <w:rPr>
                <w:rFonts w:ascii="Cambria" w:hAnsi="Cambria"/>
                <w:sz w:val="24"/>
                <w:szCs w:val="24"/>
              </w:rPr>
            </w:pPr>
            <w:r w:rsidRPr="00F25846">
              <w:rPr>
                <w:rFonts w:ascii="Cambria" w:hAnsi="Cambria"/>
                <w:sz w:val="24"/>
                <w:szCs w:val="24"/>
              </w:rPr>
              <w:t>75</w:t>
            </w:r>
          </w:p>
          <w:p w14:paraId="7E51ACA9" w14:textId="77BF9663" w:rsidR="00803B11" w:rsidRPr="00F25846" w:rsidRDefault="00803B11" w:rsidP="001A1528">
            <w:pPr>
              <w:jc w:val="right"/>
              <w:rPr>
                <w:rFonts w:ascii="Cambria" w:hAnsi="Cambria"/>
                <w:sz w:val="24"/>
                <w:szCs w:val="24"/>
              </w:rPr>
            </w:pPr>
            <w:r w:rsidRPr="00F25846">
              <w:rPr>
                <w:rFonts w:ascii="Cambria" w:hAnsi="Cambria"/>
                <w:sz w:val="24"/>
                <w:szCs w:val="24"/>
              </w:rPr>
              <w:t>28</w:t>
            </w:r>
          </w:p>
          <w:p w14:paraId="1E59C436" w14:textId="4D44FF3C" w:rsidR="00803B11" w:rsidRPr="00F25846" w:rsidRDefault="00DC66DC" w:rsidP="001A1528">
            <w:pPr>
              <w:jc w:val="right"/>
              <w:rPr>
                <w:rFonts w:ascii="Cambria" w:hAnsi="Cambria"/>
                <w:sz w:val="24"/>
                <w:szCs w:val="24"/>
              </w:rPr>
            </w:pPr>
            <w:r w:rsidRPr="00F25846">
              <w:rPr>
                <w:rFonts w:ascii="Cambria" w:hAnsi="Cambria"/>
                <w:sz w:val="24"/>
                <w:szCs w:val="24"/>
              </w:rPr>
              <w:t>6</w:t>
            </w:r>
          </w:p>
          <w:p w14:paraId="63942D1C" w14:textId="56EBEF4F" w:rsidR="00803B11" w:rsidRPr="00F25846" w:rsidRDefault="00F644E9" w:rsidP="0076076C">
            <w:pPr>
              <w:jc w:val="right"/>
              <w:rPr>
                <w:rFonts w:ascii="Cambria" w:hAnsi="Cambria"/>
                <w:sz w:val="24"/>
                <w:szCs w:val="24"/>
              </w:rPr>
            </w:pPr>
            <w:r w:rsidRPr="00F25846">
              <w:rPr>
                <w:rFonts w:ascii="Cambria" w:hAnsi="Cambria"/>
                <w:sz w:val="24"/>
                <w:szCs w:val="24"/>
              </w:rPr>
              <w:t>5</w:t>
            </w:r>
          </w:p>
        </w:tc>
        <w:tc>
          <w:tcPr>
            <w:tcW w:w="1739" w:type="dxa"/>
            <w:tcBorders>
              <w:top w:val="single" w:sz="4" w:space="0" w:color="auto"/>
              <w:bottom w:val="single" w:sz="4" w:space="0" w:color="auto"/>
            </w:tcBorders>
          </w:tcPr>
          <w:p w14:paraId="009FF263" w14:textId="3BB7DF28" w:rsidR="0076076C" w:rsidRPr="00F25846" w:rsidRDefault="0076076C" w:rsidP="001A1528">
            <w:pPr>
              <w:jc w:val="right"/>
              <w:rPr>
                <w:rFonts w:ascii="Cambria" w:hAnsi="Cambria"/>
                <w:sz w:val="24"/>
                <w:szCs w:val="24"/>
              </w:rPr>
            </w:pPr>
            <w:r w:rsidRPr="00F25846">
              <w:rPr>
                <w:rFonts w:ascii="Cambria" w:hAnsi="Cambria"/>
                <w:sz w:val="24"/>
                <w:szCs w:val="24"/>
              </w:rPr>
              <w:t>65.8</w:t>
            </w:r>
          </w:p>
          <w:p w14:paraId="4693883A" w14:textId="3EEF902C" w:rsidR="00803B11" w:rsidRPr="00F25846" w:rsidRDefault="00803B11" w:rsidP="001A1528">
            <w:pPr>
              <w:jc w:val="right"/>
              <w:rPr>
                <w:rFonts w:ascii="Cambria" w:hAnsi="Cambria"/>
                <w:sz w:val="24"/>
                <w:szCs w:val="24"/>
              </w:rPr>
            </w:pPr>
            <w:r w:rsidRPr="00F25846">
              <w:rPr>
                <w:rFonts w:ascii="Cambria" w:hAnsi="Cambria"/>
                <w:sz w:val="24"/>
                <w:szCs w:val="24"/>
              </w:rPr>
              <w:t>24</w:t>
            </w:r>
            <w:r w:rsidR="003F0C7D" w:rsidRPr="00F25846">
              <w:rPr>
                <w:rFonts w:ascii="Cambria" w:hAnsi="Cambria"/>
                <w:sz w:val="24"/>
                <w:szCs w:val="24"/>
              </w:rPr>
              <w:t>.</w:t>
            </w:r>
            <w:r w:rsidR="00A71305" w:rsidRPr="00F25846">
              <w:rPr>
                <w:rFonts w:ascii="Cambria" w:hAnsi="Cambria"/>
                <w:sz w:val="24"/>
                <w:szCs w:val="24"/>
              </w:rPr>
              <w:t>5</w:t>
            </w:r>
          </w:p>
          <w:p w14:paraId="24DDF8FB" w14:textId="3831EBF9" w:rsidR="00803B11" w:rsidRPr="00F25846" w:rsidRDefault="003F0C7D" w:rsidP="001A1528">
            <w:pPr>
              <w:jc w:val="right"/>
              <w:rPr>
                <w:rFonts w:ascii="Cambria" w:hAnsi="Cambria"/>
                <w:sz w:val="24"/>
                <w:szCs w:val="24"/>
              </w:rPr>
            </w:pPr>
            <w:r w:rsidRPr="00F25846">
              <w:rPr>
                <w:rFonts w:ascii="Cambria" w:hAnsi="Cambria"/>
                <w:sz w:val="24"/>
                <w:szCs w:val="24"/>
              </w:rPr>
              <w:t>5.3</w:t>
            </w:r>
          </w:p>
          <w:p w14:paraId="52C75C78" w14:textId="533FB068" w:rsidR="00803B11" w:rsidRPr="00F25846" w:rsidRDefault="003F0C7D" w:rsidP="0076076C">
            <w:pPr>
              <w:jc w:val="right"/>
              <w:rPr>
                <w:rFonts w:ascii="Cambria" w:hAnsi="Cambria"/>
                <w:sz w:val="24"/>
                <w:szCs w:val="24"/>
              </w:rPr>
            </w:pPr>
            <w:r w:rsidRPr="00F25846">
              <w:rPr>
                <w:rFonts w:ascii="Cambria" w:hAnsi="Cambria"/>
                <w:sz w:val="24"/>
                <w:szCs w:val="24"/>
              </w:rPr>
              <w:t>4.4</w:t>
            </w:r>
          </w:p>
        </w:tc>
      </w:tr>
      <w:tr w:rsidR="00B01D53" w:rsidRPr="00F25846" w14:paraId="54821B98" w14:textId="77777777" w:rsidTr="001A1528">
        <w:trPr>
          <w:trHeight w:val="288"/>
        </w:trPr>
        <w:tc>
          <w:tcPr>
            <w:tcW w:w="1843" w:type="dxa"/>
            <w:tcBorders>
              <w:top w:val="single" w:sz="4" w:space="0" w:color="auto"/>
              <w:bottom w:val="single" w:sz="4" w:space="0" w:color="auto"/>
            </w:tcBorders>
            <w:vAlign w:val="center"/>
          </w:tcPr>
          <w:p w14:paraId="2BF68E1B" w14:textId="4CB5F263" w:rsidR="00B01D53" w:rsidRPr="00F25846" w:rsidRDefault="0094346B" w:rsidP="001A1528">
            <w:pPr>
              <w:rPr>
                <w:rFonts w:ascii="Cambria" w:hAnsi="Cambria"/>
                <w:b/>
                <w:bCs/>
                <w:sz w:val="24"/>
                <w:szCs w:val="24"/>
              </w:rPr>
            </w:pPr>
            <w:r w:rsidRPr="00F25846">
              <w:rPr>
                <w:rFonts w:ascii="Cambria" w:hAnsi="Cambria"/>
                <w:b/>
                <w:bCs/>
                <w:sz w:val="24"/>
                <w:szCs w:val="24"/>
              </w:rPr>
              <w:t>ASIA Category</w:t>
            </w:r>
          </w:p>
        </w:tc>
        <w:tc>
          <w:tcPr>
            <w:tcW w:w="3969" w:type="dxa"/>
            <w:tcBorders>
              <w:top w:val="single" w:sz="4" w:space="0" w:color="auto"/>
              <w:bottom w:val="single" w:sz="4" w:space="0" w:color="auto"/>
            </w:tcBorders>
          </w:tcPr>
          <w:p w14:paraId="016397DC" w14:textId="77777777" w:rsidR="00B01D53" w:rsidRPr="00F25846" w:rsidRDefault="00F74809" w:rsidP="001A1528">
            <w:pPr>
              <w:rPr>
                <w:rFonts w:ascii="Cambria" w:hAnsi="Cambria"/>
                <w:sz w:val="24"/>
                <w:szCs w:val="24"/>
              </w:rPr>
            </w:pPr>
            <w:r w:rsidRPr="00F25846">
              <w:rPr>
                <w:rFonts w:ascii="Cambria" w:hAnsi="Cambria"/>
                <w:sz w:val="24"/>
                <w:szCs w:val="24"/>
              </w:rPr>
              <w:t>E</w:t>
            </w:r>
          </w:p>
          <w:p w14:paraId="6C2E98B2" w14:textId="77777777" w:rsidR="00F74809" w:rsidRPr="00F25846" w:rsidRDefault="00F74809" w:rsidP="001A1528">
            <w:pPr>
              <w:rPr>
                <w:rFonts w:ascii="Cambria" w:hAnsi="Cambria"/>
                <w:sz w:val="24"/>
                <w:szCs w:val="24"/>
              </w:rPr>
            </w:pPr>
            <w:r w:rsidRPr="00F25846">
              <w:rPr>
                <w:rFonts w:ascii="Cambria" w:hAnsi="Cambria"/>
                <w:sz w:val="24"/>
                <w:szCs w:val="24"/>
              </w:rPr>
              <w:t>D</w:t>
            </w:r>
          </w:p>
          <w:p w14:paraId="2631131A" w14:textId="77777777" w:rsidR="00F74809" w:rsidRPr="00F25846" w:rsidRDefault="00F74809" w:rsidP="001A1528">
            <w:pPr>
              <w:rPr>
                <w:rFonts w:ascii="Cambria" w:hAnsi="Cambria"/>
                <w:sz w:val="24"/>
                <w:szCs w:val="24"/>
              </w:rPr>
            </w:pPr>
            <w:r w:rsidRPr="00F25846">
              <w:rPr>
                <w:rFonts w:ascii="Cambria" w:hAnsi="Cambria"/>
                <w:sz w:val="24"/>
                <w:szCs w:val="24"/>
              </w:rPr>
              <w:t>C</w:t>
            </w:r>
          </w:p>
          <w:p w14:paraId="0098C276" w14:textId="77777777" w:rsidR="00F74809" w:rsidRPr="00F25846" w:rsidRDefault="00F74809" w:rsidP="001A1528">
            <w:pPr>
              <w:rPr>
                <w:rFonts w:ascii="Cambria" w:hAnsi="Cambria"/>
                <w:sz w:val="24"/>
                <w:szCs w:val="24"/>
              </w:rPr>
            </w:pPr>
            <w:r w:rsidRPr="00F25846">
              <w:rPr>
                <w:rFonts w:ascii="Cambria" w:hAnsi="Cambria"/>
                <w:sz w:val="24"/>
                <w:szCs w:val="24"/>
              </w:rPr>
              <w:t>B</w:t>
            </w:r>
          </w:p>
          <w:p w14:paraId="0CE27449" w14:textId="77777777" w:rsidR="00F74809" w:rsidRPr="00F25846" w:rsidRDefault="00F74809" w:rsidP="001A1528">
            <w:pPr>
              <w:rPr>
                <w:rFonts w:ascii="Cambria" w:hAnsi="Cambria"/>
                <w:sz w:val="24"/>
                <w:szCs w:val="24"/>
              </w:rPr>
            </w:pPr>
            <w:r w:rsidRPr="00F25846">
              <w:rPr>
                <w:rFonts w:ascii="Cambria" w:hAnsi="Cambria"/>
                <w:sz w:val="24"/>
                <w:szCs w:val="24"/>
              </w:rPr>
              <w:t>A</w:t>
            </w:r>
          </w:p>
          <w:p w14:paraId="2CB67DBF" w14:textId="39883B90" w:rsidR="00C01F4A" w:rsidRPr="00F25846" w:rsidRDefault="00C01F4A" w:rsidP="001A1528">
            <w:pPr>
              <w:rPr>
                <w:rFonts w:ascii="Cambria" w:hAnsi="Cambria"/>
                <w:sz w:val="24"/>
                <w:szCs w:val="24"/>
              </w:rPr>
            </w:pPr>
            <w:r w:rsidRPr="00F25846">
              <w:rPr>
                <w:rFonts w:ascii="Cambria" w:hAnsi="Cambria"/>
                <w:sz w:val="24"/>
                <w:szCs w:val="24"/>
              </w:rPr>
              <w:t>Not C</w:t>
            </w:r>
            <w:r w:rsidR="00025524" w:rsidRPr="00F25846">
              <w:rPr>
                <w:rFonts w:ascii="Cambria" w:hAnsi="Cambria"/>
                <w:sz w:val="24"/>
                <w:szCs w:val="24"/>
              </w:rPr>
              <w:t>lassified</w:t>
            </w:r>
          </w:p>
        </w:tc>
        <w:tc>
          <w:tcPr>
            <w:tcW w:w="1559" w:type="dxa"/>
            <w:tcBorders>
              <w:top w:val="single" w:sz="4" w:space="0" w:color="auto"/>
              <w:bottom w:val="single" w:sz="4" w:space="0" w:color="auto"/>
            </w:tcBorders>
          </w:tcPr>
          <w:p w14:paraId="2BBF0D12" w14:textId="77777777" w:rsidR="00B01D53" w:rsidRPr="00F25846" w:rsidRDefault="009B195F" w:rsidP="001A1528">
            <w:pPr>
              <w:jc w:val="right"/>
              <w:rPr>
                <w:rFonts w:ascii="Cambria" w:hAnsi="Cambria"/>
                <w:sz w:val="24"/>
                <w:szCs w:val="24"/>
              </w:rPr>
            </w:pPr>
            <w:r w:rsidRPr="00F25846">
              <w:rPr>
                <w:rFonts w:ascii="Cambria" w:hAnsi="Cambria"/>
                <w:sz w:val="24"/>
                <w:szCs w:val="24"/>
              </w:rPr>
              <w:t>81</w:t>
            </w:r>
          </w:p>
          <w:p w14:paraId="33C97C0E" w14:textId="77777777" w:rsidR="009B195F" w:rsidRPr="00F25846" w:rsidRDefault="009B195F" w:rsidP="001A1528">
            <w:pPr>
              <w:jc w:val="right"/>
              <w:rPr>
                <w:rFonts w:ascii="Cambria" w:hAnsi="Cambria"/>
                <w:sz w:val="24"/>
                <w:szCs w:val="24"/>
              </w:rPr>
            </w:pPr>
            <w:r w:rsidRPr="00F25846">
              <w:rPr>
                <w:rFonts w:ascii="Cambria" w:hAnsi="Cambria"/>
                <w:sz w:val="24"/>
                <w:szCs w:val="24"/>
              </w:rPr>
              <w:t>19</w:t>
            </w:r>
          </w:p>
          <w:p w14:paraId="6121B2B1" w14:textId="77777777" w:rsidR="009B195F" w:rsidRPr="00F25846" w:rsidRDefault="009B195F" w:rsidP="001A1528">
            <w:pPr>
              <w:jc w:val="right"/>
              <w:rPr>
                <w:rFonts w:ascii="Cambria" w:hAnsi="Cambria"/>
                <w:sz w:val="24"/>
                <w:szCs w:val="24"/>
              </w:rPr>
            </w:pPr>
            <w:r w:rsidRPr="00F25846">
              <w:rPr>
                <w:rFonts w:ascii="Cambria" w:hAnsi="Cambria"/>
                <w:sz w:val="24"/>
                <w:szCs w:val="24"/>
              </w:rPr>
              <w:t>8</w:t>
            </w:r>
          </w:p>
          <w:p w14:paraId="390CAE6F" w14:textId="77777777" w:rsidR="009B195F" w:rsidRPr="00F25846" w:rsidRDefault="00ED4E08" w:rsidP="001A1528">
            <w:pPr>
              <w:jc w:val="right"/>
              <w:rPr>
                <w:rFonts w:ascii="Cambria" w:hAnsi="Cambria"/>
                <w:sz w:val="24"/>
                <w:szCs w:val="24"/>
              </w:rPr>
            </w:pPr>
            <w:r w:rsidRPr="00F25846">
              <w:rPr>
                <w:rFonts w:ascii="Cambria" w:hAnsi="Cambria"/>
                <w:sz w:val="24"/>
                <w:szCs w:val="24"/>
              </w:rPr>
              <w:t>1</w:t>
            </w:r>
          </w:p>
          <w:p w14:paraId="577F3210" w14:textId="77777777" w:rsidR="00ED4E08" w:rsidRPr="00F25846" w:rsidRDefault="00ED4E08" w:rsidP="001A1528">
            <w:pPr>
              <w:jc w:val="right"/>
              <w:rPr>
                <w:rFonts w:ascii="Cambria" w:hAnsi="Cambria"/>
                <w:sz w:val="24"/>
                <w:szCs w:val="24"/>
              </w:rPr>
            </w:pPr>
            <w:r w:rsidRPr="00F25846">
              <w:rPr>
                <w:rFonts w:ascii="Cambria" w:hAnsi="Cambria"/>
                <w:sz w:val="24"/>
                <w:szCs w:val="24"/>
              </w:rPr>
              <w:t>0</w:t>
            </w:r>
          </w:p>
          <w:p w14:paraId="7002DD5A" w14:textId="45B076D7" w:rsidR="00025524" w:rsidRPr="00F25846" w:rsidRDefault="00025524" w:rsidP="001A1528">
            <w:pPr>
              <w:jc w:val="right"/>
              <w:rPr>
                <w:rFonts w:ascii="Cambria" w:hAnsi="Cambria"/>
                <w:sz w:val="24"/>
                <w:szCs w:val="24"/>
              </w:rPr>
            </w:pPr>
            <w:r w:rsidRPr="00F25846">
              <w:rPr>
                <w:rFonts w:ascii="Cambria" w:hAnsi="Cambria"/>
                <w:sz w:val="24"/>
                <w:szCs w:val="24"/>
              </w:rPr>
              <w:t>5</w:t>
            </w:r>
          </w:p>
        </w:tc>
        <w:tc>
          <w:tcPr>
            <w:tcW w:w="1739" w:type="dxa"/>
            <w:tcBorders>
              <w:top w:val="single" w:sz="4" w:space="0" w:color="auto"/>
              <w:bottom w:val="single" w:sz="4" w:space="0" w:color="auto"/>
            </w:tcBorders>
          </w:tcPr>
          <w:p w14:paraId="0B693355" w14:textId="77777777" w:rsidR="00B01D53" w:rsidRPr="00F25846" w:rsidRDefault="0033753E" w:rsidP="001A1528">
            <w:pPr>
              <w:jc w:val="right"/>
              <w:rPr>
                <w:rFonts w:ascii="Cambria" w:hAnsi="Cambria"/>
                <w:sz w:val="24"/>
                <w:szCs w:val="24"/>
              </w:rPr>
            </w:pPr>
            <w:r w:rsidRPr="00F25846">
              <w:rPr>
                <w:rFonts w:ascii="Cambria" w:hAnsi="Cambria"/>
                <w:sz w:val="24"/>
                <w:szCs w:val="24"/>
              </w:rPr>
              <w:t>71.1</w:t>
            </w:r>
          </w:p>
          <w:p w14:paraId="5568F9FC" w14:textId="36108EC5" w:rsidR="0033753E" w:rsidRPr="00F25846" w:rsidRDefault="0033753E" w:rsidP="001A1528">
            <w:pPr>
              <w:jc w:val="right"/>
              <w:rPr>
                <w:rFonts w:ascii="Cambria" w:hAnsi="Cambria"/>
                <w:sz w:val="24"/>
                <w:szCs w:val="24"/>
              </w:rPr>
            </w:pPr>
            <w:r w:rsidRPr="00F25846">
              <w:rPr>
                <w:rFonts w:ascii="Cambria" w:hAnsi="Cambria"/>
                <w:sz w:val="24"/>
                <w:szCs w:val="24"/>
              </w:rPr>
              <w:t>16.</w:t>
            </w:r>
            <w:r w:rsidR="00A4474E" w:rsidRPr="00F25846">
              <w:rPr>
                <w:rFonts w:ascii="Cambria" w:hAnsi="Cambria"/>
                <w:sz w:val="24"/>
                <w:szCs w:val="24"/>
              </w:rPr>
              <w:t>6</w:t>
            </w:r>
          </w:p>
          <w:p w14:paraId="59BDBE21" w14:textId="77777777" w:rsidR="0033753E" w:rsidRPr="00F25846" w:rsidRDefault="0033753E" w:rsidP="001A1528">
            <w:pPr>
              <w:jc w:val="right"/>
              <w:rPr>
                <w:rFonts w:ascii="Cambria" w:hAnsi="Cambria"/>
                <w:sz w:val="24"/>
                <w:szCs w:val="24"/>
              </w:rPr>
            </w:pPr>
            <w:r w:rsidRPr="00F25846">
              <w:rPr>
                <w:rFonts w:ascii="Cambria" w:hAnsi="Cambria"/>
                <w:sz w:val="24"/>
                <w:szCs w:val="24"/>
              </w:rPr>
              <w:t>7.0</w:t>
            </w:r>
          </w:p>
          <w:p w14:paraId="28AE0174" w14:textId="77777777" w:rsidR="00CA7D56" w:rsidRPr="00F25846" w:rsidRDefault="00CA7D56" w:rsidP="001A1528">
            <w:pPr>
              <w:jc w:val="right"/>
              <w:rPr>
                <w:rFonts w:ascii="Cambria" w:hAnsi="Cambria"/>
                <w:sz w:val="24"/>
                <w:szCs w:val="24"/>
              </w:rPr>
            </w:pPr>
            <w:r w:rsidRPr="00F25846">
              <w:rPr>
                <w:rFonts w:ascii="Cambria" w:hAnsi="Cambria"/>
                <w:sz w:val="24"/>
                <w:szCs w:val="24"/>
              </w:rPr>
              <w:t>0.9</w:t>
            </w:r>
          </w:p>
          <w:p w14:paraId="325998C1" w14:textId="77777777" w:rsidR="00CA7D56" w:rsidRPr="00F25846" w:rsidRDefault="00CA7D56" w:rsidP="001A1528">
            <w:pPr>
              <w:jc w:val="right"/>
              <w:rPr>
                <w:rFonts w:ascii="Cambria" w:hAnsi="Cambria"/>
                <w:sz w:val="24"/>
                <w:szCs w:val="24"/>
              </w:rPr>
            </w:pPr>
            <w:r w:rsidRPr="00F25846">
              <w:rPr>
                <w:rFonts w:ascii="Cambria" w:hAnsi="Cambria"/>
                <w:sz w:val="24"/>
                <w:szCs w:val="24"/>
              </w:rPr>
              <w:t>0.0</w:t>
            </w:r>
          </w:p>
          <w:p w14:paraId="38F2C526" w14:textId="6C146824" w:rsidR="00025524" w:rsidRPr="00F25846" w:rsidRDefault="00025524" w:rsidP="001A1528">
            <w:pPr>
              <w:jc w:val="right"/>
              <w:rPr>
                <w:rFonts w:ascii="Cambria" w:hAnsi="Cambria"/>
                <w:sz w:val="24"/>
                <w:szCs w:val="24"/>
              </w:rPr>
            </w:pPr>
            <w:r w:rsidRPr="00F25846">
              <w:rPr>
                <w:rFonts w:ascii="Cambria" w:hAnsi="Cambria"/>
                <w:sz w:val="24"/>
                <w:szCs w:val="24"/>
              </w:rPr>
              <w:t>4.4</w:t>
            </w:r>
          </w:p>
        </w:tc>
      </w:tr>
    </w:tbl>
    <w:p w14:paraId="5E3EE482" w14:textId="77777777" w:rsidR="00803B11" w:rsidRPr="00F25846" w:rsidRDefault="00803B11" w:rsidP="00803B11">
      <w:pPr>
        <w:rPr>
          <w:rFonts w:ascii="Cambria" w:hAnsi="Cambria"/>
        </w:rPr>
      </w:pPr>
    </w:p>
    <w:p w14:paraId="2DD12A6A" w14:textId="77777777" w:rsidR="00803B11" w:rsidRPr="00F25846" w:rsidRDefault="00803B11" w:rsidP="00803B11">
      <w:pPr>
        <w:rPr>
          <w:rFonts w:ascii="Cambria" w:hAnsi="Cambria"/>
        </w:rPr>
      </w:pPr>
    </w:p>
    <w:p w14:paraId="2C39EE22" w14:textId="77777777" w:rsidR="00AF7674" w:rsidRPr="00F25846" w:rsidRDefault="00AF7674" w:rsidP="00803B11">
      <w:pPr>
        <w:rPr>
          <w:rFonts w:ascii="Cambria" w:hAnsi="Cambria"/>
        </w:rPr>
      </w:pPr>
    </w:p>
    <w:p w14:paraId="6D01A457" w14:textId="77777777" w:rsidR="00AF7674" w:rsidRPr="00F25846" w:rsidRDefault="00AF7674" w:rsidP="00803B11">
      <w:pPr>
        <w:rPr>
          <w:rFonts w:ascii="Cambria" w:hAnsi="Cambria"/>
        </w:rPr>
      </w:pPr>
    </w:p>
    <w:p w14:paraId="4C550085" w14:textId="77777777" w:rsidR="00803B11" w:rsidRDefault="00803B11" w:rsidP="00803B11">
      <w:pPr>
        <w:rPr>
          <w:rFonts w:ascii="Cambria" w:hAnsi="Cambria"/>
        </w:rPr>
      </w:pPr>
    </w:p>
    <w:p w14:paraId="10BD2831" w14:textId="77777777" w:rsidR="00510EF7" w:rsidRDefault="00510EF7" w:rsidP="00803B11">
      <w:pPr>
        <w:rPr>
          <w:rFonts w:ascii="Cambria" w:hAnsi="Cambria"/>
        </w:rPr>
      </w:pPr>
    </w:p>
    <w:p w14:paraId="0FD40809" w14:textId="77777777" w:rsidR="00510EF7" w:rsidRDefault="00510EF7" w:rsidP="00803B11">
      <w:pPr>
        <w:rPr>
          <w:rFonts w:ascii="Cambria" w:hAnsi="Cambria"/>
        </w:rPr>
      </w:pPr>
    </w:p>
    <w:p w14:paraId="74851405" w14:textId="77777777" w:rsidR="00510EF7" w:rsidRDefault="00510EF7" w:rsidP="00803B11">
      <w:pPr>
        <w:rPr>
          <w:rFonts w:ascii="Cambria" w:hAnsi="Cambria"/>
        </w:rPr>
      </w:pPr>
    </w:p>
    <w:p w14:paraId="228ABD08" w14:textId="77777777" w:rsidR="00510EF7" w:rsidRDefault="00510EF7" w:rsidP="00803B11">
      <w:pPr>
        <w:rPr>
          <w:rFonts w:ascii="Cambria" w:hAnsi="Cambria"/>
        </w:rPr>
      </w:pPr>
    </w:p>
    <w:p w14:paraId="0F394EF9" w14:textId="77777777" w:rsidR="00510EF7" w:rsidRPr="00F25846" w:rsidRDefault="00510EF7" w:rsidP="00803B11">
      <w:pPr>
        <w:rPr>
          <w:rFonts w:ascii="Cambria" w:hAnsi="Cambria"/>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67"/>
        <w:gridCol w:w="851"/>
        <w:gridCol w:w="992"/>
        <w:gridCol w:w="992"/>
        <w:gridCol w:w="1134"/>
        <w:gridCol w:w="1134"/>
        <w:gridCol w:w="1276"/>
        <w:gridCol w:w="992"/>
      </w:tblGrid>
      <w:tr w:rsidR="00803B11" w:rsidRPr="00F25846" w14:paraId="698BD15E" w14:textId="77777777" w:rsidTr="00841C55">
        <w:trPr>
          <w:trHeight w:val="300"/>
        </w:trPr>
        <w:tc>
          <w:tcPr>
            <w:tcW w:w="8789" w:type="dxa"/>
            <w:gridSpan w:val="8"/>
            <w:tcBorders>
              <w:bottom w:val="single" w:sz="4" w:space="0" w:color="auto"/>
            </w:tcBorders>
          </w:tcPr>
          <w:p w14:paraId="7401CA40" w14:textId="5AAF735B" w:rsidR="00803B11" w:rsidRPr="00F25846" w:rsidRDefault="00803B11" w:rsidP="001A1528">
            <w:pPr>
              <w:rPr>
                <w:rFonts w:ascii="Cambria" w:hAnsi="Cambria"/>
                <w:b/>
                <w:bCs/>
                <w:sz w:val="24"/>
                <w:szCs w:val="24"/>
              </w:rPr>
            </w:pPr>
            <w:r w:rsidRPr="00F25846">
              <w:rPr>
                <w:rFonts w:ascii="Cambria" w:hAnsi="Cambria"/>
                <w:b/>
                <w:bCs/>
                <w:sz w:val="24"/>
                <w:szCs w:val="24"/>
              </w:rPr>
              <w:lastRenderedPageBreak/>
              <w:t xml:space="preserve">Table 2: </w:t>
            </w:r>
            <w:r w:rsidRPr="00F25846">
              <w:rPr>
                <w:rFonts w:ascii="Cambria" w:hAnsi="Cambria"/>
                <w:sz w:val="24"/>
                <w:szCs w:val="24"/>
              </w:rPr>
              <w:t>Preoperative ASIA impairment scale and baseline</w:t>
            </w:r>
            <w:r w:rsidR="00C62EE8" w:rsidRPr="00F25846">
              <w:rPr>
                <w:rFonts w:ascii="Cambria" w:hAnsi="Cambria"/>
                <w:sz w:val="24"/>
                <w:szCs w:val="24"/>
              </w:rPr>
              <w:t xml:space="preserve"> IONM</w:t>
            </w:r>
            <w:r w:rsidRPr="00F25846">
              <w:rPr>
                <w:rFonts w:ascii="Cambria" w:hAnsi="Cambria"/>
                <w:sz w:val="24"/>
                <w:szCs w:val="24"/>
              </w:rPr>
              <w:t xml:space="preserve"> signals (n = 114)</w:t>
            </w:r>
          </w:p>
        </w:tc>
        <w:tc>
          <w:tcPr>
            <w:tcW w:w="992" w:type="dxa"/>
            <w:tcBorders>
              <w:bottom w:val="single" w:sz="4" w:space="0" w:color="auto"/>
            </w:tcBorders>
          </w:tcPr>
          <w:p w14:paraId="03B8F496" w14:textId="77777777" w:rsidR="00803B11" w:rsidRPr="00F25846" w:rsidRDefault="00803B11" w:rsidP="001A1528">
            <w:pPr>
              <w:rPr>
                <w:rFonts w:ascii="Cambria" w:hAnsi="Cambria"/>
                <w:b/>
                <w:bCs/>
                <w:sz w:val="24"/>
                <w:szCs w:val="24"/>
              </w:rPr>
            </w:pPr>
          </w:p>
        </w:tc>
      </w:tr>
      <w:tr w:rsidR="00803B11" w:rsidRPr="00F25846" w14:paraId="2D5D6059" w14:textId="77777777" w:rsidTr="00841C55">
        <w:trPr>
          <w:trHeight w:val="210"/>
        </w:trPr>
        <w:tc>
          <w:tcPr>
            <w:tcW w:w="1843" w:type="dxa"/>
            <w:vMerge w:val="restart"/>
            <w:tcBorders>
              <w:top w:val="single" w:sz="4" w:space="0" w:color="auto"/>
            </w:tcBorders>
            <w:vAlign w:val="center"/>
            <w:hideMark/>
          </w:tcPr>
          <w:p w14:paraId="33EBE9CD"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Variables</w:t>
            </w:r>
          </w:p>
        </w:tc>
        <w:tc>
          <w:tcPr>
            <w:tcW w:w="567" w:type="dxa"/>
            <w:vMerge w:val="restart"/>
            <w:tcBorders>
              <w:top w:val="single" w:sz="4" w:space="0" w:color="auto"/>
            </w:tcBorders>
            <w:vAlign w:val="center"/>
          </w:tcPr>
          <w:p w14:paraId="7C753177"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n</w:t>
            </w:r>
          </w:p>
        </w:tc>
        <w:tc>
          <w:tcPr>
            <w:tcW w:w="6379" w:type="dxa"/>
            <w:gridSpan w:val="6"/>
            <w:tcBorders>
              <w:top w:val="single" w:sz="4" w:space="0" w:color="auto"/>
              <w:bottom w:val="single" w:sz="4" w:space="0" w:color="auto"/>
            </w:tcBorders>
          </w:tcPr>
          <w:p w14:paraId="36F793D3"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ASIA</w:t>
            </w:r>
          </w:p>
        </w:tc>
        <w:tc>
          <w:tcPr>
            <w:tcW w:w="992" w:type="dxa"/>
            <w:tcBorders>
              <w:top w:val="single" w:sz="4" w:space="0" w:color="auto"/>
            </w:tcBorders>
            <w:vAlign w:val="center"/>
          </w:tcPr>
          <w:p w14:paraId="52EEC737" w14:textId="77777777" w:rsidR="00803B11" w:rsidRPr="00F25846" w:rsidRDefault="00803B11" w:rsidP="001A1528">
            <w:pPr>
              <w:jc w:val="center"/>
              <w:rPr>
                <w:rFonts w:ascii="Cambria" w:hAnsi="Cambria"/>
                <w:b/>
                <w:bCs/>
                <w:sz w:val="24"/>
                <w:szCs w:val="24"/>
                <w:vertAlign w:val="superscript"/>
              </w:rPr>
            </w:pPr>
            <w:r w:rsidRPr="00F25846">
              <w:rPr>
                <w:rFonts w:ascii="Cambria" w:hAnsi="Cambria"/>
                <w:b/>
                <w:bCs/>
                <w:sz w:val="24"/>
                <w:szCs w:val="24"/>
              </w:rPr>
              <w:t xml:space="preserve">p-value </w:t>
            </w:r>
            <w:r w:rsidRPr="00F25846">
              <w:rPr>
                <w:rFonts w:ascii="Cambria" w:hAnsi="Cambria"/>
                <w:b/>
                <w:bCs/>
                <w:sz w:val="24"/>
                <w:szCs w:val="24"/>
                <w:vertAlign w:val="superscript"/>
              </w:rPr>
              <w:t>a</w:t>
            </w:r>
          </w:p>
        </w:tc>
      </w:tr>
      <w:tr w:rsidR="00803B11" w:rsidRPr="00F25846" w14:paraId="1ADBBADD" w14:textId="77777777" w:rsidTr="00841C55">
        <w:trPr>
          <w:trHeight w:val="210"/>
        </w:trPr>
        <w:tc>
          <w:tcPr>
            <w:tcW w:w="1843" w:type="dxa"/>
            <w:vMerge/>
            <w:tcBorders>
              <w:bottom w:val="single" w:sz="4" w:space="0" w:color="auto"/>
            </w:tcBorders>
          </w:tcPr>
          <w:p w14:paraId="7246083A" w14:textId="77777777" w:rsidR="00803B11" w:rsidRPr="00F25846" w:rsidRDefault="00803B11" w:rsidP="001A1528">
            <w:pPr>
              <w:rPr>
                <w:rFonts w:ascii="Cambria" w:hAnsi="Cambria"/>
                <w:b/>
                <w:bCs/>
                <w:sz w:val="24"/>
                <w:szCs w:val="24"/>
              </w:rPr>
            </w:pPr>
          </w:p>
        </w:tc>
        <w:tc>
          <w:tcPr>
            <w:tcW w:w="567" w:type="dxa"/>
            <w:vMerge/>
            <w:tcBorders>
              <w:bottom w:val="single" w:sz="4" w:space="0" w:color="auto"/>
            </w:tcBorders>
          </w:tcPr>
          <w:p w14:paraId="03B6875E" w14:textId="77777777" w:rsidR="00803B11" w:rsidRPr="00F25846" w:rsidRDefault="00803B11" w:rsidP="001A1528">
            <w:pPr>
              <w:jc w:val="center"/>
              <w:rPr>
                <w:rFonts w:ascii="Cambria" w:hAnsi="Cambria"/>
                <w:b/>
                <w:bCs/>
                <w:sz w:val="24"/>
                <w:szCs w:val="24"/>
              </w:rPr>
            </w:pPr>
          </w:p>
        </w:tc>
        <w:tc>
          <w:tcPr>
            <w:tcW w:w="851" w:type="dxa"/>
            <w:tcBorders>
              <w:top w:val="single" w:sz="4" w:space="0" w:color="auto"/>
              <w:bottom w:val="single" w:sz="4" w:space="0" w:color="auto"/>
            </w:tcBorders>
          </w:tcPr>
          <w:p w14:paraId="0C73E30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A</w:t>
            </w:r>
          </w:p>
          <w:p w14:paraId="54D8B6F7"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992" w:type="dxa"/>
            <w:tcBorders>
              <w:top w:val="single" w:sz="4" w:space="0" w:color="auto"/>
              <w:bottom w:val="single" w:sz="4" w:space="0" w:color="auto"/>
            </w:tcBorders>
          </w:tcPr>
          <w:p w14:paraId="18F00982"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B</w:t>
            </w:r>
          </w:p>
          <w:p w14:paraId="4BA989A8"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992" w:type="dxa"/>
            <w:tcBorders>
              <w:top w:val="single" w:sz="4" w:space="0" w:color="auto"/>
              <w:bottom w:val="single" w:sz="4" w:space="0" w:color="auto"/>
            </w:tcBorders>
          </w:tcPr>
          <w:p w14:paraId="4212CC2C"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C</w:t>
            </w:r>
          </w:p>
          <w:p w14:paraId="662F7B2A"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134" w:type="dxa"/>
            <w:tcBorders>
              <w:top w:val="single" w:sz="4" w:space="0" w:color="auto"/>
              <w:bottom w:val="single" w:sz="4" w:space="0" w:color="auto"/>
            </w:tcBorders>
          </w:tcPr>
          <w:p w14:paraId="4694E987"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D</w:t>
            </w:r>
          </w:p>
          <w:p w14:paraId="59CFAFC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134" w:type="dxa"/>
            <w:tcBorders>
              <w:top w:val="single" w:sz="4" w:space="0" w:color="auto"/>
              <w:bottom w:val="single" w:sz="4" w:space="0" w:color="auto"/>
            </w:tcBorders>
          </w:tcPr>
          <w:p w14:paraId="0F96D63C"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E</w:t>
            </w:r>
          </w:p>
          <w:p w14:paraId="28A58215"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276" w:type="dxa"/>
            <w:tcBorders>
              <w:top w:val="single" w:sz="4" w:space="0" w:color="auto"/>
              <w:bottom w:val="single" w:sz="4" w:space="0" w:color="auto"/>
            </w:tcBorders>
          </w:tcPr>
          <w:p w14:paraId="707C21A3" w14:textId="2F01839D" w:rsidR="00803B11" w:rsidRPr="00F25846" w:rsidRDefault="00803B11" w:rsidP="001A1528">
            <w:pPr>
              <w:jc w:val="right"/>
              <w:rPr>
                <w:rFonts w:ascii="Cambria" w:hAnsi="Cambria"/>
                <w:b/>
                <w:bCs/>
                <w:sz w:val="24"/>
                <w:szCs w:val="24"/>
              </w:rPr>
            </w:pPr>
            <w:r w:rsidRPr="00841C55">
              <w:rPr>
                <w:rFonts w:ascii="Cambria" w:hAnsi="Cambria"/>
                <w:b/>
                <w:bCs/>
                <w:sz w:val="22"/>
                <w:szCs w:val="22"/>
              </w:rPr>
              <w:t>No</w:t>
            </w:r>
            <w:r w:rsidR="0088351E" w:rsidRPr="00841C55">
              <w:rPr>
                <w:rFonts w:ascii="Cambria" w:hAnsi="Cambria"/>
                <w:b/>
                <w:bCs/>
                <w:sz w:val="22"/>
                <w:szCs w:val="22"/>
              </w:rPr>
              <w:t>t Classified</w:t>
            </w:r>
            <w:r w:rsidRPr="00841C55">
              <w:rPr>
                <w:rFonts w:ascii="Cambria" w:hAnsi="Cambria"/>
                <w:b/>
                <w:bCs/>
                <w:sz w:val="22"/>
                <w:szCs w:val="22"/>
              </w:rPr>
              <w:t xml:space="preserve"> </w:t>
            </w:r>
            <w:r w:rsidRPr="00F25846">
              <w:rPr>
                <w:rFonts w:ascii="Cambria" w:hAnsi="Cambria"/>
                <w:b/>
                <w:bCs/>
                <w:sz w:val="24"/>
                <w:szCs w:val="24"/>
              </w:rPr>
              <w:t>n (%)</w:t>
            </w:r>
          </w:p>
        </w:tc>
        <w:tc>
          <w:tcPr>
            <w:tcW w:w="992" w:type="dxa"/>
            <w:tcBorders>
              <w:bottom w:val="single" w:sz="4" w:space="0" w:color="auto"/>
            </w:tcBorders>
          </w:tcPr>
          <w:p w14:paraId="65236B64" w14:textId="77777777" w:rsidR="00803B11" w:rsidRPr="00F25846" w:rsidRDefault="00803B11" w:rsidP="001A1528">
            <w:pPr>
              <w:jc w:val="right"/>
              <w:rPr>
                <w:rFonts w:ascii="Cambria" w:hAnsi="Cambria"/>
                <w:b/>
                <w:bCs/>
                <w:sz w:val="24"/>
                <w:szCs w:val="24"/>
              </w:rPr>
            </w:pPr>
          </w:p>
        </w:tc>
      </w:tr>
      <w:tr w:rsidR="00803B11" w:rsidRPr="00F25846" w14:paraId="7F2A8055" w14:textId="77777777" w:rsidTr="00841C55">
        <w:trPr>
          <w:trHeight w:val="1075"/>
        </w:trPr>
        <w:tc>
          <w:tcPr>
            <w:tcW w:w="1843" w:type="dxa"/>
            <w:tcBorders>
              <w:top w:val="single" w:sz="4" w:space="0" w:color="auto"/>
              <w:bottom w:val="single" w:sz="4" w:space="0" w:color="auto"/>
            </w:tcBorders>
            <w:hideMark/>
          </w:tcPr>
          <w:p w14:paraId="7A9C7A76" w14:textId="77777777" w:rsidR="00803B11" w:rsidRPr="00F25846" w:rsidRDefault="00803B11" w:rsidP="001A1528">
            <w:pPr>
              <w:rPr>
                <w:rFonts w:ascii="Cambria" w:hAnsi="Cambria"/>
                <w:b/>
                <w:bCs/>
                <w:sz w:val="24"/>
                <w:szCs w:val="24"/>
              </w:rPr>
            </w:pPr>
            <w:r w:rsidRPr="00F25846">
              <w:rPr>
                <w:rFonts w:ascii="Cambria" w:hAnsi="Cambria"/>
                <w:b/>
                <w:bCs/>
                <w:sz w:val="24"/>
                <w:szCs w:val="24"/>
              </w:rPr>
              <w:t>Baseline MEP</w:t>
            </w:r>
          </w:p>
          <w:p w14:paraId="6012FA53" w14:textId="77777777" w:rsidR="00803B11" w:rsidRPr="00F25846" w:rsidRDefault="00803B11" w:rsidP="001A1528">
            <w:pPr>
              <w:rPr>
                <w:rFonts w:ascii="Cambria" w:hAnsi="Cambria"/>
                <w:sz w:val="24"/>
                <w:szCs w:val="24"/>
              </w:rPr>
            </w:pPr>
            <w:r w:rsidRPr="00F25846">
              <w:rPr>
                <w:rFonts w:ascii="Cambria" w:hAnsi="Cambria"/>
                <w:sz w:val="24"/>
                <w:szCs w:val="24"/>
              </w:rPr>
              <w:t>Intact</w:t>
            </w:r>
          </w:p>
          <w:p w14:paraId="531A2CED" w14:textId="77777777" w:rsidR="00803B11" w:rsidRPr="00F25846" w:rsidRDefault="00803B11" w:rsidP="001A1528">
            <w:pPr>
              <w:rPr>
                <w:rFonts w:ascii="Cambria" w:hAnsi="Cambria"/>
                <w:sz w:val="24"/>
                <w:szCs w:val="24"/>
              </w:rPr>
            </w:pPr>
            <w:r w:rsidRPr="00F25846">
              <w:rPr>
                <w:rFonts w:ascii="Cambria" w:hAnsi="Cambria"/>
                <w:sz w:val="24"/>
                <w:szCs w:val="24"/>
              </w:rPr>
              <w:t>Reduced</w:t>
            </w:r>
          </w:p>
          <w:p w14:paraId="2E3A53B8" w14:textId="77777777" w:rsidR="00803B11" w:rsidRPr="00F25846" w:rsidRDefault="00803B11" w:rsidP="001A1528">
            <w:pPr>
              <w:rPr>
                <w:rFonts w:ascii="Cambria" w:hAnsi="Cambria"/>
                <w:b/>
                <w:bCs/>
                <w:sz w:val="24"/>
                <w:szCs w:val="24"/>
              </w:rPr>
            </w:pPr>
            <w:r w:rsidRPr="00F25846">
              <w:rPr>
                <w:rFonts w:ascii="Cambria" w:hAnsi="Cambria"/>
                <w:sz w:val="24"/>
                <w:szCs w:val="24"/>
              </w:rPr>
              <w:t>Zero</w:t>
            </w:r>
          </w:p>
        </w:tc>
        <w:tc>
          <w:tcPr>
            <w:tcW w:w="567" w:type="dxa"/>
            <w:tcBorders>
              <w:top w:val="single" w:sz="4" w:space="0" w:color="auto"/>
              <w:bottom w:val="single" w:sz="4" w:space="0" w:color="auto"/>
            </w:tcBorders>
          </w:tcPr>
          <w:p w14:paraId="0EAA8899" w14:textId="77777777" w:rsidR="00803B11" w:rsidRPr="00F25846" w:rsidRDefault="00803B11" w:rsidP="001A1528">
            <w:pPr>
              <w:jc w:val="right"/>
              <w:rPr>
                <w:rFonts w:ascii="Cambria" w:hAnsi="Cambria"/>
                <w:sz w:val="24"/>
                <w:szCs w:val="24"/>
              </w:rPr>
            </w:pPr>
          </w:p>
          <w:p w14:paraId="3F470563" w14:textId="77777777" w:rsidR="00803B11" w:rsidRPr="00F25846" w:rsidRDefault="00803B11" w:rsidP="001A1528">
            <w:pPr>
              <w:jc w:val="right"/>
              <w:rPr>
                <w:rFonts w:ascii="Cambria" w:hAnsi="Cambria"/>
                <w:sz w:val="24"/>
                <w:szCs w:val="24"/>
              </w:rPr>
            </w:pPr>
            <w:r w:rsidRPr="00F25846">
              <w:rPr>
                <w:rFonts w:ascii="Cambria" w:hAnsi="Cambria"/>
                <w:sz w:val="24"/>
                <w:szCs w:val="24"/>
              </w:rPr>
              <w:t>74</w:t>
            </w:r>
          </w:p>
          <w:p w14:paraId="22A67C76" w14:textId="77777777" w:rsidR="00803B11" w:rsidRPr="00F25846" w:rsidRDefault="00803B11" w:rsidP="001A1528">
            <w:pPr>
              <w:jc w:val="right"/>
              <w:rPr>
                <w:rFonts w:ascii="Cambria" w:hAnsi="Cambria"/>
                <w:sz w:val="24"/>
                <w:szCs w:val="24"/>
              </w:rPr>
            </w:pPr>
            <w:r w:rsidRPr="00F25846">
              <w:rPr>
                <w:rFonts w:ascii="Cambria" w:hAnsi="Cambria"/>
                <w:sz w:val="24"/>
                <w:szCs w:val="24"/>
              </w:rPr>
              <w:t>31</w:t>
            </w:r>
          </w:p>
          <w:p w14:paraId="68017802" w14:textId="77777777" w:rsidR="00803B11" w:rsidRPr="00F25846" w:rsidRDefault="00803B11" w:rsidP="001A1528">
            <w:pPr>
              <w:jc w:val="right"/>
              <w:rPr>
                <w:rFonts w:ascii="Cambria" w:hAnsi="Cambria"/>
                <w:sz w:val="24"/>
                <w:szCs w:val="24"/>
              </w:rPr>
            </w:pPr>
            <w:r w:rsidRPr="00F25846">
              <w:rPr>
                <w:rFonts w:ascii="Cambria" w:hAnsi="Cambria"/>
                <w:sz w:val="24"/>
                <w:szCs w:val="24"/>
              </w:rPr>
              <w:t>9</w:t>
            </w:r>
          </w:p>
        </w:tc>
        <w:tc>
          <w:tcPr>
            <w:tcW w:w="851" w:type="dxa"/>
            <w:tcBorders>
              <w:top w:val="single" w:sz="4" w:space="0" w:color="auto"/>
              <w:bottom w:val="single" w:sz="4" w:space="0" w:color="auto"/>
            </w:tcBorders>
          </w:tcPr>
          <w:p w14:paraId="1B65C6F6" w14:textId="77777777" w:rsidR="00803B11" w:rsidRPr="00F25846" w:rsidRDefault="00803B11" w:rsidP="001A1528">
            <w:pPr>
              <w:jc w:val="right"/>
              <w:rPr>
                <w:rFonts w:ascii="Cambria" w:hAnsi="Cambria"/>
                <w:sz w:val="24"/>
                <w:szCs w:val="24"/>
              </w:rPr>
            </w:pPr>
          </w:p>
          <w:p w14:paraId="3B4BFBB4" w14:textId="77777777" w:rsidR="000F056E" w:rsidRPr="00F25846" w:rsidRDefault="000F056E" w:rsidP="000F056E">
            <w:pPr>
              <w:jc w:val="right"/>
              <w:rPr>
                <w:rFonts w:ascii="Cambria" w:hAnsi="Cambria"/>
                <w:sz w:val="24"/>
                <w:szCs w:val="24"/>
              </w:rPr>
            </w:pPr>
            <w:r w:rsidRPr="00F25846">
              <w:rPr>
                <w:rFonts w:ascii="Cambria" w:hAnsi="Cambria"/>
                <w:sz w:val="24"/>
                <w:szCs w:val="24"/>
              </w:rPr>
              <w:t>0 (0)</w:t>
            </w:r>
          </w:p>
          <w:p w14:paraId="38658D7A" w14:textId="40351B5B" w:rsidR="00803B11" w:rsidRPr="00F25846" w:rsidRDefault="000F056E" w:rsidP="000F056E">
            <w:pPr>
              <w:jc w:val="right"/>
              <w:rPr>
                <w:rFonts w:ascii="Cambria" w:hAnsi="Cambria"/>
                <w:sz w:val="24"/>
                <w:szCs w:val="24"/>
              </w:rPr>
            </w:pPr>
            <w:r w:rsidRPr="00F25846">
              <w:rPr>
                <w:rFonts w:ascii="Cambria" w:hAnsi="Cambria"/>
                <w:sz w:val="24"/>
                <w:szCs w:val="24"/>
              </w:rPr>
              <w:t>0 (0)</w:t>
            </w:r>
          </w:p>
          <w:p w14:paraId="2AF15325" w14:textId="289E297B" w:rsidR="00803B11" w:rsidRPr="00F25846" w:rsidRDefault="000F056E" w:rsidP="000F056E">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070F7368" w14:textId="77777777" w:rsidR="00803B11" w:rsidRPr="00F25846" w:rsidRDefault="00803B11" w:rsidP="001A1528">
            <w:pPr>
              <w:jc w:val="right"/>
              <w:rPr>
                <w:rFonts w:ascii="Cambria" w:hAnsi="Cambria"/>
                <w:sz w:val="24"/>
                <w:szCs w:val="24"/>
              </w:rPr>
            </w:pPr>
          </w:p>
          <w:p w14:paraId="750B801F" w14:textId="77777777" w:rsidR="000F056E" w:rsidRPr="00F25846" w:rsidRDefault="000F056E" w:rsidP="000F056E">
            <w:pPr>
              <w:jc w:val="right"/>
              <w:rPr>
                <w:rFonts w:ascii="Cambria" w:hAnsi="Cambria"/>
                <w:sz w:val="24"/>
                <w:szCs w:val="24"/>
              </w:rPr>
            </w:pPr>
            <w:r w:rsidRPr="00F25846">
              <w:rPr>
                <w:rFonts w:ascii="Cambria" w:hAnsi="Cambria"/>
                <w:sz w:val="24"/>
                <w:szCs w:val="24"/>
              </w:rPr>
              <w:t>0 (0)</w:t>
            </w:r>
          </w:p>
          <w:p w14:paraId="6A0185B4" w14:textId="79ED8BBB" w:rsidR="00803B11" w:rsidRPr="00F25846" w:rsidRDefault="00803B11" w:rsidP="001A1528">
            <w:pPr>
              <w:jc w:val="right"/>
              <w:rPr>
                <w:rFonts w:ascii="Cambria" w:hAnsi="Cambria"/>
                <w:sz w:val="24"/>
                <w:szCs w:val="24"/>
              </w:rPr>
            </w:pPr>
            <w:r w:rsidRPr="00F25846">
              <w:rPr>
                <w:rFonts w:ascii="Cambria" w:hAnsi="Cambria"/>
                <w:sz w:val="24"/>
                <w:szCs w:val="24"/>
              </w:rPr>
              <w:t>1 (</w:t>
            </w:r>
            <w:r w:rsidR="00686CF8" w:rsidRPr="00F25846">
              <w:rPr>
                <w:rFonts w:ascii="Cambria" w:hAnsi="Cambria"/>
                <w:sz w:val="24"/>
                <w:szCs w:val="24"/>
              </w:rPr>
              <w:t>100.0</w:t>
            </w:r>
            <w:r w:rsidRPr="00F25846">
              <w:rPr>
                <w:rFonts w:ascii="Cambria" w:hAnsi="Cambria"/>
                <w:sz w:val="24"/>
                <w:szCs w:val="24"/>
              </w:rPr>
              <w:t>)</w:t>
            </w:r>
          </w:p>
          <w:p w14:paraId="577335C3" w14:textId="34E1198D" w:rsidR="00803B11" w:rsidRPr="00F25846" w:rsidRDefault="000F056E" w:rsidP="000F056E">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79E25ED7" w14:textId="77777777" w:rsidR="00803B11" w:rsidRPr="00F25846" w:rsidRDefault="00803B11" w:rsidP="001A1528">
            <w:pPr>
              <w:jc w:val="right"/>
              <w:rPr>
                <w:rFonts w:ascii="Cambria" w:hAnsi="Cambria"/>
                <w:sz w:val="24"/>
                <w:szCs w:val="24"/>
              </w:rPr>
            </w:pPr>
          </w:p>
          <w:p w14:paraId="661D3AAC" w14:textId="77777777" w:rsidR="000F056E" w:rsidRPr="00F25846" w:rsidRDefault="000F056E" w:rsidP="000F056E">
            <w:pPr>
              <w:jc w:val="right"/>
              <w:rPr>
                <w:rFonts w:ascii="Cambria" w:hAnsi="Cambria"/>
                <w:sz w:val="24"/>
                <w:szCs w:val="24"/>
              </w:rPr>
            </w:pPr>
            <w:r w:rsidRPr="00F25846">
              <w:rPr>
                <w:rFonts w:ascii="Cambria" w:hAnsi="Cambria"/>
                <w:sz w:val="24"/>
                <w:szCs w:val="24"/>
              </w:rPr>
              <w:t>0 (0)</w:t>
            </w:r>
          </w:p>
          <w:p w14:paraId="241D5847" w14:textId="6AC37D64" w:rsidR="00803B11" w:rsidRPr="00F25846" w:rsidRDefault="00803B11" w:rsidP="001A1528">
            <w:pPr>
              <w:jc w:val="right"/>
              <w:rPr>
                <w:rFonts w:ascii="Cambria" w:hAnsi="Cambria"/>
                <w:sz w:val="24"/>
                <w:szCs w:val="24"/>
              </w:rPr>
            </w:pPr>
            <w:r w:rsidRPr="00F25846">
              <w:rPr>
                <w:rFonts w:ascii="Cambria" w:hAnsi="Cambria"/>
                <w:sz w:val="24"/>
                <w:szCs w:val="24"/>
              </w:rPr>
              <w:t>5 (</w:t>
            </w:r>
            <w:r w:rsidR="00686CF8" w:rsidRPr="00F25846">
              <w:rPr>
                <w:rFonts w:ascii="Cambria" w:hAnsi="Cambria"/>
                <w:sz w:val="24"/>
                <w:szCs w:val="24"/>
              </w:rPr>
              <w:t>62.5</w:t>
            </w:r>
            <w:r w:rsidRPr="00F25846">
              <w:rPr>
                <w:rFonts w:ascii="Cambria" w:hAnsi="Cambria"/>
                <w:sz w:val="24"/>
                <w:szCs w:val="24"/>
              </w:rPr>
              <w:t>)</w:t>
            </w:r>
          </w:p>
          <w:p w14:paraId="14D05C29" w14:textId="60397C99" w:rsidR="00803B11" w:rsidRPr="00F25846" w:rsidRDefault="00803B11" w:rsidP="001A1528">
            <w:pPr>
              <w:jc w:val="right"/>
              <w:rPr>
                <w:rFonts w:ascii="Cambria" w:hAnsi="Cambria"/>
                <w:sz w:val="24"/>
                <w:szCs w:val="24"/>
              </w:rPr>
            </w:pPr>
            <w:r w:rsidRPr="00F25846">
              <w:rPr>
                <w:rFonts w:ascii="Cambria" w:hAnsi="Cambria"/>
                <w:sz w:val="24"/>
                <w:szCs w:val="24"/>
              </w:rPr>
              <w:t>3 (</w:t>
            </w:r>
            <w:r w:rsidR="00686CF8" w:rsidRPr="00F25846">
              <w:rPr>
                <w:rFonts w:ascii="Cambria" w:hAnsi="Cambria"/>
                <w:sz w:val="24"/>
                <w:szCs w:val="24"/>
              </w:rPr>
              <w:t>37.5</w:t>
            </w:r>
            <w:r w:rsidRPr="00F25846">
              <w:rPr>
                <w:rFonts w:ascii="Cambria" w:hAnsi="Cambria"/>
                <w:sz w:val="24"/>
                <w:szCs w:val="24"/>
              </w:rPr>
              <w:t>)</w:t>
            </w:r>
          </w:p>
        </w:tc>
        <w:tc>
          <w:tcPr>
            <w:tcW w:w="1134" w:type="dxa"/>
            <w:tcBorders>
              <w:top w:val="single" w:sz="4" w:space="0" w:color="auto"/>
              <w:bottom w:val="single" w:sz="4" w:space="0" w:color="auto"/>
            </w:tcBorders>
          </w:tcPr>
          <w:p w14:paraId="186C457F" w14:textId="77777777" w:rsidR="00803B11" w:rsidRPr="00F25846" w:rsidRDefault="00803B11" w:rsidP="001A1528">
            <w:pPr>
              <w:jc w:val="right"/>
              <w:rPr>
                <w:rFonts w:ascii="Cambria" w:hAnsi="Cambria"/>
                <w:sz w:val="24"/>
                <w:szCs w:val="24"/>
              </w:rPr>
            </w:pPr>
          </w:p>
          <w:p w14:paraId="41FB6ADA" w14:textId="77777777" w:rsidR="000F056E" w:rsidRPr="00F25846" w:rsidRDefault="000F056E" w:rsidP="000F056E">
            <w:pPr>
              <w:jc w:val="right"/>
              <w:rPr>
                <w:rFonts w:ascii="Cambria" w:hAnsi="Cambria"/>
                <w:sz w:val="24"/>
                <w:szCs w:val="24"/>
              </w:rPr>
            </w:pPr>
            <w:r w:rsidRPr="00F25846">
              <w:rPr>
                <w:rFonts w:ascii="Cambria" w:hAnsi="Cambria"/>
                <w:sz w:val="24"/>
                <w:szCs w:val="24"/>
              </w:rPr>
              <w:t>0 (0)</w:t>
            </w:r>
          </w:p>
          <w:p w14:paraId="455192D3" w14:textId="4FEC009A" w:rsidR="00803B11" w:rsidRPr="00F25846" w:rsidRDefault="00803B11" w:rsidP="001A1528">
            <w:pPr>
              <w:jc w:val="right"/>
              <w:rPr>
                <w:rFonts w:ascii="Cambria" w:hAnsi="Cambria"/>
                <w:sz w:val="24"/>
                <w:szCs w:val="24"/>
              </w:rPr>
            </w:pPr>
            <w:r w:rsidRPr="00F25846">
              <w:rPr>
                <w:rFonts w:ascii="Cambria" w:hAnsi="Cambria"/>
                <w:sz w:val="24"/>
                <w:szCs w:val="24"/>
              </w:rPr>
              <w:t>14 (</w:t>
            </w:r>
            <w:r w:rsidR="001F5F54" w:rsidRPr="00F25846">
              <w:rPr>
                <w:rFonts w:ascii="Cambria" w:hAnsi="Cambria"/>
                <w:sz w:val="24"/>
                <w:szCs w:val="24"/>
              </w:rPr>
              <w:t>73.7</w:t>
            </w:r>
            <w:r w:rsidRPr="00F25846">
              <w:rPr>
                <w:rFonts w:ascii="Cambria" w:hAnsi="Cambria"/>
                <w:sz w:val="24"/>
                <w:szCs w:val="24"/>
              </w:rPr>
              <w:t>)</w:t>
            </w:r>
          </w:p>
          <w:p w14:paraId="657A7C7F" w14:textId="14FB64AA" w:rsidR="00803B11" w:rsidRPr="00F25846" w:rsidRDefault="00803B11" w:rsidP="001A1528">
            <w:pPr>
              <w:jc w:val="right"/>
              <w:rPr>
                <w:rFonts w:ascii="Cambria" w:hAnsi="Cambria"/>
                <w:sz w:val="24"/>
                <w:szCs w:val="24"/>
              </w:rPr>
            </w:pPr>
            <w:r w:rsidRPr="00F25846">
              <w:rPr>
                <w:rFonts w:ascii="Cambria" w:hAnsi="Cambria"/>
                <w:sz w:val="24"/>
                <w:szCs w:val="24"/>
              </w:rPr>
              <w:t>5 (</w:t>
            </w:r>
            <w:r w:rsidR="001F5F54" w:rsidRPr="00F25846">
              <w:rPr>
                <w:rFonts w:ascii="Cambria" w:hAnsi="Cambria"/>
                <w:sz w:val="24"/>
                <w:szCs w:val="24"/>
              </w:rPr>
              <w:t>26.3</w:t>
            </w:r>
            <w:r w:rsidRPr="00F25846">
              <w:rPr>
                <w:rFonts w:ascii="Cambria" w:hAnsi="Cambria"/>
                <w:sz w:val="24"/>
                <w:szCs w:val="24"/>
              </w:rPr>
              <w:t>)</w:t>
            </w:r>
          </w:p>
        </w:tc>
        <w:tc>
          <w:tcPr>
            <w:tcW w:w="1134" w:type="dxa"/>
            <w:tcBorders>
              <w:top w:val="single" w:sz="4" w:space="0" w:color="auto"/>
              <w:bottom w:val="single" w:sz="4" w:space="0" w:color="auto"/>
            </w:tcBorders>
          </w:tcPr>
          <w:p w14:paraId="2706F7CB" w14:textId="77777777" w:rsidR="00803B11" w:rsidRPr="00F25846" w:rsidRDefault="00803B11" w:rsidP="001A1528">
            <w:pPr>
              <w:jc w:val="right"/>
              <w:rPr>
                <w:rFonts w:ascii="Cambria" w:hAnsi="Cambria"/>
                <w:sz w:val="24"/>
                <w:szCs w:val="24"/>
              </w:rPr>
            </w:pPr>
          </w:p>
          <w:p w14:paraId="515CF08D" w14:textId="4FB3C3FC" w:rsidR="00803B11" w:rsidRPr="00F25846" w:rsidRDefault="00803B11" w:rsidP="001A1528">
            <w:pPr>
              <w:jc w:val="right"/>
              <w:rPr>
                <w:rFonts w:ascii="Cambria" w:hAnsi="Cambria"/>
                <w:sz w:val="24"/>
                <w:szCs w:val="24"/>
              </w:rPr>
            </w:pPr>
            <w:r w:rsidRPr="00F25846">
              <w:rPr>
                <w:rFonts w:ascii="Cambria" w:hAnsi="Cambria"/>
                <w:sz w:val="24"/>
                <w:szCs w:val="24"/>
              </w:rPr>
              <w:t>7</w:t>
            </w:r>
            <w:r w:rsidR="00C70B10" w:rsidRPr="00F25846">
              <w:rPr>
                <w:rFonts w:ascii="Cambria" w:hAnsi="Cambria"/>
                <w:sz w:val="24"/>
                <w:szCs w:val="24"/>
              </w:rPr>
              <w:t>1</w:t>
            </w:r>
            <w:r w:rsidRPr="00F25846">
              <w:rPr>
                <w:rFonts w:ascii="Cambria" w:hAnsi="Cambria"/>
                <w:sz w:val="24"/>
                <w:szCs w:val="24"/>
              </w:rPr>
              <w:t xml:space="preserve"> (</w:t>
            </w:r>
            <w:r w:rsidR="00644C09" w:rsidRPr="00F25846">
              <w:rPr>
                <w:rFonts w:ascii="Cambria" w:hAnsi="Cambria"/>
                <w:sz w:val="24"/>
                <w:szCs w:val="24"/>
              </w:rPr>
              <w:t>8</w:t>
            </w:r>
            <w:r w:rsidR="00DF2DFF" w:rsidRPr="00F25846">
              <w:rPr>
                <w:rFonts w:ascii="Cambria" w:hAnsi="Cambria"/>
                <w:sz w:val="24"/>
                <w:szCs w:val="24"/>
              </w:rPr>
              <w:t>7.</w:t>
            </w:r>
            <w:r w:rsidR="00E93842" w:rsidRPr="00F25846">
              <w:rPr>
                <w:rFonts w:ascii="Cambria" w:hAnsi="Cambria"/>
                <w:sz w:val="24"/>
                <w:szCs w:val="24"/>
              </w:rPr>
              <w:t>7</w:t>
            </w:r>
            <w:r w:rsidRPr="00F25846">
              <w:rPr>
                <w:rFonts w:ascii="Cambria" w:hAnsi="Cambria"/>
                <w:sz w:val="24"/>
                <w:szCs w:val="24"/>
              </w:rPr>
              <w:t>)</w:t>
            </w:r>
          </w:p>
          <w:p w14:paraId="758527D6" w14:textId="42A7CA6E" w:rsidR="00803B11" w:rsidRPr="00F25846" w:rsidRDefault="00803B11" w:rsidP="001A1528">
            <w:pPr>
              <w:jc w:val="right"/>
              <w:rPr>
                <w:rFonts w:ascii="Cambria" w:hAnsi="Cambria"/>
                <w:sz w:val="24"/>
                <w:szCs w:val="24"/>
              </w:rPr>
            </w:pPr>
            <w:r w:rsidRPr="00F25846">
              <w:rPr>
                <w:rFonts w:ascii="Cambria" w:hAnsi="Cambria"/>
                <w:sz w:val="24"/>
                <w:szCs w:val="24"/>
              </w:rPr>
              <w:t>9 (</w:t>
            </w:r>
            <w:r w:rsidR="00DF2DFF" w:rsidRPr="00F25846">
              <w:rPr>
                <w:rFonts w:ascii="Cambria" w:hAnsi="Cambria"/>
                <w:sz w:val="24"/>
                <w:szCs w:val="24"/>
              </w:rPr>
              <w:t>11.1</w:t>
            </w:r>
            <w:r w:rsidRPr="00F25846">
              <w:rPr>
                <w:rFonts w:ascii="Cambria" w:hAnsi="Cambria"/>
                <w:sz w:val="24"/>
                <w:szCs w:val="24"/>
              </w:rPr>
              <w:t>)</w:t>
            </w:r>
          </w:p>
          <w:p w14:paraId="10563C0C" w14:textId="252A4C7A" w:rsidR="00803B11" w:rsidRPr="00F25846" w:rsidRDefault="00803B11" w:rsidP="001A1528">
            <w:pPr>
              <w:jc w:val="right"/>
              <w:rPr>
                <w:rFonts w:ascii="Cambria" w:hAnsi="Cambria"/>
                <w:sz w:val="24"/>
                <w:szCs w:val="24"/>
              </w:rPr>
            </w:pPr>
            <w:r w:rsidRPr="00F25846">
              <w:rPr>
                <w:rFonts w:ascii="Cambria" w:hAnsi="Cambria"/>
                <w:sz w:val="24"/>
                <w:szCs w:val="24"/>
              </w:rPr>
              <w:t>1 (</w:t>
            </w:r>
            <w:r w:rsidR="008A477D" w:rsidRPr="00F25846">
              <w:rPr>
                <w:rFonts w:ascii="Cambria" w:hAnsi="Cambria"/>
                <w:sz w:val="24"/>
                <w:szCs w:val="24"/>
              </w:rPr>
              <w:t>1.</w:t>
            </w:r>
            <w:r w:rsidR="009E0A95" w:rsidRPr="00F25846">
              <w:rPr>
                <w:rFonts w:ascii="Cambria" w:hAnsi="Cambria"/>
                <w:sz w:val="24"/>
                <w:szCs w:val="24"/>
              </w:rPr>
              <w:t>2</w:t>
            </w:r>
            <w:r w:rsidRPr="00F25846">
              <w:rPr>
                <w:rFonts w:ascii="Cambria" w:hAnsi="Cambria"/>
                <w:sz w:val="24"/>
                <w:szCs w:val="24"/>
              </w:rPr>
              <w:t>)</w:t>
            </w:r>
          </w:p>
        </w:tc>
        <w:tc>
          <w:tcPr>
            <w:tcW w:w="1276" w:type="dxa"/>
            <w:tcBorders>
              <w:top w:val="single" w:sz="4" w:space="0" w:color="auto"/>
              <w:bottom w:val="single" w:sz="4" w:space="0" w:color="auto"/>
            </w:tcBorders>
          </w:tcPr>
          <w:p w14:paraId="574A6336" w14:textId="77777777" w:rsidR="00803B11" w:rsidRPr="00F25846" w:rsidRDefault="00803B11" w:rsidP="001A1528">
            <w:pPr>
              <w:jc w:val="right"/>
              <w:rPr>
                <w:rFonts w:ascii="Cambria" w:hAnsi="Cambria"/>
                <w:sz w:val="24"/>
                <w:szCs w:val="24"/>
              </w:rPr>
            </w:pPr>
          </w:p>
          <w:p w14:paraId="5BCCFA10" w14:textId="48ADEF2F" w:rsidR="00803B11" w:rsidRPr="00F25846" w:rsidRDefault="00F157E2" w:rsidP="001A1528">
            <w:pPr>
              <w:jc w:val="right"/>
              <w:rPr>
                <w:rFonts w:ascii="Cambria" w:hAnsi="Cambria"/>
                <w:sz w:val="24"/>
                <w:szCs w:val="24"/>
              </w:rPr>
            </w:pPr>
            <w:r w:rsidRPr="00F25846">
              <w:rPr>
                <w:rFonts w:ascii="Cambria" w:hAnsi="Cambria"/>
                <w:sz w:val="24"/>
                <w:szCs w:val="24"/>
              </w:rPr>
              <w:t>3</w:t>
            </w:r>
            <w:r w:rsidR="00803B11" w:rsidRPr="00F25846">
              <w:rPr>
                <w:rFonts w:ascii="Cambria" w:hAnsi="Cambria"/>
                <w:sz w:val="24"/>
                <w:szCs w:val="24"/>
              </w:rPr>
              <w:t xml:space="preserve"> (</w:t>
            </w:r>
            <w:r w:rsidR="00183BE8" w:rsidRPr="00F25846">
              <w:rPr>
                <w:rFonts w:ascii="Cambria" w:hAnsi="Cambria"/>
                <w:sz w:val="24"/>
                <w:szCs w:val="24"/>
              </w:rPr>
              <w:t>60.0</w:t>
            </w:r>
            <w:r w:rsidR="00803B11" w:rsidRPr="00F25846">
              <w:rPr>
                <w:rFonts w:ascii="Cambria" w:hAnsi="Cambria"/>
                <w:sz w:val="24"/>
                <w:szCs w:val="24"/>
              </w:rPr>
              <w:t>)</w:t>
            </w:r>
          </w:p>
          <w:p w14:paraId="61A223C8" w14:textId="1D0C8658" w:rsidR="00803B11" w:rsidRPr="00F25846" w:rsidRDefault="00803B11" w:rsidP="001A1528">
            <w:pPr>
              <w:jc w:val="right"/>
              <w:rPr>
                <w:rFonts w:ascii="Cambria" w:hAnsi="Cambria"/>
                <w:sz w:val="24"/>
                <w:szCs w:val="24"/>
              </w:rPr>
            </w:pPr>
            <w:r w:rsidRPr="00F25846">
              <w:rPr>
                <w:rFonts w:ascii="Cambria" w:hAnsi="Cambria"/>
                <w:sz w:val="24"/>
                <w:szCs w:val="24"/>
              </w:rPr>
              <w:t>2 (</w:t>
            </w:r>
            <w:r w:rsidR="00183BE8" w:rsidRPr="00F25846">
              <w:rPr>
                <w:rFonts w:ascii="Cambria" w:hAnsi="Cambria"/>
                <w:sz w:val="24"/>
                <w:szCs w:val="24"/>
              </w:rPr>
              <w:t>40.0</w:t>
            </w:r>
            <w:r w:rsidRPr="00F25846">
              <w:rPr>
                <w:rFonts w:ascii="Cambria" w:hAnsi="Cambria"/>
                <w:sz w:val="24"/>
                <w:szCs w:val="24"/>
              </w:rPr>
              <w:t>)</w:t>
            </w:r>
          </w:p>
          <w:p w14:paraId="2443A60C" w14:textId="47405CED" w:rsidR="00803B11" w:rsidRPr="00F25846" w:rsidRDefault="00803B11" w:rsidP="001A1528">
            <w:pPr>
              <w:jc w:val="right"/>
              <w:rPr>
                <w:rFonts w:ascii="Cambria" w:hAnsi="Cambria"/>
                <w:sz w:val="24"/>
                <w:szCs w:val="24"/>
              </w:rPr>
            </w:pPr>
            <w:r w:rsidRPr="00F25846">
              <w:rPr>
                <w:rFonts w:ascii="Cambria" w:hAnsi="Cambria"/>
                <w:sz w:val="24"/>
                <w:szCs w:val="24"/>
              </w:rPr>
              <w:t>0</w:t>
            </w:r>
            <w:r w:rsidR="003E0658" w:rsidRPr="00F25846">
              <w:rPr>
                <w:rFonts w:ascii="Cambria" w:hAnsi="Cambria"/>
                <w:sz w:val="24"/>
                <w:szCs w:val="24"/>
              </w:rPr>
              <w:t xml:space="preserve"> (0)</w:t>
            </w:r>
          </w:p>
        </w:tc>
        <w:tc>
          <w:tcPr>
            <w:tcW w:w="992" w:type="dxa"/>
            <w:tcBorders>
              <w:top w:val="single" w:sz="4" w:space="0" w:color="auto"/>
              <w:bottom w:val="single" w:sz="4" w:space="0" w:color="auto"/>
            </w:tcBorders>
          </w:tcPr>
          <w:p w14:paraId="5245CD89" w14:textId="77777777" w:rsidR="00803B11" w:rsidRPr="00F25846" w:rsidRDefault="00803B11" w:rsidP="001A1528">
            <w:pPr>
              <w:jc w:val="right"/>
              <w:rPr>
                <w:rFonts w:ascii="Cambria" w:hAnsi="Cambria"/>
                <w:sz w:val="24"/>
                <w:szCs w:val="24"/>
              </w:rPr>
            </w:pPr>
          </w:p>
          <w:p w14:paraId="5AEADCEE"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&lt;0.001</w:t>
            </w:r>
          </w:p>
        </w:tc>
      </w:tr>
      <w:tr w:rsidR="00803B11" w:rsidRPr="00F25846" w14:paraId="56275BD0" w14:textId="77777777" w:rsidTr="00841C55">
        <w:trPr>
          <w:trHeight w:val="426"/>
        </w:trPr>
        <w:tc>
          <w:tcPr>
            <w:tcW w:w="1843" w:type="dxa"/>
            <w:tcBorders>
              <w:top w:val="single" w:sz="4" w:space="0" w:color="auto"/>
              <w:bottom w:val="single" w:sz="4" w:space="0" w:color="auto"/>
            </w:tcBorders>
          </w:tcPr>
          <w:p w14:paraId="1C8A2FF9" w14:textId="77777777" w:rsidR="00803B11" w:rsidRPr="00F25846" w:rsidRDefault="00803B11" w:rsidP="001A1528">
            <w:pPr>
              <w:rPr>
                <w:rFonts w:ascii="Cambria" w:hAnsi="Cambria"/>
                <w:b/>
                <w:bCs/>
                <w:sz w:val="24"/>
                <w:szCs w:val="24"/>
              </w:rPr>
            </w:pPr>
            <w:r w:rsidRPr="00F25846">
              <w:rPr>
                <w:rFonts w:ascii="Cambria" w:hAnsi="Cambria"/>
                <w:b/>
                <w:bCs/>
                <w:sz w:val="24"/>
                <w:szCs w:val="24"/>
              </w:rPr>
              <w:t>Baseline SSEP</w:t>
            </w:r>
          </w:p>
          <w:p w14:paraId="7C5F16EE" w14:textId="77777777" w:rsidR="00803B11" w:rsidRPr="00F25846" w:rsidRDefault="00803B11" w:rsidP="001A1528">
            <w:pPr>
              <w:rPr>
                <w:rFonts w:ascii="Cambria" w:hAnsi="Cambria"/>
                <w:sz w:val="24"/>
                <w:szCs w:val="24"/>
              </w:rPr>
            </w:pPr>
            <w:r w:rsidRPr="00F25846">
              <w:rPr>
                <w:rFonts w:ascii="Cambria" w:hAnsi="Cambria"/>
                <w:sz w:val="24"/>
                <w:szCs w:val="24"/>
              </w:rPr>
              <w:t>Intact</w:t>
            </w:r>
          </w:p>
          <w:p w14:paraId="66FFA07E" w14:textId="77777777" w:rsidR="00803B11" w:rsidRPr="00F25846" w:rsidRDefault="00803B11" w:rsidP="001A1528">
            <w:pPr>
              <w:rPr>
                <w:rFonts w:ascii="Cambria" w:hAnsi="Cambria"/>
                <w:sz w:val="24"/>
                <w:szCs w:val="24"/>
              </w:rPr>
            </w:pPr>
            <w:r w:rsidRPr="00F25846">
              <w:rPr>
                <w:rFonts w:ascii="Cambria" w:hAnsi="Cambria"/>
                <w:sz w:val="24"/>
                <w:szCs w:val="24"/>
              </w:rPr>
              <w:t>Reduced</w:t>
            </w:r>
          </w:p>
          <w:p w14:paraId="77BD01AC" w14:textId="77777777" w:rsidR="00803B11" w:rsidRPr="00F25846" w:rsidRDefault="00803B11" w:rsidP="001A1528">
            <w:pPr>
              <w:rPr>
                <w:rFonts w:ascii="Cambria" w:hAnsi="Cambria"/>
                <w:b/>
                <w:bCs/>
                <w:sz w:val="24"/>
                <w:szCs w:val="24"/>
              </w:rPr>
            </w:pPr>
            <w:r w:rsidRPr="00F25846">
              <w:rPr>
                <w:rFonts w:ascii="Cambria" w:hAnsi="Cambria"/>
                <w:sz w:val="24"/>
                <w:szCs w:val="24"/>
              </w:rPr>
              <w:t>Zero</w:t>
            </w:r>
          </w:p>
        </w:tc>
        <w:tc>
          <w:tcPr>
            <w:tcW w:w="567" w:type="dxa"/>
            <w:tcBorders>
              <w:top w:val="single" w:sz="4" w:space="0" w:color="auto"/>
              <w:bottom w:val="single" w:sz="4" w:space="0" w:color="auto"/>
            </w:tcBorders>
          </w:tcPr>
          <w:p w14:paraId="28F62603" w14:textId="77777777" w:rsidR="00803B11" w:rsidRPr="00F25846" w:rsidRDefault="00803B11" w:rsidP="001A1528">
            <w:pPr>
              <w:jc w:val="right"/>
              <w:rPr>
                <w:rFonts w:ascii="Cambria" w:hAnsi="Cambria"/>
                <w:sz w:val="24"/>
                <w:szCs w:val="24"/>
              </w:rPr>
            </w:pPr>
          </w:p>
          <w:p w14:paraId="061D04C1" w14:textId="77777777" w:rsidR="00803B11" w:rsidRPr="00F25846" w:rsidRDefault="00803B11" w:rsidP="001A1528">
            <w:pPr>
              <w:jc w:val="right"/>
              <w:rPr>
                <w:rFonts w:ascii="Cambria" w:hAnsi="Cambria"/>
                <w:sz w:val="24"/>
                <w:szCs w:val="24"/>
              </w:rPr>
            </w:pPr>
            <w:r w:rsidRPr="00F25846">
              <w:rPr>
                <w:rFonts w:ascii="Cambria" w:hAnsi="Cambria"/>
                <w:sz w:val="24"/>
                <w:szCs w:val="24"/>
              </w:rPr>
              <w:t>101</w:t>
            </w:r>
          </w:p>
          <w:p w14:paraId="224C146A" w14:textId="77777777" w:rsidR="00803B11" w:rsidRPr="00F25846" w:rsidRDefault="00803B11" w:rsidP="001A1528">
            <w:pPr>
              <w:jc w:val="right"/>
              <w:rPr>
                <w:rFonts w:ascii="Cambria" w:hAnsi="Cambria"/>
                <w:sz w:val="24"/>
                <w:szCs w:val="24"/>
              </w:rPr>
            </w:pPr>
            <w:r w:rsidRPr="00F25846">
              <w:rPr>
                <w:rFonts w:ascii="Cambria" w:hAnsi="Cambria"/>
                <w:sz w:val="24"/>
                <w:szCs w:val="24"/>
              </w:rPr>
              <w:t>10</w:t>
            </w:r>
          </w:p>
          <w:p w14:paraId="5BB7F81A" w14:textId="77777777" w:rsidR="00803B11" w:rsidRPr="00F25846" w:rsidRDefault="00803B11" w:rsidP="001A1528">
            <w:pPr>
              <w:jc w:val="right"/>
              <w:rPr>
                <w:rFonts w:ascii="Cambria" w:hAnsi="Cambria"/>
                <w:sz w:val="24"/>
                <w:szCs w:val="24"/>
              </w:rPr>
            </w:pPr>
            <w:r w:rsidRPr="00F25846">
              <w:rPr>
                <w:rFonts w:ascii="Cambria" w:hAnsi="Cambria"/>
                <w:sz w:val="24"/>
                <w:szCs w:val="24"/>
              </w:rPr>
              <w:t>3</w:t>
            </w:r>
          </w:p>
        </w:tc>
        <w:tc>
          <w:tcPr>
            <w:tcW w:w="851" w:type="dxa"/>
            <w:tcBorders>
              <w:top w:val="single" w:sz="4" w:space="0" w:color="auto"/>
              <w:bottom w:val="single" w:sz="4" w:space="0" w:color="auto"/>
            </w:tcBorders>
          </w:tcPr>
          <w:p w14:paraId="3BB5F63B" w14:textId="77777777" w:rsidR="00803B11" w:rsidRPr="00F25846" w:rsidRDefault="00803B11" w:rsidP="001A1528">
            <w:pPr>
              <w:jc w:val="right"/>
              <w:rPr>
                <w:rFonts w:ascii="Cambria" w:hAnsi="Cambria"/>
                <w:sz w:val="24"/>
                <w:szCs w:val="24"/>
              </w:rPr>
            </w:pPr>
          </w:p>
          <w:p w14:paraId="3138BECB" w14:textId="77777777" w:rsidR="004E3796" w:rsidRPr="00F25846" w:rsidRDefault="004E3796" w:rsidP="004E3796">
            <w:pPr>
              <w:jc w:val="right"/>
              <w:rPr>
                <w:rFonts w:ascii="Cambria" w:hAnsi="Cambria"/>
                <w:sz w:val="24"/>
                <w:szCs w:val="24"/>
              </w:rPr>
            </w:pPr>
            <w:r w:rsidRPr="00F25846">
              <w:rPr>
                <w:rFonts w:ascii="Cambria" w:hAnsi="Cambria"/>
                <w:sz w:val="24"/>
                <w:szCs w:val="24"/>
              </w:rPr>
              <w:t>0 (0)</w:t>
            </w:r>
          </w:p>
          <w:p w14:paraId="4377FFF9" w14:textId="77777777" w:rsidR="004E3796" w:rsidRPr="00F25846" w:rsidRDefault="004E3796" w:rsidP="004E3796">
            <w:pPr>
              <w:jc w:val="right"/>
              <w:rPr>
                <w:rFonts w:ascii="Cambria" w:hAnsi="Cambria"/>
                <w:sz w:val="24"/>
                <w:szCs w:val="24"/>
              </w:rPr>
            </w:pPr>
            <w:r w:rsidRPr="00F25846">
              <w:rPr>
                <w:rFonts w:ascii="Cambria" w:hAnsi="Cambria"/>
                <w:sz w:val="24"/>
                <w:szCs w:val="24"/>
              </w:rPr>
              <w:t>0 (0)</w:t>
            </w:r>
          </w:p>
          <w:p w14:paraId="4033DBC5" w14:textId="167194B5" w:rsidR="00803B11" w:rsidRPr="00F25846" w:rsidRDefault="004E3796" w:rsidP="004E3796">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2082E3C5" w14:textId="77777777" w:rsidR="00803B11" w:rsidRPr="00F25846" w:rsidRDefault="00803B11" w:rsidP="001A1528">
            <w:pPr>
              <w:jc w:val="right"/>
              <w:rPr>
                <w:rFonts w:ascii="Cambria" w:hAnsi="Cambria"/>
                <w:sz w:val="24"/>
                <w:szCs w:val="24"/>
              </w:rPr>
            </w:pPr>
          </w:p>
          <w:p w14:paraId="5868AFD1" w14:textId="703487E7" w:rsidR="00803B11" w:rsidRPr="00F25846" w:rsidRDefault="00803B11" w:rsidP="001A1528">
            <w:pPr>
              <w:jc w:val="right"/>
              <w:rPr>
                <w:rFonts w:ascii="Cambria" w:hAnsi="Cambria"/>
                <w:sz w:val="24"/>
                <w:szCs w:val="24"/>
              </w:rPr>
            </w:pPr>
            <w:r w:rsidRPr="00F25846">
              <w:rPr>
                <w:rFonts w:ascii="Cambria" w:hAnsi="Cambria"/>
                <w:sz w:val="24"/>
                <w:szCs w:val="24"/>
              </w:rPr>
              <w:t>1 (1</w:t>
            </w:r>
            <w:r w:rsidR="002765BF" w:rsidRPr="00F25846">
              <w:rPr>
                <w:rFonts w:ascii="Cambria" w:hAnsi="Cambria"/>
                <w:sz w:val="24"/>
                <w:szCs w:val="24"/>
              </w:rPr>
              <w:t>00.0</w:t>
            </w:r>
            <w:r w:rsidRPr="00F25846">
              <w:rPr>
                <w:rFonts w:ascii="Cambria" w:hAnsi="Cambria"/>
                <w:sz w:val="24"/>
                <w:szCs w:val="24"/>
              </w:rPr>
              <w:t>)</w:t>
            </w:r>
          </w:p>
          <w:p w14:paraId="432DC80E" w14:textId="34DE822D" w:rsidR="00803B11" w:rsidRPr="00F25846" w:rsidRDefault="004E3796" w:rsidP="004E3796">
            <w:pPr>
              <w:jc w:val="right"/>
              <w:rPr>
                <w:rFonts w:ascii="Cambria" w:hAnsi="Cambria"/>
                <w:sz w:val="24"/>
                <w:szCs w:val="24"/>
              </w:rPr>
            </w:pPr>
            <w:r w:rsidRPr="00F25846">
              <w:rPr>
                <w:rFonts w:ascii="Cambria" w:hAnsi="Cambria"/>
                <w:sz w:val="24"/>
                <w:szCs w:val="24"/>
              </w:rPr>
              <w:t>0 (0)</w:t>
            </w:r>
          </w:p>
          <w:p w14:paraId="4E60A6D7" w14:textId="443C6895" w:rsidR="00803B11" w:rsidRPr="00F25846" w:rsidRDefault="004E3796" w:rsidP="004E3796">
            <w:pPr>
              <w:jc w:val="right"/>
              <w:rPr>
                <w:rFonts w:ascii="Cambria" w:hAnsi="Cambria"/>
                <w:sz w:val="24"/>
                <w:szCs w:val="24"/>
              </w:rPr>
            </w:pPr>
            <w:r w:rsidRPr="00F25846">
              <w:rPr>
                <w:rFonts w:ascii="Cambria" w:hAnsi="Cambria"/>
                <w:sz w:val="24"/>
                <w:szCs w:val="24"/>
              </w:rPr>
              <w:t>0 (0)</w:t>
            </w:r>
          </w:p>
        </w:tc>
        <w:tc>
          <w:tcPr>
            <w:tcW w:w="992" w:type="dxa"/>
            <w:tcBorders>
              <w:top w:val="single" w:sz="4" w:space="0" w:color="auto"/>
              <w:bottom w:val="single" w:sz="4" w:space="0" w:color="auto"/>
            </w:tcBorders>
          </w:tcPr>
          <w:p w14:paraId="6CED5334" w14:textId="77777777" w:rsidR="00803B11" w:rsidRPr="00F25846" w:rsidRDefault="00803B11" w:rsidP="001A1528">
            <w:pPr>
              <w:jc w:val="right"/>
              <w:rPr>
                <w:rFonts w:ascii="Cambria" w:hAnsi="Cambria"/>
                <w:sz w:val="24"/>
                <w:szCs w:val="24"/>
              </w:rPr>
            </w:pPr>
          </w:p>
          <w:p w14:paraId="679DEE92" w14:textId="271ACE04" w:rsidR="00803B11" w:rsidRPr="00F25846" w:rsidRDefault="00803B11" w:rsidP="001A1528">
            <w:pPr>
              <w:jc w:val="right"/>
              <w:rPr>
                <w:rFonts w:ascii="Cambria" w:hAnsi="Cambria"/>
                <w:sz w:val="24"/>
                <w:szCs w:val="24"/>
              </w:rPr>
            </w:pPr>
            <w:r w:rsidRPr="00F25846">
              <w:rPr>
                <w:rFonts w:ascii="Cambria" w:hAnsi="Cambria"/>
                <w:sz w:val="24"/>
                <w:szCs w:val="24"/>
              </w:rPr>
              <w:t>0</w:t>
            </w:r>
            <w:r w:rsidR="004E3796" w:rsidRPr="00F25846">
              <w:rPr>
                <w:rFonts w:ascii="Cambria" w:hAnsi="Cambria"/>
                <w:sz w:val="24"/>
                <w:szCs w:val="24"/>
              </w:rPr>
              <w:t xml:space="preserve"> (0)</w:t>
            </w:r>
          </w:p>
          <w:p w14:paraId="30D63A78" w14:textId="2F4C6543" w:rsidR="00803B11" w:rsidRPr="00F25846" w:rsidRDefault="00803B11" w:rsidP="001A1528">
            <w:pPr>
              <w:jc w:val="right"/>
              <w:rPr>
                <w:rFonts w:ascii="Cambria" w:hAnsi="Cambria"/>
                <w:sz w:val="24"/>
                <w:szCs w:val="24"/>
              </w:rPr>
            </w:pPr>
            <w:r w:rsidRPr="00F25846">
              <w:rPr>
                <w:rFonts w:ascii="Cambria" w:hAnsi="Cambria"/>
                <w:sz w:val="24"/>
                <w:szCs w:val="24"/>
              </w:rPr>
              <w:t>5 (</w:t>
            </w:r>
            <w:r w:rsidR="002765BF" w:rsidRPr="00F25846">
              <w:rPr>
                <w:rFonts w:ascii="Cambria" w:hAnsi="Cambria"/>
                <w:sz w:val="24"/>
                <w:szCs w:val="24"/>
              </w:rPr>
              <w:t>62.5</w:t>
            </w:r>
            <w:r w:rsidRPr="00F25846">
              <w:rPr>
                <w:rFonts w:ascii="Cambria" w:hAnsi="Cambria"/>
                <w:sz w:val="24"/>
                <w:szCs w:val="24"/>
              </w:rPr>
              <w:t>)</w:t>
            </w:r>
          </w:p>
          <w:p w14:paraId="258DE8DC" w14:textId="72CBC0D4" w:rsidR="00803B11" w:rsidRPr="00F25846" w:rsidRDefault="00803B11" w:rsidP="001A1528">
            <w:pPr>
              <w:jc w:val="right"/>
              <w:rPr>
                <w:rFonts w:ascii="Cambria" w:hAnsi="Cambria"/>
                <w:sz w:val="24"/>
                <w:szCs w:val="24"/>
              </w:rPr>
            </w:pPr>
            <w:r w:rsidRPr="00F25846">
              <w:rPr>
                <w:rFonts w:ascii="Cambria" w:hAnsi="Cambria"/>
                <w:sz w:val="24"/>
                <w:szCs w:val="24"/>
              </w:rPr>
              <w:t>3 (</w:t>
            </w:r>
            <w:r w:rsidR="002765BF" w:rsidRPr="00F25846">
              <w:rPr>
                <w:rFonts w:ascii="Cambria" w:hAnsi="Cambria"/>
                <w:sz w:val="24"/>
                <w:szCs w:val="24"/>
              </w:rPr>
              <w:t>37.5</w:t>
            </w:r>
            <w:r w:rsidRPr="00F25846">
              <w:rPr>
                <w:rFonts w:ascii="Cambria" w:hAnsi="Cambria"/>
                <w:sz w:val="24"/>
                <w:szCs w:val="24"/>
              </w:rPr>
              <w:t>)</w:t>
            </w:r>
          </w:p>
        </w:tc>
        <w:tc>
          <w:tcPr>
            <w:tcW w:w="1134" w:type="dxa"/>
            <w:tcBorders>
              <w:top w:val="single" w:sz="4" w:space="0" w:color="auto"/>
              <w:bottom w:val="single" w:sz="4" w:space="0" w:color="auto"/>
            </w:tcBorders>
          </w:tcPr>
          <w:p w14:paraId="502AFC8A" w14:textId="77777777" w:rsidR="00803B11" w:rsidRPr="00F25846" w:rsidRDefault="00803B11" w:rsidP="001A1528">
            <w:pPr>
              <w:jc w:val="right"/>
              <w:rPr>
                <w:rFonts w:ascii="Cambria" w:hAnsi="Cambria"/>
                <w:sz w:val="24"/>
                <w:szCs w:val="24"/>
              </w:rPr>
            </w:pPr>
          </w:p>
          <w:p w14:paraId="1C2711F4" w14:textId="39D8F598" w:rsidR="00803B11" w:rsidRPr="00F25846" w:rsidRDefault="00803B11" w:rsidP="001A1528">
            <w:pPr>
              <w:jc w:val="right"/>
              <w:rPr>
                <w:rFonts w:ascii="Cambria" w:hAnsi="Cambria"/>
                <w:sz w:val="24"/>
                <w:szCs w:val="24"/>
              </w:rPr>
            </w:pPr>
            <w:r w:rsidRPr="00F25846">
              <w:rPr>
                <w:rFonts w:ascii="Cambria" w:hAnsi="Cambria"/>
                <w:sz w:val="24"/>
                <w:szCs w:val="24"/>
              </w:rPr>
              <w:t>15 (</w:t>
            </w:r>
            <w:r w:rsidR="00A0222D" w:rsidRPr="00F25846">
              <w:rPr>
                <w:rFonts w:ascii="Cambria" w:hAnsi="Cambria"/>
                <w:sz w:val="24"/>
                <w:szCs w:val="24"/>
              </w:rPr>
              <w:t>78.9</w:t>
            </w:r>
            <w:r w:rsidRPr="00F25846">
              <w:rPr>
                <w:rFonts w:ascii="Cambria" w:hAnsi="Cambria"/>
                <w:sz w:val="24"/>
                <w:szCs w:val="24"/>
              </w:rPr>
              <w:t>)</w:t>
            </w:r>
          </w:p>
          <w:p w14:paraId="21E86C9F" w14:textId="2F88C5F3" w:rsidR="00803B11" w:rsidRPr="00F25846" w:rsidRDefault="00803B11" w:rsidP="001A1528">
            <w:pPr>
              <w:jc w:val="right"/>
              <w:rPr>
                <w:rFonts w:ascii="Cambria" w:hAnsi="Cambria"/>
                <w:sz w:val="24"/>
                <w:szCs w:val="24"/>
              </w:rPr>
            </w:pPr>
            <w:r w:rsidRPr="00F25846">
              <w:rPr>
                <w:rFonts w:ascii="Cambria" w:hAnsi="Cambria"/>
                <w:sz w:val="24"/>
                <w:szCs w:val="24"/>
              </w:rPr>
              <w:t>4 (</w:t>
            </w:r>
            <w:r w:rsidR="00A0222D" w:rsidRPr="00F25846">
              <w:rPr>
                <w:rFonts w:ascii="Cambria" w:hAnsi="Cambria"/>
                <w:sz w:val="24"/>
                <w:szCs w:val="24"/>
              </w:rPr>
              <w:t>21.1</w:t>
            </w:r>
            <w:r w:rsidRPr="00F25846">
              <w:rPr>
                <w:rFonts w:ascii="Cambria" w:hAnsi="Cambria"/>
                <w:sz w:val="24"/>
                <w:szCs w:val="24"/>
              </w:rPr>
              <w:t>)</w:t>
            </w:r>
          </w:p>
          <w:p w14:paraId="6C9BE554" w14:textId="52B24301" w:rsidR="00803B11" w:rsidRPr="00F25846" w:rsidRDefault="00803B11" w:rsidP="001A1528">
            <w:pPr>
              <w:jc w:val="right"/>
              <w:rPr>
                <w:rFonts w:ascii="Cambria" w:hAnsi="Cambria"/>
                <w:sz w:val="24"/>
                <w:szCs w:val="24"/>
              </w:rPr>
            </w:pPr>
            <w:r w:rsidRPr="00F25846">
              <w:rPr>
                <w:rFonts w:ascii="Cambria" w:hAnsi="Cambria"/>
                <w:sz w:val="24"/>
                <w:szCs w:val="24"/>
              </w:rPr>
              <w:t>0</w:t>
            </w:r>
            <w:r w:rsidR="004E3796" w:rsidRPr="00F25846">
              <w:rPr>
                <w:rFonts w:ascii="Cambria" w:hAnsi="Cambria"/>
                <w:sz w:val="24"/>
                <w:szCs w:val="24"/>
              </w:rPr>
              <w:t xml:space="preserve"> (0)</w:t>
            </w:r>
          </w:p>
        </w:tc>
        <w:tc>
          <w:tcPr>
            <w:tcW w:w="1134" w:type="dxa"/>
            <w:tcBorders>
              <w:top w:val="single" w:sz="4" w:space="0" w:color="auto"/>
              <w:bottom w:val="single" w:sz="4" w:space="0" w:color="auto"/>
            </w:tcBorders>
          </w:tcPr>
          <w:p w14:paraId="33B9B1FD" w14:textId="77777777" w:rsidR="00803B11" w:rsidRPr="00F25846" w:rsidRDefault="00803B11" w:rsidP="001A1528">
            <w:pPr>
              <w:jc w:val="right"/>
              <w:rPr>
                <w:rFonts w:ascii="Cambria" w:hAnsi="Cambria"/>
                <w:sz w:val="24"/>
                <w:szCs w:val="24"/>
              </w:rPr>
            </w:pPr>
          </w:p>
          <w:p w14:paraId="75EE1518" w14:textId="262B8CC3" w:rsidR="00803B11" w:rsidRPr="00F25846" w:rsidRDefault="00803B11" w:rsidP="001A1528">
            <w:pPr>
              <w:jc w:val="right"/>
              <w:rPr>
                <w:rFonts w:ascii="Cambria" w:hAnsi="Cambria"/>
                <w:sz w:val="24"/>
                <w:szCs w:val="24"/>
              </w:rPr>
            </w:pPr>
            <w:r w:rsidRPr="00F25846">
              <w:rPr>
                <w:rFonts w:ascii="Cambria" w:hAnsi="Cambria"/>
                <w:sz w:val="24"/>
                <w:szCs w:val="24"/>
              </w:rPr>
              <w:t>8</w:t>
            </w:r>
            <w:r w:rsidR="00A41D3B" w:rsidRPr="00F25846">
              <w:rPr>
                <w:rFonts w:ascii="Cambria" w:hAnsi="Cambria"/>
                <w:sz w:val="24"/>
                <w:szCs w:val="24"/>
              </w:rPr>
              <w:t>0</w:t>
            </w:r>
            <w:r w:rsidRPr="00F25846">
              <w:rPr>
                <w:rFonts w:ascii="Cambria" w:hAnsi="Cambria"/>
                <w:sz w:val="24"/>
                <w:szCs w:val="24"/>
              </w:rPr>
              <w:t xml:space="preserve"> (</w:t>
            </w:r>
            <w:r w:rsidR="00EB7799" w:rsidRPr="00F25846">
              <w:rPr>
                <w:rFonts w:ascii="Cambria" w:hAnsi="Cambria"/>
                <w:sz w:val="24"/>
                <w:szCs w:val="24"/>
              </w:rPr>
              <w:t>98.8</w:t>
            </w:r>
            <w:r w:rsidRPr="00F25846">
              <w:rPr>
                <w:rFonts w:ascii="Cambria" w:hAnsi="Cambria"/>
                <w:sz w:val="24"/>
                <w:szCs w:val="24"/>
              </w:rPr>
              <w:t>)</w:t>
            </w:r>
          </w:p>
          <w:p w14:paraId="49AC1FEC" w14:textId="23D07E04" w:rsidR="00803B11" w:rsidRPr="00F25846" w:rsidRDefault="00803B11" w:rsidP="001A1528">
            <w:pPr>
              <w:jc w:val="right"/>
              <w:rPr>
                <w:rFonts w:ascii="Cambria" w:hAnsi="Cambria"/>
                <w:sz w:val="24"/>
                <w:szCs w:val="24"/>
              </w:rPr>
            </w:pPr>
            <w:r w:rsidRPr="00F25846">
              <w:rPr>
                <w:rFonts w:ascii="Cambria" w:hAnsi="Cambria"/>
                <w:sz w:val="24"/>
                <w:szCs w:val="24"/>
              </w:rPr>
              <w:t>1 (1</w:t>
            </w:r>
            <w:r w:rsidR="00EB7799" w:rsidRPr="00F25846">
              <w:rPr>
                <w:rFonts w:ascii="Cambria" w:hAnsi="Cambria"/>
                <w:sz w:val="24"/>
                <w:szCs w:val="24"/>
              </w:rPr>
              <w:t>.2</w:t>
            </w:r>
            <w:r w:rsidRPr="00F25846">
              <w:rPr>
                <w:rFonts w:ascii="Cambria" w:hAnsi="Cambria"/>
                <w:sz w:val="24"/>
                <w:szCs w:val="24"/>
              </w:rPr>
              <w:t>)</w:t>
            </w:r>
          </w:p>
          <w:p w14:paraId="6B517148" w14:textId="5AFEDDB7" w:rsidR="00803B11" w:rsidRPr="00F25846" w:rsidRDefault="00803B11" w:rsidP="001A1528">
            <w:pPr>
              <w:jc w:val="right"/>
              <w:rPr>
                <w:rFonts w:ascii="Cambria" w:hAnsi="Cambria"/>
                <w:sz w:val="24"/>
                <w:szCs w:val="24"/>
              </w:rPr>
            </w:pPr>
            <w:r w:rsidRPr="00F25846">
              <w:rPr>
                <w:rFonts w:ascii="Cambria" w:hAnsi="Cambria"/>
                <w:sz w:val="24"/>
                <w:szCs w:val="24"/>
              </w:rPr>
              <w:t>0</w:t>
            </w:r>
            <w:r w:rsidR="004E3796" w:rsidRPr="00F25846">
              <w:rPr>
                <w:rFonts w:ascii="Cambria" w:hAnsi="Cambria"/>
                <w:sz w:val="24"/>
                <w:szCs w:val="24"/>
              </w:rPr>
              <w:t xml:space="preserve"> (0)</w:t>
            </w:r>
          </w:p>
        </w:tc>
        <w:tc>
          <w:tcPr>
            <w:tcW w:w="1276" w:type="dxa"/>
            <w:tcBorders>
              <w:top w:val="single" w:sz="4" w:space="0" w:color="auto"/>
              <w:bottom w:val="single" w:sz="4" w:space="0" w:color="auto"/>
            </w:tcBorders>
          </w:tcPr>
          <w:p w14:paraId="2E73BB1D" w14:textId="77777777" w:rsidR="00803B11" w:rsidRPr="00F25846" w:rsidRDefault="00803B11" w:rsidP="001A1528">
            <w:pPr>
              <w:jc w:val="right"/>
              <w:rPr>
                <w:rFonts w:ascii="Cambria" w:hAnsi="Cambria"/>
                <w:sz w:val="24"/>
                <w:szCs w:val="24"/>
              </w:rPr>
            </w:pPr>
          </w:p>
          <w:p w14:paraId="28DE0700" w14:textId="77B2E8A9" w:rsidR="00803B11" w:rsidRPr="00F25846" w:rsidRDefault="000872D6" w:rsidP="001A1528">
            <w:pPr>
              <w:jc w:val="right"/>
              <w:rPr>
                <w:rFonts w:ascii="Cambria" w:hAnsi="Cambria"/>
                <w:sz w:val="24"/>
                <w:szCs w:val="24"/>
              </w:rPr>
            </w:pPr>
            <w:r w:rsidRPr="00F25846">
              <w:rPr>
                <w:rFonts w:ascii="Cambria" w:hAnsi="Cambria"/>
                <w:sz w:val="24"/>
                <w:szCs w:val="24"/>
              </w:rPr>
              <w:t>5</w:t>
            </w:r>
            <w:r w:rsidR="00803B11" w:rsidRPr="00F25846">
              <w:rPr>
                <w:rFonts w:ascii="Cambria" w:hAnsi="Cambria"/>
                <w:sz w:val="24"/>
                <w:szCs w:val="24"/>
              </w:rPr>
              <w:t xml:space="preserve"> (</w:t>
            </w:r>
            <w:r w:rsidR="007A5500" w:rsidRPr="00F25846">
              <w:rPr>
                <w:rFonts w:ascii="Cambria" w:hAnsi="Cambria"/>
                <w:sz w:val="24"/>
                <w:szCs w:val="24"/>
              </w:rPr>
              <w:t>100.0</w:t>
            </w:r>
            <w:r w:rsidR="00803B11" w:rsidRPr="00F25846">
              <w:rPr>
                <w:rFonts w:ascii="Cambria" w:hAnsi="Cambria"/>
                <w:sz w:val="24"/>
                <w:szCs w:val="24"/>
              </w:rPr>
              <w:t>)</w:t>
            </w:r>
          </w:p>
          <w:p w14:paraId="68BF5F11" w14:textId="34908721" w:rsidR="00803B11" w:rsidRPr="00F25846" w:rsidRDefault="00803B11" w:rsidP="001A1528">
            <w:pPr>
              <w:jc w:val="right"/>
              <w:rPr>
                <w:rFonts w:ascii="Cambria" w:hAnsi="Cambria"/>
                <w:sz w:val="24"/>
                <w:szCs w:val="24"/>
              </w:rPr>
            </w:pPr>
            <w:r w:rsidRPr="00F25846">
              <w:rPr>
                <w:rFonts w:ascii="Cambria" w:hAnsi="Cambria"/>
                <w:sz w:val="24"/>
                <w:szCs w:val="24"/>
              </w:rPr>
              <w:t>0</w:t>
            </w:r>
            <w:r w:rsidR="003E0658" w:rsidRPr="00F25846">
              <w:rPr>
                <w:rFonts w:ascii="Cambria" w:hAnsi="Cambria"/>
                <w:sz w:val="24"/>
                <w:szCs w:val="24"/>
              </w:rPr>
              <w:t xml:space="preserve"> </w:t>
            </w:r>
            <w:r w:rsidR="004E3796" w:rsidRPr="00F25846">
              <w:rPr>
                <w:rFonts w:ascii="Cambria" w:hAnsi="Cambria"/>
                <w:sz w:val="24"/>
                <w:szCs w:val="24"/>
              </w:rPr>
              <w:t>(0)</w:t>
            </w:r>
          </w:p>
          <w:p w14:paraId="10AF07BD" w14:textId="263AB639" w:rsidR="00803B11" w:rsidRPr="00F25846" w:rsidRDefault="00803B11" w:rsidP="001A1528">
            <w:pPr>
              <w:jc w:val="right"/>
              <w:rPr>
                <w:rFonts w:ascii="Cambria" w:hAnsi="Cambria"/>
                <w:sz w:val="24"/>
                <w:szCs w:val="24"/>
              </w:rPr>
            </w:pPr>
            <w:r w:rsidRPr="00F25846">
              <w:rPr>
                <w:rFonts w:ascii="Cambria" w:hAnsi="Cambria"/>
                <w:sz w:val="24"/>
                <w:szCs w:val="24"/>
              </w:rPr>
              <w:t>0</w:t>
            </w:r>
            <w:r w:rsidR="004E3796" w:rsidRPr="00F25846">
              <w:rPr>
                <w:rFonts w:ascii="Cambria" w:hAnsi="Cambria"/>
                <w:sz w:val="24"/>
                <w:szCs w:val="24"/>
              </w:rPr>
              <w:t xml:space="preserve"> (0)</w:t>
            </w:r>
          </w:p>
        </w:tc>
        <w:tc>
          <w:tcPr>
            <w:tcW w:w="992" w:type="dxa"/>
            <w:tcBorders>
              <w:top w:val="single" w:sz="4" w:space="0" w:color="auto"/>
              <w:bottom w:val="single" w:sz="4" w:space="0" w:color="auto"/>
            </w:tcBorders>
          </w:tcPr>
          <w:p w14:paraId="25C89B1A" w14:textId="77777777" w:rsidR="00803B11" w:rsidRPr="00F25846" w:rsidRDefault="00803B11" w:rsidP="001A1528">
            <w:pPr>
              <w:jc w:val="right"/>
              <w:rPr>
                <w:rFonts w:ascii="Cambria" w:hAnsi="Cambria"/>
                <w:sz w:val="24"/>
                <w:szCs w:val="24"/>
              </w:rPr>
            </w:pPr>
          </w:p>
          <w:p w14:paraId="1BF30C30"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&lt;0.001</w:t>
            </w:r>
          </w:p>
        </w:tc>
      </w:tr>
    </w:tbl>
    <w:p w14:paraId="3EFA1441" w14:textId="46BAB87F" w:rsidR="00803B11" w:rsidRPr="00F25846" w:rsidRDefault="00803B11" w:rsidP="00803B11">
      <w:pPr>
        <w:rPr>
          <w:rFonts w:ascii="Cambria" w:hAnsi="Cambria"/>
        </w:rPr>
      </w:pPr>
      <w:r w:rsidRPr="00F25846">
        <w:rPr>
          <w:rFonts w:ascii="Cambria" w:hAnsi="Cambria"/>
        </w:rPr>
        <w:t xml:space="preserve"> </w:t>
      </w:r>
      <w:r w:rsidRPr="00F25846">
        <w:rPr>
          <w:rFonts w:ascii="Cambria" w:hAnsi="Cambria"/>
          <w:vertAlign w:val="superscript"/>
        </w:rPr>
        <w:t xml:space="preserve">a </w:t>
      </w:r>
      <w:r w:rsidRPr="00F25846">
        <w:rPr>
          <w:rFonts w:ascii="Cambria" w:hAnsi="Cambria"/>
        </w:rPr>
        <w:t>Fis</w:t>
      </w:r>
      <w:r w:rsidR="00C52DF7" w:rsidRPr="00F25846">
        <w:rPr>
          <w:rFonts w:ascii="Cambria" w:hAnsi="Cambria"/>
        </w:rPr>
        <w:t>h</w:t>
      </w:r>
      <w:r w:rsidRPr="00F25846">
        <w:rPr>
          <w:rFonts w:ascii="Cambria" w:hAnsi="Cambria"/>
        </w:rPr>
        <w:t>er Exact test</w:t>
      </w:r>
    </w:p>
    <w:p w14:paraId="0254BC13" w14:textId="77777777" w:rsidR="00803B11" w:rsidRPr="00F25846" w:rsidRDefault="00803B11" w:rsidP="00803B11">
      <w:pPr>
        <w:rPr>
          <w:rFonts w:ascii="Cambria" w:hAnsi="Cambria"/>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1843"/>
        <w:gridCol w:w="1985"/>
        <w:gridCol w:w="1842"/>
        <w:gridCol w:w="6"/>
        <w:gridCol w:w="1128"/>
      </w:tblGrid>
      <w:tr w:rsidR="00803B11" w:rsidRPr="00F25846" w14:paraId="2E6762B3" w14:textId="77777777" w:rsidTr="001A1528">
        <w:trPr>
          <w:trHeight w:val="300"/>
        </w:trPr>
        <w:tc>
          <w:tcPr>
            <w:tcW w:w="8647" w:type="dxa"/>
            <w:gridSpan w:val="5"/>
            <w:tcBorders>
              <w:bottom w:val="single" w:sz="4" w:space="0" w:color="auto"/>
            </w:tcBorders>
          </w:tcPr>
          <w:p w14:paraId="07BFD89B" w14:textId="0C4C9569" w:rsidR="00803B11" w:rsidRPr="00F25846" w:rsidRDefault="00803B11" w:rsidP="001A1528">
            <w:pPr>
              <w:rPr>
                <w:rFonts w:ascii="Cambria" w:hAnsi="Cambria"/>
                <w:b/>
                <w:bCs/>
                <w:sz w:val="24"/>
                <w:szCs w:val="24"/>
              </w:rPr>
            </w:pPr>
            <w:r w:rsidRPr="00F25846">
              <w:rPr>
                <w:rFonts w:ascii="Cambria" w:hAnsi="Cambria"/>
                <w:b/>
                <w:bCs/>
                <w:sz w:val="24"/>
                <w:szCs w:val="24"/>
              </w:rPr>
              <w:t xml:space="preserve">Table 3: </w:t>
            </w:r>
            <w:r w:rsidRPr="00F25846">
              <w:rPr>
                <w:rFonts w:ascii="Cambria" w:hAnsi="Cambria"/>
                <w:sz w:val="24"/>
                <w:szCs w:val="24"/>
              </w:rPr>
              <w:t xml:space="preserve">Association between intraoperative </w:t>
            </w:r>
            <w:r w:rsidR="002B6F30" w:rsidRPr="00F25846">
              <w:rPr>
                <w:rFonts w:ascii="Cambria" w:hAnsi="Cambria"/>
                <w:sz w:val="24"/>
                <w:szCs w:val="24"/>
              </w:rPr>
              <w:t>IONM</w:t>
            </w:r>
            <w:r w:rsidRPr="00F25846">
              <w:rPr>
                <w:rFonts w:ascii="Cambria" w:hAnsi="Cambria"/>
                <w:sz w:val="24"/>
                <w:szCs w:val="24"/>
              </w:rPr>
              <w:t xml:space="preserve"> signal changes and postoperative neurological outcomes (n = 114)</w:t>
            </w:r>
          </w:p>
        </w:tc>
        <w:tc>
          <w:tcPr>
            <w:tcW w:w="1134" w:type="dxa"/>
            <w:gridSpan w:val="2"/>
            <w:tcBorders>
              <w:bottom w:val="single" w:sz="4" w:space="0" w:color="auto"/>
            </w:tcBorders>
          </w:tcPr>
          <w:p w14:paraId="65E57286" w14:textId="77777777" w:rsidR="00803B11" w:rsidRPr="00F25846" w:rsidRDefault="00803B11" w:rsidP="001A1528">
            <w:pPr>
              <w:rPr>
                <w:rFonts w:ascii="Cambria" w:hAnsi="Cambria"/>
                <w:b/>
                <w:bCs/>
                <w:sz w:val="24"/>
                <w:szCs w:val="24"/>
              </w:rPr>
            </w:pPr>
          </w:p>
        </w:tc>
      </w:tr>
      <w:tr w:rsidR="00803B11" w:rsidRPr="00F25846" w14:paraId="523B065B" w14:textId="77777777" w:rsidTr="001A1528">
        <w:trPr>
          <w:trHeight w:val="210"/>
        </w:trPr>
        <w:tc>
          <w:tcPr>
            <w:tcW w:w="2410" w:type="dxa"/>
            <w:vMerge w:val="restart"/>
            <w:tcBorders>
              <w:top w:val="single" w:sz="4" w:space="0" w:color="auto"/>
            </w:tcBorders>
            <w:vAlign w:val="center"/>
            <w:hideMark/>
          </w:tcPr>
          <w:p w14:paraId="4F424A63"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Variables</w:t>
            </w:r>
          </w:p>
        </w:tc>
        <w:tc>
          <w:tcPr>
            <w:tcW w:w="567" w:type="dxa"/>
            <w:vMerge w:val="restart"/>
            <w:tcBorders>
              <w:top w:val="single" w:sz="4" w:space="0" w:color="auto"/>
            </w:tcBorders>
            <w:vAlign w:val="center"/>
          </w:tcPr>
          <w:p w14:paraId="3D2C9E3E" w14:textId="77777777" w:rsidR="00803B11" w:rsidRPr="00F25846" w:rsidRDefault="00803B11" w:rsidP="001A1528">
            <w:pPr>
              <w:jc w:val="center"/>
              <w:rPr>
                <w:rFonts w:ascii="Cambria" w:hAnsi="Cambria"/>
                <w:b/>
                <w:bCs/>
                <w:sz w:val="24"/>
                <w:szCs w:val="24"/>
              </w:rPr>
            </w:pPr>
            <w:r w:rsidRPr="00F25846">
              <w:rPr>
                <w:rFonts w:ascii="Cambria" w:hAnsi="Cambria"/>
                <w:b/>
                <w:bCs/>
                <w:sz w:val="24"/>
                <w:szCs w:val="24"/>
              </w:rPr>
              <w:t>n</w:t>
            </w:r>
          </w:p>
        </w:tc>
        <w:tc>
          <w:tcPr>
            <w:tcW w:w="5670" w:type="dxa"/>
            <w:gridSpan w:val="3"/>
            <w:tcBorders>
              <w:top w:val="single" w:sz="4" w:space="0" w:color="auto"/>
              <w:bottom w:val="single" w:sz="4" w:space="0" w:color="auto"/>
            </w:tcBorders>
          </w:tcPr>
          <w:p w14:paraId="73BF8809" w14:textId="1605DCD5" w:rsidR="00803B11" w:rsidRPr="00F25846" w:rsidRDefault="00803B11" w:rsidP="001A1528">
            <w:pPr>
              <w:jc w:val="center"/>
              <w:rPr>
                <w:rFonts w:ascii="Cambria" w:hAnsi="Cambria"/>
                <w:b/>
                <w:bCs/>
                <w:sz w:val="24"/>
                <w:szCs w:val="24"/>
              </w:rPr>
            </w:pPr>
            <w:r w:rsidRPr="00F25846">
              <w:rPr>
                <w:rFonts w:ascii="Cambria" w:hAnsi="Cambria"/>
                <w:b/>
                <w:bCs/>
                <w:sz w:val="24"/>
                <w:szCs w:val="24"/>
              </w:rPr>
              <w:t xml:space="preserve">Neurology </w:t>
            </w:r>
            <w:r w:rsidR="008F5642" w:rsidRPr="00F25846">
              <w:rPr>
                <w:rFonts w:ascii="Cambria" w:hAnsi="Cambria"/>
                <w:b/>
                <w:bCs/>
                <w:sz w:val="24"/>
                <w:szCs w:val="24"/>
              </w:rPr>
              <w:t>Outcome</w:t>
            </w:r>
          </w:p>
        </w:tc>
        <w:tc>
          <w:tcPr>
            <w:tcW w:w="1134" w:type="dxa"/>
            <w:gridSpan w:val="2"/>
            <w:tcBorders>
              <w:top w:val="single" w:sz="4" w:space="0" w:color="auto"/>
            </w:tcBorders>
            <w:vAlign w:val="center"/>
          </w:tcPr>
          <w:p w14:paraId="15D2C778" w14:textId="77777777" w:rsidR="00803B11" w:rsidRPr="00F25846" w:rsidRDefault="00803B11" w:rsidP="001A1528">
            <w:pPr>
              <w:jc w:val="center"/>
              <w:rPr>
                <w:rFonts w:ascii="Cambria" w:hAnsi="Cambria"/>
                <w:b/>
                <w:bCs/>
                <w:sz w:val="24"/>
                <w:szCs w:val="24"/>
                <w:vertAlign w:val="superscript"/>
              </w:rPr>
            </w:pPr>
            <w:r w:rsidRPr="00F25846">
              <w:rPr>
                <w:rFonts w:ascii="Cambria" w:hAnsi="Cambria"/>
                <w:b/>
                <w:bCs/>
                <w:sz w:val="24"/>
                <w:szCs w:val="24"/>
              </w:rPr>
              <w:t xml:space="preserve">p-value </w:t>
            </w:r>
            <w:r w:rsidRPr="00F25846">
              <w:rPr>
                <w:rFonts w:ascii="Cambria" w:hAnsi="Cambria"/>
                <w:b/>
                <w:bCs/>
                <w:sz w:val="24"/>
                <w:szCs w:val="24"/>
                <w:vertAlign w:val="superscript"/>
              </w:rPr>
              <w:t>a</w:t>
            </w:r>
          </w:p>
        </w:tc>
      </w:tr>
      <w:tr w:rsidR="00803B11" w:rsidRPr="00F25846" w14:paraId="5A6A3381" w14:textId="77777777" w:rsidTr="001A1528">
        <w:trPr>
          <w:trHeight w:val="210"/>
        </w:trPr>
        <w:tc>
          <w:tcPr>
            <w:tcW w:w="2410" w:type="dxa"/>
            <w:vMerge/>
            <w:tcBorders>
              <w:bottom w:val="single" w:sz="4" w:space="0" w:color="auto"/>
            </w:tcBorders>
          </w:tcPr>
          <w:p w14:paraId="3D6FC100" w14:textId="77777777" w:rsidR="00803B11" w:rsidRPr="00F25846" w:rsidRDefault="00803B11" w:rsidP="001A1528">
            <w:pPr>
              <w:rPr>
                <w:rFonts w:ascii="Cambria" w:hAnsi="Cambria"/>
                <w:b/>
                <w:bCs/>
                <w:sz w:val="24"/>
                <w:szCs w:val="24"/>
              </w:rPr>
            </w:pPr>
          </w:p>
        </w:tc>
        <w:tc>
          <w:tcPr>
            <w:tcW w:w="567" w:type="dxa"/>
            <w:vMerge/>
            <w:tcBorders>
              <w:bottom w:val="single" w:sz="4" w:space="0" w:color="auto"/>
            </w:tcBorders>
          </w:tcPr>
          <w:p w14:paraId="034C0514" w14:textId="77777777" w:rsidR="00803B11" w:rsidRPr="00F25846" w:rsidRDefault="00803B11" w:rsidP="001A1528">
            <w:pPr>
              <w:jc w:val="center"/>
              <w:rPr>
                <w:rFonts w:ascii="Cambria" w:hAnsi="Cambria"/>
                <w:b/>
                <w:bCs/>
                <w:sz w:val="24"/>
                <w:szCs w:val="24"/>
              </w:rPr>
            </w:pPr>
          </w:p>
        </w:tc>
        <w:tc>
          <w:tcPr>
            <w:tcW w:w="1843" w:type="dxa"/>
            <w:tcBorders>
              <w:top w:val="single" w:sz="4" w:space="0" w:color="auto"/>
              <w:bottom w:val="single" w:sz="4" w:space="0" w:color="auto"/>
            </w:tcBorders>
          </w:tcPr>
          <w:p w14:paraId="166B8F35"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 xml:space="preserve">Improved </w:t>
            </w:r>
          </w:p>
          <w:p w14:paraId="3761ADE9"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985" w:type="dxa"/>
            <w:tcBorders>
              <w:top w:val="single" w:sz="4" w:space="0" w:color="auto"/>
              <w:bottom w:val="single" w:sz="4" w:space="0" w:color="auto"/>
            </w:tcBorders>
          </w:tcPr>
          <w:p w14:paraId="3959A354"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Same</w:t>
            </w:r>
          </w:p>
          <w:p w14:paraId="3EDBA5A2"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848" w:type="dxa"/>
            <w:gridSpan w:val="2"/>
            <w:tcBorders>
              <w:top w:val="single" w:sz="4" w:space="0" w:color="auto"/>
              <w:bottom w:val="single" w:sz="4" w:space="0" w:color="auto"/>
            </w:tcBorders>
          </w:tcPr>
          <w:p w14:paraId="0B6E02B5"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Worsen</w:t>
            </w:r>
          </w:p>
          <w:p w14:paraId="166A9ED7"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n (%)</w:t>
            </w:r>
          </w:p>
        </w:tc>
        <w:tc>
          <w:tcPr>
            <w:tcW w:w="1128" w:type="dxa"/>
            <w:tcBorders>
              <w:bottom w:val="single" w:sz="4" w:space="0" w:color="auto"/>
            </w:tcBorders>
          </w:tcPr>
          <w:p w14:paraId="135C63B8" w14:textId="77777777" w:rsidR="00803B11" w:rsidRPr="00F25846" w:rsidRDefault="00803B11" w:rsidP="001A1528">
            <w:pPr>
              <w:jc w:val="right"/>
              <w:rPr>
                <w:rFonts w:ascii="Cambria" w:hAnsi="Cambria"/>
                <w:b/>
                <w:bCs/>
                <w:sz w:val="24"/>
                <w:szCs w:val="24"/>
              </w:rPr>
            </w:pPr>
          </w:p>
        </w:tc>
      </w:tr>
      <w:tr w:rsidR="00803B11" w:rsidRPr="00F25846" w14:paraId="13A20E4B" w14:textId="77777777" w:rsidTr="001A1528">
        <w:trPr>
          <w:trHeight w:val="1130"/>
        </w:trPr>
        <w:tc>
          <w:tcPr>
            <w:tcW w:w="2410" w:type="dxa"/>
            <w:tcBorders>
              <w:top w:val="single" w:sz="4" w:space="0" w:color="auto"/>
              <w:bottom w:val="single" w:sz="4" w:space="0" w:color="auto"/>
            </w:tcBorders>
            <w:hideMark/>
          </w:tcPr>
          <w:p w14:paraId="3746B567" w14:textId="47524129" w:rsidR="00803B11" w:rsidRPr="00F25846" w:rsidRDefault="001A4173" w:rsidP="001A1528">
            <w:pPr>
              <w:rPr>
                <w:rFonts w:ascii="Cambria" w:hAnsi="Cambria"/>
                <w:b/>
                <w:bCs/>
                <w:sz w:val="24"/>
                <w:szCs w:val="24"/>
              </w:rPr>
            </w:pPr>
            <w:r w:rsidRPr="00F25846">
              <w:rPr>
                <w:rFonts w:ascii="Cambria" w:hAnsi="Cambria"/>
                <w:b/>
                <w:bCs/>
                <w:sz w:val="24"/>
                <w:szCs w:val="24"/>
              </w:rPr>
              <w:t xml:space="preserve">Intraoperative </w:t>
            </w:r>
            <w:r w:rsidR="00803B11" w:rsidRPr="00F25846">
              <w:rPr>
                <w:rFonts w:ascii="Cambria" w:hAnsi="Cambria"/>
                <w:b/>
                <w:bCs/>
                <w:sz w:val="24"/>
                <w:szCs w:val="24"/>
              </w:rPr>
              <w:t>MEP</w:t>
            </w:r>
          </w:p>
          <w:p w14:paraId="2EAA0C95" w14:textId="77777777" w:rsidR="00803B11" w:rsidRPr="00F25846" w:rsidRDefault="00803B11" w:rsidP="001A1528">
            <w:pPr>
              <w:rPr>
                <w:rFonts w:ascii="Cambria" w:hAnsi="Cambria"/>
                <w:sz w:val="24"/>
                <w:szCs w:val="24"/>
              </w:rPr>
            </w:pPr>
            <w:r w:rsidRPr="00F25846">
              <w:rPr>
                <w:rFonts w:ascii="Cambria" w:hAnsi="Cambria"/>
                <w:sz w:val="24"/>
                <w:szCs w:val="24"/>
              </w:rPr>
              <w:t>Better</w:t>
            </w:r>
          </w:p>
          <w:p w14:paraId="4CB173A4" w14:textId="77777777" w:rsidR="00803B11" w:rsidRPr="00F25846" w:rsidRDefault="00803B11" w:rsidP="001A1528">
            <w:pPr>
              <w:rPr>
                <w:rFonts w:ascii="Cambria" w:hAnsi="Cambria"/>
                <w:sz w:val="24"/>
                <w:szCs w:val="24"/>
              </w:rPr>
            </w:pPr>
            <w:r w:rsidRPr="00F25846">
              <w:rPr>
                <w:rFonts w:ascii="Cambria" w:hAnsi="Cambria"/>
                <w:sz w:val="24"/>
                <w:szCs w:val="24"/>
              </w:rPr>
              <w:t>Same</w:t>
            </w:r>
          </w:p>
          <w:p w14:paraId="4EAE274E" w14:textId="77777777" w:rsidR="00803B11" w:rsidRPr="00F25846" w:rsidRDefault="00803B11" w:rsidP="001A1528">
            <w:pPr>
              <w:rPr>
                <w:rFonts w:ascii="Cambria" w:hAnsi="Cambria"/>
                <w:b/>
                <w:bCs/>
                <w:sz w:val="24"/>
                <w:szCs w:val="24"/>
              </w:rPr>
            </w:pPr>
            <w:r w:rsidRPr="00F25846">
              <w:rPr>
                <w:rFonts w:ascii="Cambria" w:hAnsi="Cambria"/>
                <w:sz w:val="24"/>
                <w:szCs w:val="24"/>
              </w:rPr>
              <w:t>Worsen</w:t>
            </w:r>
          </w:p>
        </w:tc>
        <w:tc>
          <w:tcPr>
            <w:tcW w:w="567" w:type="dxa"/>
            <w:tcBorders>
              <w:top w:val="single" w:sz="4" w:space="0" w:color="auto"/>
              <w:bottom w:val="single" w:sz="4" w:space="0" w:color="auto"/>
            </w:tcBorders>
          </w:tcPr>
          <w:p w14:paraId="0A26B52E" w14:textId="77777777" w:rsidR="00803B11" w:rsidRPr="00F25846" w:rsidRDefault="00803B11" w:rsidP="001A1528">
            <w:pPr>
              <w:jc w:val="right"/>
              <w:rPr>
                <w:rFonts w:ascii="Cambria" w:hAnsi="Cambria"/>
                <w:sz w:val="24"/>
                <w:szCs w:val="24"/>
              </w:rPr>
            </w:pPr>
          </w:p>
          <w:p w14:paraId="0A015106" w14:textId="77777777" w:rsidR="00803B11" w:rsidRPr="00F25846" w:rsidRDefault="00803B11" w:rsidP="001A1528">
            <w:pPr>
              <w:jc w:val="right"/>
              <w:rPr>
                <w:rFonts w:ascii="Cambria" w:hAnsi="Cambria"/>
                <w:sz w:val="24"/>
                <w:szCs w:val="24"/>
              </w:rPr>
            </w:pPr>
            <w:r w:rsidRPr="00F25846">
              <w:rPr>
                <w:rFonts w:ascii="Cambria" w:hAnsi="Cambria"/>
                <w:sz w:val="24"/>
                <w:szCs w:val="24"/>
              </w:rPr>
              <w:t>18</w:t>
            </w:r>
          </w:p>
          <w:p w14:paraId="6F8E0634" w14:textId="77777777" w:rsidR="00803B11" w:rsidRPr="00F25846" w:rsidRDefault="00803B11" w:rsidP="001A1528">
            <w:pPr>
              <w:jc w:val="right"/>
              <w:rPr>
                <w:rFonts w:ascii="Cambria" w:hAnsi="Cambria"/>
                <w:sz w:val="24"/>
                <w:szCs w:val="24"/>
              </w:rPr>
            </w:pPr>
            <w:r w:rsidRPr="00F25846">
              <w:rPr>
                <w:rFonts w:ascii="Cambria" w:hAnsi="Cambria"/>
                <w:sz w:val="24"/>
                <w:szCs w:val="24"/>
              </w:rPr>
              <w:t>94</w:t>
            </w:r>
          </w:p>
          <w:p w14:paraId="3690ED7B" w14:textId="77777777" w:rsidR="00803B11" w:rsidRPr="00F25846" w:rsidRDefault="00803B11" w:rsidP="001A1528">
            <w:pPr>
              <w:jc w:val="right"/>
              <w:rPr>
                <w:rFonts w:ascii="Cambria" w:hAnsi="Cambria"/>
                <w:sz w:val="24"/>
                <w:szCs w:val="24"/>
              </w:rPr>
            </w:pPr>
            <w:r w:rsidRPr="00F25846">
              <w:rPr>
                <w:rFonts w:ascii="Cambria" w:hAnsi="Cambria"/>
                <w:sz w:val="24"/>
                <w:szCs w:val="24"/>
              </w:rPr>
              <w:t>2</w:t>
            </w:r>
          </w:p>
        </w:tc>
        <w:tc>
          <w:tcPr>
            <w:tcW w:w="1843" w:type="dxa"/>
            <w:tcBorders>
              <w:top w:val="single" w:sz="4" w:space="0" w:color="auto"/>
              <w:bottom w:val="single" w:sz="4" w:space="0" w:color="auto"/>
            </w:tcBorders>
          </w:tcPr>
          <w:p w14:paraId="70F3536F" w14:textId="77777777" w:rsidR="00803B11" w:rsidRPr="00F25846" w:rsidRDefault="00803B11" w:rsidP="001A1528">
            <w:pPr>
              <w:jc w:val="right"/>
              <w:rPr>
                <w:rFonts w:ascii="Cambria" w:hAnsi="Cambria"/>
                <w:sz w:val="24"/>
                <w:szCs w:val="24"/>
              </w:rPr>
            </w:pPr>
          </w:p>
          <w:p w14:paraId="41D4BBAA" w14:textId="77777777" w:rsidR="00803B11" w:rsidRPr="00F25846" w:rsidRDefault="00803B11" w:rsidP="001A1528">
            <w:pPr>
              <w:jc w:val="right"/>
              <w:rPr>
                <w:rFonts w:ascii="Cambria" w:hAnsi="Cambria"/>
                <w:sz w:val="24"/>
                <w:szCs w:val="24"/>
              </w:rPr>
            </w:pPr>
            <w:r w:rsidRPr="00F25846">
              <w:rPr>
                <w:rFonts w:ascii="Cambria" w:hAnsi="Cambria"/>
                <w:sz w:val="24"/>
                <w:szCs w:val="24"/>
              </w:rPr>
              <w:t>10 (55.6)</w:t>
            </w:r>
          </w:p>
          <w:p w14:paraId="193049CB" w14:textId="77777777" w:rsidR="00803B11" w:rsidRPr="00F25846" w:rsidRDefault="00803B11" w:rsidP="001A1528">
            <w:pPr>
              <w:jc w:val="right"/>
              <w:rPr>
                <w:rFonts w:ascii="Cambria" w:hAnsi="Cambria"/>
                <w:sz w:val="24"/>
                <w:szCs w:val="24"/>
              </w:rPr>
            </w:pPr>
            <w:r w:rsidRPr="00F25846">
              <w:rPr>
                <w:rFonts w:ascii="Cambria" w:hAnsi="Cambria"/>
                <w:sz w:val="24"/>
                <w:szCs w:val="24"/>
              </w:rPr>
              <w:t>7 (7.4)</w:t>
            </w:r>
          </w:p>
          <w:p w14:paraId="6C8BACD6" w14:textId="770DBDEF" w:rsidR="00803B11" w:rsidRPr="00F25846" w:rsidRDefault="00803B11" w:rsidP="001A1528">
            <w:pPr>
              <w:jc w:val="right"/>
              <w:rPr>
                <w:rFonts w:ascii="Cambria" w:hAnsi="Cambria"/>
                <w:sz w:val="24"/>
                <w:szCs w:val="24"/>
              </w:rPr>
            </w:pPr>
            <w:r w:rsidRPr="00F25846">
              <w:rPr>
                <w:rFonts w:ascii="Cambria" w:hAnsi="Cambria"/>
                <w:sz w:val="24"/>
                <w:szCs w:val="24"/>
              </w:rPr>
              <w:t>0</w:t>
            </w:r>
            <w:r w:rsidR="00AE1453" w:rsidRPr="00F25846">
              <w:rPr>
                <w:rFonts w:ascii="Cambria" w:hAnsi="Cambria"/>
                <w:sz w:val="24"/>
                <w:szCs w:val="24"/>
              </w:rPr>
              <w:t xml:space="preserve"> (0)</w:t>
            </w:r>
          </w:p>
        </w:tc>
        <w:tc>
          <w:tcPr>
            <w:tcW w:w="1985" w:type="dxa"/>
            <w:tcBorders>
              <w:top w:val="single" w:sz="4" w:space="0" w:color="auto"/>
              <w:bottom w:val="single" w:sz="4" w:space="0" w:color="auto"/>
            </w:tcBorders>
          </w:tcPr>
          <w:p w14:paraId="45728182" w14:textId="77777777" w:rsidR="00803B11" w:rsidRPr="00F25846" w:rsidRDefault="00803B11" w:rsidP="001A1528">
            <w:pPr>
              <w:jc w:val="right"/>
              <w:rPr>
                <w:rFonts w:ascii="Cambria" w:hAnsi="Cambria"/>
                <w:sz w:val="24"/>
                <w:szCs w:val="24"/>
              </w:rPr>
            </w:pPr>
          </w:p>
          <w:p w14:paraId="54DF2421" w14:textId="77777777" w:rsidR="00803B11" w:rsidRPr="00F25846" w:rsidRDefault="00803B11" w:rsidP="001A1528">
            <w:pPr>
              <w:jc w:val="right"/>
              <w:rPr>
                <w:rFonts w:ascii="Cambria" w:hAnsi="Cambria"/>
                <w:sz w:val="24"/>
                <w:szCs w:val="24"/>
              </w:rPr>
            </w:pPr>
            <w:r w:rsidRPr="00F25846">
              <w:rPr>
                <w:rFonts w:ascii="Cambria" w:hAnsi="Cambria"/>
                <w:sz w:val="24"/>
                <w:szCs w:val="24"/>
              </w:rPr>
              <w:t>8 (44.4)</w:t>
            </w:r>
          </w:p>
          <w:p w14:paraId="0F79DFE8" w14:textId="77777777" w:rsidR="00803B11" w:rsidRPr="00F25846" w:rsidRDefault="00803B11" w:rsidP="001A1528">
            <w:pPr>
              <w:jc w:val="right"/>
              <w:rPr>
                <w:rFonts w:ascii="Cambria" w:hAnsi="Cambria"/>
                <w:sz w:val="24"/>
                <w:szCs w:val="24"/>
              </w:rPr>
            </w:pPr>
            <w:r w:rsidRPr="00F25846">
              <w:rPr>
                <w:rFonts w:ascii="Cambria" w:hAnsi="Cambria"/>
                <w:sz w:val="24"/>
                <w:szCs w:val="24"/>
              </w:rPr>
              <w:t>84 (89.4)</w:t>
            </w:r>
          </w:p>
          <w:p w14:paraId="518F798F" w14:textId="77777777" w:rsidR="00803B11" w:rsidRPr="00F25846" w:rsidRDefault="00803B11" w:rsidP="001A1528">
            <w:pPr>
              <w:jc w:val="right"/>
              <w:rPr>
                <w:rFonts w:ascii="Cambria" w:hAnsi="Cambria"/>
                <w:sz w:val="24"/>
                <w:szCs w:val="24"/>
              </w:rPr>
            </w:pPr>
            <w:r w:rsidRPr="00F25846">
              <w:rPr>
                <w:rFonts w:ascii="Cambria" w:hAnsi="Cambria"/>
                <w:sz w:val="24"/>
                <w:szCs w:val="24"/>
              </w:rPr>
              <w:t>1 (50.0)</w:t>
            </w:r>
          </w:p>
        </w:tc>
        <w:tc>
          <w:tcPr>
            <w:tcW w:w="1848" w:type="dxa"/>
            <w:gridSpan w:val="2"/>
            <w:tcBorders>
              <w:top w:val="single" w:sz="4" w:space="0" w:color="auto"/>
              <w:bottom w:val="single" w:sz="4" w:space="0" w:color="auto"/>
            </w:tcBorders>
          </w:tcPr>
          <w:p w14:paraId="08373839" w14:textId="77777777" w:rsidR="00803B11" w:rsidRPr="00F25846" w:rsidRDefault="00803B11" w:rsidP="001A1528">
            <w:pPr>
              <w:jc w:val="right"/>
              <w:rPr>
                <w:rFonts w:ascii="Cambria" w:hAnsi="Cambria"/>
                <w:sz w:val="24"/>
                <w:szCs w:val="24"/>
              </w:rPr>
            </w:pPr>
          </w:p>
          <w:p w14:paraId="49748AF1" w14:textId="5690FC0F" w:rsidR="00803B11" w:rsidRPr="00F25846" w:rsidRDefault="00803B11" w:rsidP="001A1528">
            <w:pPr>
              <w:jc w:val="right"/>
              <w:rPr>
                <w:rFonts w:ascii="Cambria" w:hAnsi="Cambria"/>
                <w:sz w:val="24"/>
                <w:szCs w:val="24"/>
              </w:rPr>
            </w:pPr>
            <w:r w:rsidRPr="00F25846">
              <w:rPr>
                <w:rFonts w:ascii="Cambria" w:hAnsi="Cambria"/>
                <w:sz w:val="24"/>
                <w:szCs w:val="24"/>
              </w:rPr>
              <w:t>0</w:t>
            </w:r>
            <w:r w:rsidR="00AE1453" w:rsidRPr="00F25846">
              <w:rPr>
                <w:rFonts w:ascii="Cambria" w:hAnsi="Cambria"/>
                <w:sz w:val="24"/>
                <w:szCs w:val="24"/>
              </w:rPr>
              <w:t xml:space="preserve"> (0)</w:t>
            </w:r>
          </w:p>
          <w:p w14:paraId="17032E26" w14:textId="77777777" w:rsidR="00803B11" w:rsidRPr="00F25846" w:rsidRDefault="00803B11" w:rsidP="001A1528">
            <w:pPr>
              <w:jc w:val="right"/>
              <w:rPr>
                <w:rFonts w:ascii="Cambria" w:hAnsi="Cambria"/>
                <w:sz w:val="24"/>
                <w:szCs w:val="24"/>
              </w:rPr>
            </w:pPr>
            <w:r w:rsidRPr="00F25846">
              <w:rPr>
                <w:rFonts w:ascii="Cambria" w:hAnsi="Cambria"/>
                <w:sz w:val="24"/>
                <w:szCs w:val="24"/>
              </w:rPr>
              <w:t>3 (3.2)</w:t>
            </w:r>
          </w:p>
          <w:p w14:paraId="700E1F2D" w14:textId="77777777" w:rsidR="00803B11" w:rsidRPr="00F25846" w:rsidRDefault="00803B11" w:rsidP="001A1528">
            <w:pPr>
              <w:jc w:val="right"/>
              <w:rPr>
                <w:rFonts w:ascii="Cambria" w:hAnsi="Cambria"/>
                <w:sz w:val="24"/>
                <w:szCs w:val="24"/>
              </w:rPr>
            </w:pPr>
            <w:r w:rsidRPr="00F25846">
              <w:rPr>
                <w:rFonts w:ascii="Cambria" w:hAnsi="Cambria"/>
                <w:sz w:val="24"/>
                <w:szCs w:val="24"/>
              </w:rPr>
              <w:t>1 (50.0)</w:t>
            </w:r>
          </w:p>
        </w:tc>
        <w:tc>
          <w:tcPr>
            <w:tcW w:w="1128" w:type="dxa"/>
            <w:tcBorders>
              <w:top w:val="single" w:sz="4" w:space="0" w:color="auto"/>
              <w:bottom w:val="single" w:sz="4" w:space="0" w:color="auto"/>
            </w:tcBorders>
          </w:tcPr>
          <w:p w14:paraId="68CEE41A" w14:textId="77777777" w:rsidR="00803B11" w:rsidRPr="00F25846" w:rsidRDefault="00803B11" w:rsidP="001A1528">
            <w:pPr>
              <w:jc w:val="right"/>
              <w:rPr>
                <w:rFonts w:ascii="Cambria" w:hAnsi="Cambria"/>
                <w:sz w:val="24"/>
                <w:szCs w:val="24"/>
              </w:rPr>
            </w:pPr>
          </w:p>
          <w:p w14:paraId="6411A2DE" w14:textId="77777777" w:rsidR="00803B11" w:rsidRPr="00F25846" w:rsidRDefault="00803B11" w:rsidP="001A1528">
            <w:pPr>
              <w:jc w:val="right"/>
              <w:rPr>
                <w:rFonts w:ascii="Cambria" w:hAnsi="Cambria"/>
                <w:b/>
                <w:bCs/>
                <w:sz w:val="24"/>
                <w:szCs w:val="24"/>
              </w:rPr>
            </w:pPr>
            <w:r w:rsidRPr="00F25846">
              <w:rPr>
                <w:rFonts w:ascii="Cambria" w:hAnsi="Cambria"/>
                <w:b/>
                <w:bCs/>
                <w:sz w:val="24"/>
                <w:szCs w:val="24"/>
              </w:rPr>
              <w:t>&lt;0.001</w:t>
            </w:r>
          </w:p>
        </w:tc>
      </w:tr>
      <w:tr w:rsidR="00803B11" w:rsidRPr="00F25846" w14:paraId="636E559D" w14:textId="77777777" w:rsidTr="001A1528">
        <w:trPr>
          <w:trHeight w:val="426"/>
        </w:trPr>
        <w:tc>
          <w:tcPr>
            <w:tcW w:w="2410" w:type="dxa"/>
            <w:tcBorders>
              <w:top w:val="single" w:sz="4" w:space="0" w:color="auto"/>
              <w:bottom w:val="single" w:sz="4" w:space="0" w:color="auto"/>
            </w:tcBorders>
          </w:tcPr>
          <w:p w14:paraId="4B0B1F73" w14:textId="34836F7F" w:rsidR="00803B11" w:rsidRPr="00F25846" w:rsidRDefault="001A4173" w:rsidP="001A1528">
            <w:pPr>
              <w:rPr>
                <w:rFonts w:ascii="Cambria" w:hAnsi="Cambria"/>
                <w:b/>
                <w:bCs/>
                <w:sz w:val="24"/>
                <w:szCs w:val="24"/>
              </w:rPr>
            </w:pPr>
            <w:r w:rsidRPr="00F25846">
              <w:rPr>
                <w:rFonts w:ascii="Cambria" w:hAnsi="Cambria"/>
                <w:b/>
                <w:bCs/>
                <w:sz w:val="24"/>
                <w:szCs w:val="24"/>
              </w:rPr>
              <w:t xml:space="preserve">Intraoperative </w:t>
            </w:r>
            <w:r w:rsidR="00803B11" w:rsidRPr="00F25846">
              <w:rPr>
                <w:rFonts w:ascii="Cambria" w:hAnsi="Cambria"/>
                <w:b/>
                <w:bCs/>
                <w:sz w:val="24"/>
                <w:szCs w:val="24"/>
              </w:rPr>
              <w:t>SSEP</w:t>
            </w:r>
          </w:p>
          <w:p w14:paraId="04C24E35" w14:textId="77777777" w:rsidR="00803B11" w:rsidRPr="00F25846" w:rsidRDefault="00803B11" w:rsidP="001A1528">
            <w:pPr>
              <w:rPr>
                <w:rFonts w:ascii="Cambria" w:hAnsi="Cambria"/>
                <w:sz w:val="24"/>
                <w:szCs w:val="24"/>
              </w:rPr>
            </w:pPr>
            <w:r w:rsidRPr="00F25846">
              <w:rPr>
                <w:rFonts w:ascii="Cambria" w:hAnsi="Cambria"/>
                <w:sz w:val="24"/>
                <w:szCs w:val="24"/>
              </w:rPr>
              <w:t>Better</w:t>
            </w:r>
          </w:p>
          <w:p w14:paraId="2D3EE90C" w14:textId="77777777" w:rsidR="00803B11" w:rsidRPr="00F25846" w:rsidRDefault="00803B11" w:rsidP="001A1528">
            <w:pPr>
              <w:rPr>
                <w:rFonts w:ascii="Cambria" w:hAnsi="Cambria"/>
                <w:sz w:val="24"/>
                <w:szCs w:val="24"/>
              </w:rPr>
            </w:pPr>
            <w:r w:rsidRPr="00F25846">
              <w:rPr>
                <w:rFonts w:ascii="Cambria" w:hAnsi="Cambria"/>
                <w:sz w:val="24"/>
                <w:szCs w:val="24"/>
              </w:rPr>
              <w:t>Same</w:t>
            </w:r>
          </w:p>
          <w:p w14:paraId="617F4820" w14:textId="77777777" w:rsidR="00803B11" w:rsidRPr="00F25846" w:rsidRDefault="00803B11" w:rsidP="001A1528">
            <w:pPr>
              <w:rPr>
                <w:rFonts w:ascii="Cambria" w:hAnsi="Cambria"/>
                <w:b/>
                <w:bCs/>
                <w:sz w:val="24"/>
                <w:szCs w:val="24"/>
              </w:rPr>
            </w:pPr>
            <w:r w:rsidRPr="00F25846">
              <w:rPr>
                <w:rFonts w:ascii="Cambria" w:hAnsi="Cambria"/>
                <w:sz w:val="24"/>
                <w:szCs w:val="24"/>
              </w:rPr>
              <w:t>Worsen</w:t>
            </w:r>
          </w:p>
        </w:tc>
        <w:tc>
          <w:tcPr>
            <w:tcW w:w="567" w:type="dxa"/>
            <w:tcBorders>
              <w:top w:val="single" w:sz="4" w:space="0" w:color="auto"/>
              <w:bottom w:val="single" w:sz="4" w:space="0" w:color="auto"/>
            </w:tcBorders>
          </w:tcPr>
          <w:p w14:paraId="6AFEDA80" w14:textId="77777777" w:rsidR="00803B11" w:rsidRPr="00F25846" w:rsidRDefault="00803B11" w:rsidP="001A1528">
            <w:pPr>
              <w:jc w:val="right"/>
              <w:rPr>
                <w:rFonts w:ascii="Cambria" w:hAnsi="Cambria"/>
                <w:sz w:val="24"/>
                <w:szCs w:val="24"/>
              </w:rPr>
            </w:pPr>
          </w:p>
          <w:p w14:paraId="4E114966" w14:textId="77777777" w:rsidR="00803B11" w:rsidRPr="00F25846" w:rsidRDefault="00803B11" w:rsidP="001A1528">
            <w:pPr>
              <w:jc w:val="right"/>
              <w:rPr>
                <w:rFonts w:ascii="Cambria" w:hAnsi="Cambria"/>
                <w:sz w:val="24"/>
                <w:szCs w:val="24"/>
              </w:rPr>
            </w:pPr>
            <w:r w:rsidRPr="00F25846">
              <w:rPr>
                <w:rFonts w:ascii="Cambria" w:hAnsi="Cambria"/>
                <w:sz w:val="24"/>
                <w:szCs w:val="24"/>
              </w:rPr>
              <w:t>2</w:t>
            </w:r>
          </w:p>
          <w:p w14:paraId="0839B349" w14:textId="77777777" w:rsidR="00803B11" w:rsidRPr="00F25846" w:rsidRDefault="00803B11" w:rsidP="001A1528">
            <w:pPr>
              <w:jc w:val="right"/>
              <w:rPr>
                <w:rFonts w:ascii="Cambria" w:hAnsi="Cambria"/>
                <w:sz w:val="24"/>
                <w:szCs w:val="24"/>
              </w:rPr>
            </w:pPr>
            <w:r w:rsidRPr="00F25846">
              <w:rPr>
                <w:rFonts w:ascii="Cambria" w:hAnsi="Cambria"/>
                <w:sz w:val="24"/>
                <w:szCs w:val="24"/>
              </w:rPr>
              <w:t>111</w:t>
            </w:r>
          </w:p>
          <w:p w14:paraId="289FBA35" w14:textId="77777777" w:rsidR="00803B11" w:rsidRPr="00F25846" w:rsidRDefault="00803B11" w:rsidP="001A1528">
            <w:pPr>
              <w:jc w:val="right"/>
              <w:rPr>
                <w:rFonts w:ascii="Cambria" w:hAnsi="Cambria"/>
                <w:sz w:val="24"/>
                <w:szCs w:val="24"/>
              </w:rPr>
            </w:pPr>
            <w:r w:rsidRPr="00F25846">
              <w:rPr>
                <w:rFonts w:ascii="Cambria" w:hAnsi="Cambria"/>
                <w:sz w:val="24"/>
                <w:szCs w:val="24"/>
              </w:rPr>
              <w:t>1</w:t>
            </w:r>
          </w:p>
        </w:tc>
        <w:tc>
          <w:tcPr>
            <w:tcW w:w="1843" w:type="dxa"/>
            <w:tcBorders>
              <w:top w:val="single" w:sz="4" w:space="0" w:color="auto"/>
              <w:bottom w:val="single" w:sz="4" w:space="0" w:color="auto"/>
            </w:tcBorders>
          </w:tcPr>
          <w:p w14:paraId="12B7500F" w14:textId="77777777" w:rsidR="00803B11" w:rsidRPr="00F25846" w:rsidRDefault="00803B11" w:rsidP="001A1528">
            <w:pPr>
              <w:jc w:val="right"/>
              <w:rPr>
                <w:rFonts w:ascii="Cambria" w:hAnsi="Cambria"/>
                <w:sz w:val="24"/>
                <w:szCs w:val="24"/>
              </w:rPr>
            </w:pPr>
          </w:p>
          <w:p w14:paraId="1D8709E5" w14:textId="77777777" w:rsidR="00803B11" w:rsidRPr="00F25846" w:rsidRDefault="00803B11" w:rsidP="001A1528">
            <w:pPr>
              <w:jc w:val="right"/>
              <w:rPr>
                <w:rFonts w:ascii="Cambria" w:hAnsi="Cambria"/>
                <w:sz w:val="24"/>
                <w:szCs w:val="24"/>
              </w:rPr>
            </w:pPr>
            <w:r w:rsidRPr="00F25846">
              <w:rPr>
                <w:rFonts w:ascii="Cambria" w:hAnsi="Cambria"/>
                <w:sz w:val="24"/>
                <w:szCs w:val="24"/>
              </w:rPr>
              <w:t>2 (100.0)</w:t>
            </w:r>
          </w:p>
          <w:p w14:paraId="609363BE" w14:textId="77777777" w:rsidR="00803B11" w:rsidRPr="00F25846" w:rsidRDefault="00803B11" w:rsidP="001A1528">
            <w:pPr>
              <w:jc w:val="right"/>
              <w:rPr>
                <w:rFonts w:ascii="Cambria" w:hAnsi="Cambria"/>
                <w:sz w:val="24"/>
                <w:szCs w:val="24"/>
              </w:rPr>
            </w:pPr>
            <w:r w:rsidRPr="00F25846">
              <w:rPr>
                <w:rFonts w:ascii="Cambria" w:hAnsi="Cambria"/>
                <w:sz w:val="24"/>
                <w:szCs w:val="24"/>
              </w:rPr>
              <w:t>15 (13.5)</w:t>
            </w:r>
          </w:p>
          <w:p w14:paraId="116649CA" w14:textId="177385DE"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tc>
        <w:tc>
          <w:tcPr>
            <w:tcW w:w="1985" w:type="dxa"/>
            <w:tcBorders>
              <w:top w:val="single" w:sz="4" w:space="0" w:color="auto"/>
              <w:bottom w:val="single" w:sz="4" w:space="0" w:color="auto"/>
            </w:tcBorders>
          </w:tcPr>
          <w:p w14:paraId="1C299517" w14:textId="77777777" w:rsidR="00803B11" w:rsidRPr="00F25846" w:rsidRDefault="00803B11" w:rsidP="001A1528">
            <w:pPr>
              <w:jc w:val="right"/>
              <w:rPr>
                <w:rFonts w:ascii="Cambria" w:hAnsi="Cambria"/>
                <w:sz w:val="24"/>
                <w:szCs w:val="24"/>
              </w:rPr>
            </w:pPr>
          </w:p>
          <w:p w14:paraId="02494A82" w14:textId="163DE573"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p w14:paraId="50BC04B7" w14:textId="77777777" w:rsidR="00803B11" w:rsidRPr="00F25846" w:rsidRDefault="00803B11" w:rsidP="001A1528">
            <w:pPr>
              <w:jc w:val="right"/>
              <w:rPr>
                <w:rFonts w:ascii="Cambria" w:hAnsi="Cambria"/>
                <w:sz w:val="24"/>
                <w:szCs w:val="24"/>
              </w:rPr>
            </w:pPr>
            <w:r w:rsidRPr="00F25846">
              <w:rPr>
                <w:rFonts w:ascii="Cambria" w:hAnsi="Cambria"/>
                <w:sz w:val="24"/>
                <w:szCs w:val="24"/>
              </w:rPr>
              <w:t>92 (82.9)</w:t>
            </w:r>
          </w:p>
          <w:p w14:paraId="580DAFC1" w14:textId="77777777" w:rsidR="00803B11" w:rsidRPr="00F25846" w:rsidRDefault="00803B11" w:rsidP="001A1528">
            <w:pPr>
              <w:jc w:val="right"/>
              <w:rPr>
                <w:rFonts w:ascii="Cambria" w:hAnsi="Cambria"/>
                <w:sz w:val="24"/>
                <w:szCs w:val="24"/>
              </w:rPr>
            </w:pPr>
            <w:r w:rsidRPr="00F25846">
              <w:rPr>
                <w:rFonts w:ascii="Cambria" w:hAnsi="Cambria"/>
                <w:sz w:val="24"/>
                <w:szCs w:val="24"/>
              </w:rPr>
              <w:t>1 (100.0)</w:t>
            </w:r>
          </w:p>
        </w:tc>
        <w:tc>
          <w:tcPr>
            <w:tcW w:w="1848" w:type="dxa"/>
            <w:gridSpan w:val="2"/>
            <w:tcBorders>
              <w:top w:val="single" w:sz="4" w:space="0" w:color="auto"/>
              <w:bottom w:val="single" w:sz="4" w:space="0" w:color="auto"/>
            </w:tcBorders>
          </w:tcPr>
          <w:p w14:paraId="201C76B3" w14:textId="77777777" w:rsidR="00803B11" w:rsidRPr="00F25846" w:rsidRDefault="00803B11" w:rsidP="001A1528">
            <w:pPr>
              <w:jc w:val="right"/>
              <w:rPr>
                <w:rFonts w:ascii="Cambria" w:hAnsi="Cambria"/>
                <w:sz w:val="24"/>
                <w:szCs w:val="24"/>
              </w:rPr>
            </w:pPr>
          </w:p>
          <w:p w14:paraId="7F0286F7" w14:textId="7016785A"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p w14:paraId="1F00BF0C" w14:textId="77777777" w:rsidR="00803B11" w:rsidRPr="00F25846" w:rsidRDefault="00803B11" w:rsidP="001A1528">
            <w:pPr>
              <w:jc w:val="right"/>
              <w:rPr>
                <w:rFonts w:ascii="Cambria" w:hAnsi="Cambria"/>
                <w:sz w:val="24"/>
                <w:szCs w:val="24"/>
              </w:rPr>
            </w:pPr>
            <w:r w:rsidRPr="00F25846">
              <w:rPr>
                <w:rFonts w:ascii="Cambria" w:hAnsi="Cambria"/>
                <w:sz w:val="24"/>
                <w:szCs w:val="24"/>
              </w:rPr>
              <w:t>4 (3.6)</w:t>
            </w:r>
          </w:p>
          <w:p w14:paraId="7AADF903" w14:textId="6E28D186" w:rsidR="00803B11" w:rsidRPr="00F25846" w:rsidRDefault="00803B11" w:rsidP="001A1528">
            <w:pPr>
              <w:jc w:val="right"/>
              <w:rPr>
                <w:rFonts w:ascii="Cambria" w:hAnsi="Cambria"/>
                <w:sz w:val="24"/>
                <w:szCs w:val="24"/>
              </w:rPr>
            </w:pPr>
            <w:r w:rsidRPr="00F25846">
              <w:rPr>
                <w:rFonts w:ascii="Cambria" w:hAnsi="Cambria"/>
                <w:sz w:val="24"/>
                <w:szCs w:val="24"/>
              </w:rPr>
              <w:t>0</w:t>
            </w:r>
            <w:r w:rsidR="0057125B" w:rsidRPr="00F25846">
              <w:rPr>
                <w:rFonts w:ascii="Cambria" w:hAnsi="Cambria"/>
                <w:sz w:val="24"/>
                <w:szCs w:val="24"/>
              </w:rPr>
              <w:t xml:space="preserve"> (0)</w:t>
            </w:r>
          </w:p>
        </w:tc>
        <w:tc>
          <w:tcPr>
            <w:tcW w:w="1128" w:type="dxa"/>
            <w:tcBorders>
              <w:top w:val="single" w:sz="4" w:space="0" w:color="auto"/>
              <w:bottom w:val="single" w:sz="4" w:space="0" w:color="auto"/>
            </w:tcBorders>
          </w:tcPr>
          <w:p w14:paraId="7F36D721" w14:textId="77777777" w:rsidR="00803B11" w:rsidRPr="00F25846" w:rsidRDefault="00803B11" w:rsidP="001A1528">
            <w:pPr>
              <w:jc w:val="right"/>
              <w:rPr>
                <w:rFonts w:ascii="Cambria" w:hAnsi="Cambria"/>
                <w:sz w:val="24"/>
                <w:szCs w:val="24"/>
              </w:rPr>
            </w:pPr>
          </w:p>
          <w:p w14:paraId="75E814AE" w14:textId="77777777" w:rsidR="00803B11" w:rsidRPr="00F25846" w:rsidRDefault="00803B11" w:rsidP="001A1528">
            <w:pPr>
              <w:jc w:val="right"/>
              <w:rPr>
                <w:rFonts w:ascii="Cambria" w:hAnsi="Cambria"/>
                <w:sz w:val="24"/>
                <w:szCs w:val="24"/>
              </w:rPr>
            </w:pPr>
            <w:r w:rsidRPr="00F25846">
              <w:rPr>
                <w:rFonts w:ascii="Cambria" w:hAnsi="Cambria"/>
                <w:sz w:val="24"/>
                <w:szCs w:val="24"/>
              </w:rPr>
              <w:t>0.052</w:t>
            </w:r>
          </w:p>
        </w:tc>
      </w:tr>
    </w:tbl>
    <w:p w14:paraId="03D13F22" w14:textId="44BAFE61" w:rsidR="00803B11" w:rsidRPr="00F25846" w:rsidRDefault="00803B11" w:rsidP="00803B11">
      <w:pPr>
        <w:rPr>
          <w:rFonts w:ascii="Cambria" w:hAnsi="Cambria"/>
        </w:rPr>
      </w:pPr>
      <w:r w:rsidRPr="00F25846">
        <w:rPr>
          <w:rFonts w:ascii="Cambria" w:hAnsi="Cambria"/>
          <w:vertAlign w:val="superscript"/>
        </w:rPr>
        <w:t xml:space="preserve">a </w:t>
      </w:r>
      <w:r w:rsidRPr="00F25846">
        <w:rPr>
          <w:rFonts w:ascii="Cambria" w:hAnsi="Cambria"/>
        </w:rPr>
        <w:t>Fisher Exact test</w:t>
      </w:r>
    </w:p>
    <w:p w14:paraId="0F92F833" w14:textId="77777777" w:rsidR="00803B11" w:rsidRDefault="00803B11" w:rsidP="00803B11">
      <w:pPr>
        <w:rPr>
          <w:rFonts w:ascii="Cambria" w:hAnsi="Cambria"/>
        </w:rPr>
      </w:pPr>
    </w:p>
    <w:p w14:paraId="4E52DF01" w14:textId="77777777" w:rsidR="00967A31" w:rsidRDefault="00967A31" w:rsidP="00803B11">
      <w:pPr>
        <w:rPr>
          <w:rFonts w:ascii="Cambria" w:hAnsi="Cambria"/>
        </w:rPr>
      </w:pPr>
    </w:p>
    <w:p w14:paraId="6D28408D" w14:textId="77777777" w:rsidR="00967A31" w:rsidRDefault="00967A31" w:rsidP="00803B11">
      <w:pPr>
        <w:rPr>
          <w:rFonts w:ascii="Cambria" w:hAnsi="Cambria"/>
        </w:rPr>
      </w:pPr>
    </w:p>
    <w:p w14:paraId="2EA5F96C" w14:textId="77777777" w:rsidR="00967A31" w:rsidRDefault="00967A31" w:rsidP="00803B11">
      <w:pPr>
        <w:rPr>
          <w:rFonts w:ascii="Cambria" w:hAnsi="Cambria"/>
        </w:rPr>
      </w:pPr>
    </w:p>
    <w:p w14:paraId="0342DE25" w14:textId="77777777" w:rsidR="00390BEE" w:rsidRDefault="00390BEE" w:rsidP="00803B11">
      <w:pPr>
        <w:rPr>
          <w:rFonts w:ascii="Cambria" w:hAnsi="Cambria"/>
        </w:rPr>
      </w:pPr>
    </w:p>
    <w:p w14:paraId="34E38765" w14:textId="77777777" w:rsidR="00967A31" w:rsidRPr="00F25846" w:rsidRDefault="00967A31" w:rsidP="00803B11">
      <w:pPr>
        <w:rPr>
          <w:rFonts w:ascii="Cambria" w:hAnsi="Cambria"/>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567"/>
        <w:gridCol w:w="1985"/>
        <w:gridCol w:w="1843"/>
        <w:gridCol w:w="1560"/>
      </w:tblGrid>
      <w:tr w:rsidR="00803B11" w:rsidRPr="00F25846" w14:paraId="3D2563B2" w14:textId="77777777" w:rsidTr="00E30319">
        <w:trPr>
          <w:trHeight w:val="300"/>
        </w:trPr>
        <w:tc>
          <w:tcPr>
            <w:tcW w:w="8364" w:type="dxa"/>
            <w:gridSpan w:val="5"/>
            <w:tcBorders>
              <w:bottom w:val="single" w:sz="4" w:space="0" w:color="auto"/>
            </w:tcBorders>
          </w:tcPr>
          <w:p w14:paraId="14488510" w14:textId="47444E9E" w:rsidR="00803B11" w:rsidRPr="00F25846" w:rsidRDefault="00803B11" w:rsidP="001A1528">
            <w:pPr>
              <w:rPr>
                <w:rFonts w:ascii="Cambria" w:hAnsi="Cambria"/>
                <w:b/>
                <w:bCs/>
                <w:sz w:val="24"/>
                <w:szCs w:val="24"/>
              </w:rPr>
            </w:pPr>
            <w:r w:rsidRPr="00F25846">
              <w:rPr>
                <w:rFonts w:ascii="Cambria" w:hAnsi="Cambria"/>
                <w:b/>
                <w:bCs/>
                <w:sz w:val="24"/>
                <w:szCs w:val="24"/>
              </w:rPr>
              <w:lastRenderedPageBreak/>
              <w:t xml:space="preserve">Table 4: </w:t>
            </w:r>
            <w:r w:rsidRPr="00F25846">
              <w:rPr>
                <w:rFonts w:ascii="Cambria" w:hAnsi="Cambria"/>
                <w:sz w:val="24"/>
                <w:szCs w:val="24"/>
              </w:rPr>
              <w:t xml:space="preserve">Association between intraoperative </w:t>
            </w:r>
            <w:r w:rsidR="001672AE" w:rsidRPr="00F25846">
              <w:rPr>
                <w:rFonts w:ascii="Cambria" w:hAnsi="Cambria"/>
                <w:sz w:val="24"/>
                <w:szCs w:val="24"/>
              </w:rPr>
              <w:t>IONM signals</w:t>
            </w:r>
            <w:r w:rsidRPr="00F25846">
              <w:rPr>
                <w:rFonts w:ascii="Cambria" w:hAnsi="Cambria"/>
                <w:sz w:val="24"/>
                <w:szCs w:val="24"/>
              </w:rPr>
              <w:t xml:space="preserve"> and postoperative clinical symptoms (n = 114)</w:t>
            </w:r>
          </w:p>
        </w:tc>
      </w:tr>
      <w:tr w:rsidR="00803B11" w:rsidRPr="00F25846" w14:paraId="1832B3C0" w14:textId="77777777" w:rsidTr="00E30319">
        <w:trPr>
          <w:trHeight w:val="210"/>
        </w:trPr>
        <w:tc>
          <w:tcPr>
            <w:tcW w:w="2409" w:type="dxa"/>
            <w:vMerge w:val="restart"/>
            <w:tcBorders>
              <w:top w:val="single" w:sz="4" w:space="0" w:color="auto"/>
            </w:tcBorders>
            <w:vAlign w:val="center"/>
            <w:hideMark/>
          </w:tcPr>
          <w:p w14:paraId="5E6E75EF"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Variables</w:t>
            </w:r>
          </w:p>
        </w:tc>
        <w:tc>
          <w:tcPr>
            <w:tcW w:w="567" w:type="dxa"/>
            <w:vMerge w:val="restart"/>
            <w:tcBorders>
              <w:top w:val="single" w:sz="4" w:space="0" w:color="auto"/>
              <w:bottom w:val="single" w:sz="4" w:space="0" w:color="auto"/>
            </w:tcBorders>
            <w:vAlign w:val="center"/>
          </w:tcPr>
          <w:p w14:paraId="4EAF3C99"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n</w:t>
            </w:r>
          </w:p>
        </w:tc>
        <w:tc>
          <w:tcPr>
            <w:tcW w:w="3828" w:type="dxa"/>
            <w:gridSpan w:val="2"/>
            <w:tcBorders>
              <w:top w:val="single" w:sz="4" w:space="0" w:color="auto"/>
              <w:bottom w:val="single" w:sz="4" w:space="0" w:color="auto"/>
            </w:tcBorders>
          </w:tcPr>
          <w:p w14:paraId="33B48D34" w14:textId="77777777" w:rsidR="00803B11" w:rsidRPr="00DA1340" w:rsidRDefault="00803B11" w:rsidP="001A1528">
            <w:pPr>
              <w:jc w:val="center"/>
              <w:rPr>
                <w:rFonts w:ascii="Cambria" w:hAnsi="Cambria"/>
                <w:b/>
                <w:bCs/>
                <w:sz w:val="24"/>
                <w:szCs w:val="24"/>
              </w:rPr>
            </w:pPr>
            <w:r w:rsidRPr="00DA1340">
              <w:rPr>
                <w:rFonts w:ascii="Cambria" w:hAnsi="Cambria"/>
                <w:b/>
                <w:bCs/>
                <w:sz w:val="24"/>
                <w:szCs w:val="24"/>
              </w:rPr>
              <w:t>Clinical symptoms</w:t>
            </w:r>
          </w:p>
        </w:tc>
        <w:tc>
          <w:tcPr>
            <w:tcW w:w="1560" w:type="dxa"/>
            <w:tcBorders>
              <w:top w:val="single" w:sz="4" w:space="0" w:color="auto"/>
            </w:tcBorders>
            <w:vAlign w:val="center"/>
          </w:tcPr>
          <w:p w14:paraId="3099D2A4" w14:textId="77777777" w:rsidR="00803B11" w:rsidRPr="00DA1340" w:rsidRDefault="00803B11" w:rsidP="001A1528">
            <w:pPr>
              <w:jc w:val="center"/>
              <w:rPr>
                <w:rFonts w:ascii="Cambria" w:hAnsi="Cambria"/>
                <w:b/>
                <w:bCs/>
                <w:sz w:val="24"/>
                <w:szCs w:val="24"/>
                <w:vertAlign w:val="superscript"/>
              </w:rPr>
            </w:pPr>
            <w:r w:rsidRPr="00DA1340">
              <w:rPr>
                <w:rFonts w:ascii="Cambria" w:hAnsi="Cambria"/>
                <w:b/>
                <w:bCs/>
                <w:sz w:val="24"/>
                <w:szCs w:val="24"/>
              </w:rPr>
              <w:t xml:space="preserve">p-value </w:t>
            </w:r>
            <w:r w:rsidRPr="00DA1340">
              <w:rPr>
                <w:rFonts w:ascii="Cambria" w:hAnsi="Cambria"/>
                <w:b/>
                <w:bCs/>
                <w:sz w:val="24"/>
                <w:szCs w:val="24"/>
                <w:vertAlign w:val="superscript"/>
              </w:rPr>
              <w:t>a</w:t>
            </w:r>
          </w:p>
        </w:tc>
      </w:tr>
      <w:tr w:rsidR="00803B11" w:rsidRPr="00F25846" w14:paraId="06BBCAC6" w14:textId="77777777" w:rsidTr="00E30319">
        <w:trPr>
          <w:trHeight w:val="210"/>
        </w:trPr>
        <w:tc>
          <w:tcPr>
            <w:tcW w:w="2409" w:type="dxa"/>
            <w:vMerge/>
            <w:tcBorders>
              <w:bottom w:val="single" w:sz="4" w:space="0" w:color="auto"/>
            </w:tcBorders>
          </w:tcPr>
          <w:p w14:paraId="6C267BE1" w14:textId="77777777" w:rsidR="00803B11" w:rsidRPr="00DA1340" w:rsidRDefault="00803B11" w:rsidP="001A1528">
            <w:pPr>
              <w:rPr>
                <w:rFonts w:ascii="Cambria" w:hAnsi="Cambria"/>
                <w:b/>
                <w:bCs/>
                <w:sz w:val="24"/>
                <w:szCs w:val="24"/>
              </w:rPr>
            </w:pPr>
          </w:p>
        </w:tc>
        <w:tc>
          <w:tcPr>
            <w:tcW w:w="567" w:type="dxa"/>
            <w:vMerge/>
            <w:tcBorders>
              <w:bottom w:val="single" w:sz="4" w:space="0" w:color="auto"/>
            </w:tcBorders>
          </w:tcPr>
          <w:p w14:paraId="1B6B4A3F" w14:textId="77777777" w:rsidR="00803B11" w:rsidRPr="00DA1340" w:rsidRDefault="00803B11" w:rsidP="001A1528">
            <w:pPr>
              <w:jc w:val="center"/>
              <w:rPr>
                <w:rFonts w:ascii="Cambria" w:hAnsi="Cambria"/>
                <w:b/>
                <w:bCs/>
                <w:sz w:val="24"/>
                <w:szCs w:val="24"/>
              </w:rPr>
            </w:pPr>
          </w:p>
        </w:tc>
        <w:tc>
          <w:tcPr>
            <w:tcW w:w="1985" w:type="dxa"/>
            <w:tcBorders>
              <w:bottom w:val="single" w:sz="4" w:space="0" w:color="auto"/>
            </w:tcBorders>
          </w:tcPr>
          <w:p w14:paraId="7E0C0EC0"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 xml:space="preserve">Improved </w:t>
            </w:r>
          </w:p>
          <w:p w14:paraId="2F9EE0F9"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n (%)</w:t>
            </w:r>
          </w:p>
        </w:tc>
        <w:tc>
          <w:tcPr>
            <w:tcW w:w="1843" w:type="dxa"/>
            <w:tcBorders>
              <w:bottom w:val="single" w:sz="4" w:space="0" w:color="auto"/>
            </w:tcBorders>
          </w:tcPr>
          <w:p w14:paraId="7D2988CB" w14:textId="4FB51699" w:rsidR="00803B11" w:rsidRPr="00DA1340" w:rsidRDefault="00803B11" w:rsidP="001A1528">
            <w:pPr>
              <w:jc w:val="right"/>
              <w:rPr>
                <w:rFonts w:ascii="Cambria" w:hAnsi="Cambria"/>
                <w:b/>
                <w:bCs/>
                <w:sz w:val="24"/>
                <w:szCs w:val="24"/>
              </w:rPr>
            </w:pPr>
            <w:r w:rsidRPr="00DA1340">
              <w:rPr>
                <w:rFonts w:ascii="Cambria" w:hAnsi="Cambria"/>
                <w:b/>
                <w:bCs/>
                <w:sz w:val="24"/>
                <w:szCs w:val="24"/>
              </w:rPr>
              <w:t>No</w:t>
            </w:r>
            <w:r w:rsidR="001672AE" w:rsidRPr="00DA1340">
              <w:rPr>
                <w:rFonts w:ascii="Cambria" w:hAnsi="Cambria"/>
                <w:b/>
                <w:bCs/>
                <w:sz w:val="24"/>
                <w:szCs w:val="24"/>
              </w:rPr>
              <w:t>t Improved</w:t>
            </w:r>
          </w:p>
          <w:p w14:paraId="3D71D9DE"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n (%)</w:t>
            </w:r>
          </w:p>
        </w:tc>
        <w:tc>
          <w:tcPr>
            <w:tcW w:w="1560" w:type="dxa"/>
            <w:tcBorders>
              <w:bottom w:val="single" w:sz="4" w:space="0" w:color="auto"/>
            </w:tcBorders>
          </w:tcPr>
          <w:p w14:paraId="53BFF8E2" w14:textId="77777777" w:rsidR="00803B11" w:rsidRPr="00DA1340" w:rsidRDefault="00803B11" w:rsidP="001A1528">
            <w:pPr>
              <w:jc w:val="right"/>
              <w:rPr>
                <w:rFonts w:ascii="Cambria" w:hAnsi="Cambria"/>
                <w:b/>
                <w:bCs/>
                <w:sz w:val="24"/>
                <w:szCs w:val="24"/>
              </w:rPr>
            </w:pPr>
          </w:p>
        </w:tc>
      </w:tr>
      <w:tr w:rsidR="00803B11" w:rsidRPr="00F25846" w14:paraId="001C77AD" w14:textId="77777777" w:rsidTr="00E30319">
        <w:trPr>
          <w:trHeight w:val="1130"/>
        </w:trPr>
        <w:tc>
          <w:tcPr>
            <w:tcW w:w="2409" w:type="dxa"/>
            <w:tcBorders>
              <w:top w:val="single" w:sz="4" w:space="0" w:color="auto"/>
              <w:bottom w:val="single" w:sz="4" w:space="0" w:color="auto"/>
            </w:tcBorders>
            <w:hideMark/>
          </w:tcPr>
          <w:p w14:paraId="6D5ECB25" w14:textId="190F0B67" w:rsidR="00803B11" w:rsidRPr="00DA1340" w:rsidRDefault="009255DD" w:rsidP="001A1528">
            <w:pPr>
              <w:rPr>
                <w:rFonts w:ascii="Cambria" w:hAnsi="Cambria"/>
                <w:b/>
                <w:bCs/>
                <w:sz w:val="24"/>
                <w:szCs w:val="24"/>
              </w:rPr>
            </w:pPr>
            <w:r w:rsidRPr="00DA1340">
              <w:rPr>
                <w:rFonts w:ascii="Cambria" w:hAnsi="Cambria"/>
                <w:b/>
                <w:bCs/>
                <w:sz w:val="24"/>
                <w:szCs w:val="24"/>
              </w:rPr>
              <w:t xml:space="preserve">Intraoperative </w:t>
            </w:r>
            <w:r w:rsidR="00803B11" w:rsidRPr="00DA1340">
              <w:rPr>
                <w:rFonts w:ascii="Cambria" w:hAnsi="Cambria"/>
                <w:b/>
                <w:bCs/>
                <w:sz w:val="24"/>
                <w:szCs w:val="24"/>
              </w:rPr>
              <w:t>MEP</w:t>
            </w:r>
          </w:p>
          <w:p w14:paraId="68A433A3" w14:textId="77777777" w:rsidR="00803B11" w:rsidRPr="00DA1340" w:rsidRDefault="00803B11" w:rsidP="001A1528">
            <w:pPr>
              <w:rPr>
                <w:rFonts w:ascii="Cambria" w:hAnsi="Cambria"/>
                <w:sz w:val="24"/>
                <w:szCs w:val="24"/>
              </w:rPr>
            </w:pPr>
            <w:r w:rsidRPr="00DA1340">
              <w:rPr>
                <w:rFonts w:ascii="Cambria" w:hAnsi="Cambria"/>
                <w:sz w:val="24"/>
                <w:szCs w:val="24"/>
              </w:rPr>
              <w:t>Better</w:t>
            </w:r>
          </w:p>
          <w:p w14:paraId="7E5DF550" w14:textId="77777777" w:rsidR="00803B11" w:rsidRPr="00DA1340" w:rsidRDefault="00803B11" w:rsidP="001A1528">
            <w:pPr>
              <w:rPr>
                <w:rFonts w:ascii="Cambria" w:hAnsi="Cambria"/>
                <w:sz w:val="24"/>
                <w:szCs w:val="24"/>
              </w:rPr>
            </w:pPr>
            <w:r w:rsidRPr="00DA1340">
              <w:rPr>
                <w:rFonts w:ascii="Cambria" w:hAnsi="Cambria"/>
                <w:sz w:val="24"/>
                <w:szCs w:val="24"/>
              </w:rPr>
              <w:t>Same</w:t>
            </w:r>
          </w:p>
          <w:p w14:paraId="7598FCFD" w14:textId="77777777" w:rsidR="00803B11" w:rsidRPr="00DA1340" w:rsidRDefault="00803B11" w:rsidP="001A1528">
            <w:pPr>
              <w:rPr>
                <w:rFonts w:ascii="Cambria" w:hAnsi="Cambria"/>
                <w:b/>
                <w:bCs/>
                <w:sz w:val="24"/>
                <w:szCs w:val="24"/>
              </w:rPr>
            </w:pPr>
            <w:r w:rsidRPr="00DA1340">
              <w:rPr>
                <w:rFonts w:ascii="Cambria" w:hAnsi="Cambria"/>
                <w:sz w:val="24"/>
                <w:szCs w:val="24"/>
              </w:rPr>
              <w:t>Worsen</w:t>
            </w:r>
          </w:p>
        </w:tc>
        <w:tc>
          <w:tcPr>
            <w:tcW w:w="567" w:type="dxa"/>
            <w:tcBorders>
              <w:top w:val="single" w:sz="4" w:space="0" w:color="auto"/>
              <w:bottom w:val="single" w:sz="4" w:space="0" w:color="auto"/>
            </w:tcBorders>
          </w:tcPr>
          <w:p w14:paraId="092E6ABA" w14:textId="77777777" w:rsidR="00803B11" w:rsidRPr="00DA1340" w:rsidRDefault="00803B11" w:rsidP="001A1528">
            <w:pPr>
              <w:jc w:val="right"/>
              <w:rPr>
                <w:rFonts w:ascii="Cambria" w:hAnsi="Cambria"/>
                <w:sz w:val="24"/>
                <w:szCs w:val="24"/>
              </w:rPr>
            </w:pPr>
          </w:p>
          <w:p w14:paraId="54C11BF0" w14:textId="77777777" w:rsidR="00803B11" w:rsidRPr="00DA1340" w:rsidRDefault="00803B11" w:rsidP="001A1528">
            <w:pPr>
              <w:jc w:val="right"/>
              <w:rPr>
                <w:rFonts w:ascii="Cambria" w:hAnsi="Cambria"/>
                <w:sz w:val="24"/>
                <w:szCs w:val="24"/>
              </w:rPr>
            </w:pPr>
            <w:r w:rsidRPr="00DA1340">
              <w:rPr>
                <w:rFonts w:ascii="Cambria" w:hAnsi="Cambria"/>
                <w:sz w:val="24"/>
                <w:szCs w:val="24"/>
              </w:rPr>
              <w:t>18</w:t>
            </w:r>
          </w:p>
          <w:p w14:paraId="0F59B323" w14:textId="77777777" w:rsidR="00803B11" w:rsidRPr="00DA1340" w:rsidRDefault="00803B11" w:rsidP="001A1528">
            <w:pPr>
              <w:jc w:val="right"/>
              <w:rPr>
                <w:rFonts w:ascii="Cambria" w:hAnsi="Cambria"/>
                <w:sz w:val="24"/>
                <w:szCs w:val="24"/>
              </w:rPr>
            </w:pPr>
            <w:r w:rsidRPr="00DA1340">
              <w:rPr>
                <w:rFonts w:ascii="Cambria" w:hAnsi="Cambria"/>
                <w:sz w:val="24"/>
                <w:szCs w:val="24"/>
              </w:rPr>
              <w:t>94</w:t>
            </w:r>
          </w:p>
          <w:p w14:paraId="7F39FD3C" w14:textId="77777777" w:rsidR="00803B11" w:rsidRPr="00DA1340" w:rsidRDefault="00803B11" w:rsidP="001A1528">
            <w:pPr>
              <w:jc w:val="right"/>
              <w:rPr>
                <w:rFonts w:ascii="Cambria" w:hAnsi="Cambria"/>
                <w:sz w:val="24"/>
                <w:szCs w:val="24"/>
              </w:rPr>
            </w:pPr>
            <w:r w:rsidRPr="00DA1340">
              <w:rPr>
                <w:rFonts w:ascii="Cambria" w:hAnsi="Cambria"/>
                <w:sz w:val="24"/>
                <w:szCs w:val="24"/>
              </w:rPr>
              <w:t>2</w:t>
            </w:r>
          </w:p>
        </w:tc>
        <w:tc>
          <w:tcPr>
            <w:tcW w:w="1985" w:type="dxa"/>
            <w:tcBorders>
              <w:top w:val="single" w:sz="4" w:space="0" w:color="auto"/>
              <w:bottom w:val="single" w:sz="4" w:space="0" w:color="auto"/>
            </w:tcBorders>
          </w:tcPr>
          <w:p w14:paraId="6EB4D77D" w14:textId="77777777" w:rsidR="00803B11" w:rsidRPr="00DA1340" w:rsidRDefault="00803B11" w:rsidP="001A1528">
            <w:pPr>
              <w:jc w:val="right"/>
              <w:rPr>
                <w:rFonts w:ascii="Cambria" w:hAnsi="Cambria"/>
                <w:sz w:val="24"/>
                <w:szCs w:val="24"/>
              </w:rPr>
            </w:pPr>
          </w:p>
          <w:p w14:paraId="2ABBB772" w14:textId="77777777" w:rsidR="00803B11" w:rsidRPr="00DA1340" w:rsidRDefault="00803B11" w:rsidP="001A1528">
            <w:pPr>
              <w:jc w:val="right"/>
              <w:rPr>
                <w:rFonts w:ascii="Cambria" w:hAnsi="Cambria"/>
                <w:sz w:val="24"/>
                <w:szCs w:val="24"/>
              </w:rPr>
            </w:pPr>
            <w:r w:rsidRPr="00DA1340">
              <w:rPr>
                <w:rFonts w:ascii="Cambria" w:hAnsi="Cambria"/>
                <w:sz w:val="24"/>
                <w:szCs w:val="24"/>
              </w:rPr>
              <w:t>8 (44.4)</w:t>
            </w:r>
          </w:p>
          <w:p w14:paraId="7E794C94" w14:textId="77777777" w:rsidR="00803B11" w:rsidRPr="00DA1340" w:rsidRDefault="00803B11" w:rsidP="001A1528">
            <w:pPr>
              <w:jc w:val="right"/>
              <w:rPr>
                <w:rFonts w:ascii="Cambria" w:hAnsi="Cambria"/>
                <w:sz w:val="24"/>
                <w:szCs w:val="24"/>
              </w:rPr>
            </w:pPr>
            <w:r w:rsidRPr="00DA1340">
              <w:rPr>
                <w:rFonts w:ascii="Cambria" w:hAnsi="Cambria"/>
                <w:sz w:val="24"/>
                <w:szCs w:val="24"/>
              </w:rPr>
              <w:t>7 (7.4)</w:t>
            </w:r>
          </w:p>
          <w:p w14:paraId="0E7BC480" w14:textId="6A439957" w:rsidR="00803B11" w:rsidRPr="00DA1340" w:rsidRDefault="00FD0366" w:rsidP="00FD0366">
            <w:pPr>
              <w:jc w:val="right"/>
              <w:rPr>
                <w:rFonts w:ascii="Cambria" w:hAnsi="Cambria"/>
                <w:sz w:val="24"/>
                <w:szCs w:val="24"/>
              </w:rPr>
            </w:pPr>
            <w:r w:rsidRPr="00DA1340">
              <w:rPr>
                <w:rFonts w:ascii="Cambria" w:hAnsi="Cambria"/>
                <w:sz w:val="24"/>
                <w:szCs w:val="24"/>
              </w:rPr>
              <w:t>0 (0)</w:t>
            </w:r>
          </w:p>
        </w:tc>
        <w:tc>
          <w:tcPr>
            <w:tcW w:w="1843" w:type="dxa"/>
            <w:tcBorders>
              <w:top w:val="single" w:sz="4" w:space="0" w:color="auto"/>
              <w:bottom w:val="single" w:sz="4" w:space="0" w:color="auto"/>
            </w:tcBorders>
          </w:tcPr>
          <w:p w14:paraId="3D2E2A5B" w14:textId="77777777" w:rsidR="00803B11" w:rsidRPr="00DA1340" w:rsidRDefault="00803B11" w:rsidP="001A1528">
            <w:pPr>
              <w:jc w:val="right"/>
              <w:rPr>
                <w:rFonts w:ascii="Cambria" w:hAnsi="Cambria"/>
                <w:sz w:val="24"/>
                <w:szCs w:val="24"/>
              </w:rPr>
            </w:pPr>
          </w:p>
          <w:p w14:paraId="2F1BC651" w14:textId="77777777" w:rsidR="00803B11" w:rsidRPr="00DA1340" w:rsidRDefault="00803B11" w:rsidP="001A1528">
            <w:pPr>
              <w:jc w:val="right"/>
              <w:rPr>
                <w:rFonts w:ascii="Cambria" w:hAnsi="Cambria"/>
                <w:sz w:val="24"/>
                <w:szCs w:val="24"/>
              </w:rPr>
            </w:pPr>
            <w:r w:rsidRPr="00DA1340">
              <w:rPr>
                <w:rFonts w:ascii="Cambria" w:hAnsi="Cambria"/>
                <w:sz w:val="24"/>
                <w:szCs w:val="24"/>
              </w:rPr>
              <w:t>10 (55.6)</w:t>
            </w:r>
          </w:p>
          <w:p w14:paraId="5793E26C" w14:textId="77777777" w:rsidR="00803B11" w:rsidRPr="00DA1340" w:rsidRDefault="00803B11" w:rsidP="001A1528">
            <w:pPr>
              <w:jc w:val="right"/>
              <w:rPr>
                <w:rFonts w:ascii="Cambria" w:hAnsi="Cambria"/>
                <w:sz w:val="24"/>
                <w:szCs w:val="24"/>
              </w:rPr>
            </w:pPr>
            <w:r w:rsidRPr="00DA1340">
              <w:rPr>
                <w:rFonts w:ascii="Cambria" w:hAnsi="Cambria"/>
                <w:sz w:val="24"/>
                <w:szCs w:val="24"/>
              </w:rPr>
              <w:t>87 (92.6)</w:t>
            </w:r>
          </w:p>
          <w:p w14:paraId="5F6230A2" w14:textId="77777777" w:rsidR="00803B11" w:rsidRPr="00DA1340" w:rsidRDefault="00803B11" w:rsidP="001A1528">
            <w:pPr>
              <w:jc w:val="right"/>
              <w:rPr>
                <w:rFonts w:ascii="Cambria" w:hAnsi="Cambria"/>
                <w:sz w:val="24"/>
                <w:szCs w:val="24"/>
              </w:rPr>
            </w:pPr>
            <w:r w:rsidRPr="00DA1340">
              <w:rPr>
                <w:rFonts w:ascii="Cambria" w:hAnsi="Cambria"/>
                <w:sz w:val="24"/>
                <w:szCs w:val="24"/>
              </w:rPr>
              <w:t>2 (100.0)</w:t>
            </w:r>
          </w:p>
        </w:tc>
        <w:tc>
          <w:tcPr>
            <w:tcW w:w="1560" w:type="dxa"/>
            <w:tcBorders>
              <w:top w:val="single" w:sz="4" w:space="0" w:color="auto"/>
              <w:bottom w:val="single" w:sz="4" w:space="0" w:color="auto"/>
            </w:tcBorders>
          </w:tcPr>
          <w:p w14:paraId="54F0AA2A" w14:textId="77777777" w:rsidR="00803B11" w:rsidRPr="00DA1340" w:rsidRDefault="00803B11" w:rsidP="001A1528">
            <w:pPr>
              <w:jc w:val="right"/>
              <w:rPr>
                <w:rFonts w:ascii="Cambria" w:hAnsi="Cambria"/>
                <w:sz w:val="24"/>
                <w:szCs w:val="24"/>
              </w:rPr>
            </w:pPr>
          </w:p>
          <w:p w14:paraId="2FBCFC01" w14:textId="77777777" w:rsidR="00803B11" w:rsidRPr="00DA1340" w:rsidRDefault="00803B11" w:rsidP="001A1528">
            <w:pPr>
              <w:jc w:val="right"/>
              <w:rPr>
                <w:rFonts w:ascii="Cambria" w:hAnsi="Cambria"/>
                <w:b/>
                <w:bCs/>
                <w:sz w:val="24"/>
                <w:szCs w:val="24"/>
              </w:rPr>
            </w:pPr>
            <w:r w:rsidRPr="00DA1340">
              <w:rPr>
                <w:rFonts w:ascii="Cambria" w:hAnsi="Cambria"/>
                <w:b/>
                <w:bCs/>
                <w:sz w:val="24"/>
                <w:szCs w:val="24"/>
              </w:rPr>
              <w:t>&lt;0.001</w:t>
            </w:r>
          </w:p>
        </w:tc>
      </w:tr>
      <w:tr w:rsidR="00803B11" w:rsidRPr="00F25846" w14:paraId="23C4F90D" w14:textId="77777777" w:rsidTr="00E30319">
        <w:trPr>
          <w:trHeight w:val="426"/>
        </w:trPr>
        <w:tc>
          <w:tcPr>
            <w:tcW w:w="2409" w:type="dxa"/>
            <w:tcBorders>
              <w:top w:val="single" w:sz="4" w:space="0" w:color="auto"/>
              <w:bottom w:val="single" w:sz="4" w:space="0" w:color="auto"/>
            </w:tcBorders>
          </w:tcPr>
          <w:p w14:paraId="5F27DBFF" w14:textId="07FB25B6" w:rsidR="00803B11" w:rsidRPr="00DA1340" w:rsidRDefault="009255DD" w:rsidP="001A1528">
            <w:pPr>
              <w:rPr>
                <w:rFonts w:ascii="Cambria" w:hAnsi="Cambria"/>
                <w:b/>
                <w:bCs/>
                <w:sz w:val="24"/>
                <w:szCs w:val="24"/>
              </w:rPr>
            </w:pPr>
            <w:r w:rsidRPr="00DA1340">
              <w:rPr>
                <w:rFonts w:ascii="Cambria" w:hAnsi="Cambria"/>
                <w:b/>
                <w:bCs/>
                <w:sz w:val="24"/>
                <w:szCs w:val="24"/>
              </w:rPr>
              <w:t xml:space="preserve">Intraoperative </w:t>
            </w:r>
            <w:r w:rsidR="00803B11" w:rsidRPr="00DA1340">
              <w:rPr>
                <w:rFonts w:ascii="Cambria" w:hAnsi="Cambria"/>
                <w:b/>
                <w:bCs/>
                <w:sz w:val="24"/>
                <w:szCs w:val="24"/>
              </w:rPr>
              <w:t>SSEP</w:t>
            </w:r>
          </w:p>
          <w:p w14:paraId="172FAFAA" w14:textId="77777777" w:rsidR="00803B11" w:rsidRPr="00DA1340" w:rsidRDefault="00803B11" w:rsidP="001A1528">
            <w:pPr>
              <w:rPr>
                <w:rFonts w:ascii="Cambria" w:hAnsi="Cambria"/>
                <w:sz w:val="24"/>
                <w:szCs w:val="24"/>
              </w:rPr>
            </w:pPr>
            <w:r w:rsidRPr="00DA1340">
              <w:rPr>
                <w:rFonts w:ascii="Cambria" w:hAnsi="Cambria"/>
                <w:sz w:val="24"/>
                <w:szCs w:val="24"/>
              </w:rPr>
              <w:t>Better</w:t>
            </w:r>
          </w:p>
          <w:p w14:paraId="1B72CF72" w14:textId="77777777" w:rsidR="00803B11" w:rsidRPr="00DA1340" w:rsidRDefault="00803B11" w:rsidP="001A1528">
            <w:pPr>
              <w:rPr>
                <w:rFonts w:ascii="Cambria" w:hAnsi="Cambria"/>
                <w:sz w:val="24"/>
                <w:szCs w:val="24"/>
              </w:rPr>
            </w:pPr>
            <w:r w:rsidRPr="00DA1340">
              <w:rPr>
                <w:rFonts w:ascii="Cambria" w:hAnsi="Cambria"/>
                <w:sz w:val="24"/>
                <w:szCs w:val="24"/>
              </w:rPr>
              <w:t>Same</w:t>
            </w:r>
          </w:p>
          <w:p w14:paraId="1E8D1538" w14:textId="77777777" w:rsidR="00803B11" w:rsidRPr="00DA1340" w:rsidRDefault="00803B11" w:rsidP="001A1528">
            <w:pPr>
              <w:rPr>
                <w:rFonts w:ascii="Cambria" w:hAnsi="Cambria"/>
                <w:b/>
                <w:bCs/>
                <w:sz w:val="24"/>
                <w:szCs w:val="24"/>
              </w:rPr>
            </w:pPr>
            <w:r w:rsidRPr="00DA1340">
              <w:rPr>
                <w:rFonts w:ascii="Cambria" w:hAnsi="Cambria"/>
                <w:sz w:val="24"/>
                <w:szCs w:val="24"/>
              </w:rPr>
              <w:t>Worsen</w:t>
            </w:r>
          </w:p>
        </w:tc>
        <w:tc>
          <w:tcPr>
            <w:tcW w:w="567" w:type="dxa"/>
            <w:tcBorders>
              <w:top w:val="single" w:sz="4" w:space="0" w:color="auto"/>
              <w:bottom w:val="single" w:sz="4" w:space="0" w:color="auto"/>
            </w:tcBorders>
          </w:tcPr>
          <w:p w14:paraId="2573BFCA" w14:textId="77777777" w:rsidR="00803B11" w:rsidRPr="00DA1340" w:rsidRDefault="00803B11" w:rsidP="001A1528">
            <w:pPr>
              <w:jc w:val="right"/>
              <w:rPr>
                <w:rFonts w:ascii="Cambria" w:hAnsi="Cambria"/>
                <w:sz w:val="24"/>
                <w:szCs w:val="24"/>
              </w:rPr>
            </w:pPr>
          </w:p>
          <w:p w14:paraId="649175EF" w14:textId="77777777" w:rsidR="00803B11" w:rsidRPr="00DA1340" w:rsidRDefault="00803B11" w:rsidP="001A1528">
            <w:pPr>
              <w:jc w:val="right"/>
              <w:rPr>
                <w:rFonts w:ascii="Cambria" w:hAnsi="Cambria"/>
                <w:sz w:val="24"/>
                <w:szCs w:val="24"/>
              </w:rPr>
            </w:pPr>
            <w:r w:rsidRPr="00DA1340">
              <w:rPr>
                <w:rFonts w:ascii="Cambria" w:hAnsi="Cambria"/>
                <w:sz w:val="24"/>
                <w:szCs w:val="24"/>
              </w:rPr>
              <w:t>2</w:t>
            </w:r>
          </w:p>
          <w:p w14:paraId="3B662B97" w14:textId="77777777" w:rsidR="00803B11" w:rsidRPr="00DA1340" w:rsidRDefault="00803B11" w:rsidP="001A1528">
            <w:pPr>
              <w:jc w:val="right"/>
              <w:rPr>
                <w:rFonts w:ascii="Cambria" w:hAnsi="Cambria"/>
                <w:sz w:val="24"/>
                <w:szCs w:val="24"/>
              </w:rPr>
            </w:pPr>
            <w:r w:rsidRPr="00DA1340">
              <w:rPr>
                <w:rFonts w:ascii="Cambria" w:hAnsi="Cambria"/>
                <w:sz w:val="24"/>
                <w:szCs w:val="24"/>
              </w:rPr>
              <w:t>111</w:t>
            </w:r>
          </w:p>
          <w:p w14:paraId="59A30A8F" w14:textId="77777777" w:rsidR="00803B11" w:rsidRPr="00DA1340" w:rsidRDefault="00803B11" w:rsidP="001A1528">
            <w:pPr>
              <w:jc w:val="right"/>
              <w:rPr>
                <w:rFonts w:ascii="Cambria" w:hAnsi="Cambria"/>
                <w:sz w:val="24"/>
                <w:szCs w:val="24"/>
              </w:rPr>
            </w:pPr>
            <w:r w:rsidRPr="00DA1340">
              <w:rPr>
                <w:rFonts w:ascii="Cambria" w:hAnsi="Cambria"/>
                <w:sz w:val="24"/>
                <w:szCs w:val="24"/>
              </w:rPr>
              <w:t>1</w:t>
            </w:r>
          </w:p>
        </w:tc>
        <w:tc>
          <w:tcPr>
            <w:tcW w:w="1985" w:type="dxa"/>
            <w:tcBorders>
              <w:top w:val="single" w:sz="4" w:space="0" w:color="auto"/>
              <w:bottom w:val="single" w:sz="4" w:space="0" w:color="auto"/>
            </w:tcBorders>
          </w:tcPr>
          <w:p w14:paraId="5ED8ED75" w14:textId="77777777" w:rsidR="00803B11" w:rsidRPr="00DA1340" w:rsidRDefault="00803B11" w:rsidP="001A1528">
            <w:pPr>
              <w:jc w:val="right"/>
              <w:rPr>
                <w:rFonts w:ascii="Cambria" w:hAnsi="Cambria"/>
                <w:sz w:val="24"/>
                <w:szCs w:val="24"/>
              </w:rPr>
            </w:pPr>
          </w:p>
          <w:p w14:paraId="0B75001F" w14:textId="77777777" w:rsidR="00FD0366" w:rsidRPr="00DA1340" w:rsidRDefault="00FD0366" w:rsidP="00FD0366">
            <w:pPr>
              <w:jc w:val="right"/>
              <w:rPr>
                <w:rFonts w:ascii="Cambria" w:hAnsi="Cambria"/>
                <w:sz w:val="24"/>
                <w:szCs w:val="24"/>
              </w:rPr>
            </w:pPr>
            <w:r w:rsidRPr="00DA1340">
              <w:rPr>
                <w:rFonts w:ascii="Cambria" w:hAnsi="Cambria"/>
                <w:sz w:val="24"/>
                <w:szCs w:val="24"/>
              </w:rPr>
              <w:t>0 (0)</w:t>
            </w:r>
          </w:p>
          <w:p w14:paraId="6DEE831E" w14:textId="77777777" w:rsidR="00803B11" w:rsidRPr="00DA1340" w:rsidRDefault="00803B11" w:rsidP="001A1528">
            <w:pPr>
              <w:jc w:val="right"/>
              <w:rPr>
                <w:rFonts w:ascii="Cambria" w:hAnsi="Cambria"/>
                <w:sz w:val="24"/>
                <w:szCs w:val="24"/>
              </w:rPr>
            </w:pPr>
            <w:r w:rsidRPr="00DA1340">
              <w:rPr>
                <w:rFonts w:ascii="Cambria" w:hAnsi="Cambria"/>
                <w:sz w:val="24"/>
                <w:szCs w:val="24"/>
              </w:rPr>
              <w:t>15 (13.5)</w:t>
            </w:r>
          </w:p>
          <w:p w14:paraId="7228F67A" w14:textId="00D7097B" w:rsidR="00803B11" w:rsidRPr="00DA1340" w:rsidRDefault="00FD0366" w:rsidP="00FD0366">
            <w:pPr>
              <w:jc w:val="right"/>
              <w:rPr>
                <w:rFonts w:ascii="Cambria" w:hAnsi="Cambria"/>
                <w:sz w:val="24"/>
                <w:szCs w:val="24"/>
              </w:rPr>
            </w:pPr>
            <w:r w:rsidRPr="00DA1340">
              <w:rPr>
                <w:rFonts w:ascii="Cambria" w:hAnsi="Cambria"/>
                <w:sz w:val="24"/>
                <w:szCs w:val="24"/>
              </w:rPr>
              <w:t>0 (0)</w:t>
            </w:r>
          </w:p>
        </w:tc>
        <w:tc>
          <w:tcPr>
            <w:tcW w:w="1843" w:type="dxa"/>
            <w:tcBorders>
              <w:top w:val="single" w:sz="4" w:space="0" w:color="auto"/>
              <w:bottom w:val="single" w:sz="4" w:space="0" w:color="auto"/>
            </w:tcBorders>
          </w:tcPr>
          <w:p w14:paraId="2884ABC5" w14:textId="77777777" w:rsidR="00803B11" w:rsidRPr="00DA1340" w:rsidRDefault="00803B11" w:rsidP="001A1528">
            <w:pPr>
              <w:jc w:val="right"/>
              <w:rPr>
                <w:rFonts w:ascii="Cambria" w:hAnsi="Cambria"/>
                <w:sz w:val="24"/>
                <w:szCs w:val="24"/>
              </w:rPr>
            </w:pPr>
          </w:p>
          <w:p w14:paraId="04BE6B61" w14:textId="77777777" w:rsidR="00803B11" w:rsidRPr="00DA1340" w:rsidRDefault="00803B11" w:rsidP="001A1528">
            <w:pPr>
              <w:jc w:val="right"/>
              <w:rPr>
                <w:rFonts w:ascii="Cambria" w:hAnsi="Cambria"/>
                <w:sz w:val="24"/>
                <w:szCs w:val="24"/>
              </w:rPr>
            </w:pPr>
            <w:r w:rsidRPr="00DA1340">
              <w:rPr>
                <w:rFonts w:ascii="Cambria" w:hAnsi="Cambria"/>
                <w:sz w:val="24"/>
                <w:szCs w:val="24"/>
              </w:rPr>
              <w:t>2 (100.0)</w:t>
            </w:r>
          </w:p>
          <w:p w14:paraId="182A0E4E" w14:textId="77777777" w:rsidR="00803B11" w:rsidRPr="00DA1340" w:rsidRDefault="00803B11" w:rsidP="001A1528">
            <w:pPr>
              <w:jc w:val="right"/>
              <w:rPr>
                <w:rFonts w:ascii="Cambria" w:hAnsi="Cambria"/>
                <w:sz w:val="24"/>
                <w:szCs w:val="24"/>
              </w:rPr>
            </w:pPr>
            <w:r w:rsidRPr="00DA1340">
              <w:rPr>
                <w:rFonts w:ascii="Cambria" w:hAnsi="Cambria"/>
                <w:sz w:val="24"/>
                <w:szCs w:val="24"/>
              </w:rPr>
              <w:t>96 (86.5)</w:t>
            </w:r>
          </w:p>
          <w:p w14:paraId="2073844E" w14:textId="77777777" w:rsidR="00803B11" w:rsidRPr="00DA1340" w:rsidRDefault="00803B11" w:rsidP="001A1528">
            <w:pPr>
              <w:jc w:val="right"/>
              <w:rPr>
                <w:rFonts w:ascii="Cambria" w:hAnsi="Cambria"/>
                <w:sz w:val="24"/>
                <w:szCs w:val="24"/>
              </w:rPr>
            </w:pPr>
            <w:r w:rsidRPr="00DA1340">
              <w:rPr>
                <w:rFonts w:ascii="Cambria" w:hAnsi="Cambria"/>
                <w:sz w:val="24"/>
                <w:szCs w:val="24"/>
              </w:rPr>
              <w:t>1 (100.0)</w:t>
            </w:r>
          </w:p>
        </w:tc>
        <w:tc>
          <w:tcPr>
            <w:tcW w:w="1560" w:type="dxa"/>
            <w:tcBorders>
              <w:top w:val="single" w:sz="4" w:space="0" w:color="auto"/>
              <w:bottom w:val="single" w:sz="4" w:space="0" w:color="auto"/>
            </w:tcBorders>
          </w:tcPr>
          <w:p w14:paraId="0AA76022" w14:textId="77777777" w:rsidR="00803B11" w:rsidRPr="00DA1340" w:rsidRDefault="00803B11" w:rsidP="001A1528">
            <w:pPr>
              <w:jc w:val="right"/>
              <w:rPr>
                <w:rFonts w:ascii="Cambria" w:hAnsi="Cambria"/>
                <w:sz w:val="24"/>
                <w:szCs w:val="24"/>
              </w:rPr>
            </w:pPr>
          </w:p>
          <w:p w14:paraId="521FA9E1" w14:textId="77777777" w:rsidR="00803B11" w:rsidRPr="00DA1340" w:rsidRDefault="00803B11" w:rsidP="001A1528">
            <w:pPr>
              <w:jc w:val="right"/>
              <w:rPr>
                <w:rFonts w:ascii="Cambria" w:hAnsi="Cambria"/>
                <w:sz w:val="24"/>
                <w:szCs w:val="24"/>
              </w:rPr>
            </w:pPr>
            <w:r w:rsidRPr="00DA1340">
              <w:rPr>
                <w:rFonts w:ascii="Cambria" w:hAnsi="Cambria"/>
                <w:sz w:val="24"/>
                <w:szCs w:val="24"/>
              </w:rPr>
              <w:t>1.000</w:t>
            </w:r>
          </w:p>
        </w:tc>
      </w:tr>
      <w:tr w:rsidR="00542DD6" w:rsidRPr="00F25F10" w14:paraId="75058963" w14:textId="77777777" w:rsidTr="00E30319">
        <w:trPr>
          <w:trHeight w:val="835"/>
        </w:trPr>
        <w:tc>
          <w:tcPr>
            <w:tcW w:w="2409" w:type="dxa"/>
            <w:tcBorders>
              <w:top w:val="single" w:sz="4" w:space="0" w:color="auto"/>
              <w:bottom w:val="single" w:sz="4" w:space="0" w:color="auto"/>
            </w:tcBorders>
          </w:tcPr>
          <w:p w14:paraId="482C8949" w14:textId="77777777" w:rsidR="00542DD6" w:rsidRPr="00DA1340" w:rsidRDefault="00542DD6" w:rsidP="000002EC">
            <w:pPr>
              <w:rPr>
                <w:rFonts w:ascii="Cambria" w:hAnsi="Cambria"/>
                <w:b/>
                <w:bCs/>
                <w:sz w:val="24"/>
                <w:szCs w:val="24"/>
              </w:rPr>
            </w:pPr>
            <w:r w:rsidRPr="00DA1340">
              <w:rPr>
                <w:rFonts w:ascii="Cambria" w:hAnsi="Cambria"/>
                <w:b/>
                <w:bCs/>
                <w:sz w:val="24"/>
                <w:szCs w:val="24"/>
              </w:rPr>
              <w:t>EMG irritation</w:t>
            </w:r>
          </w:p>
          <w:p w14:paraId="6F9B992C" w14:textId="77777777" w:rsidR="00542DD6" w:rsidRPr="00DA1340" w:rsidRDefault="00542DD6" w:rsidP="000002EC">
            <w:pPr>
              <w:rPr>
                <w:rFonts w:ascii="Cambria" w:hAnsi="Cambria"/>
                <w:sz w:val="24"/>
                <w:szCs w:val="24"/>
              </w:rPr>
            </w:pPr>
            <w:r w:rsidRPr="00DA1340">
              <w:rPr>
                <w:rFonts w:ascii="Cambria" w:hAnsi="Cambria"/>
                <w:sz w:val="24"/>
                <w:szCs w:val="24"/>
              </w:rPr>
              <w:t>Yes</w:t>
            </w:r>
          </w:p>
          <w:p w14:paraId="3F501D27" w14:textId="77777777" w:rsidR="00542DD6" w:rsidRPr="00DA1340" w:rsidRDefault="00542DD6" w:rsidP="000002EC">
            <w:pPr>
              <w:rPr>
                <w:rFonts w:ascii="Cambria" w:hAnsi="Cambria"/>
                <w:b/>
                <w:bCs/>
                <w:sz w:val="24"/>
                <w:szCs w:val="24"/>
              </w:rPr>
            </w:pPr>
            <w:r w:rsidRPr="00DA1340">
              <w:rPr>
                <w:rFonts w:ascii="Cambria" w:hAnsi="Cambria"/>
                <w:sz w:val="24"/>
                <w:szCs w:val="24"/>
              </w:rPr>
              <w:t>No</w:t>
            </w:r>
          </w:p>
        </w:tc>
        <w:tc>
          <w:tcPr>
            <w:tcW w:w="567" w:type="dxa"/>
            <w:tcBorders>
              <w:top w:val="single" w:sz="4" w:space="0" w:color="auto"/>
              <w:bottom w:val="single" w:sz="4" w:space="0" w:color="auto"/>
            </w:tcBorders>
          </w:tcPr>
          <w:p w14:paraId="7F7B37DB" w14:textId="77777777" w:rsidR="00542DD6" w:rsidRPr="00DA1340" w:rsidRDefault="00542DD6" w:rsidP="000002EC">
            <w:pPr>
              <w:jc w:val="right"/>
              <w:rPr>
                <w:rFonts w:ascii="Cambria" w:hAnsi="Cambria"/>
                <w:sz w:val="24"/>
                <w:szCs w:val="24"/>
              </w:rPr>
            </w:pPr>
          </w:p>
          <w:p w14:paraId="351AD2D5" w14:textId="77777777" w:rsidR="00542DD6" w:rsidRPr="00DA1340" w:rsidRDefault="00542DD6" w:rsidP="000002EC">
            <w:pPr>
              <w:jc w:val="right"/>
              <w:rPr>
                <w:rFonts w:ascii="Cambria" w:hAnsi="Cambria"/>
                <w:sz w:val="24"/>
                <w:szCs w:val="24"/>
              </w:rPr>
            </w:pPr>
            <w:r w:rsidRPr="00DA1340">
              <w:rPr>
                <w:rFonts w:ascii="Cambria" w:hAnsi="Cambria"/>
                <w:sz w:val="24"/>
                <w:szCs w:val="24"/>
              </w:rPr>
              <w:t>16</w:t>
            </w:r>
          </w:p>
          <w:p w14:paraId="6116FC09" w14:textId="77777777" w:rsidR="00542DD6" w:rsidRPr="00DA1340" w:rsidRDefault="00542DD6" w:rsidP="000002EC">
            <w:pPr>
              <w:jc w:val="right"/>
              <w:rPr>
                <w:rFonts w:ascii="Cambria" w:hAnsi="Cambria"/>
                <w:sz w:val="24"/>
                <w:szCs w:val="24"/>
              </w:rPr>
            </w:pPr>
            <w:r w:rsidRPr="00DA1340">
              <w:rPr>
                <w:rFonts w:ascii="Cambria" w:hAnsi="Cambria"/>
                <w:sz w:val="24"/>
                <w:szCs w:val="24"/>
              </w:rPr>
              <w:t>98</w:t>
            </w:r>
          </w:p>
        </w:tc>
        <w:tc>
          <w:tcPr>
            <w:tcW w:w="1985" w:type="dxa"/>
            <w:tcBorders>
              <w:top w:val="single" w:sz="4" w:space="0" w:color="auto"/>
              <w:bottom w:val="single" w:sz="4" w:space="0" w:color="auto"/>
            </w:tcBorders>
          </w:tcPr>
          <w:p w14:paraId="49CFCA1F" w14:textId="77777777" w:rsidR="00542DD6" w:rsidRPr="00DA1340" w:rsidRDefault="00542DD6" w:rsidP="000002EC">
            <w:pPr>
              <w:jc w:val="right"/>
              <w:rPr>
                <w:rFonts w:ascii="Cambria" w:hAnsi="Cambria"/>
                <w:sz w:val="24"/>
                <w:szCs w:val="24"/>
              </w:rPr>
            </w:pPr>
          </w:p>
          <w:p w14:paraId="4389F3D5" w14:textId="77777777" w:rsidR="00542DD6" w:rsidRPr="00DA1340" w:rsidRDefault="00542DD6" w:rsidP="000002EC">
            <w:pPr>
              <w:jc w:val="right"/>
              <w:rPr>
                <w:rFonts w:ascii="Cambria" w:hAnsi="Cambria"/>
                <w:sz w:val="24"/>
                <w:szCs w:val="24"/>
              </w:rPr>
            </w:pPr>
            <w:r w:rsidRPr="00DA1340">
              <w:rPr>
                <w:rFonts w:ascii="Cambria" w:hAnsi="Cambria"/>
                <w:sz w:val="24"/>
                <w:szCs w:val="24"/>
              </w:rPr>
              <w:t>5 (31.3)</w:t>
            </w:r>
          </w:p>
          <w:p w14:paraId="1E5C13CA" w14:textId="77777777" w:rsidR="00542DD6" w:rsidRPr="00DA1340" w:rsidRDefault="00542DD6" w:rsidP="000002EC">
            <w:pPr>
              <w:jc w:val="right"/>
              <w:rPr>
                <w:rFonts w:ascii="Cambria" w:hAnsi="Cambria"/>
                <w:sz w:val="24"/>
                <w:szCs w:val="24"/>
              </w:rPr>
            </w:pPr>
            <w:r w:rsidRPr="00DA1340">
              <w:rPr>
                <w:rFonts w:ascii="Cambria" w:hAnsi="Cambria"/>
                <w:sz w:val="24"/>
                <w:szCs w:val="24"/>
              </w:rPr>
              <w:t>10 (10.2)</w:t>
            </w:r>
          </w:p>
        </w:tc>
        <w:tc>
          <w:tcPr>
            <w:tcW w:w="1843" w:type="dxa"/>
            <w:tcBorders>
              <w:top w:val="single" w:sz="4" w:space="0" w:color="auto"/>
              <w:bottom w:val="single" w:sz="4" w:space="0" w:color="auto"/>
            </w:tcBorders>
          </w:tcPr>
          <w:p w14:paraId="4D6FE4F4" w14:textId="77777777" w:rsidR="00542DD6" w:rsidRPr="00DA1340" w:rsidRDefault="00542DD6" w:rsidP="000002EC">
            <w:pPr>
              <w:jc w:val="right"/>
              <w:rPr>
                <w:rFonts w:ascii="Cambria" w:hAnsi="Cambria"/>
                <w:sz w:val="24"/>
                <w:szCs w:val="24"/>
              </w:rPr>
            </w:pPr>
          </w:p>
          <w:p w14:paraId="58AF43CC" w14:textId="77777777" w:rsidR="00542DD6" w:rsidRPr="00DA1340" w:rsidRDefault="00542DD6" w:rsidP="000002EC">
            <w:pPr>
              <w:jc w:val="right"/>
              <w:rPr>
                <w:rFonts w:ascii="Cambria" w:hAnsi="Cambria"/>
                <w:sz w:val="24"/>
                <w:szCs w:val="24"/>
              </w:rPr>
            </w:pPr>
            <w:r w:rsidRPr="00DA1340">
              <w:rPr>
                <w:rFonts w:ascii="Cambria" w:hAnsi="Cambria"/>
                <w:sz w:val="24"/>
                <w:szCs w:val="24"/>
              </w:rPr>
              <w:t>11 (68.8)</w:t>
            </w:r>
          </w:p>
          <w:p w14:paraId="56C8DD2C" w14:textId="77777777" w:rsidR="00542DD6" w:rsidRPr="00DA1340" w:rsidRDefault="00542DD6" w:rsidP="000002EC">
            <w:pPr>
              <w:jc w:val="right"/>
              <w:rPr>
                <w:rFonts w:ascii="Cambria" w:hAnsi="Cambria"/>
                <w:sz w:val="24"/>
                <w:szCs w:val="24"/>
              </w:rPr>
            </w:pPr>
            <w:r w:rsidRPr="00DA1340">
              <w:rPr>
                <w:rFonts w:ascii="Cambria" w:hAnsi="Cambria"/>
                <w:sz w:val="24"/>
                <w:szCs w:val="24"/>
              </w:rPr>
              <w:t>88 (89.8)</w:t>
            </w:r>
          </w:p>
        </w:tc>
        <w:tc>
          <w:tcPr>
            <w:tcW w:w="1560" w:type="dxa"/>
            <w:tcBorders>
              <w:top w:val="single" w:sz="4" w:space="0" w:color="auto"/>
              <w:bottom w:val="single" w:sz="4" w:space="0" w:color="auto"/>
            </w:tcBorders>
          </w:tcPr>
          <w:p w14:paraId="72D9C8AF" w14:textId="77777777" w:rsidR="00542DD6" w:rsidRPr="00DA1340" w:rsidRDefault="00542DD6" w:rsidP="000002EC">
            <w:pPr>
              <w:jc w:val="right"/>
              <w:rPr>
                <w:rFonts w:ascii="Cambria" w:hAnsi="Cambria"/>
                <w:sz w:val="24"/>
                <w:szCs w:val="24"/>
              </w:rPr>
            </w:pPr>
          </w:p>
          <w:p w14:paraId="27F4CA67" w14:textId="77777777" w:rsidR="00542DD6" w:rsidRPr="00E30319" w:rsidRDefault="00542DD6" w:rsidP="000002EC">
            <w:pPr>
              <w:jc w:val="right"/>
              <w:rPr>
                <w:rFonts w:ascii="Cambria" w:hAnsi="Cambria"/>
                <w:sz w:val="24"/>
                <w:szCs w:val="24"/>
              </w:rPr>
            </w:pPr>
            <w:r w:rsidRPr="00E30319">
              <w:rPr>
                <w:rFonts w:ascii="Cambria" w:hAnsi="Cambria"/>
                <w:sz w:val="24"/>
                <w:szCs w:val="24"/>
              </w:rPr>
              <w:t>0.036</w:t>
            </w:r>
          </w:p>
        </w:tc>
      </w:tr>
    </w:tbl>
    <w:p w14:paraId="2D6FDAAD" w14:textId="610FEE98" w:rsidR="00803B11" w:rsidRPr="00F25846" w:rsidRDefault="00803B11" w:rsidP="00803B11">
      <w:pPr>
        <w:rPr>
          <w:rFonts w:ascii="Cambria" w:hAnsi="Cambria"/>
        </w:rPr>
      </w:pPr>
      <w:r w:rsidRPr="00F25846">
        <w:rPr>
          <w:rFonts w:ascii="Cambria" w:hAnsi="Cambria"/>
          <w:vertAlign w:val="superscript"/>
        </w:rPr>
        <w:t xml:space="preserve">a </w:t>
      </w:r>
      <w:r w:rsidRPr="00F25846">
        <w:rPr>
          <w:rFonts w:ascii="Cambria" w:hAnsi="Cambria"/>
        </w:rPr>
        <w:t>Fisher Exact test</w:t>
      </w:r>
    </w:p>
    <w:p w14:paraId="21B32EF4" w14:textId="77777777" w:rsidR="00967A31" w:rsidRDefault="00967A31" w:rsidP="00803B11">
      <w:pPr>
        <w:rPr>
          <w:rFonts w:ascii="Cambria" w:hAnsi="Cambria"/>
          <w:b/>
          <w:bCs/>
        </w:rPr>
      </w:pPr>
    </w:p>
    <w:p w14:paraId="60715781" w14:textId="77777777" w:rsidR="00967A31" w:rsidRDefault="00967A31" w:rsidP="00803B11">
      <w:pPr>
        <w:rPr>
          <w:rFonts w:ascii="Cambria" w:hAnsi="Cambria"/>
          <w:b/>
          <w:bCs/>
        </w:rPr>
      </w:pPr>
    </w:p>
    <w:p w14:paraId="0D26C195" w14:textId="77777777" w:rsidR="00967A31" w:rsidRDefault="00967A31" w:rsidP="00803B11">
      <w:pPr>
        <w:rPr>
          <w:rFonts w:ascii="Cambria" w:hAnsi="Cambria"/>
          <w:b/>
          <w:bCs/>
        </w:rPr>
      </w:pPr>
    </w:p>
    <w:p w14:paraId="1898A292" w14:textId="77777777" w:rsidR="00967A31" w:rsidRDefault="00967A31" w:rsidP="00803B11">
      <w:pPr>
        <w:rPr>
          <w:rFonts w:ascii="Cambria" w:hAnsi="Cambria"/>
          <w:b/>
          <w:bCs/>
        </w:rPr>
      </w:pPr>
    </w:p>
    <w:p w14:paraId="76E2C692" w14:textId="77777777" w:rsidR="00967A31" w:rsidRDefault="00967A31" w:rsidP="00803B11">
      <w:pPr>
        <w:rPr>
          <w:rFonts w:ascii="Cambria" w:hAnsi="Cambria"/>
          <w:b/>
          <w:bCs/>
        </w:rPr>
      </w:pPr>
    </w:p>
    <w:p w14:paraId="1F557273" w14:textId="77777777" w:rsidR="00967A31" w:rsidRDefault="00967A31" w:rsidP="00803B11">
      <w:pPr>
        <w:rPr>
          <w:rFonts w:ascii="Cambria" w:hAnsi="Cambria"/>
          <w:b/>
          <w:bCs/>
        </w:rPr>
      </w:pPr>
    </w:p>
    <w:p w14:paraId="25EFCA6C" w14:textId="77777777" w:rsidR="00967A31" w:rsidRDefault="00967A31" w:rsidP="00803B11">
      <w:pPr>
        <w:rPr>
          <w:rFonts w:ascii="Cambria" w:hAnsi="Cambria"/>
          <w:b/>
          <w:bCs/>
        </w:rPr>
      </w:pPr>
    </w:p>
    <w:p w14:paraId="487F6A6C" w14:textId="77777777" w:rsidR="00967A31" w:rsidRDefault="00967A31" w:rsidP="00803B11">
      <w:pPr>
        <w:rPr>
          <w:rFonts w:ascii="Cambria" w:hAnsi="Cambria"/>
          <w:b/>
          <w:bCs/>
        </w:rPr>
      </w:pPr>
    </w:p>
    <w:p w14:paraId="58D09778" w14:textId="77777777" w:rsidR="00967A31" w:rsidRDefault="00967A31" w:rsidP="00803B11">
      <w:pPr>
        <w:rPr>
          <w:rFonts w:ascii="Cambria" w:hAnsi="Cambria"/>
          <w:b/>
          <w:bCs/>
        </w:rPr>
      </w:pPr>
    </w:p>
    <w:p w14:paraId="6CE5A75B" w14:textId="77777777" w:rsidR="00967A31" w:rsidRDefault="00967A31" w:rsidP="00803B11">
      <w:pPr>
        <w:rPr>
          <w:rFonts w:ascii="Cambria" w:hAnsi="Cambria"/>
          <w:b/>
          <w:bCs/>
        </w:rPr>
      </w:pPr>
    </w:p>
    <w:p w14:paraId="529B9958" w14:textId="77777777" w:rsidR="00955ED5" w:rsidRDefault="00955ED5" w:rsidP="00803B11">
      <w:pPr>
        <w:rPr>
          <w:rFonts w:ascii="Cambria" w:hAnsi="Cambria"/>
          <w:b/>
          <w:bCs/>
        </w:rPr>
      </w:pPr>
    </w:p>
    <w:p w14:paraId="34145D00" w14:textId="77777777" w:rsidR="00955ED5" w:rsidRDefault="00955ED5" w:rsidP="00803B11">
      <w:pPr>
        <w:rPr>
          <w:rFonts w:ascii="Cambria" w:hAnsi="Cambria"/>
          <w:b/>
          <w:bCs/>
        </w:rPr>
      </w:pPr>
    </w:p>
    <w:p w14:paraId="2740BD71" w14:textId="77777777" w:rsidR="00955ED5" w:rsidRDefault="00955ED5" w:rsidP="00803B11">
      <w:pPr>
        <w:rPr>
          <w:rFonts w:ascii="Cambria" w:hAnsi="Cambria"/>
          <w:b/>
          <w:bCs/>
        </w:rPr>
      </w:pPr>
    </w:p>
    <w:p w14:paraId="7F78BBBB" w14:textId="77777777" w:rsidR="00955ED5" w:rsidRDefault="00955ED5" w:rsidP="00803B11">
      <w:pPr>
        <w:rPr>
          <w:rFonts w:ascii="Cambria" w:hAnsi="Cambria"/>
          <w:b/>
          <w:bCs/>
        </w:rPr>
      </w:pPr>
    </w:p>
    <w:p w14:paraId="4D804869" w14:textId="77777777" w:rsidR="00955ED5" w:rsidRDefault="00955ED5" w:rsidP="00803B11">
      <w:pPr>
        <w:rPr>
          <w:rFonts w:ascii="Cambria" w:hAnsi="Cambria"/>
          <w:b/>
          <w:bCs/>
        </w:rPr>
      </w:pPr>
    </w:p>
    <w:p w14:paraId="0C4F4093" w14:textId="77777777" w:rsidR="00967A31" w:rsidRDefault="00967A31" w:rsidP="00803B11">
      <w:pPr>
        <w:rPr>
          <w:rFonts w:ascii="Cambria" w:hAnsi="Cambria"/>
          <w:b/>
          <w:bCs/>
        </w:rPr>
      </w:pPr>
    </w:p>
    <w:p w14:paraId="0C096E18" w14:textId="77777777" w:rsidR="00967A31" w:rsidRDefault="00967A31" w:rsidP="00803B11">
      <w:pPr>
        <w:rPr>
          <w:rFonts w:ascii="Cambria" w:hAnsi="Cambria"/>
          <w:b/>
          <w:bCs/>
        </w:rPr>
      </w:pPr>
    </w:p>
    <w:p w14:paraId="56752EE1" w14:textId="77777777" w:rsidR="00967A31" w:rsidRDefault="00967A31" w:rsidP="00803B11">
      <w:pPr>
        <w:rPr>
          <w:rFonts w:ascii="Cambria" w:hAnsi="Cambria"/>
          <w:b/>
          <w:bCs/>
        </w:rPr>
      </w:pPr>
    </w:p>
    <w:p w14:paraId="1B1C2C73" w14:textId="77777777" w:rsidR="00021127" w:rsidRPr="00F25846" w:rsidRDefault="00021127" w:rsidP="00021127">
      <w:pPr>
        <w:rPr>
          <w:rFonts w:ascii="Cambria" w:hAnsi="Cambria"/>
          <w:b/>
          <w:bCs/>
        </w:rPr>
      </w:pPr>
      <w:r w:rsidRPr="00F25846">
        <w:rPr>
          <w:rFonts w:ascii="Cambria" w:hAnsi="Cambria"/>
          <w:b/>
          <w:bCs/>
        </w:rPr>
        <w:lastRenderedPageBreak/>
        <w:t>Discussion</w:t>
      </w:r>
    </w:p>
    <w:p w14:paraId="22E1F778" w14:textId="77777777" w:rsidR="00021127" w:rsidRPr="00F25846" w:rsidRDefault="00021127" w:rsidP="00021127">
      <w:pPr>
        <w:rPr>
          <w:rFonts w:ascii="Cambria" w:hAnsi="Cambria"/>
        </w:rPr>
      </w:pPr>
      <w:r w:rsidRPr="00F25846">
        <w:rPr>
          <w:rFonts w:ascii="Cambria" w:hAnsi="Cambria"/>
        </w:rPr>
        <w:tab/>
        <w:t xml:space="preserve">Our study </w:t>
      </w:r>
      <w:proofErr w:type="spellStart"/>
      <w:r w:rsidRPr="00F25846">
        <w:rPr>
          <w:rFonts w:ascii="Cambria" w:hAnsi="Cambria"/>
        </w:rPr>
        <w:t>analyzed</w:t>
      </w:r>
      <w:proofErr w:type="spellEnd"/>
      <w:r w:rsidRPr="00F25846">
        <w:rPr>
          <w:rFonts w:ascii="Cambria" w:hAnsi="Cambria"/>
        </w:rPr>
        <w:t xml:space="preserve"> 114 patients who underwent spine surgeries with intraoperative neuromonitoring (IONM) at our </w:t>
      </w:r>
      <w:proofErr w:type="spellStart"/>
      <w:r w:rsidRPr="00F25846">
        <w:rPr>
          <w:rFonts w:ascii="Cambria" w:hAnsi="Cambria"/>
        </w:rPr>
        <w:t>center</w:t>
      </w:r>
      <w:proofErr w:type="spellEnd"/>
      <w:r w:rsidRPr="00F25846">
        <w:rPr>
          <w:rFonts w:ascii="Cambria" w:hAnsi="Cambria"/>
        </w:rPr>
        <w:t xml:space="preserve"> between January and December 2024. The cohort comprised predominantly female patients (71, 62.3%), compared to males (43, 37.7%), reflecting the higher prevalence of Adolescent Idiopathic Scoliosis (AIS), which disproportionately affects females. The most common indication for IONM was Spine Scoliosis (64 cases, 56%), followed by Cervical </w:t>
      </w:r>
      <w:proofErr w:type="spellStart"/>
      <w:r w:rsidRPr="00F25846">
        <w:rPr>
          <w:rFonts w:ascii="Cambria" w:hAnsi="Cambria"/>
        </w:rPr>
        <w:t>Spondylotic</w:t>
      </w:r>
      <w:proofErr w:type="spellEnd"/>
      <w:r w:rsidRPr="00F25846">
        <w:rPr>
          <w:rFonts w:ascii="Cambria" w:hAnsi="Cambria"/>
        </w:rPr>
        <w:t xml:space="preserve"> Myelopathy (17, 14.9%), Traumatic Cervical Spine Injury (11, 9.6%), </w:t>
      </w:r>
      <w:proofErr w:type="gramStart"/>
      <w:r w:rsidRPr="00F25846">
        <w:rPr>
          <w:rFonts w:ascii="Cambria" w:hAnsi="Cambria"/>
        </w:rPr>
        <w:t>Tuberculous(</w:t>
      </w:r>
      <w:proofErr w:type="gramEnd"/>
      <w:r w:rsidRPr="00F25846">
        <w:rPr>
          <w:rFonts w:ascii="Cambria" w:hAnsi="Cambria"/>
        </w:rPr>
        <w:t xml:space="preserve">TB) Spine Infection (8, 7%), Thoracic Spine Metastasis (4, 3.5%), Lumbar Degenerative Spine Stenosis (4, 3.5%), Cervical Prolapsed Intervertebral Disc (3, 2.6%), and Other (3, 2.6%). </w:t>
      </w:r>
    </w:p>
    <w:p w14:paraId="51DF84B5" w14:textId="77777777" w:rsidR="00021127" w:rsidRPr="00F25846" w:rsidRDefault="00021127" w:rsidP="00021127">
      <w:pPr>
        <w:ind w:firstLine="720"/>
        <w:rPr>
          <w:rFonts w:ascii="Cambria" w:hAnsi="Cambria"/>
        </w:rPr>
      </w:pPr>
      <w:r w:rsidRPr="00F25846">
        <w:rPr>
          <w:rFonts w:ascii="Cambria" w:hAnsi="Cambria"/>
        </w:rPr>
        <w:t>IONM is now considered the standard of care in scoliosis correction due to its proven role in reducing neurological complications. Multiple studies have demonstrated that IONM significantly decreases the risk of postoperative neurological deficits by providing real-time feedback during spinal cord manipulation, deformity correction, and pedicle screw placement.</w:t>
      </w:r>
      <w:r w:rsidRPr="00F25846">
        <w:rPr>
          <w:rFonts w:ascii="Cambria" w:hAnsi="Cambria"/>
          <w:vertAlign w:val="superscript"/>
        </w:rPr>
        <w:t>16</w:t>
      </w:r>
      <w:r w:rsidRPr="00F25846">
        <w:rPr>
          <w:rFonts w:ascii="Cambria" w:hAnsi="Cambria"/>
        </w:rPr>
        <w:t xml:space="preserve"> The Scoliosis Research Society (SRS) strongly recommends IONM for all complex spinal deformity surgeries, as it enhances surgical safety and improves outcomes.</w:t>
      </w:r>
      <w:r w:rsidRPr="00F25846">
        <w:rPr>
          <w:rFonts w:ascii="Cambria" w:hAnsi="Cambria"/>
          <w:vertAlign w:val="superscript"/>
        </w:rPr>
        <w:t>17</w:t>
      </w:r>
    </w:p>
    <w:p w14:paraId="06F2E83D" w14:textId="77777777" w:rsidR="00021127" w:rsidRPr="00F25846" w:rsidRDefault="00021127" w:rsidP="00021127">
      <w:pPr>
        <w:ind w:firstLine="720"/>
        <w:rPr>
          <w:rFonts w:ascii="Cambria" w:hAnsi="Cambria"/>
        </w:rPr>
      </w:pPr>
      <w:r w:rsidRPr="00F25846">
        <w:rPr>
          <w:rFonts w:ascii="Cambria" w:hAnsi="Cambria"/>
        </w:rPr>
        <w:t>We selectively use IONM in cervical and thoracic spine surgery, this is because these spine regions carry a higher risk of catastrophic neurological injury due to the spinal cord’s limited tolerance to mechanical and ischemic insults. IONM is particularly critical in these cases, as it allows for early detection of intraoperative spinal cord compromise, enabling immediate corrective measures.</w:t>
      </w:r>
      <w:r w:rsidRPr="00F25846">
        <w:rPr>
          <w:rFonts w:ascii="Cambria" w:hAnsi="Cambria"/>
          <w:vertAlign w:val="superscript"/>
        </w:rPr>
        <w:t>18</w:t>
      </w:r>
      <w:r>
        <w:rPr>
          <w:rFonts w:ascii="Cambria" w:hAnsi="Cambria"/>
          <w:vertAlign w:val="superscript"/>
        </w:rPr>
        <w:t>,19</w:t>
      </w:r>
      <w:r w:rsidRPr="00F25846">
        <w:rPr>
          <w:rFonts w:ascii="Cambria" w:hAnsi="Cambria"/>
        </w:rPr>
        <w:t> In contrast, open lumbar fusion procedures (e.g., PLIF, TLIF) are often performed without IONM because direct nerve root visualization reduces the risk of inadvertent injury.</w:t>
      </w:r>
      <w:r>
        <w:rPr>
          <w:rFonts w:ascii="Cambria" w:hAnsi="Cambria"/>
          <w:vertAlign w:val="superscript"/>
        </w:rPr>
        <w:t>20</w:t>
      </w:r>
      <w:r w:rsidRPr="00F25846">
        <w:rPr>
          <w:rFonts w:ascii="Cambria" w:hAnsi="Cambria"/>
        </w:rPr>
        <w:t xml:space="preserve"> Recent systemic review concluded that in open decompression and fusion procedures, where anatomical exposure is clear, the added benefit of IONM may be limited compared to minimally invasive techniques. The study supports the argument that direct visualization in open surgery can decrease (but not eliminate) the need for IONM, though it remains valuable in complex or revision cases.</w:t>
      </w:r>
      <w:r w:rsidRPr="00F25846">
        <w:rPr>
          <w:rFonts w:ascii="Cambria" w:hAnsi="Cambria"/>
          <w:vertAlign w:val="superscript"/>
        </w:rPr>
        <w:t>19</w:t>
      </w:r>
      <w:r w:rsidRPr="00F25846">
        <w:rPr>
          <w:rFonts w:ascii="Cambria" w:hAnsi="Cambria"/>
        </w:rPr>
        <w:t xml:space="preserve"> However, in minimally invasive lumbar surgeries, where anatomical exposure is limited, IONM becomes essential to prevent nerve root damage.</w:t>
      </w:r>
      <w:r w:rsidRPr="00F25846">
        <w:rPr>
          <w:rFonts w:ascii="Cambria" w:hAnsi="Cambria"/>
          <w:vertAlign w:val="superscript"/>
        </w:rPr>
        <w:t>20</w:t>
      </w:r>
      <w:r>
        <w:rPr>
          <w:rFonts w:ascii="Cambria" w:hAnsi="Cambria"/>
          <w:vertAlign w:val="superscript"/>
        </w:rPr>
        <w:t>,21</w:t>
      </w:r>
      <w:r w:rsidRPr="00F25846">
        <w:rPr>
          <w:rFonts w:ascii="Cambria" w:hAnsi="Cambria"/>
        </w:rPr>
        <w:t xml:space="preserve"> In our series, intraoperative neurophysiological monitoring (IONM) was used in only four lumbar fusion cases for degenerative lumbar spinal canal stenosis (two open PLIF, one MIS-TLIF, and one XALIF). IONM was employed in the two posterior lumbar interbody fusion (PLIF) cases due to severe stenosis and because the IONM cost was covered by the </w:t>
      </w:r>
      <w:proofErr w:type="spellStart"/>
      <w:r w:rsidRPr="00F25846">
        <w:rPr>
          <w:rFonts w:ascii="Cambria" w:hAnsi="Cambria"/>
        </w:rPr>
        <w:t>Jabatan</w:t>
      </w:r>
      <w:proofErr w:type="spellEnd"/>
      <w:r w:rsidRPr="00F25846">
        <w:rPr>
          <w:rFonts w:ascii="Cambria" w:hAnsi="Cambria"/>
        </w:rPr>
        <w:t xml:space="preserve"> </w:t>
      </w:r>
      <w:proofErr w:type="spellStart"/>
      <w:r w:rsidRPr="00F25846">
        <w:rPr>
          <w:rFonts w:ascii="Cambria" w:hAnsi="Cambria"/>
        </w:rPr>
        <w:t>Perkhidmatan</w:t>
      </w:r>
      <w:proofErr w:type="spellEnd"/>
      <w:r w:rsidRPr="00F25846">
        <w:rPr>
          <w:rFonts w:ascii="Cambria" w:hAnsi="Cambria"/>
        </w:rPr>
        <w:t xml:space="preserve"> </w:t>
      </w:r>
      <w:proofErr w:type="spellStart"/>
      <w:r w:rsidRPr="00F25846">
        <w:rPr>
          <w:rFonts w:ascii="Cambria" w:hAnsi="Cambria"/>
        </w:rPr>
        <w:t>Awam</w:t>
      </w:r>
      <w:proofErr w:type="spellEnd"/>
      <w:r w:rsidRPr="00F25846">
        <w:rPr>
          <w:rFonts w:ascii="Cambria" w:hAnsi="Cambria"/>
        </w:rPr>
        <w:t xml:space="preserve"> (JPA). In one Lateral Anterior Lumbar Interbody Fusion (XALIF) case, we used intraoperative neurophysiological monitoring (IONM) due to the indirect reduction of degenerative spondylolisthesis. In Minimally Invasive Surgery Transforaminal Lumbar Interbody Fusion (MIS-TLIF), IONM was helpful in guiding and confirming optimal pedicle screw placement. In one case involving lumbar spinal tuberculosis requiring deformity correction (via pedicle subtraction osteotomy with anterior column reconstruction), we employed IONM to </w:t>
      </w:r>
      <w:r w:rsidRPr="00F25846">
        <w:rPr>
          <w:rFonts w:ascii="Cambria" w:hAnsi="Cambria"/>
        </w:rPr>
        <w:lastRenderedPageBreak/>
        <w:t>continuously monitor nerve root integrity throughout the procedure. This decision was based on the complex nature of the deformity correction and the heightened risk of neural element compromise during such aggressive osteotomies in the setting of infectious spondylitis.</w:t>
      </w:r>
    </w:p>
    <w:p w14:paraId="2FC42B1A" w14:textId="77777777" w:rsidR="00021127" w:rsidRPr="00F25846" w:rsidRDefault="00021127" w:rsidP="00021127">
      <w:pPr>
        <w:ind w:firstLine="360"/>
        <w:rPr>
          <w:rFonts w:ascii="Cambria" w:hAnsi="Cambria"/>
        </w:rPr>
      </w:pPr>
      <w:r w:rsidRPr="00F25846">
        <w:rPr>
          <w:rFonts w:ascii="Cambria" w:hAnsi="Cambria"/>
        </w:rPr>
        <w:t>Our study found that intraoperative neurophysiological monitoring (IONM) was most frequently used in the thoracic spine (n=75, 65.8%), followed by the cervical spine (n=34, 29.8%), with the lumbosacral region having the lowest utilization (n=5, 4.4%). The predominance of IONM in the thoracic spine is largely due to the high number of scoliosis cases in our cohort. The thoracic spinal cord is particularly vulnerable, likely because of its kyphotic curvature and narrower spinal canal compared to cervical and lumbar regions.</w:t>
      </w:r>
      <w:r w:rsidRPr="00F25846">
        <w:rPr>
          <w:rFonts w:ascii="Cambria" w:hAnsi="Cambria"/>
          <w:vertAlign w:val="superscript"/>
        </w:rPr>
        <w:t>2</w:t>
      </w:r>
      <w:r>
        <w:rPr>
          <w:rFonts w:ascii="Cambria" w:hAnsi="Cambria"/>
          <w:vertAlign w:val="superscript"/>
        </w:rPr>
        <w:t>2</w:t>
      </w:r>
      <w:r w:rsidRPr="00F25846">
        <w:rPr>
          <w:rFonts w:ascii="Cambria" w:hAnsi="Cambria"/>
        </w:rPr>
        <w:t xml:space="preserve"> Given these anatomical risks, we mandate IONM for all thoracic spine surgeries.</w:t>
      </w:r>
    </w:p>
    <w:p w14:paraId="13B64E1A" w14:textId="77777777" w:rsidR="00021127" w:rsidRPr="00F25846" w:rsidRDefault="00021127" w:rsidP="00021127">
      <w:pPr>
        <w:ind w:firstLine="360"/>
        <w:rPr>
          <w:rFonts w:ascii="Cambria" w:hAnsi="Cambria"/>
        </w:rPr>
      </w:pPr>
      <w:r w:rsidRPr="00F25846">
        <w:rPr>
          <w:rFonts w:ascii="Cambria" w:hAnsi="Cambria"/>
        </w:rPr>
        <w:t xml:space="preserve">For cervical spine procedures, we also prioritize IONM due to the potential for severe morbidity (e.g., paraplegia) and even mortality (e.g., respiratory or hemodynamic compromise) in cases of spinal cord injury.  American Association of Neurological Surgeons (AANS) &amp; Congress of Neurological Surgeons (CNS) officially recommend IONM as </w:t>
      </w:r>
      <w:r w:rsidRPr="00B172BC">
        <w:rPr>
          <w:rFonts w:ascii="Cambria" w:hAnsi="Cambria"/>
        </w:rPr>
        <w:t>medically necessary at surgeon discretion</w:t>
      </w:r>
      <w:r>
        <w:rPr>
          <w:rFonts w:ascii="Cambria" w:hAnsi="Cambria"/>
        </w:rPr>
        <w:t xml:space="preserve"> </w:t>
      </w:r>
      <w:r w:rsidRPr="00F25846">
        <w:rPr>
          <w:rFonts w:ascii="Cambria" w:hAnsi="Cambria"/>
        </w:rPr>
        <w:t>for cervical spine procedures due to irreversible consequences of injury.</w:t>
      </w:r>
      <w:r w:rsidRPr="00F25846">
        <w:rPr>
          <w:rFonts w:ascii="Cambria" w:hAnsi="Cambria"/>
          <w:vertAlign w:val="superscript"/>
        </w:rPr>
        <w:t>2</w:t>
      </w:r>
      <w:r>
        <w:rPr>
          <w:rFonts w:ascii="Cambria" w:hAnsi="Cambria"/>
          <w:vertAlign w:val="superscript"/>
        </w:rPr>
        <w:t>3</w:t>
      </w:r>
      <w:r w:rsidRPr="00F25846">
        <w:rPr>
          <w:rFonts w:ascii="Cambria" w:hAnsi="Cambria"/>
        </w:rPr>
        <w:t xml:space="preserve"> The cost of lifelong quadriplegia care far exceeds IONM expenses. Failure to use IONM in cervical spine surgery may be considered a breach of standard care in malpractice cases.</w:t>
      </w:r>
      <w:r w:rsidRPr="00F25846">
        <w:rPr>
          <w:rFonts w:ascii="Cambria" w:hAnsi="Cambria"/>
          <w:vertAlign w:val="superscript"/>
        </w:rPr>
        <w:t>2</w:t>
      </w:r>
      <w:r>
        <w:rPr>
          <w:rFonts w:ascii="Cambria" w:hAnsi="Cambria"/>
          <w:vertAlign w:val="superscript"/>
        </w:rPr>
        <w:t>3</w:t>
      </w:r>
      <w:r w:rsidRPr="00F25846">
        <w:rPr>
          <w:rFonts w:ascii="Cambria" w:hAnsi="Cambria"/>
        </w:rPr>
        <w:t xml:space="preserve"> </w:t>
      </w:r>
    </w:p>
    <w:p w14:paraId="53DF0420" w14:textId="77777777" w:rsidR="00021127" w:rsidRPr="00F25846" w:rsidRDefault="00021127" w:rsidP="00021127">
      <w:pPr>
        <w:ind w:firstLine="360"/>
        <w:jc w:val="both"/>
        <w:rPr>
          <w:rFonts w:ascii="Cambria" w:hAnsi="Cambria"/>
        </w:rPr>
      </w:pPr>
      <w:r w:rsidRPr="00F25846">
        <w:rPr>
          <w:rFonts w:ascii="Cambria" w:hAnsi="Cambria"/>
        </w:rPr>
        <w:t xml:space="preserve">The patient’s preoperative neurological status, as classified by the American Spinal Injury Association (ASIA) Impairment Scale, serves as a critical determinant for intraoperative neurophysiological monitoring (IONM) utilization. In this cohort, the majority of patients were graded ASIA E (81, 74.3%), followed by ASIA D (19, 17.4%), ASIA C (8, 7.3%), and ASIA B (1, 0.90). Notably, IONM was not used in any patients with ASIA A impairment, and was used in only a single patient with ASIA B impairment. IONM use is strongly discouraged in ASIA A patients due to the absence of functional neural pathways. </w:t>
      </w:r>
      <w:r>
        <w:rPr>
          <w:rFonts w:ascii="Cambria" w:hAnsi="Cambria"/>
          <w:vertAlign w:val="superscript"/>
        </w:rPr>
        <w:t>24</w:t>
      </w:r>
      <w:r w:rsidRPr="00F25846">
        <w:rPr>
          <w:rFonts w:ascii="Cambria" w:hAnsi="Cambria"/>
        </w:rPr>
        <w:t xml:space="preserve"> In contrast, it is a recommended and valuable tool during surgery for incomplete spinal cord injury patients include ASIA B patients to help preserve their potential for neurological recovery.</w:t>
      </w:r>
      <w:r w:rsidRPr="00F25846">
        <w:rPr>
          <w:rFonts w:ascii="Cambria" w:hAnsi="Cambria"/>
          <w:vertAlign w:val="superscript"/>
        </w:rPr>
        <w:t>2</w:t>
      </w:r>
      <w:r>
        <w:rPr>
          <w:rFonts w:ascii="Cambria" w:hAnsi="Cambria"/>
          <w:vertAlign w:val="superscript"/>
        </w:rPr>
        <w:t>5</w:t>
      </w:r>
      <w:r w:rsidRPr="00F25846">
        <w:rPr>
          <w:rFonts w:ascii="Cambria" w:hAnsi="Cambria"/>
        </w:rPr>
        <w:t xml:space="preserve"> </w:t>
      </w:r>
    </w:p>
    <w:p w14:paraId="2DAE20CF" w14:textId="77777777" w:rsidR="00021127" w:rsidRPr="00F25846" w:rsidRDefault="00021127" w:rsidP="00021127">
      <w:pPr>
        <w:ind w:firstLine="360"/>
        <w:jc w:val="both"/>
        <w:rPr>
          <w:rFonts w:ascii="Cambria" w:hAnsi="Cambria"/>
        </w:rPr>
      </w:pPr>
      <w:r w:rsidRPr="00F25846">
        <w:rPr>
          <w:rFonts w:ascii="Cambria" w:hAnsi="Cambria"/>
        </w:rPr>
        <w:t>From our study, we reveal that preserved preoperative neurology (ASIA E) does not universally correlate with intact neurophysiological signals. Among 81 ASIA E patients, MEPs were intact in 71 (87.7%), reduced in 9 (11.1%), and absent in 1 (1.2%). In contrast, SSEPs were intact in 80 (98.8%) and reduced in 1 (1.2%). While most ASIA E patients exhibited normal neurophysiological responses, MEP abnormalities were observed in a subset, suggesting subclinical motor pathway dysfunction.</w:t>
      </w:r>
    </w:p>
    <w:p w14:paraId="0C2D6F3B" w14:textId="77777777" w:rsidR="00021127" w:rsidRPr="00F25846" w:rsidRDefault="00021127" w:rsidP="00021127">
      <w:pPr>
        <w:ind w:firstLine="360"/>
        <w:jc w:val="both"/>
        <w:rPr>
          <w:rFonts w:ascii="Cambria" w:hAnsi="Cambria"/>
        </w:rPr>
      </w:pPr>
      <w:r w:rsidRPr="00F25846">
        <w:rPr>
          <w:rFonts w:ascii="Cambria" w:hAnsi="Cambria"/>
        </w:rPr>
        <w:t xml:space="preserve">Regarding diagnostic sensitivity, MEPs demonstrated superior sensitivity compared to SSEPs in detecting neurological impairment, particularly in ASIA D patients: 100% (19/19) exhibited MEP abnormalities, whereas only 21% (4/19) showed SSEP abnormalities. This aligns with prior studies indicating that MEPs are more sensitive than </w:t>
      </w:r>
      <w:r w:rsidRPr="00F25846">
        <w:rPr>
          <w:rFonts w:ascii="Cambria" w:hAnsi="Cambria"/>
        </w:rPr>
        <w:lastRenderedPageBreak/>
        <w:t>SSEPs in identifying subtle motor tract dysfunction, even in patients with mild deficits.</w:t>
      </w:r>
      <w:r w:rsidRPr="00F25846">
        <w:rPr>
          <w:rFonts w:ascii="Cambria" w:hAnsi="Cambria"/>
          <w:vertAlign w:val="superscript"/>
        </w:rPr>
        <w:t>2</w:t>
      </w:r>
      <w:r>
        <w:rPr>
          <w:rFonts w:ascii="Cambria" w:hAnsi="Cambria"/>
          <w:vertAlign w:val="superscript"/>
        </w:rPr>
        <w:t>6</w:t>
      </w:r>
      <w:r w:rsidRPr="00F25846">
        <w:rPr>
          <w:rFonts w:ascii="Cambria" w:hAnsi="Cambria"/>
        </w:rPr>
        <w:t xml:space="preserve"> Furthermore, the presence of abnormal MEPs in ASIA E patients underscores their utility in detecting subclinical pathology. A strong association (p &lt; 0.001) was observed between ASIA grade and baseline neurophysiological signals, supporting the prognostic role of IONM. </w:t>
      </w:r>
    </w:p>
    <w:p w14:paraId="4610EF98" w14:textId="77777777" w:rsidR="00021127" w:rsidRPr="00F25846" w:rsidRDefault="00021127" w:rsidP="00021127">
      <w:pPr>
        <w:jc w:val="both"/>
        <w:rPr>
          <w:rFonts w:ascii="Cambria" w:hAnsi="Cambria"/>
        </w:rPr>
      </w:pPr>
      <w:r w:rsidRPr="00F25846">
        <w:rPr>
          <w:rFonts w:ascii="Cambria" w:hAnsi="Cambria"/>
        </w:rPr>
        <w:t xml:space="preserve"> </w:t>
      </w:r>
      <w:r w:rsidRPr="00F25846">
        <w:rPr>
          <w:rFonts w:ascii="Cambria" w:hAnsi="Cambria"/>
        </w:rPr>
        <w:tab/>
        <w:t xml:space="preserve">Analysis of the correlation between IONM signals </w:t>
      </w:r>
      <w:r>
        <w:rPr>
          <w:rFonts w:ascii="Cambria" w:hAnsi="Cambria"/>
        </w:rPr>
        <w:t xml:space="preserve">changes </w:t>
      </w:r>
      <w:r w:rsidRPr="00F25846">
        <w:rPr>
          <w:rFonts w:ascii="Cambria" w:hAnsi="Cambria"/>
        </w:rPr>
        <w:t>and postoperative outcomes revealed significant associations. In patients exhibiting improved motor evoked potentials (MEPs) prior to skin closure (n=18), a statistically significant majority demonstrated enhanced postoperative neurological status (n=10) and improved clinical symptoms (n=8) (p &lt; 0.001, Fisher’s exact test). Aggregate statistical analysis confirms a strong and significant association between intraoperative MEP changes and both postoperative neurological outcomes (p &lt; 0.001) and clinical symptoms (p &lt; 0.001). In contrast, changes in somatosensory evoked potentials (SSEPs) demonstrated no significant association with neurological outcomes (p = 0.052) or clinical symptoms (p = 1.000). These findings, which highlight the superior specificity of MEPs over SSEPs in predicting functional motor outcomes, are supported by contemporary literature. A recent 2023 study by Kim et al. concluded that intraoperative MEP changes are a more specific predictor of postoperative motor deficits than SSEP changes, and any significant MEP deterioration should be addressed with utmost seriousness as a potential warning of impending neurological injury.</w:t>
      </w:r>
      <w:r w:rsidRPr="00F25846">
        <w:rPr>
          <w:rFonts w:ascii="Cambria" w:hAnsi="Cambria"/>
          <w:vertAlign w:val="superscript"/>
        </w:rPr>
        <w:t>2</w:t>
      </w:r>
      <w:r>
        <w:rPr>
          <w:rFonts w:ascii="Cambria" w:hAnsi="Cambria"/>
          <w:vertAlign w:val="superscript"/>
        </w:rPr>
        <w:t>7</w:t>
      </w:r>
    </w:p>
    <w:p w14:paraId="12C466CC" w14:textId="77777777" w:rsidR="00021127" w:rsidRPr="00F25846" w:rsidRDefault="00021127" w:rsidP="00021127">
      <w:pPr>
        <w:ind w:firstLine="720"/>
        <w:jc w:val="both"/>
        <w:rPr>
          <w:rFonts w:ascii="Cambria" w:hAnsi="Cambria"/>
        </w:rPr>
      </w:pPr>
      <w:r w:rsidRPr="00F25846">
        <w:rPr>
          <w:rFonts w:ascii="Cambria" w:hAnsi="Cambria"/>
        </w:rPr>
        <w:t>Our intraoperative findings are consistent with the established prognostic value of specific EMG signal patterns. Research concluded that repetitive, burst-like discharges have a significantly lower association with postoperative neurological deficits compared to sustained, train-like activity.</w:t>
      </w:r>
      <w:r w:rsidRPr="00F25846">
        <w:rPr>
          <w:rFonts w:ascii="Cambria" w:hAnsi="Cambria"/>
          <w:vertAlign w:val="superscript"/>
        </w:rPr>
        <w:t>2</w:t>
      </w:r>
      <w:r>
        <w:rPr>
          <w:rFonts w:ascii="Cambria" w:hAnsi="Cambria"/>
          <w:vertAlign w:val="superscript"/>
        </w:rPr>
        <w:t>8,29</w:t>
      </w:r>
      <w:r w:rsidRPr="00F25846">
        <w:rPr>
          <w:rFonts w:ascii="Cambria" w:hAnsi="Cambria"/>
        </w:rPr>
        <w:t xml:space="preserve"> In our cohort, 16 patients exhibited transient, burst-type irritation signals intraoperatively, all of which resolved prior to closure. Correspondingly, none of these patients developed new postoperative radicular pain or radiculopathy. The signals we observed align with the benign "burst activity" profile described in the literature, as opposed to the more ominous "sustained train activity." This reinforces the clinical interpretation that burst activity often represents reversible mechanical irritation, and that immediate surgical correction—such as the removal of nerve root compression—typically results in the preservation of neurological function.</w:t>
      </w:r>
    </w:p>
    <w:p w14:paraId="13A86C04" w14:textId="77777777" w:rsidR="00021127" w:rsidRPr="00F25846" w:rsidRDefault="00021127" w:rsidP="00021127">
      <w:pPr>
        <w:rPr>
          <w:rFonts w:ascii="Cambria" w:hAnsi="Cambria"/>
          <w:b/>
          <w:bCs/>
        </w:rPr>
      </w:pPr>
      <w:r w:rsidRPr="00F25846">
        <w:rPr>
          <w:rFonts w:ascii="Cambria" w:hAnsi="Cambria"/>
          <w:b/>
          <w:bCs/>
        </w:rPr>
        <w:t>Conclusion</w:t>
      </w:r>
    </w:p>
    <w:p w14:paraId="3F448901" w14:textId="77777777" w:rsidR="00021127" w:rsidRPr="00F25846" w:rsidRDefault="00021127" w:rsidP="00021127">
      <w:pPr>
        <w:rPr>
          <w:rFonts w:ascii="Cambria" w:hAnsi="Cambria"/>
        </w:rPr>
      </w:pPr>
      <w:r w:rsidRPr="00F25846">
        <w:rPr>
          <w:rFonts w:ascii="Cambria" w:hAnsi="Cambria"/>
        </w:rPr>
        <w:t xml:space="preserve">Our hospital's protocol mandates intraoperative neuromonitoring (IONM) for all scoliosis corrective procedures and strongly recommends its use during cervical and thoracic spine surgery due to the presence of the spinal cord. This is especially applied to patients with relatively preserved preoperative neurological function (ASIA grade B, C, D, or E). Analysis revealed a significant association between preoperative neurology and baseline MEP/SSEP signals. However, intraoperative MEP signal changes demonstrated superior predictive value for postoperative neurology and clinical </w:t>
      </w:r>
      <w:r w:rsidRPr="00F25846">
        <w:rPr>
          <w:rFonts w:ascii="Cambria" w:hAnsi="Cambria"/>
        </w:rPr>
        <w:lastRenderedPageBreak/>
        <w:t>symptoms compared to SSEP changes. Notably, transient EMG irritation during surgery did not result in any cases of postoperative radiculopathy.</w:t>
      </w:r>
    </w:p>
    <w:p w14:paraId="5C08A429" w14:textId="77777777" w:rsidR="00021127" w:rsidRDefault="00021127" w:rsidP="006256E7">
      <w:pPr>
        <w:rPr>
          <w:rFonts w:ascii="Cambria" w:hAnsi="Cambria"/>
          <w:b/>
          <w:bCs/>
        </w:rPr>
      </w:pPr>
    </w:p>
    <w:p w14:paraId="7040974C" w14:textId="5EBEE29E" w:rsidR="006256E7" w:rsidRPr="00F25846" w:rsidRDefault="006256E7" w:rsidP="006256E7">
      <w:pPr>
        <w:rPr>
          <w:rFonts w:ascii="Cambria" w:hAnsi="Cambria"/>
          <w:b/>
          <w:bCs/>
        </w:rPr>
      </w:pPr>
      <w:r w:rsidRPr="00F25846">
        <w:rPr>
          <w:rFonts w:ascii="Cambria" w:hAnsi="Cambria"/>
          <w:b/>
          <w:bCs/>
        </w:rPr>
        <w:t>References</w:t>
      </w:r>
    </w:p>
    <w:p w14:paraId="78F931D9"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 xml:space="preserve">Abas, A. H., Daud, A., </w:t>
      </w:r>
      <w:proofErr w:type="spellStart"/>
      <w:r w:rsidRPr="00A338A0">
        <w:rPr>
          <w:rFonts w:ascii="Times New Roman" w:hAnsi="Times New Roman" w:cs="Times New Roman"/>
        </w:rPr>
        <w:t>Mohd</w:t>
      </w:r>
      <w:proofErr w:type="spellEnd"/>
      <w:r w:rsidRPr="00A338A0">
        <w:rPr>
          <w:rFonts w:ascii="Times New Roman" w:hAnsi="Times New Roman" w:cs="Times New Roman"/>
        </w:rPr>
        <w:t xml:space="preserve"> </w:t>
      </w:r>
      <w:proofErr w:type="spellStart"/>
      <w:r w:rsidRPr="00A338A0">
        <w:rPr>
          <w:rFonts w:ascii="Times New Roman" w:hAnsi="Times New Roman" w:cs="Times New Roman"/>
        </w:rPr>
        <w:t>Hairon</w:t>
      </w:r>
      <w:proofErr w:type="spellEnd"/>
      <w:r w:rsidRPr="00A338A0">
        <w:rPr>
          <w:rFonts w:ascii="Times New Roman" w:hAnsi="Times New Roman" w:cs="Times New Roman"/>
        </w:rPr>
        <w:t>, S., &amp; Shafei, M. N. (2023). Prevalence and risk factors of low back pain in Malaysia: A scoping review. </w:t>
      </w:r>
      <w:r w:rsidRPr="00A338A0">
        <w:rPr>
          <w:rFonts w:ascii="Times New Roman" w:hAnsi="Times New Roman" w:cs="Times New Roman"/>
          <w:i/>
          <w:iCs/>
        </w:rPr>
        <w:t>Malays Journal of Medical Sciences</w:t>
      </w:r>
      <w:r w:rsidRPr="00A338A0">
        <w:rPr>
          <w:rFonts w:ascii="Times New Roman" w:hAnsi="Times New Roman" w:cs="Times New Roman"/>
        </w:rPr>
        <w:t>, </w:t>
      </w:r>
      <w:r w:rsidRPr="00A338A0">
        <w:rPr>
          <w:rFonts w:ascii="Times New Roman" w:hAnsi="Times New Roman" w:cs="Times New Roman"/>
          <w:i/>
          <w:iCs/>
        </w:rPr>
        <w:t>30</w:t>
      </w:r>
      <w:r w:rsidRPr="00A338A0">
        <w:rPr>
          <w:rFonts w:ascii="Times New Roman" w:hAnsi="Times New Roman" w:cs="Times New Roman"/>
        </w:rPr>
        <w:t>(3), 32–41. </w:t>
      </w:r>
      <w:hyperlink r:id="rId9" w:tgtFrame="_blank" w:history="1">
        <w:r w:rsidRPr="00A338A0">
          <w:rPr>
            <w:rStyle w:val="Hyperlink"/>
            <w:rFonts w:ascii="Times New Roman" w:hAnsi="Times New Roman" w:cs="Times New Roman"/>
            <w:b/>
            <w:bCs/>
          </w:rPr>
          <w:t>https://doi.org/10.21315/mjms2023.30.3.3</w:t>
        </w:r>
      </w:hyperlink>
    </w:p>
    <w:p w14:paraId="0AFA39C3"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 xml:space="preserve">Soo, T. H., Suppiah, S., </w:t>
      </w:r>
      <w:proofErr w:type="spellStart"/>
      <w:r w:rsidRPr="00A338A0">
        <w:rPr>
          <w:rFonts w:ascii="Times New Roman" w:hAnsi="Times New Roman" w:cs="Times New Roman"/>
        </w:rPr>
        <w:t>Tharek</w:t>
      </w:r>
      <w:proofErr w:type="spellEnd"/>
      <w:r w:rsidRPr="00A338A0">
        <w:rPr>
          <w:rFonts w:ascii="Times New Roman" w:hAnsi="Times New Roman" w:cs="Times New Roman"/>
        </w:rPr>
        <w:t>, A., Tan, T. Q., Jailani, S. A. K. A., &amp; Adnan, A. (2025). Sociodemographic influences on lumbar disc degeneration severity and the diagnostic potential of disc-CSF signal ratio: Insights from a South East Asia population study. </w:t>
      </w:r>
      <w:r w:rsidRPr="00A338A0">
        <w:rPr>
          <w:rFonts w:ascii="Times New Roman" w:hAnsi="Times New Roman" w:cs="Times New Roman"/>
          <w:i/>
          <w:iCs/>
        </w:rPr>
        <w:t>Journal of the Belgian Society of Radiology</w:t>
      </w:r>
      <w:r w:rsidRPr="00A338A0">
        <w:rPr>
          <w:rFonts w:ascii="Times New Roman" w:hAnsi="Times New Roman" w:cs="Times New Roman"/>
        </w:rPr>
        <w:t>, </w:t>
      </w:r>
      <w:r w:rsidRPr="00A338A0">
        <w:rPr>
          <w:rFonts w:ascii="Times New Roman" w:hAnsi="Times New Roman" w:cs="Times New Roman"/>
          <w:i/>
          <w:iCs/>
        </w:rPr>
        <w:t>109</w:t>
      </w:r>
      <w:r w:rsidRPr="00A338A0">
        <w:rPr>
          <w:rFonts w:ascii="Times New Roman" w:hAnsi="Times New Roman" w:cs="Times New Roman"/>
        </w:rPr>
        <w:t>(1), 10. </w:t>
      </w:r>
      <w:hyperlink r:id="rId10" w:tgtFrame="_blank" w:history="1">
        <w:r w:rsidRPr="00A338A0">
          <w:rPr>
            <w:rStyle w:val="Hyperlink"/>
            <w:rFonts w:ascii="Times New Roman" w:hAnsi="Times New Roman" w:cs="Times New Roman"/>
            <w:b/>
            <w:bCs/>
          </w:rPr>
          <w:t>https://doi.org/10.5334/jbsr.3801</w:t>
        </w:r>
      </w:hyperlink>
    </w:p>
    <w:p w14:paraId="3C869EEB"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inorEastAsia"/>
          <w:kern w:val="2"/>
          <w14:ligatures w14:val="standardContextual"/>
        </w:rPr>
        <w:t xml:space="preserve">Holmes, B. D., Brazauskas, R., &amp; Chhabra, H. S. (2024). Spinal cord injury </w:t>
      </w:r>
      <w:proofErr w:type="spellStart"/>
      <w:r w:rsidRPr="00A338A0">
        <w:rPr>
          <w:rFonts w:eastAsiaTheme="minorEastAsia"/>
          <w:kern w:val="2"/>
          <w14:ligatures w14:val="standardContextual"/>
        </w:rPr>
        <w:t>etiology</w:t>
      </w:r>
      <w:proofErr w:type="spellEnd"/>
      <w:r w:rsidRPr="00A338A0">
        <w:rPr>
          <w:rFonts w:eastAsiaTheme="minorEastAsia"/>
          <w:kern w:val="2"/>
          <w14:ligatures w14:val="standardContextual"/>
        </w:rPr>
        <w:t>, severity, and care in East Asia: A cross-sectional analysis of the International Spinal Cord Society Database Project. </w:t>
      </w:r>
      <w:r w:rsidRPr="00A338A0">
        <w:rPr>
          <w:rFonts w:eastAsiaTheme="minorEastAsia"/>
          <w:i/>
          <w:iCs/>
          <w:kern w:val="2"/>
          <w14:ligatures w14:val="standardContextual"/>
        </w:rPr>
        <w:t>Spinal Cord</w:t>
      </w:r>
      <w:r w:rsidRPr="00A338A0">
        <w:rPr>
          <w:rFonts w:eastAsiaTheme="minorEastAsia"/>
          <w:kern w:val="2"/>
          <w14:ligatures w14:val="standardContextual"/>
        </w:rPr>
        <w:t>, </w:t>
      </w:r>
      <w:r w:rsidRPr="00A338A0">
        <w:rPr>
          <w:rFonts w:eastAsiaTheme="minorEastAsia"/>
          <w:i/>
          <w:iCs/>
          <w:kern w:val="2"/>
          <w14:ligatures w14:val="standardContextual"/>
        </w:rPr>
        <w:t>62</w:t>
      </w:r>
      <w:r w:rsidRPr="00A338A0">
        <w:rPr>
          <w:rFonts w:eastAsiaTheme="minorEastAsia"/>
          <w:kern w:val="2"/>
          <w14:ligatures w14:val="standardContextual"/>
        </w:rPr>
        <w:t>(7), 421–427. </w:t>
      </w:r>
      <w:hyperlink r:id="rId11" w:tgtFrame="_blank" w:history="1">
        <w:r w:rsidRPr="00A338A0">
          <w:rPr>
            <w:rStyle w:val="Hyperlink"/>
            <w:rFonts w:eastAsiaTheme="minorEastAsia"/>
            <w:b/>
            <w:bCs/>
            <w:kern w:val="2"/>
            <w14:ligatures w14:val="standardContextual"/>
          </w:rPr>
          <w:t>https://doi.org/10.1038/s41393-024-01003-7</w:t>
        </w:r>
      </w:hyperlink>
    </w:p>
    <w:p w14:paraId="138B763D"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inorEastAsia"/>
          <w:kern w:val="2"/>
          <w14:ligatures w14:val="standardContextual"/>
        </w:rPr>
        <w:t>Shahrol</w:t>
      </w:r>
      <w:proofErr w:type="spellEnd"/>
      <w:r w:rsidRPr="00A338A0">
        <w:rPr>
          <w:rFonts w:eastAsiaTheme="minorEastAsia"/>
          <w:kern w:val="2"/>
          <w14:ligatures w14:val="standardContextual"/>
        </w:rPr>
        <w:t>, S. N. M., &amp; Salim, S. A. (2024). A foresight study on the adoption of robotic surgery in Malaysia. </w:t>
      </w:r>
      <w:r w:rsidRPr="00A338A0">
        <w:rPr>
          <w:rFonts w:eastAsiaTheme="minorEastAsia"/>
          <w:i/>
          <w:iCs/>
          <w:kern w:val="2"/>
          <w14:ligatures w14:val="standardContextual"/>
        </w:rPr>
        <w:t>Research in Management of Technology and Business</w:t>
      </w:r>
      <w:r w:rsidRPr="00A338A0">
        <w:rPr>
          <w:rFonts w:eastAsiaTheme="minorEastAsia"/>
          <w:kern w:val="2"/>
          <w14:ligatures w14:val="standardContextual"/>
        </w:rPr>
        <w:t>, </w:t>
      </w:r>
      <w:r w:rsidRPr="00A338A0">
        <w:rPr>
          <w:rFonts w:eastAsiaTheme="minorEastAsia"/>
          <w:i/>
          <w:iCs/>
          <w:kern w:val="2"/>
          <w14:ligatures w14:val="standardContextual"/>
        </w:rPr>
        <w:t>5</w:t>
      </w:r>
      <w:r w:rsidRPr="00A338A0">
        <w:rPr>
          <w:rFonts w:eastAsiaTheme="minorEastAsia"/>
          <w:kern w:val="2"/>
          <w14:ligatures w14:val="standardContextual"/>
        </w:rPr>
        <w:t>(1), 543–562. </w:t>
      </w:r>
      <w:hyperlink r:id="rId12" w:tgtFrame="_blank" w:history="1">
        <w:r w:rsidRPr="00A338A0">
          <w:rPr>
            <w:rStyle w:val="Hyperlink"/>
            <w:rFonts w:eastAsiaTheme="minorEastAsia"/>
            <w:b/>
            <w:bCs/>
            <w:kern w:val="2"/>
            <w14:ligatures w14:val="standardContextual"/>
          </w:rPr>
          <w:t>https://doi.org/10.30880/rmtb.2024.05.01.039</w:t>
        </w:r>
      </w:hyperlink>
    </w:p>
    <w:p w14:paraId="6843C5F8"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Chen, J., Shao, X., Sui, W., Yang, J., Deng, Y., Xu, J., Huang, Z., &amp; Yang, J. (2020). Risk factors for neurological complications in severe and rigid spinal deformity correction of 177 cases. </w:t>
      </w:r>
      <w:r w:rsidRPr="00A338A0">
        <w:rPr>
          <w:rFonts w:eastAsiaTheme="majorEastAsia"/>
          <w:i/>
          <w:iCs/>
          <w:color w:val="404040"/>
        </w:rPr>
        <w:t>BMC Neurology, 20</w:t>
      </w:r>
      <w:r w:rsidRPr="00A338A0">
        <w:rPr>
          <w:rFonts w:eastAsiaTheme="majorEastAsia"/>
          <w:color w:val="404040"/>
        </w:rPr>
        <w:t>, 433. </w:t>
      </w:r>
      <w:hyperlink r:id="rId13" w:tgtFrame="_blank" w:history="1">
        <w:r w:rsidRPr="00A338A0">
          <w:rPr>
            <w:rStyle w:val="Hyperlink"/>
            <w:rFonts w:eastAsiaTheme="majorEastAsia"/>
            <w:b/>
            <w:bCs/>
          </w:rPr>
          <w:t>https://doi.org/10.1186/s12883-020-02012-8</w:t>
        </w:r>
      </w:hyperlink>
    </w:p>
    <w:p w14:paraId="0B0EA3B2"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Man, Y. W., Lui, J. Y. S., Lam, C. Y., Cheung, J. P. Y., &amp; Cheung, P. W. H. (2025). Prevalence and risk factors for postoperative neurological complications in spinal deformity surgery: A systematic review and proportional meta-analysis. </w:t>
      </w:r>
      <w:proofErr w:type="spellStart"/>
      <w:r w:rsidRPr="00A338A0">
        <w:rPr>
          <w:rFonts w:eastAsiaTheme="majorEastAsia"/>
          <w:i/>
          <w:iCs/>
          <w:color w:val="404040"/>
        </w:rPr>
        <w:t>Neurospine</w:t>
      </w:r>
      <w:proofErr w:type="spellEnd"/>
      <w:r w:rsidRPr="00A338A0">
        <w:rPr>
          <w:rFonts w:eastAsiaTheme="majorEastAsia"/>
          <w:i/>
          <w:iCs/>
          <w:color w:val="404040"/>
        </w:rPr>
        <w:t>, 22</w:t>
      </w:r>
      <w:r w:rsidRPr="00A338A0">
        <w:rPr>
          <w:rFonts w:eastAsiaTheme="majorEastAsia"/>
          <w:color w:val="404040"/>
        </w:rPr>
        <w:t>(1), 243–263. </w:t>
      </w:r>
      <w:hyperlink r:id="rId14" w:tgtFrame="_blank" w:history="1">
        <w:r w:rsidRPr="00A338A0">
          <w:rPr>
            <w:rStyle w:val="Hyperlink"/>
            <w:rFonts w:eastAsiaTheme="majorEastAsia"/>
            <w:b/>
            <w:bCs/>
          </w:rPr>
          <w:t>https://doi.org/10.14245/ns.2449364.682</w:t>
        </w:r>
      </w:hyperlink>
    </w:p>
    <w:p w14:paraId="4BAAAD05"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MahWengKwai</w:t>
      </w:r>
      <w:proofErr w:type="spellEnd"/>
      <w:r w:rsidRPr="00A338A0">
        <w:rPr>
          <w:rFonts w:eastAsiaTheme="majorEastAsia"/>
          <w:color w:val="404040"/>
        </w:rPr>
        <w:t xml:space="preserve"> &amp; Associates. (2025). </w:t>
      </w:r>
      <w:r w:rsidRPr="00A338A0">
        <w:rPr>
          <w:rFonts w:eastAsiaTheme="majorEastAsia"/>
          <w:i/>
          <w:iCs/>
          <w:color w:val="404040"/>
        </w:rPr>
        <w:t>Spinal injury and medical negligence: Causation, care, and compensation—Mohammad Nabill Sajid v Government of Malaysia &amp; Ors</w:t>
      </w:r>
      <w:r w:rsidRPr="00A338A0">
        <w:rPr>
          <w:rFonts w:eastAsiaTheme="majorEastAsia"/>
          <w:color w:val="404040"/>
        </w:rPr>
        <w:t>. </w:t>
      </w:r>
      <w:hyperlink r:id="rId15" w:tgtFrame="_blank" w:history="1">
        <w:r w:rsidRPr="00A338A0">
          <w:rPr>
            <w:rStyle w:val="Hyperlink"/>
            <w:rFonts w:eastAsiaTheme="majorEastAsia"/>
            <w:b/>
            <w:bCs/>
          </w:rPr>
          <w:t>https://mahwengkwai.com/spinal-injury-medical-negligence-causation-care-compensation/</w:t>
        </w:r>
      </w:hyperlink>
    </w:p>
    <w:p w14:paraId="6DBC6BFC"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 xml:space="preserve">Nuwer, M. R., Emerson, R. G., Galloway, G., Legatt, A. D., Lopez, J. R., Goodin, D. S., Aminoff, M. J., &amp; Gonzalez, A. (2012). Evidence-based guideline update: </w:t>
      </w:r>
      <w:r w:rsidRPr="00A338A0">
        <w:rPr>
          <w:rFonts w:eastAsiaTheme="majorEastAsia"/>
          <w:color w:val="404040"/>
        </w:rPr>
        <w:lastRenderedPageBreak/>
        <w:t>Intraoperative spinal monitoring with somatosensory and transcranial electrical motor evoked potentials. </w:t>
      </w:r>
      <w:r w:rsidRPr="00A338A0">
        <w:rPr>
          <w:rFonts w:eastAsiaTheme="majorEastAsia"/>
          <w:i/>
          <w:iCs/>
          <w:color w:val="404040"/>
        </w:rPr>
        <w:t>Neurology, 78</w:t>
      </w:r>
      <w:r w:rsidRPr="00A338A0">
        <w:rPr>
          <w:rFonts w:eastAsiaTheme="majorEastAsia"/>
          <w:color w:val="404040"/>
        </w:rPr>
        <w:t>(8), 585–589. </w:t>
      </w:r>
      <w:hyperlink r:id="rId16" w:tgtFrame="_blank" w:history="1">
        <w:r w:rsidRPr="00A338A0">
          <w:rPr>
            <w:rStyle w:val="Hyperlink"/>
            <w:rFonts w:eastAsiaTheme="majorEastAsia"/>
            <w:b/>
            <w:bCs/>
          </w:rPr>
          <w:t>https://doi.org/10.1212/WNL.0b013e318247fa0e</w:t>
        </w:r>
      </w:hyperlink>
    </w:p>
    <w:p w14:paraId="70879436"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Deshmukh, A., &amp; Kucherov, I. (2021). Intraoperative nerve monitoring (IONM) in thyroid surgery: Current evidence and controversies. </w:t>
      </w:r>
      <w:r w:rsidRPr="00A338A0">
        <w:rPr>
          <w:rFonts w:eastAsiaTheme="majorEastAsia"/>
          <w:i/>
          <w:iCs/>
          <w:color w:val="404040"/>
        </w:rPr>
        <w:t>Gland Surgery, 10</w:t>
      </w:r>
      <w:r w:rsidRPr="00A338A0">
        <w:rPr>
          <w:rFonts w:eastAsiaTheme="majorEastAsia"/>
          <w:color w:val="404040"/>
        </w:rPr>
        <w:t>(5), 1645–1655. </w:t>
      </w:r>
      <w:hyperlink r:id="rId17" w:tgtFrame="_blank" w:history="1">
        <w:r w:rsidRPr="00A338A0">
          <w:rPr>
            <w:rStyle w:val="Hyperlink"/>
            <w:rFonts w:eastAsiaTheme="majorEastAsia"/>
            <w:b/>
            <w:bCs/>
          </w:rPr>
          <w:t>https://doi.org/10.21037/gs-20-863</w:t>
        </w:r>
      </w:hyperlink>
    </w:p>
    <w:p w14:paraId="1C4DCA9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MahWengKwai</w:t>
      </w:r>
      <w:proofErr w:type="spellEnd"/>
      <w:r w:rsidRPr="00A338A0">
        <w:rPr>
          <w:rFonts w:eastAsiaTheme="majorEastAsia"/>
          <w:color w:val="404040"/>
        </w:rPr>
        <w:t xml:space="preserve"> &amp; Associates. (2025). </w:t>
      </w:r>
      <w:r w:rsidRPr="00A338A0">
        <w:rPr>
          <w:rFonts w:eastAsiaTheme="majorEastAsia"/>
          <w:i/>
          <w:iCs/>
          <w:color w:val="404040"/>
        </w:rPr>
        <w:t>Spinal injury and medical negligence: Causation, care, and compensation—Mohammad Nabill Sajid v Government of Malaysia &amp; Ors</w:t>
      </w:r>
      <w:r w:rsidRPr="00A338A0">
        <w:rPr>
          <w:rFonts w:eastAsiaTheme="majorEastAsia"/>
          <w:color w:val="404040"/>
        </w:rPr>
        <w:t>. </w:t>
      </w:r>
      <w:hyperlink r:id="rId18" w:tgtFrame="_blank" w:history="1">
        <w:r w:rsidRPr="00A338A0">
          <w:rPr>
            <w:rStyle w:val="Hyperlink"/>
            <w:rFonts w:eastAsiaTheme="majorEastAsia"/>
            <w:b/>
            <w:bCs/>
          </w:rPr>
          <w:t>https://mahwengkwai.com/spinal-injury-medical-negligence-causation-care-compensation/</w:t>
        </w:r>
      </w:hyperlink>
    </w:p>
    <w:p w14:paraId="6F61B6C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The Doctors Shield. (2025). </w:t>
      </w:r>
      <w:r w:rsidRPr="00A338A0">
        <w:rPr>
          <w:rFonts w:eastAsiaTheme="majorEastAsia"/>
          <w:i/>
          <w:iCs/>
          <w:color w:val="404040"/>
        </w:rPr>
        <w:t>The evolving medico-legal landscape: Notable medical negligence cases from 2024</w:t>
      </w:r>
      <w:r w:rsidRPr="00A338A0">
        <w:rPr>
          <w:rFonts w:eastAsiaTheme="majorEastAsia"/>
          <w:color w:val="404040"/>
        </w:rPr>
        <w:t>. </w:t>
      </w:r>
      <w:hyperlink r:id="rId19" w:tgtFrame="_blank" w:history="1">
        <w:r w:rsidRPr="00A338A0">
          <w:rPr>
            <w:rStyle w:val="Hyperlink"/>
            <w:rFonts w:eastAsiaTheme="majorEastAsia"/>
            <w:b/>
            <w:bCs/>
          </w:rPr>
          <w:t>https://www.thedoctorshield.com/medico-legal-landscape-malaysia-medical-negligence-cases-2024/</w:t>
        </w:r>
      </w:hyperlink>
    </w:p>
    <w:p w14:paraId="12ADEBC7"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r w:rsidRPr="00A338A0">
        <w:rPr>
          <w:rFonts w:eastAsiaTheme="majorEastAsia"/>
          <w:color w:val="404040"/>
        </w:rPr>
        <w:t xml:space="preserve">Shigematsu, H., </w:t>
      </w:r>
      <w:proofErr w:type="spellStart"/>
      <w:r w:rsidRPr="00A338A0">
        <w:rPr>
          <w:rFonts w:eastAsiaTheme="majorEastAsia"/>
          <w:color w:val="404040"/>
        </w:rPr>
        <w:t>Fehlings</w:t>
      </w:r>
      <w:proofErr w:type="spellEnd"/>
      <w:r w:rsidRPr="00A338A0">
        <w:rPr>
          <w:rFonts w:eastAsiaTheme="majorEastAsia"/>
          <w:color w:val="404040"/>
        </w:rPr>
        <w:t>, M. G., Park, J. H., Quraishi, N. A., Sala, F., &amp; Lenke, L. G. (2024). Current trends in intraoperative neurophysiological monitoring for spine surgery: An Asia–Pacific Spine Society survey. </w:t>
      </w:r>
      <w:r w:rsidRPr="00A338A0">
        <w:rPr>
          <w:rFonts w:eastAsiaTheme="majorEastAsia"/>
          <w:i/>
          <w:iCs/>
          <w:color w:val="404040"/>
        </w:rPr>
        <w:t>Asian Spine Journal, 18</w:t>
      </w:r>
      <w:r w:rsidRPr="00A338A0">
        <w:rPr>
          <w:rFonts w:eastAsiaTheme="majorEastAsia"/>
          <w:color w:val="404040"/>
        </w:rPr>
        <w:t>(6), 813–821. </w:t>
      </w:r>
      <w:hyperlink r:id="rId20" w:tgtFrame="_blank" w:history="1">
        <w:r w:rsidRPr="00A338A0">
          <w:rPr>
            <w:rStyle w:val="Hyperlink"/>
            <w:rFonts w:eastAsiaTheme="majorEastAsia"/>
            <w:b/>
            <w:bCs/>
          </w:rPr>
          <w:t>https://doi.org/10.31616/asj.2024.0273</w:t>
        </w:r>
      </w:hyperlink>
    </w:p>
    <w:p w14:paraId="353AF1F5"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color w:val="404040"/>
        </w:rPr>
      </w:pPr>
      <w:proofErr w:type="spellStart"/>
      <w:r w:rsidRPr="00A338A0">
        <w:rPr>
          <w:rFonts w:eastAsiaTheme="majorEastAsia"/>
          <w:color w:val="404040"/>
        </w:rPr>
        <w:t>CodeBlue</w:t>
      </w:r>
      <w:proofErr w:type="spellEnd"/>
      <w:r w:rsidRPr="00A338A0">
        <w:rPr>
          <w:rFonts w:eastAsiaTheme="majorEastAsia"/>
          <w:color w:val="404040"/>
        </w:rPr>
        <w:t>. (2025, October 16). 'Deny, delay, revoke': Specialists reveal health insurance underbelly in Malaysia. </w:t>
      </w:r>
      <w:r w:rsidRPr="00A338A0">
        <w:rPr>
          <w:rFonts w:eastAsiaTheme="majorEastAsia"/>
          <w:i/>
          <w:iCs/>
          <w:color w:val="404040"/>
        </w:rPr>
        <w:t>Galen Centre for Health &amp; Social Policy</w:t>
      </w:r>
      <w:r w:rsidRPr="00A338A0">
        <w:rPr>
          <w:rFonts w:eastAsiaTheme="majorEastAsia"/>
          <w:color w:val="404040"/>
        </w:rPr>
        <w:t>. </w:t>
      </w:r>
      <w:hyperlink r:id="rId21" w:tgtFrame="_blank" w:history="1">
        <w:r w:rsidRPr="00A338A0">
          <w:rPr>
            <w:rStyle w:val="Hyperlink"/>
            <w:rFonts w:eastAsiaTheme="majorEastAsia"/>
            <w:b/>
            <w:bCs/>
          </w:rPr>
          <w:t>https://codeblue.galencentre.org/2025/10/deny-delay-revoke-specialists-reveal-health-insurance-underbelly-in-malaysia/</w:t>
        </w:r>
      </w:hyperlink>
    </w:p>
    <w:p w14:paraId="3161147A" w14:textId="77777777" w:rsidR="006256E7" w:rsidRPr="00A338A0" w:rsidRDefault="006256E7" w:rsidP="006256E7">
      <w:pPr>
        <w:pStyle w:val="ds-markdown-paragraph"/>
        <w:numPr>
          <w:ilvl w:val="0"/>
          <w:numId w:val="1"/>
        </w:numPr>
        <w:shd w:val="clear" w:color="auto" w:fill="FFFFFF"/>
        <w:spacing w:before="0" w:beforeAutospacing="0" w:after="0" w:afterAutospacing="0" w:line="429" w:lineRule="atLeast"/>
        <w:rPr>
          <w:i/>
          <w:iCs/>
          <w:color w:val="404040"/>
        </w:rPr>
      </w:pPr>
      <w:r w:rsidRPr="00A338A0">
        <w:rPr>
          <w:rFonts w:eastAsiaTheme="majorEastAsia"/>
          <w:color w:val="404040"/>
        </w:rPr>
        <w:t>Hatef, J., Katzir, M., Toop, N., Islam, M., Clark, T., Roscoe, C., Khan, S., &amp; Mendel, E. (2020). Damned if you monitor, damned if you don't: medical malpractice and intraoperative neuromonitoring for spinal surgery. </w:t>
      </w:r>
      <w:r w:rsidRPr="00A338A0">
        <w:rPr>
          <w:rFonts w:eastAsiaTheme="majorEastAsia"/>
          <w:i/>
          <w:iCs/>
          <w:color w:val="404040"/>
        </w:rPr>
        <w:t>Neurosurgical focus</w:t>
      </w:r>
      <w:r w:rsidRPr="00A338A0">
        <w:rPr>
          <w:rFonts w:eastAsiaTheme="majorEastAsia"/>
          <w:color w:val="404040"/>
        </w:rPr>
        <w:t>, </w:t>
      </w:r>
      <w:r w:rsidRPr="00A338A0">
        <w:rPr>
          <w:rFonts w:eastAsiaTheme="majorEastAsia"/>
          <w:i/>
          <w:iCs/>
          <w:color w:val="404040"/>
        </w:rPr>
        <w:t>49</w:t>
      </w:r>
      <w:r w:rsidRPr="00A338A0">
        <w:rPr>
          <w:rFonts w:eastAsiaTheme="majorEastAsia"/>
          <w:color w:val="404040"/>
        </w:rPr>
        <w:t xml:space="preserve">(5), E19. </w:t>
      </w:r>
      <w:hyperlink r:id="rId22" w:history="1">
        <w:r w:rsidRPr="00A338A0">
          <w:rPr>
            <w:rStyle w:val="Hyperlink"/>
            <w:rFonts w:eastAsiaTheme="majorEastAsia"/>
          </w:rPr>
          <w:t>https://doi.org/10.3171/2020.8.FOCUS20580</w:t>
        </w:r>
      </w:hyperlink>
    </w:p>
    <w:p w14:paraId="745B694E"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eastAsiaTheme="majorEastAsia" w:hAnsi="Times New Roman" w:cs="Times New Roman"/>
          <w:color w:val="404040"/>
          <w:kern w:val="0"/>
          <w14:ligatures w14:val="none"/>
        </w:rPr>
        <w:t xml:space="preserve">Oliva, A. M., Rath, S. A., </w:t>
      </w:r>
      <w:proofErr w:type="spellStart"/>
      <w:r w:rsidRPr="00A338A0">
        <w:rPr>
          <w:rFonts w:ascii="Times New Roman" w:eastAsiaTheme="majorEastAsia" w:hAnsi="Times New Roman" w:cs="Times New Roman"/>
          <w:color w:val="404040"/>
          <w:kern w:val="0"/>
          <w14:ligatures w14:val="none"/>
        </w:rPr>
        <w:t>Guiroy</w:t>
      </w:r>
      <w:proofErr w:type="spellEnd"/>
      <w:r w:rsidRPr="00A338A0">
        <w:rPr>
          <w:rFonts w:ascii="Times New Roman" w:eastAsiaTheme="majorEastAsia" w:hAnsi="Times New Roman" w:cs="Times New Roman"/>
          <w:color w:val="404040"/>
          <w:kern w:val="0"/>
          <w14:ligatures w14:val="none"/>
        </w:rPr>
        <w:t>, A., Ament, J. D., Nuwer, M. R., &amp; Sala, F. (2023). New frontiers in intraoperative neurophysiologic monitoring. Frontiers in Surgery, 10, 1213644. </w:t>
      </w:r>
      <w:hyperlink r:id="rId23" w:tgtFrame="_blank" w:history="1">
        <w:r w:rsidRPr="00A338A0">
          <w:rPr>
            <w:rStyle w:val="Hyperlink"/>
            <w:rFonts w:ascii="Times New Roman" w:eastAsiaTheme="majorEastAsia" w:hAnsi="Times New Roman" w:cs="Times New Roman"/>
            <w:b/>
            <w:bCs/>
            <w:kern w:val="0"/>
            <w14:ligatures w14:val="none"/>
          </w:rPr>
          <w:t>https://doi.org/10.3389/fsurg.2023.1213644</w:t>
        </w:r>
      </w:hyperlink>
    </w:p>
    <w:p w14:paraId="71E3BF22" w14:textId="77777777" w:rsidR="006256E7" w:rsidRPr="00A338A0" w:rsidRDefault="006256E7" w:rsidP="006256E7">
      <w:pPr>
        <w:pStyle w:val="ListParagraph"/>
        <w:numPr>
          <w:ilvl w:val="0"/>
          <w:numId w:val="1"/>
        </w:numPr>
        <w:rPr>
          <w:rFonts w:ascii="Times New Roman" w:hAnsi="Times New Roman" w:cs="Times New Roman"/>
          <w:i/>
          <w:iCs/>
        </w:rPr>
      </w:pPr>
      <w:r w:rsidRPr="00A338A0">
        <w:rPr>
          <w:rFonts w:ascii="Times New Roman" w:hAnsi="Times New Roman" w:cs="Times New Roman"/>
          <w:i/>
          <w:iCs/>
        </w:rPr>
        <w:t xml:space="preserve">Hamilton, D. K., Smith, J. S., </w:t>
      </w:r>
      <w:proofErr w:type="spellStart"/>
      <w:r w:rsidRPr="00A338A0">
        <w:rPr>
          <w:rFonts w:ascii="Times New Roman" w:hAnsi="Times New Roman" w:cs="Times New Roman"/>
          <w:i/>
          <w:iCs/>
        </w:rPr>
        <w:t>Sansur</w:t>
      </w:r>
      <w:proofErr w:type="spellEnd"/>
      <w:r w:rsidRPr="00A338A0">
        <w:rPr>
          <w:rFonts w:ascii="Times New Roman" w:hAnsi="Times New Roman" w:cs="Times New Roman"/>
          <w:i/>
          <w:iCs/>
        </w:rPr>
        <w:t xml:space="preserve">, C. A., Glassman, S. D., Ames, C. P., Berven, S. H., Polly, D. W., Jr, Perra, J. H., Knapp, D. R., Boachie-Adjei, O., McCarthy, R. E., </w:t>
      </w:r>
      <w:proofErr w:type="spellStart"/>
      <w:r w:rsidRPr="00A338A0">
        <w:rPr>
          <w:rFonts w:ascii="Times New Roman" w:hAnsi="Times New Roman" w:cs="Times New Roman"/>
          <w:i/>
          <w:iCs/>
        </w:rPr>
        <w:t>Shaffrey</w:t>
      </w:r>
      <w:proofErr w:type="spellEnd"/>
      <w:r w:rsidRPr="00A338A0">
        <w:rPr>
          <w:rFonts w:ascii="Times New Roman" w:hAnsi="Times New Roman" w:cs="Times New Roman"/>
          <w:i/>
          <w:iCs/>
        </w:rPr>
        <w:t xml:space="preserve">, C. I., &amp; Scoliosis Research Society Morbidity and Mortality Committee (2011). Rates of new neurological deficit associated with spine surgery based on 108,419 procedures: a report of the scoliosis research society morbidity and mortality committee. Spine, 36(15), 1218–1228. </w:t>
      </w:r>
      <w:hyperlink r:id="rId24" w:history="1">
        <w:r w:rsidRPr="00A338A0">
          <w:rPr>
            <w:rStyle w:val="Hyperlink"/>
            <w:rFonts w:ascii="Times New Roman" w:hAnsi="Times New Roman" w:cs="Times New Roman"/>
            <w:i/>
            <w:iCs/>
          </w:rPr>
          <w:t>https://doi.org/10.1097/BRS.0b013e3181ec5fd9</w:t>
        </w:r>
      </w:hyperlink>
    </w:p>
    <w:p w14:paraId="49286779"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lastRenderedPageBreak/>
        <w:t xml:space="preserve">Halsey, M. F., Lenke, L. G., Cheung, K. M. C., Carreon, L. Y., </w:t>
      </w:r>
      <w:proofErr w:type="spellStart"/>
      <w:r w:rsidRPr="00A338A0">
        <w:rPr>
          <w:rFonts w:ascii="Times New Roman" w:hAnsi="Times New Roman" w:cs="Times New Roman"/>
        </w:rPr>
        <w:t>Fehlings</w:t>
      </w:r>
      <w:proofErr w:type="spellEnd"/>
      <w:r w:rsidRPr="00A338A0">
        <w:rPr>
          <w:rFonts w:ascii="Times New Roman" w:hAnsi="Times New Roman" w:cs="Times New Roman"/>
        </w:rPr>
        <w:t xml:space="preserve">, M. G., Shaffrey, C. I., Ames, C. P., Boachie-Adjei, O., </w:t>
      </w:r>
      <w:proofErr w:type="spellStart"/>
      <w:r w:rsidRPr="00A338A0">
        <w:rPr>
          <w:rFonts w:ascii="Times New Roman" w:hAnsi="Times New Roman" w:cs="Times New Roman"/>
        </w:rPr>
        <w:t>Kebaish</w:t>
      </w:r>
      <w:proofErr w:type="spellEnd"/>
      <w:r w:rsidRPr="00A338A0">
        <w:rPr>
          <w:rFonts w:ascii="Times New Roman" w:hAnsi="Times New Roman" w:cs="Times New Roman"/>
        </w:rPr>
        <w:t xml:space="preserve">, K. M., Lewis, S. J., Matsuyama, Y., </w:t>
      </w:r>
      <w:proofErr w:type="spellStart"/>
      <w:r w:rsidRPr="00A338A0">
        <w:rPr>
          <w:rFonts w:ascii="Times New Roman" w:hAnsi="Times New Roman" w:cs="Times New Roman"/>
        </w:rPr>
        <w:t>Mehdian</w:t>
      </w:r>
      <w:proofErr w:type="spellEnd"/>
      <w:r w:rsidRPr="00A338A0">
        <w:rPr>
          <w:rFonts w:ascii="Times New Roman" w:hAnsi="Times New Roman" w:cs="Times New Roman"/>
        </w:rPr>
        <w:t>, H., Qiu, Y., &amp; Cheung, J. P. Y. (2020). Neurophysiological monitoring of spinal cord function during spinal deformity surgery: An updated information statement of the Scoliosis Research Society. Spine Deformity, 8(4), 521–529. </w:t>
      </w:r>
      <w:hyperlink r:id="rId25" w:tgtFrame="_blank" w:history="1">
        <w:r w:rsidRPr="00A338A0">
          <w:rPr>
            <w:rStyle w:val="Hyperlink"/>
            <w:rFonts w:ascii="Times New Roman" w:hAnsi="Times New Roman" w:cs="Times New Roman"/>
            <w:b/>
            <w:bCs/>
          </w:rPr>
          <w:t>https://doi.org/10.1007/s43390-020-00092-7</w:t>
        </w:r>
      </w:hyperlink>
    </w:p>
    <w:p w14:paraId="2E166AFE"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Wilson, J. P., Jr., Vivas, A. C., &amp; Uribe, J. S. (2023). The use of intraoperative neuromonitoring for cervical spine surgery. </w:t>
      </w:r>
      <w:r w:rsidRPr="00A338A0">
        <w:rPr>
          <w:rFonts w:ascii="Times New Roman" w:hAnsi="Times New Roman" w:cs="Times New Roman"/>
          <w:i/>
          <w:iCs/>
        </w:rPr>
        <w:t>World Neurosurgery, 175</w:t>
      </w:r>
      <w:r w:rsidRPr="00A338A0">
        <w:rPr>
          <w:rFonts w:ascii="Times New Roman" w:hAnsi="Times New Roman" w:cs="Times New Roman"/>
        </w:rPr>
        <w:t>, 137–143. </w:t>
      </w:r>
      <w:hyperlink r:id="rId26" w:tgtFrame="_blank" w:history="1">
        <w:r w:rsidRPr="00A338A0">
          <w:rPr>
            <w:rStyle w:val="Hyperlink"/>
            <w:rFonts w:ascii="Times New Roman" w:hAnsi="Times New Roman" w:cs="Times New Roman"/>
            <w:b/>
            <w:bCs/>
          </w:rPr>
          <w:t>https://doi.org/10.1016/j.wneu.2023.04.120</w:t>
        </w:r>
      </w:hyperlink>
    </w:p>
    <w:p w14:paraId="2D136A8A"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Addanki, R. N. D., &amp; </w:t>
      </w:r>
      <w:proofErr w:type="spellStart"/>
      <w:r w:rsidRPr="00A338A0">
        <w:rPr>
          <w:rFonts w:ascii="Times New Roman" w:hAnsi="Times New Roman" w:cs="Times New Roman"/>
        </w:rPr>
        <w:t>Deogaonkar</w:t>
      </w:r>
      <w:proofErr w:type="spellEnd"/>
      <w:r w:rsidRPr="00A338A0">
        <w:rPr>
          <w:rFonts w:ascii="Times New Roman" w:hAnsi="Times New Roman" w:cs="Times New Roman"/>
        </w:rPr>
        <w:t>, M. (2025). Diagnostic accuracy of intraoperative neuromonitoring during non-</w:t>
      </w:r>
      <w:proofErr w:type="spellStart"/>
      <w:r w:rsidRPr="00A338A0">
        <w:rPr>
          <w:rFonts w:ascii="Times New Roman" w:hAnsi="Times New Roman" w:cs="Times New Roman"/>
        </w:rPr>
        <w:t>tumor</w:t>
      </w:r>
      <w:proofErr w:type="spellEnd"/>
      <w:r w:rsidRPr="00A338A0">
        <w:rPr>
          <w:rFonts w:ascii="Times New Roman" w:hAnsi="Times New Roman" w:cs="Times New Roman"/>
        </w:rPr>
        <w:t xml:space="preserve"> thoracic spine surgeries: A systematic review and meta-analysis. </w:t>
      </w:r>
      <w:r w:rsidRPr="00A338A0">
        <w:rPr>
          <w:rFonts w:ascii="Times New Roman" w:hAnsi="Times New Roman" w:cs="Times New Roman"/>
          <w:i/>
          <w:iCs/>
        </w:rPr>
        <w:t>Journal of Clinical Neuroscience, 120</w:t>
      </w:r>
      <w:r w:rsidRPr="00A338A0">
        <w:rPr>
          <w:rFonts w:ascii="Times New Roman" w:hAnsi="Times New Roman" w:cs="Times New Roman"/>
        </w:rPr>
        <w:t>, 23–32. </w:t>
      </w:r>
      <w:hyperlink r:id="rId27" w:tgtFrame="_blank" w:history="1">
        <w:r w:rsidRPr="00A338A0">
          <w:rPr>
            <w:rStyle w:val="Hyperlink"/>
            <w:rFonts w:ascii="Times New Roman" w:hAnsi="Times New Roman" w:cs="Times New Roman"/>
            <w:b/>
            <w:bCs/>
          </w:rPr>
          <w:t>https://doi.org/10.1016/j.jocn.2024.12.005</w:t>
        </w:r>
      </w:hyperlink>
    </w:p>
    <w:p w14:paraId="5CEB08EC"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Cole, T., </w:t>
      </w:r>
      <w:proofErr w:type="spellStart"/>
      <w:r w:rsidRPr="00A338A0">
        <w:rPr>
          <w:rFonts w:ascii="Times New Roman" w:hAnsi="Times New Roman" w:cs="Times New Roman"/>
        </w:rPr>
        <w:t>Veeravagu</w:t>
      </w:r>
      <w:proofErr w:type="spellEnd"/>
      <w:r w:rsidRPr="00A338A0">
        <w:rPr>
          <w:rFonts w:ascii="Times New Roman" w:hAnsi="Times New Roman" w:cs="Times New Roman"/>
        </w:rPr>
        <w:t>, A., Zhang, M., Azad, T. D., Desai, A., &amp; Ratliff, J. K. (2014). Intraoperative neuromonitoring in single-level spinal procedures: A retrospective propensity score–matched analysis in a national population. </w:t>
      </w:r>
      <w:r w:rsidRPr="00A338A0">
        <w:rPr>
          <w:rFonts w:ascii="Times New Roman" w:hAnsi="Times New Roman" w:cs="Times New Roman"/>
          <w:i/>
          <w:iCs/>
        </w:rPr>
        <w:t>The Spine Journal, 14</w:t>
      </w:r>
      <w:r w:rsidRPr="00A338A0">
        <w:rPr>
          <w:rFonts w:ascii="Times New Roman" w:hAnsi="Times New Roman" w:cs="Times New Roman"/>
        </w:rPr>
        <w:t>(12), 2954–2962. </w:t>
      </w:r>
      <w:hyperlink r:id="rId28" w:tgtFrame="_blank" w:history="1">
        <w:r w:rsidRPr="00A338A0">
          <w:rPr>
            <w:rStyle w:val="Hyperlink"/>
            <w:rFonts w:ascii="Times New Roman" w:hAnsi="Times New Roman" w:cs="Times New Roman"/>
            <w:b/>
            <w:bCs/>
          </w:rPr>
          <w:t>https://doi.org/10.1016/j.spinee.2014.05.021</w:t>
        </w:r>
      </w:hyperlink>
    </w:p>
    <w:p w14:paraId="3FC228F1" w14:textId="77777777" w:rsidR="006256E7" w:rsidRPr="00A338A0" w:rsidRDefault="006256E7" w:rsidP="006256E7">
      <w:pPr>
        <w:pStyle w:val="ListParagraph"/>
        <w:numPr>
          <w:ilvl w:val="0"/>
          <w:numId w:val="1"/>
        </w:numPr>
        <w:rPr>
          <w:rFonts w:ascii="Times New Roman" w:hAnsi="Times New Roman" w:cs="Times New Roman"/>
        </w:rPr>
      </w:pPr>
      <w:proofErr w:type="spellStart"/>
      <w:r w:rsidRPr="00A338A0">
        <w:rPr>
          <w:rFonts w:ascii="Times New Roman" w:hAnsi="Times New Roman" w:cs="Times New Roman"/>
        </w:rPr>
        <w:t>Bovonratwet</w:t>
      </w:r>
      <w:proofErr w:type="spellEnd"/>
      <w:r w:rsidRPr="00A338A0">
        <w:rPr>
          <w:rFonts w:ascii="Times New Roman" w:hAnsi="Times New Roman" w:cs="Times New Roman"/>
        </w:rPr>
        <w:t>, P., et al. (2025). The use of intraoperative neuromonitoring in lateral lumbar interbody fusion surgery. </w:t>
      </w:r>
      <w:r w:rsidRPr="00A338A0">
        <w:rPr>
          <w:rFonts w:ascii="Times New Roman" w:hAnsi="Times New Roman" w:cs="Times New Roman"/>
          <w:i/>
          <w:iCs/>
        </w:rPr>
        <w:t>Cureus, 17</w:t>
      </w:r>
      <w:r w:rsidRPr="00A338A0">
        <w:rPr>
          <w:rFonts w:ascii="Times New Roman" w:hAnsi="Times New Roman" w:cs="Times New Roman"/>
        </w:rPr>
        <w:t>(8), e12422749. </w:t>
      </w:r>
      <w:hyperlink r:id="rId29" w:tgtFrame="_blank" w:history="1">
        <w:r w:rsidRPr="00A338A0">
          <w:rPr>
            <w:rStyle w:val="Hyperlink"/>
            <w:rFonts w:ascii="Times New Roman" w:hAnsi="Times New Roman" w:cs="Times New Roman"/>
            <w:b/>
            <w:bCs/>
          </w:rPr>
          <w:t>https://doi.org/10.7759/cureus.12422749</w:t>
        </w:r>
      </w:hyperlink>
    </w:p>
    <w:p w14:paraId="16A96BE9"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Yuen, J., &amp; Li, Y. (2025). </w:t>
      </w:r>
      <w:r w:rsidRPr="00A338A0">
        <w:rPr>
          <w:rFonts w:ascii="Times New Roman" w:hAnsi="Times New Roman" w:cs="Times New Roman"/>
          <w:i/>
          <w:iCs/>
        </w:rPr>
        <w:t>Thoracic spinal cord: An overview</w:t>
      </w:r>
      <w:r w:rsidRPr="00A338A0">
        <w:rPr>
          <w:rFonts w:ascii="Times New Roman" w:hAnsi="Times New Roman" w:cs="Times New Roman"/>
        </w:rPr>
        <w:t>. ScienceDirect Topics. </w:t>
      </w:r>
      <w:hyperlink r:id="rId30" w:tgtFrame="_blank" w:history="1">
        <w:r w:rsidRPr="00A338A0">
          <w:rPr>
            <w:rStyle w:val="Hyperlink"/>
            <w:rFonts w:ascii="Times New Roman" w:hAnsi="Times New Roman" w:cs="Times New Roman"/>
            <w:b/>
            <w:bCs/>
          </w:rPr>
          <w:t>https://www.sciencedirect.com/topics/immunology-and-microbiology/thoracic-spinal-cord</w:t>
        </w:r>
      </w:hyperlink>
    </w:p>
    <w:p w14:paraId="7C9D929F" w14:textId="77777777" w:rsidR="006256E7" w:rsidRPr="00A338A0" w:rsidRDefault="006256E7" w:rsidP="006256E7">
      <w:pPr>
        <w:numPr>
          <w:ilvl w:val="0"/>
          <w:numId w:val="1"/>
        </w:numPr>
        <w:rPr>
          <w:rFonts w:ascii="Times New Roman" w:hAnsi="Times New Roman" w:cs="Times New Roman"/>
        </w:rPr>
      </w:pPr>
      <w:r w:rsidRPr="00A338A0">
        <w:rPr>
          <w:rFonts w:ascii="Times New Roman" w:hAnsi="Times New Roman" w:cs="Times New Roman"/>
        </w:rPr>
        <w:t>American Association of Neurological Surgeons &amp; Congress of Neurological Surgeons. (2023). </w:t>
      </w:r>
      <w:r w:rsidRPr="00A338A0">
        <w:rPr>
          <w:rFonts w:ascii="Times New Roman" w:hAnsi="Times New Roman" w:cs="Times New Roman"/>
          <w:i/>
          <w:iCs/>
        </w:rPr>
        <w:t>Re: Cigna coverage policy for intraoperative neurophysiologic monitoring (IONM)</w:t>
      </w:r>
      <w:r w:rsidRPr="00A338A0">
        <w:rPr>
          <w:rFonts w:ascii="Times New Roman" w:hAnsi="Times New Roman" w:cs="Times New Roman"/>
        </w:rPr>
        <w:t> [Letter]. </w:t>
      </w:r>
      <w:hyperlink r:id="rId31" w:tgtFrame="_blank" w:history="1">
        <w:r w:rsidRPr="00A338A0">
          <w:rPr>
            <w:rStyle w:val="Hyperlink"/>
            <w:rFonts w:ascii="Times New Roman" w:hAnsi="Times New Roman" w:cs="Times New Roman"/>
            <w:b/>
            <w:bCs/>
          </w:rPr>
          <w:t>https://www.aans.org/wp-content/uploads/2024/05/AANS-CNS-DSPN_Letter_to_Cigna_Regarding_Cervical_IOM_Coverage_Policy_032923.pdf</w:t>
        </w:r>
      </w:hyperlink>
    </w:p>
    <w:p w14:paraId="440EDAD1" w14:textId="77777777" w:rsidR="006256E7" w:rsidRPr="00A338A0" w:rsidRDefault="006256E7" w:rsidP="006256E7">
      <w:pPr>
        <w:pStyle w:val="ListParagraph"/>
        <w:numPr>
          <w:ilvl w:val="0"/>
          <w:numId w:val="1"/>
        </w:numPr>
        <w:rPr>
          <w:rFonts w:ascii="Times New Roman" w:hAnsi="Times New Roman" w:cs="Times New Roman"/>
        </w:rPr>
      </w:pPr>
      <w:r w:rsidRPr="00A338A0">
        <w:rPr>
          <w:rFonts w:ascii="Times New Roman" w:hAnsi="Times New Roman" w:cs="Times New Roman"/>
        </w:rPr>
        <w:t xml:space="preserve">Lee, J. Y., &amp; </w:t>
      </w:r>
      <w:proofErr w:type="spellStart"/>
      <w:r w:rsidRPr="00A338A0">
        <w:rPr>
          <w:rFonts w:ascii="Times New Roman" w:hAnsi="Times New Roman" w:cs="Times New Roman"/>
        </w:rPr>
        <w:t>Hilibrand</w:t>
      </w:r>
      <w:proofErr w:type="spellEnd"/>
      <w:r w:rsidRPr="00A338A0">
        <w:rPr>
          <w:rFonts w:ascii="Times New Roman" w:hAnsi="Times New Roman" w:cs="Times New Roman"/>
        </w:rPr>
        <w:t>, A. S. (2007). Consideration for spinal cord monitoring of patients with spinal cord injury. </w:t>
      </w:r>
      <w:r w:rsidRPr="00A338A0">
        <w:rPr>
          <w:rFonts w:ascii="Times New Roman" w:hAnsi="Times New Roman" w:cs="Times New Roman"/>
          <w:i/>
          <w:iCs/>
        </w:rPr>
        <w:t>Seminars in Spine Surgery, 19</w:t>
      </w:r>
      <w:r w:rsidRPr="00A338A0">
        <w:rPr>
          <w:rFonts w:ascii="Times New Roman" w:hAnsi="Times New Roman" w:cs="Times New Roman"/>
        </w:rPr>
        <w:t>(4), 282–289. </w:t>
      </w:r>
      <w:hyperlink r:id="rId32" w:tgtFrame="_blank" w:history="1">
        <w:r w:rsidRPr="00A338A0">
          <w:rPr>
            <w:rStyle w:val="Hyperlink"/>
            <w:rFonts w:ascii="Times New Roman" w:hAnsi="Times New Roman" w:cs="Times New Roman"/>
            <w:b/>
            <w:bCs/>
          </w:rPr>
          <w:t>https://doi.org/10.1053/j.semss.2007.10.005</w:t>
        </w:r>
      </w:hyperlink>
    </w:p>
    <w:p w14:paraId="08ED63EA" w14:textId="77777777" w:rsidR="006256E7" w:rsidRPr="00A338A0" w:rsidRDefault="006256E7" w:rsidP="006256E7">
      <w:pPr>
        <w:pStyle w:val="ListParagraph"/>
        <w:numPr>
          <w:ilvl w:val="0"/>
          <w:numId w:val="1"/>
        </w:numPr>
        <w:jc w:val="both"/>
        <w:rPr>
          <w:rFonts w:ascii="Times New Roman" w:hAnsi="Times New Roman" w:cs="Times New Roman"/>
        </w:rPr>
      </w:pPr>
      <w:proofErr w:type="spellStart"/>
      <w:r w:rsidRPr="00A338A0">
        <w:rPr>
          <w:rFonts w:ascii="Times New Roman" w:hAnsi="Times New Roman" w:cs="Times New Roman"/>
        </w:rPr>
        <w:t>Fehlings</w:t>
      </w:r>
      <w:proofErr w:type="spellEnd"/>
      <w:r w:rsidRPr="00A338A0">
        <w:rPr>
          <w:rFonts w:ascii="Times New Roman" w:hAnsi="Times New Roman" w:cs="Times New Roman"/>
        </w:rPr>
        <w:t>, M. G., et al. (2024). A clinical practice guideline for prevention, diagnosis and management of intraoperative spinal cord injury. </w:t>
      </w:r>
      <w:r w:rsidRPr="00A338A0">
        <w:rPr>
          <w:rFonts w:ascii="Times New Roman" w:hAnsi="Times New Roman" w:cs="Times New Roman"/>
          <w:i/>
          <w:iCs/>
        </w:rPr>
        <w:t>Global Spine Journal, 14</w:t>
      </w:r>
      <w:r w:rsidRPr="00A338A0">
        <w:rPr>
          <w:rFonts w:ascii="Times New Roman" w:hAnsi="Times New Roman" w:cs="Times New Roman"/>
        </w:rPr>
        <w:t>(3_suppl), 12S-24S. </w:t>
      </w:r>
      <w:hyperlink r:id="rId33" w:tgtFrame="_blank" w:history="1">
        <w:r w:rsidRPr="00A338A0">
          <w:rPr>
            <w:rStyle w:val="Hyperlink"/>
            <w:rFonts w:ascii="Times New Roman" w:hAnsi="Times New Roman" w:cs="Times New Roman"/>
            <w:b/>
            <w:bCs/>
          </w:rPr>
          <w:t>https://doi.org/10.1177/21925682231202343</w:t>
        </w:r>
      </w:hyperlink>
    </w:p>
    <w:p w14:paraId="161EAF46"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 xml:space="preserve">Kang, H., et al. (2017). Monitoring rate and predictability of intraoperative neuromonitoring in patients undergoing surgery for intradural extramedullary spinal </w:t>
      </w:r>
      <w:proofErr w:type="spellStart"/>
      <w:r w:rsidRPr="00A338A0">
        <w:rPr>
          <w:rFonts w:ascii="Times New Roman" w:hAnsi="Times New Roman" w:cs="Times New Roman"/>
        </w:rPr>
        <w:t>tumors</w:t>
      </w:r>
      <w:proofErr w:type="spellEnd"/>
      <w:r w:rsidRPr="00A338A0">
        <w:rPr>
          <w:rFonts w:ascii="Times New Roman" w:hAnsi="Times New Roman" w:cs="Times New Roman"/>
        </w:rPr>
        <w:t>. </w:t>
      </w:r>
      <w:r w:rsidRPr="00A338A0">
        <w:rPr>
          <w:rFonts w:ascii="Times New Roman" w:hAnsi="Times New Roman" w:cs="Times New Roman"/>
          <w:i/>
          <w:iCs/>
        </w:rPr>
        <w:t>World Neurosurgery, 104</w:t>
      </w:r>
      <w:r w:rsidRPr="00A338A0">
        <w:rPr>
          <w:rFonts w:ascii="Times New Roman" w:hAnsi="Times New Roman" w:cs="Times New Roman"/>
        </w:rPr>
        <w:t>, 532–540. </w:t>
      </w:r>
      <w:hyperlink r:id="rId34" w:tgtFrame="_blank" w:history="1">
        <w:r w:rsidRPr="00A338A0">
          <w:rPr>
            <w:rStyle w:val="Hyperlink"/>
            <w:rFonts w:ascii="Times New Roman" w:hAnsi="Times New Roman" w:cs="Times New Roman"/>
            <w:b/>
            <w:bCs/>
          </w:rPr>
          <w:t>https://doi.org/10.1016/j.wneu.2017.05.058</w:t>
        </w:r>
      </w:hyperlink>
    </w:p>
    <w:p w14:paraId="3236CACD"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 xml:space="preserve">Reddy, R. P., Chang, R., &amp; Tan, L. A. (2021). What is the predictive value of intraoperative somatosensory evoked potential monitoring for postoperative </w:t>
      </w:r>
      <w:r w:rsidRPr="00A338A0">
        <w:rPr>
          <w:rFonts w:ascii="Times New Roman" w:hAnsi="Times New Roman" w:cs="Times New Roman"/>
        </w:rPr>
        <w:lastRenderedPageBreak/>
        <w:t>neurological deficit in cervical spine surgery? A systematic review. </w:t>
      </w:r>
      <w:r w:rsidRPr="00A338A0">
        <w:rPr>
          <w:rFonts w:ascii="Times New Roman" w:hAnsi="Times New Roman" w:cs="Times New Roman"/>
          <w:i/>
          <w:iCs/>
        </w:rPr>
        <w:t>The Spine Journal, 21</w:t>
      </w:r>
      <w:r w:rsidRPr="00A338A0">
        <w:rPr>
          <w:rFonts w:ascii="Times New Roman" w:hAnsi="Times New Roman" w:cs="Times New Roman"/>
        </w:rPr>
        <w:t>(4), 555–566. </w:t>
      </w:r>
      <w:hyperlink r:id="rId35" w:tgtFrame="_blank" w:history="1">
        <w:r w:rsidRPr="00A338A0">
          <w:rPr>
            <w:rStyle w:val="Hyperlink"/>
            <w:rFonts w:ascii="Times New Roman" w:hAnsi="Times New Roman" w:cs="Times New Roman"/>
            <w:b/>
            <w:bCs/>
          </w:rPr>
          <w:t>https://doi.org/10.1016/j.spinee.2021.01.018</w:t>
        </w:r>
      </w:hyperlink>
    </w:p>
    <w:p w14:paraId="7B0EE10D"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Holland, N. R. (2002). Intraoperative electromyography. </w:t>
      </w:r>
      <w:r w:rsidRPr="00A338A0">
        <w:rPr>
          <w:rFonts w:ascii="Times New Roman" w:hAnsi="Times New Roman" w:cs="Times New Roman"/>
          <w:i/>
          <w:iCs/>
        </w:rPr>
        <w:t>Journal of Clinical Neurophysiology, 19</w:t>
      </w:r>
      <w:r w:rsidRPr="00A338A0">
        <w:rPr>
          <w:rFonts w:ascii="Times New Roman" w:hAnsi="Times New Roman" w:cs="Times New Roman"/>
        </w:rPr>
        <w:t>(5), 444–453. </w:t>
      </w:r>
      <w:hyperlink r:id="rId36" w:tgtFrame="_blank" w:history="1">
        <w:r w:rsidRPr="00A338A0">
          <w:rPr>
            <w:rStyle w:val="Hyperlink"/>
            <w:rFonts w:ascii="Times New Roman" w:hAnsi="Times New Roman" w:cs="Times New Roman"/>
            <w:b/>
            <w:bCs/>
          </w:rPr>
          <w:t>https://doi.org/10.1097/00004691-200210000-00007</w:t>
        </w:r>
      </w:hyperlink>
    </w:p>
    <w:p w14:paraId="04DCB3FA" w14:textId="77777777" w:rsidR="006256E7" w:rsidRPr="00A338A0" w:rsidRDefault="006256E7" w:rsidP="006256E7">
      <w:pPr>
        <w:pStyle w:val="ListParagraph"/>
        <w:numPr>
          <w:ilvl w:val="0"/>
          <w:numId w:val="1"/>
        </w:numPr>
        <w:jc w:val="both"/>
        <w:rPr>
          <w:rFonts w:ascii="Times New Roman" w:hAnsi="Times New Roman" w:cs="Times New Roman"/>
        </w:rPr>
      </w:pPr>
      <w:r w:rsidRPr="00A338A0">
        <w:rPr>
          <w:rFonts w:ascii="Times New Roman" w:hAnsi="Times New Roman" w:cs="Times New Roman"/>
        </w:rPr>
        <w:t xml:space="preserve">Gunnarsson, T., Krassioukov, A., Sarjeant, R., &amp; </w:t>
      </w:r>
      <w:proofErr w:type="spellStart"/>
      <w:r w:rsidRPr="00A338A0">
        <w:rPr>
          <w:rFonts w:ascii="Times New Roman" w:hAnsi="Times New Roman" w:cs="Times New Roman"/>
        </w:rPr>
        <w:t>Fehlings</w:t>
      </w:r>
      <w:proofErr w:type="spellEnd"/>
      <w:r w:rsidRPr="00A338A0">
        <w:rPr>
          <w:rFonts w:ascii="Times New Roman" w:hAnsi="Times New Roman" w:cs="Times New Roman"/>
        </w:rPr>
        <w:t>, M. G. (2003). Real-time continuous intraoperative electromyographic and somatosensory evoked potential recordings in spinal surgery: Correlation of clinical and electrophysiologic status. </w:t>
      </w:r>
      <w:r w:rsidRPr="00A338A0">
        <w:rPr>
          <w:rFonts w:ascii="Times New Roman" w:hAnsi="Times New Roman" w:cs="Times New Roman"/>
          <w:i/>
          <w:iCs/>
        </w:rPr>
        <w:t>Spine, 28</w:t>
      </w:r>
      <w:r w:rsidRPr="00A338A0">
        <w:rPr>
          <w:rFonts w:ascii="Times New Roman" w:hAnsi="Times New Roman" w:cs="Times New Roman"/>
        </w:rPr>
        <w:t>(11), 1153–1160. </w:t>
      </w:r>
      <w:hyperlink r:id="rId37" w:tgtFrame="_blank" w:history="1">
        <w:r w:rsidRPr="00A338A0">
          <w:rPr>
            <w:rStyle w:val="Hyperlink"/>
            <w:rFonts w:ascii="Times New Roman" w:hAnsi="Times New Roman" w:cs="Times New Roman"/>
            <w:b/>
            <w:bCs/>
          </w:rPr>
          <w:t>https://doi.org/10.1097/01.BRS.0000067268.32426.38</w:t>
        </w:r>
      </w:hyperlink>
    </w:p>
    <w:p w14:paraId="21F121DD" w14:textId="77777777" w:rsidR="006256E7" w:rsidRPr="00F25846" w:rsidRDefault="006256E7" w:rsidP="006256E7">
      <w:pPr>
        <w:ind w:left="720"/>
        <w:rPr>
          <w:rFonts w:ascii="Cambria" w:hAnsi="Cambria"/>
        </w:rPr>
      </w:pPr>
    </w:p>
    <w:p w14:paraId="1D6DF424" w14:textId="77777777" w:rsidR="007B0343" w:rsidRPr="00F25846" w:rsidRDefault="007B0343" w:rsidP="00A17FBE">
      <w:pPr>
        <w:rPr>
          <w:rFonts w:ascii="Cambria" w:hAnsi="Cambria"/>
          <w:b/>
          <w:bCs/>
        </w:rPr>
      </w:pPr>
    </w:p>
    <w:p w14:paraId="05939FA7" w14:textId="77777777" w:rsidR="00D547C7" w:rsidRPr="00F25846" w:rsidRDefault="00D547C7" w:rsidP="00D547C7">
      <w:pPr>
        <w:ind w:left="720"/>
        <w:rPr>
          <w:rFonts w:ascii="Cambria" w:hAnsi="Cambria"/>
        </w:rPr>
      </w:pPr>
    </w:p>
    <w:p w14:paraId="4220EDDF" w14:textId="77777777" w:rsidR="002D2B2E" w:rsidRPr="00F25846" w:rsidRDefault="002D2B2E" w:rsidP="00A17FBE">
      <w:pPr>
        <w:rPr>
          <w:rFonts w:ascii="Cambria" w:hAnsi="Cambria"/>
        </w:rPr>
      </w:pPr>
    </w:p>
    <w:sectPr w:rsidR="002D2B2E" w:rsidRPr="00F2584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BB98" w14:textId="77777777" w:rsidR="00295D68" w:rsidRDefault="00295D68" w:rsidP="00A25FE2">
      <w:pPr>
        <w:spacing w:after="0" w:line="240" w:lineRule="auto"/>
      </w:pPr>
      <w:r>
        <w:separator/>
      </w:r>
    </w:p>
  </w:endnote>
  <w:endnote w:type="continuationSeparator" w:id="0">
    <w:p w14:paraId="5AE6BF62" w14:textId="77777777" w:rsidR="00295D68" w:rsidRDefault="00295D68" w:rsidP="00A2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5040" w14:textId="77777777" w:rsidR="00A25FE2" w:rsidRDefault="00A2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A7D0" w14:textId="77777777" w:rsidR="00A25FE2" w:rsidRDefault="00A2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1E45" w14:textId="77777777" w:rsidR="00A25FE2" w:rsidRDefault="00A2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B60A4" w14:textId="77777777" w:rsidR="00295D68" w:rsidRDefault="00295D68" w:rsidP="00A25FE2">
      <w:pPr>
        <w:spacing w:after="0" w:line="240" w:lineRule="auto"/>
      </w:pPr>
      <w:r>
        <w:separator/>
      </w:r>
    </w:p>
  </w:footnote>
  <w:footnote w:type="continuationSeparator" w:id="0">
    <w:p w14:paraId="15BA0D7C" w14:textId="77777777" w:rsidR="00295D68" w:rsidRDefault="00295D68" w:rsidP="00A2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F3F" w14:textId="62361DA1" w:rsidR="00A25FE2" w:rsidRDefault="00A25FE2">
    <w:pPr>
      <w:pStyle w:val="Header"/>
    </w:pPr>
    <w:r>
      <w:rPr>
        <w:noProof/>
      </w:rPr>
      <w:pict w14:anchorId="7807E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4007" w14:textId="4DB3AE11" w:rsidR="00A25FE2" w:rsidRDefault="00A25FE2">
    <w:pPr>
      <w:pStyle w:val="Header"/>
    </w:pPr>
    <w:r>
      <w:rPr>
        <w:noProof/>
      </w:rPr>
      <w:pict w14:anchorId="4E271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D098" w14:textId="0C9EBC71" w:rsidR="00A25FE2" w:rsidRDefault="00A25FE2">
    <w:pPr>
      <w:pStyle w:val="Header"/>
    </w:pPr>
    <w:r>
      <w:rPr>
        <w:noProof/>
      </w:rPr>
      <w:pict w14:anchorId="176B5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324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F6"/>
    <w:multiLevelType w:val="multilevel"/>
    <w:tmpl w:val="7DEE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2852"/>
    <w:multiLevelType w:val="multilevel"/>
    <w:tmpl w:val="28D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7AD"/>
    <w:multiLevelType w:val="multilevel"/>
    <w:tmpl w:val="DD6E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A2937"/>
    <w:multiLevelType w:val="multilevel"/>
    <w:tmpl w:val="A3F6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B309B"/>
    <w:multiLevelType w:val="multilevel"/>
    <w:tmpl w:val="E45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916B3"/>
    <w:multiLevelType w:val="multilevel"/>
    <w:tmpl w:val="22743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B5358"/>
    <w:multiLevelType w:val="multilevel"/>
    <w:tmpl w:val="625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A2788"/>
    <w:multiLevelType w:val="multilevel"/>
    <w:tmpl w:val="85C07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C4DC2"/>
    <w:multiLevelType w:val="multilevel"/>
    <w:tmpl w:val="B91CDE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A354F"/>
    <w:multiLevelType w:val="multilevel"/>
    <w:tmpl w:val="F43434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87557"/>
    <w:multiLevelType w:val="multilevel"/>
    <w:tmpl w:val="A206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C5F02"/>
    <w:multiLevelType w:val="multilevel"/>
    <w:tmpl w:val="1F22AD08"/>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2" w15:restartNumberingAfterBreak="0">
    <w:nsid w:val="41A23881"/>
    <w:multiLevelType w:val="multilevel"/>
    <w:tmpl w:val="E0A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05F73"/>
    <w:multiLevelType w:val="multilevel"/>
    <w:tmpl w:val="FE14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77D35"/>
    <w:multiLevelType w:val="multilevel"/>
    <w:tmpl w:val="7C04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E12E06"/>
    <w:multiLevelType w:val="multilevel"/>
    <w:tmpl w:val="B0AE9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866481"/>
    <w:multiLevelType w:val="multilevel"/>
    <w:tmpl w:val="E01A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A69C2"/>
    <w:multiLevelType w:val="multilevel"/>
    <w:tmpl w:val="E5B616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44D6B"/>
    <w:multiLevelType w:val="multilevel"/>
    <w:tmpl w:val="793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558EB"/>
    <w:multiLevelType w:val="multilevel"/>
    <w:tmpl w:val="5542542A"/>
    <w:lvl w:ilvl="0">
      <w:start w:val="1"/>
      <w:numFmt w:val="decimal"/>
      <w:lvlText w:val="%1."/>
      <w:lvlJc w:val="left"/>
      <w:pPr>
        <w:tabs>
          <w:tab w:val="num" w:pos="720"/>
        </w:tabs>
        <w:ind w:left="720" w:hanging="360"/>
      </w:pPr>
      <w:rPr>
        <w:rFonts w:asciiTheme="majorHAnsi" w:eastAsiaTheme="minorEastAsia" w:hAnsiTheme="maj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6"/>
  </w:num>
  <w:num w:numId="4">
    <w:abstractNumId w:val="13"/>
  </w:num>
  <w:num w:numId="5">
    <w:abstractNumId w:val="14"/>
  </w:num>
  <w:num w:numId="6">
    <w:abstractNumId w:val="5"/>
  </w:num>
  <w:num w:numId="7">
    <w:abstractNumId w:val="7"/>
  </w:num>
  <w:num w:numId="8">
    <w:abstractNumId w:val="3"/>
  </w:num>
  <w:num w:numId="9">
    <w:abstractNumId w:val="11"/>
  </w:num>
  <w:num w:numId="10">
    <w:abstractNumId w:val="15"/>
  </w:num>
  <w:num w:numId="11">
    <w:abstractNumId w:val="18"/>
  </w:num>
  <w:num w:numId="12">
    <w:abstractNumId w:val="8"/>
  </w:num>
  <w:num w:numId="13">
    <w:abstractNumId w:val="2"/>
  </w:num>
  <w:num w:numId="14">
    <w:abstractNumId w:val="0"/>
  </w:num>
  <w:num w:numId="15">
    <w:abstractNumId w:val="6"/>
  </w:num>
  <w:num w:numId="16">
    <w:abstractNumId w:val="4"/>
  </w:num>
  <w:num w:numId="17">
    <w:abstractNumId w:val="9"/>
  </w:num>
  <w:num w:numId="18">
    <w:abstractNumId w:val="17"/>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EB"/>
    <w:rsid w:val="00002A84"/>
    <w:rsid w:val="00007476"/>
    <w:rsid w:val="00014C93"/>
    <w:rsid w:val="0001579A"/>
    <w:rsid w:val="00016EA8"/>
    <w:rsid w:val="00021127"/>
    <w:rsid w:val="000240B3"/>
    <w:rsid w:val="00025524"/>
    <w:rsid w:val="000269F6"/>
    <w:rsid w:val="00027984"/>
    <w:rsid w:val="00030725"/>
    <w:rsid w:val="00036766"/>
    <w:rsid w:val="00036D0F"/>
    <w:rsid w:val="00042C0A"/>
    <w:rsid w:val="000441B0"/>
    <w:rsid w:val="00044F40"/>
    <w:rsid w:val="00046D11"/>
    <w:rsid w:val="00047CFF"/>
    <w:rsid w:val="00047F22"/>
    <w:rsid w:val="00055B0C"/>
    <w:rsid w:val="00056987"/>
    <w:rsid w:val="000644A3"/>
    <w:rsid w:val="000662A7"/>
    <w:rsid w:val="00072D3F"/>
    <w:rsid w:val="00080243"/>
    <w:rsid w:val="0008364A"/>
    <w:rsid w:val="00083CEC"/>
    <w:rsid w:val="000872D6"/>
    <w:rsid w:val="00090353"/>
    <w:rsid w:val="00093D3E"/>
    <w:rsid w:val="00094059"/>
    <w:rsid w:val="000A1C41"/>
    <w:rsid w:val="000A5442"/>
    <w:rsid w:val="000A5966"/>
    <w:rsid w:val="000A68AF"/>
    <w:rsid w:val="000A7D2E"/>
    <w:rsid w:val="000B1225"/>
    <w:rsid w:val="000C0022"/>
    <w:rsid w:val="000C0B56"/>
    <w:rsid w:val="000C39F4"/>
    <w:rsid w:val="000C469B"/>
    <w:rsid w:val="000C6B5B"/>
    <w:rsid w:val="000D14F7"/>
    <w:rsid w:val="000D1549"/>
    <w:rsid w:val="000D764A"/>
    <w:rsid w:val="000E0D56"/>
    <w:rsid w:val="000F02D9"/>
    <w:rsid w:val="000F056E"/>
    <w:rsid w:val="000F3C8C"/>
    <w:rsid w:val="00101E5C"/>
    <w:rsid w:val="001079F6"/>
    <w:rsid w:val="001129C2"/>
    <w:rsid w:val="001141DE"/>
    <w:rsid w:val="001340BD"/>
    <w:rsid w:val="00135ED3"/>
    <w:rsid w:val="00140A8F"/>
    <w:rsid w:val="001424FA"/>
    <w:rsid w:val="00142C0D"/>
    <w:rsid w:val="00144E10"/>
    <w:rsid w:val="00145041"/>
    <w:rsid w:val="0014770F"/>
    <w:rsid w:val="00152ABF"/>
    <w:rsid w:val="00152CA1"/>
    <w:rsid w:val="00155A2B"/>
    <w:rsid w:val="0015714E"/>
    <w:rsid w:val="00160444"/>
    <w:rsid w:val="001672AE"/>
    <w:rsid w:val="00173C02"/>
    <w:rsid w:val="00177658"/>
    <w:rsid w:val="00177796"/>
    <w:rsid w:val="001807AE"/>
    <w:rsid w:val="001807C3"/>
    <w:rsid w:val="00181164"/>
    <w:rsid w:val="00183BE8"/>
    <w:rsid w:val="001861B5"/>
    <w:rsid w:val="00187C6D"/>
    <w:rsid w:val="00196988"/>
    <w:rsid w:val="001A0204"/>
    <w:rsid w:val="001A2BD2"/>
    <w:rsid w:val="001A4173"/>
    <w:rsid w:val="001B3E2E"/>
    <w:rsid w:val="001B4759"/>
    <w:rsid w:val="001C2DFF"/>
    <w:rsid w:val="001C63E4"/>
    <w:rsid w:val="001D1770"/>
    <w:rsid w:val="001D3E0C"/>
    <w:rsid w:val="001D53B4"/>
    <w:rsid w:val="001D5563"/>
    <w:rsid w:val="001D7006"/>
    <w:rsid w:val="001E0A95"/>
    <w:rsid w:val="001E3B24"/>
    <w:rsid w:val="001E6200"/>
    <w:rsid w:val="001E682D"/>
    <w:rsid w:val="001F1DB1"/>
    <w:rsid w:val="001F4035"/>
    <w:rsid w:val="001F437D"/>
    <w:rsid w:val="001F441F"/>
    <w:rsid w:val="001F5F54"/>
    <w:rsid w:val="001F5FC7"/>
    <w:rsid w:val="0020161B"/>
    <w:rsid w:val="002025E0"/>
    <w:rsid w:val="00203030"/>
    <w:rsid w:val="00207094"/>
    <w:rsid w:val="00212AEF"/>
    <w:rsid w:val="00212EDB"/>
    <w:rsid w:val="002149CF"/>
    <w:rsid w:val="00222F5C"/>
    <w:rsid w:val="002249D1"/>
    <w:rsid w:val="0022632E"/>
    <w:rsid w:val="002268EB"/>
    <w:rsid w:val="00230BB3"/>
    <w:rsid w:val="00233F03"/>
    <w:rsid w:val="002342F9"/>
    <w:rsid w:val="00240790"/>
    <w:rsid w:val="002411A6"/>
    <w:rsid w:val="00243638"/>
    <w:rsid w:val="00245772"/>
    <w:rsid w:val="00262521"/>
    <w:rsid w:val="00264B4C"/>
    <w:rsid w:val="0026681F"/>
    <w:rsid w:val="002765BF"/>
    <w:rsid w:val="00280ADC"/>
    <w:rsid w:val="00285AB0"/>
    <w:rsid w:val="0028625A"/>
    <w:rsid w:val="0028704D"/>
    <w:rsid w:val="00287D9C"/>
    <w:rsid w:val="00295D68"/>
    <w:rsid w:val="002A59C3"/>
    <w:rsid w:val="002B3C58"/>
    <w:rsid w:val="002B47C6"/>
    <w:rsid w:val="002B4E5B"/>
    <w:rsid w:val="002B6F30"/>
    <w:rsid w:val="002C2D25"/>
    <w:rsid w:val="002C4B93"/>
    <w:rsid w:val="002C50CB"/>
    <w:rsid w:val="002D29A3"/>
    <w:rsid w:val="002D2B2E"/>
    <w:rsid w:val="002D5129"/>
    <w:rsid w:val="002D7705"/>
    <w:rsid w:val="002E11FD"/>
    <w:rsid w:val="002E4761"/>
    <w:rsid w:val="00301FFC"/>
    <w:rsid w:val="00302C79"/>
    <w:rsid w:val="003030B3"/>
    <w:rsid w:val="0030393F"/>
    <w:rsid w:val="00303DE7"/>
    <w:rsid w:val="00304688"/>
    <w:rsid w:val="0030503B"/>
    <w:rsid w:val="00305495"/>
    <w:rsid w:val="00305845"/>
    <w:rsid w:val="00306E1D"/>
    <w:rsid w:val="00307A20"/>
    <w:rsid w:val="00310491"/>
    <w:rsid w:val="003109D0"/>
    <w:rsid w:val="003223BF"/>
    <w:rsid w:val="0032385B"/>
    <w:rsid w:val="00332274"/>
    <w:rsid w:val="00333A4E"/>
    <w:rsid w:val="00335531"/>
    <w:rsid w:val="00335583"/>
    <w:rsid w:val="00336E6F"/>
    <w:rsid w:val="0033753E"/>
    <w:rsid w:val="00337D43"/>
    <w:rsid w:val="003413F5"/>
    <w:rsid w:val="00350886"/>
    <w:rsid w:val="00350D5C"/>
    <w:rsid w:val="00351CAC"/>
    <w:rsid w:val="00353755"/>
    <w:rsid w:val="00355BBC"/>
    <w:rsid w:val="00370144"/>
    <w:rsid w:val="00370B3F"/>
    <w:rsid w:val="0037137C"/>
    <w:rsid w:val="00383250"/>
    <w:rsid w:val="003857A8"/>
    <w:rsid w:val="00385854"/>
    <w:rsid w:val="003867A5"/>
    <w:rsid w:val="00386B60"/>
    <w:rsid w:val="00390BEE"/>
    <w:rsid w:val="00391A80"/>
    <w:rsid w:val="003924A5"/>
    <w:rsid w:val="00392AE7"/>
    <w:rsid w:val="003938F5"/>
    <w:rsid w:val="00396875"/>
    <w:rsid w:val="003A134E"/>
    <w:rsid w:val="003A315F"/>
    <w:rsid w:val="003A3B2C"/>
    <w:rsid w:val="003A46BE"/>
    <w:rsid w:val="003A545B"/>
    <w:rsid w:val="003B3F4B"/>
    <w:rsid w:val="003C0667"/>
    <w:rsid w:val="003C1EC7"/>
    <w:rsid w:val="003C3487"/>
    <w:rsid w:val="003C3ECF"/>
    <w:rsid w:val="003C66AE"/>
    <w:rsid w:val="003D4DDE"/>
    <w:rsid w:val="003D7787"/>
    <w:rsid w:val="003E0658"/>
    <w:rsid w:val="003E61D1"/>
    <w:rsid w:val="003E7DBC"/>
    <w:rsid w:val="003F0C7D"/>
    <w:rsid w:val="003F1A36"/>
    <w:rsid w:val="003F3F0C"/>
    <w:rsid w:val="003F4844"/>
    <w:rsid w:val="003F629E"/>
    <w:rsid w:val="00406628"/>
    <w:rsid w:val="0040705B"/>
    <w:rsid w:val="004079F0"/>
    <w:rsid w:val="00413316"/>
    <w:rsid w:val="00415499"/>
    <w:rsid w:val="00421ABB"/>
    <w:rsid w:val="00432485"/>
    <w:rsid w:val="00451419"/>
    <w:rsid w:val="004516E8"/>
    <w:rsid w:val="00457AF1"/>
    <w:rsid w:val="0046049C"/>
    <w:rsid w:val="00461B76"/>
    <w:rsid w:val="00461E93"/>
    <w:rsid w:val="00462294"/>
    <w:rsid w:val="00462C68"/>
    <w:rsid w:val="00465BEC"/>
    <w:rsid w:val="0046625A"/>
    <w:rsid w:val="00470AC1"/>
    <w:rsid w:val="0047460D"/>
    <w:rsid w:val="00484094"/>
    <w:rsid w:val="00493EDF"/>
    <w:rsid w:val="004974DF"/>
    <w:rsid w:val="004C3433"/>
    <w:rsid w:val="004C49FB"/>
    <w:rsid w:val="004D633A"/>
    <w:rsid w:val="004E00B7"/>
    <w:rsid w:val="004E0395"/>
    <w:rsid w:val="004E3796"/>
    <w:rsid w:val="004E6484"/>
    <w:rsid w:val="004F00FD"/>
    <w:rsid w:val="004F014F"/>
    <w:rsid w:val="004F29ED"/>
    <w:rsid w:val="004F3A04"/>
    <w:rsid w:val="004F585C"/>
    <w:rsid w:val="004F7D13"/>
    <w:rsid w:val="0050080A"/>
    <w:rsid w:val="00504C85"/>
    <w:rsid w:val="00504EB2"/>
    <w:rsid w:val="0050619A"/>
    <w:rsid w:val="00510EF7"/>
    <w:rsid w:val="0051190C"/>
    <w:rsid w:val="0052132E"/>
    <w:rsid w:val="005268C8"/>
    <w:rsid w:val="00527703"/>
    <w:rsid w:val="00532E1B"/>
    <w:rsid w:val="00534126"/>
    <w:rsid w:val="00541760"/>
    <w:rsid w:val="00541B91"/>
    <w:rsid w:val="005425E7"/>
    <w:rsid w:val="00542DD6"/>
    <w:rsid w:val="00547BAC"/>
    <w:rsid w:val="005503AE"/>
    <w:rsid w:val="005543F3"/>
    <w:rsid w:val="00560C05"/>
    <w:rsid w:val="00560D52"/>
    <w:rsid w:val="0056131B"/>
    <w:rsid w:val="005622BF"/>
    <w:rsid w:val="005701B6"/>
    <w:rsid w:val="0057125B"/>
    <w:rsid w:val="0057137B"/>
    <w:rsid w:val="0057160E"/>
    <w:rsid w:val="00573C10"/>
    <w:rsid w:val="00574340"/>
    <w:rsid w:val="0057736A"/>
    <w:rsid w:val="0058441E"/>
    <w:rsid w:val="00585940"/>
    <w:rsid w:val="00591B9B"/>
    <w:rsid w:val="00591E79"/>
    <w:rsid w:val="00593504"/>
    <w:rsid w:val="00595CEC"/>
    <w:rsid w:val="005A2861"/>
    <w:rsid w:val="005A7E20"/>
    <w:rsid w:val="005B0680"/>
    <w:rsid w:val="005B6C29"/>
    <w:rsid w:val="005C4110"/>
    <w:rsid w:val="005C4CFD"/>
    <w:rsid w:val="005D0771"/>
    <w:rsid w:val="005D2571"/>
    <w:rsid w:val="005D6377"/>
    <w:rsid w:val="005D7EBA"/>
    <w:rsid w:val="005E5B1C"/>
    <w:rsid w:val="005F6C16"/>
    <w:rsid w:val="00606F2C"/>
    <w:rsid w:val="0061026A"/>
    <w:rsid w:val="006148AD"/>
    <w:rsid w:val="00615B4D"/>
    <w:rsid w:val="00616B91"/>
    <w:rsid w:val="00617329"/>
    <w:rsid w:val="006232A9"/>
    <w:rsid w:val="006256E7"/>
    <w:rsid w:val="00626915"/>
    <w:rsid w:val="0063292A"/>
    <w:rsid w:val="006336F9"/>
    <w:rsid w:val="0063474D"/>
    <w:rsid w:val="00644C09"/>
    <w:rsid w:val="006464E4"/>
    <w:rsid w:val="00647138"/>
    <w:rsid w:val="006535B3"/>
    <w:rsid w:val="006545E0"/>
    <w:rsid w:val="00655142"/>
    <w:rsid w:val="0065535F"/>
    <w:rsid w:val="0065587E"/>
    <w:rsid w:val="0066509E"/>
    <w:rsid w:val="00665CBC"/>
    <w:rsid w:val="00674686"/>
    <w:rsid w:val="006749B4"/>
    <w:rsid w:val="0067618A"/>
    <w:rsid w:val="00677591"/>
    <w:rsid w:val="00682DBB"/>
    <w:rsid w:val="00686CF8"/>
    <w:rsid w:val="0069046B"/>
    <w:rsid w:val="006921D8"/>
    <w:rsid w:val="006950ED"/>
    <w:rsid w:val="00695BF3"/>
    <w:rsid w:val="00697202"/>
    <w:rsid w:val="00697508"/>
    <w:rsid w:val="006A0DAB"/>
    <w:rsid w:val="006A703E"/>
    <w:rsid w:val="006B0714"/>
    <w:rsid w:val="006B205B"/>
    <w:rsid w:val="006B3B3E"/>
    <w:rsid w:val="006B482F"/>
    <w:rsid w:val="006B6054"/>
    <w:rsid w:val="006C0D07"/>
    <w:rsid w:val="006C29D9"/>
    <w:rsid w:val="006C2A7F"/>
    <w:rsid w:val="006C7C05"/>
    <w:rsid w:val="006D3551"/>
    <w:rsid w:val="006E083C"/>
    <w:rsid w:val="006E105E"/>
    <w:rsid w:val="006E7E6C"/>
    <w:rsid w:val="006F0D8B"/>
    <w:rsid w:val="006F1C80"/>
    <w:rsid w:val="006F29E3"/>
    <w:rsid w:val="006F57F9"/>
    <w:rsid w:val="006F7F79"/>
    <w:rsid w:val="00701F62"/>
    <w:rsid w:val="007034A5"/>
    <w:rsid w:val="00705D90"/>
    <w:rsid w:val="0070788A"/>
    <w:rsid w:val="00710106"/>
    <w:rsid w:val="007105B2"/>
    <w:rsid w:val="0071562E"/>
    <w:rsid w:val="00721046"/>
    <w:rsid w:val="00726545"/>
    <w:rsid w:val="007277EF"/>
    <w:rsid w:val="0073097B"/>
    <w:rsid w:val="00730D74"/>
    <w:rsid w:val="00730E85"/>
    <w:rsid w:val="007333C5"/>
    <w:rsid w:val="007379E8"/>
    <w:rsid w:val="00742C13"/>
    <w:rsid w:val="00743797"/>
    <w:rsid w:val="00746662"/>
    <w:rsid w:val="007474D0"/>
    <w:rsid w:val="00747D4A"/>
    <w:rsid w:val="00751FB8"/>
    <w:rsid w:val="00753053"/>
    <w:rsid w:val="007539C4"/>
    <w:rsid w:val="0076076C"/>
    <w:rsid w:val="0076103A"/>
    <w:rsid w:val="00761BC3"/>
    <w:rsid w:val="00762E07"/>
    <w:rsid w:val="00770A6C"/>
    <w:rsid w:val="0077346C"/>
    <w:rsid w:val="00775C54"/>
    <w:rsid w:val="00776C84"/>
    <w:rsid w:val="00785EE1"/>
    <w:rsid w:val="00794147"/>
    <w:rsid w:val="0079511D"/>
    <w:rsid w:val="00797287"/>
    <w:rsid w:val="007A0E85"/>
    <w:rsid w:val="007A5500"/>
    <w:rsid w:val="007A5FF0"/>
    <w:rsid w:val="007A6C08"/>
    <w:rsid w:val="007B0343"/>
    <w:rsid w:val="007B12BE"/>
    <w:rsid w:val="007C0C9F"/>
    <w:rsid w:val="007C1B5E"/>
    <w:rsid w:val="007D6606"/>
    <w:rsid w:val="007E4885"/>
    <w:rsid w:val="007E78CD"/>
    <w:rsid w:val="007F0277"/>
    <w:rsid w:val="007F2F49"/>
    <w:rsid w:val="00801CFC"/>
    <w:rsid w:val="008029AD"/>
    <w:rsid w:val="00803B11"/>
    <w:rsid w:val="008058BD"/>
    <w:rsid w:val="0081402A"/>
    <w:rsid w:val="00814310"/>
    <w:rsid w:val="00816588"/>
    <w:rsid w:val="008201A2"/>
    <w:rsid w:val="0082094D"/>
    <w:rsid w:val="00823735"/>
    <w:rsid w:val="00831CA2"/>
    <w:rsid w:val="0083228E"/>
    <w:rsid w:val="00832572"/>
    <w:rsid w:val="008332D2"/>
    <w:rsid w:val="00834C55"/>
    <w:rsid w:val="00835978"/>
    <w:rsid w:val="00836366"/>
    <w:rsid w:val="00837BD4"/>
    <w:rsid w:val="00840016"/>
    <w:rsid w:val="00841C55"/>
    <w:rsid w:val="00843144"/>
    <w:rsid w:val="00843F03"/>
    <w:rsid w:val="0084523B"/>
    <w:rsid w:val="00847403"/>
    <w:rsid w:val="00852A3E"/>
    <w:rsid w:val="008649C9"/>
    <w:rsid w:val="00864D39"/>
    <w:rsid w:val="00864D86"/>
    <w:rsid w:val="008651C7"/>
    <w:rsid w:val="00872B9C"/>
    <w:rsid w:val="00873EB5"/>
    <w:rsid w:val="008757B1"/>
    <w:rsid w:val="00875877"/>
    <w:rsid w:val="00875ABB"/>
    <w:rsid w:val="00882CAB"/>
    <w:rsid w:val="0088351E"/>
    <w:rsid w:val="00883611"/>
    <w:rsid w:val="00890953"/>
    <w:rsid w:val="00896FC7"/>
    <w:rsid w:val="008A477D"/>
    <w:rsid w:val="008A77CB"/>
    <w:rsid w:val="008A7A14"/>
    <w:rsid w:val="008B30E4"/>
    <w:rsid w:val="008B5F7E"/>
    <w:rsid w:val="008B67E7"/>
    <w:rsid w:val="008B6F25"/>
    <w:rsid w:val="008C463A"/>
    <w:rsid w:val="008D28D2"/>
    <w:rsid w:val="008D2C53"/>
    <w:rsid w:val="008D50A0"/>
    <w:rsid w:val="008E15C9"/>
    <w:rsid w:val="008E2820"/>
    <w:rsid w:val="008E3639"/>
    <w:rsid w:val="008F15EB"/>
    <w:rsid w:val="008F223D"/>
    <w:rsid w:val="008F5642"/>
    <w:rsid w:val="008F7F61"/>
    <w:rsid w:val="00901691"/>
    <w:rsid w:val="009109E2"/>
    <w:rsid w:val="0091494B"/>
    <w:rsid w:val="00914D36"/>
    <w:rsid w:val="00922F57"/>
    <w:rsid w:val="00925251"/>
    <w:rsid w:val="009255DD"/>
    <w:rsid w:val="00926DCA"/>
    <w:rsid w:val="0093007B"/>
    <w:rsid w:val="00934853"/>
    <w:rsid w:val="009402BB"/>
    <w:rsid w:val="0094346B"/>
    <w:rsid w:val="009458BB"/>
    <w:rsid w:val="00950F0C"/>
    <w:rsid w:val="00951FD7"/>
    <w:rsid w:val="009544A1"/>
    <w:rsid w:val="00955ED5"/>
    <w:rsid w:val="00960274"/>
    <w:rsid w:val="00967A31"/>
    <w:rsid w:val="00971512"/>
    <w:rsid w:val="00971ACE"/>
    <w:rsid w:val="009723F2"/>
    <w:rsid w:val="009731C7"/>
    <w:rsid w:val="00980B34"/>
    <w:rsid w:val="00982E7A"/>
    <w:rsid w:val="0098537E"/>
    <w:rsid w:val="00985903"/>
    <w:rsid w:val="009872FD"/>
    <w:rsid w:val="009911A7"/>
    <w:rsid w:val="0099670A"/>
    <w:rsid w:val="00996A06"/>
    <w:rsid w:val="009A096D"/>
    <w:rsid w:val="009A41C2"/>
    <w:rsid w:val="009B195F"/>
    <w:rsid w:val="009B31AB"/>
    <w:rsid w:val="009B77AB"/>
    <w:rsid w:val="009C0A3F"/>
    <w:rsid w:val="009C0B6F"/>
    <w:rsid w:val="009C2C6A"/>
    <w:rsid w:val="009C2EC4"/>
    <w:rsid w:val="009C3FEC"/>
    <w:rsid w:val="009C59E0"/>
    <w:rsid w:val="009E0A95"/>
    <w:rsid w:val="009E26A4"/>
    <w:rsid w:val="009E358C"/>
    <w:rsid w:val="009E7935"/>
    <w:rsid w:val="009F313F"/>
    <w:rsid w:val="009F4A0D"/>
    <w:rsid w:val="00A005FB"/>
    <w:rsid w:val="00A0222D"/>
    <w:rsid w:val="00A05B27"/>
    <w:rsid w:val="00A06C45"/>
    <w:rsid w:val="00A167BE"/>
    <w:rsid w:val="00A17FBE"/>
    <w:rsid w:val="00A24B16"/>
    <w:rsid w:val="00A25FE2"/>
    <w:rsid w:val="00A37771"/>
    <w:rsid w:val="00A41D3B"/>
    <w:rsid w:val="00A4474E"/>
    <w:rsid w:val="00A45088"/>
    <w:rsid w:val="00A47628"/>
    <w:rsid w:val="00A54B02"/>
    <w:rsid w:val="00A56A3F"/>
    <w:rsid w:val="00A6166A"/>
    <w:rsid w:val="00A67AFB"/>
    <w:rsid w:val="00A71305"/>
    <w:rsid w:val="00A72B4A"/>
    <w:rsid w:val="00A753D0"/>
    <w:rsid w:val="00A76B3B"/>
    <w:rsid w:val="00A76EA6"/>
    <w:rsid w:val="00A85A0C"/>
    <w:rsid w:val="00A86B55"/>
    <w:rsid w:val="00AA30CF"/>
    <w:rsid w:val="00AA45F1"/>
    <w:rsid w:val="00AA5312"/>
    <w:rsid w:val="00AA79AC"/>
    <w:rsid w:val="00AA7EDE"/>
    <w:rsid w:val="00AB15FA"/>
    <w:rsid w:val="00AB5B28"/>
    <w:rsid w:val="00AC150B"/>
    <w:rsid w:val="00AC7735"/>
    <w:rsid w:val="00AD56B7"/>
    <w:rsid w:val="00AD7B46"/>
    <w:rsid w:val="00AE1453"/>
    <w:rsid w:val="00AE43DD"/>
    <w:rsid w:val="00AF1D88"/>
    <w:rsid w:val="00AF7674"/>
    <w:rsid w:val="00B0027E"/>
    <w:rsid w:val="00B00B0C"/>
    <w:rsid w:val="00B0108E"/>
    <w:rsid w:val="00B01D53"/>
    <w:rsid w:val="00B03195"/>
    <w:rsid w:val="00B0392E"/>
    <w:rsid w:val="00B046A9"/>
    <w:rsid w:val="00B05A34"/>
    <w:rsid w:val="00B158D0"/>
    <w:rsid w:val="00B20DBC"/>
    <w:rsid w:val="00B27907"/>
    <w:rsid w:val="00B27B7F"/>
    <w:rsid w:val="00B32459"/>
    <w:rsid w:val="00B349C8"/>
    <w:rsid w:val="00B36A0A"/>
    <w:rsid w:val="00B40332"/>
    <w:rsid w:val="00B42344"/>
    <w:rsid w:val="00B42472"/>
    <w:rsid w:val="00B43D4E"/>
    <w:rsid w:val="00B52971"/>
    <w:rsid w:val="00B55B78"/>
    <w:rsid w:val="00B575C4"/>
    <w:rsid w:val="00B6207B"/>
    <w:rsid w:val="00B817A9"/>
    <w:rsid w:val="00B826C6"/>
    <w:rsid w:val="00B86AA3"/>
    <w:rsid w:val="00B902EC"/>
    <w:rsid w:val="00B910E4"/>
    <w:rsid w:val="00B94626"/>
    <w:rsid w:val="00B97D20"/>
    <w:rsid w:val="00BA0850"/>
    <w:rsid w:val="00BA0EFD"/>
    <w:rsid w:val="00BA4BE0"/>
    <w:rsid w:val="00BA76A4"/>
    <w:rsid w:val="00BB5085"/>
    <w:rsid w:val="00BB6651"/>
    <w:rsid w:val="00BB7881"/>
    <w:rsid w:val="00BC07C9"/>
    <w:rsid w:val="00BC2B05"/>
    <w:rsid w:val="00BC3C7A"/>
    <w:rsid w:val="00BC55C6"/>
    <w:rsid w:val="00BC6DB7"/>
    <w:rsid w:val="00BD5C88"/>
    <w:rsid w:val="00BD6842"/>
    <w:rsid w:val="00BE1D81"/>
    <w:rsid w:val="00BE316D"/>
    <w:rsid w:val="00BE3333"/>
    <w:rsid w:val="00BE3B9C"/>
    <w:rsid w:val="00BE77E0"/>
    <w:rsid w:val="00BF0C71"/>
    <w:rsid w:val="00BF1D88"/>
    <w:rsid w:val="00BF21C9"/>
    <w:rsid w:val="00BF3164"/>
    <w:rsid w:val="00BF359B"/>
    <w:rsid w:val="00BF4A5B"/>
    <w:rsid w:val="00BF68FD"/>
    <w:rsid w:val="00BF7A1F"/>
    <w:rsid w:val="00C01F4A"/>
    <w:rsid w:val="00C02290"/>
    <w:rsid w:val="00C0360D"/>
    <w:rsid w:val="00C03E55"/>
    <w:rsid w:val="00C045F8"/>
    <w:rsid w:val="00C10A5E"/>
    <w:rsid w:val="00C11737"/>
    <w:rsid w:val="00C1210A"/>
    <w:rsid w:val="00C12AC2"/>
    <w:rsid w:val="00C130F1"/>
    <w:rsid w:val="00C15A4B"/>
    <w:rsid w:val="00C15C52"/>
    <w:rsid w:val="00C20D7F"/>
    <w:rsid w:val="00C2376B"/>
    <w:rsid w:val="00C25AAE"/>
    <w:rsid w:val="00C30950"/>
    <w:rsid w:val="00C33E09"/>
    <w:rsid w:val="00C37874"/>
    <w:rsid w:val="00C4060C"/>
    <w:rsid w:val="00C437F7"/>
    <w:rsid w:val="00C4471C"/>
    <w:rsid w:val="00C52DF7"/>
    <w:rsid w:val="00C53032"/>
    <w:rsid w:val="00C53342"/>
    <w:rsid w:val="00C56906"/>
    <w:rsid w:val="00C56B0B"/>
    <w:rsid w:val="00C61F4D"/>
    <w:rsid w:val="00C62EE8"/>
    <w:rsid w:val="00C656E2"/>
    <w:rsid w:val="00C70360"/>
    <w:rsid w:val="00C70A84"/>
    <w:rsid w:val="00C70ADC"/>
    <w:rsid w:val="00C70B10"/>
    <w:rsid w:val="00C73AC3"/>
    <w:rsid w:val="00C7461B"/>
    <w:rsid w:val="00C74AF2"/>
    <w:rsid w:val="00C7599B"/>
    <w:rsid w:val="00C76218"/>
    <w:rsid w:val="00C77A18"/>
    <w:rsid w:val="00C818B0"/>
    <w:rsid w:val="00C86675"/>
    <w:rsid w:val="00C87C77"/>
    <w:rsid w:val="00C906EF"/>
    <w:rsid w:val="00C94FC6"/>
    <w:rsid w:val="00C95BCC"/>
    <w:rsid w:val="00C97025"/>
    <w:rsid w:val="00C97DAA"/>
    <w:rsid w:val="00CA3BA3"/>
    <w:rsid w:val="00CA454F"/>
    <w:rsid w:val="00CA7D56"/>
    <w:rsid w:val="00CB3D77"/>
    <w:rsid w:val="00CB5CD6"/>
    <w:rsid w:val="00CB7FBC"/>
    <w:rsid w:val="00CC0EB5"/>
    <w:rsid w:val="00CC2933"/>
    <w:rsid w:val="00CC3421"/>
    <w:rsid w:val="00CD2609"/>
    <w:rsid w:val="00CD2D3B"/>
    <w:rsid w:val="00CE1530"/>
    <w:rsid w:val="00CE65EE"/>
    <w:rsid w:val="00CE6770"/>
    <w:rsid w:val="00CF1946"/>
    <w:rsid w:val="00CF5E75"/>
    <w:rsid w:val="00D114BA"/>
    <w:rsid w:val="00D2270E"/>
    <w:rsid w:val="00D22BA5"/>
    <w:rsid w:val="00D23FE8"/>
    <w:rsid w:val="00D25308"/>
    <w:rsid w:val="00D32584"/>
    <w:rsid w:val="00D35360"/>
    <w:rsid w:val="00D359C3"/>
    <w:rsid w:val="00D3712F"/>
    <w:rsid w:val="00D43239"/>
    <w:rsid w:val="00D440D2"/>
    <w:rsid w:val="00D51BEA"/>
    <w:rsid w:val="00D537CD"/>
    <w:rsid w:val="00D547C7"/>
    <w:rsid w:val="00D569BE"/>
    <w:rsid w:val="00D57ED2"/>
    <w:rsid w:val="00D619B5"/>
    <w:rsid w:val="00D66065"/>
    <w:rsid w:val="00D71559"/>
    <w:rsid w:val="00D7383F"/>
    <w:rsid w:val="00D801A5"/>
    <w:rsid w:val="00D80BB7"/>
    <w:rsid w:val="00D80BD2"/>
    <w:rsid w:val="00D87FC6"/>
    <w:rsid w:val="00D90267"/>
    <w:rsid w:val="00D90649"/>
    <w:rsid w:val="00D90F49"/>
    <w:rsid w:val="00D9195E"/>
    <w:rsid w:val="00D944ED"/>
    <w:rsid w:val="00D96238"/>
    <w:rsid w:val="00DA1340"/>
    <w:rsid w:val="00DA2E85"/>
    <w:rsid w:val="00DA44EB"/>
    <w:rsid w:val="00DB13C0"/>
    <w:rsid w:val="00DB1CB6"/>
    <w:rsid w:val="00DB6529"/>
    <w:rsid w:val="00DC18AD"/>
    <w:rsid w:val="00DC2092"/>
    <w:rsid w:val="00DC3C84"/>
    <w:rsid w:val="00DC66DC"/>
    <w:rsid w:val="00DD17A5"/>
    <w:rsid w:val="00DF2BFF"/>
    <w:rsid w:val="00DF2DFF"/>
    <w:rsid w:val="00DF4042"/>
    <w:rsid w:val="00DF4659"/>
    <w:rsid w:val="00DF74AB"/>
    <w:rsid w:val="00E017E1"/>
    <w:rsid w:val="00E05638"/>
    <w:rsid w:val="00E064FF"/>
    <w:rsid w:val="00E07A08"/>
    <w:rsid w:val="00E2353F"/>
    <w:rsid w:val="00E259BA"/>
    <w:rsid w:val="00E30319"/>
    <w:rsid w:val="00E32538"/>
    <w:rsid w:val="00E47AD7"/>
    <w:rsid w:val="00E53B93"/>
    <w:rsid w:val="00E64F57"/>
    <w:rsid w:val="00E65F30"/>
    <w:rsid w:val="00E71877"/>
    <w:rsid w:val="00E83736"/>
    <w:rsid w:val="00E858D5"/>
    <w:rsid w:val="00E90230"/>
    <w:rsid w:val="00E93842"/>
    <w:rsid w:val="00E96EC1"/>
    <w:rsid w:val="00EB0786"/>
    <w:rsid w:val="00EB40A0"/>
    <w:rsid w:val="00EB7799"/>
    <w:rsid w:val="00EC1AA9"/>
    <w:rsid w:val="00EC58B0"/>
    <w:rsid w:val="00EC59C0"/>
    <w:rsid w:val="00EC6638"/>
    <w:rsid w:val="00ED15F3"/>
    <w:rsid w:val="00ED4E08"/>
    <w:rsid w:val="00ED6961"/>
    <w:rsid w:val="00ED6AF1"/>
    <w:rsid w:val="00ED7B2E"/>
    <w:rsid w:val="00EE0AF0"/>
    <w:rsid w:val="00EE1A12"/>
    <w:rsid w:val="00EE22EE"/>
    <w:rsid w:val="00EE4CFE"/>
    <w:rsid w:val="00EE557E"/>
    <w:rsid w:val="00EE5A45"/>
    <w:rsid w:val="00EE5BD8"/>
    <w:rsid w:val="00EF3524"/>
    <w:rsid w:val="00EF7B5F"/>
    <w:rsid w:val="00F025D9"/>
    <w:rsid w:val="00F031BD"/>
    <w:rsid w:val="00F144E3"/>
    <w:rsid w:val="00F157E2"/>
    <w:rsid w:val="00F22BEA"/>
    <w:rsid w:val="00F25846"/>
    <w:rsid w:val="00F267A1"/>
    <w:rsid w:val="00F30050"/>
    <w:rsid w:val="00F32437"/>
    <w:rsid w:val="00F33B4D"/>
    <w:rsid w:val="00F34EB2"/>
    <w:rsid w:val="00F42D74"/>
    <w:rsid w:val="00F43201"/>
    <w:rsid w:val="00F45B84"/>
    <w:rsid w:val="00F50C9C"/>
    <w:rsid w:val="00F52A72"/>
    <w:rsid w:val="00F543D2"/>
    <w:rsid w:val="00F60579"/>
    <w:rsid w:val="00F644E9"/>
    <w:rsid w:val="00F70894"/>
    <w:rsid w:val="00F73EAC"/>
    <w:rsid w:val="00F74809"/>
    <w:rsid w:val="00F768E9"/>
    <w:rsid w:val="00F773D1"/>
    <w:rsid w:val="00F80403"/>
    <w:rsid w:val="00F84DBF"/>
    <w:rsid w:val="00F85570"/>
    <w:rsid w:val="00F87528"/>
    <w:rsid w:val="00F92617"/>
    <w:rsid w:val="00F93283"/>
    <w:rsid w:val="00FA13EF"/>
    <w:rsid w:val="00FA1893"/>
    <w:rsid w:val="00FB0AC6"/>
    <w:rsid w:val="00FB199D"/>
    <w:rsid w:val="00FB25F2"/>
    <w:rsid w:val="00FB27DB"/>
    <w:rsid w:val="00FB3BCD"/>
    <w:rsid w:val="00FB68A9"/>
    <w:rsid w:val="00FD0366"/>
    <w:rsid w:val="00FD2C1D"/>
    <w:rsid w:val="00FE0EB1"/>
    <w:rsid w:val="00FE658D"/>
    <w:rsid w:val="00FE68C3"/>
    <w:rsid w:val="00FF4578"/>
    <w:rsid w:val="00FF5EBF"/>
    <w:rsid w:val="00FF704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23D8F"/>
  <w15:chartTrackingRefBased/>
  <w15:docId w15:val="{3722AF1E-9E19-439C-BDA6-8D1A008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8EB"/>
    <w:rPr>
      <w:rFonts w:eastAsiaTheme="majorEastAsia" w:cstheme="majorBidi"/>
      <w:color w:val="272727" w:themeColor="text1" w:themeTint="D8"/>
    </w:rPr>
  </w:style>
  <w:style w:type="paragraph" w:styleId="Title">
    <w:name w:val="Title"/>
    <w:basedOn w:val="Normal"/>
    <w:next w:val="Normal"/>
    <w:link w:val="TitleChar"/>
    <w:uiPriority w:val="10"/>
    <w:qFormat/>
    <w:rsid w:val="0022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8EB"/>
    <w:pPr>
      <w:spacing w:before="160"/>
      <w:jc w:val="center"/>
    </w:pPr>
    <w:rPr>
      <w:i/>
      <w:iCs/>
      <w:color w:val="404040" w:themeColor="text1" w:themeTint="BF"/>
    </w:rPr>
  </w:style>
  <w:style w:type="character" w:customStyle="1" w:styleId="QuoteChar">
    <w:name w:val="Quote Char"/>
    <w:basedOn w:val="DefaultParagraphFont"/>
    <w:link w:val="Quote"/>
    <w:uiPriority w:val="29"/>
    <w:rsid w:val="002268EB"/>
    <w:rPr>
      <w:i/>
      <w:iCs/>
      <w:color w:val="404040" w:themeColor="text1" w:themeTint="BF"/>
    </w:rPr>
  </w:style>
  <w:style w:type="paragraph" w:styleId="ListParagraph">
    <w:name w:val="List Paragraph"/>
    <w:basedOn w:val="Normal"/>
    <w:uiPriority w:val="34"/>
    <w:qFormat/>
    <w:rsid w:val="002268EB"/>
    <w:pPr>
      <w:ind w:left="720"/>
      <w:contextualSpacing/>
    </w:pPr>
  </w:style>
  <w:style w:type="character" w:styleId="IntenseEmphasis">
    <w:name w:val="Intense Emphasis"/>
    <w:basedOn w:val="DefaultParagraphFont"/>
    <w:uiPriority w:val="21"/>
    <w:qFormat/>
    <w:rsid w:val="002268EB"/>
    <w:rPr>
      <w:i/>
      <w:iCs/>
      <w:color w:val="0F4761" w:themeColor="accent1" w:themeShade="BF"/>
    </w:rPr>
  </w:style>
  <w:style w:type="paragraph" w:styleId="IntenseQuote">
    <w:name w:val="Intense Quote"/>
    <w:basedOn w:val="Normal"/>
    <w:next w:val="Normal"/>
    <w:link w:val="IntenseQuoteChar"/>
    <w:uiPriority w:val="30"/>
    <w:qFormat/>
    <w:rsid w:val="00226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8EB"/>
    <w:rPr>
      <w:i/>
      <w:iCs/>
      <w:color w:val="0F4761" w:themeColor="accent1" w:themeShade="BF"/>
    </w:rPr>
  </w:style>
  <w:style w:type="character" w:styleId="IntenseReference">
    <w:name w:val="Intense Reference"/>
    <w:basedOn w:val="DefaultParagraphFont"/>
    <w:uiPriority w:val="32"/>
    <w:qFormat/>
    <w:rsid w:val="002268EB"/>
    <w:rPr>
      <w:b/>
      <w:bCs/>
      <w:smallCaps/>
      <w:color w:val="0F4761" w:themeColor="accent1" w:themeShade="BF"/>
      <w:spacing w:val="5"/>
    </w:rPr>
  </w:style>
  <w:style w:type="paragraph" w:customStyle="1" w:styleId="ds-markdown-paragraph">
    <w:name w:val="ds-markdown-paragraph"/>
    <w:basedOn w:val="Normal"/>
    <w:rsid w:val="00A85A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5A0C"/>
    <w:rPr>
      <w:b/>
      <w:bCs/>
    </w:rPr>
  </w:style>
  <w:style w:type="character" w:styleId="Emphasis">
    <w:name w:val="Emphasis"/>
    <w:basedOn w:val="DefaultParagraphFont"/>
    <w:uiPriority w:val="20"/>
    <w:qFormat/>
    <w:rsid w:val="00A85A0C"/>
    <w:rPr>
      <w:i/>
      <w:iCs/>
    </w:rPr>
  </w:style>
  <w:style w:type="table" w:styleId="TableGrid">
    <w:name w:val="Table Grid"/>
    <w:basedOn w:val="TableNormal"/>
    <w:uiPriority w:val="59"/>
    <w:rsid w:val="00803B11"/>
    <w:pPr>
      <w:spacing w:after="0" w:line="260" w:lineRule="atLeast"/>
      <w:jc w:val="both"/>
    </w:pPr>
    <w:rPr>
      <w:rFonts w:ascii="Palatino Linotype" w:eastAsia="SimSun" w:hAnsi="Palatino Linotype" w:cs="Times New Roman"/>
      <w:color w:val="000000"/>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A4B"/>
    <w:rPr>
      <w:color w:val="467886" w:themeColor="hyperlink"/>
      <w:u w:val="single"/>
    </w:rPr>
  </w:style>
  <w:style w:type="character" w:styleId="UnresolvedMention">
    <w:name w:val="Unresolved Mention"/>
    <w:basedOn w:val="DefaultParagraphFont"/>
    <w:uiPriority w:val="99"/>
    <w:semiHidden/>
    <w:unhideWhenUsed/>
    <w:rsid w:val="00C15A4B"/>
    <w:rPr>
      <w:color w:val="605E5C"/>
      <w:shd w:val="clear" w:color="auto" w:fill="E1DFDD"/>
    </w:rPr>
  </w:style>
  <w:style w:type="paragraph" w:styleId="Header">
    <w:name w:val="header"/>
    <w:basedOn w:val="Normal"/>
    <w:link w:val="HeaderChar"/>
    <w:uiPriority w:val="99"/>
    <w:unhideWhenUsed/>
    <w:rsid w:val="00A25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FE2"/>
  </w:style>
  <w:style w:type="paragraph" w:styleId="Footer">
    <w:name w:val="footer"/>
    <w:basedOn w:val="Normal"/>
    <w:link w:val="FooterChar"/>
    <w:uiPriority w:val="99"/>
    <w:unhideWhenUsed/>
    <w:rsid w:val="00A25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45759">
      <w:bodyDiv w:val="1"/>
      <w:marLeft w:val="0"/>
      <w:marRight w:val="0"/>
      <w:marTop w:val="0"/>
      <w:marBottom w:val="0"/>
      <w:divBdr>
        <w:top w:val="none" w:sz="0" w:space="0" w:color="auto"/>
        <w:left w:val="none" w:sz="0" w:space="0" w:color="auto"/>
        <w:bottom w:val="none" w:sz="0" w:space="0" w:color="auto"/>
        <w:right w:val="none" w:sz="0" w:space="0" w:color="auto"/>
      </w:divBdr>
    </w:div>
    <w:div w:id="423964206">
      <w:bodyDiv w:val="1"/>
      <w:marLeft w:val="0"/>
      <w:marRight w:val="0"/>
      <w:marTop w:val="0"/>
      <w:marBottom w:val="0"/>
      <w:divBdr>
        <w:top w:val="none" w:sz="0" w:space="0" w:color="auto"/>
        <w:left w:val="none" w:sz="0" w:space="0" w:color="auto"/>
        <w:bottom w:val="none" w:sz="0" w:space="0" w:color="auto"/>
        <w:right w:val="none" w:sz="0" w:space="0" w:color="auto"/>
      </w:divBdr>
    </w:div>
    <w:div w:id="457574297">
      <w:bodyDiv w:val="1"/>
      <w:marLeft w:val="0"/>
      <w:marRight w:val="0"/>
      <w:marTop w:val="0"/>
      <w:marBottom w:val="0"/>
      <w:divBdr>
        <w:top w:val="none" w:sz="0" w:space="0" w:color="auto"/>
        <w:left w:val="none" w:sz="0" w:space="0" w:color="auto"/>
        <w:bottom w:val="none" w:sz="0" w:space="0" w:color="auto"/>
        <w:right w:val="none" w:sz="0" w:space="0" w:color="auto"/>
      </w:divBdr>
    </w:div>
    <w:div w:id="504370166">
      <w:bodyDiv w:val="1"/>
      <w:marLeft w:val="0"/>
      <w:marRight w:val="0"/>
      <w:marTop w:val="0"/>
      <w:marBottom w:val="0"/>
      <w:divBdr>
        <w:top w:val="none" w:sz="0" w:space="0" w:color="auto"/>
        <w:left w:val="none" w:sz="0" w:space="0" w:color="auto"/>
        <w:bottom w:val="none" w:sz="0" w:space="0" w:color="auto"/>
        <w:right w:val="none" w:sz="0" w:space="0" w:color="auto"/>
      </w:divBdr>
    </w:div>
    <w:div w:id="525604101">
      <w:bodyDiv w:val="1"/>
      <w:marLeft w:val="0"/>
      <w:marRight w:val="0"/>
      <w:marTop w:val="0"/>
      <w:marBottom w:val="0"/>
      <w:divBdr>
        <w:top w:val="none" w:sz="0" w:space="0" w:color="auto"/>
        <w:left w:val="none" w:sz="0" w:space="0" w:color="auto"/>
        <w:bottom w:val="none" w:sz="0" w:space="0" w:color="auto"/>
        <w:right w:val="none" w:sz="0" w:space="0" w:color="auto"/>
      </w:divBdr>
    </w:div>
    <w:div w:id="759445964">
      <w:bodyDiv w:val="1"/>
      <w:marLeft w:val="0"/>
      <w:marRight w:val="0"/>
      <w:marTop w:val="0"/>
      <w:marBottom w:val="0"/>
      <w:divBdr>
        <w:top w:val="none" w:sz="0" w:space="0" w:color="auto"/>
        <w:left w:val="none" w:sz="0" w:space="0" w:color="auto"/>
        <w:bottom w:val="none" w:sz="0" w:space="0" w:color="auto"/>
        <w:right w:val="none" w:sz="0" w:space="0" w:color="auto"/>
      </w:divBdr>
    </w:div>
    <w:div w:id="866721397">
      <w:bodyDiv w:val="1"/>
      <w:marLeft w:val="0"/>
      <w:marRight w:val="0"/>
      <w:marTop w:val="0"/>
      <w:marBottom w:val="0"/>
      <w:divBdr>
        <w:top w:val="none" w:sz="0" w:space="0" w:color="auto"/>
        <w:left w:val="none" w:sz="0" w:space="0" w:color="auto"/>
        <w:bottom w:val="none" w:sz="0" w:space="0" w:color="auto"/>
        <w:right w:val="none" w:sz="0" w:space="0" w:color="auto"/>
      </w:divBdr>
    </w:div>
    <w:div w:id="884636258">
      <w:bodyDiv w:val="1"/>
      <w:marLeft w:val="0"/>
      <w:marRight w:val="0"/>
      <w:marTop w:val="0"/>
      <w:marBottom w:val="0"/>
      <w:divBdr>
        <w:top w:val="none" w:sz="0" w:space="0" w:color="auto"/>
        <w:left w:val="none" w:sz="0" w:space="0" w:color="auto"/>
        <w:bottom w:val="none" w:sz="0" w:space="0" w:color="auto"/>
        <w:right w:val="none" w:sz="0" w:space="0" w:color="auto"/>
      </w:divBdr>
    </w:div>
    <w:div w:id="1022363507">
      <w:bodyDiv w:val="1"/>
      <w:marLeft w:val="0"/>
      <w:marRight w:val="0"/>
      <w:marTop w:val="0"/>
      <w:marBottom w:val="0"/>
      <w:divBdr>
        <w:top w:val="none" w:sz="0" w:space="0" w:color="auto"/>
        <w:left w:val="none" w:sz="0" w:space="0" w:color="auto"/>
        <w:bottom w:val="none" w:sz="0" w:space="0" w:color="auto"/>
        <w:right w:val="none" w:sz="0" w:space="0" w:color="auto"/>
      </w:divBdr>
    </w:div>
    <w:div w:id="1149203104">
      <w:bodyDiv w:val="1"/>
      <w:marLeft w:val="0"/>
      <w:marRight w:val="0"/>
      <w:marTop w:val="0"/>
      <w:marBottom w:val="0"/>
      <w:divBdr>
        <w:top w:val="none" w:sz="0" w:space="0" w:color="auto"/>
        <w:left w:val="none" w:sz="0" w:space="0" w:color="auto"/>
        <w:bottom w:val="none" w:sz="0" w:space="0" w:color="auto"/>
        <w:right w:val="none" w:sz="0" w:space="0" w:color="auto"/>
      </w:divBdr>
    </w:div>
    <w:div w:id="1212691910">
      <w:bodyDiv w:val="1"/>
      <w:marLeft w:val="0"/>
      <w:marRight w:val="0"/>
      <w:marTop w:val="0"/>
      <w:marBottom w:val="0"/>
      <w:divBdr>
        <w:top w:val="none" w:sz="0" w:space="0" w:color="auto"/>
        <w:left w:val="none" w:sz="0" w:space="0" w:color="auto"/>
        <w:bottom w:val="none" w:sz="0" w:space="0" w:color="auto"/>
        <w:right w:val="none" w:sz="0" w:space="0" w:color="auto"/>
      </w:divBdr>
    </w:div>
    <w:div w:id="1299070614">
      <w:bodyDiv w:val="1"/>
      <w:marLeft w:val="0"/>
      <w:marRight w:val="0"/>
      <w:marTop w:val="0"/>
      <w:marBottom w:val="0"/>
      <w:divBdr>
        <w:top w:val="none" w:sz="0" w:space="0" w:color="auto"/>
        <w:left w:val="none" w:sz="0" w:space="0" w:color="auto"/>
        <w:bottom w:val="none" w:sz="0" w:space="0" w:color="auto"/>
        <w:right w:val="none" w:sz="0" w:space="0" w:color="auto"/>
      </w:divBdr>
    </w:div>
    <w:div w:id="1404791358">
      <w:bodyDiv w:val="1"/>
      <w:marLeft w:val="0"/>
      <w:marRight w:val="0"/>
      <w:marTop w:val="0"/>
      <w:marBottom w:val="0"/>
      <w:divBdr>
        <w:top w:val="none" w:sz="0" w:space="0" w:color="auto"/>
        <w:left w:val="none" w:sz="0" w:space="0" w:color="auto"/>
        <w:bottom w:val="none" w:sz="0" w:space="0" w:color="auto"/>
        <w:right w:val="none" w:sz="0" w:space="0" w:color="auto"/>
      </w:divBdr>
    </w:div>
    <w:div w:id="1410496628">
      <w:bodyDiv w:val="1"/>
      <w:marLeft w:val="0"/>
      <w:marRight w:val="0"/>
      <w:marTop w:val="0"/>
      <w:marBottom w:val="0"/>
      <w:divBdr>
        <w:top w:val="none" w:sz="0" w:space="0" w:color="auto"/>
        <w:left w:val="none" w:sz="0" w:space="0" w:color="auto"/>
        <w:bottom w:val="none" w:sz="0" w:space="0" w:color="auto"/>
        <w:right w:val="none" w:sz="0" w:space="0" w:color="auto"/>
      </w:divBdr>
    </w:div>
    <w:div w:id="1613396052">
      <w:bodyDiv w:val="1"/>
      <w:marLeft w:val="0"/>
      <w:marRight w:val="0"/>
      <w:marTop w:val="0"/>
      <w:marBottom w:val="0"/>
      <w:divBdr>
        <w:top w:val="none" w:sz="0" w:space="0" w:color="auto"/>
        <w:left w:val="none" w:sz="0" w:space="0" w:color="auto"/>
        <w:bottom w:val="none" w:sz="0" w:space="0" w:color="auto"/>
        <w:right w:val="none" w:sz="0" w:space="0" w:color="auto"/>
      </w:divBdr>
    </w:div>
    <w:div w:id="1819344908">
      <w:bodyDiv w:val="1"/>
      <w:marLeft w:val="0"/>
      <w:marRight w:val="0"/>
      <w:marTop w:val="0"/>
      <w:marBottom w:val="0"/>
      <w:divBdr>
        <w:top w:val="none" w:sz="0" w:space="0" w:color="auto"/>
        <w:left w:val="none" w:sz="0" w:space="0" w:color="auto"/>
        <w:bottom w:val="none" w:sz="0" w:space="0" w:color="auto"/>
        <w:right w:val="none" w:sz="0" w:space="0" w:color="auto"/>
      </w:divBdr>
    </w:div>
    <w:div w:id="19721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3-020-02012-8" TargetMode="External"/><Relationship Id="rId18" Type="http://schemas.openxmlformats.org/officeDocument/2006/relationships/hyperlink" Target="https://mahwengkwai.com/spinal-injury-medical-negligence-causation-care-compensation/" TargetMode="External"/><Relationship Id="rId26" Type="http://schemas.openxmlformats.org/officeDocument/2006/relationships/hyperlink" Target="https://doi.org/10.1016/j.wneu.2023.04.120" TargetMode="External"/><Relationship Id="rId39" Type="http://schemas.openxmlformats.org/officeDocument/2006/relationships/header" Target="header2.xml"/><Relationship Id="rId21" Type="http://schemas.openxmlformats.org/officeDocument/2006/relationships/hyperlink" Target="https://codeblue.galencentre.org/2025/10/deny-delay-revoke-specialists-reveal-health-insurance-underbelly-in-malaysia/" TargetMode="External"/><Relationship Id="rId34" Type="http://schemas.openxmlformats.org/officeDocument/2006/relationships/hyperlink" Target="https://doi.org/10.1016/j.wneu.2017.05.058"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12/WNL.0b013e318247fa0e" TargetMode="External"/><Relationship Id="rId29" Type="http://schemas.openxmlformats.org/officeDocument/2006/relationships/hyperlink" Target="https://doi.org/10.7759/cureus.12422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393-024-01003-7" TargetMode="External"/><Relationship Id="rId24" Type="http://schemas.openxmlformats.org/officeDocument/2006/relationships/hyperlink" Target="https://doi.org/10.1097/BRS.0b013e3181ec5fd9" TargetMode="External"/><Relationship Id="rId32" Type="http://schemas.openxmlformats.org/officeDocument/2006/relationships/hyperlink" Target="https://doi.org/10.1053/j.semss.2007.10.005" TargetMode="External"/><Relationship Id="rId37" Type="http://schemas.openxmlformats.org/officeDocument/2006/relationships/hyperlink" Target="https://doi.org/10.1097/01.BRS.0000067268.32426.3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hwengkwai.com/spinal-injury-medical-negligence-causation-care-compensation/" TargetMode="External"/><Relationship Id="rId23" Type="http://schemas.openxmlformats.org/officeDocument/2006/relationships/hyperlink" Target="https://doi.org/10.3389/fsurg.2023.1213644" TargetMode="External"/><Relationship Id="rId28" Type="http://schemas.openxmlformats.org/officeDocument/2006/relationships/hyperlink" Target="https://doi.org/10.1016/j.spinee.2014.05.021" TargetMode="External"/><Relationship Id="rId36" Type="http://schemas.openxmlformats.org/officeDocument/2006/relationships/hyperlink" Target="https://doi.org/10.1097/00004691-200210000-00007" TargetMode="External"/><Relationship Id="rId10" Type="http://schemas.openxmlformats.org/officeDocument/2006/relationships/hyperlink" Target="https://doi.org/10.5334/jbsr.3801" TargetMode="External"/><Relationship Id="rId19" Type="http://schemas.openxmlformats.org/officeDocument/2006/relationships/hyperlink" Target="https://www.thedoctorshield.com/medico-legal-landscape-malaysia-medical-negligence-cases-2024/" TargetMode="External"/><Relationship Id="rId31" Type="http://schemas.openxmlformats.org/officeDocument/2006/relationships/hyperlink" Target="https://www.aans.org/wp-content/uploads/2024/05/AANS-CNS-DSPN_Letter_to_Cigna_Regarding_Cervical_IOM_Coverage_Policy_032923.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15/mjms2023.30.3.3" TargetMode="External"/><Relationship Id="rId14" Type="http://schemas.openxmlformats.org/officeDocument/2006/relationships/hyperlink" Target="https://doi.org/10.14245/ns.2449364.682" TargetMode="External"/><Relationship Id="rId22" Type="http://schemas.openxmlformats.org/officeDocument/2006/relationships/hyperlink" Target="https://doi.org/10.3171/2020.8.FOCUS20580" TargetMode="External"/><Relationship Id="rId27" Type="http://schemas.openxmlformats.org/officeDocument/2006/relationships/hyperlink" Target="https://doi.org/10.1016/j.jocn.2024.12.005" TargetMode="External"/><Relationship Id="rId30" Type="http://schemas.openxmlformats.org/officeDocument/2006/relationships/hyperlink" Target="https://www.sciencedirect.com/topics/immunology-and-microbiology/thoracic-spinal-cord" TargetMode="External"/><Relationship Id="rId35" Type="http://schemas.openxmlformats.org/officeDocument/2006/relationships/hyperlink" Target="https://doi.org/10.1016/j.spinee.2021.01.018"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0880/rmtb.2024.05.01.039" TargetMode="External"/><Relationship Id="rId17" Type="http://schemas.openxmlformats.org/officeDocument/2006/relationships/hyperlink" Target="https://doi.org/10.21037/gs-20-863" TargetMode="External"/><Relationship Id="rId25" Type="http://schemas.openxmlformats.org/officeDocument/2006/relationships/hyperlink" Target="https://doi.org/10.1007/s43390-020-00092-7" TargetMode="External"/><Relationship Id="rId33" Type="http://schemas.openxmlformats.org/officeDocument/2006/relationships/hyperlink" Target="https://doi.org/10.1177/21925682231202343" TargetMode="External"/><Relationship Id="rId38" Type="http://schemas.openxmlformats.org/officeDocument/2006/relationships/header" Target="header1.xml"/><Relationship Id="rId20" Type="http://schemas.openxmlformats.org/officeDocument/2006/relationships/hyperlink" Target="https://doi.org/10.31616/asj.2024.027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330A-BF82-45B8-9F58-FBA86247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8301</TotalTime>
  <Pages>17</Pages>
  <Words>5274</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 Kai Hean</dc:creator>
  <cp:keywords/>
  <dc:description/>
  <cp:lastModifiedBy>SDI 1084</cp:lastModifiedBy>
  <cp:revision>804</cp:revision>
  <dcterms:created xsi:type="dcterms:W3CDTF">2025-07-19T03:01:00Z</dcterms:created>
  <dcterms:modified xsi:type="dcterms:W3CDTF">2026-01-05T10:11:00Z</dcterms:modified>
</cp:coreProperties>
</file>