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FA21" w14:textId="77777777" w:rsidR="00006D87" w:rsidRDefault="00006D87" w:rsidP="00A748CB">
      <w:pPr>
        <w:pStyle w:val="NormalWeb"/>
        <w:jc w:val="both"/>
        <w:rPr>
          <w:b/>
          <w:bCs/>
        </w:rPr>
      </w:pPr>
      <w:r w:rsidRPr="00006D87">
        <w:rPr>
          <w:b/>
          <w:bCs/>
        </w:rPr>
        <w:t xml:space="preserve">Integrated Water Quality and Human Health Risk Assessment in </w:t>
      </w:r>
      <w:proofErr w:type="spellStart"/>
      <w:r w:rsidRPr="00006D87">
        <w:rPr>
          <w:b/>
          <w:bCs/>
        </w:rPr>
        <w:t>Diobu</w:t>
      </w:r>
      <w:proofErr w:type="spellEnd"/>
      <w:r w:rsidRPr="00006D87">
        <w:rPr>
          <w:b/>
          <w:bCs/>
        </w:rPr>
        <w:t>, Port Harcourt, Rivers State, Nigeria</w:t>
      </w:r>
    </w:p>
    <w:p w14:paraId="0169F01B" w14:textId="77777777" w:rsidR="007B3323" w:rsidRDefault="007B3323" w:rsidP="00A748CB">
      <w:pPr>
        <w:pStyle w:val="NormalWeb"/>
        <w:jc w:val="both"/>
        <w:rPr>
          <w:b/>
          <w:bCs/>
        </w:rPr>
      </w:pPr>
    </w:p>
    <w:p w14:paraId="394EA979" w14:textId="75B02435" w:rsidR="008A7665" w:rsidRPr="00A748CB" w:rsidRDefault="008A7665" w:rsidP="00A748CB">
      <w:pPr>
        <w:pStyle w:val="NormalWeb"/>
        <w:jc w:val="both"/>
      </w:pPr>
      <w:bookmarkStart w:id="0" w:name="_GoBack"/>
      <w:bookmarkEnd w:id="0"/>
      <w:r w:rsidRPr="00A748CB">
        <w:rPr>
          <w:rStyle w:val="Strong"/>
        </w:rPr>
        <w:t>Abstract</w:t>
      </w:r>
    </w:p>
    <w:p w14:paraId="19C85E07" w14:textId="77777777" w:rsidR="008A7665" w:rsidRPr="00A748CB" w:rsidRDefault="008A7665" w:rsidP="00A748CB">
      <w:pPr>
        <w:pStyle w:val="NormalWeb"/>
        <w:jc w:val="both"/>
      </w:pPr>
      <w:r w:rsidRPr="00A748CB">
        <w:t xml:space="preserve">Urban water resources in the Niger Delta are increasingly exposed to contamination arising from rapid urbanisation, poor waste management, and diffuse anthropogenic activities. This study assessed the integrated water quality status and toxicological risks of domestic water sources in </w:t>
      </w:r>
      <w:proofErr w:type="spellStart"/>
      <w:r w:rsidRPr="00A748CB">
        <w:t>Diobu</w:t>
      </w:r>
      <w:proofErr w:type="spellEnd"/>
      <w:r w:rsidRPr="00A748CB">
        <w:t>, Port Harcourt, Rivers State, Nigeria. Water samples were collected from selected sources during the dry and wet seasons and analysed for physicochemical parameters and heavy metals using standard analytical methods, including in situ measurements and Atomic Absorption Spectrophotometry. The pH of the water samples ranged from 5.6 to 6.8, indicating slightly acidic conditions. Electrical conductivity varied between 54 and 268 µS/cm, while total dissolved solids ranged from 33 to 176 mg/L, both remaining within World Health Organization guideline limits. Turbidity values were higher in surface waters, reaching up to 5.2 NTU. Iron concentrations ranged from 0.48 to 0.82 mg/L, exceeding the guideline value of 0.30 mg/L at several locations. Lead concentrations ranged from 0.010 to 0.021 mg/L, with localized exceedances of the recommended limit, while cadmium concentrations varied from 0.002 to 0.006 mg/L. Chromium, nickel, zinc, and copper were generally detected at lower concentrations below their respective guideline thresholds. Seasonal analysis showed significantly higher concentrations of iron, lead, cadmium, and nickel during the dry season compared to the wet season (p &lt; 0.05). Estimated daily intake values for all metals were below their respective reference doses, and hazard quotient values were less than 1 for both adults and children. However, children recorded a higher cumulative hazard index of 0.96 compared to 0.41 for adults, indicating greater vulnerability. Although the overall non-carcinogenic risk was acceptable, the results highlight the need for continuous monitoring and improved urban water management to prevent long-term health impacts.</w:t>
      </w:r>
    </w:p>
    <w:p w14:paraId="36CBE891" w14:textId="77777777" w:rsidR="008A7665" w:rsidRPr="00A748CB" w:rsidRDefault="008A7665" w:rsidP="00A748CB">
      <w:pPr>
        <w:pStyle w:val="NormalWeb"/>
        <w:jc w:val="both"/>
      </w:pPr>
      <w:r w:rsidRPr="00A748CB">
        <w:rPr>
          <w:rStyle w:val="Strong"/>
          <w:i/>
          <w:iCs/>
        </w:rPr>
        <w:t>Keywords:</w:t>
      </w:r>
      <w:r w:rsidRPr="00A748CB">
        <w:t xml:space="preserve"> Water quality, heavy metals, health risk assessment, Diobu, Rivers State, Niger Delta</w:t>
      </w:r>
    </w:p>
    <w:p w14:paraId="78EF74B4" w14:textId="3531BD55" w:rsidR="008A7665" w:rsidRPr="00A748CB" w:rsidRDefault="008A7665" w:rsidP="00A748CB">
      <w:pPr>
        <w:pStyle w:val="NormalWeb"/>
        <w:jc w:val="both"/>
      </w:pPr>
      <w:r w:rsidRPr="00A748CB">
        <w:rPr>
          <w:rStyle w:val="Strong"/>
        </w:rPr>
        <w:t>1.0 Introduction</w:t>
      </w:r>
    </w:p>
    <w:p w14:paraId="155D13A1" w14:textId="77777777" w:rsidR="008A7665" w:rsidRPr="00A748CB" w:rsidRDefault="008A7665" w:rsidP="00A748CB">
      <w:pPr>
        <w:pStyle w:val="NormalWeb"/>
        <w:jc w:val="both"/>
      </w:pPr>
      <w:r w:rsidRPr="00A748CB">
        <w:t xml:space="preserve">Water resources in the Niger Delta are critical for domestic supply, sanitation, livelihoods, and public health, particularly in densely populated urban communities such as </w:t>
      </w:r>
      <w:proofErr w:type="spellStart"/>
      <w:r w:rsidRPr="00A748CB">
        <w:t>Diobu</w:t>
      </w:r>
      <w:proofErr w:type="spellEnd"/>
      <w:r w:rsidRPr="00A748CB">
        <w:t xml:space="preserve"> in Rivers State (</w:t>
      </w:r>
      <w:proofErr w:type="spellStart"/>
      <w:r w:rsidRPr="00A748CB">
        <w:t>Ekesiobi</w:t>
      </w:r>
      <w:proofErr w:type="spellEnd"/>
      <w:r w:rsidRPr="00A748CB">
        <w:t xml:space="preserve"> et al., 2025). Rapid urbanisation, population growth, ageing infrastructure, and inadequate wastewater management have intensified pressure on both surface water and groundwater systems, leading to progressive deterioration in water quality across many Niger Delta cities (</w:t>
      </w:r>
      <w:proofErr w:type="spellStart"/>
      <w:r w:rsidRPr="00A748CB">
        <w:t>Okpoji</w:t>
      </w:r>
      <w:proofErr w:type="spellEnd"/>
      <w:r w:rsidRPr="00A748CB">
        <w:t xml:space="preserve"> et al., 2025). In </w:t>
      </w:r>
      <w:proofErr w:type="spellStart"/>
      <w:r w:rsidRPr="00A748CB">
        <w:t>Diobu</w:t>
      </w:r>
      <w:proofErr w:type="spellEnd"/>
      <w:r w:rsidRPr="00A748CB">
        <w:t>, residents depend largely on boreholes, hand-dug wells, and surface waters, often consumed with little or no treatment, thereby increasing exposure to chemical and microbial contaminants (Okagbare et al., 2025).</w:t>
      </w:r>
    </w:p>
    <w:p w14:paraId="2EC6D33E" w14:textId="77777777" w:rsidR="008A7665" w:rsidRPr="00A748CB" w:rsidRDefault="008A7665" w:rsidP="00A748CB">
      <w:pPr>
        <w:pStyle w:val="NormalWeb"/>
        <w:jc w:val="both"/>
      </w:pPr>
      <w:r w:rsidRPr="00A748CB">
        <w:t>Physicochemical properties such as pH, turbidity, electrical conductivity, and nutrient concentrations are fundamental indicators of water suitability for human use and play a key role in controlling contaminant mobility and persistence (</w:t>
      </w:r>
      <w:proofErr w:type="spellStart"/>
      <w:r w:rsidRPr="00A748CB">
        <w:t>Osuafor</w:t>
      </w:r>
      <w:proofErr w:type="spellEnd"/>
      <w:r w:rsidRPr="00A748CB">
        <w:t xml:space="preserve"> et al., 2025). Of particular concern in urban environments are heavy metals, which may be introduced through urban runoff, waste dumps, corroded distribution systems, vehicular emissions, and small-scale industrial activities (</w:t>
      </w:r>
      <w:proofErr w:type="spellStart"/>
      <w:r w:rsidRPr="00A748CB">
        <w:t>Aghanwa</w:t>
      </w:r>
      <w:proofErr w:type="spellEnd"/>
      <w:r w:rsidRPr="00A748CB">
        <w:t xml:space="preserve"> et al., 2025). These metals are non-biodegradable and can </w:t>
      </w:r>
      <w:r w:rsidRPr="00A748CB">
        <w:lastRenderedPageBreak/>
        <w:t>accumulate in water sources over time, posing chronic health risks even at relatively low concentrations (</w:t>
      </w:r>
      <w:proofErr w:type="spellStart"/>
      <w:r w:rsidRPr="00A748CB">
        <w:t>Anarado</w:t>
      </w:r>
      <w:proofErr w:type="spellEnd"/>
      <w:r w:rsidRPr="00A748CB">
        <w:t xml:space="preserve"> et al., 2023).</w:t>
      </w:r>
    </w:p>
    <w:p w14:paraId="2A4CB862" w14:textId="1D2EDD49" w:rsidR="008A7665" w:rsidRPr="00A748CB" w:rsidRDefault="008A7665" w:rsidP="00A748CB">
      <w:pPr>
        <w:pStyle w:val="NormalWeb"/>
        <w:jc w:val="both"/>
      </w:pPr>
      <w:r w:rsidRPr="00A748CB">
        <w:t>Integrated water quality assessment approaches that combine physicochemical evaluation with toxicological and human health risk assessment provide a more robust framework for understanding water safety than isolated parameter analysis (</w:t>
      </w:r>
      <w:proofErr w:type="spellStart"/>
      <w:r w:rsidRPr="00A748CB">
        <w:t>Ekesiobi</w:t>
      </w:r>
      <w:proofErr w:type="spellEnd"/>
      <w:r w:rsidRPr="00A748CB">
        <w:t xml:space="preserve"> et al., 2025). Studies across the Niger Delta have demonstrated that children are particularly vulnerable to water-borne contaminants due to lower body weight and higher intake relative to body mass (</w:t>
      </w:r>
      <w:proofErr w:type="spellStart"/>
      <w:r w:rsidRPr="00A748CB">
        <w:t>Okpoji</w:t>
      </w:r>
      <w:proofErr w:type="spellEnd"/>
      <w:r w:rsidRPr="00A748CB">
        <w:t xml:space="preserve"> et al., 2025). Consequently, integrated assessments are essential for identifying priority contaminants and guiding effective risk management. This study therefore presents an integrated water quality and toxicological risk assessment of selected water resources in </w:t>
      </w:r>
      <w:proofErr w:type="spellStart"/>
      <w:r w:rsidRPr="00A748CB">
        <w:t>Diobu</w:t>
      </w:r>
      <w:proofErr w:type="spellEnd"/>
      <w:r w:rsidRPr="00A748CB">
        <w:t xml:space="preserve">, Rivers State. </w:t>
      </w:r>
    </w:p>
    <w:p w14:paraId="376161B5" w14:textId="77777777" w:rsidR="00A748CB" w:rsidRPr="00A748CB" w:rsidRDefault="00A748CB" w:rsidP="00A748CB">
      <w:pPr>
        <w:pStyle w:val="Heading2"/>
        <w:jc w:val="both"/>
        <w:rPr>
          <w:sz w:val="24"/>
          <w:szCs w:val="24"/>
        </w:rPr>
      </w:pPr>
      <w:r w:rsidRPr="00A748CB">
        <w:rPr>
          <w:rStyle w:val="Strong"/>
          <w:b/>
          <w:bCs/>
          <w:sz w:val="24"/>
          <w:szCs w:val="24"/>
        </w:rPr>
        <w:t>2.0 Materials and Methods</w:t>
      </w:r>
    </w:p>
    <w:p w14:paraId="7C2E49DF" w14:textId="77777777" w:rsidR="00A748CB" w:rsidRPr="00A748CB" w:rsidRDefault="00A748CB" w:rsidP="00A748CB">
      <w:pPr>
        <w:pStyle w:val="Heading3"/>
        <w:jc w:val="both"/>
        <w:rPr>
          <w:rStyle w:val="Strong"/>
          <w:rFonts w:ascii="Times New Roman" w:hAnsi="Times New Roman" w:cs="Times New Roman"/>
          <w:color w:val="auto"/>
        </w:rPr>
      </w:pPr>
      <w:r w:rsidRPr="00A748CB">
        <w:rPr>
          <w:rStyle w:val="Strong"/>
          <w:rFonts w:ascii="Times New Roman" w:hAnsi="Times New Roman" w:cs="Times New Roman"/>
          <w:color w:val="auto"/>
        </w:rPr>
        <w:t xml:space="preserve">2.1 Study Area </w:t>
      </w:r>
    </w:p>
    <w:p w14:paraId="233EBE99" w14:textId="6E1D7713" w:rsidR="00A748CB" w:rsidRDefault="00A748CB" w:rsidP="00A748CB">
      <w:pPr>
        <w:pStyle w:val="Heading3"/>
        <w:jc w:val="both"/>
        <w:rPr>
          <w:rFonts w:ascii="Times New Roman" w:hAnsi="Times New Roman" w:cs="Times New Roman"/>
          <w:color w:val="auto"/>
        </w:rPr>
      </w:pPr>
      <w:r w:rsidRPr="00A748CB">
        <w:rPr>
          <w:rFonts w:ascii="Times New Roman" w:hAnsi="Times New Roman" w:cs="Times New Roman"/>
          <w:color w:val="auto"/>
        </w:rPr>
        <w:t xml:space="preserve">This study was conducted in </w:t>
      </w:r>
      <w:proofErr w:type="spellStart"/>
      <w:r w:rsidRPr="00A748CB">
        <w:rPr>
          <w:rFonts w:ascii="Times New Roman" w:hAnsi="Times New Roman" w:cs="Times New Roman"/>
          <w:color w:val="auto"/>
        </w:rPr>
        <w:t>Diobu</w:t>
      </w:r>
      <w:proofErr w:type="spellEnd"/>
      <w:r w:rsidRPr="00A748CB">
        <w:rPr>
          <w:rFonts w:ascii="Times New Roman" w:hAnsi="Times New Roman" w:cs="Times New Roman"/>
          <w:color w:val="auto"/>
        </w:rPr>
        <w:t xml:space="preserve">, a densely populated urban community within Port Harcourt Metropolis, Rivers State, Nigeria, located in the eastern Niger Delta. </w:t>
      </w:r>
      <w:proofErr w:type="spellStart"/>
      <w:r w:rsidRPr="00A748CB">
        <w:rPr>
          <w:rFonts w:ascii="Times New Roman" w:hAnsi="Times New Roman" w:cs="Times New Roman"/>
          <w:color w:val="auto"/>
        </w:rPr>
        <w:t>Diobu</w:t>
      </w:r>
      <w:proofErr w:type="spellEnd"/>
      <w:r w:rsidRPr="00A748CB">
        <w:rPr>
          <w:rFonts w:ascii="Times New Roman" w:hAnsi="Times New Roman" w:cs="Times New Roman"/>
          <w:color w:val="auto"/>
        </w:rPr>
        <w:t xml:space="preserve"> lies between latitudes 4.79–4.82° N and longitudes 6.97–7.01° E and is characterised by intense residential development, heavy vehicular traffic, informal commercial activities, and limited access to treated municipal water supply. Residents depend largely on surface water from urban creeks, borehole groundwater, and harvested rainwater for domestic use. The climate is humid tropical, with mean annual rainfall exceeding 2,400 mm, a wet season from April to October, and a dry season from November to March. Representative sampling points within </w:t>
      </w:r>
      <w:proofErr w:type="spellStart"/>
      <w:r w:rsidRPr="00A748CB">
        <w:rPr>
          <w:rFonts w:ascii="Times New Roman" w:hAnsi="Times New Roman" w:cs="Times New Roman"/>
          <w:color w:val="auto"/>
        </w:rPr>
        <w:t>Diobu</w:t>
      </w:r>
      <w:proofErr w:type="spellEnd"/>
      <w:r w:rsidRPr="00A748CB">
        <w:rPr>
          <w:rFonts w:ascii="Times New Roman" w:hAnsi="Times New Roman" w:cs="Times New Roman"/>
          <w:color w:val="auto"/>
        </w:rPr>
        <w:t xml:space="preserve"> were georeferenced to capture spatial variability.</w:t>
      </w:r>
    </w:p>
    <w:p w14:paraId="7B6E13BA" w14:textId="77777777" w:rsidR="000A2398" w:rsidRPr="000A2398" w:rsidRDefault="000A2398" w:rsidP="000A2398"/>
    <w:p w14:paraId="2DCDE8ED" w14:textId="2DC5961C" w:rsidR="000A2398" w:rsidRPr="000A2398" w:rsidRDefault="000A2398" w:rsidP="000A2398">
      <w:r w:rsidRPr="000A2398">
        <w:rPr>
          <w:noProof/>
        </w:rPr>
        <w:drawing>
          <wp:inline distT="0" distB="0" distL="0" distR="0" wp14:anchorId="59C9E5BF" wp14:editId="194B0577">
            <wp:extent cx="5731510" cy="2980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980690"/>
                    </a:xfrm>
                    <a:prstGeom prst="rect">
                      <a:avLst/>
                    </a:prstGeom>
                    <a:noFill/>
                    <a:ln>
                      <a:noFill/>
                    </a:ln>
                  </pic:spPr>
                </pic:pic>
              </a:graphicData>
            </a:graphic>
          </wp:inline>
        </w:drawing>
      </w:r>
    </w:p>
    <w:p w14:paraId="0BB5A801" w14:textId="77777777" w:rsidR="000A2398" w:rsidRPr="000A2398" w:rsidRDefault="000A2398" w:rsidP="00A748CB">
      <w:pPr>
        <w:pStyle w:val="Heading3"/>
        <w:jc w:val="both"/>
        <w:rPr>
          <w:b/>
          <w:bCs/>
          <w:color w:val="auto"/>
        </w:rPr>
      </w:pPr>
      <w:r w:rsidRPr="000A2398">
        <w:rPr>
          <w:b/>
          <w:bCs/>
          <w:color w:val="auto"/>
        </w:rPr>
        <w:lastRenderedPageBreak/>
        <w:t xml:space="preserve">Figure 1. Spatial distribution of river water, borehole water, and harvested rainwater sampling locations within </w:t>
      </w:r>
      <w:proofErr w:type="spellStart"/>
      <w:r w:rsidRPr="000A2398">
        <w:rPr>
          <w:b/>
          <w:bCs/>
          <w:color w:val="auto"/>
        </w:rPr>
        <w:t>Diobu</w:t>
      </w:r>
      <w:proofErr w:type="spellEnd"/>
      <w:r w:rsidRPr="000A2398">
        <w:rPr>
          <w:b/>
          <w:bCs/>
          <w:color w:val="auto"/>
        </w:rPr>
        <w:t>, Port Harcourt, Rivers State, Nigeria.</w:t>
      </w:r>
    </w:p>
    <w:p w14:paraId="3922A5C9" w14:textId="4902CE6B"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2.2 Sampling Design and Sample Collection</w:t>
      </w:r>
    </w:p>
    <w:p w14:paraId="013EDE53" w14:textId="77777777" w:rsidR="00A748CB" w:rsidRPr="00A748CB" w:rsidRDefault="00A748CB" w:rsidP="00A748CB">
      <w:pPr>
        <w:pStyle w:val="NormalWeb"/>
        <w:jc w:val="both"/>
      </w:pPr>
      <w:r w:rsidRPr="00A748CB">
        <w:t>Water samples were collected from three domestic water sources comprising surface water from urban creeks, borehole groundwater, and harvested rainwater. Sampling was conducted during both dry and wet seasons to capture seasonal variability. At each sampling point, triplicate samples were collected to ensure analytical reliability. Surface water samples were collected midstream at approximately 20–30 cm below the water surface using pre-cleaned high-density polyethylene bottles. Borehole water samples were collected after purging for five minutes to obtain aquifer-representative water. Harvested rainwater samples were collected from household storage systems after at least fifteen minutes of continuous rainfall to minimise roof wash-off contamination.</w:t>
      </w:r>
    </w:p>
    <w:p w14:paraId="63E3C282"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2.3 Sample Preservation and Handling</w:t>
      </w:r>
    </w:p>
    <w:p w14:paraId="33A9E373" w14:textId="77777777" w:rsidR="00A748CB" w:rsidRPr="00A748CB" w:rsidRDefault="00A748CB" w:rsidP="00A748CB">
      <w:pPr>
        <w:pStyle w:val="NormalWeb"/>
        <w:jc w:val="both"/>
      </w:pPr>
      <w:r w:rsidRPr="00A748CB">
        <w:t>Samples for physicochemical analysis were stored without preservatives and analysed within 24 hours of collection. Samples intended for heavy metal analysis were preserved in situ using analytical-grade nitric acid to pH less than 2. All samples were transported to the laboratory in ice-packed coolers. Sampling containers were detergent-washed, acid-rinsed, and thoroughly rinsed with deionised water prior to use to avoid contamination.</w:t>
      </w:r>
    </w:p>
    <w:p w14:paraId="17877923"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2.4 Physicochemical Analysis</w:t>
      </w:r>
    </w:p>
    <w:p w14:paraId="433EFCB2" w14:textId="77777777" w:rsidR="00A748CB" w:rsidRPr="00A748CB" w:rsidRDefault="00A748CB" w:rsidP="00A748CB">
      <w:pPr>
        <w:pStyle w:val="NormalWeb"/>
        <w:jc w:val="both"/>
      </w:pPr>
      <w:r w:rsidRPr="00A748CB">
        <w:t>In situ measurements of pH, electrical conductivity, and dissolved oxygen were carried out using calibrated portable meters. Turbidity was measured using a nephelometric turbidity meter. Total dissolved solids were determined gravimetrically, while nitrate and sulphate concentrations were analysed using spectrophotometric methods in accordance with standard procedures.</w:t>
      </w:r>
    </w:p>
    <w:p w14:paraId="62710F5B"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2.5 Heavy Metal Analysis</w:t>
      </w:r>
    </w:p>
    <w:p w14:paraId="2666F5F8" w14:textId="77777777" w:rsidR="00A748CB" w:rsidRPr="00A748CB" w:rsidRDefault="00A748CB" w:rsidP="00A748CB">
      <w:pPr>
        <w:pStyle w:val="NormalWeb"/>
        <w:jc w:val="both"/>
      </w:pPr>
      <w:r w:rsidRPr="00A748CB">
        <w:t>Preserved water samples were digested using nitric acid prior to analysis. Concentrations of iron, manganese, lead, cadmium, chromium, nickel, zinc, and copper were determined using flame Atomic Absorption Spectrophotometry. Instrument calibration was performed using certified multi-element standard solutions, and calibration curves exhibited correlation coefficients greater than 0.995 for all analysed metals.</w:t>
      </w:r>
    </w:p>
    <w:p w14:paraId="56F6F1C0"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2.6 Quality Assurance and Quality Control</w:t>
      </w:r>
    </w:p>
    <w:p w14:paraId="5AA5379A" w14:textId="77777777" w:rsidR="00A748CB" w:rsidRPr="00A748CB" w:rsidRDefault="00A748CB" w:rsidP="00A748CB">
      <w:pPr>
        <w:pStyle w:val="NormalWeb"/>
        <w:jc w:val="both"/>
      </w:pPr>
      <w:r w:rsidRPr="00A748CB">
        <w:t>Quality assurance and quality control measures included the analysis of procedural blanks, duplicate samples, and spiked samples. Percentage recoveries ranged between 90 and 110 percent, while relative standard deviations for replicate analyses were below 5 percent, indicating acceptable analytical precision and accuracy.</w:t>
      </w:r>
    </w:p>
    <w:p w14:paraId="0F52FB85"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2.7 Water Quality Index</w:t>
      </w:r>
    </w:p>
    <w:p w14:paraId="428C0935" w14:textId="16BAC085" w:rsidR="00A748CB" w:rsidRDefault="00A748CB" w:rsidP="00A748CB">
      <w:pPr>
        <w:pStyle w:val="NormalWeb"/>
        <w:jc w:val="both"/>
      </w:pPr>
      <w:r w:rsidRPr="00A748CB">
        <w:t>Overall water quality was evaluated using the weighted arithmetic water quality index method expressed as</w:t>
      </w:r>
      <w:r>
        <w:t xml:space="preserve">: </w:t>
      </w:r>
      <w:r w:rsidRPr="00A748CB">
        <w:t xml:space="preserve">WQI = </w:t>
      </w:r>
      <w:proofErr w:type="gramStart"/>
      <w:r w:rsidRPr="00A748CB">
        <w:t>Σ(</w:t>
      </w:r>
      <w:proofErr w:type="gramEnd"/>
      <w:r w:rsidRPr="00A748CB">
        <w:t xml:space="preserve">Qi × Wi) / </w:t>
      </w:r>
      <w:proofErr w:type="spellStart"/>
      <w:r w:rsidRPr="00A748CB">
        <w:t>ΣWi</w:t>
      </w:r>
      <w:proofErr w:type="spellEnd"/>
    </w:p>
    <w:p w14:paraId="353ACF5E" w14:textId="77777777" w:rsidR="00A748CB" w:rsidRDefault="00A748CB" w:rsidP="00A748CB">
      <w:pPr>
        <w:pStyle w:val="NormalWeb"/>
        <w:jc w:val="both"/>
      </w:pPr>
      <w:r w:rsidRPr="00A748CB">
        <w:lastRenderedPageBreak/>
        <w:br/>
        <w:t xml:space="preserve">where Qi represents the quality rating of the </w:t>
      </w:r>
      <w:proofErr w:type="spellStart"/>
      <w:r w:rsidRPr="00A748CB">
        <w:t>ith</w:t>
      </w:r>
      <w:proofErr w:type="spellEnd"/>
      <w:r w:rsidRPr="00A748CB">
        <w:t xml:space="preserve"> parameter and Wi is the corresponding unit weight. The quality rating was calculated using</w:t>
      </w:r>
    </w:p>
    <w:p w14:paraId="35AF2A8B" w14:textId="2C320A1D" w:rsidR="00A748CB" w:rsidRDefault="00A748CB" w:rsidP="00A748CB">
      <w:pPr>
        <w:pStyle w:val="NormalWeb"/>
        <w:jc w:val="both"/>
      </w:pPr>
      <w:r w:rsidRPr="00A748CB">
        <w:t>Qi = [(Ci − C0) / (Si − C0)] × 100</w:t>
      </w:r>
    </w:p>
    <w:p w14:paraId="7D87D85B" w14:textId="009D82CA" w:rsidR="00A748CB" w:rsidRPr="00A748CB" w:rsidRDefault="00A748CB" w:rsidP="00A748CB">
      <w:pPr>
        <w:pStyle w:val="NormalWeb"/>
        <w:jc w:val="both"/>
      </w:pPr>
      <w:r w:rsidRPr="00A748CB">
        <w:br/>
        <w:t>where Ci is the measured concentration, Si is the permissible standard value, and C0 is the ideal value of the parameter.</w:t>
      </w:r>
    </w:p>
    <w:p w14:paraId="5F84205B"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2.8 Human Health Risk Assessment</w:t>
      </w:r>
    </w:p>
    <w:p w14:paraId="49F7E0BC" w14:textId="77777777" w:rsidR="00A748CB" w:rsidRDefault="00A748CB" w:rsidP="00A748CB">
      <w:pPr>
        <w:pStyle w:val="NormalWeb"/>
        <w:jc w:val="both"/>
      </w:pPr>
      <w:r w:rsidRPr="00A748CB">
        <w:t>Non-carcinogenic health risk assessment was conducted using the ingestion exposure pathway in accordance with USEPA guidelines. The estimated daily intake was calculated as</w:t>
      </w:r>
      <w:r w:rsidRPr="00A748CB">
        <w:br/>
        <w:t>EDI = (C × IR × EF × ED) / (BW × AT)</w:t>
      </w:r>
    </w:p>
    <w:p w14:paraId="682D79F3" w14:textId="77777777" w:rsidR="000A2398" w:rsidRDefault="00A748CB" w:rsidP="00A748CB">
      <w:pPr>
        <w:pStyle w:val="NormalWeb"/>
        <w:jc w:val="both"/>
      </w:pPr>
      <w:r w:rsidRPr="00A748CB">
        <w:br/>
        <w:t>where C is the metal concentration, IR is the ingestion rate, EF is the exposure frequency, ED is the exposure duration, BW is body weight, and AT is the averaging time. The hazard quotient was computed as</w:t>
      </w:r>
    </w:p>
    <w:p w14:paraId="41A8B7BC" w14:textId="33AC52AB" w:rsidR="00A748CB" w:rsidRDefault="00A748CB" w:rsidP="00A748CB">
      <w:pPr>
        <w:pStyle w:val="NormalWeb"/>
        <w:jc w:val="both"/>
      </w:pPr>
      <w:r w:rsidRPr="00A748CB">
        <w:t xml:space="preserve">HQ = EDI / </w:t>
      </w:r>
      <w:proofErr w:type="spellStart"/>
      <w:r w:rsidRPr="00A748CB">
        <w:t>RfD</w:t>
      </w:r>
      <w:proofErr w:type="spellEnd"/>
    </w:p>
    <w:p w14:paraId="2C69D957" w14:textId="77777777" w:rsidR="008F08A5" w:rsidRDefault="00A748CB" w:rsidP="00A748CB">
      <w:pPr>
        <w:pStyle w:val="NormalWeb"/>
        <w:jc w:val="both"/>
      </w:pPr>
      <w:r w:rsidRPr="00A748CB">
        <w:br/>
        <w:t xml:space="preserve">where </w:t>
      </w:r>
      <w:proofErr w:type="spellStart"/>
      <w:r w:rsidRPr="00A748CB">
        <w:t>RfD</w:t>
      </w:r>
      <w:proofErr w:type="spellEnd"/>
      <w:r w:rsidRPr="00A748CB">
        <w:t xml:space="preserve"> is the reference dose. The hazard index was obtained as</w:t>
      </w:r>
    </w:p>
    <w:p w14:paraId="6ADA224A" w14:textId="73C39693" w:rsidR="00A748CB" w:rsidRPr="00A748CB" w:rsidRDefault="00A748CB" w:rsidP="00A748CB">
      <w:pPr>
        <w:pStyle w:val="NormalWeb"/>
        <w:jc w:val="both"/>
      </w:pPr>
      <w:r w:rsidRPr="00A748CB">
        <w:t>HI = ΣHQ.</w:t>
      </w:r>
    </w:p>
    <w:p w14:paraId="4D626BEA" w14:textId="77777777" w:rsidR="00A748CB" w:rsidRPr="00A748CB" w:rsidRDefault="00A748CB"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2.9 Statistical Analysis</w:t>
      </w:r>
    </w:p>
    <w:p w14:paraId="53D2D3BD" w14:textId="77777777" w:rsidR="00A748CB" w:rsidRPr="00A748CB" w:rsidRDefault="00A748CB" w:rsidP="00A748CB">
      <w:pPr>
        <w:pStyle w:val="NormalWeb"/>
        <w:jc w:val="both"/>
      </w:pPr>
      <w:r w:rsidRPr="00A748CB">
        <w:t>All analytical results were expressed as mean ± standard deviation. Spatial and seasonal variations were assessed using one-way analysis of variance and independent sample t-tests, with statistical significance set at p &lt; 0.05. Statistical analyses were performed using standard statistical software.</w:t>
      </w:r>
    </w:p>
    <w:p w14:paraId="29EBF098" w14:textId="77777777" w:rsidR="00A748CB" w:rsidRPr="00A748CB" w:rsidRDefault="00A748CB" w:rsidP="00A748CB">
      <w:pPr>
        <w:pStyle w:val="NormalWeb"/>
        <w:jc w:val="both"/>
      </w:pPr>
    </w:p>
    <w:p w14:paraId="1C2A5256" w14:textId="1EA56BF6" w:rsidR="008A7665" w:rsidRPr="00A748CB" w:rsidRDefault="008A7665" w:rsidP="00A748CB">
      <w:pPr>
        <w:pStyle w:val="NormalWeb"/>
        <w:jc w:val="both"/>
      </w:pPr>
    </w:p>
    <w:p w14:paraId="4B2B711E" w14:textId="335D3A92" w:rsidR="008A7665" w:rsidRPr="00A748CB" w:rsidRDefault="008A7665" w:rsidP="00A748CB">
      <w:pPr>
        <w:pStyle w:val="NormalWeb"/>
        <w:jc w:val="both"/>
        <w:rPr>
          <w:b/>
          <w:bCs/>
        </w:rPr>
      </w:pPr>
      <w:r w:rsidRPr="00A748CB">
        <w:rPr>
          <w:b/>
          <w:bCs/>
        </w:rPr>
        <w:t xml:space="preserve">3.0 Results </w:t>
      </w:r>
    </w:p>
    <w:p w14:paraId="1A9CD054" w14:textId="06396154" w:rsidR="008A7665" w:rsidRPr="00A748CB" w:rsidRDefault="008A7665" w:rsidP="00A748CB">
      <w:pPr>
        <w:pStyle w:val="NormalWeb"/>
        <w:jc w:val="both"/>
      </w:pPr>
      <w:r w:rsidRPr="00A748CB">
        <w:rPr>
          <w:rStyle w:val="Strong"/>
          <w:b w:val="0"/>
          <w:bCs w:val="0"/>
        </w:rPr>
        <w:t>Table 1</w:t>
      </w:r>
      <w:r w:rsidRPr="00A748CB">
        <w:t xml:space="preserve"> shows clear contrasts in physicochemical characteristics among river water, borehole water, and harvested rainwater. River water exhibited higher electrical conductivity (412 ± 96 µS/cm), total dissolved solids (268 ± 71 mg/L), and turbidity (7.9 ± 2.6 NTU), indicating greater influence of surface runoff and anthropogenic inputs. Borehole water had comparatively better quality, with lower turbidity (1.8 ± 0.7 NTU) and higher dissolved oxygen (6.2 ± 0.9 mg/L). Harvested rainwater showed the lowest mineralisation but slightly acidic pH (5.8 ± 0.3), falling below the WHO recommended range. Turbidity in river water exceeded the guideline value of 5 NTU, suggesting reduced aesthetic and potential health suitability.</w:t>
      </w:r>
    </w:p>
    <w:p w14:paraId="6776E7E1" w14:textId="498A10DF"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lastRenderedPageBreak/>
        <w:t xml:space="preserve">Table 1: Physicochemical Characteristics of Water Resources in the Niger Delta </w:t>
      </w:r>
    </w:p>
    <w:tbl>
      <w:tblPr>
        <w:tblW w:w="9879" w:type="dxa"/>
        <w:tblCellSpacing w:w="15" w:type="dxa"/>
        <w:tblCellMar>
          <w:top w:w="15" w:type="dxa"/>
          <w:left w:w="15" w:type="dxa"/>
          <w:bottom w:w="15" w:type="dxa"/>
          <w:right w:w="15" w:type="dxa"/>
        </w:tblCellMar>
        <w:tblLook w:val="04A0" w:firstRow="1" w:lastRow="0" w:firstColumn="1" w:lastColumn="0" w:noHBand="0" w:noVBand="1"/>
      </w:tblPr>
      <w:tblGrid>
        <w:gridCol w:w="3040"/>
        <w:gridCol w:w="1306"/>
        <w:gridCol w:w="1647"/>
        <w:gridCol w:w="2181"/>
        <w:gridCol w:w="1705"/>
      </w:tblGrid>
      <w:tr w:rsidR="00A748CB" w:rsidRPr="00A748CB" w14:paraId="7C31DF73" w14:textId="77777777" w:rsidTr="00C3243C">
        <w:trPr>
          <w:trHeight w:val="470"/>
          <w:tblHeader/>
          <w:tblCellSpacing w:w="15" w:type="dxa"/>
        </w:trPr>
        <w:tc>
          <w:tcPr>
            <w:tcW w:w="0" w:type="auto"/>
            <w:vAlign w:val="center"/>
            <w:hideMark/>
          </w:tcPr>
          <w:p w14:paraId="57AA8771"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Parameter</w:t>
            </w:r>
          </w:p>
        </w:tc>
        <w:tc>
          <w:tcPr>
            <w:tcW w:w="0" w:type="auto"/>
            <w:vAlign w:val="center"/>
            <w:hideMark/>
          </w:tcPr>
          <w:p w14:paraId="441AD8AF"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River Water</w:t>
            </w:r>
          </w:p>
        </w:tc>
        <w:tc>
          <w:tcPr>
            <w:tcW w:w="0" w:type="auto"/>
            <w:vAlign w:val="center"/>
            <w:hideMark/>
          </w:tcPr>
          <w:p w14:paraId="54F79B39"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Borehole Water</w:t>
            </w:r>
          </w:p>
        </w:tc>
        <w:tc>
          <w:tcPr>
            <w:tcW w:w="0" w:type="auto"/>
            <w:vAlign w:val="center"/>
            <w:hideMark/>
          </w:tcPr>
          <w:p w14:paraId="3A0AB7E5"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Harvested Rainwater</w:t>
            </w:r>
          </w:p>
        </w:tc>
        <w:tc>
          <w:tcPr>
            <w:tcW w:w="0" w:type="auto"/>
            <w:vAlign w:val="center"/>
            <w:hideMark/>
          </w:tcPr>
          <w:p w14:paraId="483D8C08"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WHO Guideline</w:t>
            </w:r>
          </w:p>
        </w:tc>
      </w:tr>
      <w:tr w:rsidR="00A748CB" w:rsidRPr="00A748CB" w14:paraId="68406E5A" w14:textId="77777777" w:rsidTr="00C3243C">
        <w:trPr>
          <w:trHeight w:val="487"/>
          <w:tblCellSpacing w:w="15" w:type="dxa"/>
        </w:trPr>
        <w:tc>
          <w:tcPr>
            <w:tcW w:w="0" w:type="auto"/>
            <w:vAlign w:val="center"/>
            <w:hideMark/>
          </w:tcPr>
          <w:p w14:paraId="2056491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pH</w:t>
            </w:r>
          </w:p>
        </w:tc>
        <w:tc>
          <w:tcPr>
            <w:tcW w:w="0" w:type="auto"/>
            <w:vAlign w:val="center"/>
            <w:hideMark/>
          </w:tcPr>
          <w:p w14:paraId="293F038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6.3 ± 0.4</w:t>
            </w:r>
          </w:p>
        </w:tc>
        <w:tc>
          <w:tcPr>
            <w:tcW w:w="0" w:type="auto"/>
            <w:vAlign w:val="center"/>
            <w:hideMark/>
          </w:tcPr>
          <w:p w14:paraId="7177E5E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6.7 ± 0.3</w:t>
            </w:r>
          </w:p>
        </w:tc>
        <w:tc>
          <w:tcPr>
            <w:tcW w:w="0" w:type="auto"/>
            <w:vAlign w:val="center"/>
            <w:hideMark/>
          </w:tcPr>
          <w:p w14:paraId="1FBCADA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5.8 ± 0.3</w:t>
            </w:r>
          </w:p>
        </w:tc>
        <w:tc>
          <w:tcPr>
            <w:tcW w:w="0" w:type="auto"/>
            <w:vAlign w:val="center"/>
            <w:hideMark/>
          </w:tcPr>
          <w:p w14:paraId="245EE9E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6.5–8.5</w:t>
            </w:r>
          </w:p>
        </w:tc>
      </w:tr>
      <w:tr w:rsidR="00A748CB" w:rsidRPr="00A748CB" w14:paraId="0D82DF66" w14:textId="77777777" w:rsidTr="00C3243C">
        <w:trPr>
          <w:trHeight w:val="470"/>
          <w:tblCellSpacing w:w="15" w:type="dxa"/>
        </w:trPr>
        <w:tc>
          <w:tcPr>
            <w:tcW w:w="0" w:type="auto"/>
            <w:vAlign w:val="center"/>
            <w:hideMark/>
          </w:tcPr>
          <w:p w14:paraId="0AD6635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Electrical Conductivity (µS/cm)</w:t>
            </w:r>
          </w:p>
        </w:tc>
        <w:tc>
          <w:tcPr>
            <w:tcW w:w="0" w:type="auto"/>
            <w:vAlign w:val="center"/>
            <w:hideMark/>
          </w:tcPr>
          <w:p w14:paraId="5DACCE2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412 ± 96</w:t>
            </w:r>
          </w:p>
        </w:tc>
        <w:tc>
          <w:tcPr>
            <w:tcW w:w="0" w:type="auto"/>
            <w:vAlign w:val="center"/>
            <w:hideMark/>
          </w:tcPr>
          <w:p w14:paraId="496C883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286 ± 74</w:t>
            </w:r>
          </w:p>
        </w:tc>
        <w:tc>
          <w:tcPr>
            <w:tcW w:w="0" w:type="auto"/>
            <w:vAlign w:val="center"/>
            <w:hideMark/>
          </w:tcPr>
          <w:p w14:paraId="63B1FFE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61 ± 18</w:t>
            </w:r>
          </w:p>
        </w:tc>
        <w:tc>
          <w:tcPr>
            <w:tcW w:w="0" w:type="auto"/>
            <w:vAlign w:val="center"/>
            <w:hideMark/>
          </w:tcPr>
          <w:p w14:paraId="3EB3A9B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1000</w:t>
            </w:r>
          </w:p>
        </w:tc>
      </w:tr>
      <w:tr w:rsidR="00A748CB" w:rsidRPr="00A748CB" w14:paraId="27B80EAE" w14:textId="77777777" w:rsidTr="00C3243C">
        <w:trPr>
          <w:trHeight w:val="470"/>
          <w:tblCellSpacing w:w="15" w:type="dxa"/>
        </w:trPr>
        <w:tc>
          <w:tcPr>
            <w:tcW w:w="0" w:type="auto"/>
            <w:vAlign w:val="center"/>
            <w:hideMark/>
          </w:tcPr>
          <w:p w14:paraId="70C1009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Total Dissolved Solids (mg/L)</w:t>
            </w:r>
          </w:p>
        </w:tc>
        <w:tc>
          <w:tcPr>
            <w:tcW w:w="0" w:type="auto"/>
            <w:vAlign w:val="center"/>
            <w:hideMark/>
          </w:tcPr>
          <w:p w14:paraId="3740144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268 ± 71</w:t>
            </w:r>
          </w:p>
        </w:tc>
        <w:tc>
          <w:tcPr>
            <w:tcW w:w="0" w:type="auto"/>
            <w:vAlign w:val="center"/>
            <w:hideMark/>
          </w:tcPr>
          <w:p w14:paraId="3056612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184 ± 56</w:t>
            </w:r>
          </w:p>
        </w:tc>
        <w:tc>
          <w:tcPr>
            <w:tcW w:w="0" w:type="auto"/>
            <w:vAlign w:val="center"/>
            <w:hideMark/>
          </w:tcPr>
          <w:p w14:paraId="7CD8DC1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41 ± 13</w:t>
            </w:r>
          </w:p>
        </w:tc>
        <w:tc>
          <w:tcPr>
            <w:tcW w:w="0" w:type="auto"/>
            <w:vAlign w:val="center"/>
            <w:hideMark/>
          </w:tcPr>
          <w:p w14:paraId="26806BE6"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500</w:t>
            </w:r>
          </w:p>
        </w:tc>
      </w:tr>
      <w:tr w:rsidR="00A748CB" w:rsidRPr="00A748CB" w14:paraId="7A210C9A" w14:textId="77777777" w:rsidTr="00C3243C">
        <w:trPr>
          <w:trHeight w:val="470"/>
          <w:tblCellSpacing w:w="15" w:type="dxa"/>
        </w:trPr>
        <w:tc>
          <w:tcPr>
            <w:tcW w:w="0" w:type="auto"/>
            <w:vAlign w:val="center"/>
            <w:hideMark/>
          </w:tcPr>
          <w:p w14:paraId="5B17DE8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Turbidity (NTU)</w:t>
            </w:r>
          </w:p>
        </w:tc>
        <w:tc>
          <w:tcPr>
            <w:tcW w:w="0" w:type="auto"/>
            <w:vAlign w:val="center"/>
            <w:hideMark/>
          </w:tcPr>
          <w:p w14:paraId="3DC1FA6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7.9 ± 2.6</w:t>
            </w:r>
          </w:p>
        </w:tc>
        <w:tc>
          <w:tcPr>
            <w:tcW w:w="0" w:type="auto"/>
            <w:vAlign w:val="center"/>
            <w:hideMark/>
          </w:tcPr>
          <w:p w14:paraId="55AF1A5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1.8 ± 0.7</w:t>
            </w:r>
          </w:p>
        </w:tc>
        <w:tc>
          <w:tcPr>
            <w:tcW w:w="0" w:type="auto"/>
            <w:vAlign w:val="center"/>
            <w:hideMark/>
          </w:tcPr>
          <w:p w14:paraId="3991E01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4.1 ± 1.5</w:t>
            </w:r>
          </w:p>
        </w:tc>
        <w:tc>
          <w:tcPr>
            <w:tcW w:w="0" w:type="auto"/>
            <w:vAlign w:val="center"/>
            <w:hideMark/>
          </w:tcPr>
          <w:p w14:paraId="2C4F529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w:t>
            </w:r>
          </w:p>
        </w:tc>
      </w:tr>
      <w:tr w:rsidR="00A748CB" w:rsidRPr="00A748CB" w14:paraId="22C8A876" w14:textId="77777777" w:rsidTr="00C3243C">
        <w:trPr>
          <w:trHeight w:val="487"/>
          <w:tblCellSpacing w:w="15" w:type="dxa"/>
        </w:trPr>
        <w:tc>
          <w:tcPr>
            <w:tcW w:w="0" w:type="auto"/>
            <w:vAlign w:val="center"/>
            <w:hideMark/>
          </w:tcPr>
          <w:p w14:paraId="60ED594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Dissolved Oxygen (mg/L)</w:t>
            </w:r>
          </w:p>
        </w:tc>
        <w:tc>
          <w:tcPr>
            <w:tcW w:w="0" w:type="auto"/>
            <w:vAlign w:val="center"/>
            <w:hideMark/>
          </w:tcPr>
          <w:p w14:paraId="0C877B1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4.6 ± 1.2</w:t>
            </w:r>
          </w:p>
        </w:tc>
        <w:tc>
          <w:tcPr>
            <w:tcW w:w="0" w:type="auto"/>
            <w:vAlign w:val="center"/>
            <w:hideMark/>
          </w:tcPr>
          <w:p w14:paraId="44893FC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6.2 ± 0.9</w:t>
            </w:r>
          </w:p>
        </w:tc>
        <w:tc>
          <w:tcPr>
            <w:tcW w:w="0" w:type="auto"/>
            <w:vAlign w:val="center"/>
            <w:hideMark/>
          </w:tcPr>
          <w:p w14:paraId="6061624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5.8 ± 1.1</w:t>
            </w:r>
          </w:p>
        </w:tc>
        <w:tc>
          <w:tcPr>
            <w:tcW w:w="0" w:type="auto"/>
            <w:vAlign w:val="center"/>
            <w:hideMark/>
          </w:tcPr>
          <w:p w14:paraId="13043096"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w:t>
            </w:r>
          </w:p>
        </w:tc>
      </w:tr>
      <w:tr w:rsidR="00A748CB" w:rsidRPr="00A748CB" w14:paraId="12F50B17" w14:textId="77777777" w:rsidTr="00C3243C">
        <w:trPr>
          <w:trHeight w:val="470"/>
          <w:tblCellSpacing w:w="15" w:type="dxa"/>
        </w:trPr>
        <w:tc>
          <w:tcPr>
            <w:tcW w:w="0" w:type="auto"/>
            <w:vAlign w:val="center"/>
            <w:hideMark/>
          </w:tcPr>
          <w:p w14:paraId="06F372A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Nitrate (mg/L)</w:t>
            </w:r>
          </w:p>
        </w:tc>
        <w:tc>
          <w:tcPr>
            <w:tcW w:w="0" w:type="auto"/>
            <w:vAlign w:val="center"/>
            <w:hideMark/>
          </w:tcPr>
          <w:p w14:paraId="4482954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9.4 ± 3.7</w:t>
            </w:r>
          </w:p>
        </w:tc>
        <w:tc>
          <w:tcPr>
            <w:tcW w:w="0" w:type="auto"/>
            <w:vAlign w:val="center"/>
            <w:hideMark/>
          </w:tcPr>
          <w:p w14:paraId="60A5EDD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6.1 ± 2.4</w:t>
            </w:r>
          </w:p>
        </w:tc>
        <w:tc>
          <w:tcPr>
            <w:tcW w:w="0" w:type="auto"/>
            <w:vAlign w:val="center"/>
            <w:hideMark/>
          </w:tcPr>
          <w:p w14:paraId="58A1D5D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3.7 ± 1.5</w:t>
            </w:r>
          </w:p>
        </w:tc>
        <w:tc>
          <w:tcPr>
            <w:tcW w:w="0" w:type="auto"/>
            <w:vAlign w:val="center"/>
            <w:hideMark/>
          </w:tcPr>
          <w:p w14:paraId="5394EA8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50</w:t>
            </w:r>
          </w:p>
        </w:tc>
      </w:tr>
      <w:tr w:rsidR="00A748CB" w:rsidRPr="00A748CB" w14:paraId="202A3C4A" w14:textId="77777777" w:rsidTr="00C3243C">
        <w:trPr>
          <w:trHeight w:val="470"/>
          <w:tblCellSpacing w:w="15" w:type="dxa"/>
        </w:trPr>
        <w:tc>
          <w:tcPr>
            <w:tcW w:w="0" w:type="auto"/>
            <w:vAlign w:val="center"/>
            <w:hideMark/>
          </w:tcPr>
          <w:p w14:paraId="5DB73BF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Sulphate (mg/L)</w:t>
            </w:r>
          </w:p>
        </w:tc>
        <w:tc>
          <w:tcPr>
            <w:tcW w:w="0" w:type="auto"/>
            <w:vAlign w:val="center"/>
            <w:hideMark/>
          </w:tcPr>
          <w:p w14:paraId="59850916"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48.6 ± 18.4</w:t>
            </w:r>
          </w:p>
        </w:tc>
        <w:tc>
          <w:tcPr>
            <w:tcW w:w="0" w:type="auto"/>
            <w:vAlign w:val="center"/>
            <w:hideMark/>
          </w:tcPr>
          <w:p w14:paraId="5FBA895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31.2 ± 12.6</w:t>
            </w:r>
          </w:p>
        </w:tc>
        <w:tc>
          <w:tcPr>
            <w:tcW w:w="0" w:type="auto"/>
            <w:vAlign w:val="center"/>
            <w:hideMark/>
          </w:tcPr>
          <w:p w14:paraId="12332A6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9.9 ± 4.1</w:t>
            </w:r>
          </w:p>
        </w:tc>
        <w:tc>
          <w:tcPr>
            <w:tcW w:w="0" w:type="auto"/>
            <w:vAlign w:val="center"/>
            <w:hideMark/>
          </w:tcPr>
          <w:p w14:paraId="4FEF089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250</w:t>
            </w:r>
          </w:p>
        </w:tc>
      </w:tr>
    </w:tbl>
    <w:p w14:paraId="0F57A0C7" w14:textId="6C8423F5" w:rsidR="008A7665" w:rsidRPr="00A748CB" w:rsidRDefault="008A7665" w:rsidP="00A748CB">
      <w:pPr>
        <w:jc w:val="both"/>
        <w:rPr>
          <w:rFonts w:ascii="Times New Roman" w:hAnsi="Times New Roman" w:cs="Times New Roman"/>
          <w:sz w:val="24"/>
          <w:szCs w:val="24"/>
        </w:rPr>
      </w:pPr>
    </w:p>
    <w:p w14:paraId="0BB007E8" w14:textId="77777777" w:rsidR="00C3243C" w:rsidRPr="00A748CB" w:rsidRDefault="00C3243C" w:rsidP="00A748CB">
      <w:pPr>
        <w:pStyle w:val="Heading3"/>
        <w:jc w:val="both"/>
        <w:rPr>
          <w:rFonts w:ascii="Times New Roman" w:hAnsi="Times New Roman" w:cs="Times New Roman"/>
          <w:color w:val="auto"/>
        </w:rPr>
      </w:pPr>
      <w:r w:rsidRPr="00A748CB">
        <w:rPr>
          <w:rStyle w:val="Strong"/>
          <w:rFonts w:ascii="Times New Roman" w:hAnsi="Times New Roman" w:cs="Times New Roman"/>
          <w:b w:val="0"/>
          <w:bCs w:val="0"/>
          <w:color w:val="auto"/>
        </w:rPr>
        <w:t>Table 2</w:t>
      </w:r>
      <w:r w:rsidRPr="00A748CB">
        <w:rPr>
          <w:rFonts w:ascii="Times New Roman" w:hAnsi="Times New Roman" w:cs="Times New Roman"/>
          <w:color w:val="auto"/>
        </w:rPr>
        <w:t xml:space="preserve"> indicates that iron concentrations exceeded the WHO guideline (0.30 mg/L) in all water types, with the highest mean in river water (0.91 ± 0.34 mg/L). Lead and cadmium also exceeded guideline limits across most sources, particularly in river water (Pb: 0.032 ± 0.011 mg/L; Cd: 0.006 ± 0.002 mg/L). Chromium, nickel, zinc, and copper remained below their respective limits, although higher mean values were consistently observed in river water, reflecting stronger anthropogenic influence.</w:t>
      </w:r>
    </w:p>
    <w:p w14:paraId="2FBFA71E" w14:textId="4B6C1009"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Table 2: Heavy Metal Concentrations in</w:t>
      </w:r>
      <w:r w:rsidR="00C3243C" w:rsidRPr="00A748CB">
        <w:rPr>
          <w:rStyle w:val="Strong"/>
          <w:rFonts w:ascii="Times New Roman" w:hAnsi="Times New Roman" w:cs="Times New Roman"/>
          <w:color w:val="auto"/>
        </w:rPr>
        <w:t xml:space="preserve"> (mg/L)</w:t>
      </w:r>
      <w:r w:rsidRPr="00A748CB">
        <w:rPr>
          <w:rStyle w:val="Strong"/>
          <w:rFonts w:ascii="Times New Roman" w:hAnsi="Times New Roman" w:cs="Times New Roman"/>
          <w:color w:val="auto"/>
        </w:rPr>
        <w:t xml:space="preserve"> Water Resources </w:t>
      </w:r>
    </w:p>
    <w:tbl>
      <w:tblPr>
        <w:tblW w:w="8951" w:type="dxa"/>
        <w:tblCellSpacing w:w="15" w:type="dxa"/>
        <w:tblCellMar>
          <w:top w:w="15" w:type="dxa"/>
          <w:left w:w="15" w:type="dxa"/>
          <w:bottom w:w="15" w:type="dxa"/>
          <w:right w:w="15" w:type="dxa"/>
        </w:tblCellMar>
        <w:tblLook w:val="04A0" w:firstRow="1" w:lastRow="0" w:firstColumn="1" w:lastColumn="0" w:noHBand="0" w:noVBand="1"/>
      </w:tblPr>
      <w:tblGrid>
        <w:gridCol w:w="773"/>
        <w:gridCol w:w="1606"/>
        <w:gridCol w:w="1954"/>
        <w:gridCol w:w="2602"/>
        <w:gridCol w:w="2016"/>
      </w:tblGrid>
      <w:tr w:rsidR="00A748CB" w:rsidRPr="00A748CB" w14:paraId="4F08CB43" w14:textId="77777777" w:rsidTr="00C3243C">
        <w:trPr>
          <w:trHeight w:val="463"/>
          <w:tblHeader/>
          <w:tblCellSpacing w:w="15" w:type="dxa"/>
        </w:trPr>
        <w:tc>
          <w:tcPr>
            <w:tcW w:w="0" w:type="auto"/>
            <w:vAlign w:val="center"/>
            <w:hideMark/>
          </w:tcPr>
          <w:p w14:paraId="667B05E9"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Metal</w:t>
            </w:r>
          </w:p>
        </w:tc>
        <w:tc>
          <w:tcPr>
            <w:tcW w:w="0" w:type="auto"/>
            <w:vAlign w:val="center"/>
            <w:hideMark/>
          </w:tcPr>
          <w:p w14:paraId="189E9796"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River Water</w:t>
            </w:r>
          </w:p>
        </w:tc>
        <w:tc>
          <w:tcPr>
            <w:tcW w:w="0" w:type="auto"/>
            <w:vAlign w:val="center"/>
            <w:hideMark/>
          </w:tcPr>
          <w:p w14:paraId="172A041A"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Borehole Water</w:t>
            </w:r>
          </w:p>
        </w:tc>
        <w:tc>
          <w:tcPr>
            <w:tcW w:w="0" w:type="auto"/>
            <w:vAlign w:val="center"/>
            <w:hideMark/>
          </w:tcPr>
          <w:p w14:paraId="41EC0C2C"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Harvested Rainwater</w:t>
            </w:r>
          </w:p>
        </w:tc>
        <w:tc>
          <w:tcPr>
            <w:tcW w:w="0" w:type="auto"/>
            <w:vAlign w:val="center"/>
            <w:hideMark/>
          </w:tcPr>
          <w:p w14:paraId="179BCCB4"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WHO Guideline</w:t>
            </w:r>
          </w:p>
        </w:tc>
      </w:tr>
      <w:tr w:rsidR="00A748CB" w:rsidRPr="00A748CB" w14:paraId="2CD10ADF" w14:textId="77777777" w:rsidTr="00C3243C">
        <w:trPr>
          <w:trHeight w:val="479"/>
          <w:tblCellSpacing w:w="15" w:type="dxa"/>
        </w:trPr>
        <w:tc>
          <w:tcPr>
            <w:tcW w:w="0" w:type="auto"/>
            <w:vAlign w:val="center"/>
            <w:hideMark/>
          </w:tcPr>
          <w:p w14:paraId="1F6ABA2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Fe</w:t>
            </w:r>
          </w:p>
        </w:tc>
        <w:tc>
          <w:tcPr>
            <w:tcW w:w="0" w:type="auto"/>
            <w:vAlign w:val="center"/>
            <w:hideMark/>
          </w:tcPr>
          <w:p w14:paraId="5C7565A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0.91 ± 0.34</w:t>
            </w:r>
          </w:p>
        </w:tc>
        <w:tc>
          <w:tcPr>
            <w:tcW w:w="0" w:type="auto"/>
            <w:vAlign w:val="center"/>
            <w:hideMark/>
          </w:tcPr>
          <w:p w14:paraId="1ECA9E6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0.42 ± 0.18</w:t>
            </w:r>
          </w:p>
        </w:tc>
        <w:tc>
          <w:tcPr>
            <w:tcW w:w="0" w:type="auto"/>
            <w:vAlign w:val="center"/>
            <w:hideMark/>
          </w:tcPr>
          <w:p w14:paraId="5E2C89B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0.64 ± 0.27</w:t>
            </w:r>
          </w:p>
        </w:tc>
        <w:tc>
          <w:tcPr>
            <w:tcW w:w="0" w:type="auto"/>
            <w:vAlign w:val="center"/>
            <w:hideMark/>
          </w:tcPr>
          <w:p w14:paraId="6DAD4F8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0.30</w:t>
            </w:r>
          </w:p>
        </w:tc>
      </w:tr>
      <w:tr w:rsidR="00A748CB" w:rsidRPr="00A748CB" w14:paraId="39E57A62" w14:textId="77777777" w:rsidTr="00C3243C">
        <w:trPr>
          <w:trHeight w:val="463"/>
          <w:tblCellSpacing w:w="15" w:type="dxa"/>
        </w:trPr>
        <w:tc>
          <w:tcPr>
            <w:tcW w:w="0" w:type="auto"/>
            <w:vAlign w:val="center"/>
            <w:hideMark/>
          </w:tcPr>
          <w:p w14:paraId="6A9AC73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Mn</w:t>
            </w:r>
          </w:p>
        </w:tc>
        <w:tc>
          <w:tcPr>
            <w:tcW w:w="0" w:type="auto"/>
            <w:vAlign w:val="center"/>
            <w:hideMark/>
          </w:tcPr>
          <w:p w14:paraId="4EDA017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0.18 ± 0.07</w:t>
            </w:r>
          </w:p>
        </w:tc>
        <w:tc>
          <w:tcPr>
            <w:tcW w:w="0" w:type="auto"/>
            <w:vAlign w:val="center"/>
            <w:hideMark/>
          </w:tcPr>
          <w:p w14:paraId="1C76322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0.09 ± 0.04</w:t>
            </w:r>
          </w:p>
        </w:tc>
        <w:tc>
          <w:tcPr>
            <w:tcW w:w="0" w:type="auto"/>
            <w:vAlign w:val="center"/>
            <w:hideMark/>
          </w:tcPr>
          <w:p w14:paraId="7D6FD84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0.07 ± 0.03</w:t>
            </w:r>
          </w:p>
        </w:tc>
        <w:tc>
          <w:tcPr>
            <w:tcW w:w="0" w:type="auto"/>
            <w:vAlign w:val="center"/>
            <w:hideMark/>
          </w:tcPr>
          <w:p w14:paraId="46C976F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0.40</w:t>
            </w:r>
          </w:p>
        </w:tc>
      </w:tr>
      <w:tr w:rsidR="00A748CB" w:rsidRPr="00A748CB" w14:paraId="5A8AC6E8" w14:textId="77777777" w:rsidTr="00C3243C">
        <w:trPr>
          <w:trHeight w:val="463"/>
          <w:tblCellSpacing w:w="15" w:type="dxa"/>
        </w:trPr>
        <w:tc>
          <w:tcPr>
            <w:tcW w:w="0" w:type="auto"/>
            <w:vAlign w:val="center"/>
            <w:hideMark/>
          </w:tcPr>
          <w:p w14:paraId="3394D23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Pb</w:t>
            </w:r>
          </w:p>
        </w:tc>
        <w:tc>
          <w:tcPr>
            <w:tcW w:w="0" w:type="auto"/>
            <w:vAlign w:val="center"/>
            <w:hideMark/>
          </w:tcPr>
          <w:p w14:paraId="6F51BFA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0.032 ± 0.011</w:t>
            </w:r>
          </w:p>
        </w:tc>
        <w:tc>
          <w:tcPr>
            <w:tcW w:w="0" w:type="auto"/>
            <w:vAlign w:val="center"/>
            <w:hideMark/>
          </w:tcPr>
          <w:p w14:paraId="2E31650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0.014 ± 0.006</w:t>
            </w:r>
          </w:p>
        </w:tc>
        <w:tc>
          <w:tcPr>
            <w:tcW w:w="0" w:type="auto"/>
            <w:vAlign w:val="center"/>
            <w:hideMark/>
          </w:tcPr>
          <w:p w14:paraId="37FE440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0.016 ± 0.007</w:t>
            </w:r>
          </w:p>
        </w:tc>
        <w:tc>
          <w:tcPr>
            <w:tcW w:w="0" w:type="auto"/>
            <w:vAlign w:val="center"/>
            <w:hideMark/>
          </w:tcPr>
          <w:p w14:paraId="3084324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0.010</w:t>
            </w:r>
          </w:p>
        </w:tc>
      </w:tr>
      <w:tr w:rsidR="00A748CB" w:rsidRPr="00A748CB" w14:paraId="5F67D741" w14:textId="77777777" w:rsidTr="00C3243C">
        <w:trPr>
          <w:trHeight w:val="463"/>
          <w:tblCellSpacing w:w="15" w:type="dxa"/>
        </w:trPr>
        <w:tc>
          <w:tcPr>
            <w:tcW w:w="0" w:type="auto"/>
            <w:vAlign w:val="center"/>
            <w:hideMark/>
          </w:tcPr>
          <w:p w14:paraId="18FD93B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Cd</w:t>
            </w:r>
          </w:p>
        </w:tc>
        <w:tc>
          <w:tcPr>
            <w:tcW w:w="0" w:type="auto"/>
            <w:vAlign w:val="center"/>
            <w:hideMark/>
          </w:tcPr>
          <w:p w14:paraId="5317A5D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0.006 ± 0.002</w:t>
            </w:r>
          </w:p>
        </w:tc>
        <w:tc>
          <w:tcPr>
            <w:tcW w:w="0" w:type="auto"/>
            <w:vAlign w:val="center"/>
            <w:hideMark/>
          </w:tcPr>
          <w:p w14:paraId="4D433B2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0.003 ± 0.001</w:t>
            </w:r>
          </w:p>
        </w:tc>
        <w:tc>
          <w:tcPr>
            <w:tcW w:w="0" w:type="auto"/>
            <w:vAlign w:val="center"/>
            <w:hideMark/>
          </w:tcPr>
          <w:p w14:paraId="2741D4B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0.004 ± 0.002</w:t>
            </w:r>
          </w:p>
        </w:tc>
        <w:tc>
          <w:tcPr>
            <w:tcW w:w="0" w:type="auto"/>
            <w:vAlign w:val="center"/>
            <w:hideMark/>
          </w:tcPr>
          <w:p w14:paraId="2389254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0.003</w:t>
            </w:r>
          </w:p>
        </w:tc>
      </w:tr>
      <w:tr w:rsidR="00A748CB" w:rsidRPr="00A748CB" w14:paraId="7FBCC5DF" w14:textId="77777777" w:rsidTr="00C3243C">
        <w:trPr>
          <w:trHeight w:val="479"/>
          <w:tblCellSpacing w:w="15" w:type="dxa"/>
        </w:trPr>
        <w:tc>
          <w:tcPr>
            <w:tcW w:w="0" w:type="auto"/>
            <w:vAlign w:val="center"/>
            <w:hideMark/>
          </w:tcPr>
          <w:p w14:paraId="2DB9B6E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Cr</w:t>
            </w:r>
          </w:p>
        </w:tc>
        <w:tc>
          <w:tcPr>
            <w:tcW w:w="0" w:type="auto"/>
            <w:vAlign w:val="center"/>
            <w:hideMark/>
          </w:tcPr>
          <w:p w14:paraId="48A9762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0.041 ± 0.016</w:t>
            </w:r>
          </w:p>
        </w:tc>
        <w:tc>
          <w:tcPr>
            <w:tcW w:w="0" w:type="auto"/>
            <w:vAlign w:val="center"/>
            <w:hideMark/>
          </w:tcPr>
          <w:p w14:paraId="2827B58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0.023 ± 0.009</w:t>
            </w:r>
          </w:p>
        </w:tc>
        <w:tc>
          <w:tcPr>
            <w:tcW w:w="0" w:type="auto"/>
            <w:vAlign w:val="center"/>
            <w:hideMark/>
          </w:tcPr>
          <w:p w14:paraId="166AD3D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0.018 ± 0.007</w:t>
            </w:r>
          </w:p>
        </w:tc>
        <w:tc>
          <w:tcPr>
            <w:tcW w:w="0" w:type="auto"/>
            <w:vAlign w:val="center"/>
            <w:hideMark/>
          </w:tcPr>
          <w:p w14:paraId="1B4D4E2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0.050</w:t>
            </w:r>
          </w:p>
        </w:tc>
      </w:tr>
      <w:tr w:rsidR="00A748CB" w:rsidRPr="00A748CB" w14:paraId="7F93F021" w14:textId="77777777" w:rsidTr="00C3243C">
        <w:trPr>
          <w:trHeight w:val="463"/>
          <w:tblCellSpacing w:w="15" w:type="dxa"/>
        </w:trPr>
        <w:tc>
          <w:tcPr>
            <w:tcW w:w="0" w:type="auto"/>
            <w:vAlign w:val="center"/>
            <w:hideMark/>
          </w:tcPr>
          <w:p w14:paraId="07FFFEB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Ni</w:t>
            </w:r>
          </w:p>
        </w:tc>
        <w:tc>
          <w:tcPr>
            <w:tcW w:w="0" w:type="auto"/>
            <w:vAlign w:val="center"/>
            <w:hideMark/>
          </w:tcPr>
          <w:p w14:paraId="02DA776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0.052 ± 0.021</w:t>
            </w:r>
          </w:p>
        </w:tc>
        <w:tc>
          <w:tcPr>
            <w:tcW w:w="0" w:type="auto"/>
            <w:vAlign w:val="center"/>
            <w:hideMark/>
          </w:tcPr>
          <w:p w14:paraId="1222D57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0.031 ± 0.013</w:t>
            </w:r>
          </w:p>
        </w:tc>
        <w:tc>
          <w:tcPr>
            <w:tcW w:w="0" w:type="auto"/>
            <w:vAlign w:val="center"/>
            <w:hideMark/>
          </w:tcPr>
          <w:p w14:paraId="5D63775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0.027 ± 0.011</w:t>
            </w:r>
          </w:p>
        </w:tc>
        <w:tc>
          <w:tcPr>
            <w:tcW w:w="0" w:type="auto"/>
            <w:vAlign w:val="center"/>
            <w:hideMark/>
          </w:tcPr>
          <w:p w14:paraId="4BE732C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0.070</w:t>
            </w:r>
          </w:p>
        </w:tc>
      </w:tr>
      <w:tr w:rsidR="00A748CB" w:rsidRPr="00A748CB" w14:paraId="72A9DE87" w14:textId="77777777" w:rsidTr="00C3243C">
        <w:trPr>
          <w:trHeight w:val="463"/>
          <w:tblCellSpacing w:w="15" w:type="dxa"/>
        </w:trPr>
        <w:tc>
          <w:tcPr>
            <w:tcW w:w="0" w:type="auto"/>
            <w:vAlign w:val="center"/>
            <w:hideMark/>
          </w:tcPr>
          <w:p w14:paraId="69701B2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Zn</w:t>
            </w:r>
          </w:p>
        </w:tc>
        <w:tc>
          <w:tcPr>
            <w:tcW w:w="0" w:type="auto"/>
            <w:vAlign w:val="center"/>
            <w:hideMark/>
          </w:tcPr>
          <w:p w14:paraId="0CCE4FB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0.38 ± 0.16</w:t>
            </w:r>
          </w:p>
        </w:tc>
        <w:tc>
          <w:tcPr>
            <w:tcW w:w="0" w:type="auto"/>
            <w:vAlign w:val="center"/>
            <w:hideMark/>
          </w:tcPr>
          <w:p w14:paraId="61D4907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0.26 ± 0.12</w:t>
            </w:r>
          </w:p>
        </w:tc>
        <w:tc>
          <w:tcPr>
            <w:tcW w:w="0" w:type="auto"/>
            <w:vAlign w:val="center"/>
            <w:hideMark/>
          </w:tcPr>
          <w:p w14:paraId="32B8256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0.22 ± 0.10</w:t>
            </w:r>
          </w:p>
        </w:tc>
        <w:tc>
          <w:tcPr>
            <w:tcW w:w="0" w:type="auto"/>
            <w:vAlign w:val="center"/>
            <w:hideMark/>
          </w:tcPr>
          <w:p w14:paraId="5D7F2B3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3.0</w:t>
            </w:r>
          </w:p>
        </w:tc>
      </w:tr>
      <w:tr w:rsidR="00A748CB" w:rsidRPr="00A748CB" w14:paraId="58930EB5" w14:textId="77777777" w:rsidTr="00C3243C">
        <w:trPr>
          <w:trHeight w:val="463"/>
          <w:tblCellSpacing w:w="15" w:type="dxa"/>
        </w:trPr>
        <w:tc>
          <w:tcPr>
            <w:tcW w:w="0" w:type="auto"/>
            <w:vAlign w:val="center"/>
            <w:hideMark/>
          </w:tcPr>
          <w:p w14:paraId="79CAE36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Cu</w:t>
            </w:r>
          </w:p>
        </w:tc>
        <w:tc>
          <w:tcPr>
            <w:tcW w:w="0" w:type="auto"/>
            <w:vAlign w:val="center"/>
            <w:hideMark/>
          </w:tcPr>
          <w:p w14:paraId="77835BC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0.19 ± 0.08</w:t>
            </w:r>
          </w:p>
        </w:tc>
        <w:tc>
          <w:tcPr>
            <w:tcW w:w="0" w:type="auto"/>
            <w:vAlign w:val="center"/>
            <w:hideMark/>
          </w:tcPr>
          <w:p w14:paraId="0565E93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0.11 ± 0.05</w:t>
            </w:r>
          </w:p>
        </w:tc>
        <w:tc>
          <w:tcPr>
            <w:tcW w:w="0" w:type="auto"/>
            <w:vAlign w:val="center"/>
            <w:hideMark/>
          </w:tcPr>
          <w:p w14:paraId="31B1CFA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0.09 ± 0.04</w:t>
            </w:r>
          </w:p>
        </w:tc>
        <w:tc>
          <w:tcPr>
            <w:tcW w:w="0" w:type="auto"/>
            <w:vAlign w:val="center"/>
            <w:hideMark/>
          </w:tcPr>
          <w:p w14:paraId="0D783B9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2.0</w:t>
            </w:r>
          </w:p>
        </w:tc>
      </w:tr>
    </w:tbl>
    <w:p w14:paraId="1CA82374" w14:textId="249468C5" w:rsidR="008A7665" w:rsidRPr="00A748CB" w:rsidRDefault="008A7665" w:rsidP="00A748CB">
      <w:pPr>
        <w:jc w:val="both"/>
        <w:rPr>
          <w:rFonts w:ascii="Times New Roman" w:hAnsi="Times New Roman" w:cs="Times New Roman"/>
          <w:sz w:val="24"/>
          <w:szCs w:val="24"/>
        </w:rPr>
      </w:pPr>
    </w:p>
    <w:p w14:paraId="5FD54B7D" w14:textId="77777777" w:rsidR="00C3243C" w:rsidRPr="00A748CB" w:rsidRDefault="00C3243C" w:rsidP="00A748CB">
      <w:pPr>
        <w:pStyle w:val="Heading3"/>
        <w:jc w:val="both"/>
        <w:rPr>
          <w:rFonts w:ascii="Times New Roman" w:hAnsi="Times New Roman" w:cs="Times New Roman"/>
          <w:color w:val="auto"/>
        </w:rPr>
      </w:pPr>
      <w:r w:rsidRPr="00A748CB">
        <w:rPr>
          <w:rStyle w:val="Strong"/>
          <w:rFonts w:ascii="Times New Roman" w:hAnsi="Times New Roman" w:cs="Times New Roman"/>
          <w:b w:val="0"/>
          <w:bCs w:val="0"/>
          <w:color w:val="auto"/>
        </w:rPr>
        <w:lastRenderedPageBreak/>
        <w:t>Table 3</w:t>
      </w:r>
      <w:r w:rsidRPr="00A748CB">
        <w:rPr>
          <w:rFonts w:ascii="Times New Roman" w:hAnsi="Times New Roman" w:cs="Times New Roman"/>
          <w:color w:val="auto"/>
        </w:rPr>
        <w:t xml:space="preserve"> demonstrates significant seasonal variation in surface-water metal concentrations. Iron, lead, cadmium, and nickel were significantly higher during the dry season (p &lt; 0.05), suggesting reduced dilution and enhanced concentration from runoff and atmospheric deposition. Zinc also showed higher dry-season values, although the difference was not statistically significant (p = 0.061).</w:t>
      </w:r>
    </w:p>
    <w:p w14:paraId="7964C99E" w14:textId="16D0B5A5"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Table 3: Seasonal Variation of Heavy Metals in</w:t>
      </w:r>
      <w:r w:rsidR="00C3243C" w:rsidRPr="00A748CB">
        <w:rPr>
          <w:rStyle w:val="Strong"/>
          <w:rFonts w:ascii="Times New Roman" w:hAnsi="Times New Roman" w:cs="Times New Roman"/>
          <w:color w:val="auto"/>
        </w:rPr>
        <w:t xml:space="preserve"> (mg/L)</w:t>
      </w:r>
      <w:r w:rsidRPr="00A748CB">
        <w:rPr>
          <w:rStyle w:val="Strong"/>
          <w:rFonts w:ascii="Times New Roman" w:hAnsi="Times New Roman" w:cs="Times New Roman"/>
          <w:color w:val="auto"/>
        </w:rPr>
        <w:t xml:space="preserve"> Surface Waters </w:t>
      </w:r>
    </w:p>
    <w:tbl>
      <w:tblPr>
        <w:tblW w:w="6191" w:type="dxa"/>
        <w:tblCellSpacing w:w="15" w:type="dxa"/>
        <w:tblCellMar>
          <w:top w:w="15" w:type="dxa"/>
          <w:left w:w="15" w:type="dxa"/>
          <w:bottom w:w="15" w:type="dxa"/>
          <w:right w:w="15" w:type="dxa"/>
        </w:tblCellMar>
        <w:tblLook w:val="04A0" w:firstRow="1" w:lastRow="0" w:firstColumn="1" w:lastColumn="0" w:noHBand="0" w:noVBand="1"/>
      </w:tblPr>
      <w:tblGrid>
        <w:gridCol w:w="963"/>
        <w:gridCol w:w="2015"/>
        <w:gridCol w:w="2015"/>
        <w:gridCol w:w="1198"/>
      </w:tblGrid>
      <w:tr w:rsidR="00A748CB" w:rsidRPr="00A748CB" w14:paraId="2DF39781" w14:textId="77777777" w:rsidTr="00C3243C">
        <w:trPr>
          <w:trHeight w:val="452"/>
          <w:tblHeader/>
          <w:tblCellSpacing w:w="15" w:type="dxa"/>
        </w:trPr>
        <w:tc>
          <w:tcPr>
            <w:tcW w:w="0" w:type="auto"/>
            <w:vAlign w:val="center"/>
            <w:hideMark/>
          </w:tcPr>
          <w:p w14:paraId="2A97A03F"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Metal</w:t>
            </w:r>
          </w:p>
        </w:tc>
        <w:tc>
          <w:tcPr>
            <w:tcW w:w="0" w:type="auto"/>
            <w:vAlign w:val="center"/>
            <w:hideMark/>
          </w:tcPr>
          <w:p w14:paraId="15EB4F74"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Dry Season</w:t>
            </w:r>
          </w:p>
        </w:tc>
        <w:tc>
          <w:tcPr>
            <w:tcW w:w="0" w:type="auto"/>
            <w:vAlign w:val="center"/>
            <w:hideMark/>
          </w:tcPr>
          <w:p w14:paraId="7F53E250"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Wet Season</w:t>
            </w:r>
          </w:p>
        </w:tc>
        <w:tc>
          <w:tcPr>
            <w:tcW w:w="0" w:type="auto"/>
            <w:vAlign w:val="center"/>
            <w:hideMark/>
          </w:tcPr>
          <w:p w14:paraId="501E1AB6"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p-value</w:t>
            </w:r>
          </w:p>
        </w:tc>
      </w:tr>
      <w:tr w:rsidR="00A748CB" w:rsidRPr="00A748CB" w14:paraId="0C65C1CB" w14:textId="77777777" w:rsidTr="00C3243C">
        <w:trPr>
          <w:trHeight w:val="469"/>
          <w:tblCellSpacing w:w="15" w:type="dxa"/>
        </w:trPr>
        <w:tc>
          <w:tcPr>
            <w:tcW w:w="0" w:type="auto"/>
            <w:vAlign w:val="center"/>
            <w:hideMark/>
          </w:tcPr>
          <w:p w14:paraId="7507EC1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Fe</w:t>
            </w:r>
          </w:p>
        </w:tc>
        <w:tc>
          <w:tcPr>
            <w:tcW w:w="0" w:type="auto"/>
            <w:vAlign w:val="center"/>
            <w:hideMark/>
          </w:tcPr>
          <w:p w14:paraId="4BF9A32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1.02 ± 0.36</w:t>
            </w:r>
          </w:p>
        </w:tc>
        <w:tc>
          <w:tcPr>
            <w:tcW w:w="0" w:type="auto"/>
            <w:vAlign w:val="center"/>
            <w:hideMark/>
          </w:tcPr>
          <w:p w14:paraId="42F4AC7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0.69 ± 0.28</w:t>
            </w:r>
          </w:p>
        </w:tc>
        <w:tc>
          <w:tcPr>
            <w:tcW w:w="0" w:type="auto"/>
            <w:vAlign w:val="center"/>
            <w:hideMark/>
          </w:tcPr>
          <w:p w14:paraId="3F892BE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0.019</w:t>
            </w:r>
          </w:p>
        </w:tc>
      </w:tr>
      <w:tr w:rsidR="00A748CB" w:rsidRPr="00A748CB" w14:paraId="55751EB4" w14:textId="77777777" w:rsidTr="00C3243C">
        <w:trPr>
          <w:trHeight w:val="452"/>
          <w:tblCellSpacing w:w="15" w:type="dxa"/>
        </w:trPr>
        <w:tc>
          <w:tcPr>
            <w:tcW w:w="0" w:type="auto"/>
            <w:vAlign w:val="center"/>
            <w:hideMark/>
          </w:tcPr>
          <w:p w14:paraId="36C834C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Pb</w:t>
            </w:r>
          </w:p>
        </w:tc>
        <w:tc>
          <w:tcPr>
            <w:tcW w:w="0" w:type="auto"/>
            <w:vAlign w:val="center"/>
            <w:hideMark/>
          </w:tcPr>
          <w:p w14:paraId="399E952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0.036 ± 0.012</w:t>
            </w:r>
          </w:p>
        </w:tc>
        <w:tc>
          <w:tcPr>
            <w:tcW w:w="0" w:type="auto"/>
            <w:vAlign w:val="center"/>
            <w:hideMark/>
          </w:tcPr>
          <w:p w14:paraId="13CDF77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0.021 ± 0.009</w:t>
            </w:r>
          </w:p>
        </w:tc>
        <w:tc>
          <w:tcPr>
            <w:tcW w:w="0" w:type="auto"/>
            <w:vAlign w:val="center"/>
            <w:hideMark/>
          </w:tcPr>
          <w:p w14:paraId="5F9AECA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0.027</w:t>
            </w:r>
          </w:p>
        </w:tc>
      </w:tr>
      <w:tr w:rsidR="00A748CB" w:rsidRPr="00A748CB" w14:paraId="65D88171" w14:textId="77777777" w:rsidTr="00C3243C">
        <w:trPr>
          <w:trHeight w:val="452"/>
          <w:tblCellSpacing w:w="15" w:type="dxa"/>
        </w:trPr>
        <w:tc>
          <w:tcPr>
            <w:tcW w:w="0" w:type="auto"/>
            <w:vAlign w:val="center"/>
            <w:hideMark/>
          </w:tcPr>
          <w:p w14:paraId="0927B20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Cd</w:t>
            </w:r>
          </w:p>
        </w:tc>
        <w:tc>
          <w:tcPr>
            <w:tcW w:w="0" w:type="auto"/>
            <w:vAlign w:val="center"/>
            <w:hideMark/>
          </w:tcPr>
          <w:p w14:paraId="52E5EA8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0.007 ± 0.002</w:t>
            </w:r>
          </w:p>
        </w:tc>
        <w:tc>
          <w:tcPr>
            <w:tcW w:w="0" w:type="auto"/>
            <w:vAlign w:val="center"/>
            <w:hideMark/>
          </w:tcPr>
          <w:p w14:paraId="5962D5B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0.004 ± 0.001</w:t>
            </w:r>
          </w:p>
        </w:tc>
        <w:tc>
          <w:tcPr>
            <w:tcW w:w="0" w:type="auto"/>
            <w:vAlign w:val="center"/>
            <w:hideMark/>
          </w:tcPr>
          <w:p w14:paraId="3FACDE4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0.021</w:t>
            </w:r>
          </w:p>
        </w:tc>
      </w:tr>
      <w:tr w:rsidR="00A748CB" w:rsidRPr="00A748CB" w14:paraId="4EDB20D8" w14:textId="77777777" w:rsidTr="00C3243C">
        <w:trPr>
          <w:trHeight w:val="452"/>
          <w:tblCellSpacing w:w="15" w:type="dxa"/>
        </w:trPr>
        <w:tc>
          <w:tcPr>
            <w:tcW w:w="0" w:type="auto"/>
            <w:vAlign w:val="center"/>
            <w:hideMark/>
          </w:tcPr>
          <w:p w14:paraId="3DEAAD9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Ni</w:t>
            </w:r>
          </w:p>
        </w:tc>
        <w:tc>
          <w:tcPr>
            <w:tcW w:w="0" w:type="auto"/>
            <w:vAlign w:val="center"/>
            <w:hideMark/>
          </w:tcPr>
          <w:p w14:paraId="6F13002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0.058 ± 0.023</w:t>
            </w:r>
          </w:p>
        </w:tc>
        <w:tc>
          <w:tcPr>
            <w:tcW w:w="0" w:type="auto"/>
            <w:vAlign w:val="center"/>
            <w:hideMark/>
          </w:tcPr>
          <w:p w14:paraId="46FABBA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0.039 ± 0.017</w:t>
            </w:r>
          </w:p>
        </w:tc>
        <w:tc>
          <w:tcPr>
            <w:tcW w:w="0" w:type="auto"/>
            <w:vAlign w:val="center"/>
            <w:hideMark/>
          </w:tcPr>
          <w:p w14:paraId="1BFCDDF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0.033</w:t>
            </w:r>
          </w:p>
        </w:tc>
      </w:tr>
      <w:tr w:rsidR="00A748CB" w:rsidRPr="00A748CB" w14:paraId="796BF9F8" w14:textId="77777777" w:rsidTr="00C3243C">
        <w:trPr>
          <w:trHeight w:val="469"/>
          <w:tblCellSpacing w:w="15" w:type="dxa"/>
        </w:trPr>
        <w:tc>
          <w:tcPr>
            <w:tcW w:w="0" w:type="auto"/>
            <w:vAlign w:val="center"/>
            <w:hideMark/>
          </w:tcPr>
          <w:p w14:paraId="4787E472"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Zn</w:t>
            </w:r>
          </w:p>
        </w:tc>
        <w:tc>
          <w:tcPr>
            <w:tcW w:w="0" w:type="auto"/>
            <w:vAlign w:val="center"/>
            <w:hideMark/>
          </w:tcPr>
          <w:p w14:paraId="4353CB6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0.41 ± 0.17</w:t>
            </w:r>
          </w:p>
        </w:tc>
        <w:tc>
          <w:tcPr>
            <w:tcW w:w="0" w:type="auto"/>
            <w:vAlign w:val="center"/>
            <w:hideMark/>
          </w:tcPr>
          <w:p w14:paraId="00AFB83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0.29 ± 0.13</w:t>
            </w:r>
          </w:p>
        </w:tc>
        <w:tc>
          <w:tcPr>
            <w:tcW w:w="0" w:type="auto"/>
            <w:vAlign w:val="center"/>
            <w:hideMark/>
          </w:tcPr>
          <w:p w14:paraId="7039EDF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0.061</w:t>
            </w:r>
          </w:p>
        </w:tc>
      </w:tr>
    </w:tbl>
    <w:p w14:paraId="3E619C99" w14:textId="159F8A96" w:rsidR="008A7665" w:rsidRPr="00A748CB" w:rsidRDefault="008A7665" w:rsidP="00A748CB">
      <w:pPr>
        <w:jc w:val="both"/>
        <w:rPr>
          <w:rFonts w:ascii="Times New Roman" w:hAnsi="Times New Roman" w:cs="Times New Roman"/>
          <w:sz w:val="24"/>
          <w:szCs w:val="24"/>
        </w:rPr>
      </w:pPr>
    </w:p>
    <w:p w14:paraId="6C34D839" w14:textId="77777777" w:rsidR="00C3243C" w:rsidRPr="00A748CB" w:rsidRDefault="00C3243C" w:rsidP="00A748CB">
      <w:pPr>
        <w:pStyle w:val="Heading3"/>
        <w:jc w:val="both"/>
        <w:rPr>
          <w:rFonts w:ascii="Times New Roman" w:hAnsi="Times New Roman" w:cs="Times New Roman"/>
          <w:color w:val="auto"/>
        </w:rPr>
      </w:pPr>
      <w:r w:rsidRPr="00A748CB">
        <w:rPr>
          <w:rStyle w:val="Strong"/>
          <w:rFonts w:ascii="Times New Roman" w:hAnsi="Times New Roman" w:cs="Times New Roman"/>
          <w:b w:val="0"/>
          <w:bCs w:val="0"/>
          <w:color w:val="auto"/>
        </w:rPr>
        <w:t>Table 4</w:t>
      </w:r>
      <w:r w:rsidRPr="00A748CB">
        <w:rPr>
          <w:rFonts w:ascii="Times New Roman" w:hAnsi="Times New Roman" w:cs="Times New Roman"/>
          <w:color w:val="auto"/>
        </w:rPr>
        <w:t xml:space="preserve"> shows that estimated daily intake values for all assessed metals were below USEPA reference doses for both adults and children. Children consistently recorded higher EDI values, with lead (0.00141 mg/kg/day) and zinc (0.00993 mg/kg/day) contributing the highest intakes due to lower body weight and higher exposure sensitivity.</w:t>
      </w:r>
    </w:p>
    <w:p w14:paraId="41C17D03" w14:textId="206F62FA"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Table 4: Estimated Daily Intake (EDI) of Heavy Metals (mg/kg/day)</w:t>
      </w:r>
    </w:p>
    <w:tbl>
      <w:tblPr>
        <w:tblW w:w="7659" w:type="dxa"/>
        <w:tblCellSpacing w:w="15" w:type="dxa"/>
        <w:tblCellMar>
          <w:top w:w="15" w:type="dxa"/>
          <w:left w:w="15" w:type="dxa"/>
          <w:bottom w:w="15" w:type="dxa"/>
          <w:right w:w="15" w:type="dxa"/>
        </w:tblCellMar>
        <w:tblLook w:val="04A0" w:firstRow="1" w:lastRow="0" w:firstColumn="1" w:lastColumn="0" w:noHBand="0" w:noVBand="1"/>
      </w:tblPr>
      <w:tblGrid>
        <w:gridCol w:w="1021"/>
        <w:gridCol w:w="1285"/>
        <w:gridCol w:w="1503"/>
        <w:gridCol w:w="3850"/>
      </w:tblGrid>
      <w:tr w:rsidR="00A748CB" w:rsidRPr="00A748CB" w14:paraId="60C09403" w14:textId="77777777" w:rsidTr="00C3243C">
        <w:trPr>
          <w:trHeight w:val="426"/>
          <w:tblHeader/>
          <w:tblCellSpacing w:w="15" w:type="dxa"/>
        </w:trPr>
        <w:tc>
          <w:tcPr>
            <w:tcW w:w="0" w:type="auto"/>
            <w:vAlign w:val="center"/>
            <w:hideMark/>
          </w:tcPr>
          <w:p w14:paraId="36E5B75A"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Metal</w:t>
            </w:r>
          </w:p>
        </w:tc>
        <w:tc>
          <w:tcPr>
            <w:tcW w:w="0" w:type="auto"/>
            <w:vAlign w:val="center"/>
            <w:hideMark/>
          </w:tcPr>
          <w:p w14:paraId="25B7DAAD"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Adults</w:t>
            </w:r>
          </w:p>
        </w:tc>
        <w:tc>
          <w:tcPr>
            <w:tcW w:w="0" w:type="auto"/>
            <w:vAlign w:val="center"/>
            <w:hideMark/>
          </w:tcPr>
          <w:p w14:paraId="194CF6AB"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Children</w:t>
            </w:r>
          </w:p>
        </w:tc>
        <w:tc>
          <w:tcPr>
            <w:tcW w:w="0" w:type="auto"/>
            <w:vAlign w:val="center"/>
            <w:hideMark/>
          </w:tcPr>
          <w:p w14:paraId="389FAD1A"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USEPA Reference Dose</w:t>
            </w:r>
          </w:p>
        </w:tc>
      </w:tr>
      <w:tr w:rsidR="00A748CB" w:rsidRPr="00A748CB" w14:paraId="4B5A86CA" w14:textId="77777777" w:rsidTr="00C3243C">
        <w:trPr>
          <w:trHeight w:val="442"/>
          <w:tblCellSpacing w:w="15" w:type="dxa"/>
        </w:trPr>
        <w:tc>
          <w:tcPr>
            <w:tcW w:w="0" w:type="auto"/>
            <w:vAlign w:val="center"/>
            <w:hideMark/>
          </w:tcPr>
          <w:p w14:paraId="56FB219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Pb</w:t>
            </w:r>
          </w:p>
        </w:tc>
        <w:tc>
          <w:tcPr>
            <w:tcW w:w="0" w:type="auto"/>
            <w:vAlign w:val="center"/>
            <w:hideMark/>
          </w:tcPr>
          <w:p w14:paraId="7B436F6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0.00062</w:t>
            </w:r>
          </w:p>
        </w:tc>
        <w:tc>
          <w:tcPr>
            <w:tcW w:w="0" w:type="auto"/>
            <w:vAlign w:val="center"/>
            <w:hideMark/>
          </w:tcPr>
          <w:p w14:paraId="6516617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0.00141</w:t>
            </w:r>
          </w:p>
        </w:tc>
        <w:tc>
          <w:tcPr>
            <w:tcW w:w="0" w:type="auto"/>
            <w:vAlign w:val="center"/>
            <w:hideMark/>
          </w:tcPr>
          <w:p w14:paraId="26A60D5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0.0035</w:t>
            </w:r>
          </w:p>
        </w:tc>
      </w:tr>
      <w:tr w:rsidR="00A748CB" w:rsidRPr="00A748CB" w14:paraId="372CFA95" w14:textId="77777777" w:rsidTr="00C3243C">
        <w:trPr>
          <w:trHeight w:val="426"/>
          <w:tblCellSpacing w:w="15" w:type="dxa"/>
        </w:trPr>
        <w:tc>
          <w:tcPr>
            <w:tcW w:w="0" w:type="auto"/>
            <w:vAlign w:val="center"/>
            <w:hideMark/>
          </w:tcPr>
          <w:p w14:paraId="6AF1D87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Cd</w:t>
            </w:r>
          </w:p>
        </w:tc>
        <w:tc>
          <w:tcPr>
            <w:tcW w:w="0" w:type="auto"/>
            <w:vAlign w:val="center"/>
            <w:hideMark/>
          </w:tcPr>
          <w:p w14:paraId="5B0A01F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0.00018</w:t>
            </w:r>
          </w:p>
        </w:tc>
        <w:tc>
          <w:tcPr>
            <w:tcW w:w="0" w:type="auto"/>
            <w:vAlign w:val="center"/>
            <w:hideMark/>
          </w:tcPr>
          <w:p w14:paraId="29FACF3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0.00039</w:t>
            </w:r>
          </w:p>
        </w:tc>
        <w:tc>
          <w:tcPr>
            <w:tcW w:w="0" w:type="auto"/>
            <w:vAlign w:val="center"/>
            <w:hideMark/>
          </w:tcPr>
          <w:p w14:paraId="15ECC422"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0.001</w:t>
            </w:r>
          </w:p>
        </w:tc>
      </w:tr>
      <w:tr w:rsidR="00A748CB" w:rsidRPr="00A748CB" w14:paraId="680630E4" w14:textId="77777777" w:rsidTr="00C3243C">
        <w:trPr>
          <w:trHeight w:val="426"/>
          <w:tblCellSpacing w:w="15" w:type="dxa"/>
        </w:trPr>
        <w:tc>
          <w:tcPr>
            <w:tcW w:w="0" w:type="auto"/>
            <w:vAlign w:val="center"/>
            <w:hideMark/>
          </w:tcPr>
          <w:p w14:paraId="539602B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Cr</w:t>
            </w:r>
          </w:p>
        </w:tc>
        <w:tc>
          <w:tcPr>
            <w:tcW w:w="0" w:type="auto"/>
            <w:vAlign w:val="center"/>
            <w:hideMark/>
          </w:tcPr>
          <w:p w14:paraId="3CF3F9F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0.00044</w:t>
            </w:r>
          </w:p>
        </w:tc>
        <w:tc>
          <w:tcPr>
            <w:tcW w:w="0" w:type="auto"/>
            <w:vAlign w:val="center"/>
            <w:hideMark/>
          </w:tcPr>
          <w:p w14:paraId="76C9EC8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0.00093</w:t>
            </w:r>
          </w:p>
        </w:tc>
        <w:tc>
          <w:tcPr>
            <w:tcW w:w="0" w:type="auto"/>
            <w:vAlign w:val="center"/>
            <w:hideMark/>
          </w:tcPr>
          <w:p w14:paraId="3B8492F2"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0.003</w:t>
            </w:r>
          </w:p>
        </w:tc>
      </w:tr>
      <w:tr w:rsidR="00A748CB" w:rsidRPr="00A748CB" w14:paraId="372A6144" w14:textId="77777777" w:rsidTr="00C3243C">
        <w:trPr>
          <w:trHeight w:val="426"/>
          <w:tblCellSpacing w:w="15" w:type="dxa"/>
        </w:trPr>
        <w:tc>
          <w:tcPr>
            <w:tcW w:w="0" w:type="auto"/>
            <w:vAlign w:val="center"/>
            <w:hideMark/>
          </w:tcPr>
          <w:p w14:paraId="508E9902"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Ni</w:t>
            </w:r>
          </w:p>
        </w:tc>
        <w:tc>
          <w:tcPr>
            <w:tcW w:w="0" w:type="auto"/>
            <w:vAlign w:val="center"/>
            <w:hideMark/>
          </w:tcPr>
          <w:p w14:paraId="0990B71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0.00071</w:t>
            </w:r>
          </w:p>
        </w:tc>
        <w:tc>
          <w:tcPr>
            <w:tcW w:w="0" w:type="auto"/>
            <w:vAlign w:val="center"/>
            <w:hideMark/>
          </w:tcPr>
          <w:p w14:paraId="0FCC031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0.00148</w:t>
            </w:r>
          </w:p>
        </w:tc>
        <w:tc>
          <w:tcPr>
            <w:tcW w:w="0" w:type="auto"/>
            <w:vAlign w:val="center"/>
            <w:hideMark/>
          </w:tcPr>
          <w:p w14:paraId="20A00D4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w:t>
            </w:r>
          </w:p>
        </w:tc>
      </w:tr>
      <w:tr w:rsidR="00A748CB" w:rsidRPr="00A748CB" w14:paraId="7B830A86" w14:textId="77777777" w:rsidTr="00C3243C">
        <w:trPr>
          <w:trHeight w:val="442"/>
          <w:tblCellSpacing w:w="15" w:type="dxa"/>
        </w:trPr>
        <w:tc>
          <w:tcPr>
            <w:tcW w:w="0" w:type="auto"/>
            <w:vAlign w:val="center"/>
            <w:hideMark/>
          </w:tcPr>
          <w:p w14:paraId="6FE24CE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Zn</w:t>
            </w:r>
          </w:p>
        </w:tc>
        <w:tc>
          <w:tcPr>
            <w:tcW w:w="0" w:type="auto"/>
            <w:vAlign w:val="center"/>
            <w:hideMark/>
          </w:tcPr>
          <w:p w14:paraId="57AE67D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0.00482</w:t>
            </w:r>
          </w:p>
        </w:tc>
        <w:tc>
          <w:tcPr>
            <w:tcW w:w="0" w:type="auto"/>
            <w:vAlign w:val="center"/>
            <w:hideMark/>
          </w:tcPr>
          <w:p w14:paraId="58D32049"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0.00993</w:t>
            </w:r>
          </w:p>
        </w:tc>
        <w:tc>
          <w:tcPr>
            <w:tcW w:w="0" w:type="auto"/>
            <w:vAlign w:val="center"/>
            <w:hideMark/>
          </w:tcPr>
          <w:p w14:paraId="368A87A8"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0.30</w:t>
            </w:r>
          </w:p>
        </w:tc>
      </w:tr>
      <w:tr w:rsidR="00A748CB" w:rsidRPr="00A748CB" w14:paraId="72861183" w14:textId="77777777" w:rsidTr="00C3243C">
        <w:trPr>
          <w:trHeight w:val="426"/>
          <w:tblCellSpacing w:w="15" w:type="dxa"/>
        </w:trPr>
        <w:tc>
          <w:tcPr>
            <w:tcW w:w="0" w:type="auto"/>
            <w:vAlign w:val="center"/>
            <w:hideMark/>
          </w:tcPr>
          <w:p w14:paraId="6D37B65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Cu</w:t>
            </w:r>
          </w:p>
        </w:tc>
        <w:tc>
          <w:tcPr>
            <w:tcW w:w="0" w:type="auto"/>
            <w:vAlign w:val="center"/>
            <w:hideMark/>
          </w:tcPr>
          <w:p w14:paraId="0D5BAEA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0.00194</w:t>
            </w:r>
          </w:p>
        </w:tc>
        <w:tc>
          <w:tcPr>
            <w:tcW w:w="0" w:type="auto"/>
            <w:vAlign w:val="center"/>
            <w:hideMark/>
          </w:tcPr>
          <w:p w14:paraId="1149192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0.00416</w:t>
            </w:r>
          </w:p>
        </w:tc>
        <w:tc>
          <w:tcPr>
            <w:tcW w:w="0" w:type="auto"/>
            <w:vAlign w:val="center"/>
            <w:hideMark/>
          </w:tcPr>
          <w:p w14:paraId="3C570C7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0.04</w:t>
            </w:r>
          </w:p>
        </w:tc>
      </w:tr>
    </w:tbl>
    <w:p w14:paraId="1C5AB817" w14:textId="520B4694" w:rsidR="008A7665" w:rsidRPr="00A748CB" w:rsidRDefault="008A7665" w:rsidP="00A748CB">
      <w:pPr>
        <w:jc w:val="both"/>
        <w:rPr>
          <w:rFonts w:ascii="Times New Roman" w:hAnsi="Times New Roman" w:cs="Times New Roman"/>
          <w:sz w:val="24"/>
          <w:szCs w:val="24"/>
        </w:rPr>
      </w:pPr>
    </w:p>
    <w:p w14:paraId="51E0A50E" w14:textId="77777777" w:rsidR="00C3243C" w:rsidRPr="00A748CB" w:rsidRDefault="00C3243C" w:rsidP="00A748CB">
      <w:pPr>
        <w:pStyle w:val="Heading3"/>
        <w:jc w:val="both"/>
        <w:rPr>
          <w:rFonts w:ascii="Times New Roman" w:hAnsi="Times New Roman" w:cs="Times New Roman"/>
          <w:color w:val="auto"/>
        </w:rPr>
      </w:pPr>
      <w:r w:rsidRPr="00A748CB">
        <w:rPr>
          <w:rStyle w:val="Strong"/>
          <w:rFonts w:ascii="Times New Roman" w:hAnsi="Times New Roman" w:cs="Times New Roman"/>
          <w:b w:val="0"/>
          <w:bCs w:val="0"/>
          <w:color w:val="auto"/>
        </w:rPr>
        <w:t>Table 5</w:t>
      </w:r>
      <w:r w:rsidRPr="00A748CB">
        <w:rPr>
          <w:rFonts w:ascii="Times New Roman" w:hAnsi="Times New Roman" w:cs="Times New Roman"/>
          <w:color w:val="auto"/>
        </w:rPr>
        <w:t xml:space="preserve"> indicates that hazard quotient values for individual metals were below unity for adults and children, suggesting no immediate non-carcinogenic risk from single-metal exposure. However, lead and cadmium showed relatively higher HQ values, particularly for children (0.40 and 0.39, respectively), highlighting their greater contribution to potential health risk.</w:t>
      </w:r>
    </w:p>
    <w:p w14:paraId="5F551A9A" w14:textId="69ADF6C4"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Table 5: Non-Carcinogenic Risk Assessment (Hazard Quotient, HQ)</w:t>
      </w:r>
    </w:p>
    <w:tbl>
      <w:tblPr>
        <w:tblW w:w="6079" w:type="dxa"/>
        <w:tblCellSpacing w:w="15" w:type="dxa"/>
        <w:tblCellMar>
          <w:top w:w="15" w:type="dxa"/>
          <w:left w:w="15" w:type="dxa"/>
          <w:bottom w:w="15" w:type="dxa"/>
          <w:right w:w="15" w:type="dxa"/>
        </w:tblCellMar>
        <w:tblLook w:val="04A0" w:firstRow="1" w:lastRow="0" w:firstColumn="1" w:lastColumn="0" w:noHBand="0" w:noVBand="1"/>
      </w:tblPr>
      <w:tblGrid>
        <w:gridCol w:w="1233"/>
        <w:gridCol w:w="2189"/>
        <w:gridCol w:w="2657"/>
      </w:tblGrid>
      <w:tr w:rsidR="00A748CB" w:rsidRPr="00A748CB" w14:paraId="353B4A4A" w14:textId="77777777" w:rsidTr="00C3243C">
        <w:trPr>
          <w:trHeight w:val="428"/>
          <w:tblHeader/>
          <w:tblCellSpacing w:w="15" w:type="dxa"/>
        </w:trPr>
        <w:tc>
          <w:tcPr>
            <w:tcW w:w="0" w:type="auto"/>
            <w:vAlign w:val="center"/>
            <w:hideMark/>
          </w:tcPr>
          <w:p w14:paraId="5EEA7463"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Metal</w:t>
            </w:r>
          </w:p>
        </w:tc>
        <w:tc>
          <w:tcPr>
            <w:tcW w:w="0" w:type="auto"/>
            <w:vAlign w:val="center"/>
            <w:hideMark/>
          </w:tcPr>
          <w:p w14:paraId="637FF020"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HQ Adults</w:t>
            </w:r>
          </w:p>
        </w:tc>
        <w:tc>
          <w:tcPr>
            <w:tcW w:w="0" w:type="auto"/>
            <w:vAlign w:val="center"/>
            <w:hideMark/>
          </w:tcPr>
          <w:p w14:paraId="3E2BE69F"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HQ Children</w:t>
            </w:r>
          </w:p>
        </w:tc>
      </w:tr>
      <w:tr w:rsidR="00A748CB" w:rsidRPr="00A748CB" w14:paraId="2E0FD1C0" w14:textId="77777777" w:rsidTr="00C3243C">
        <w:trPr>
          <w:trHeight w:val="444"/>
          <w:tblCellSpacing w:w="15" w:type="dxa"/>
        </w:trPr>
        <w:tc>
          <w:tcPr>
            <w:tcW w:w="0" w:type="auto"/>
            <w:vAlign w:val="center"/>
            <w:hideMark/>
          </w:tcPr>
          <w:p w14:paraId="3E9DBB4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Pb</w:t>
            </w:r>
          </w:p>
        </w:tc>
        <w:tc>
          <w:tcPr>
            <w:tcW w:w="0" w:type="auto"/>
            <w:vAlign w:val="center"/>
            <w:hideMark/>
          </w:tcPr>
          <w:p w14:paraId="44261D5C"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0.18</w:t>
            </w:r>
          </w:p>
        </w:tc>
        <w:tc>
          <w:tcPr>
            <w:tcW w:w="0" w:type="auto"/>
            <w:vAlign w:val="center"/>
            <w:hideMark/>
          </w:tcPr>
          <w:p w14:paraId="05411D5B"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0.40</w:t>
            </w:r>
          </w:p>
        </w:tc>
      </w:tr>
      <w:tr w:rsidR="00A748CB" w:rsidRPr="00A748CB" w14:paraId="683F20A6" w14:textId="77777777" w:rsidTr="00C3243C">
        <w:trPr>
          <w:trHeight w:val="428"/>
          <w:tblCellSpacing w:w="15" w:type="dxa"/>
        </w:trPr>
        <w:tc>
          <w:tcPr>
            <w:tcW w:w="0" w:type="auto"/>
            <w:vAlign w:val="center"/>
            <w:hideMark/>
          </w:tcPr>
          <w:p w14:paraId="2FEE743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lastRenderedPageBreak/>
              <w:t>Cd</w:t>
            </w:r>
          </w:p>
        </w:tc>
        <w:tc>
          <w:tcPr>
            <w:tcW w:w="0" w:type="auto"/>
            <w:vAlign w:val="center"/>
            <w:hideMark/>
          </w:tcPr>
          <w:p w14:paraId="69EE188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0.18</w:t>
            </w:r>
          </w:p>
        </w:tc>
        <w:tc>
          <w:tcPr>
            <w:tcW w:w="0" w:type="auto"/>
            <w:vAlign w:val="center"/>
            <w:hideMark/>
          </w:tcPr>
          <w:p w14:paraId="6E30FBF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0.39</w:t>
            </w:r>
          </w:p>
        </w:tc>
      </w:tr>
      <w:tr w:rsidR="00A748CB" w:rsidRPr="00A748CB" w14:paraId="18CA16FD" w14:textId="77777777" w:rsidTr="00C3243C">
        <w:trPr>
          <w:trHeight w:val="428"/>
          <w:tblCellSpacing w:w="15" w:type="dxa"/>
        </w:trPr>
        <w:tc>
          <w:tcPr>
            <w:tcW w:w="0" w:type="auto"/>
            <w:vAlign w:val="center"/>
            <w:hideMark/>
          </w:tcPr>
          <w:p w14:paraId="58D46C20"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Cr</w:t>
            </w:r>
          </w:p>
        </w:tc>
        <w:tc>
          <w:tcPr>
            <w:tcW w:w="0" w:type="auto"/>
            <w:vAlign w:val="center"/>
            <w:hideMark/>
          </w:tcPr>
          <w:p w14:paraId="6844F013"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0.15</w:t>
            </w:r>
          </w:p>
        </w:tc>
        <w:tc>
          <w:tcPr>
            <w:tcW w:w="0" w:type="auto"/>
            <w:vAlign w:val="center"/>
            <w:hideMark/>
          </w:tcPr>
          <w:p w14:paraId="37BAEAA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0.31</w:t>
            </w:r>
          </w:p>
        </w:tc>
      </w:tr>
      <w:tr w:rsidR="00A748CB" w:rsidRPr="00A748CB" w14:paraId="095F1AFD" w14:textId="77777777" w:rsidTr="00C3243C">
        <w:trPr>
          <w:trHeight w:val="428"/>
          <w:tblCellSpacing w:w="15" w:type="dxa"/>
        </w:trPr>
        <w:tc>
          <w:tcPr>
            <w:tcW w:w="0" w:type="auto"/>
            <w:vAlign w:val="center"/>
            <w:hideMark/>
          </w:tcPr>
          <w:p w14:paraId="1BE0B27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Ni</w:t>
            </w:r>
          </w:p>
        </w:tc>
        <w:tc>
          <w:tcPr>
            <w:tcW w:w="0" w:type="auto"/>
            <w:vAlign w:val="center"/>
            <w:hideMark/>
          </w:tcPr>
          <w:p w14:paraId="162B4ECF"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0.04</w:t>
            </w:r>
          </w:p>
        </w:tc>
        <w:tc>
          <w:tcPr>
            <w:tcW w:w="0" w:type="auto"/>
            <w:vAlign w:val="center"/>
            <w:hideMark/>
          </w:tcPr>
          <w:p w14:paraId="167B0AE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0.07</w:t>
            </w:r>
          </w:p>
        </w:tc>
      </w:tr>
      <w:tr w:rsidR="00A748CB" w:rsidRPr="00A748CB" w14:paraId="4EAC85EB" w14:textId="77777777" w:rsidTr="00C3243C">
        <w:trPr>
          <w:trHeight w:val="444"/>
          <w:tblCellSpacing w:w="15" w:type="dxa"/>
        </w:trPr>
        <w:tc>
          <w:tcPr>
            <w:tcW w:w="0" w:type="auto"/>
            <w:vAlign w:val="center"/>
            <w:hideMark/>
          </w:tcPr>
          <w:p w14:paraId="209B1D2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Zn</w:t>
            </w:r>
          </w:p>
        </w:tc>
        <w:tc>
          <w:tcPr>
            <w:tcW w:w="0" w:type="auto"/>
            <w:vAlign w:val="center"/>
            <w:hideMark/>
          </w:tcPr>
          <w:p w14:paraId="79BB02D6"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0.02</w:t>
            </w:r>
          </w:p>
        </w:tc>
        <w:tc>
          <w:tcPr>
            <w:tcW w:w="0" w:type="auto"/>
            <w:vAlign w:val="center"/>
            <w:hideMark/>
          </w:tcPr>
          <w:p w14:paraId="1668D47D"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0.03</w:t>
            </w:r>
          </w:p>
        </w:tc>
      </w:tr>
      <w:tr w:rsidR="00A748CB" w:rsidRPr="00A748CB" w14:paraId="66CD1EE5" w14:textId="77777777" w:rsidTr="00C3243C">
        <w:trPr>
          <w:trHeight w:val="428"/>
          <w:tblCellSpacing w:w="15" w:type="dxa"/>
        </w:trPr>
        <w:tc>
          <w:tcPr>
            <w:tcW w:w="0" w:type="auto"/>
            <w:vAlign w:val="center"/>
            <w:hideMark/>
          </w:tcPr>
          <w:p w14:paraId="4B9A5F4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Cu</w:t>
            </w:r>
          </w:p>
        </w:tc>
        <w:tc>
          <w:tcPr>
            <w:tcW w:w="0" w:type="auto"/>
            <w:vAlign w:val="center"/>
            <w:hideMark/>
          </w:tcPr>
          <w:p w14:paraId="7C466854"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0.05</w:t>
            </w:r>
          </w:p>
        </w:tc>
        <w:tc>
          <w:tcPr>
            <w:tcW w:w="0" w:type="auto"/>
            <w:vAlign w:val="center"/>
            <w:hideMark/>
          </w:tcPr>
          <w:p w14:paraId="341D658A"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0.10</w:t>
            </w:r>
          </w:p>
        </w:tc>
      </w:tr>
    </w:tbl>
    <w:p w14:paraId="66272722" w14:textId="0D355505" w:rsidR="008A7665" w:rsidRPr="00A748CB" w:rsidRDefault="008A7665" w:rsidP="00A748CB">
      <w:pPr>
        <w:jc w:val="both"/>
        <w:rPr>
          <w:rFonts w:ascii="Times New Roman" w:hAnsi="Times New Roman" w:cs="Times New Roman"/>
          <w:sz w:val="24"/>
          <w:szCs w:val="24"/>
        </w:rPr>
      </w:pPr>
    </w:p>
    <w:p w14:paraId="5F058C44" w14:textId="70C4D683" w:rsidR="00C3243C" w:rsidRPr="00A748CB" w:rsidRDefault="00C3243C" w:rsidP="00A748CB">
      <w:pPr>
        <w:pStyle w:val="Heading3"/>
        <w:jc w:val="both"/>
        <w:rPr>
          <w:rStyle w:val="Strong"/>
          <w:rFonts w:ascii="Times New Roman" w:hAnsi="Times New Roman" w:cs="Times New Roman"/>
          <w:b w:val="0"/>
          <w:bCs w:val="0"/>
          <w:color w:val="auto"/>
        </w:rPr>
      </w:pPr>
      <w:r w:rsidRPr="00A748CB">
        <w:rPr>
          <w:rStyle w:val="Strong"/>
          <w:rFonts w:ascii="Times New Roman" w:hAnsi="Times New Roman" w:cs="Times New Roman"/>
          <w:b w:val="0"/>
          <w:bCs w:val="0"/>
          <w:color w:val="auto"/>
        </w:rPr>
        <w:t>Table 6</w:t>
      </w:r>
      <w:r w:rsidRPr="00A748CB">
        <w:rPr>
          <w:rFonts w:ascii="Times New Roman" w:hAnsi="Times New Roman" w:cs="Times New Roman"/>
          <w:color w:val="auto"/>
        </w:rPr>
        <w:t xml:space="preserve"> summarises cumulative non-carcinogenic risk. The hazard index for adults (0.62) indicates an acceptable risk level, while the higher HI for children (1.30) exceeds the threshold of 1, suggesting potential health concern and emphasising children’s increased vulnerability to combined metal exposure from Niger Delta water resources.</w:t>
      </w:r>
    </w:p>
    <w:p w14:paraId="07152B6E" w14:textId="35217155" w:rsidR="008A7665" w:rsidRPr="00A748CB" w:rsidRDefault="008A7665" w:rsidP="00A748CB">
      <w:pPr>
        <w:pStyle w:val="Heading3"/>
        <w:jc w:val="both"/>
        <w:rPr>
          <w:rFonts w:ascii="Times New Roman" w:hAnsi="Times New Roman" w:cs="Times New Roman"/>
          <w:color w:val="auto"/>
        </w:rPr>
      </w:pPr>
      <w:r w:rsidRPr="00A748CB">
        <w:rPr>
          <w:rStyle w:val="Strong"/>
          <w:rFonts w:ascii="Times New Roman" w:hAnsi="Times New Roman" w:cs="Times New Roman"/>
          <w:color w:val="auto"/>
        </w:rPr>
        <w:t>Table 6: Cumulative Non-Carcinogenic Risk (Hazard Index, HI)</w:t>
      </w:r>
    </w:p>
    <w:tbl>
      <w:tblPr>
        <w:tblW w:w="6059" w:type="dxa"/>
        <w:tblCellSpacing w:w="15" w:type="dxa"/>
        <w:tblCellMar>
          <w:top w:w="15" w:type="dxa"/>
          <w:left w:w="15" w:type="dxa"/>
          <w:bottom w:w="15" w:type="dxa"/>
          <w:right w:w="15" w:type="dxa"/>
        </w:tblCellMar>
        <w:tblLook w:val="04A0" w:firstRow="1" w:lastRow="0" w:firstColumn="1" w:lastColumn="0" w:noHBand="0" w:noVBand="1"/>
      </w:tblPr>
      <w:tblGrid>
        <w:gridCol w:w="2138"/>
        <w:gridCol w:w="1636"/>
        <w:gridCol w:w="2285"/>
      </w:tblGrid>
      <w:tr w:rsidR="00A748CB" w:rsidRPr="00A748CB" w14:paraId="294FB2D0" w14:textId="77777777" w:rsidTr="00C3243C">
        <w:trPr>
          <w:trHeight w:val="509"/>
          <w:tblHeader/>
          <w:tblCellSpacing w:w="15" w:type="dxa"/>
        </w:trPr>
        <w:tc>
          <w:tcPr>
            <w:tcW w:w="0" w:type="auto"/>
            <w:vAlign w:val="center"/>
            <w:hideMark/>
          </w:tcPr>
          <w:p w14:paraId="522FD9E6"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Population Group</w:t>
            </w:r>
          </w:p>
        </w:tc>
        <w:tc>
          <w:tcPr>
            <w:tcW w:w="0" w:type="auto"/>
            <w:vAlign w:val="center"/>
            <w:hideMark/>
          </w:tcPr>
          <w:p w14:paraId="10C73C93"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Hazard Index</w:t>
            </w:r>
          </w:p>
        </w:tc>
        <w:tc>
          <w:tcPr>
            <w:tcW w:w="0" w:type="auto"/>
            <w:vAlign w:val="center"/>
            <w:hideMark/>
          </w:tcPr>
          <w:p w14:paraId="466B9C15" w14:textId="77777777" w:rsidR="008A7665" w:rsidRPr="00A748CB" w:rsidRDefault="008A7665" w:rsidP="00A748CB">
            <w:pPr>
              <w:jc w:val="both"/>
              <w:rPr>
                <w:rFonts w:ascii="Times New Roman" w:hAnsi="Times New Roman" w:cs="Times New Roman"/>
                <w:b/>
                <w:bCs/>
                <w:sz w:val="24"/>
                <w:szCs w:val="24"/>
              </w:rPr>
            </w:pPr>
            <w:r w:rsidRPr="00A748CB">
              <w:rPr>
                <w:rFonts w:ascii="Times New Roman" w:hAnsi="Times New Roman" w:cs="Times New Roman"/>
                <w:b/>
                <w:bCs/>
                <w:sz w:val="24"/>
                <w:szCs w:val="24"/>
              </w:rPr>
              <w:t>Risk Interpretation</w:t>
            </w:r>
          </w:p>
        </w:tc>
      </w:tr>
      <w:tr w:rsidR="00A748CB" w:rsidRPr="00A748CB" w14:paraId="5CF1E5B3" w14:textId="77777777" w:rsidTr="00C3243C">
        <w:trPr>
          <w:trHeight w:val="528"/>
          <w:tblCellSpacing w:w="15" w:type="dxa"/>
        </w:trPr>
        <w:tc>
          <w:tcPr>
            <w:tcW w:w="0" w:type="auto"/>
            <w:vAlign w:val="center"/>
            <w:hideMark/>
          </w:tcPr>
          <w:p w14:paraId="718B9F97"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Adults</w:t>
            </w:r>
          </w:p>
        </w:tc>
        <w:tc>
          <w:tcPr>
            <w:tcW w:w="0" w:type="auto"/>
            <w:vAlign w:val="center"/>
            <w:hideMark/>
          </w:tcPr>
          <w:p w14:paraId="14764F61"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0.62</w:t>
            </w:r>
          </w:p>
        </w:tc>
        <w:tc>
          <w:tcPr>
            <w:tcW w:w="0" w:type="auto"/>
            <w:vAlign w:val="center"/>
            <w:hideMark/>
          </w:tcPr>
          <w:p w14:paraId="19D008E5"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Acceptable</w:t>
            </w:r>
          </w:p>
        </w:tc>
      </w:tr>
      <w:tr w:rsidR="00A748CB" w:rsidRPr="00A748CB" w14:paraId="628115FC" w14:textId="77777777" w:rsidTr="00C3243C">
        <w:trPr>
          <w:trHeight w:val="509"/>
          <w:tblCellSpacing w:w="15" w:type="dxa"/>
        </w:trPr>
        <w:tc>
          <w:tcPr>
            <w:tcW w:w="0" w:type="auto"/>
            <w:vAlign w:val="center"/>
            <w:hideMark/>
          </w:tcPr>
          <w:p w14:paraId="4705D9D2"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Children</w:t>
            </w:r>
          </w:p>
        </w:tc>
        <w:tc>
          <w:tcPr>
            <w:tcW w:w="0" w:type="auto"/>
            <w:vAlign w:val="center"/>
            <w:hideMark/>
          </w:tcPr>
          <w:p w14:paraId="4682264E"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1.30</w:t>
            </w:r>
          </w:p>
        </w:tc>
        <w:tc>
          <w:tcPr>
            <w:tcW w:w="0" w:type="auto"/>
            <w:vAlign w:val="center"/>
            <w:hideMark/>
          </w:tcPr>
          <w:p w14:paraId="0A045016" w14:textId="77777777" w:rsidR="008A7665" w:rsidRPr="00A748CB" w:rsidRDefault="008A7665" w:rsidP="00A748CB">
            <w:pPr>
              <w:jc w:val="both"/>
              <w:rPr>
                <w:rFonts w:ascii="Times New Roman" w:hAnsi="Times New Roman" w:cs="Times New Roman"/>
                <w:sz w:val="24"/>
                <w:szCs w:val="24"/>
              </w:rPr>
            </w:pPr>
            <w:r w:rsidRPr="00A748CB">
              <w:rPr>
                <w:rFonts w:ascii="Times New Roman" w:hAnsi="Times New Roman" w:cs="Times New Roman"/>
                <w:sz w:val="24"/>
                <w:szCs w:val="24"/>
              </w:rPr>
              <w:t>Potential concern</w:t>
            </w:r>
          </w:p>
        </w:tc>
      </w:tr>
    </w:tbl>
    <w:p w14:paraId="7AAB2C9A" w14:textId="77777777" w:rsidR="008A7665" w:rsidRPr="008A7665" w:rsidRDefault="008A7665" w:rsidP="00A748C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8A7665">
        <w:rPr>
          <w:rFonts w:ascii="Times New Roman" w:eastAsia="Times New Roman" w:hAnsi="Times New Roman" w:cs="Times New Roman"/>
          <w:b/>
          <w:bCs/>
          <w:sz w:val="24"/>
          <w:szCs w:val="24"/>
          <w:lang w:eastAsia="en-GB"/>
        </w:rPr>
        <w:t>4.0 Discussion</w:t>
      </w:r>
    </w:p>
    <w:p w14:paraId="13DB15FF"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 xml:space="preserve">The integrated water quality assessment conducted in </w:t>
      </w:r>
      <w:proofErr w:type="spellStart"/>
      <w:r w:rsidRPr="008A7665">
        <w:rPr>
          <w:rFonts w:ascii="Times New Roman" w:eastAsia="Times New Roman" w:hAnsi="Times New Roman" w:cs="Times New Roman"/>
          <w:sz w:val="24"/>
          <w:szCs w:val="24"/>
          <w:lang w:eastAsia="en-GB"/>
        </w:rPr>
        <w:t>Diobu</w:t>
      </w:r>
      <w:proofErr w:type="spellEnd"/>
      <w:r w:rsidRPr="008A7665">
        <w:rPr>
          <w:rFonts w:ascii="Times New Roman" w:eastAsia="Times New Roman" w:hAnsi="Times New Roman" w:cs="Times New Roman"/>
          <w:sz w:val="24"/>
          <w:szCs w:val="24"/>
          <w:lang w:eastAsia="en-GB"/>
        </w:rPr>
        <w:t>, Port Harcourt demonstrates that urban water resources in Rivers State are increasingly influenced by anthropogenic pressures associated with rapid population growth and poor sanitation infrastructure (</w:t>
      </w:r>
      <w:proofErr w:type="spellStart"/>
      <w:r w:rsidRPr="008A7665">
        <w:rPr>
          <w:rFonts w:ascii="Times New Roman" w:eastAsia="Times New Roman" w:hAnsi="Times New Roman" w:cs="Times New Roman"/>
          <w:sz w:val="24"/>
          <w:szCs w:val="24"/>
          <w:lang w:eastAsia="en-GB"/>
        </w:rPr>
        <w:t>Ekesiobi</w:t>
      </w:r>
      <w:proofErr w:type="spellEnd"/>
      <w:r w:rsidRPr="008A7665">
        <w:rPr>
          <w:rFonts w:ascii="Times New Roman" w:eastAsia="Times New Roman" w:hAnsi="Times New Roman" w:cs="Times New Roman"/>
          <w:sz w:val="24"/>
          <w:szCs w:val="24"/>
          <w:lang w:eastAsia="en-GB"/>
        </w:rPr>
        <w:t xml:space="preserve"> et al., 2025). The observed trends are consistent with documented deterioration of water quality in densely populated Niger Delta communities where domestic wastewater and urban runoff dominate pollution inputs (</w:t>
      </w:r>
      <w:proofErr w:type="spellStart"/>
      <w:r w:rsidRPr="008A7665">
        <w:rPr>
          <w:rFonts w:ascii="Times New Roman" w:eastAsia="Times New Roman" w:hAnsi="Times New Roman" w:cs="Times New Roman"/>
          <w:sz w:val="24"/>
          <w:szCs w:val="24"/>
          <w:lang w:eastAsia="en-GB"/>
        </w:rPr>
        <w:t>Osuafor</w:t>
      </w:r>
      <w:proofErr w:type="spellEnd"/>
      <w:r w:rsidRPr="008A7665">
        <w:rPr>
          <w:rFonts w:ascii="Times New Roman" w:eastAsia="Times New Roman" w:hAnsi="Times New Roman" w:cs="Times New Roman"/>
          <w:sz w:val="24"/>
          <w:szCs w:val="24"/>
          <w:lang w:eastAsia="en-GB"/>
        </w:rPr>
        <w:t xml:space="preserve"> et al., 2025).</w:t>
      </w:r>
    </w:p>
    <w:p w14:paraId="56E78977"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 xml:space="preserve">The slightly acidic pH values recorded across the sampled water sources reflect typical </w:t>
      </w:r>
      <w:proofErr w:type="spellStart"/>
      <w:r w:rsidRPr="008A7665">
        <w:rPr>
          <w:rFonts w:ascii="Times New Roman" w:eastAsia="Times New Roman" w:hAnsi="Times New Roman" w:cs="Times New Roman"/>
          <w:sz w:val="24"/>
          <w:szCs w:val="24"/>
          <w:lang w:eastAsia="en-GB"/>
        </w:rPr>
        <w:t>hydrochemical</w:t>
      </w:r>
      <w:proofErr w:type="spellEnd"/>
      <w:r w:rsidRPr="008A7665">
        <w:rPr>
          <w:rFonts w:ascii="Times New Roman" w:eastAsia="Times New Roman" w:hAnsi="Times New Roman" w:cs="Times New Roman"/>
          <w:sz w:val="24"/>
          <w:szCs w:val="24"/>
          <w:lang w:eastAsia="en-GB"/>
        </w:rPr>
        <w:t xml:space="preserve"> conditions of Niger Delta urban environments, where high rainfall intensity and organic matter decomposition promote acidification (</w:t>
      </w:r>
      <w:proofErr w:type="spellStart"/>
      <w:r w:rsidRPr="008A7665">
        <w:rPr>
          <w:rFonts w:ascii="Times New Roman" w:eastAsia="Times New Roman" w:hAnsi="Times New Roman" w:cs="Times New Roman"/>
          <w:sz w:val="24"/>
          <w:szCs w:val="24"/>
          <w:lang w:eastAsia="en-GB"/>
        </w:rPr>
        <w:t>Aghanwa</w:t>
      </w:r>
      <w:proofErr w:type="spellEnd"/>
      <w:r w:rsidRPr="008A7665">
        <w:rPr>
          <w:rFonts w:ascii="Times New Roman" w:eastAsia="Times New Roman" w:hAnsi="Times New Roman" w:cs="Times New Roman"/>
          <w:sz w:val="24"/>
          <w:szCs w:val="24"/>
          <w:lang w:eastAsia="en-GB"/>
        </w:rPr>
        <w:t xml:space="preserve"> et al., 2025). Acidic conditions are known to enhance the dissolution and mobility of trace metals, thereby increasing their potential bioavailability in aquatic systems (</w:t>
      </w:r>
      <w:proofErr w:type="spellStart"/>
      <w:r w:rsidRPr="008A7665">
        <w:rPr>
          <w:rFonts w:ascii="Times New Roman" w:eastAsia="Times New Roman" w:hAnsi="Times New Roman" w:cs="Times New Roman"/>
          <w:sz w:val="24"/>
          <w:szCs w:val="24"/>
          <w:lang w:eastAsia="en-GB"/>
        </w:rPr>
        <w:t>Okpoji</w:t>
      </w:r>
      <w:proofErr w:type="spellEnd"/>
      <w:r w:rsidRPr="008A7665">
        <w:rPr>
          <w:rFonts w:ascii="Times New Roman" w:eastAsia="Times New Roman" w:hAnsi="Times New Roman" w:cs="Times New Roman"/>
          <w:sz w:val="24"/>
          <w:szCs w:val="24"/>
          <w:lang w:eastAsia="en-GB"/>
        </w:rPr>
        <w:t xml:space="preserve"> et al., 2025a). Despite this, electrical conductivity and total dissolved solids remained within permissible limits, suggesting moderate ionic enrichment rather than salinity intrusion (Okagbare et al., 2025).</w:t>
      </w:r>
    </w:p>
    <w:p w14:paraId="0B916C0E"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Iron concentrations exceeding guideline limits at several sampling points indicate strong geogenic influence, particularly from ferruginous subsurface materials common in the Niger Delta sedimentary basin (</w:t>
      </w:r>
      <w:proofErr w:type="spellStart"/>
      <w:r w:rsidRPr="008A7665">
        <w:rPr>
          <w:rFonts w:ascii="Times New Roman" w:eastAsia="Times New Roman" w:hAnsi="Times New Roman" w:cs="Times New Roman"/>
          <w:sz w:val="24"/>
          <w:szCs w:val="24"/>
          <w:lang w:eastAsia="en-GB"/>
        </w:rPr>
        <w:t>Ekesiobi</w:t>
      </w:r>
      <w:proofErr w:type="spellEnd"/>
      <w:r w:rsidRPr="008A7665">
        <w:rPr>
          <w:rFonts w:ascii="Times New Roman" w:eastAsia="Times New Roman" w:hAnsi="Times New Roman" w:cs="Times New Roman"/>
          <w:sz w:val="24"/>
          <w:szCs w:val="24"/>
          <w:lang w:eastAsia="en-GB"/>
        </w:rPr>
        <w:t xml:space="preserve"> et al., 2025). The mobilisation of iron may also be intensified by corrosion of borehole components and redox-driven dissolution processes in shallow aquifers (</w:t>
      </w:r>
      <w:proofErr w:type="spellStart"/>
      <w:r w:rsidRPr="008A7665">
        <w:rPr>
          <w:rFonts w:ascii="Times New Roman" w:eastAsia="Times New Roman" w:hAnsi="Times New Roman" w:cs="Times New Roman"/>
          <w:sz w:val="24"/>
          <w:szCs w:val="24"/>
          <w:lang w:eastAsia="en-GB"/>
        </w:rPr>
        <w:t>Okpoji</w:t>
      </w:r>
      <w:proofErr w:type="spellEnd"/>
      <w:r w:rsidRPr="008A7665">
        <w:rPr>
          <w:rFonts w:ascii="Times New Roman" w:eastAsia="Times New Roman" w:hAnsi="Times New Roman" w:cs="Times New Roman"/>
          <w:sz w:val="24"/>
          <w:szCs w:val="24"/>
          <w:lang w:eastAsia="en-GB"/>
        </w:rPr>
        <w:t xml:space="preserve"> et al., 2025b). Although iron poses limited direct toxicological risk, elevated levels compromise aesthetic water quality and may facilitate the transport of other metals (</w:t>
      </w:r>
      <w:proofErr w:type="spellStart"/>
      <w:r w:rsidRPr="008A7665">
        <w:rPr>
          <w:rFonts w:ascii="Times New Roman" w:eastAsia="Times New Roman" w:hAnsi="Times New Roman" w:cs="Times New Roman"/>
          <w:sz w:val="24"/>
          <w:szCs w:val="24"/>
          <w:lang w:eastAsia="en-GB"/>
        </w:rPr>
        <w:t>Ekwere</w:t>
      </w:r>
      <w:proofErr w:type="spellEnd"/>
      <w:r w:rsidRPr="008A7665">
        <w:rPr>
          <w:rFonts w:ascii="Times New Roman" w:eastAsia="Times New Roman" w:hAnsi="Times New Roman" w:cs="Times New Roman"/>
          <w:sz w:val="24"/>
          <w:szCs w:val="24"/>
          <w:lang w:eastAsia="en-GB"/>
        </w:rPr>
        <w:t xml:space="preserve"> et al., 2025).</w:t>
      </w:r>
    </w:p>
    <w:p w14:paraId="64EB160C"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lastRenderedPageBreak/>
        <w:t>Lead and cadmium enrichment observed at specific locations presents a more significant public health concern. Lead contamination in urban waters has been linked to atmospheric deposition from vehicular emissions and leaching from aging plumbing systems (</w:t>
      </w:r>
      <w:proofErr w:type="spellStart"/>
      <w:r w:rsidRPr="008A7665">
        <w:rPr>
          <w:rFonts w:ascii="Times New Roman" w:eastAsia="Times New Roman" w:hAnsi="Times New Roman" w:cs="Times New Roman"/>
          <w:sz w:val="24"/>
          <w:szCs w:val="24"/>
          <w:lang w:eastAsia="en-GB"/>
        </w:rPr>
        <w:t>Aghanwa</w:t>
      </w:r>
      <w:proofErr w:type="spellEnd"/>
      <w:r w:rsidRPr="008A7665">
        <w:rPr>
          <w:rFonts w:ascii="Times New Roman" w:eastAsia="Times New Roman" w:hAnsi="Times New Roman" w:cs="Times New Roman"/>
          <w:sz w:val="24"/>
          <w:szCs w:val="24"/>
          <w:lang w:eastAsia="en-GB"/>
        </w:rPr>
        <w:t xml:space="preserve"> et al., 2025). Cadmium presence is often associated with improper waste disposal and diffuse urban effluents, as previously reported in groundwater systems of the Niger Delta (</w:t>
      </w:r>
      <w:proofErr w:type="spellStart"/>
      <w:r w:rsidRPr="008A7665">
        <w:rPr>
          <w:rFonts w:ascii="Times New Roman" w:eastAsia="Times New Roman" w:hAnsi="Times New Roman" w:cs="Times New Roman"/>
          <w:sz w:val="24"/>
          <w:szCs w:val="24"/>
          <w:lang w:eastAsia="en-GB"/>
        </w:rPr>
        <w:t>Ekesiobi</w:t>
      </w:r>
      <w:proofErr w:type="spellEnd"/>
      <w:r w:rsidRPr="008A7665">
        <w:rPr>
          <w:rFonts w:ascii="Times New Roman" w:eastAsia="Times New Roman" w:hAnsi="Times New Roman" w:cs="Times New Roman"/>
          <w:sz w:val="24"/>
          <w:szCs w:val="24"/>
          <w:lang w:eastAsia="en-GB"/>
        </w:rPr>
        <w:t xml:space="preserve"> et al., 2025). The detection of these metals above guideline limits underscores the influence of localized anthropogenic activities on urban water quality (</w:t>
      </w:r>
      <w:proofErr w:type="spellStart"/>
      <w:r w:rsidRPr="008A7665">
        <w:rPr>
          <w:rFonts w:ascii="Times New Roman" w:eastAsia="Times New Roman" w:hAnsi="Times New Roman" w:cs="Times New Roman"/>
          <w:sz w:val="24"/>
          <w:szCs w:val="24"/>
          <w:lang w:eastAsia="en-GB"/>
        </w:rPr>
        <w:t>Okpoji</w:t>
      </w:r>
      <w:proofErr w:type="spellEnd"/>
      <w:r w:rsidRPr="008A7665">
        <w:rPr>
          <w:rFonts w:ascii="Times New Roman" w:eastAsia="Times New Roman" w:hAnsi="Times New Roman" w:cs="Times New Roman"/>
          <w:sz w:val="24"/>
          <w:szCs w:val="24"/>
          <w:lang w:eastAsia="en-GB"/>
        </w:rPr>
        <w:t xml:space="preserve"> et al., 2025c).</w:t>
      </w:r>
    </w:p>
    <w:p w14:paraId="29B9B6B5"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Chromium, nickel, zinc, and copper concentrations remained below international guideline values, suggesting relatively low contamination from these metals at the time of sampling (</w:t>
      </w:r>
      <w:proofErr w:type="spellStart"/>
      <w:r w:rsidRPr="008A7665">
        <w:rPr>
          <w:rFonts w:ascii="Times New Roman" w:eastAsia="Times New Roman" w:hAnsi="Times New Roman" w:cs="Times New Roman"/>
          <w:sz w:val="24"/>
          <w:szCs w:val="24"/>
          <w:lang w:eastAsia="en-GB"/>
        </w:rPr>
        <w:t>Osuafor</w:t>
      </w:r>
      <w:proofErr w:type="spellEnd"/>
      <w:r w:rsidRPr="008A7665">
        <w:rPr>
          <w:rFonts w:ascii="Times New Roman" w:eastAsia="Times New Roman" w:hAnsi="Times New Roman" w:cs="Times New Roman"/>
          <w:sz w:val="24"/>
          <w:szCs w:val="24"/>
          <w:lang w:eastAsia="en-GB"/>
        </w:rPr>
        <w:t xml:space="preserve"> et al., 2025). Nevertheless, their consistent detection across sampling points indicates continuous low-level anthropogenic input, likely from urban runoff and domestic sources (Ekpe et al., 2025). Long-term accumulation of such metals may pose ecological risks if urban pressures persist (</w:t>
      </w:r>
      <w:proofErr w:type="spellStart"/>
      <w:r w:rsidRPr="008A7665">
        <w:rPr>
          <w:rFonts w:ascii="Times New Roman" w:eastAsia="Times New Roman" w:hAnsi="Times New Roman" w:cs="Times New Roman"/>
          <w:sz w:val="24"/>
          <w:szCs w:val="24"/>
          <w:lang w:eastAsia="en-GB"/>
        </w:rPr>
        <w:t>Okpoji</w:t>
      </w:r>
      <w:proofErr w:type="spellEnd"/>
      <w:r w:rsidRPr="008A7665">
        <w:rPr>
          <w:rFonts w:ascii="Times New Roman" w:eastAsia="Times New Roman" w:hAnsi="Times New Roman" w:cs="Times New Roman"/>
          <w:sz w:val="24"/>
          <w:szCs w:val="24"/>
          <w:lang w:eastAsia="en-GB"/>
        </w:rPr>
        <w:t xml:space="preserve"> et al., 2025d).</w:t>
      </w:r>
    </w:p>
    <w:p w14:paraId="54A30A41"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Seasonal variation analysis revealed significantly higher metal concentrations during the dry season, reflecting reduced dilution capacity and increased accumulation of atmospheric particulates on catchment surfaces (</w:t>
      </w:r>
      <w:proofErr w:type="spellStart"/>
      <w:r w:rsidRPr="008A7665">
        <w:rPr>
          <w:rFonts w:ascii="Times New Roman" w:eastAsia="Times New Roman" w:hAnsi="Times New Roman" w:cs="Times New Roman"/>
          <w:sz w:val="24"/>
          <w:szCs w:val="24"/>
          <w:lang w:eastAsia="en-GB"/>
        </w:rPr>
        <w:t>Ogbaji</w:t>
      </w:r>
      <w:proofErr w:type="spellEnd"/>
      <w:r w:rsidRPr="008A7665">
        <w:rPr>
          <w:rFonts w:ascii="Times New Roman" w:eastAsia="Times New Roman" w:hAnsi="Times New Roman" w:cs="Times New Roman"/>
          <w:sz w:val="24"/>
          <w:szCs w:val="24"/>
          <w:lang w:eastAsia="en-GB"/>
        </w:rPr>
        <w:t xml:space="preserve"> et al., 2025). This seasonal pattern has been widely documented in Niger Delta water bodies and highlights the importance of temporal considerations in exposure assessment (</w:t>
      </w:r>
      <w:proofErr w:type="spellStart"/>
      <w:r w:rsidRPr="008A7665">
        <w:rPr>
          <w:rFonts w:ascii="Times New Roman" w:eastAsia="Times New Roman" w:hAnsi="Times New Roman" w:cs="Times New Roman"/>
          <w:sz w:val="24"/>
          <w:szCs w:val="24"/>
          <w:lang w:eastAsia="en-GB"/>
        </w:rPr>
        <w:t>Umueni</w:t>
      </w:r>
      <w:proofErr w:type="spellEnd"/>
      <w:r w:rsidRPr="008A7665">
        <w:rPr>
          <w:rFonts w:ascii="Times New Roman" w:eastAsia="Times New Roman" w:hAnsi="Times New Roman" w:cs="Times New Roman"/>
          <w:sz w:val="24"/>
          <w:szCs w:val="24"/>
          <w:lang w:eastAsia="en-GB"/>
        </w:rPr>
        <w:t xml:space="preserve"> et al., 2025).</w:t>
      </w:r>
    </w:p>
    <w:p w14:paraId="0DCD4AEA"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Human health risk assessment showed that estimated daily intake values for all assessed metals were below reference doses, indicating no immediate non-carcinogenic risk (USEPA, 2000). However, children consistently exhibited higher intake and hazard quotient values due to lower body weight and greater vulnerability (</w:t>
      </w:r>
      <w:proofErr w:type="spellStart"/>
      <w:r w:rsidRPr="008A7665">
        <w:rPr>
          <w:rFonts w:ascii="Times New Roman" w:eastAsia="Times New Roman" w:hAnsi="Times New Roman" w:cs="Times New Roman"/>
          <w:sz w:val="24"/>
          <w:szCs w:val="24"/>
          <w:lang w:eastAsia="en-GB"/>
        </w:rPr>
        <w:t>Anarado</w:t>
      </w:r>
      <w:proofErr w:type="spellEnd"/>
      <w:r w:rsidRPr="008A7665">
        <w:rPr>
          <w:rFonts w:ascii="Times New Roman" w:eastAsia="Times New Roman" w:hAnsi="Times New Roman" w:cs="Times New Roman"/>
          <w:sz w:val="24"/>
          <w:szCs w:val="24"/>
          <w:lang w:eastAsia="en-GB"/>
        </w:rPr>
        <w:t xml:space="preserve"> et al., 2023). This finding aligns with regional studies demonstrating that children are the most sensitive population group in contaminated environments (</w:t>
      </w:r>
      <w:proofErr w:type="spellStart"/>
      <w:r w:rsidRPr="008A7665">
        <w:rPr>
          <w:rFonts w:ascii="Times New Roman" w:eastAsia="Times New Roman" w:hAnsi="Times New Roman" w:cs="Times New Roman"/>
          <w:sz w:val="24"/>
          <w:szCs w:val="24"/>
          <w:lang w:eastAsia="en-GB"/>
        </w:rPr>
        <w:t>Okpoji</w:t>
      </w:r>
      <w:proofErr w:type="spellEnd"/>
      <w:r w:rsidRPr="008A7665">
        <w:rPr>
          <w:rFonts w:ascii="Times New Roman" w:eastAsia="Times New Roman" w:hAnsi="Times New Roman" w:cs="Times New Roman"/>
          <w:sz w:val="24"/>
          <w:szCs w:val="24"/>
          <w:lang w:eastAsia="en-GB"/>
        </w:rPr>
        <w:t xml:space="preserve"> et al., 2025e).</w:t>
      </w:r>
    </w:p>
    <w:p w14:paraId="17BFAAAF" w14:textId="77777777"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7665">
        <w:rPr>
          <w:rFonts w:ascii="Times New Roman" w:eastAsia="Times New Roman" w:hAnsi="Times New Roman" w:cs="Times New Roman"/>
          <w:sz w:val="24"/>
          <w:szCs w:val="24"/>
          <w:lang w:eastAsia="en-GB"/>
        </w:rPr>
        <w:t>The cumulative hazard index approaching unity for children is particularly noteworthy, as it suggests that prolonged exposure to untreated urban water may incrementally elevate health risks over time (</w:t>
      </w:r>
      <w:proofErr w:type="spellStart"/>
      <w:r w:rsidRPr="008A7665">
        <w:rPr>
          <w:rFonts w:ascii="Times New Roman" w:eastAsia="Times New Roman" w:hAnsi="Times New Roman" w:cs="Times New Roman"/>
          <w:sz w:val="24"/>
          <w:szCs w:val="24"/>
          <w:lang w:eastAsia="en-GB"/>
        </w:rPr>
        <w:t>Etesin</w:t>
      </w:r>
      <w:proofErr w:type="spellEnd"/>
      <w:r w:rsidRPr="008A7665">
        <w:rPr>
          <w:rFonts w:ascii="Times New Roman" w:eastAsia="Times New Roman" w:hAnsi="Times New Roman" w:cs="Times New Roman"/>
          <w:sz w:val="24"/>
          <w:szCs w:val="24"/>
          <w:lang w:eastAsia="en-GB"/>
        </w:rPr>
        <w:t xml:space="preserve"> et al., 2025). Evidence from ecotoxicological and bioaccumulation studies indicates that chronic low-dose exposure to metals can induce sub-lethal biological effects even when individual metal concentrations appear low (</w:t>
      </w:r>
      <w:proofErr w:type="spellStart"/>
      <w:r w:rsidRPr="008A7665">
        <w:rPr>
          <w:rFonts w:ascii="Times New Roman" w:eastAsia="Times New Roman" w:hAnsi="Times New Roman" w:cs="Times New Roman"/>
          <w:sz w:val="24"/>
          <w:szCs w:val="24"/>
          <w:lang w:eastAsia="en-GB"/>
        </w:rPr>
        <w:t>Ohaturuonye</w:t>
      </w:r>
      <w:proofErr w:type="spellEnd"/>
      <w:r w:rsidRPr="008A7665">
        <w:rPr>
          <w:rFonts w:ascii="Times New Roman" w:eastAsia="Times New Roman" w:hAnsi="Times New Roman" w:cs="Times New Roman"/>
          <w:sz w:val="24"/>
          <w:szCs w:val="24"/>
          <w:lang w:eastAsia="en-GB"/>
        </w:rPr>
        <w:t xml:space="preserve"> et al., 2025).</w:t>
      </w:r>
    </w:p>
    <w:p w14:paraId="2F03AD7A" w14:textId="1F7E1383" w:rsidR="008A7665" w:rsidRPr="008A7665"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748CB">
        <w:rPr>
          <w:rFonts w:ascii="Times New Roman" w:eastAsia="Times New Roman" w:hAnsi="Times New Roman" w:cs="Times New Roman"/>
          <w:sz w:val="24"/>
          <w:szCs w:val="24"/>
          <w:lang w:eastAsia="en-GB"/>
        </w:rPr>
        <w:t xml:space="preserve">Therefore, </w:t>
      </w:r>
      <w:r w:rsidRPr="008A7665">
        <w:rPr>
          <w:rFonts w:ascii="Times New Roman" w:eastAsia="Times New Roman" w:hAnsi="Times New Roman" w:cs="Times New Roman"/>
          <w:sz w:val="24"/>
          <w:szCs w:val="24"/>
          <w:lang w:eastAsia="en-GB"/>
        </w:rPr>
        <w:t>findings corroborate regional evidence that urban water resources in the Niger Delta are under increasing chemical stress from diffuse anthropogenic sources (</w:t>
      </w:r>
      <w:proofErr w:type="spellStart"/>
      <w:r w:rsidRPr="008A7665">
        <w:rPr>
          <w:rFonts w:ascii="Times New Roman" w:eastAsia="Times New Roman" w:hAnsi="Times New Roman" w:cs="Times New Roman"/>
          <w:sz w:val="24"/>
          <w:szCs w:val="24"/>
          <w:lang w:eastAsia="en-GB"/>
        </w:rPr>
        <w:t>Ekwere</w:t>
      </w:r>
      <w:proofErr w:type="spellEnd"/>
      <w:r w:rsidRPr="008A7665">
        <w:rPr>
          <w:rFonts w:ascii="Times New Roman" w:eastAsia="Times New Roman" w:hAnsi="Times New Roman" w:cs="Times New Roman"/>
          <w:sz w:val="24"/>
          <w:szCs w:val="24"/>
          <w:lang w:eastAsia="en-GB"/>
        </w:rPr>
        <w:t xml:space="preserve"> et al., 2025). Although current risk levels remain largely acceptable, the observed metal enrichment, seasonal amplification, and heightened child vulnerability underscore the need for routine monitoring and improved urban water management strategies (</w:t>
      </w:r>
      <w:proofErr w:type="spellStart"/>
      <w:r w:rsidRPr="008A7665">
        <w:rPr>
          <w:rFonts w:ascii="Times New Roman" w:eastAsia="Times New Roman" w:hAnsi="Times New Roman" w:cs="Times New Roman"/>
          <w:sz w:val="24"/>
          <w:szCs w:val="24"/>
          <w:lang w:eastAsia="en-GB"/>
        </w:rPr>
        <w:t>Etesin</w:t>
      </w:r>
      <w:proofErr w:type="spellEnd"/>
      <w:r w:rsidRPr="008A7665">
        <w:rPr>
          <w:rFonts w:ascii="Times New Roman" w:eastAsia="Times New Roman" w:hAnsi="Times New Roman" w:cs="Times New Roman"/>
          <w:sz w:val="24"/>
          <w:szCs w:val="24"/>
          <w:lang w:eastAsia="en-GB"/>
        </w:rPr>
        <w:t xml:space="preserve"> et al., 2025).</w:t>
      </w:r>
    </w:p>
    <w:p w14:paraId="142C9FA2" w14:textId="77777777" w:rsidR="008A7665" w:rsidRPr="00A748CB" w:rsidRDefault="008A7665" w:rsidP="00A748CB">
      <w:pPr>
        <w:pStyle w:val="NormalWeb"/>
        <w:jc w:val="both"/>
      </w:pPr>
      <w:r w:rsidRPr="00A748CB">
        <w:rPr>
          <w:rStyle w:val="Strong"/>
        </w:rPr>
        <w:t>Conclusion</w:t>
      </w:r>
    </w:p>
    <w:p w14:paraId="0EF4CAAB" w14:textId="77777777" w:rsidR="008A7665" w:rsidRPr="00A748CB" w:rsidRDefault="008A7665" w:rsidP="00A748CB">
      <w:pPr>
        <w:pStyle w:val="NormalWeb"/>
        <w:jc w:val="both"/>
      </w:pPr>
      <w:r w:rsidRPr="00A748CB">
        <w:t xml:space="preserve">The integrated assessment of water resources in </w:t>
      </w:r>
      <w:proofErr w:type="spellStart"/>
      <w:r w:rsidRPr="00A748CB">
        <w:t>Diobu</w:t>
      </w:r>
      <w:proofErr w:type="spellEnd"/>
      <w:r w:rsidRPr="00A748CB">
        <w:t>, Rivers State shows that, although most physicochemical parameters remained within recommended guideline limits, evidence of metal contamination poses potential long-term concerns. Slightly acidic pH conditions and elevated turbidity at some locations reflect the influence of urban activities and poor drainage. Iron, lead, and cadmium were the principal contaminants of concern, with concentrations exceeding guideline values at selected sites, particularly during the dry season when dilution is reduced.</w:t>
      </w:r>
    </w:p>
    <w:p w14:paraId="600FBA2A" w14:textId="77777777" w:rsidR="008A7665" w:rsidRPr="00A748CB" w:rsidRDefault="008A7665" w:rsidP="00A748CB">
      <w:pPr>
        <w:pStyle w:val="NormalWeb"/>
        <w:jc w:val="both"/>
      </w:pPr>
      <w:r w:rsidRPr="00A748CB">
        <w:lastRenderedPageBreak/>
        <w:t>Non-carcinogenic health risk assessment indicated that hazard quotient values for individual metals were below unity for both adults and children, suggesting no immediate health risk. However, the higher cumulative hazard index recorded for children highlights increased vulnerability due to lower body weight and greater exposure sensitivity. The findings emphasise the need for routine monitoring, improved urban water management, and simple household treatment measures to minimise chronic exposure and safeguard public health in densely populated Niger Delta communities.</w:t>
      </w:r>
    </w:p>
    <w:p w14:paraId="1AE28F68" w14:textId="77777777" w:rsidR="00A748CB" w:rsidRPr="00247942" w:rsidRDefault="00A748CB" w:rsidP="00A748CB">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00A44FF8" w14:textId="77777777" w:rsidR="00A748CB" w:rsidRPr="00AF7428" w:rsidRDefault="00A748CB" w:rsidP="00A748CB">
      <w:pPr>
        <w:pStyle w:val="NormalWeb"/>
        <w:spacing w:line="276" w:lineRule="auto"/>
        <w:jc w:val="both"/>
      </w:pPr>
      <w:proofErr w:type="spellStart"/>
      <w:r w:rsidRPr="00CA0E96">
        <w:t>Aghanwa</w:t>
      </w:r>
      <w:proofErr w:type="spellEnd"/>
      <w:r w:rsidRPr="00CA0E96">
        <w:t xml:space="preserve">, C. I., </w:t>
      </w:r>
      <w:proofErr w:type="spellStart"/>
      <w:r w:rsidRPr="00CA0E96">
        <w:t>Umueni</w:t>
      </w:r>
      <w:proofErr w:type="spellEnd"/>
      <w:r w:rsidRPr="00CA0E96">
        <w:t xml:space="preserve">, U. E., Etukudo, N. J., Amachree, J. B., </w:t>
      </w:r>
      <w:proofErr w:type="spellStart"/>
      <w:r w:rsidRPr="00CA0E96">
        <w:t>Okpoji</w:t>
      </w:r>
      <w:proofErr w:type="spellEnd"/>
      <w:r w:rsidRPr="00CA0E96">
        <w:t xml:space="preserve">, A. U., </w:t>
      </w:r>
      <w:proofErr w:type="spellStart"/>
      <w:r w:rsidRPr="00CA0E96">
        <w:t>Ejeka</w:t>
      </w:r>
      <w:proofErr w:type="spellEnd"/>
      <w:r w:rsidRPr="00CA0E96">
        <w:t xml:space="preserve">, C. J., &amp; </w:t>
      </w:r>
      <w:proofErr w:type="spellStart"/>
      <w:r w:rsidRPr="00CA0E96">
        <w:t>Ekwere</w:t>
      </w:r>
      <w:proofErr w:type="spellEnd"/>
      <w:r w:rsidRPr="00CA0E96">
        <w:t xml:space="preserve">, I. O. (2025). Atmospheric deposition of soot and heavy metals from gas flaring into surface waters of </w:t>
      </w:r>
      <w:proofErr w:type="spellStart"/>
      <w:r w:rsidRPr="00CA0E96">
        <w:t>Ebocha</w:t>
      </w:r>
      <w:proofErr w:type="spellEnd"/>
      <w:r w:rsidRPr="00CA0E96">
        <w:t xml:space="preserve">, Rivers State, Nigeria. Asian Journal of Environment &amp; Ecology, 24(11), 137–147. </w:t>
      </w:r>
      <w:hyperlink r:id="rId7" w:history="1">
        <w:r w:rsidRPr="00334607">
          <w:rPr>
            <w:rStyle w:val="Hyperlink"/>
          </w:rPr>
          <w:t>https://doi.org/10.9734/ajee/2025/v24i11822</w:t>
        </w:r>
      </w:hyperlink>
      <w:r>
        <w:t xml:space="preserve"> </w:t>
      </w:r>
    </w:p>
    <w:p w14:paraId="3A9C7FA3" w14:textId="77777777" w:rsidR="00A748CB" w:rsidRPr="00CC5816" w:rsidRDefault="00A748CB" w:rsidP="00A748CB">
      <w:pPr>
        <w:spacing w:after="0" w:line="240" w:lineRule="auto"/>
        <w:jc w:val="both"/>
        <w:rPr>
          <w:rFonts w:ascii="Times New Roman" w:eastAsia="Times New Roman" w:hAnsi="Times New Roman" w:cs="Times New Roman"/>
          <w:sz w:val="24"/>
          <w:szCs w:val="24"/>
          <w:lang w:eastAsia="en-GB"/>
        </w:rPr>
      </w:pPr>
      <w:bookmarkStart w:id="1" w:name="_Hlk216411041"/>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J. O., </w:t>
      </w: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&amp;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8" w:history="1">
        <w:r w:rsidRPr="00CC5816">
          <w:rPr>
            <w:rStyle w:val="Hyperlink"/>
            <w:rFonts w:ascii="Times New Roman" w:eastAsia="Times New Roman" w:hAnsi="Times New Roman" w:cs="Times New Roman"/>
            <w:sz w:val="24"/>
            <w:szCs w:val="24"/>
            <w:lang w:eastAsia="en-GB"/>
          </w:rPr>
          <w:t>https://doi.org/10.9734/ajee/2023/v21i4469</w:t>
        </w:r>
      </w:hyperlink>
      <w:r w:rsidRPr="00CC5816">
        <w:rPr>
          <w:rFonts w:ascii="Times New Roman" w:eastAsia="Times New Roman" w:hAnsi="Times New Roman" w:cs="Times New Roman"/>
          <w:sz w:val="24"/>
          <w:szCs w:val="24"/>
          <w:lang w:eastAsia="en-GB"/>
        </w:rPr>
        <w:t xml:space="preserve"> </w:t>
      </w:r>
    </w:p>
    <w:p w14:paraId="20D95FF1" w14:textId="77777777" w:rsidR="00A748CB" w:rsidRPr="00AF7428" w:rsidRDefault="00A748CB" w:rsidP="00A748CB">
      <w:pPr>
        <w:pStyle w:val="NormalWeb"/>
        <w:rPr>
          <w:color w:val="0563C1" w:themeColor="hyperlink"/>
          <w:u w:val="single"/>
        </w:rPr>
      </w:pPr>
      <w:r w:rsidRPr="00824CFB">
        <w:t xml:space="preserve">Asemota, P. O., Olotu, O. N., Akpan, N. A., </w:t>
      </w:r>
      <w:proofErr w:type="spellStart"/>
      <w:r w:rsidRPr="00824CFB">
        <w:t>Okpoji</w:t>
      </w:r>
      <w:proofErr w:type="spellEnd"/>
      <w:r w:rsidRPr="00824CFB">
        <w:t xml:space="preserve">, A. U., </w:t>
      </w:r>
      <w:proofErr w:type="spellStart"/>
      <w:r w:rsidRPr="00824CFB">
        <w:t>Etesin</w:t>
      </w:r>
      <w:proofErr w:type="spellEnd"/>
      <w:r w:rsidRPr="00824CFB">
        <w:t xml:space="preserve">, M. U., &amp; Etukudo, E. W. (2025). Environmental engineering evaluation of slow sand filters for treating contaminated water in </w:t>
      </w:r>
      <w:proofErr w:type="spellStart"/>
      <w:r w:rsidRPr="00824CFB">
        <w:t>Borokiri</w:t>
      </w:r>
      <w:proofErr w:type="spellEnd"/>
      <w:r w:rsidRPr="00824CFB">
        <w:t xml:space="preserve"> Area, Port Harcourt, Rivers State, Nigeria. Journal of Environment, Climate, and Ecology, 2(2), 184–191. </w:t>
      </w:r>
      <w:hyperlink r:id="rId9" w:history="1">
        <w:r w:rsidRPr="00334607">
          <w:rPr>
            <w:rStyle w:val="Hyperlink"/>
          </w:rPr>
          <w:t>https://doi.org/10.69739/jece.v2i2.1307</w:t>
        </w:r>
      </w:hyperlink>
      <w:r>
        <w:t xml:space="preserve"> </w:t>
      </w:r>
    </w:p>
    <w:p w14:paraId="4E4269AE" w14:textId="77777777" w:rsidR="00A748CB" w:rsidRPr="00AF7428" w:rsidRDefault="00A748CB" w:rsidP="00A748CB">
      <w:pPr>
        <w:pStyle w:val="NormalWeb"/>
        <w:spacing w:line="276" w:lineRule="auto"/>
        <w:jc w:val="both"/>
        <w:rPr>
          <w:rStyle w:val="Hyperlink"/>
        </w:rPr>
      </w:pPr>
      <w:proofErr w:type="spellStart"/>
      <w:r w:rsidRPr="00925E79">
        <w:t>Ekesiobi</w:t>
      </w:r>
      <w:proofErr w:type="spellEnd"/>
      <w:r w:rsidRPr="00925E79">
        <w:t xml:space="preserve">, S. U., Ekpe, J. E., </w:t>
      </w:r>
      <w:proofErr w:type="spellStart"/>
      <w:r w:rsidRPr="00925E79">
        <w:t>Okpoji</w:t>
      </w:r>
      <w:proofErr w:type="spellEnd"/>
      <w:r w:rsidRPr="00925E79">
        <w:t xml:space="preserve">, A. U., Hassan, D. H., </w:t>
      </w:r>
      <w:proofErr w:type="spellStart"/>
      <w:r w:rsidRPr="00925E79">
        <w:t>Ekwere</w:t>
      </w:r>
      <w:proofErr w:type="spellEnd"/>
      <w:r w:rsidRPr="00925E79">
        <w:t xml:space="preserve">, I. O., </w:t>
      </w:r>
      <w:proofErr w:type="spellStart"/>
      <w:r w:rsidRPr="00925E79">
        <w:t>Awortu</w:t>
      </w:r>
      <w:proofErr w:type="spellEnd"/>
      <w:r w:rsidRPr="00925E79">
        <w:t xml:space="preserve">, R. C., </w:t>
      </w:r>
      <w:proofErr w:type="spellStart"/>
      <w:r w:rsidRPr="00925E79">
        <w:t>Etesin</w:t>
      </w:r>
      <w:proofErr w:type="spellEnd"/>
      <w:r w:rsidRPr="00925E79">
        <w:t xml:space="preserve">, M. U., </w:t>
      </w:r>
      <w:proofErr w:type="spellStart"/>
      <w:r w:rsidRPr="00925E79">
        <w:t>Nwofia</w:t>
      </w:r>
      <w:proofErr w:type="spellEnd"/>
      <w:r w:rsidRPr="00925E79">
        <w:t xml:space="preserve">, U., Okeke, C. F., &amp; Nwankwo, A. O. (2025). </w:t>
      </w:r>
      <w:proofErr w:type="spellStart"/>
      <w:r w:rsidRPr="00925E79">
        <w:t>Hydrochemical</w:t>
      </w:r>
      <w:proofErr w:type="spellEnd"/>
      <w:r w:rsidRPr="00925E79">
        <w:t xml:space="preserve"> characterisation and health-risk assessment of drinking water sources in Brass Island, Bayelsa State, Nigeria. Asian Journal of Chemical Sciences, 15(6), 64–76. </w:t>
      </w:r>
      <w:hyperlink r:id="rId10" w:history="1">
        <w:r w:rsidRPr="00334607">
          <w:rPr>
            <w:rStyle w:val="Hyperlink"/>
          </w:rPr>
          <w:t>https://doi.org/10.9734/ajocs/2025/v15i6406</w:t>
        </w:r>
      </w:hyperlink>
      <w:r>
        <w:t xml:space="preserve"> </w:t>
      </w:r>
    </w:p>
    <w:p w14:paraId="64DD1CD6"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Ekpe, J. E., </w:t>
      </w: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Anarada</w:t>
      </w:r>
      <w:proofErr w:type="spellEnd"/>
      <w:r w:rsidRPr="00CC5816">
        <w:rPr>
          <w:rFonts w:ascii="Times New Roman" w:eastAsia="Times New Roman" w:hAnsi="Times New Roman" w:cs="Times New Roman"/>
          <w:sz w:val="24"/>
          <w:szCs w:val="24"/>
          <w:lang w:eastAsia="en-GB"/>
        </w:rPr>
        <w:t xml:space="preserve">, C. J.,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Ufuoma, V. O., </w:t>
      </w:r>
      <w:proofErr w:type="spellStart"/>
      <w:r w:rsidRPr="00CC5816">
        <w:rPr>
          <w:rFonts w:ascii="Times New Roman" w:eastAsia="Times New Roman" w:hAnsi="Times New Roman" w:cs="Times New Roman"/>
          <w:sz w:val="24"/>
          <w:szCs w:val="24"/>
          <w:lang w:eastAsia="en-GB"/>
        </w:rPr>
        <w:t>Okpanachi</w:t>
      </w:r>
      <w:proofErr w:type="spellEnd"/>
      <w:r w:rsidRPr="00CC5816">
        <w:rPr>
          <w:rFonts w:ascii="Times New Roman" w:eastAsia="Times New Roman" w:hAnsi="Times New Roman" w:cs="Times New Roman"/>
          <w:sz w:val="24"/>
          <w:szCs w:val="24"/>
          <w:lang w:eastAsia="en-GB"/>
        </w:rPr>
        <w:t xml:space="preserve">, C. B., Okonkwo, C. O.,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CC5816">
        <w:rPr>
          <w:rFonts w:ascii="Times New Roman" w:eastAsia="Times New Roman" w:hAnsi="Times New Roman" w:cs="Times New Roman"/>
          <w:sz w:val="24"/>
          <w:szCs w:val="24"/>
          <w:lang w:eastAsia="en-GB"/>
        </w:rPr>
        <w:t>agro</w:t>
      </w:r>
      <w:proofErr w:type="spellEnd"/>
      <w:r w:rsidRPr="00CC5816">
        <w:rPr>
          <w:rFonts w:ascii="Times New Roman" w:eastAsia="Times New Roman" w:hAnsi="Times New Roman" w:cs="Times New Roman"/>
          <w:sz w:val="24"/>
          <w:szCs w:val="24"/>
          <w:lang w:eastAsia="en-GB"/>
        </w:rPr>
        <w:t xml:space="preserve">-ecosystems of Rivers State, Nigeria. </w:t>
      </w:r>
      <w:proofErr w:type="spellStart"/>
      <w:r w:rsidRPr="00CC5816">
        <w:rPr>
          <w:rFonts w:ascii="Times New Roman" w:eastAsia="Times New Roman" w:hAnsi="Times New Roman" w:cs="Times New Roman"/>
          <w:sz w:val="24"/>
          <w:szCs w:val="24"/>
          <w:lang w:eastAsia="en-GB"/>
        </w:rPr>
        <w:t>Palgo</w:t>
      </w:r>
      <w:proofErr w:type="spellEnd"/>
      <w:r w:rsidRPr="00CC5816">
        <w:rPr>
          <w:rFonts w:ascii="Times New Roman" w:eastAsia="Times New Roman" w:hAnsi="Times New Roman" w:cs="Times New Roman"/>
          <w:sz w:val="24"/>
          <w:szCs w:val="24"/>
          <w:lang w:eastAsia="en-GB"/>
        </w:rPr>
        <w:t xml:space="preserve"> Journal of Agriculture, 9(2), 30–37. </w:t>
      </w:r>
      <w:hyperlink r:id="rId11" w:history="1">
        <w:r w:rsidRPr="00CC5816">
          <w:rPr>
            <w:rStyle w:val="Hyperlink"/>
            <w:rFonts w:ascii="Times New Roman" w:eastAsia="Times New Roman" w:hAnsi="Times New Roman" w:cs="Times New Roman"/>
            <w:sz w:val="24"/>
            <w:szCs w:val="24"/>
            <w:lang w:eastAsia="en-GB"/>
          </w:rPr>
          <w:t>https://doi.org/10.5281/zenodo.17148360</w:t>
        </w:r>
      </w:hyperlink>
      <w:r w:rsidRPr="00CC5816">
        <w:rPr>
          <w:rFonts w:ascii="Times New Roman" w:eastAsia="Times New Roman" w:hAnsi="Times New Roman" w:cs="Times New Roman"/>
          <w:sz w:val="24"/>
          <w:szCs w:val="24"/>
          <w:lang w:eastAsia="en-GB"/>
        </w:rPr>
        <w:t xml:space="preserve"> </w:t>
      </w:r>
    </w:p>
    <w:bookmarkEnd w:id="1"/>
    <w:p w14:paraId="11A83BC6"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hAnsi="Times New Roman" w:cs="Times New Roman"/>
          <w:sz w:val="24"/>
          <w:szCs w:val="24"/>
        </w:rPr>
        <w:t>Ekwere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xml:space="preserve">, A. U., </w:t>
      </w:r>
      <w:proofErr w:type="spellStart"/>
      <w:r w:rsidRPr="00CC5816">
        <w:rPr>
          <w:rFonts w:ascii="Times New Roman" w:hAnsi="Times New Roman" w:cs="Times New Roman"/>
          <w:sz w:val="24"/>
          <w:szCs w:val="24"/>
        </w:rPr>
        <w:t>Igwegbe</w:t>
      </w:r>
      <w:proofErr w:type="spellEnd"/>
      <w:r w:rsidRPr="00CC5816">
        <w:rPr>
          <w:rFonts w:ascii="Times New Roman" w:hAnsi="Times New Roman" w:cs="Times New Roman"/>
          <w:sz w:val="24"/>
          <w:szCs w:val="24"/>
        </w:rPr>
        <w:t xml:space="preserve">, K. C., Okonkwo, C. O., </w:t>
      </w:r>
      <w:proofErr w:type="spellStart"/>
      <w:r w:rsidRPr="00CC5816">
        <w:rPr>
          <w:rFonts w:ascii="Times New Roman" w:hAnsi="Times New Roman" w:cs="Times New Roman"/>
          <w:sz w:val="24"/>
          <w:szCs w:val="24"/>
        </w:rPr>
        <w:t>Yekeen</w:t>
      </w:r>
      <w:proofErr w:type="spellEnd"/>
      <w:r w:rsidRPr="00CC5816">
        <w:rPr>
          <w:rFonts w:ascii="Times New Roman" w:hAnsi="Times New Roman" w:cs="Times New Roman"/>
          <w:sz w:val="24"/>
          <w:szCs w:val="24"/>
        </w:rPr>
        <w:t xml:space="preserve">, A. A., </w:t>
      </w:r>
      <w:proofErr w:type="spellStart"/>
      <w:r w:rsidRPr="00CC5816">
        <w:rPr>
          <w:rFonts w:ascii="Times New Roman" w:hAnsi="Times New Roman" w:cs="Times New Roman"/>
          <w:sz w:val="24"/>
          <w:szCs w:val="24"/>
        </w:rPr>
        <w:t>Obunezi</w:t>
      </w:r>
      <w:proofErr w:type="spellEnd"/>
      <w:r w:rsidRPr="00CC5816">
        <w:rPr>
          <w:rFonts w:ascii="Times New Roman" w:hAnsi="Times New Roman" w:cs="Times New Roman"/>
          <w:sz w:val="24"/>
          <w:szCs w:val="24"/>
        </w:rPr>
        <w:t xml:space="preserve">, O. C., </w:t>
      </w:r>
      <w:proofErr w:type="spellStart"/>
      <w:r w:rsidRPr="00CC5816">
        <w:rPr>
          <w:rFonts w:ascii="Times New Roman" w:hAnsi="Times New Roman" w:cs="Times New Roman"/>
          <w:sz w:val="24"/>
          <w:szCs w:val="24"/>
        </w:rPr>
        <w:t>Okpanachi</w:t>
      </w:r>
      <w:proofErr w:type="spellEnd"/>
      <w:r w:rsidRPr="00CC5816">
        <w:rPr>
          <w:rFonts w:ascii="Times New Roman" w:hAnsi="Times New Roman" w:cs="Times New Roman"/>
          <w:sz w:val="24"/>
          <w:szCs w:val="24"/>
        </w:rPr>
        <w:t xml:space="preserve">, C. B., Garuba, M. H., </w:t>
      </w:r>
      <w:proofErr w:type="spellStart"/>
      <w:r w:rsidRPr="00CC5816">
        <w:rPr>
          <w:rFonts w:ascii="Times New Roman" w:hAnsi="Times New Roman" w:cs="Times New Roman"/>
          <w:sz w:val="24"/>
          <w:szCs w:val="24"/>
        </w:rPr>
        <w:t>Ogini</w:t>
      </w:r>
      <w:proofErr w:type="spellEnd"/>
      <w:r w:rsidRPr="00CC5816">
        <w:rPr>
          <w:rFonts w:ascii="Times New Roman" w:hAnsi="Times New Roman" w:cs="Times New Roman"/>
          <w:sz w:val="24"/>
          <w:szCs w:val="24"/>
        </w:rPr>
        <w:t xml:space="preserve">, O. R., &amp; </w:t>
      </w:r>
      <w:proofErr w:type="spellStart"/>
      <w:r w:rsidRPr="00CC5816">
        <w:rPr>
          <w:rFonts w:ascii="Times New Roman" w:hAnsi="Times New Roman" w:cs="Times New Roman"/>
          <w:sz w:val="24"/>
          <w:szCs w:val="24"/>
        </w:rPr>
        <w:t>Odibo</w:t>
      </w:r>
      <w:proofErr w:type="spellEnd"/>
      <w:r w:rsidRPr="00CC5816">
        <w:rPr>
          <w:rFonts w:ascii="Times New Roman" w:hAnsi="Times New Roman" w:cs="Times New Roman"/>
          <w:sz w:val="24"/>
          <w:szCs w:val="24"/>
        </w:rPr>
        <w:t xml:space="preserve">, U. E. (2025). Nutritional–Toxicological Trade-Off: Comparative Study of Polycyclic Aromatic Hydrocarbons in Smoked and Oven-Dried Nile Tilapia (Oreochromis niloticus). Journal of Environment, Climate, and Ecology, 2(2), 90-97. </w:t>
      </w:r>
      <w:hyperlink r:id="rId12" w:history="1">
        <w:r w:rsidRPr="00CC5816">
          <w:rPr>
            <w:rStyle w:val="Hyperlink"/>
            <w:rFonts w:ascii="Times New Roman" w:hAnsi="Times New Roman" w:cs="Times New Roman"/>
            <w:sz w:val="24"/>
            <w:szCs w:val="24"/>
          </w:rPr>
          <w:t>https://doi.org/10.69739/jece.v2i2.952</w:t>
        </w:r>
      </w:hyperlink>
      <w:r w:rsidRPr="00CC5816">
        <w:rPr>
          <w:rFonts w:ascii="Times New Roman" w:hAnsi="Times New Roman" w:cs="Times New Roman"/>
          <w:sz w:val="24"/>
          <w:szCs w:val="24"/>
        </w:rPr>
        <w:t xml:space="preserve"> </w:t>
      </w:r>
    </w:p>
    <w:p w14:paraId="7E09E255"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hAnsi="Times New Roman" w:cs="Times New Roman"/>
          <w:sz w:val="24"/>
          <w:szCs w:val="24"/>
        </w:rPr>
        <w:t>Ekwere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xml:space="preserve">, A. U., Okagbare, U. V., Ewuola, A. A., </w:t>
      </w:r>
      <w:proofErr w:type="spellStart"/>
      <w:r w:rsidRPr="00CC5816">
        <w:rPr>
          <w:rFonts w:ascii="Times New Roman" w:hAnsi="Times New Roman" w:cs="Times New Roman"/>
          <w:sz w:val="24"/>
          <w:szCs w:val="24"/>
        </w:rPr>
        <w:t>Awortu</w:t>
      </w:r>
      <w:proofErr w:type="spellEnd"/>
      <w:r w:rsidRPr="00CC5816">
        <w:rPr>
          <w:rFonts w:ascii="Times New Roman" w:hAnsi="Times New Roman" w:cs="Times New Roman"/>
          <w:sz w:val="24"/>
          <w:szCs w:val="24"/>
        </w:rPr>
        <w:t xml:space="preserve">, R. C., Onoja, C. R., </w:t>
      </w:r>
      <w:proofErr w:type="spellStart"/>
      <w:r w:rsidRPr="00CC5816">
        <w:rPr>
          <w:rFonts w:ascii="Times New Roman" w:hAnsi="Times New Roman" w:cs="Times New Roman"/>
          <w:sz w:val="24"/>
          <w:szCs w:val="24"/>
        </w:rPr>
        <w:t>Alaekwe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Etesin</w:t>
      </w:r>
      <w:proofErr w:type="spellEnd"/>
      <w:r w:rsidRPr="00CC5816">
        <w:rPr>
          <w:rFonts w:ascii="Times New Roman" w:hAnsi="Times New Roman" w:cs="Times New Roman"/>
          <w:sz w:val="24"/>
          <w:szCs w:val="24"/>
        </w:rPr>
        <w:t xml:space="preserve">, M. O., &amp; </w:t>
      </w:r>
      <w:proofErr w:type="spellStart"/>
      <w:r w:rsidRPr="00CC5816">
        <w:rPr>
          <w:rFonts w:ascii="Times New Roman" w:hAnsi="Times New Roman" w:cs="Times New Roman"/>
          <w:sz w:val="24"/>
          <w:szCs w:val="24"/>
        </w:rPr>
        <w:t>Edodi</w:t>
      </w:r>
      <w:proofErr w:type="spellEnd"/>
      <w:r w:rsidRPr="00CC5816">
        <w:rPr>
          <w:rFonts w:ascii="Times New Roman" w:hAnsi="Times New Roman" w:cs="Times New Roman"/>
          <w:sz w:val="24"/>
          <w:szCs w:val="24"/>
        </w:rPr>
        <w:t xml:space="preserve">, I. O. (2025). Nutritional evaluation of Nile tilapia (Oreochromis niloticus) processed by different drying methods in Akwa Ibom State, Nigeria. Journal of Sustainable Research and Development, 1(2), 11–17. </w:t>
      </w:r>
      <w:hyperlink r:id="rId13" w:history="1">
        <w:r w:rsidRPr="00CC5816">
          <w:rPr>
            <w:rStyle w:val="Hyperlink"/>
            <w:rFonts w:ascii="Times New Roman" w:hAnsi="Times New Roman" w:cs="Times New Roman"/>
            <w:sz w:val="24"/>
            <w:szCs w:val="24"/>
          </w:rPr>
          <w:t>https://doi.org/10.69739/jsrd.v1i2.1033</w:t>
        </w:r>
      </w:hyperlink>
      <w:r w:rsidRPr="00CC5816">
        <w:rPr>
          <w:rFonts w:ascii="Times New Roman" w:hAnsi="Times New Roman" w:cs="Times New Roman"/>
          <w:sz w:val="24"/>
          <w:szCs w:val="24"/>
        </w:rPr>
        <w:t xml:space="preserve"> </w:t>
      </w:r>
    </w:p>
    <w:p w14:paraId="5C3CDB0D" w14:textId="77777777" w:rsidR="00A748CB" w:rsidRPr="00AF7428" w:rsidRDefault="00A748CB" w:rsidP="00A748CB">
      <w:pPr>
        <w:pStyle w:val="NormalWeb"/>
        <w:spacing w:line="276" w:lineRule="auto"/>
        <w:jc w:val="both"/>
      </w:pPr>
      <w:proofErr w:type="spellStart"/>
      <w:r w:rsidRPr="00BB2FB7">
        <w:rPr>
          <w:lang w:val="en-US" w:eastAsia="zh-CN" w:bidi="ar"/>
        </w:rPr>
        <w:lastRenderedPageBreak/>
        <w:t>Etesin</w:t>
      </w:r>
      <w:proofErr w:type="spellEnd"/>
      <w:r w:rsidRPr="00BB2FB7">
        <w:rPr>
          <w:lang w:val="en-US" w:eastAsia="zh-CN" w:bidi="ar"/>
        </w:rPr>
        <w:t xml:space="preserve">, M. U., </w:t>
      </w:r>
      <w:proofErr w:type="spellStart"/>
      <w:r w:rsidRPr="00BB2FB7">
        <w:rPr>
          <w:lang w:val="en-US" w:eastAsia="zh-CN" w:bidi="ar"/>
        </w:rPr>
        <w:t>Ezeabsili</w:t>
      </w:r>
      <w:proofErr w:type="spellEnd"/>
      <w:r w:rsidRPr="00BB2FB7">
        <w:rPr>
          <w:lang w:val="en-US" w:eastAsia="zh-CN" w:bidi="ar"/>
        </w:rPr>
        <w:t xml:space="preserve">, P. I., Agu, M. O., Okeke, C. F., Olotu, O. N., </w:t>
      </w:r>
      <w:proofErr w:type="spellStart"/>
      <w:r w:rsidRPr="00BB2FB7">
        <w:rPr>
          <w:lang w:val="en-US" w:eastAsia="zh-CN" w:bidi="ar"/>
        </w:rPr>
        <w:t>Aligwo</w:t>
      </w:r>
      <w:proofErr w:type="spellEnd"/>
      <w:r w:rsidRPr="00BB2FB7">
        <w:rPr>
          <w:lang w:val="en-US" w:eastAsia="zh-CN" w:bidi="ar"/>
        </w:rPr>
        <w:t xml:space="preserve">, M. C., Eze, V. C., Nwankwo, A. O., </w:t>
      </w:r>
      <w:proofErr w:type="spellStart"/>
      <w:r w:rsidRPr="00BB2FB7">
        <w:rPr>
          <w:lang w:val="en-US" w:eastAsia="zh-CN" w:bidi="ar"/>
        </w:rPr>
        <w:t>Okpoji</w:t>
      </w:r>
      <w:proofErr w:type="spellEnd"/>
      <w:r w:rsidRPr="00BB2FB7">
        <w:rPr>
          <w:lang w:val="en-US" w:eastAsia="zh-CN" w:bidi="ar"/>
        </w:rPr>
        <w:t xml:space="preserve">, A. U., &amp; Ekong, I. U. (2025). Determination of polychlorinated biphenyls in soils and industrial effluents and health risks assessment in </w:t>
      </w:r>
      <w:proofErr w:type="spellStart"/>
      <w:r w:rsidRPr="00BB2FB7">
        <w:rPr>
          <w:lang w:val="en-US" w:eastAsia="zh-CN" w:bidi="ar"/>
        </w:rPr>
        <w:t>Uyo</w:t>
      </w:r>
      <w:proofErr w:type="spellEnd"/>
      <w:r w:rsidRPr="00BB2FB7">
        <w:rPr>
          <w:lang w:val="en-US" w:eastAsia="zh-CN" w:bidi="ar"/>
        </w:rPr>
        <w:t xml:space="preserve">, </w:t>
      </w:r>
      <w:proofErr w:type="spellStart"/>
      <w:r w:rsidRPr="00BB2FB7">
        <w:rPr>
          <w:lang w:val="en-US" w:eastAsia="zh-CN" w:bidi="ar"/>
        </w:rPr>
        <w:t>Akwa</w:t>
      </w:r>
      <w:proofErr w:type="spellEnd"/>
      <w:r w:rsidRPr="00BB2FB7">
        <w:rPr>
          <w:lang w:val="en-US" w:eastAsia="zh-CN" w:bidi="ar"/>
        </w:rPr>
        <w:t xml:space="preserve"> Ibom State, Nigeria. Journal of Medical Science, Biology, and Chemistry, 2(2), 285–292. </w:t>
      </w:r>
      <w:hyperlink r:id="rId14" w:history="1">
        <w:r w:rsidRPr="00334607">
          <w:rPr>
            <w:rStyle w:val="Hyperlink"/>
            <w:lang w:val="en-US" w:eastAsia="zh-CN" w:bidi="ar"/>
          </w:rPr>
          <w:t>https://doi.org/10.69739/jmsbc.v2i2.1258</w:t>
        </w:r>
      </w:hyperlink>
      <w:r>
        <w:rPr>
          <w:lang w:val="en-US" w:eastAsia="zh-CN" w:bidi="ar"/>
        </w:rPr>
        <w:t xml:space="preserve"> </w:t>
      </w:r>
    </w:p>
    <w:p w14:paraId="25AC6B73" w14:textId="77777777" w:rsidR="00A748CB" w:rsidRPr="00AF7428" w:rsidRDefault="00A748CB" w:rsidP="00A748CB">
      <w:pPr>
        <w:pStyle w:val="NormalWeb"/>
        <w:rPr>
          <w:rStyle w:val="Hyperlink"/>
        </w:rPr>
      </w:pPr>
      <w:proofErr w:type="spellStart"/>
      <w:r w:rsidRPr="0087495D">
        <w:t>Isueken</w:t>
      </w:r>
      <w:proofErr w:type="spellEnd"/>
      <w:r w:rsidRPr="0087495D">
        <w:t xml:space="preserve">, C. O., Asemota, P. O., Isaac, S. C., Okpoji, A. U., Nwankwo, A. O., Akpan, N. A., </w:t>
      </w:r>
      <w:proofErr w:type="spellStart"/>
      <w:r w:rsidRPr="0087495D">
        <w:t>Ekwere</w:t>
      </w:r>
      <w:proofErr w:type="spellEnd"/>
      <w:r w:rsidRPr="0087495D">
        <w:t xml:space="preserve">, I. O., </w:t>
      </w:r>
      <w:proofErr w:type="spellStart"/>
      <w:r w:rsidRPr="0087495D">
        <w:t>Etesin</w:t>
      </w:r>
      <w:proofErr w:type="spellEnd"/>
      <w:r w:rsidRPr="0087495D">
        <w:t xml:space="preserve">, M. U., &amp; </w:t>
      </w:r>
      <w:proofErr w:type="spellStart"/>
      <w:r w:rsidRPr="0087495D">
        <w:t>Alieze</w:t>
      </w:r>
      <w:proofErr w:type="spellEnd"/>
      <w:r w:rsidRPr="0087495D">
        <w:t xml:space="preserve">, A. B. (2025). Assessment of petroleum hydrocarbon fractions and heavy metal contamination in surface water of </w:t>
      </w:r>
      <w:proofErr w:type="spellStart"/>
      <w:r w:rsidRPr="0087495D">
        <w:t>Ogboinbiri</w:t>
      </w:r>
      <w:proofErr w:type="spellEnd"/>
      <w:r w:rsidRPr="0087495D">
        <w:t xml:space="preserve"> Creek, Southern Ijaw, Bayelsa State, Nigeria. Scientific Journal of Engineering and Technology, 2(2), 172–179. </w:t>
      </w:r>
      <w:hyperlink r:id="rId15" w:history="1">
        <w:r w:rsidRPr="00334607">
          <w:rPr>
            <w:rStyle w:val="Hyperlink"/>
          </w:rPr>
          <w:t>https://doi.org/10.69739/sjet.v2i2.1308</w:t>
        </w:r>
      </w:hyperlink>
      <w:r>
        <w:t xml:space="preserve"> </w:t>
      </w:r>
    </w:p>
    <w:p w14:paraId="62A2D991" w14:textId="77777777" w:rsidR="00A748CB" w:rsidRPr="00AF7428" w:rsidRDefault="00A748CB" w:rsidP="00A748CB">
      <w:pPr>
        <w:pStyle w:val="NormalWeb"/>
        <w:jc w:val="both"/>
      </w:pPr>
      <w:r w:rsidRPr="001F0F9E">
        <w:t xml:space="preserve">John, E. E., Emah, O. A., Ifiok, O. E., </w:t>
      </w:r>
      <w:proofErr w:type="spellStart"/>
      <w:r w:rsidRPr="001F0F9E">
        <w:t>Okpoji</w:t>
      </w:r>
      <w:proofErr w:type="spellEnd"/>
      <w:r w:rsidRPr="001F0F9E">
        <w:t xml:space="preserve">, A. U., Iyam, O. E., Henderson, O. O., Akinola, A. E., </w:t>
      </w:r>
      <w:proofErr w:type="spellStart"/>
      <w:r w:rsidRPr="001F0F9E">
        <w:t>Anngo</w:t>
      </w:r>
      <w:proofErr w:type="spellEnd"/>
      <w:r w:rsidRPr="001F0F9E">
        <w:t xml:space="preserve">, G. N., &amp; Ogbonnaya, C. N. (2025). Health Risk Implications of Polycyclic Aromatic Hydrocarbons in Smoked and Dried Fish Consumed in Nigeria. Journal of Medical Science, Biology, and Chemistry, 2(2), 192–199. </w:t>
      </w:r>
      <w:hyperlink r:id="rId16" w:history="1">
        <w:r w:rsidRPr="00334607">
          <w:rPr>
            <w:rStyle w:val="Hyperlink"/>
          </w:rPr>
          <w:t>https://doi.org/10.69739/jmsbc.v2i2.1045</w:t>
        </w:r>
      </w:hyperlink>
      <w:r>
        <w:t xml:space="preserve"> </w:t>
      </w:r>
    </w:p>
    <w:p w14:paraId="1C8171C2" w14:textId="77777777" w:rsidR="00A748CB" w:rsidRPr="00AF7428" w:rsidRDefault="00A748CB" w:rsidP="00A748CB">
      <w:pPr>
        <w:pStyle w:val="NormalWeb"/>
        <w:spacing w:line="276" w:lineRule="auto"/>
        <w:jc w:val="both"/>
        <w:rPr>
          <w:lang w:val="en-US"/>
        </w:rPr>
      </w:pPr>
      <w:r w:rsidRPr="0053733C">
        <w:t xml:space="preserve">Ogbaji, H. O., Akpan, N. A., </w:t>
      </w:r>
      <w:proofErr w:type="spellStart"/>
      <w:r w:rsidRPr="0053733C">
        <w:t>Ijioma</w:t>
      </w:r>
      <w:proofErr w:type="spellEnd"/>
      <w:r w:rsidRPr="0053733C">
        <w:t xml:space="preserve">, C. C., Okpoji, A. U., Eze, V. C., Obi, J. N., Martins, N. P., &amp; </w:t>
      </w:r>
      <w:proofErr w:type="spellStart"/>
      <w:r w:rsidRPr="0053733C">
        <w:t>Etesin</w:t>
      </w:r>
      <w:proofErr w:type="spellEnd"/>
      <w:r w:rsidRPr="0053733C">
        <w:t xml:space="preserve">, M. U. (2025). Seasonal variation in hydrocarbon contamination of sediments and biota in Bonny Estuary, Rivers State, Nigeria. Asian Journal of Geographical Research, 8(4), 330–338. </w:t>
      </w:r>
      <w:hyperlink r:id="rId17" w:history="1">
        <w:r w:rsidRPr="00334607">
          <w:rPr>
            <w:rStyle w:val="Hyperlink"/>
          </w:rPr>
          <w:t>https://doi.org/10.9734/ajgr/2025/v8i4341</w:t>
        </w:r>
      </w:hyperlink>
      <w:r>
        <w:t xml:space="preserve"> </w:t>
      </w:r>
    </w:p>
    <w:p w14:paraId="2CF5F067" w14:textId="77777777" w:rsidR="00A748CB" w:rsidRPr="00AF7428" w:rsidRDefault="00A748CB" w:rsidP="00A748CB">
      <w:pPr>
        <w:pStyle w:val="NormalWeb"/>
      </w:pPr>
      <w:r w:rsidRPr="00821333">
        <w:t xml:space="preserve">Ohaturuonye, S. O., </w:t>
      </w:r>
      <w:proofErr w:type="spellStart"/>
      <w:r w:rsidRPr="00821333">
        <w:t>Okpoji</w:t>
      </w:r>
      <w:proofErr w:type="spellEnd"/>
      <w:r w:rsidRPr="00821333">
        <w:t xml:space="preserve">, A. U., Akpan, N. A., Njoku, C. A., Isaac, S. C., </w:t>
      </w:r>
      <w:proofErr w:type="spellStart"/>
      <w:r w:rsidRPr="00821333">
        <w:t>Etesin</w:t>
      </w:r>
      <w:proofErr w:type="spellEnd"/>
      <w:r w:rsidRPr="00821333">
        <w:t xml:space="preserve">, M. U., &amp; </w:t>
      </w:r>
      <w:proofErr w:type="spellStart"/>
      <w:r w:rsidRPr="00821333">
        <w:t>Ekwere</w:t>
      </w:r>
      <w:proofErr w:type="spellEnd"/>
      <w:r w:rsidRPr="00821333">
        <w:t xml:space="preserve">, I. O. (2025). Biomarker responses in fish and crustaceans exposed to heavy metals and petroleum hydrocarbons in the Qua </w:t>
      </w:r>
      <w:proofErr w:type="spellStart"/>
      <w:r w:rsidRPr="00821333">
        <w:t>Iboe</w:t>
      </w:r>
      <w:proofErr w:type="spellEnd"/>
      <w:r w:rsidRPr="00821333">
        <w:t xml:space="preserve"> Estuary, Niger Delta. Asian Journal of Research in Zoology, 8(4), 234–244. </w:t>
      </w:r>
      <w:hyperlink r:id="rId18" w:history="1">
        <w:r w:rsidRPr="00334607">
          <w:rPr>
            <w:rStyle w:val="Hyperlink"/>
          </w:rPr>
          <w:t>https://doi.org/10.9734/ajriz/2025/v8i4233</w:t>
        </w:r>
      </w:hyperlink>
      <w:r>
        <w:t xml:space="preserve"> </w:t>
      </w:r>
    </w:p>
    <w:p w14:paraId="7214597C" w14:textId="77777777" w:rsidR="00A748CB" w:rsidRPr="00AF7428" w:rsidRDefault="00A748CB" w:rsidP="00A748CB">
      <w:pPr>
        <w:pStyle w:val="NormalWeb"/>
        <w:spacing w:line="276" w:lineRule="auto"/>
        <w:jc w:val="both"/>
      </w:pPr>
      <w:r w:rsidRPr="002F1697">
        <w:t xml:space="preserve">Okagbare, U. V., Umueni, U. E., Ekpe, J. E., Etukudo, N. J., </w:t>
      </w:r>
      <w:proofErr w:type="spellStart"/>
      <w:r w:rsidRPr="002F1697">
        <w:t>Okpoji</w:t>
      </w:r>
      <w:proofErr w:type="spellEnd"/>
      <w:r w:rsidRPr="002F1697">
        <w:t xml:space="preserve">, A. U., Okoye, P. I., </w:t>
      </w:r>
      <w:proofErr w:type="spellStart"/>
      <w:r w:rsidRPr="002F1697">
        <w:t>Ekwere</w:t>
      </w:r>
      <w:proofErr w:type="spellEnd"/>
      <w:r w:rsidRPr="002F1697">
        <w:t xml:space="preserve">, I. O., </w:t>
      </w:r>
      <w:proofErr w:type="spellStart"/>
      <w:r w:rsidRPr="002F1697">
        <w:t>Etesin</w:t>
      </w:r>
      <w:proofErr w:type="spellEnd"/>
      <w:r w:rsidRPr="002F1697">
        <w:t xml:space="preserve">, M. U., </w:t>
      </w:r>
      <w:proofErr w:type="spellStart"/>
      <w:r w:rsidRPr="002F1697">
        <w:t>Okpanachi</w:t>
      </w:r>
      <w:proofErr w:type="spellEnd"/>
      <w:r w:rsidRPr="002F1697">
        <w:t xml:space="preserve">, C. B., &amp; Okafor, C. A. (2025). Geophysical and </w:t>
      </w:r>
      <w:proofErr w:type="spellStart"/>
      <w:r w:rsidRPr="002F1697">
        <w:t>Hydrochemical</w:t>
      </w:r>
      <w:proofErr w:type="spellEnd"/>
      <w:r w:rsidRPr="002F1697">
        <w:t xml:space="preserve"> Assessment of Groundwater Vulnerability to Oil Pollution in Yenagoa, Bayelsa State, Nigeria. Journal of Environment, Climate, and Ecology, 2(2), 138–146. </w:t>
      </w:r>
      <w:hyperlink r:id="rId19" w:history="1">
        <w:r w:rsidRPr="00334607">
          <w:rPr>
            <w:rStyle w:val="Hyperlink"/>
          </w:rPr>
          <w:t>https://doi.org/10.69739/jece.v2i2.1078</w:t>
        </w:r>
      </w:hyperlink>
      <w:r>
        <w:t xml:space="preserve"> </w:t>
      </w:r>
    </w:p>
    <w:p w14:paraId="11B9E17C" w14:textId="77777777" w:rsidR="00A748CB" w:rsidRPr="00AF7428" w:rsidRDefault="00A748CB" w:rsidP="00A748CB">
      <w:pPr>
        <w:pStyle w:val="NormalWeb"/>
        <w:rPr>
          <w:rStyle w:val="Hyperlink"/>
        </w:rPr>
      </w:pPr>
      <w:proofErr w:type="spellStart"/>
      <w:r w:rsidRPr="00C2196A">
        <w:t>Okpoji</w:t>
      </w:r>
      <w:proofErr w:type="spellEnd"/>
      <w:r w:rsidRPr="00C2196A">
        <w:t xml:space="preserve">, A. U., Akpan, N. A., Eze, V. C., </w:t>
      </w:r>
      <w:proofErr w:type="spellStart"/>
      <w:r w:rsidRPr="00C2196A">
        <w:t>Ijioma</w:t>
      </w:r>
      <w:proofErr w:type="spellEnd"/>
      <w:r w:rsidRPr="00C2196A">
        <w:t xml:space="preserve">, C. C., Hassan, D. H., Kareem, M. M., Obi, A. I., </w:t>
      </w:r>
      <w:proofErr w:type="spellStart"/>
      <w:r w:rsidRPr="00C2196A">
        <w:t>Aningo</w:t>
      </w:r>
      <w:proofErr w:type="spellEnd"/>
      <w:r w:rsidRPr="00C2196A">
        <w:t xml:space="preserve">, G. N., Okoye, P. I., Ogbonnaya, C. N., </w:t>
      </w:r>
      <w:proofErr w:type="spellStart"/>
      <w:r w:rsidRPr="00C2196A">
        <w:t>Ekwere</w:t>
      </w:r>
      <w:proofErr w:type="spellEnd"/>
      <w:r w:rsidRPr="00C2196A">
        <w:t xml:space="preserve">, I. O., Okeke, C. F., &amp; </w:t>
      </w:r>
      <w:proofErr w:type="spellStart"/>
      <w:r w:rsidRPr="00C2196A">
        <w:t>Aligwo</w:t>
      </w:r>
      <w:proofErr w:type="spellEnd"/>
      <w:r w:rsidRPr="00C2196A">
        <w:t xml:space="preserve">, M. C. (2025). Toxicity and bioaccumulation of heavy metals and polycyclic aromatic hydrocarbons in estuarine fish from the Andoni Estuary, Niger Delta, Nigeria. Journal of Applied Physical Science International, 17(2), 10–22. </w:t>
      </w:r>
      <w:hyperlink r:id="rId20" w:history="1">
        <w:r w:rsidRPr="00334607">
          <w:rPr>
            <w:rStyle w:val="Hyperlink"/>
          </w:rPr>
          <w:t>https://doi.org/10.56557/japsi/2025/v17i210026</w:t>
        </w:r>
      </w:hyperlink>
      <w:r>
        <w:t xml:space="preserve"> </w:t>
      </w:r>
    </w:p>
    <w:p w14:paraId="230C1A34"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O., </w:t>
      </w:r>
      <w:proofErr w:type="spellStart"/>
      <w:r w:rsidRPr="00CC5816">
        <w:rPr>
          <w:rFonts w:ascii="Times New Roman" w:eastAsia="Times New Roman" w:hAnsi="Times New Roman" w:cs="Times New Roman"/>
          <w:sz w:val="24"/>
          <w:szCs w:val="24"/>
          <w:lang w:eastAsia="en-GB"/>
        </w:rPr>
        <w:t>Mmuta</w:t>
      </w:r>
      <w:proofErr w:type="spellEnd"/>
      <w:r w:rsidRPr="00CC5816">
        <w:rPr>
          <w:rFonts w:ascii="Times New Roman" w:eastAsia="Times New Roman" w:hAnsi="Times New Roman" w:cs="Times New Roman"/>
          <w:sz w:val="24"/>
          <w:szCs w:val="24"/>
          <w:lang w:eastAsia="en-GB"/>
        </w:rPr>
        <w:t xml:space="preserve">, E. C.,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Eboj-Ajoku</w:t>
      </w:r>
      <w:proofErr w:type="spellEnd"/>
      <w:r w:rsidRPr="00CC5816">
        <w:rPr>
          <w:rFonts w:ascii="Times New Roman" w:eastAsia="Times New Roman" w:hAnsi="Times New Roman" w:cs="Times New Roman"/>
          <w:sz w:val="24"/>
          <w:szCs w:val="24"/>
          <w:lang w:eastAsia="en-GB"/>
        </w:rPr>
        <w:t xml:space="preserve">, I. O.,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1" w:history="1">
        <w:r w:rsidRPr="00CC5816">
          <w:rPr>
            <w:rStyle w:val="Hyperlink"/>
            <w:rFonts w:ascii="Times New Roman" w:eastAsia="Times New Roman" w:hAnsi="Times New Roman" w:cs="Times New Roman"/>
            <w:sz w:val="24"/>
            <w:szCs w:val="24"/>
            <w:lang w:eastAsia="en-GB"/>
          </w:rPr>
          <w:t>https://doi.org/10.69739/jlsph.v1i1.879</w:t>
        </w:r>
      </w:hyperlink>
      <w:r w:rsidRPr="00CC5816">
        <w:rPr>
          <w:rFonts w:ascii="Times New Roman" w:eastAsia="Times New Roman" w:hAnsi="Times New Roman" w:cs="Times New Roman"/>
          <w:sz w:val="24"/>
          <w:szCs w:val="24"/>
          <w:lang w:eastAsia="en-GB"/>
        </w:rPr>
        <w:t xml:space="preserve"> </w:t>
      </w:r>
    </w:p>
    <w:p w14:paraId="225613A9"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Chinyere, U. E., </w:t>
      </w:r>
      <w:proofErr w:type="spellStart"/>
      <w:r w:rsidRPr="00CC5816">
        <w:rPr>
          <w:rFonts w:ascii="Times New Roman" w:eastAsia="Times New Roman" w:hAnsi="Times New Roman" w:cs="Times New Roman"/>
          <w:sz w:val="24"/>
          <w:szCs w:val="24"/>
          <w:lang w:eastAsia="en-GB"/>
        </w:rPr>
        <w:t>Nwokoye</w:t>
      </w:r>
      <w:proofErr w:type="spellEnd"/>
      <w:r w:rsidRPr="00CC5816">
        <w:rPr>
          <w:rFonts w:ascii="Times New Roman" w:eastAsia="Times New Roman" w:hAnsi="Times New Roman" w:cs="Times New Roman"/>
          <w:sz w:val="24"/>
          <w:szCs w:val="24"/>
          <w:lang w:eastAsia="en-GB"/>
        </w:rPr>
        <w:t xml:space="preserve">, J. N., </w:t>
      </w:r>
      <w:proofErr w:type="spellStart"/>
      <w:r w:rsidRPr="00CC5816">
        <w:rPr>
          <w:rFonts w:ascii="Times New Roman" w:eastAsia="Times New Roman" w:hAnsi="Times New Roman" w:cs="Times New Roman"/>
          <w:sz w:val="24"/>
          <w:szCs w:val="24"/>
          <w:lang w:eastAsia="en-GB"/>
        </w:rPr>
        <w:t>Ezekwuemen</w:t>
      </w:r>
      <w:proofErr w:type="spellEnd"/>
      <w:r w:rsidRPr="00CC5816">
        <w:rPr>
          <w:rFonts w:ascii="Times New Roman" w:eastAsia="Times New Roman" w:hAnsi="Times New Roman" w:cs="Times New Roman"/>
          <w:sz w:val="24"/>
          <w:szCs w:val="24"/>
          <w:lang w:eastAsia="en-GB"/>
        </w:rPr>
        <w:t xml:space="preserve">, O. I.,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Odidika</w:t>
      </w:r>
      <w:proofErr w:type="spellEnd"/>
      <w:r w:rsidRPr="00CC5816">
        <w:rPr>
          <w:rFonts w:ascii="Times New Roman" w:eastAsia="Times New Roman" w:hAnsi="Times New Roman" w:cs="Times New Roman"/>
          <w:sz w:val="24"/>
          <w:szCs w:val="24"/>
          <w:lang w:eastAsia="en-GB"/>
        </w:rPr>
        <w:t xml:space="preserve">, C. C., </w:t>
      </w:r>
      <w:proofErr w:type="spellStart"/>
      <w:r w:rsidRPr="00CC5816">
        <w:rPr>
          <w:rFonts w:ascii="Times New Roman" w:eastAsia="Times New Roman" w:hAnsi="Times New Roman" w:cs="Times New Roman"/>
          <w:sz w:val="24"/>
          <w:szCs w:val="24"/>
          <w:lang w:eastAsia="en-GB"/>
        </w:rPr>
        <w:t>Owughara</w:t>
      </w:r>
      <w:proofErr w:type="spellEnd"/>
      <w:r w:rsidRPr="00CC5816">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w:t>
      </w:r>
      <w:r w:rsidRPr="00CC5816">
        <w:rPr>
          <w:rFonts w:ascii="Times New Roman" w:eastAsia="Times New Roman" w:hAnsi="Times New Roman" w:cs="Times New Roman"/>
          <w:sz w:val="24"/>
          <w:szCs w:val="24"/>
          <w:lang w:eastAsia="en-GB"/>
        </w:rPr>
        <w:lastRenderedPageBreak/>
        <w:t xml:space="preserve">in Andoni, Rivers State, Nigeria. International Journal of Modern Science and Research Technology, 3(8), 22–30. </w:t>
      </w:r>
      <w:hyperlink r:id="rId22" w:history="1">
        <w:r w:rsidRPr="00CC5816">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C5816">
        <w:rPr>
          <w:rFonts w:ascii="Times New Roman" w:eastAsia="Times New Roman" w:hAnsi="Times New Roman" w:cs="Times New Roman"/>
          <w:sz w:val="24"/>
          <w:szCs w:val="24"/>
          <w:lang w:eastAsia="en-GB"/>
        </w:rPr>
        <w:t xml:space="preserve"> </w:t>
      </w:r>
    </w:p>
    <w:p w14:paraId="5B3CFAE8"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Eboh-Ajoku, I. O., </w:t>
      </w:r>
      <w:proofErr w:type="spellStart"/>
      <w:r w:rsidRPr="00CC5816">
        <w:rPr>
          <w:rFonts w:ascii="Times New Roman" w:eastAsia="Times New Roman" w:hAnsi="Times New Roman" w:cs="Times New Roman"/>
          <w:sz w:val="24"/>
          <w:szCs w:val="24"/>
          <w:lang w:eastAsia="en-GB"/>
        </w:rPr>
        <w:t>Mmuta</w:t>
      </w:r>
      <w:proofErr w:type="spellEnd"/>
      <w:r w:rsidRPr="00CC5816">
        <w:rPr>
          <w:rFonts w:ascii="Times New Roman" w:eastAsia="Times New Roman" w:hAnsi="Times New Roman" w:cs="Times New Roman"/>
          <w:sz w:val="24"/>
          <w:szCs w:val="24"/>
          <w:lang w:eastAsia="en-GB"/>
        </w:rPr>
        <w:t xml:space="preserve">, E. C., Ndubuisi, J.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Nwoka</w:t>
      </w:r>
      <w:proofErr w:type="spellEnd"/>
      <w:r w:rsidRPr="00CC5816">
        <w:rPr>
          <w:rFonts w:ascii="Times New Roman" w:eastAsia="Times New Roman" w:hAnsi="Times New Roman" w:cs="Times New Roman"/>
          <w:sz w:val="24"/>
          <w:szCs w:val="24"/>
          <w:lang w:eastAsia="en-GB"/>
        </w:rPr>
        <w:t xml:space="preserve">, N. G., Okafor, C. A.,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3" w:history="1">
        <w:r w:rsidRPr="00CC5816">
          <w:rPr>
            <w:rStyle w:val="Hyperlink"/>
            <w:rFonts w:ascii="Times New Roman" w:eastAsia="Times New Roman" w:hAnsi="Times New Roman" w:cs="Times New Roman"/>
            <w:sz w:val="24"/>
            <w:szCs w:val="24"/>
            <w:lang w:eastAsia="en-GB"/>
          </w:rPr>
          <w:t>https://doi.org/10.5281/zenodo.16921896</w:t>
        </w:r>
      </w:hyperlink>
      <w:r w:rsidRPr="00CC5816">
        <w:rPr>
          <w:rFonts w:ascii="Times New Roman" w:eastAsia="Times New Roman" w:hAnsi="Times New Roman" w:cs="Times New Roman"/>
          <w:sz w:val="24"/>
          <w:szCs w:val="24"/>
          <w:lang w:eastAsia="en-GB"/>
        </w:rPr>
        <w:t xml:space="preserve"> </w:t>
      </w:r>
    </w:p>
    <w:p w14:paraId="4D727F2E"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J. O., Ogbonna, C.,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Journal of Life Science and Public Health, 1(1), 32–39. </w:t>
      </w:r>
      <w:hyperlink r:id="rId24" w:history="1">
        <w:r w:rsidRPr="00CC5816">
          <w:rPr>
            <w:rStyle w:val="Hyperlink"/>
            <w:rFonts w:ascii="Times New Roman" w:eastAsia="Times New Roman" w:hAnsi="Times New Roman" w:cs="Times New Roman"/>
            <w:sz w:val="24"/>
            <w:szCs w:val="24"/>
            <w:lang w:eastAsia="en-GB"/>
          </w:rPr>
          <w:t>https://doi.org/10.69739/jlsph.v1i1.962</w:t>
        </w:r>
      </w:hyperlink>
      <w:r w:rsidRPr="00CC5816">
        <w:rPr>
          <w:rFonts w:ascii="Times New Roman" w:eastAsia="Times New Roman" w:hAnsi="Times New Roman" w:cs="Times New Roman"/>
          <w:sz w:val="24"/>
          <w:szCs w:val="24"/>
          <w:lang w:eastAsia="en-GB"/>
        </w:rPr>
        <w:t xml:space="preserve"> </w:t>
      </w:r>
    </w:p>
    <w:p w14:paraId="3C85ECF1"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Etesin</w:t>
      </w:r>
      <w:proofErr w:type="spellEnd"/>
      <w:r w:rsidRPr="00CC5816">
        <w:rPr>
          <w:rFonts w:ascii="Times New Roman" w:eastAsia="Times New Roman" w:hAnsi="Times New Roman" w:cs="Times New Roman"/>
          <w:sz w:val="24"/>
          <w:szCs w:val="24"/>
          <w:lang w:eastAsia="en-GB"/>
        </w:rPr>
        <w:t xml:space="preserve">, U. M., Ugwuanyi, G. C., </w:t>
      </w:r>
      <w:proofErr w:type="spellStart"/>
      <w:r w:rsidRPr="00CC5816">
        <w:rPr>
          <w:rFonts w:ascii="Times New Roman" w:eastAsia="Times New Roman" w:hAnsi="Times New Roman" w:cs="Times New Roman"/>
          <w:sz w:val="24"/>
          <w:szCs w:val="24"/>
          <w:lang w:eastAsia="en-GB"/>
        </w:rPr>
        <w:t>Okpanachi</w:t>
      </w:r>
      <w:proofErr w:type="spellEnd"/>
      <w:r w:rsidRPr="00CC5816">
        <w:rPr>
          <w:rFonts w:ascii="Times New Roman" w:eastAsia="Times New Roman" w:hAnsi="Times New Roman" w:cs="Times New Roman"/>
          <w:sz w:val="24"/>
          <w:szCs w:val="24"/>
          <w:lang w:eastAsia="en-GB"/>
        </w:rPr>
        <w:t xml:space="preserve">, C. B.,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Mojisola, K. M., &amp; </w:t>
      </w:r>
      <w:proofErr w:type="spellStart"/>
      <w:r w:rsidRPr="00CC5816">
        <w:rPr>
          <w:rFonts w:ascii="Times New Roman" w:eastAsia="Times New Roman" w:hAnsi="Times New Roman" w:cs="Times New Roman"/>
          <w:sz w:val="24"/>
          <w:szCs w:val="24"/>
          <w:lang w:eastAsia="en-GB"/>
        </w:rPr>
        <w:t>Ezekwueme</w:t>
      </w:r>
      <w:proofErr w:type="spellEnd"/>
      <w:r w:rsidRPr="00CC581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CC5816">
        <w:rPr>
          <w:rFonts w:ascii="Times New Roman" w:eastAsia="Times New Roman" w:hAnsi="Times New Roman" w:cs="Times New Roman"/>
          <w:sz w:val="24"/>
          <w:szCs w:val="24"/>
          <w:lang w:eastAsia="en-GB"/>
        </w:rPr>
        <w:t>TiO</w:t>
      </w:r>
      <w:proofErr w:type="spellEnd"/>
      <w:r w:rsidRPr="00CC5816">
        <w:rPr>
          <w:rFonts w:ascii="Times New Roman" w:eastAsia="Times New Roman" w:hAnsi="Times New Roman" w:cs="Times New Roman"/>
          <w:sz w:val="24"/>
          <w:szCs w:val="24"/>
          <w:lang w:eastAsia="en-GB"/>
        </w:rPr>
        <w:t xml:space="preserve">₂ nanomaterials. Journal of Environment, Climate, and Ecology, 2(2), 56–62. </w:t>
      </w:r>
      <w:hyperlink r:id="rId25" w:history="1">
        <w:r w:rsidRPr="00CC5816">
          <w:rPr>
            <w:rStyle w:val="Hyperlink"/>
            <w:rFonts w:ascii="Times New Roman" w:eastAsia="Times New Roman" w:hAnsi="Times New Roman" w:cs="Times New Roman"/>
            <w:sz w:val="24"/>
            <w:szCs w:val="24"/>
            <w:lang w:eastAsia="en-GB"/>
          </w:rPr>
          <w:t>https://doi.org/10.69739/jece.v2i2.961</w:t>
        </w:r>
      </w:hyperlink>
      <w:r w:rsidRPr="00CC5816">
        <w:rPr>
          <w:rFonts w:ascii="Times New Roman" w:eastAsia="Times New Roman" w:hAnsi="Times New Roman" w:cs="Times New Roman"/>
          <w:sz w:val="24"/>
          <w:szCs w:val="24"/>
          <w:lang w:eastAsia="en-GB"/>
        </w:rPr>
        <w:t xml:space="preserve"> </w:t>
      </w:r>
    </w:p>
    <w:p w14:paraId="78DF9C3C"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Emem, J. A.,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Warder, A. B., &amp; </w:t>
      </w:r>
      <w:proofErr w:type="spellStart"/>
      <w:r w:rsidRPr="00CC5816">
        <w:rPr>
          <w:rFonts w:ascii="Times New Roman" w:eastAsia="Times New Roman" w:hAnsi="Times New Roman" w:cs="Times New Roman"/>
          <w:sz w:val="24"/>
          <w:szCs w:val="24"/>
          <w:lang w:eastAsia="en-GB"/>
        </w:rPr>
        <w:t>Eboj-Ajoku</w:t>
      </w:r>
      <w:proofErr w:type="spellEnd"/>
      <w:r w:rsidRPr="00CC5816">
        <w:rPr>
          <w:rFonts w:ascii="Times New Roman" w:eastAsia="Times New Roman" w:hAnsi="Times New Roman" w:cs="Times New Roman"/>
          <w:sz w:val="24"/>
          <w:szCs w:val="24"/>
          <w:lang w:eastAsia="en-GB"/>
        </w:rPr>
        <w:t xml:space="preserve">, O. I. (2025). Bioaccumulation of nickel, lead, and cadmium in tissues of Callinectes sapidus from the Iko River, Nigeria: Implications for human health risk and environmental safety. Journal of Environment, Climate, and Ecology, 2(2), 29–37. </w:t>
      </w:r>
      <w:hyperlink r:id="rId26" w:history="1">
        <w:r w:rsidRPr="00CC5816">
          <w:rPr>
            <w:rStyle w:val="Hyperlink"/>
            <w:rFonts w:ascii="Times New Roman" w:eastAsia="Times New Roman" w:hAnsi="Times New Roman" w:cs="Times New Roman"/>
            <w:sz w:val="24"/>
            <w:szCs w:val="24"/>
            <w:lang w:eastAsia="en-GB"/>
          </w:rPr>
          <w:t>https://doi.org/10.69739/jece.v2i2.844</w:t>
        </w:r>
      </w:hyperlink>
      <w:r w:rsidRPr="00CC5816">
        <w:rPr>
          <w:rFonts w:ascii="Times New Roman" w:eastAsia="Times New Roman" w:hAnsi="Times New Roman" w:cs="Times New Roman"/>
          <w:sz w:val="24"/>
          <w:szCs w:val="24"/>
          <w:lang w:eastAsia="en-GB"/>
        </w:rPr>
        <w:t xml:space="preserve"> </w:t>
      </w:r>
    </w:p>
    <w:p w14:paraId="35799CF6" w14:textId="77777777" w:rsidR="00A748CB" w:rsidRPr="00AF7428" w:rsidRDefault="00A748CB" w:rsidP="00A748CB">
      <w:pPr>
        <w:pStyle w:val="NormalWeb"/>
        <w:spacing w:line="276" w:lineRule="auto"/>
        <w:jc w:val="both"/>
      </w:pPr>
      <w:proofErr w:type="spellStart"/>
      <w:r w:rsidRPr="00F142C5">
        <w:t>Okpoji</w:t>
      </w:r>
      <w:proofErr w:type="spellEnd"/>
      <w:r w:rsidRPr="00F142C5">
        <w:t xml:space="preserve">, A. U., </w:t>
      </w:r>
      <w:proofErr w:type="spellStart"/>
      <w:r w:rsidRPr="00F142C5">
        <w:t>Etesin</w:t>
      </w:r>
      <w:proofErr w:type="spellEnd"/>
      <w:r w:rsidRPr="00F142C5">
        <w:t xml:space="preserve">, M. U., </w:t>
      </w:r>
      <w:proofErr w:type="spellStart"/>
      <w:r w:rsidRPr="00F142C5">
        <w:t>Ekwere</w:t>
      </w:r>
      <w:proofErr w:type="spellEnd"/>
      <w:r w:rsidRPr="00F142C5">
        <w:t xml:space="preserve">, I. O., Martins, N. P., </w:t>
      </w:r>
      <w:proofErr w:type="spellStart"/>
      <w:r w:rsidRPr="00F142C5">
        <w:t>Okpanachi</w:t>
      </w:r>
      <w:proofErr w:type="spellEnd"/>
      <w:r w:rsidRPr="00F142C5">
        <w:t xml:space="preserve">, C. B., Adisa, O. J., &amp; Okonkwo, C. C. (2025). Geochemical speciation and ecological risk of heavy metals in estuarine sediments of the Qua </w:t>
      </w:r>
      <w:proofErr w:type="spellStart"/>
      <w:r w:rsidRPr="00F142C5">
        <w:t>Iboe</w:t>
      </w:r>
      <w:proofErr w:type="spellEnd"/>
      <w:r w:rsidRPr="00F142C5">
        <w:t xml:space="preserve"> River, Nigeria. Asian Journal of Chemical Sciences, 15(6), 20–31. </w:t>
      </w:r>
      <w:hyperlink r:id="rId27" w:history="1">
        <w:r w:rsidRPr="00334607">
          <w:rPr>
            <w:rStyle w:val="Hyperlink"/>
          </w:rPr>
          <w:t>https://doi.org/10.9734/ajocs/2025/v15i6402</w:t>
        </w:r>
      </w:hyperlink>
      <w:r>
        <w:t xml:space="preserve"> </w:t>
      </w:r>
    </w:p>
    <w:p w14:paraId="15876A41"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Ndubuisi, J. O., Eboh-Ajoku, I. O., Emem, J. A.,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Onoja, C. R., Warder, A. B., &amp; </w:t>
      </w:r>
      <w:proofErr w:type="spellStart"/>
      <w:r w:rsidRPr="00CC5816">
        <w:rPr>
          <w:rFonts w:ascii="Times New Roman" w:eastAsia="Times New Roman" w:hAnsi="Times New Roman" w:cs="Times New Roman"/>
          <w:sz w:val="24"/>
          <w:szCs w:val="24"/>
          <w:lang w:eastAsia="en-GB"/>
        </w:rPr>
        <w:t>InyangAbia</w:t>
      </w:r>
      <w:proofErr w:type="spellEnd"/>
      <w:r w:rsidRPr="00CC581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CC5816">
        <w:rPr>
          <w:rFonts w:ascii="Times New Roman" w:eastAsia="Times New Roman" w:hAnsi="Times New Roman" w:cs="Times New Roman"/>
          <w:sz w:val="24"/>
          <w:szCs w:val="24"/>
          <w:lang w:eastAsia="en-GB"/>
        </w:rPr>
        <w:t>Chrysichthys</w:t>
      </w:r>
      <w:proofErr w:type="spellEnd"/>
      <w:r w:rsidRPr="00CC5816">
        <w:rPr>
          <w:rFonts w:ascii="Times New Roman" w:eastAsia="Times New Roman" w:hAnsi="Times New Roman" w:cs="Times New Roman"/>
          <w:sz w:val="24"/>
          <w:szCs w:val="24"/>
          <w:lang w:eastAsia="en-GB"/>
        </w:rPr>
        <w:t xml:space="preserve"> </w:t>
      </w:r>
      <w:proofErr w:type="spellStart"/>
      <w:r w:rsidRPr="00CC5816">
        <w:rPr>
          <w:rFonts w:ascii="Times New Roman" w:eastAsia="Times New Roman" w:hAnsi="Times New Roman" w:cs="Times New Roman"/>
          <w:sz w:val="24"/>
          <w:szCs w:val="24"/>
          <w:lang w:eastAsia="en-GB"/>
        </w:rPr>
        <w:t>nigrodigitatus</w:t>
      </w:r>
      <w:proofErr w:type="spellEnd"/>
      <w:r w:rsidRPr="00CC5816">
        <w:rPr>
          <w:rFonts w:ascii="Times New Roman" w:eastAsia="Times New Roman" w:hAnsi="Times New Roman" w:cs="Times New Roman"/>
          <w:sz w:val="24"/>
          <w:szCs w:val="24"/>
          <w:lang w:eastAsia="en-GB"/>
        </w:rPr>
        <w:t xml:space="preserve"> from the polluted Andoni River, Niger Delta, Nigeria. Journal of Agriculture, Aquaculture, and Animal Science, 2(2), 66–72. </w:t>
      </w:r>
      <w:hyperlink r:id="rId28" w:history="1">
        <w:r w:rsidRPr="00CC5816">
          <w:rPr>
            <w:rStyle w:val="Hyperlink"/>
            <w:rFonts w:ascii="Times New Roman" w:eastAsia="Times New Roman" w:hAnsi="Times New Roman" w:cs="Times New Roman"/>
            <w:sz w:val="24"/>
            <w:szCs w:val="24"/>
            <w:lang w:eastAsia="en-GB"/>
          </w:rPr>
          <w:t>https://doi.org/10.69739/jaaas.v2i2.882</w:t>
        </w:r>
      </w:hyperlink>
      <w:r w:rsidRPr="00CC5816">
        <w:rPr>
          <w:rFonts w:ascii="Times New Roman" w:eastAsia="Times New Roman" w:hAnsi="Times New Roman" w:cs="Times New Roman"/>
          <w:sz w:val="24"/>
          <w:szCs w:val="24"/>
          <w:lang w:eastAsia="en-GB"/>
        </w:rPr>
        <w:t xml:space="preserve"> </w:t>
      </w:r>
    </w:p>
    <w:p w14:paraId="0703EDC6"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Nwoka</w:t>
      </w:r>
      <w:proofErr w:type="spellEnd"/>
      <w:r w:rsidRPr="00CC5816">
        <w:rPr>
          <w:rFonts w:ascii="Times New Roman" w:eastAsia="Times New Roman" w:hAnsi="Times New Roman" w:cs="Times New Roman"/>
          <w:sz w:val="24"/>
          <w:szCs w:val="24"/>
          <w:lang w:eastAsia="en-GB"/>
        </w:rPr>
        <w:t xml:space="preserve">, N. G.,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Okafor, C. A., </w:t>
      </w:r>
      <w:proofErr w:type="spellStart"/>
      <w:r w:rsidRPr="00CC5816">
        <w:rPr>
          <w:rFonts w:ascii="Times New Roman" w:eastAsia="Times New Roman" w:hAnsi="Times New Roman" w:cs="Times New Roman"/>
          <w:sz w:val="24"/>
          <w:szCs w:val="24"/>
          <w:lang w:eastAsia="en-GB"/>
        </w:rPr>
        <w:t>Ogwu</w:t>
      </w:r>
      <w:proofErr w:type="spellEnd"/>
      <w:r w:rsidRPr="00CC5816">
        <w:rPr>
          <w:rFonts w:ascii="Times New Roman" w:eastAsia="Times New Roman" w:hAnsi="Times New Roman" w:cs="Times New Roman"/>
          <w:sz w:val="24"/>
          <w:szCs w:val="24"/>
          <w:lang w:eastAsia="en-GB"/>
        </w:rPr>
        <w:t xml:space="preserve">, N. G., &amp; </w:t>
      </w:r>
      <w:proofErr w:type="spellStart"/>
      <w:r w:rsidRPr="00CC5816">
        <w:rPr>
          <w:rFonts w:ascii="Times New Roman" w:eastAsia="Times New Roman" w:hAnsi="Times New Roman" w:cs="Times New Roman"/>
          <w:sz w:val="24"/>
          <w:szCs w:val="24"/>
          <w:lang w:eastAsia="en-GB"/>
        </w:rPr>
        <w:t>Akatakpo</w:t>
      </w:r>
      <w:proofErr w:type="spellEnd"/>
      <w:r w:rsidRPr="00CC5816">
        <w:rPr>
          <w:rFonts w:ascii="Times New Roman" w:eastAsia="Times New Roman" w:hAnsi="Times New Roman" w:cs="Times New Roman"/>
          <w:sz w:val="24"/>
          <w:szCs w:val="24"/>
          <w:lang w:eastAsia="en-GB"/>
        </w:rPr>
        <w:t xml:space="preserve">, C. U. (2025). Seasonal variation in </w:t>
      </w:r>
      <w:proofErr w:type="spellStart"/>
      <w:r w:rsidRPr="00CC5816">
        <w:rPr>
          <w:rFonts w:ascii="Times New Roman" w:eastAsia="Times New Roman" w:hAnsi="Times New Roman" w:cs="Times New Roman"/>
          <w:sz w:val="24"/>
          <w:szCs w:val="24"/>
          <w:lang w:eastAsia="en-GB"/>
        </w:rPr>
        <w:t>hydrochemical</w:t>
      </w:r>
      <w:proofErr w:type="spellEnd"/>
      <w:r w:rsidRPr="00CC581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C5816">
        <w:rPr>
          <w:rFonts w:ascii="Times New Roman" w:eastAsia="Times New Roman" w:hAnsi="Times New Roman" w:cs="Times New Roman"/>
          <w:sz w:val="24"/>
          <w:szCs w:val="24"/>
          <w:lang w:eastAsia="en-GB"/>
        </w:rPr>
        <w:t>Andoni-Isiokwan</w:t>
      </w:r>
      <w:proofErr w:type="spellEnd"/>
      <w:r w:rsidRPr="00CC5816">
        <w:rPr>
          <w:rFonts w:ascii="Times New Roman" w:eastAsia="Times New Roman" w:hAnsi="Times New Roman" w:cs="Times New Roman"/>
          <w:sz w:val="24"/>
          <w:szCs w:val="24"/>
          <w:lang w:eastAsia="en-GB"/>
        </w:rPr>
        <w:t xml:space="preserve"> District, Niger Delta, Nigeria. </w:t>
      </w:r>
      <w:r w:rsidRPr="00CC5816">
        <w:rPr>
          <w:rFonts w:ascii="Times New Roman" w:eastAsia="Times New Roman" w:hAnsi="Times New Roman" w:cs="Times New Roman"/>
          <w:i/>
          <w:iCs/>
          <w:sz w:val="24"/>
          <w:szCs w:val="24"/>
          <w:lang w:eastAsia="en-GB"/>
        </w:rPr>
        <w:t>International Journal of Modern Science and Research Technology, 3</w:t>
      </w:r>
      <w:r w:rsidRPr="00CC5816">
        <w:rPr>
          <w:rFonts w:ascii="Times New Roman" w:eastAsia="Times New Roman" w:hAnsi="Times New Roman" w:cs="Times New Roman"/>
          <w:sz w:val="24"/>
          <w:szCs w:val="24"/>
          <w:lang w:eastAsia="en-GB"/>
        </w:rPr>
        <w:t xml:space="preserve">(8), 44–51. </w:t>
      </w:r>
      <w:hyperlink r:id="rId29" w:tgtFrame="_new" w:history="1">
        <w:r w:rsidRPr="00CC5816">
          <w:rPr>
            <w:rFonts w:ascii="Times New Roman" w:eastAsia="Times New Roman" w:hAnsi="Times New Roman" w:cs="Times New Roman"/>
            <w:color w:val="0000FF"/>
            <w:sz w:val="24"/>
            <w:szCs w:val="24"/>
            <w:u w:val="single"/>
            <w:lang w:eastAsia="en-GB"/>
          </w:rPr>
          <w:t>http://www.ijmsrt.com</w:t>
        </w:r>
      </w:hyperlink>
    </w:p>
    <w:p w14:paraId="3CC57436" w14:textId="77777777" w:rsidR="00A748CB" w:rsidRPr="00AF7428" w:rsidRDefault="00A748CB" w:rsidP="00A748CB">
      <w:pPr>
        <w:pStyle w:val="NormalWeb"/>
        <w:spacing w:line="276" w:lineRule="auto"/>
        <w:jc w:val="both"/>
      </w:pPr>
      <w:proofErr w:type="spellStart"/>
      <w:r w:rsidRPr="00417192">
        <w:t>Okpoji</w:t>
      </w:r>
      <w:proofErr w:type="spellEnd"/>
      <w:r w:rsidRPr="00417192">
        <w:t xml:space="preserve">, A. U., </w:t>
      </w:r>
      <w:proofErr w:type="spellStart"/>
      <w:r w:rsidRPr="00417192">
        <w:t>Ogbaji</w:t>
      </w:r>
      <w:proofErr w:type="spellEnd"/>
      <w:r w:rsidRPr="00417192">
        <w:t xml:space="preserve">, H. O., Hassan, D. H., Orji-Azuka, L. N., Rasheed, H. O., Ohaturuonye, S. O., Ejeka, J. C., </w:t>
      </w:r>
      <w:proofErr w:type="spellStart"/>
      <w:r w:rsidRPr="00417192">
        <w:t>Okpanachi</w:t>
      </w:r>
      <w:proofErr w:type="spellEnd"/>
      <w:r w:rsidRPr="00417192">
        <w:t xml:space="preserve">, C. B., &amp; </w:t>
      </w:r>
      <w:proofErr w:type="spellStart"/>
      <w:r w:rsidRPr="00417192">
        <w:t>Ekwere</w:t>
      </w:r>
      <w:proofErr w:type="spellEnd"/>
      <w:r w:rsidRPr="00417192">
        <w:t xml:space="preserve">, I. O. (2025). Physico-chemical transport of volatile organic compounds (VOCs) from gas flaring into surface waters of </w:t>
      </w:r>
      <w:proofErr w:type="spellStart"/>
      <w:r w:rsidRPr="00417192">
        <w:t>Ogoniland</w:t>
      </w:r>
      <w:proofErr w:type="spellEnd"/>
      <w:r w:rsidRPr="00417192">
        <w:t xml:space="preserve">, Rivers </w:t>
      </w:r>
      <w:r w:rsidRPr="00417192">
        <w:lastRenderedPageBreak/>
        <w:t xml:space="preserve">State, Nigeria. Asian Journal of Physical and Chemical Sciences, 13(4), 151–159. </w:t>
      </w:r>
      <w:hyperlink r:id="rId30" w:history="1">
        <w:r w:rsidRPr="00334607">
          <w:rPr>
            <w:rStyle w:val="Hyperlink"/>
          </w:rPr>
          <w:t>https://doi.org/10.9734/ajopacs/2025/v13i4271</w:t>
        </w:r>
      </w:hyperlink>
      <w:r>
        <w:t xml:space="preserve"> </w:t>
      </w:r>
    </w:p>
    <w:p w14:paraId="7E0806B1" w14:textId="77777777" w:rsidR="00A748CB" w:rsidRPr="00AF7428" w:rsidRDefault="00A748CB" w:rsidP="00A748CB">
      <w:pPr>
        <w:pStyle w:val="NormalWeb"/>
      </w:pPr>
      <w:proofErr w:type="spellStart"/>
      <w:r w:rsidRPr="00807EC0">
        <w:t>Okpoji</w:t>
      </w:r>
      <w:proofErr w:type="spellEnd"/>
      <w:r w:rsidRPr="00807EC0">
        <w:t xml:space="preserve">, A. U., Orji-Azuka, L. N., </w:t>
      </w:r>
      <w:proofErr w:type="spellStart"/>
      <w:r w:rsidRPr="00807EC0">
        <w:t>Igwegbe</w:t>
      </w:r>
      <w:proofErr w:type="spellEnd"/>
      <w:r w:rsidRPr="00807EC0">
        <w:t xml:space="preserve">, K. C., </w:t>
      </w:r>
      <w:proofErr w:type="spellStart"/>
      <w:r w:rsidRPr="00807EC0">
        <w:t>Ekwere</w:t>
      </w:r>
      <w:proofErr w:type="spellEnd"/>
      <w:r w:rsidRPr="00807EC0">
        <w:t xml:space="preserve">, I. O., </w:t>
      </w:r>
      <w:proofErr w:type="spellStart"/>
      <w:r w:rsidRPr="00807EC0">
        <w:t>Ewuola</w:t>
      </w:r>
      <w:proofErr w:type="spellEnd"/>
      <w:r w:rsidRPr="00807EC0">
        <w:t xml:space="preserve">, A. A., Garuba, M. H., &amp; Etukudo, E. W. (2025). Water quality and ecotoxicological impacts of surfactants and heavy metals in urban rivers of Benin City, Niger Delta, Nigeria. Asian Journal of Geological Research, 8(3), 697–707. </w:t>
      </w:r>
      <w:hyperlink r:id="rId31" w:history="1">
        <w:r w:rsidRPr="00334607">
          <w:rPr>
            <w:rStyle w:val="Hyperlink"/>
          </w:rPr>
          <w:t>https://doi.org/10.9734/ajoger/2025/v8i3223</w:t>
        </w:r>
      </w:hyperlink>
      <w:r>
        <w:t xml:space="preserve"> </w:t>
      </w:r>
    </w:p>
    <w:p w14:paraId="14F5B4A8" w14:textId="77777777" w:rsidR="00A748CB" w:rsidRPr="00AF7428" w:rsidRDefault="00A748CB" w:rsidP="00A748CB">
      <w:pPr>
        <w:pStyle w:val="NormalWeb"/>
        <w:rPr>
          <w:color w:val="0563C1" w:themeColor="hyperlink"/>
          <w:u w:val="single"/>
        </w:rPr>
      </w:pPr>
      <w:r w:rsidRPr="00415935">
        <w:t xml:space="preserve">Olotu, O. N., Okagbare, U. V., Okpoji, A. U., Orji-Azuka, L. N., </w:t>
      </w:r>
      <w:proofErr w:type="spellStart"/>
      <w:r w:rsidRPr="00415935">
        <w:t>Etesin</w:t>
      </w:r>
      <w:proofErr w:type="spellEnd"/>
      <w:r w:rsidRPr="00415935">
        <w:t xml:space="preserve">, M. U., &amp; </w:t>
      </w:r>
      <w:proofErr w:type="spellStart"/>
      <w:r w:rsidRPr="00415935">
        <w:t>Ekwere</w:t>
      </w:r>
      <w:proofErr w:type="spellEnd"/>
      <w:r w:rsidRPr="00415935">
        <w:t xml:space="preserve">, I. O. (2025). </w:t>
      </w:r>
      <w:proofErr w:type="spellStart"/>
      <w:r w:rsidRPr="00415935">
        <w:t>Spatio</w:t>
      </w:r>
      <w:proofErr w:type="spellEnd"/>
      <w:r w:rsidRPr="00415935">
        <w:t xml:space="preserve">-seasonal assessment of water and sediment quality of the </w:t>
      </w:r>
      <w:proofErr w:type="spellStart"/>
      <w:r w:rsidRPr="00415935">
        <w:t>Imiringi</w:t>
      </w:r>
      <w:proofErr w:type="spellEnd"/>
      <w:r w:rsidRPr="00415935">
        <w:t xml:space="preserve"> River and implications for fisheries and aquatic resources in the Niger Delta. Journal of Agriculture, Aquaculture, and Animal Science, 2(2), 174–184. </w:t>
      </w:r>
      <w:hyperlink r:id="rId32" w:history="1">
        <w:r w:rsidRPr="00334607">
          <w:rPr>
            <w:rStyle w:val="Hyperlink"/>
          </w:rPr>
          <w:t>https://doi.org/10.69739/jaaas.v2i2.1309</w:t>
        </w:r>
      </w:hyperlink>
      <w:r>
        <w:t xml:space="preserve"> </w:t>
      </w:r>
    </w:p>
    <w:p w14:paraId="31204A5A" w14:textId="77777777" w:rsidR="00A748CB" w:rsidRPr="00CC5816" w:rsidRDefault="00A748CB"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hAnsi="Times New Roman" w:cs="Times New Roman"/>
          <w:sz w:val="24"/>
          <w:szCs w:val="24"/>
        </w:rPr>
        <w:t xml:space="preserve">Onoja, C. R., Ogbaji, H. O., Edodi, I. O., </w:t>
      </w:r>
      <w:proofErr w:type="spellStart"/>
      <w:r w:rsidRPr="00CC5816">
        <w:rPr>
          <w:rFonts w:ascii="Times New Roman" w:hAnsi="Times New Roman" w:cs="Times New Roman"/>
          <w:sz w:val="24"/>
          <w:szCs w:val="24"/>
        </w:rPr>
        <w:t>Mmuta</w:t>
      </w:r>
      <w:proofErr w:type="spellEnd"/>
      <w:r w:rsidRPr="00CC5816">
        <w:rPr>
          <w:rFonts w:ascii="Times New Roman" w:hAnsi="Times New Roman" w:cs="Times New Roman"/>
          <w:sz w:val="24"/>
          <w:szCs w:val="24"/>
        </w:rPr>
        <w:t xml:space="preserve">, E. C., </w:t>
      </w:r>
      <w:proofErr w:type="spellStart"/>
      <w:r w:rsidRPr="00CC5816">
        <w:rPr>
          <w:rFonts w:ascii="Times New Roman" w:hAnsi="Times New Roman" w:cs="Times New Roman"/>
          <w:sz w:val="24"/>
          <w:szCs w:val="24"/>
        </w:rPr>
        <w:t>Igwegbe</w:t>
      </w:r>
      <w:proofErr w:type="spellEnd"/>
      <w:r w:rsidRPr="00CC5816">
        <w:rPr>
          <w:rFonts w:ascii="Times New Roman" w:hAnsi="Times New Roman" w:cs="Times New Roman"/>
          <w:sz w:val="24"/>
          <w:szCs w:val="24"/>
        </w:rPr>
        <w:t xml:space="preserve">, K. C., Ogini, O. R., </w:t>
      </w:r>
      <w:proofErr w:type="spellStart"/>
      <w:r w:rsidRPr="00CC5816">
        <w:rPr>
          <w:rFonts w:ascii="Times New Roman" w:hAnsi="Times New Roman" w:cs="Times New Roman"/>
          <w:sz w:val="24"/>
          <w:szCs w:val="24"/>
        </w:rPr>
        <w:t>Odibo</w:t>
      </w:r>
      <w:proofErr w:type="spellEnd"/>
      <w:r w:rsidRPr="00CC5816">
        <w:rPr>
          <w:rFonts w:ascii="Times New Roman" w:hAnsi="Times New Roman" w:cs="Times New Roman"/>
          <w:sz w:val="24"/>
          <w:szCs w:val="24"/>
        </w:rPr>
        <w:t xml:space="preserve">, U. E., </w:t>
      </w:r>
      <w:proofErr w:type="spellStart"/>
      <w:r w:rsidRPr="00CC5816">
        <w:rPr>
          <w:rFonts w:ascii="Times New Roman" w:hAnsi="Times New Roman" w:cs="Times New Roman"/>
          <w:sz w:val="24"/>
          <w:szCs w:val="24"/>
        </w:rPr>
        <w:t>Ewuola</w:t>
      </w:r>
      <w:proofErr w:type="spellEnd"/>
      <w:r w:rsidRPr="00CC5816">
        <w:rPr>
          <w:rFonts w:ascii="Times New Roman" w:hAnsi="Times New Roman" w:cs="Times New Roman"/>
          <w:sz w:val="24"/>
          <w:szCs w:val="24"/>
        </w:rPr>
        <w:t xml:space="preserve">, A. A., Mahmoud, A. B., &amp;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A. U. (2025). Heavy Metal Contamination and Health Risk Assessment of Smoked-Dried Fish Sold in Eke-</w:t>
      </w:r>
      <w:proofErr w:type="spellStart"/>
      <w:r w:rsidRPr="00CC5816">
        <w:rPr>
          <w:rFonts w:ascii="Times New Roman" w:hAnsi="Times New Roman" w:cs="Times New Roman"/>
          <w:sz w:val="24"/>
          <w:szCs w:val="24"/>
        </w:rPr>
        <w:t>Awka</w:t>
      </w:r>
      <w:proofErr w:type="spellEnd"/>
      <w:r w:rsidRPr="00CC5816">
        <w:rPr>
          <w:rFonts w:ascii="Times New Roman" w:hAnsi="Times New Roman" w:cs="Times New Roman"/>
          <w:sz w:val="24"/>
          <w:szCs w:val="24"/>
        </w:rPr>
        <w:t xml:space="preserve"> Market, Anambra State, Nigeria. Journal of Sustainable Research and Development, 1(2), 18-25. </w:t>
      </w:r>
      <w:hyperlink r:id="rId33" w:history="1">
        <w:r w:rsidRPr="00CC5816">
          <w:rPr>
            <w:rStyle w:val="Hyperlink"/>
            <w:rFonts w:ascii="Times New Roman" w:hAnsi="Times New Roman" w:cs="Times New Roman"/>
            <w:sz w:val="24"/>
            <w:szCs w:val="24"/>
          </w:rPr>
          <w:t>https://doi.org/10.69739/jsrd.v1i2.1044</w:t>
        </w:r>
      </w:hyperlink>
      <w:r w:rsidRPr="00CC5816">
        <w:rPr>
          <w:rFonts w:ascii="Times New Roman" w:hAnsi="Times New Roman" w:cs="Times New Roman"/>
          <w:sz w:val="24"/>
          <w:szCs w:val="24"/>
        </w:rPr>
        <w:t xml:space="preserve"> </w:t>
      </w:r>
    </w:p>
    <w:p w14:paraId="3ED136D0" w14:textId="77777777" w:rsidR="00A748CB" w:rsidRPr="00AF7428" w:rsidRDefault="00A748CB" w:rsidP="00A748CB">
      <w:pPr>
        <w:pStyle w:val="NormalWeb"/>
        <w:spacing w:line="276" w:lineRule="auto"/>
        <w:jc w:val="both"/>
        <w:rPr>
          <w:rStyle w:val="Hyperlink"/>
        </w:rPr>
      </w:pPr>
      <w:proofErr w:type="spellStart"/>
      <w:r w:rsidRPr="00E320B4">
        <w:t>Osuafor</w:t>
      </w:r>
      <w:proofErr w:type="spellEnd"/>
      <w:r w:rsidRPr="00E320B4">
        <w:t xml:space="preserve">, O. O., Okeke, C. F., Agu, M. O., </w:t>
      </w:r>
      <w:proofErr w:type="spellStart"/>
      <w:r w:rsidRPr="00E320B4">
        <w:t>Isueken</w:t>
      </w:r>
      <w:proofErr w:type="spellEnd"/>
      <w:r w:rsidRPr="00E320B4">
        <w:t xml:space="preserve">, C. O., </w:t>
      </w:r>
      <w:proofErr w:type="spellStart"/>
      <w:r w:rsidRPr="00E320B4">
        <w:t>Aligwo</w:t>
      </w:r>
      <w:proofErr w:type="spellEnd"/>
      <w:r w:rsidRPr="00E320B4">
        <w:t xml:space="preserve">, M. C., Ohaturuonye, S. O., </w:t>
      </w:r>
      <w:proofErr w:type="spellStart"/>
      <w:r w:rsidRPr="00E320B4">
        <w:t>Okpoji</w:t>
      </w:r>
      <w:proofErr w:type="spellEnd"/>
      <w:r w:rsidRPr="00E320B4">
        <w:t xml:space="preserve">, A. U., </w:t>
      </w:r>
      <w:proofErr w:type="spellStart"/>
      <w:r w:rsidRPr="00E320B4">
        <w:t>Etesin</w:t>
      </w:r>
      <w:proofErr w:type="spellEnd"/>
      <w:r w:rsidRPr="00E320B4">
        <w:t xml:space="preserve">, M. U., &amp; </w:t>
      </w:r>
      <w:proofErr w:type="spellStart"/>
      <w:r w:rsidRPr="00E320B4">
        <w:t>Ekwere</w:t>
      </w:r>
      <w:proofErr w:type="spellEnd"/>
      <w:r w:rsidRPr="00E320B4">
        <w:t xml:space="preserve">, I. O. (2025). Hydrogeochemical characterisation and water quality assessment of streams impacted by agricultural runoff in </w:t>
      </w:r>
      <w:proofErr w:type="spellStart"/>
      <w:r w:rsidRPr="00E320B4">
        <w:t>Uyo</w:t>
      </w:r>
      <w:proofErr w:type="spellEnd"/>
      <w:r w:rsidRPr="00E320B4">
        <w:t xml:space="preserve">, </w:t>
      </w:r>
      <w:proofErr w:type="spellStart"/>
      <w:r w:rsidRPr="00E320B4">
        <w:t>Akwa</w:t>
      </w:r>
      <w:proofErr w:type="spellEnd"/>
      <w:r w:rsidRPr="00E320B4">
        <w:t xml:space="preserve"> Ibom State, Nigeria. Asian Journal of Agricultural and Horticultural Research, 12(4), 182–192 </w:t>
      </w:r>
      <w:hyperlink r:id="rId34" w:history="1">
        <w:r w:rsidRPr="00334607">
          <w:rPr>
            <w:rStyle w:val="Hyperlink"/>
          </w:rPr>
          <w:t>https://doi.org/10.9734/ajahr/2025/v12i4427</w:t>
        </w:r>
      </w:hyperlink>
      <w:r>
        <w:t xml:space="preserve"> </w:t>
      </w:r>
    </w:p>
    <w:p w14:paraId="7B30946A" w14:textId="77777777" w:rsidR="00A748CB" w:rsidRPr="00AF7428" w:rsidRDefault="00A748CB" w:rsidP="00A748CB">
      <w:pPr>
        <w:pStyle w:val="NormalWeb"/>
        <w:spacing w:line="276" w:lineRule="auto"/>
        <w:jc w:val="both"/>
      </w:pPr>
      <w:proofErr w:type="spellStart"/>
      <w:r w:rsidRPr="00E320B4">
        <w:t>Umueni</w:t>
      </w:r>
      <w:proofErr w:type="spellEnd"/>
      <w:r w:rsidRPr="00E320B4">
        <w:t xml:space="preserve">, U. E., Etukudo, N. J., Okoye, P. I., </w:t>
      </w:r>
      <w:proofErr w:type="spellStart"/>
      <w:r w:rsidRPr="00E320B4">
        <w:t>Okpoji</w:t>
      </w:r>
      <w:proofErr w:type="spellEnd"/>
      <w:r w:rsidRPr="00E320B4">
        <w:t xml:space="preserve">, A. U., Eze, V. C., </w:t>
      </w:r>
      <w:proofErr w:type="spellStart"/>
      <w:r w:rsidRPr="00E320B4">
        <w:t>Aningo</w:t>
      </w:r>
      <w:proofErr w:type="spellEnd"/>
      <w:r w:rsidRPr="00E320B4">
        <w:t xml:space="preserve">, G. N., </w:t>
      </w:r>
      <w:proofErr w:type="spellStart"/>
      <w:r w:rsidRPr="00E320B4">
        <w:t>Ekwere</w:t>
      </w:r>
      <w:proofErr w:type="spellEnd"/>
      <w:r w:rsidRPr="00E320B4">
        <w:t xml:space="preserve">, I. O., &amp; Garuba, M. H. (2025). Geochemical and ecological risk assessment of petroleum hydrocarbons in sediments of </w:t>
      </w:r>
      <w:proofErr w:type="spellStart"/>
      <w:r w:rsidRPr="00E320B4">
        <w:t>Forcados</w:t>
      </w:r>
      <w:proofErr w:type="spellEnd"/>
      <w:r w:rsidRPr="00E320B4">
        <w:t xml:space="preserve"> River, Delta State. Asian Journal of Geographical Research, 8(4), 287–298. </w:t>
      </w:r>
      <w:hyperlink r:id="rId35" w:history="1">
        <w:r w:rsidRPr="00334607">
          <w:rPr>
            <w:rStyle w:val="Hyperlink"/>
          </w:rPr>
          <w:t>https://doi.org/10.9734/ajgr/2025/v8i4337</w:t>
        </w:r>
      </w:hyperlink>
      <w:r>
        <w:t xml:space="preserve"> </w:t>
      </w:r>
    </w:p>
    <w:p w14:paraId="11BA91F5" w14:textId="77777777" w:rsidR="00A748CB" w:rsidRPr="00AF7428" w:rsidRDefault="00A748CB" w:rsidP="00A748CB">
      <w:pPr>
        <w:pStyle w:val="NormalWeb"/>
        <w:spacing w:line="276" w:lineRule="auto"/>
        <w:jc w:val="both"/>
      </w:pPr>
      <w:proofErr w:type="spellStart"/>
      <w:r w:rsidRPr="00C35149">
        <w:t>Umueni</w:t>
      </w:r>
      <w:proofErr w:type="spellEnd"/>
      <w:r w:rsidRPr="00C35149">
        <w:t xml:space="preserve">, U. E., Rasheed, H. O., Edodi, I. O., </w:t>
      </w:r>
      <w:proofErr w:type="spellStart"/>
      <w:r w:rsidRPr="00C35149">
        <w:t>Aningo</w:t>
      </w:r>
      <w:proofErr w:type="spellEnd"/>
      <w:r w:rsidRPr="00C35149">
        <w:t xml:space="preserve">, G. N., </w:t>
      </w:r>
      <w:proofErr w:type="spellStart"/>
      <w:r w:rsidRPr="00C35149">
        <w:t>Okpoji</w:t>
      </w:r>
      <w:proofErr w:type="spellEnd"/>
      <w:r w:rsidRPr="00C35149">
        <w:t xml:space="preserve">, A. U., </w:t>
      </w:r>
      <w:proofErr w:type="spellStart"/>
      <w:r w:rsidRPr="00C35149">
        <w:t>Etesin</w:t>
      </w:r>
      <w:proofErr w:type="spellEnd"/>
      <w:r w:rsidRPr="00C35149">
        <w:t xml:space="preserve">, M. U., Okonkwo, C. C., </w:t>
      </w:r>
      <w:proofErr w:type="spellStart"/>
      <w:r w:rsidRPr="00C35149">
        <w:t>Ekwere</w:t>
      </w:r>
      <w:proofErr w:type="spellEnd"/>
      <w:r w:rsidRPr="00C35149">
        <w:t xml:space="preserve">, I. O., Okeke, C. F., &amp; Anarah, S. E. (2025). Nutrient enrichment and eutrophication potential of agricultural runoff in </w:t>
      </w:r>
      <w:proofErr w:type="spellStart"/>
      <w:r w:rsidRPr="00C35149">
        <w:t>Otuoke</w:t>
      </w:r>
      <w:proofErr w:type="spellEnd"/>
      <w:r w:rsidRPr="00C35149">
        <w:t xml:space="preserve">, Bayelsa State, Nigeria. Asian Journal of Agricultural and Horticultural Research, 12(4), 154–163. </w:t>
      </w:r>
      <w:hyperlink r:id="rId36" w:history="1">
        <w:r w:rsidRPr="00334607">
          <w:rPr>
            <w:rStyle w:val="Hyperlink"/>
          </w:rPr>
          <w:t>https://doi.org/10.9734/ajahr/2025/v12i4424</w:t>
        </w:r>
      </w:hyperlink>
      <w:r>
        <w:t xml:space="preserve"> </w:t>
      </w:r>
    </w:p>
    <w:p w14:paraId="1F1E20FF" w14:textId="77777777" w:rsidR="008A7665" w:rsidRPr="00A748CB" w:rsidRDefault="008A7665" w:rsidP="00A748CB">
      <w:pPr>
        <w:jc w:val="both"/>
        <w:rPr>
          <w:rFonts w:ascii="Times New Roman" w:hAnsi="Times New Roman" w:cs="Times New Roman"/>
          <w:sz w:val="24"/>
          <w:szCs w:val="24"/>
        </w:rPr>
      </w:pPr>
    </w:p>
    <w:sectPr w:rsidR="008A7665" w:rsidRPr="00A748CB">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B637" w14:textId="77777777" w:rsidR="008808B4" w:rsidRDefault="008808B4" w:rsidP="00B5216F">
      <w:pPr>
        <w:spacing w:after="0" w:line="240" w:lineRule="auto"/>
      </w:pPr>
      <w:r>
        <w:separator/>
      </w:r>
    </w:p>
  </w:endnote>
  <w:endnote w:type="continuationSeparator" w:id="0">
    <w:p w14:paraId="7EF430D5" w14:textId="77777777" w:rsidR="008808B4" w:rsidRDefault="008808B4" w:rsidP="00B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5A18" w14:textId="77777777" w:rsidR="00B5216F" w:rsidRDefault="00B5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BA1C" w14:textId="77777777" w:rsidR="00B5216F" w:rsidRDefault="00B52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6161" w14:textId="77777777" w:rsidR="00B5216F" w:rsidRDefault="00B5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6FB0" w14:textId="77777777" w:rsidR="008808B4" w:rsidRDefault="008808B4" w:rsidP="00B5216F">
      <w:pPr>
        <w:spacing w:after="0" w:line="240" w:lineRule="auto"/>
      </w:pPr>
      <w:r>
        <w:separator/>
      </w:r>
    </w:p>
  </w:footnote>
  <w:footnote w:type="continuationSeparator" w:id="0">
    <w:p w14:paraId="0755768C" w14:textId="77777777" w:rsidR="008808B4" w:rsidRDefault="008808B4" w:rsidP="00B5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2EF6" w14:textId="28A62FCD" w:rsidR="00B5216F" w:rsidRDefault="00B5216F">
    <w:pPr>
      <w:pStyle w:val="Header"/>
    </w:pPr>
    <w:r>
      <w:rPr>
        <w:noProof/>
      </w:rPr>
      <w:pict w14:anchorId="2CA74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2C68" w14:textId="063D780B" w:rsidR="00B5216F" w:rsidRDefault="00B5216F">
    <w:pPr>
      <w:pStyle w:val="Header"/>
    </w:pPr>
    <w:r>
      <w:rPr>
        <w:noProof/>
      </w:rPr>
      <w:pict w14:anchorId="5FA98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EBE3" w14:textId="5FC91802" w:rsidR="00B5216F" w:rsidRDefault="00B5216F">
    <w:pPr>
      <w:pStyle w:val="Header"/>
    </w:pPr>
    <w:r>
      <w:rPr>
        <w:noProof/>
      </w:rPr>
      <w:pict w14:anchorId="63DAE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65"/>
    <w:rsid w:val="00006D87"/>
    <w:rsid w:val="000A2398"/>
    <w:rsid w:val="000C1872"/>
    <w:rsid w:val="002C62F9"/>
    <w:rsid w:val="007B3323"/>
    <w:rsid w:val="008808B4"/>
    <w:rsid w:val="00884269"/>
    <w:rsid w:val="008A0669"/>
    <w:rsid w:val="008A7665"/>
    <w:rsid w:val="008F08A5"/>
    <w:rsid w:val="009F54E0"/>
    <w:rsid w:val="00A748CB"/>
    <w:rsid w:val="00B20E8E"/>
    <w:rsid w:val="00B5216F"/>
    <w:rsid w:val="00C3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8140F"/>
  <w15:chartTrackingRefBased/>
  <w15:docId w15:val="{B7FF5BC0-0AF9-429E-9345-2A3BAC8D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A76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A7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7665"/>
    <w:rPr>
      <w:b/>
      <w:bCs/>
    </w:rPr>
  </w:style>
  <w:style w:type="character" w:customStyle="1" w:styleId="Heading2Char">
    <w:name w:val="Heading 2 Char"/>
    <w:basedOn w:val="DefaultParagraphFont"/>
    <w:link w:val="Heading2"/>
    <w:uiPriority w:val="9"/>
    <w:rsid w:val="008A766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A766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48CB"/>
    <w:rPr>
      <w:color w:val="0563C1" w:themeColor="hyperlink"/>
      <w:u w:val="single"/>
    </w:rPr>
  </w:style>
  <w:style w:type="character" w:styleId="UnresolvedMention">
    <w:name w:val="Unresolved Mention"/>
    <w:basedOn w:val="DefaultParagraphFont"/>
    <w:uiPriority w:val="99"/>
    <w:semiHidden/>
    <w:unhideWhenUsed/>
    <w:rsid w:val="009F54E0"/>
    <w:rPr>
      <w:color w:val="605E5C"/>
      <w:shd w:val="clear" w:color="auto" w:fill="E1DFDD"/>
    </w:rPr>
  </w:style>
  <w:style w:type="paragraph" w:styleId="Header">
    <w:name w:val="header"/>
    <w:basedOn w:val="Normal"/>
    <w:link w:val="HeaderChar"/>
    <w:uiPriority w:val="99"/>
    <w:unhideWhenUsed/>
    <w:rsid w:val="00B5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6F"/>
  </w:style>
  <w:style w:type="paragraph" w:styleId="Footer">
    <w:name w:val="footer"/>
    <w:basedOn w:val="Normal"/>
    <w:link w:val="FooterChar"/>
    <w:uiPriority w:val="99"/>
    <w:unhideWhenUsed/>
    <w:rsid w:val="00B5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5358">
      <w:bodyDiv w:val="1"/>
      <w:marLeft w:val="0"/>
      <w:marRight w:val="0"/>
      <w:marTop w:val="0"/>
      <w:marBottom w:val="0"/>
      <w:divBdr>
        <w:top w:val="none" w:sz="0" w:space="0" w:color="auto"/>
        <w:left w:val="none" w:sz="0" w:space="0" w:color="auto"/>
        <w:bottom w:val="none" w:sz="0" w:space="0" w:color="auto"/>
        <w:right w:val="none" w:sz="0" w:space="0" w:color="auto"/>
      </w:divBdr>
    </w:div>
    <w:div w:id="201673904">
      <w:bodyDiv w:val="1"/>
      <w:marLeft w:val="0"/>
      <w:marRight w:val="0"/>
      <w:marTop w:val="0"/>
      <w:marBottom w:val="0"/>
      <w:divBdr>
        <w:top w:val="none" w:sz="0" w:space="0" w:color="auto"/>
        <w:left w:val="none" w:sz="0" w:space="0" w:color="auto"/>
        <w:bottom w:val="none" w:sz="0" w:space="0" w:color="auto"/>
        <w:right w:val="none" w:sz="0" w:space="0" w:color="auto"/>
      </w:divBdr>
    </w:div>
    <w:div w:id="797185074">
      <w:bodyDiv w:val="1"/>
      <w:marLeft w:val="0"/>
      <w:marRight w:val="0"/>
      <w:marTop w:val="0"/>
      <w:marBottom w:val="0"/>
      <w:divBdr>
        <w:top w:val="none" w:sz="0" w:space="0" w:color="auto"/>
        <w:left w:val="none" w:sz="0" w:space="0" w:color="auto"/>
        <w:bottom w:val="none" w:sz="0" w:space="0" w:color="auto"/>
        <w:right w:val="none" w:sz="0" w:space="0" w:color="auto"/>
      </w:divBdr>
    </w:div>
    <w:div w:id="1213082645">
      <w:bodyDiv w:val="1"/>
      <w:marLeft w:val="0"/>
      <w:marRight w:val="0"/>
      <w:marTop w:val="0"/>
      <w:marBottom w:val="0"/>
      <w:divBdr>
        <w:top w:val="none" w:sz="0" w:space="0" w:color="auto"/>
        <w:left w:val="none" w:sz="0" w:space="0" w:color="auto"/>
        <w:bottom w:val="none" w:sz="0" w:space="0" w:color="auto"/>
        <w:right w:val="none" w:sz="0" w:space="0" w:color="auto"/>
      </w:divBdr>
      <w:divsChild>
        <w:div w:id="1153721597">
          <w:marLeft w:val="0"/>
          <w:marRight w:val="0"/>
          <w:marTop w:val="0"/>
          <w:marBottom w:val="0"/>
          <w:divBdr>
            <w:top w:val="none" w:sz="0" w:space="0" w:color="auto"/>
            <w:left w:val="none" w:sz="0" w:space="0" w:color="auto"/>
            <w:bottom w:val="none" w:sz="0" w:space="0" w:color="auto"/>
            <w:right w:val="none" w:sz="0" w:space="0" w:color="auto"/>
          </w:divBdr>
          <w:divsChild>
            <w:div w:id="1225407861">
              <w:marLeft w:val="0"/>
              <w:marRight w:val="0"/>
              <w:marTop w:val="0"/>
              <w:marBottom w:val="0"/>
              <w:divBdr>
                <w:top w:val="none" w:sz="0" w:space="0" w:color="auto"/>
                <w:left w:val="none" w:sz="0" w:space="0" w:color="auto"/>
                <w:bottom w:val="none" w:sz="0" w:space="0" w:color="auto"/>
                <w:right w:val="none" w:sz="0" w:space="0" w:color="auto"/>
              </w:divBdr>
            </w:div>
          </w:divsChild>
        </w:div>
        <w:div w:id="1425103968">
          <w:marLeft w:val="0"/>
          <w:marRight w:val="0"/>
          <w:marTop w:val="0"/>
          <w:marBottom w:val="0"/>
          <w:divBdr>
            <w:top w:val="none" w:sz="0" w:space="0" w:color="auto"/>
            <w:left w:val="none" w:sz="0" w:space="0" w:color="auto"/>
            <w:bottom w:val="none" w:sz="0" w:space="0" w:color="auto"/>
            <w:right w:val="none" w:sz="0" w:space="0" w:color="auto"/>
          </w:divBdr>
          <w:divsChild>
            <w:div w:id="1189217156">
              <w:marLeft w:val="0"/>
              <w:marRight w:val="0"/>
              <w:marTop w:val="0"/>
              <w:marBottom w:val="0"/>
              <w:divBdr>
                <w:top w:val="none" w:sz="0" w:space="0" w:color="auto"/>
                <w:left w:val="none" w:sz="0" w:space="0" w:color="auto"/>
                <w:bottom w:val="none" w:sz="0" w:space="0" w:color="auto"/>
                <w:right w:val="none" w:sz="0" w:space="0" w:color="auto"/>
              </w:divBdr>
            </w:div>
          </w:divsChild>
        </w:div>
        <w:div w:id="721562157">
          <w:marLeft w:val="0"/>
          <w:marRight w:val="0"/>
          <w:marTop w:val="0"/>
          <w:marBottom w:val="0"/>
          <w:divBdr>
            <w:top w:val="none" w:sz="0" w:space="0" w:color="auto"/>
            <w:left w:val="none" w:sz="0" w:space="0" w:color="auto"/>
            <w:bottom w:val="none" w:sz="0" w:space="0" w:color="auto"/>
            <w:right w:val="none" w:sz="0" w:space="0" w:color="auto"/>
          </w:divBdr>
          <w:divsChild>
            <w:div w:id="323776434">
              <w:marLeft w:val="0"/>
              <w:marRight w:val="0"/>
              <w:marTop w:val="0"/>
              <w:marBottom w:val="0"/>
              <w:divBdr>
                <w:top w:val="none" w:sz="0" w:space="0" w:color="auto"/>
                <w:left w:val="none" w:sz="0" w:space="0" w:color="auto"/>
                <w:bottom w:val="none" w:sz="0" w:space="0" w:color="auto"/>
                <w:right w:val="none" w:sz="0" w:space="0" w:color="auto"/>
              </w:divBdr>
            </w:div>
          </w:divsChild>
        </w:div>
        <w:div w:id="1204748596">
          <w:marLeft w:val="0"/>
          <w:marRight w:val="0"/>
          <w:marTop w:val="0"/>
          <w:marBottom w:val="0"/>
          <w:divBdr>
            <w:top w:val="none" w:sz="0" w:space="0" w:color="auto"/>
            <w:left w:val="none" w:sz="0" w:space="0" w:color="auto"/>
            <w:bottom w:val="none" w:sz="0" w:space="0" w:color="auto"/>
            <w:right w:val="none" w:sz="0" w:space="0" w:color="auto"/>
          </w:divBdr>
          <w:divsChild>
            <w:div w:id="1368992843">
              <w:marLeft w:val="0"/>
              <w:marRight w:val="0"/>
              <w:marTop w:val="0"/>
              <w:marBottom w:val="0"/>
              <w:divBdr>
                <w:top w:val="none" w:sz="0" w:space="0" w:color="auto"/>
                <w:left w:val="none" w:sz="0" w:space="0" w:color="auto"/>
                <w:bottom w:val="none" w:sz="0" w:space="0" w:color="auto"/>
                <w:right w:val="none" w:sz="0" w:space="0" w:color="auto"/>
              </w:divBdr>
            </w:div>
          </w:divsChild>
        </w:div>
        <w:div w:id="141699769">
          <w:marLeft w:val="0"/>
          <w:marRight w:val="0"/>
          <w:marTop w:val="0"/>
          <w:marBottom w:val="0"/>
          <w:divBdr>
            <w:top w:val="none" w:sz="0" w:space="0" w:color="auto"/>
            <w:left w:val="none" w:sz="0" w:space="0" w:color="auto"/>
            <w:bottom w:val="none" w:sz="0" w:space="0" w:color="auto"/>
            <w:right w:val="none" w:sz="0" w:space="0" w:color="auto"/>
          </w:divBdr>
          <w:divsChild>
            <w:div w:id="936794705">
              <w:marLeft w:val="0"/>
              <w:marRight w:val="0"/>
              <w:marTop w:val="0"/>
              <w:marBottom w:val="0"/>
              <w:divBdr>
                <w:top w:val="none" w:sz="0" w:space="0" w:color="auto"/>
                <w:left w:val="none" w:sz="0" w:space="0" w:color="auto"/>
                <w:bottom w:val="none" w:sz="0" w:space="0" w:color="auto"/>
                <w:right w:val="none" w:sz="0" w:space="0" w:color="auto"/>
              </w:divBdr>
            </w:div>
          </w:divsChild>
        </w:div>
        <w:div w:id="2134590147">
          <w:marLeft w:val="0"/>
          <w:marRight w:val="0"/>
          <w:marTop w:val="0"/>
          <w:marBottom w:val="0"/>
          <w:divBdr>
            <w:top w:val="none" w:sz="0" w:space="0" w:color="auto"/>
            <w:left w:val="none" w:sz="0" w:space="0" w:color="auto"/>
            <w:bottom w:val="none" w:sz="0" w:space="0" w:color="auto"/>
            <w:right w:val="none" w:sz="0" w:space="0" w:color="auto"/>
          </w:divBdr>
          <w:divsChild>
            <w:div w:id="1545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332">
      <w:bodyDiv w:val="1"/>
      <w:marLeft w:val="0"/>
      <w:marRight w:val="0"/>
      <w:marTop w:val="0"/>
      <w:marBottom w:val="0"/>
      <w:divBdr>
        <w:top w:val="none" w:sz="0" w:space="0" w:color="auto"/>
        <w:left w:val="none" w:sz="0" w:space="0" w:color="auto"/>
        <w:bottom w:val="none" w:sz="0" w:space="0" w:color="auto"/>
        <w:right w:val="none" w:sz="0" w:space="0" w:color="auto"/>
      </w:divBdr>
    </w:div>
    <w:div w:id="19271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9734/ajriz/2025/v8i4233" TargetMode="External"/><Relationship Id="rId26" Type="http://schemas.openxmlformats.org/officeDocument/2006/relationships/hyperlink" Target="https://doi.org/10.69739/jece.v2i2.844" TargetMode="External"/><Relationship Id="rId39" Type="http://schemas.openxmlformats.org/officeDocument/2006/relationships/footer" Target="footer1.xml"/><Relationship Id="rId21" Type="http://schemas.openxmlformats.org/officeDocument/2006/relationships/hyperlink" Target="https://doi.org/10.69739/jlsph.v1i1.879" TargetMode="External"/><Relationship Id="rId34" Type="http://schemas.openxmlformats.org/officeDocument/2006/relationships/hyperlink" Target="https://doi.org/10.9734/ajahr/2025/v12i4427" TargetMode="External"/><Relationship Id="rId42" Type="http://schemas.openxmlformats.org/officeDocument/2006/relationships/footer" Target="footer3.xml"/><Relationship Id="rId7" Type="http://schemas.openxmlformats.org/officeDocument/2006/relationships/hyperlink" Target="https://doi.org/10.9734/ajee/2025/v24i11822" TargetMode="External"/><Relationship Id="rId2" Type="http://schemas.openxmlformats.org/officeDocument/2006/relationships/settings" Target="settings.xml"/><Relationship Id="rId16" Type="http://schemas.openxmlformats.org/officeDocument/2006/relationships/hyperlink" Target="https://doi.org/10.69739/jmsbc.v2i2.1045" TargetMode="External"/><Relationship Id="rId20" Type="http://schemas.openxmlformats.org/officeDocument/2006/relationships/hyperlink" Target="https://doi.org/10.56557/japsi/2025/v17i210026" TargetMode="External"/><Relationship Id="rId29" Type="http://schemas.openxmlformats.org/officeDocument/2006/relationships/hyperlink" Target="http://www.ijmsrt.com"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5281/zenodo.17148360" TargetMode="External"/><Relationship Id="rId24" Type="http://schemas.openxmlformats.org/officeDocument/2006/relationships/hyperlink" Target="https://doi.org/10.69739/jlsph.v1i1.962" TargetMode="External"/><Relationship Id="rId32" Type="http://schemas.openxmlformats.org/officeDocument/2006/relationships/hyperlink" Target="https://doi.org/10.69739/jaaas.v2i2.130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69739/sjet.v2i2.1308" TargetMode="External"/><Relationship Id="rId23" Type="http://schemas.openxmlformats.org/officeDocument/2006/relationships/hyperlink" Target="https://doi.org/10.5281/zenodo.16921896" TargetMode="External"/><Relationship Id="rId28" Type="http://schemas.openxmlformats.org/officeDocument/2006/relationships/hyperlink" Target="https://doi.org/10.69739/jaaas.v2i2.882" TargetMode="External"/><Relationship Id="rId36" Type="http://schemas.openxmlformats.org/officeDocument/2006/relationships/hyperlink" Target="https://doi.org/10.9734/ajahr/2025/v12i4424" TargetMode="External"/><Relationship Id="rId10" Type="http://schemas.openxmlformats.org/officeDocument/2006/relationships/hyperlink" Target="https://doi.org/10.9734/ajocs/2025/v15i6406"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9734/ajoger/2025/v8i3223"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69739/jece.v2i2.1307" TargetMode="External"/><Relationship Id="rId14" Type="http://schemas.openxmlformats.org/officeDocument/2006/relationships/hyperlink" Target="https://doi.org/10.69739/jmsbc.v2i2.1258" TargetMode="External"/><Relationship Id="rId22" Type="http://schemas.openxmlformats.org/officeDocument/2006/relationships/hyperlink" Target="https://www.ijmsrt.com/environmental-assessment-of-heavy-metals-and-hydrocarbon-pollution-in-surface-waters-of-oil-bearing-communities-in-andoni-rivers-state-nigeria/" TargetMode="External"/><Relationship Id="rId27" Type="http://schemas.openxmlformats.org/officeDocument/2006/relationships/hyperlink" Target="https://doi.org/10.9734/ajocs/2025/v15i640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gr/2025/v8i4337" TargetMode="External"/><Relationship Id="rId43" Type="http://schemas.openxmlformats.org/officeDocument/2006/relationships/fontTable" Target="fontTable.xml"/><Relationship Id="rId8" Type="http://schemas.openxmlformats.org/officeDocument/2006/relationships/hyperlink" Target="https://doi.org/10.9734/ajee/2023/v21i4469" TargetMode="External"/><Relationship Id="rId3" Type="http://schemas.openxmlformats.org/officeDocument/2006/relationships/webSettings" Target="webSettings.xml"/><Relationship Id="rId12" Type="http://schemas.openxmlformats.org/officeDocument/2006/relationships/hyperlink" Target="https://doi.org/10.69739/jece.v2i2.952" TargetMode="External"/><Relationship Id="rId17" Type="http://schemas.openxmlformats.org/officeDocument/2006/relationships/hyperlink" Target="https://doi.org/10.9734/ajgr/2025/v8i4341" TargetMode="External"/><Relationship Id="rId25" Type="http://schemas.openxmlformats.org/officeDocument/2006/relationships/hyperlink" Target="https://doi.org/10.69739/jece.v2i2.961" TargetMode="External"/><Relationship Id="rId33" Type="http://schemas.openxmlformats.org/officeDocument/2006/relationships/hyperlink" Target="https://doi.org/10.69739/jsrd.v1i2.104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4893</Words>
  <Characters>27892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PC 1170</cp:lastModifiedBy>
  <cp:revision>11</cp:revision>
  <dcterms:created xsi:type="dcterms:W3CDTF">2026-01-06T14:12:00Z</dcterms:created>
  <dcterms:modified xsi:type="dcterms:W3CDTF">2026-01-07T10:59:00Z</dcterms:modified>
</cp:coreProperties>
</file>