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A5B10" w14:textId="77777777" w:rsidR="00F87FCC" w:rsidRPr="00F87FCC" w:rsidRDefault="00F87FCC" w:rsidP="008E363B">
      <w:pPr>
        <w:spacing w:after="0" w:line="240" w:lineRule="auto"/>
        <w:ind w:left="720"/>
        <w:jc w:val="center"/>
        <w:rPr>
          <w:rFonts w:ascii="Arial" w:hAnsi="Arial" w:cs="Arial"/>
          <w:b/>
          <w:bCs/>
          <w:i/>
          <w:iCs/>
          <w:color w:val="000000" w:themeColor="text1"/>
          <w:sz w:val="36"/>
          <w:szCs w:val="36"/>
          <w:u w:val="single"/>
          <w:lang w:val="en-US"/>
        </w:rPr>
      </w:pPr>
      <w:bookmarkStart w:id="0" w:name="_Hlk196686689"/>
      <w:bookmarkStart w:id="1" w:name="_Hlk215500003"/>
      <w:r w:rsidRPr="00F87FCC">
        <w:rPr>
          <w:rFonts w:ascii="Arial" w:hAnsi="Arial" w:cs="Arial"/>
          <w:b/>
          <w:bCs/>
          <w:i/>
          <w:iCs/>
          <w:color w:val="000000" w:themeColor="text1"/>
          <w:sz w:val="36"/>
          <w:szCs w:val="36"/>
          <w:u w:val="single"/>
          <w:lang w:val="en-US"/>
        </w:rPr>
        <w:t>Original Research Article</w:t>
      </w:r>
    </w:p>
    <w:p w14:paraId="59D2999A" w14:textId="77777777" w:rsidR="00F87FCC" w:rsidRDefault="00F87FCC" w:rsidP="00362F47">
      <w:pPr>
        <w:spacing w:after="0" w:line="240" w:lineRule="auto"/>
        <w:jc w:val="right"/>
        <w:rPr>
          <w:rFonts w:ascii="Arial" w:hAnsi="Arial" w:cs="Arial"/>
          <w:b/>
          <w:bCs/>
          <w:color w:val="000000" w:themeColor="text1"/>
          <w:sz w:val="36"/>
          <w:szCs w:val="36"/>
        </w:rPr>
      </w:pPr>
    </w:p>
    <w:p w14:paraId="3DEE9E5B" w14:textId="32C8BB9F" w:rsidR="00B53D34" w:rsidRPr="00362F47" w:rsidRDefault="0097798B" w:rsidP="00362F47">
      <w:pPr>
        <w:spacing w:after="0" w:line="240" w:lineRule="auto"/>
        <w:jc w:val="right"/>
        <w:rPr>
          <w:rFonts w:ascii="Arial" w:hAnsi="Arial" w:cs="Arial"/>
          <w:b/>
          <w:bCs/>
          <w:color w:val="000000" w:themeColor="text1"/>
          <w:sz w:val="36"/>
          <w:szCs w:val="36"/>
        </w:rPr>
      </w:pPr>
      <w:r w:rsidRPr="001B44E8">
        <w:rPr>
          <w:rFonts w:ascii="Arial" w:hAnsi="Arial" w:cs="Arial"/>
          <w:b/>
          <w:bCs/>
          <w:color w:val="000000" w:themeColor="text1"/>
          <w:sz w:val="36"/>
          <w:szCs w:val="36"/>
        </w:rPr>
        <w:t xml:space="preserve">Isolation and Identification of Ammonia-Oxidizing Bacteria from </w:t>
      </w:r>
      <w:r w:rsidR="002D5774" w:rsidRPr="001B44E8">
        <w:rPr>
          <w:rFonts w:ascii="Arial" w:hAnsi="Arial" w:cs="Arial"/>
          <w:b/>
          <w:bCs/>
          <w:color w:val="000000" w:themeColor="text1"/>
          <w:sz w:val="36"/>
          <w:szCs w:val="36"/>
        </w:rPr>
        <w:t xml:space="preserve">Urea-enriched </w:t>
      </w:r>
      <w:r w:rsidRPr="001B44E8">
        <w:rPr>
          <w:rFonts w:ascii="Arial" w:hAnsi="Arial" w:cs="Arial"/>
          <w:b/>
          <w:bCs/>
          <w:color w:val="000000" w:themeColor="text1"/>
          <w:sz w:val="36"/>
          <w:szCs w:val="36"/>
        </w:rPr>
        <w:t>Soil:</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A Microbial and</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Molecular Characterization Study</w:t>
      </w:r>
      <w:bookmarkEnd w:id="0"/>
    </w:p>
    <w:bookmarkEnd w:id="1"/>
    <w:p w14:paraId="2D346229" w14:textId="77777777" w:rsidR="00A17E0F" w:rsidRPr="001B44E8" w:rsidRDefault="00A17E0F" w:rsidP="001B44E8">
      <w:pPr>
        <w:spacing w:after="0" w:line="240" w:lineRule="auto"/>
        <w:jc w:val="right"/>
        <w:rPr>
          <w:rFonts w:ascii="Arial" w:hAnsi="Arial" w:cs="Arial"/>
          <w:b/>
          <w:bCs/>
          <w:color w:val="000000" w:themeColor="text1"/>
          <w:sz w:val="20"/>
          <w:szCs w:val="20"/>
        </w:rPr>
      </w:pPr>
    </w:p>
    <w:p w14:paraId="0ADE257D" w14:textId="20C6B51C" w:rsidR="00F87FCC" w:rsidRPr="00F87FCC" w:rsidRDefault="00F87FCC" w:rsidP="00F87FCC">
      <w:pPr>
        <w:spacing w:after="0" w:line="240" w:lineRule="auto"/>
        <w:jc w:val="right"/>
        <w:rPr>
          <w:rFonts w:ascii="Arial" w:hAnsi="Arial" w:cs="Arial"/>
          <w:bCs/>
          <w:sz w:val="16"/>
          <w:szCs w:val="16"/>
          <w:lang w:val="en-US"/>
        </w:rPr>
      </w:pPr>
      <w:r w:rsidRPr="00F87FCC">
        <w:rPr>
          <w:rFonts w:ascii="Arial" w:hAnsi="Arial" w:cs="Arial"/>
          <w:bCs/>
          <w:sz w:val="16"/>
          <w:szCs w:val="16"/>
          <w:lang w:val="en-US"/>
        </w:rPr>
        <w:t xml:space="preserve"> </w:t>
      </w:r>
    </w:p>
    <w:p w14:paraId="5720EEE2" w14:textId="77777777" w:rsidR="00F87FCC" w:rsidRPr="001B44E8" w:rsidRDefault="00F87FCC" w:rsidP="001B44E8">
      <w:pPr>
        <w:spacing w:after="0" w:line="240" w:lineRule="auto"/>
        <w:jc w:val="right"/>
        <w:rPr>
          <w:rFonts w:ascii="Arial" w:hAnsi="Arial" w:cs="Arial"/>
          <w:sz w:val="16"/>
          <w:szCs w:val="16"/>
        </w:rPr>
      </w:pPr>
    </w:p>
    <w:p w14:paraId="7F37F422" w14:textId="77777777" w:rsidR="003F500E" w:rsidRPr="001B44E8" w:rsidRDefault="003F500E" w:rsidP="001B44E8">
      <w:pPr>
        <w:spacing w:after="0" w:line="240" w:lineRule="auto"/>
        <w:jc w:val="right"/>
        <w:rPr>
          <w:rFonts w:ascii="Arial" w:hAnsi="Arial" w:cs="Arial"/>
          <w:b/>
          <w:bCs/>
          <w:color w:val="000000" w:themeColor="text1"/>
          <w:sz w:val="20"/>
          <w:szCs w:val="20"/>
        </w:rPr>
      </w:pPr>
    </w:p>
    <w:p w14:paraId="137609FE" w14:textId="7E6C742D" w:rsidR="001B6261" w:rsidRPr="001B44E8" w:rsidRDefault="001B6261" w:rsidP="001B44E8">
      <w:pPr>
        <w:spacing w:after="0" w:line="240" w:lineRule="auto"/>
        <w:rPr>
          <w:rFonts w:ascii="Arial" w:hAnsi="Arial" w:cs="Arial"/>
          <w:b/>
          <w:bCs/>
          <w:color w:val="000000" w:themeColor="text1"/>
        </w:rPr>
      </w:pPr>
      <w:r w:rsidRPr="001B44E8">
        <w:rPr>
          <w:rFonts w:ascii="Arial" w:hAnsi="Arial" w:cs="Arial"/>
          <w:b/>
          <w:bCs/>
          <w:color w:val="000000" w:themeColor="text1"/>
        </w:rPr>
        <w:t>A</w:t>
      </w:r>
      <w:r w:rsidR="00B456E6" w:rsidRPr="001B44E8">
        <w:rPr>
          <w:rFonts w:ascii="Arial" w:hAnsi="Arial" w:cs="Arial"/>
          <w:b/>
          <w:bCs/>
          <w:color w:val="000000" w:themeColor="text1"/>
        </w:rPr>
        <w:t>BSTRACT</w:t>
      </w:r>
    </w:p>
    <w:p w14:paraId="257F9759" w14:textId="64D5D7E5" w:rsidR="00EB5C19"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Aim:</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The livestock sector significantly contributes to global ammonia emissions, with 90% originating from manure management.</w:t>
      </w:r>
      <w:r w:rsidR="00EB5C19"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Camels, adapted to arid conditions, excrete high</w:t>
      </w:r>
      <w:r w:rsidR="00243EB0" w:rsidRPr="001B44E8">
        <w:rPr>
          <w:rFonts w:ascii="Arial" w:hAnsi="Arial" w:cs="Arial"/>
          <w:color w:val="000000" w:themeColor="text1"/>
          <w:sz w:val="20"/>
          <w:szCs w:val="20"/>
        </w:rPr>
        <w:t xml:space="preserve"> nitrogen</w:t>
      </w:r>
      <w:r w:rsidR="00042C6F" w:rsidRPr="001B44E8">
        <w:rPr>
          <w:rFonts w:ascii="Arial" w:hAnsi="Arial" w:cs="Arial"/>
          <w:color w:val="000000" w:themeColor="text1"/>
          <w:sz w:val="20"/>
          <w:szCs w:val="20"/>
        </w:rPr>
        <w:t xml:space="preserve"> rich </w:t>
      </w:r>
      <w:r w:rsidR="00243EB0" w:rsidRPr="001B44E8">
        <w:rPr>
          <w:rFonts w:ascii="Arial" w:hAnsi="Arial" w:cs="Arial"/>
          <w:color w:val="000000" w:themeColor="text1"/>
          <w:sz w:val="20"/>
          <w:szCs w:val="20"/>
        </w:rPr>
        <w:t>urine</w:t>
      </w:r>
      <w:r w:rsidR="00042C6F" w:rsidRPr="001B44E8">
        <w:rPr>
          <w:rFonts w:ascii="Arial" w:hAnsi="Arial" w:cs="Arial"/>
          <w:color w:val="000000" w:themeColor="text1"/>
          <w:sz w:val="20"/>
          <w:szCs w:val="20"/>
        </w:rPr>
        <w:t xml:space="preserve">, resulting in urea-enriched soils surrounding camel farms. This study aimed to isolate and characterize functional </w:t>
      </w:r>
      <w:r w:rsidR="00243EB0" w:rsidRPr="001B44E8">
        <w:rPr>
          <w:rFonts w:ascii="Arial" w:hAnsi="Arial" w:cs="Arial"/>
          <w:color w:val="000000" w:themeColor="text1"/>
          <w:sz w:val="20"/>
          <w:szCs w:val="20"/>
        </w:rPr>
        <w:t xml:space="preserve">ammonia oxidizing </w:t>
      </w:r>
      <w:r w:rsidR="00042C6F" w:rsidRPr="001B44E8">
        <w:rPr>
          <w:rFonts w:ascii="Arial" w:hAnsi="Arial" w:cs="Arial"/>
          <w:color w:val="000000" w:themeColor="text1"/>
          <w:sz w:val="20"/>
          <w:szCs w:val="20"/>
        </w:rPr>
        <w:t xml:space="preserve">microorganisms from camel farm soil in </w:t>
      </w:r>
      <w:proofErr w:type="spellStart"/>
      <w:r w:rsidR="00042C6F" w:rsidRPr="001B44E8">
        <w:rPr>
          <w:rFonts w:ascii="Arial" w:hAnsi="Arial" w:cs="Arial"/>
          <w:color w:val="000000" w:themeColor="text1"/>
          <w:sz w:val="20"/>
          <w:szCs w:val="20"/>
        </w:rPr>
        <w:t>Secunderabad</w:t>
      </w:r>
      <w:proofErr w:type="spellEnd"/>
      <w:r w:rsidR="00042C6F" w:rsidRPr="001B44E8">
        <w:rPr>
          <w:rFonts w:ascii="Arial" w:hAnsi="Arial" w:cs="Arial"/>
          <w:color w:val="000000" w:themeColor="text1"/>
          <w:sz w:val="20"/>
          <w:szCs w:val="20"/>
        </w:rPr>
        <w:t>, India.</w:t>
      </w:r>
    </w:p>
    <w:p w14:paraId="62FB034A"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Study design: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Soil samples were collected and subjected to serial dilution, followed by cultivation on ammonia-enriched agar media. Isolated colonies were characterized morphologically and biochemically</w:t>
      </w:r>
      <w:r w:rsidR="00EB5C19" w:rsidRPr="001B44E8">
        <w:rPr>
          <w:rFonts w:ascii="Arial" w:hAnsi="Arial" w:cs="Arial"/>
          <w:color w:val="000000" w:themeColor="text1"/>
          <w:sz w:val="20"/>
          <w:szCs w:val="20"/>
        </w:rPr>
        <w:t xml:space="preserve">. </w:t>
      </w:r>
    </w:p>
    <w:p w14:paraId="69B8421E"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Methodology:</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Molecular identification was performed through amplification of the 16S rRNA gene, and Sanger sequencing. Bioinformatics tools were used to </w:t>
      </w:r>
      <w:proofErr w:type="spellStart"/>
      <w:r w:rsidR="00042C6F" w:rsidRPr="001B44E8">
        <w:rPr>
          <w:rFonts w:ascii="Arial" w:hAnsi="Arial" w:cs="Arial"/>
          <w:color w:val="000000" w:themeColor="text1"/>
          <w:sz w:val="20"/>
          <w:szCs w:val="20"/>
        </w:rPr>
        <w:t>analyze</w:t>
      </w:r>
      <w:proofErr w:type="spellEnd"/>
      <w:r w:rsidR="00042C6F" w:rsidRPr="001B44E8">
        <w:rPr>
          <w:rFonts w:ascii="Arial" w:hAnsi="Arial" w:cs="Arial"/>
          <w:color w:val="000000" w:themeColor="text1"/>
          <w:sz w:val="20"/>
          <w:szCs w:val="20"/>
        </w:rPr>
        <w:t xml:space="preserve"> the sequencing data and construct a phylogenetic tree.</w:t>
      </w:r>
      <w:r w:rsidR="00EB5C19" w:rsidRPr="001B44E8">
        <w:rPr>
          <w:rFonts w:ascii="Arial" w:hAnsi="Arial" w:cs="Arial"/>
          <w:color w:val="000000" w:themeColor="text1"/>
          <w:sz w:val="20"/>
          <w:szCs w:val="20"/>
        </w:rPr>
        <w:t xml:space="preserve"> </w:t>
      </w:r>
    </w:p>
    <w:p w14:paraId="67A1249C" w14:textId="66DEFA39"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Results:</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isolated bacterium was Gram-negative, rod-shaped, non-motile, and exhibited creamy white colonies. Biochemical profiling revealed its ability to metabolize multiple sugars and a mixed acid fermentation pattern, suggesting affiliation with the Enterobacteriaceae family. Sequencing and phylogenetic analysis confirmed the bacterium as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a species previously noted for nitrogen-related metabolism.</w:t>
      </w:r>
      <w:r w:rsidR="00E04A8A"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ammonia-oxidizing potential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was evaluated using the Nessler’s reagent assay across 24, 48, and 72 hours. A consistent reduction in ammonia concentration indicated active ammonia oxidation. This finding highlights the potential application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in mitigating ammonia emissions from livestock waste, particularly in urea-rich environments such as camel farms.</w:t>
      </w:r>
    </w:p>
    <w:p w14:paraId="0AAC72FC" w14:textId="268A0C15"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Conclusion: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study contributes to understanding the microbial diversity in nitrogen cycling and supports the development of eco-friendly strategies for ammonia emission control in agricultural settings. Further research could explore the metabolic pathways and environmental tolerance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to enhance its application in bio-remediation.</w:t>
      </w:r>
    </w:p>
    <w:p w14:paraId="2D7C3EF6" w14:textId="77777777" w:rsidR="00A17E0F" w:rsidRPr="001B44E8" w:rsidRDefault="00A17E0F" w:rsidP="001B44E8">
      <w:pPr>
        <w:spacing w:after="0" w:line="240" w:lineRule="auto"/>
        <w:rPr>
          <w:rFonts w:ascii="Arial" w:hAnsi="Arial" w:cs="Arial"/>
          <w:b/>
          <w:bCs/>
          <w:color w:val="000000" w:themeColor="text1"/>
          <w:sz w:val="20"/>
          <w:szCs w:val="20"/>
        </w:rPr>
      </w:pPr>
    </w:p>
    <w:p w14:paraId="4054FDEE" w14:textId="1545DA1A" w:rsidR="001B6261" w:rsidRPr="001B44E8" w:rsidRDefault="001B6261"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K</w:t>
      </w:r>
      <w:r w:rsidR="00B456E6" w:rsidRPr="001B44E8">
        <w:rPr>
          <w:rFonts w:ascii="Arial" w:hAnsi="Arial" w:cs="Arial"/>
          <w:b/>
          <w:bCs/>
          <w:color w:val="000000" w:themeColor="text1"/>
          <w:sz w:val="20"/>
          <w:szCs w:val="20"/>
        </w:rPr>
        <w:t>EYWORDS</w:t>
      </w:r>
      <w:r w:rsidRPr="001B44E8">
        <w:rPr>
          <w:rFonts w:ascii="Arial" w:hAnsi="Arial" w:cs="Arial"/>
          <w:b/>
          <w:bCs/>
          <w:color w:val="000000" w:themeColor="text1"/>
          <w:sz w:val="20"/>
          <w:szCs w:val="20"/>
        </w:rPr>
        <w:t xml:space="preserve">: </w:t>
      </w:r>
      <w:r w:rsidR="00FA7071" w:rsidRPr="001B44E8">
        <w:rPr>
          <w:rFonts w:ascii="Arial" w:hAnsi="Arial" w:cs="Arial"/>
          <w:color w:val="000000" w:themeColor="text1"/>
          <w:sz w:val="20"/>
          <w:szCs w:val="20"/>
        </w:rPr>
        <w:t xml:space="preserve">Bacteria, </w:t>
      </w:r>
      <w:r w:rsidRPr="001B44E8">
        <w:rPr>
          <w:rFonts w:ascii="Arial" w:hAnsi="Arial" w:cs="Arial"/>
          <w:color w:val="000000" w:themeColor="text1"/>
          <w:sz w:val="20"/>
          <w:szCs w:val="20"/>
        </w:rPr>
        <w:t>Ammonia-Oxid</w:t>
      </w:r>
      <w:r w:rsidR="00706512" w:rsidRPr="001B44E8">
        <w:rPr>
          <w:rFonts w:ascii="Arial" w:hAnsi="Arial" w:cs="Arial"/>
          <w:color w:val="000000" w:themeColor="text1"/>
          <w:sz w:val="20"/>
          <w:szCs w:val="20"/>
        </w:rPr>
        <w:t>at</w:t>
      </w:r>
      <w:r w:rsidRPr="001B44E8">
        <w:rPr>
          <w:rFonts w:ascii="Arial" w:hAnsi="Arial" w:cs="Arial"/>
          <w:color w:val="000000" w:themeColor="text1"/>
          <w:sz w:val="20"/>
          <w:szCs w:val="20"/>
        </w:rPr>
        <w:t>i</w:t>
      </w:r>
      <w:r w:rsidR="00706512" w:rsidRPr="001B44E8">
        <w:rPr>
          <w:rFonts w:ascii="Arial" w:hAnsi="Arial" w:cs="Arial"/>
          <w:color w:val="000000" w:themeColor="text1"/>
          <w:sz w:val="20"/>
          <w:szCs w:val="20"/>
        </w:rPr>
        <w:t>on</w:t>
      </w:r>
      <w:r w:rsidRPr="001B44E8">
        <w:rPr>
          <w:rFonts w:ascii="Arial" w:hAnsi="Arial" w:cs="Arial"/>
          <w:color w:val="000000" w:themeColor="text1"/>
          <w:sz w:val="20"/>
          <w:szCs w:val="20"/>
        </w:rPr>
        <w:t>, PCR,</w:t>
      </w:r>
      <w:r w:rsidR="00AD3887" w:rsidRPr="001B44E8">
        <w:rPr>
          <w:rFonts w:ascii="Arial" w:hAnsi="Arial" w:cs="Arial"/>
          <w:color w:val="000000" w:themeColor="text1"/>
          <w:sz w:val="20"/>
          <w:szCs w:val="20"/>
        </w:rPr>
        <w:t xml:space="preserve"> 16S sequencing, phylogenetic tree,</w:t>
      </w:r>
      <w:r w:rsidRPr="001B44E8">
        <w:rPr>
          <w:rFonts w:ascii="Arial" w:hAnsi="Arial" w:cs="Arial"/>
          <w:color w:val="000000" w:themeColor="text1"/>
          <w:sz w:val="20"/>
          <w:szCs w:val="20"/>
        </w:rPr>
        <w:t xml:space="preserve">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p>
    <w:p w14:paraId="21B7039F" w14:textId="77777777" w:rsidR="00CF6EAE" w:rsidRPr="001B44E8" w:rsidRDefault="00CF6EAE" w:rsidP="001B44E8">
      <w:pPr>
        <w:spacing w:after="0" w:line="240" w:lineRule="auto"/>
        <w:rPr>
          <w:rFonts w:ascii="Arial" w:hAnsi="Arial" w:cs="Arial"/>
          <w:b/>
          <w:bCs/>
          <w:color w:val="000000" w:themeColor="text1"/>
          <w:sz w:val="20"/>
          <w:szCs w:val="20"/>
        </w:rPr>
      </w:pPr>
    </w:p>
    <w:p w14:paraId="604F3A66" w14:textId="77777777" w:rsidR="008132B9" w:rsidRPr="001B44E8" w:rsidRDefault="008132B9" w:rsidP="001B44E8">
      <w:pPr>
        <w:spacing w:after="0" w:line="240" w:lineRule="auto"/>
        <w:rPr>
          <w:rFonts w:ascii="Arial" w:hAnsi="Arial" w:cs="Arial"/>
          <w:b/>
          <w:bCs/>
          <w:color w:val="000000" w:themeColor="text1"/>
          <w:sz w:val="20"/>
          <w:szCs w:val="20"/>
        </w:rPr>
      </w:pPr>
    </w:p>
    <w:p w14:paraId="62827D86" w14:textId="7497EB7B" w:rsidR="000A355E" w:rsidRPr="001B44E8" w:rsidRDefault="000A355E"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I</w:t>
      </w:r>
      <w:r w:rsidR="00B456E6" w:rsidRPr="001B44E8">
        <w:rPr>
          <w:rFonts w:ascii="Arial" w:hAnsi="Arial" w:cs="Arial"/>
          <w:b/>
          <w:bCs/>
          <w:color w:val="000000" w:themeColor="text1"/>
        </w:rPr>
        <w:t>NTRODUCTION</w:t>
      </w:r>
    </w:p>
    <w:p w14:paraId="2B953A03" w14:textId="6D5DC59A" w:rsidR="0001066B" w:rsidRPr="001B44E8" w:rsidRDefault="0068633C"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Recent reports by the Central Pollution Control Board (India) highlight the significant contribution of the livestock sector to global ammonia emissions. Specifically, approximately 90% of agricultural ammonia emissions originate from the management of livestock manure</w:t>
      </w:r>
      <w:r w:rsidR="007404C5" w:rsidRPr="001B44E8">
        <w:rPr>
          <w:rFonts w:ascii="Arial" w:hAnsi="Arial" w:cs="Arial"/>
          <w:color w:val="000000" w:themeColor="text1"/>
          <w:sz w:val="20"/>
          <w:szCs w:val="20"/>
        </w:rPr>
        <w:t xml:space="preserve"> [Samad et al, 2025]</w:t>
      </w:r>
      <w:r w:rsidRPr="001B44E8">
        <w:rPr>
          <w:rFonts w:ascii="Arial" w:hAnsi="Arial" w:cs="Arial"/>
          <w:color w:val="000000" w:themeColor="text1"/>
          <w:sz w:val="20"/>
          <w:szCs w:val="20"/>
        </w:rPr>
        <w:t>. Livestock manure contains various nitrogen compounds, including urea</w:t>
      </w:r>
      <w:r w:rsidR="00FA7071" w:rsidRPr="001B44E8">
        <w:rPr>
          <w:rFonts w:ascii="Arial" w:hAnsi="Arial" w:cs="Arial"/>
          <w:color w:val="000000" w:themeColor="text1"/>
          <w:sz w:val="20"/>
          <w:szCs w:val="20"/>
        </w:rPr>
        <w:t>. A</w:t>
      </w:r>
      <w:r w:rsidRPr="001B44E8">
        <w:rPr>
          <w:rFonts w:ascii="Arial" w:hAnsi="Arial" w:cs="Arial"/>
          <w:color w:val="000000" w:themeColor="text1"/>
          <w:sz w:val="20"/>
          <w:szCs w:val="20"/>
        </w:rPr>
        <w:t>mmonia accumulates within the manure due to the enzymatic activity of urease and deaminase present in the microflora</w:t>
      </w:r>
      <w:r w:rsidR="007404C5" w:rsidRPr="001B44E8">
        <w:rPr>
          <w:rFonts w:ascii="Arial" w:hAnsi="Arial" w:cs="Arial"/>
          <w:color w:val="000000" w:themeColor="text1"/>
          <w:sz w:val="20"/>
          <w:szCs w:val="20"/>
        </w:rPr>
        <w:t xml:space="preserve"> [</w:t>
      </w:r>
      <w:proofErr w:type="spellStart"/>
      <w:r w:rsidR="007404C5" w:rsidRPr="001B44E8">
        <w:rPr>
          <w:rFonts w:ascii="Arial" w:hAnsi="Arial" w:cs="Arial"/>
          <w:color w:val="000000" w:themeColor="text1"/>
          <w:sz w:val="20"/>
          <w:szCs w:val="20"/>
        </w:rPr>
        <w:t>Neemisha</w:t>
      </w:r>
      <w:proofErr w:type="spellEnd"/>
      <w:r w:rsidR="007404C5" w:rsidRPr="001B44E8">
        <w:rPr>
          <w:rFonts w:ascii="Arial" w:hAnsi="Arial" w:cs="Arial"/>
          <w:color w:val="000000" w:themeColor="text1"/>
          <w:sz w:val="20"/>
          <w:szCs w:val="20"/>
        </w:rPr>
        <w:t xml:space="preserve"> and Sharma, 2022]</w:t>
      </w:r>
      <w:r w:rsidRPr="001B44E8">
        <w:rPr>
          <w:rFonts w:ascii="Arial" w:hAnsi="Arial" w:cs="Arial"/>
          <w:color w:val="000000" w:themeColor="text1"/>
          <w:sz w:val="20"/>
          <w:szCs w:val="20"/>
        </w:rPr>
        <w:t xml:space="preserve">. This accumulated ammonia dissolves in water, raising the pH of the manure as hydroxide ions are released. The resulting </w:t>
      </w:r>
      <w:r w:rsidR="00C01D8E" w:rsidRPr="001B44E8">
        <w:rPr>
          <w:rFonts w:ascii="Arial" w:hAnsi="Arial" w:cs="Arial"/>
          <w:color w:val="000000" w:themeColor="text1"/>
          <w:sz w:val="20"/>
          <w:szCs w:val="20"/>
        </w:rPr>
        <w:t xml:space="preserve">increase in </w:t>
      </w:r>
      <w:r w:rsidRPr="001B44E8">
        <w:rPr>
          <w:rFonts w:ascii="Arial" w:hAnsi="Arial" w:cs="Arial"/>
          <w:color w:val="000000" w:themeColor="text1"/>
          <w:sz w:val="20"/>
          <w:szCs w:val="20"/>
        </w:rPr>
        <w:t>pH leads to an exponential rise in the conversion of ammonia into its gaseous form, thereby intensifying emissions</w:t>
      </w:r>
      <w:r w:rsidR="00D051EA" w:rsidRPr="001B44E8">
        <w:rPr>
          <w:rFonts w:ascii="Arial" w:hAnsi="Arial" w:cs="Arial"/>
          <w:color w:val="000000" w:themeColor="text1"/>
          <w:sz w:val="20"/>
          <w:szCs w:val="20"/>
        </w:rPr>
        <w:t xml:space="preserve"> [Jetten, 2001]</w:t>
      </w:r>
      <w:r w:rsidRPr="001B44E8">
        <w:rPr>
          <w:rFonts w:ascii="Arial" w:hAnsi="Arial" w:cs="Arial"/>
          <w:color w:val="000000" w:themeColor="text1"/>
          <w:sz w:val="20"/>
          <w:szCs w:val="20"/>
        </w:rPr>
        <w:t>.</w:t>
      </w:r>
      <w:r w:rsidR="0048124E" w:rsidRPr="001B44E8">
        <w:rPr>
          <w:rFonts w:ascii="Arial" w:hAnsi="Arial" w:cs="Arial"/>
          <w:color w:val="000000" w:themeColor="text1"/>
          <w:sz w:val="20"/>
          <w:szCs w:val="20"/>
        </w:rPr>
        <w:t xml:space="preserve"> </w:t>
      </w:r>
      <w:r w:rsidR="0001066B" w:rsidRPr="001B44E8">
        <w:rPr>
          <w:rFonts w:ascii="Arial" w:hAnsi="Arial" w:cs="Arial"/>
          <w:color w:val="000000" w:themeColor="text1"/>
          <w:sz w:val="20"/>
          <w:szCs w:val="20"/>
        </w:rPr>
        <w:t>Camels thrive in harsh, arid environments like deserts where water is scarce. To survive in these extreme conditions, they have evolved remarkable adaptations to minimize water loss</w:t>
      </w:r>
      <w:r w:rsidR="00A74332" w:rsidRPr="001B44E8">
        <w:rPr>
          <w:rFonts w:ascii="Arial" w:hAnsi="Arial" w:cs="Arial"/>
          <w:color w:val="000000" w:themeColor="text1"/>
          <w:sz w:val="20"/>
          <w:szCs w:val="20"/>
        </w:rPr>
        <w:t xml:space="preserve"> [Fesseha and Desta, 2020]</w:t>
      </w:r>
      <w:r w:rsidR="0001066B" w:rsidRPr="001B44E8">
        <w:rPr>
          <w:rFonts w:ascii="Arial" w:hAnsi="Arial" w:cs="Arial"/>
          <w:color w:val="000000" w:themeColor="text1"/>
          <w:sz w:val="20"/>
          <w:szCs w:val="20"/>
        </w:rPr>
        <w:t>. One such adaptation is their ability to produce highly concentrated (hypertonic) urine. This means their urine contains a higher concentration of solutes, such as salts and urea, compared to the body fluids, effectively conserving water and ensuring their survival in water-limited environments</w:t>
      </w:r>
      <w:r w:rsidR="00146E43" w:rsidRPr="001B44E8">
        <w:rPr>
          <w:rFonts w:ascii="Arial" w:hAnsi="Arial" w:cs="Arial"/>
          <w:color w:val="000000" w:themeColor="text1"/>
          <w:sz w:val="20"/>
          <w:szCs w:val="20"/>
        </w:rPr>
        <w:t xml:space="preserve"> [Ishaya et al, 2021]</w:t>
      </w:r>
      <w:r w:rsidR="0001066B" w:rsidRPr="001B44E8">
        <w:rPr>
          <w:rFonts w:ascii="Arial" w:hAnsi="Arial" w:cs="Arial"/>
          <w:color w:val="000000" w:themeColor="text1"/>
          <w:sz w:val="20"/>
          <w:szCs w:val="20"/>
        </w:rPr>
        <w:t>.</w:t>
      </w:r>
    </w:p>
    <w:p w14:paraId="7AB423AC" w14:textId="5BE36384" w:rsidR="00984E50" w:rsidRPr="001B44E8" w:rsidRDefault="00012811"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Research has revealed significant diversity among ammonia-oxidizing bacteria, which play a critical role in the nitrification process by catalysing the oxidation of ammonia to nitrite</w:t>
      </w:r>
      <w:r w:rsidR="00B1310C" w:rsidRPr="001B44E8">
        <w:rPr>
          <w:rFonts w:ascii="Arial" w:hAnsi="Arial" w:cs="Arial"/>
          <w:color w:val="000000" w:themeColor="text1"/>
          <w:sz w:val="20"/>
          <w:szCs w:val="20"/>
        </w:rPr>
        <w:t xml:space="preserve"> [Lin et al, 2021]</w:t>
      </w:r>
      <w:r w:rsidRPr="001B44E8">
        <w:rPr>
          <w:rFonts w:ascii="Arial" w:hAnsi="Arial" w:cs="Arial"/>
          <w:color w:val="000000" w:themeColor="text1"/>
          <w:sz w:val="20"/>
          <w:szCs w:val="20"/>
        </w:rPr>
        <w:t xml:space="preserve">. Most </w:t>
      </w:r>
      <w:r w:rsidR="000A355E" w:rsidRPr="001B44E8">
        <w:rPr>
          <w:rFonts w:ascii="Arial" w:hAnsi="Arial" w:cs="Arial"/>
          <w:color w:val="000000" w:themeColor="text1"/>
          <w:sz w:val="20"/>
          <w:szCs w:val="20"/>
        </w:rPr>
        <w:t xml:space="preserve">of these bacteria </w:t>
      </w:r>
      <w:r w:rsidRPr="001B44E8">
        <w:rPr>
          <w:rFonts w:ascii="Arial" w:hAnsi="Arial" w:cs="Arial"/>
          <w:color w:val="000000" w:themeColor="text1"/>
          <w:sz w:val="20"/>
          <w:szCs w:val="20"/>
        </w:rPr>
        <w:t xml:space="preserve">belong to the </w:t>
      </w:r>
      <w:r w:rsidRPr="001B44E8">
        <w:rPr>
          <w:rFonts w:ascii="Arial" w:hAnsi="Arial" w:cs="Arial"/>
          <w:i/>
          <w:iCs/>
          <w:color w:val="000000" w:themeColor="text1"/>
          <w:sz w:val="20"/>
          <w:szCs w:val="20"/>
        </w:rPr>
        <w:t>Proteobacteria</w:t>
      </w:r>
      <w:r w:rsidRPr="001B44E8">
        <w:rPr>
          <w:rFonts w:ascii="Arial" w:hAnsi="Arial" w:cs="Arial"/>
          <w:color w:val="000000" w:themeColor="text1"/>
          <w:sz w:val="20"/>
          <w:szCs w:val="20"/>
        </w:rPr>
        <w:t xml:space="preserve"> class, except for the marine genus </w:t>
      </w:r>
      <w:proofErr w:type="spellStart"/>
      <w:r w:rsidRPr="001B44E8">
        <w:rPr>
          <w:rFonts w:ascii="Arial" w:hAnsi="Arial" w:cs="Arial"/>
          <w:i/>
          <w:iCs/>
          <w:color w:val="000000" w:themeColor="text1"/>
          <w:sz w:val="20"/>
          <w:szCs w:val="20"/>
        </w:rPr>
        <w:t>Nitrosococcus</w:t>
      </w:r>
      <w:proofErr w:type="spellEnd"/>
      <w:r w:rsidRPr="001B44E8">
        <w:rPr>
          <w:rFonts w:ascii="Arial" w:hAnsi="Arial" w:cs="Arial"/>
          <w:color w:val="000000" w:themeColor="text1"/>
          <w:sz w:val="20"/>
          <w:szCs w:val="20"/>
        </w:rPr>
        <w:t xml:space="preserve">, which </w:t>
      </w:r>
      <w:r w:rsidRPr="001B44E8">
        <w:rPr>
          <w:rFonts w:ascii="Arial" w:hAnsi="Arial" w:cs="Arial"/>
          <w:color w:val="000000" w:themeColor="text1"/>
          <w:sz w:val="20"/>
          <w:szCs w:val="20"/>
        </w:rPr>
        <w:lastRenderedPageBreak/>
        <w:t xml:space="preserve">is part of a different subdivision. Historically, </w:t>
      </w:r>
      <w:r w:rsidRPr="001B44E8">
        <w:rPr>
          <w:rFonts w:ascii="Arial" w:hAnsi="Arial" w:cs="Arial"/>
          <w:i/>
          <w:iCs/>
          <w:color w:val="000000" w:themeColor="text1"/>
          <w:sz w:val="20"/>
          <w:szCs w:val="20"/>
        </w:rPr>
        <w:t>Nitrosomonas europaea</w:t>
      </w:r>
      <w:r w:rsidRPr="001B44E8">
        <w:rPr>
          <w:rFonts w:ascii="Arial" w:hAnsi="Arial" w:cs="Arial"/>
          <w:color w:val="000000" w:themeColor="text1"/>
          <w:sz w:val="20"/>
          <w:szCs w:val="20"/>
        </w:rPr>
        <w:t xml:space="preserve"> was considered the primary organism responsible for ammonia oxidation, as it was frequently isolated using traditional culturing methods. </w:t>
      </w:r>
      <w:r w:rsidR="0035060B" w:rsidRPr="001B44E8">
        <w:rPr>
          <w:rFonts w:ascii="Arial" w:hAnsi="Arial" w:cs="Arial"/>
          <w:color w:val="000000" w:themeColor="text1"/>
          <w:sz w:val="20"/>
          <w:szCs w:val="20"/>
        </w:rPr>
        <w:t>However, advances in cultivation-independent molecular techniques</w:t>
      </w:r>
      <w:r w:rsidR="0039257E" w:rsidRPr="001B44E8">
        <w:rPr>
          <w:rFonts w:ascii="Arial" w:hAnsi="Arial" w:cs="Arial"/>
          <w:color w:val="000000" w:themeColor="text1"/>
          <w:sz w:val="20"/>
          <w:szCs w:val="20"/>
        </w:rPr>
        <w:t xml:space="preserve"> </w:t>
      </w:r>
      <w:r w:rsidR="0035060B" w:rsidRPr="001B44E8">
        <w:rPr>
          <w:rFonts w:ascii="Arial" w:hAnsi="Arial" w:cs="Arial"/>
          <w:color w:val="000000" w:themeColor="text1"/>
          <w:sz w:val="20"/>
          <w:szCs w:val="20"/>
        </w:rPr>
        <w:t>have reduced biases associated with cultivation, enabling the identification of diverse ammonia-oxidizing bacteria across various environments, including soils, sand dunes, biofilms, lakes, wastewater, and seawater</w:t>
      </w:r>
      <w:r w:rsidR="00B1310C" w:rsidRPr="001B44E8">
        <w:rPr>
          <w:rFonts w:ascii="Arial" w:hAnsi="Arial" w:cs="Arial"/>
          <w:color w:val="000000" w:themeColor="text1"/>
          <w:sz w:val="20"/>
          <w:szCs w:val="20"/>
        </w:rPr>
        <w:t xml:space="preserve"> [Burrell et al, 2021]</w:t>
      </w:r>
      <w:r w:rsidR="0035060B" w:rsidRPr="001B44E8">
        <w:rPr>
          <w:rFonts w:ascii="Arial" w:hAnsi="Arial" w:cs="Arial"/>
          <w:color w:val="000000" w:themeColor="text1"/>
          <w:sz w:val="20"/>
          <w:szCs w:val="20"/>
        </w:rPr>
        <w:t xml:space="preserve">. While these molecular techniques are invaluable, they often lack detailed ecological insights unless supplemented with physiological and environmental data to understand the conditions favouring specific microbial species. Additionally, these techniques may not always identify target microorganisms. </w:t>
      </w:r>
    </w:p>
    <w:p w14:paraId="1C7901EB" w14:textId="7B37C1B7" w:rsidR="005B113F" w:rsidRPr="001B44E8" w:rsidRDefault="0035060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Therefore, t</w:t>
      </w:r>
      <w:r w:rsidR="00172324" w:rsidRPr="001B44E8">
        <w:rPr>
          <w:rFonts w:ascii="Arial" w:hAnsi="Arial" w:cs="Arial"/>
          <w:color w:val="000000" w:themeColor="text1"/>
          <w:sz w:val="20"/>
          <w:szCs w:val="20"/>
        </w:rPr>
        <w:t>his study aim</w:t>
      </w:r>
      <w:r w:rsidRPr="001B44E8">
        <w:rPr>
          <w:rFonts w:ascii="Arial" w:hAnsi="Arial" w:cs="Arial"/>
          <w:color w:val="000000" w:themeColor="text1"/>
          <w:sz w:val="20"/>
          <w:szCs w:val="20"/>
        </w:rPr>
        <w:t>ed</w:t>
      </w:r>
      <w:r w:rsidR="00172324" w:rsidRPr="001B44E8">
        <w:rPr>
          <w:rFonts w:ascii="Arial" w:hAnsi="Arial" w:cs="Arial"/>
          <w:color w:val="000000" w:themeColor="text1"/>
          <w:sz w:val="20"/>
          <w:szCs w:val="20"/>
        </w:rPr>
        <w:t xml:space="preserve"> to isolate and identify functional microorganisms capable of oxidising ammonia</w:t>
      </w:r>
      <w:r w:rsidR="007404C5" w:rsidRPr="001B44E8">
        <w:rPr>
          <w:rFonts w:ascii="Arial" w:hAnsi="Arial" w:cs="Arial"/>
          <w:color w:val="000000" w:themeColor="text1"/>
          <w:sz w:val="20"/>
          <w:szCs w:val="20"/>
        </w:rPr>
        <w:t xml:space="preserve"> [Kim et al, 2021]</w:t>
      </w:r>
      <w:r w:rsidR="00172324" w:rsidRPr="001B44E8">
        <w:rPr>
          <w:rFonts w:ascii="Arial" w:hAnsi="Arial" w:cs="Arial"/>
          <w:color w:val="000000" w:themeColor="text1"/>
          <w:sz w:val="20"/>
          <w:szCs w:val="20"/>
        </w:rPr>
        <w:t xml:space="preserve"> from the soil surrounding a camel </w:t>
      </w:r>
      <w:r w:rsidR="00706512" w:rsidRPr="001B44E8">
        <w:rPr>
          <w:rFonts w:ascii="Arial" w:hAnsi="Arial" w:cs="Arial"/>
          <w:color w:val="000000" w:themeColor="text1"/>
          <w:sz w:val="20"/>
          <w:szCs w:val="20"/>
        </w:rPr>
        <w:t>farm</w:t>
      </w:r>
      <w:r w:rsidR="0048124E" w:rsidRPr="001B44E8">
        <w:rPr>
          <w:rFonts w:ascii="Arial" w:hAnsi="Arial" w:cs="Arial"/>
          <w:color w:val="000000" w:themeColor="text1"/>
          <w:sz w:val="20"/>
          <w:szCs w:val="20"/>
        </w:rPr>
        <w:t>, where the concentration of urea is very high</w:t>
      </w:r>
      <w:r w:rsidR="00172324" w:rsidRPr="001B44E8">
        <w:rPr>
          <w:rFonts w:ascii="Arial" w:hAnsi="Arial" w:cs="Arial"/>
          <w:color w:val="000000" w:themeColor="text1"/>
          <w:sz w:val="20"/>
          <w:szCs w:val="20"/>
        </w:rPr>
        <w:t>.</w:t>
      </w:r>
    </w:p>
    <w:p w14:paraId="39058AFA" w14:textId="77777777" w:rsidR="00867715" w:rsidRPr="001B44E8" w:rsidRDefault="00867715" w:rsidP="001B44E8">
      <w:pPr>
        <w:spacing w:after="0" w:line="240" w:lineRule="auto"/>
        <w:rPr>
          <w:rFonts w:ascii="Arial" w:hAnsi="Arial" w:cs="Arial"/>
          <w:b/>
          <w:bCs/>
          <w:color w:val="000000" w:themeColor="text1"/>
          <w:sz w:val="20"/>
          <w:szCs w:val="20"/>
        </w:rPr>
      </w:pPr>
    </w:p>
    <w:p w14:paraId="0431FE97" w14:textId="77777777" w:rsidR="008132B9" w:rsidRPr="001B44E8" w:rsidRDefault="008132B9" w:rsidP="001B44E8">
      <w:pPr>
        <w:spacing w:after="0" w:line="240" w:lineRule="auto"/>
        <w:rPr>
          <w:rFonts w:ascii="Arial" w:hAnsi="Arial" w:cs="Arial"/>
          <w:b/>
          <w:bCs/>
          <w:color w:val="000000" w:themeColor="text1"/>
          <w:sz w:val="20"/>
          <w:szCs w:val="20"/>
        </w:rPr>
      </w:pPr>
    </w:p>
    <w:p w14:paraId="74AE85A2" w14:textId="52C4D2FC" w:rsidR="0081576F" w:rsidRPr="001B44E8" w:rsidRDefault="005A6BA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M</w:t>
      </w:r>
      <w:r w:rsidR="00B456E6" w:rsidRPr="001B44E8">
        <w:rPr>
          <w:rFonts w:ascii="Arial" w:hAnsi="Arial" w:cs="Arial"/>
          <w:b/>
          <w:bCs/>
          <w:color w:val="000000" w:themeColor="text1"/>
        </w:rPr>
        <w:t>ETHODOLOGY</w:t>
      </w:r>
    </w:p>
    <w:p w14:paraId="2EAA86D3" w14:textId="564D7F8C" w:rsidR="00576C2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 </w:t>
      </w:r>
      <w:r w:rsidR="00576C26" w:rsidRPr="001B44E8">
        <w:rPr>
          <w:rFonts w:ascii="Arial" w:hAnsi="Arial" w:cs="Arial"/>
          <w:b/>
          <w:bCs/>
          <w:color w:val="000000" w:themeColor="text1"/>
        </w:rPr>
        <w:t>Soil sample collection</w:t>
      </w:r>
    </w:p>
    <w:p w14:paraId="585B4C1B" w14:textId="4CC2F389" w:rsidR="00E94FBD" w:rsidRPr="001B44E8" w:rsidRDefault="00867715"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Soil sampling was performed in the vicinity of a camel farm situated at latitude 17.533369° and longitude 78.652693° in </w:t>
      </w:r>
      <w:proofErr w:type="spellStart"/>
      <w:r w:rsidRPr="001B44E8">
        <w:rPr>
          <w:rFonts w:ascii="Arial" w:hAnsi="Arial" w:cs="Arial"/>
          <w:color w:val="000000" w:themeColor="text1"/>
          <w:sz w:val="20"/>
          <w:szCs w:val="20"/>
        </w:rPr>
        <w:t>Secunderabad</w:t>
      </w:r>
      <w:proofErr w:type="spellEnd"/>
      <w:r w:rsidRPr="001B44E8">
        <w:rPr>
          <w:rFonts w:ascii="Arial" w:hAnsi="Arial" w:cs="Arial"/>
          <w:color w:val="000000" w:themeColor="text1"/>
          <w:sz w:val="20"/>
          <w:szCs w:val="20"/>
        </w:rPr>
        <w:t>. To achieve sample homogeneity, the sampling procedure was conducted in a zig-zag pattern. The collected samples were subsequently processed by sifting to eliminate extraneous materials, including stones, gravel, and roots. The soil was tested for ammonia content and pH</w:t>
      </w:r>
      <w:r w:rsidR="0021061D" w:rsidRPr="001B44E8">
        <w:rPr>
          <w:rFonts w:ascii="Arial" w:hAnsi="Arial" w:cs="Arial"/>
          <w:color w:val="000000" w:themeColor="text1"/>
          <w:sz w:val="20"/>
          <w:szCs w:val="20"/>
        </w:rPr>
        <w:t xml:space="preserve"> [Mason, 1992]</w:t>
      </w:r>
      <w:r w:rsidRPr="001B44E8">
        <w:rPr>
          <w:rFonts w:ascii="Arial" w:hAnsi="Arial" w:cs="Arial"/>
          <w:color w:val="000000" w:themeColor="text1"/>
          <w:sz w:val="20"/>
          <w:szCs w:val="20"/>
        </w:rPr>
        <w:t>.</w:t>
      </w:r>
    </w:p>
    <w:p w14:paraId="50E7C53E" w14:textId="77777777" w:rsidR="00E94FBD" w:rsidRPr="001B44E8" w:rsidRDefault="00E94FBD" w:rsidP="001B44E8">
      <w:pPr>
        <w:spacing w:after="0" w:line="240" w:lineRule="auto"/>
        <w:rPr>
          <w:rFonts w:ascii="Arial" w:hAnsi="Arial" w:cs="Arial"/>
          <w:color w:val="000000" w:themeColor="text1"/>
          <w:sz w:val="20"/>
          <w:szCs w:val="20"/>
        </w:rPr>
      </w:pPr>
    </w:p>
    <w:p w14:paraId="0080560D" w14:textId="11A18DA3" w:rsidR="005545F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Pr="001B44E8">
        <w:rPr>
          <w:rFonts w:ascii="Arial" w:hAnsi="Arial" w:cs="Arial"/>
          <w:b/>
          <w:bCs/>
          <w:color w:val="000000" w:themeColor="text1"/>
        </w:rPr>
        <w:t>Bacterial culturing</w:t>
      </w:r>
    </w:p>
    <w:p w14:paraId="60B0218C" w14:textId="05CA3291" w:rsidR="00576C26" w:rsidRPr="001B44E8" w:rsidRDefault="00450148"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Serial dilution</w:t>
      </w:r>
    </w:p>
    <w:p w14:paraId="10E36B6C" w14:textId="4DA2F462" w:rsidR="00576C26" w:rsidRPr="001B44E8" w:rsidRDefault="00576C2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1g of soil sample was mixed with 9ml of distilled water. To perform a serial dilution, a series of dilution blanks was prepared, each containing 9ml of distilled water. The process begun by transferring 1ml of well-mixed, highly concentrated solution into the first dilution blank (Tube 1), which h</w:t>
      </w:r>
      <w:r w:rsidR="00450148" w:rsidRPr="001B44E8">
        <w:rPr>
          <w:rFonts w:ascii="Arial" w:hAnsi="Arial" w:cs="Arial"/>
          <w:color w:val="000000" w:themeColor="text1"/>
          <w:sz w:val="20"/>
          <w:szCs w:val="20"/>
        </w:rPr>
        <w:t>eld 9ml of distilled water</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-1</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The resulting mixture in Tube 1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s then used as the source solution to prepare the next dilution in Tube 2</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-2</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This step-by-step process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 xml:space="preserve">s repeated </w:t>
      </w:r>
      <w:r w:rsidR="00EB5FB5" w:rsidRPr="001B44E8">
        <w:rPr>
          <w:rFonts w:ascii="Arial" w:hAnsi="Arial" w:cs="Arial"/>
          <w:color w:val="000000" w:themeColor="text1"/>
          <w:sz w:val="20"/>
          <w:szCs w:val="20"/>
        </w:rPr>
        <w:t xml:space="preserve">until </w:t>
      </w:r>
      <w:r w:rsidR="001C1229" w:rsidRPr="001B44E8">
        <w:rPr>
          <w:rFonts w:ascii="Arial" w:hAnsi="Arial" w:cs="Arial"/>
          <w:color w:val="000000" w:themeColor="text1"/>
          <w:sz w:val="20"/>
          <w:szCs w:val="20"/>
        </w:rPr>
        <w:t>9</w:t>
      </w:r>
      <w:r w:rsidR="00EB5FB5" w:rsidRPr="001B44E8">
        <w:rPr>
          <w:rFonts w:ascii="Arial" w:hAnsi="Arial" w:cs="Arial"/>
          <w:color w:val="000000" w:themeColor="text1"/>
          <w:sz w:val="20"/>
          <w:szCs w:val="20"/>
        </w:rPr>
        <w:t xml:space="preserve"> tubes </w:t>
      </w:r>
      <w:r w:rsidR="00706512" w:rsidRPr="001B44E8">
        <w:rPr>
          <w:rFonts w:ascii="Arial" w:hAnsi="Arial" w:cs="Arial"/>
          <w:color w:val="000000" w:themeColor="text1"/>
          <w:sz w:val="20"/>
          <w:szCs w:val="20"/>
        </w:rPr>
        <w:t>(</w:t>
      </w:r>
      <w:proofErr w:type="spellStart"/>
      <w:r w:rsidR="00706512" w:rsidRPr="001B44E8">
        <w:rPr>
          <w:rFonts w:ascii="Arial" w:hAnsi="Arial" w:cs="Arial"/>
          <w:color w:val="000000" w:themeColor="text1"/>
          <w:sz w:val="20"/>
          <w:szCs w:val="20"/>
        </w:rPr>
        <w:t>upto</w:t>
      </w:r>
      <w:proofErr w:type="spellEnd"/>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-9</w:t>
      </w:r>
      <w:r w:rsidR="00706512" w:rsidRPr="001B44E8">
        <w:rPr>
          <w:rFonts w:ascii="Arial" w:hAnsi="Arial" w:cs="Arial"/>
          <w:color w:val="000000" w:themeColor="text1"/>
          <w:sz w:val="20"/>
          <w:szCs w:val="20"/>
        </w:rPr>
        <w:t xml:space="preserve">) </w:t>
      </w:r>
      <w:r w:rsidR="00EB5FB5" w:rsidRPr="001B44E8">
        <w:rPr>
          <w:rFonts w:ascii="Arial" w:hAnsi="Arial" w:cs="Arial"/>
          <w:color w:val="000000" w:themeColor="text1"/>
          <w:sz w:val="20"/>
          <w:szCs w:val="20"/>
        </w:rPr>
        <w:t>of</w:t>
      </w:r>
      <w:r w:rsidRPr="001B44E8">
        <w:rPr>
          <w:rFonts w:ascii="Arial" w:hAnsi="Arial" w:cs="Arial"/>
          <w:color w:val="000000" w:themeColor="text1"/>
          <w:sz w:val="20"/>
          <w:szCs w:val="20"/>
        </w:rPr>
        <w:t xml:space="preserve"> progressively diluted solutions </w:t>
      </w:r>
      <w:r w:rsidR="00450148" w:rsidRPr="001B44E8">
        <w:rPr>
          <w:rFonts w:ascii="Arial" w:hAnsi="Arial" w:cs="Arial"/>
          <w:color w:val="000000" w:themeColor="text1"/>
          <w:sz w:val="20"/>
          <w:szCs w:val="20"/>
        </w:rPr>
        <w:t>w</w:t>
      </w:r>
      <w:r w:rsidR="00EB5FB5"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created</w:t>
      </w:r>
      <w:r w:rsidR="00A37012" w:rsidRPr="001B44E8">
        <w:rPr>
          <w:rFonts w:ascii="Arial" w:hAnsi="Arial" w:cs="Arial"/>
          <w:color w:val="000000" w:themeColor="text1"/>
          <w:sz w:val="20"/>
          <w:szCs w:val="20"/>
        </w:rPr>
        <w:t xml:space="preserve"> [Aneja </w:t>
      </w:r>
      <w:r w:rsidR="00A37012" w:rsidRPr="001B44E8">
        <w:rPr>
          <w:rFonts w:ascii="Arial" w:hAnsi="Arial" w:cs="Arial"/>
          <w:i/>
          <w:color w:val="000000" w:themeColor="text1"/>
          <w:sz w:val="20"/>
          <w:szCs w:val="20"/>
        </w:rPr>
        <w:t>et al</w:t>
      </w:r>
      <w:r w:rsidR="00A37012" w:rsidRPr="001B44E8">
        <w:rPr>
          <w:rFonts w:ascii="Arial" w:hAnsi="Arial" w:cs="Arial"/>
          <w:color w:val="000000" w:themeColor="text1"/>
          <w:sz w:val="20"/>
          <w:szCs w:val="20"/>
        </w:rPr>
        <w:t>, 2014]</w:t>
      </w:r>
      <w:r w:rsidRPr="001B44E8">
        <w:rPr>
          <w:rFonts w:ascii="Arial" w:hAnsi="Arial" w:cs="Arial"/>
          <w:color w:val="000000" w:themeColor="text1"/>
          <w:sz w:val="20"/>
          <w:szCs w:val="20"/>
        </w:rPr>
        <w:t>.</w:t>
      </w:r>
    </w:p>
    <w:p w14:paraId="34C7DC55" w14:textId="77777777" w:rsidR="00E94FBD" w:rsidRPr="001B44E8" w:rsidRDefault="00E94FBD" w:rsidP="001B44E8">
      <w:pPr>
        <w:spacing w:after="0" w:line="240" w:lineRule="auto"/>
        <w:rPr>
          <w:rFonts w:ascii="Arial" w:hAnsi="Arial" w:cs="Arial"/>
          <w:color w:val="000000" w:themeColor="text1"/>
          <w:sz w:val="20"/>
          <w:szCs w:val="20"/>
        </w:rPr>
      </w:pPr>
    </w:p>
    <w:p w14:paraId="54A0C406" w14:textId="596251C6" w:rsidR="00AD00ED" w:rsidRPr="001B44E8" w:rsidRDefault="00AD00E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Agar </w:t>
      </w:r>
      <w:r w:rsidR="001251F6" w:rsidRPr="001B44E8">
        <w:rPr>
          <w:rFonts w:ascii="Arial" w:hAnsi="Arial" w:cs="Arial"/>
          <w:b/>
          <w:bCs/>
          <w:color w:val="000000" w:themeColor="text1"/>
        </w:rPr>
        <w:t>M</w:t>
      </w:r>
      <w:r w:rsidR="00CA20FD" w:rsidRPr="001B44E8">
        <w:rPr>
          <w:rFonts w:ascii="Arial" w:hAnsi="Arial" w:cs="Arial"/>
          <w:b/>
          <w:bCs/>
          <w:color w:val="000000" w:themeColor="text1"/>
        </w:rPr>
        <w:t>edia</w:t>
      </w:r>
      <w:r w:rsidRPr="001B44E8">
        <w:rPr>
          <w:rFonts w:ascii="Arial" w:hAnsi="Arial" w:cs="Arial"/>
          <w:b/>
          <w:bCs/>
          <w:color w:val="000000" w:themeColor="text1"/>
        </w:rPr>
        <w:t xml:space="preserve"> for Cultivation</w:t>
      </w:r>
    </w:p>
    <w:p w14:paraId="4AA38B2F" w14:textId="69C5642B" w:rsidR="00CD39B9" w:rsidRPr="001B44E8" w:rsidRDefault="00CD39B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To prepare the</w:t>
      </w:r>
      <w:r w:rsidR="001251F6" w:rsidRPr="001B44E8">
        <w:rPr>
          <w:rFonts w:ascii="Arial" w:hAnsi="Arial" w:cs="Arial"/>
          <w:color w:val="000000" w:themeColor="text1"/>
          <w:sz w:val="20"/>
          <w:szCs w:val="20"/>
        </w:rPr>
        <w:t xml:space="preserve"> agar</w:t>
      </w:r>
      <w:r w:rsidRPr="001B44E8">
        <w:rPr>
          <w:rFonts w:ascii="Arial" w:hAnsi="Arial" w:cs="Arial"/>
          <w:color w:val="000000" w:themeColor="text1"/>
          <w:sz w:val="20"/>
          <w:szCs w:val="20"/>
        </w:rPr>
        <w:t xml:space="preserve"> media, the following components were combined in a 1000 mL volumetric flask under aseptic conditions. 1 M ammonium chloride (</w:t>
      </w:r>
      <w:proofErr w:type="spellStart"/>
      <w:r w:rsidRPr="001B44E8">
        <w:rPr>
          <w:rFonts w:ascii="Arial" w:hAnsi="Arial" w:cs="Arial"/>
          <w:color w:val="000000" w:themeColor="text1"/>
          <w:sz w:val="20"/>
          <w:szCs w:val="20"/>
        </w:rPr>
        <w:t>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Cl</w:t>
      </w:r>
      <w:proofErr w:type="spellEnd"/>
      <w:r w:rsidRPr="001B44E8">
        <w:rPr>
          <w:rFonts w:ascii="Arial" w:hAnsi="Arial" w:cs="Arial"/>
          <w:color w:val="000000" w:themeColor="text1"/>
          <w:sz w:val="20"/>
          <w:szCs w:val="20"/>
        </w:rPr>
        <w:t>), 1 M potassium dihydrogen phosphate (KH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PO</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 1 M potassium chloride (</w:t>
      </w:r>
      <w:proofErr w:type="spellStart"/>
      <w:r w:rsidRPr="001B44E8">
        <w:rPr>
          <w:rFonts w:ascii="Arial" w:hAnsi="Arial" w:cs="Arial"/>
          <w:color w:val="000000" w:themeColor="text1"/>
          <w:sz w:val="20"/>
          <w:szCs w:val="20"/>
        </w:rPr>
        <w:t>KCl</w:t>
      </w:r>
      <w:proofErr w:type="spellEnd"/>
      <w:r w:rsidRPr="001B44E8">
        <w:rPr>
          <w:rFonts w:ascii="Arial" w:hAnsi="Arial" w:cs="Arial"/>
          <w:color w:val="000000" w:themeColor="text1"/>
          <w:sz w:val="20"/>
          <w:szCs w:val="20"/>
        </w:rPr>
        <w:t xml:space="preserve">), and 200 mM magnesium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MgSO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were added in the specified concentrations. Then, 1 M calcium chloride dihydrate (</w:t>
      </w:r>
      <w:proofErr w:type="spellStart"/>
      <w:r w:rsidRPr="001B44E8">
        <w:rPr>
          <w:rFonts w:ascii="Arial" w:hAnsi="Arial" w:cs="Arial"/>
          <w:color w:val="000000" w:themeColor="text1"/>
          <w:sz w:val="20"/>
          <w:szCs w:val="20"/>
        </w:rPr>
        <w:t>CaCl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·2H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and 10 M sodium chloride (NaCl) were included. 2.5 µM cresol red was introduced as a pH indicator, and 1 mL of trace element solution was supplemented to enhance the media's micronutrient profile. Finally,</w:t>
      </w:r>
      <w:r w:rsidR="001251F6" w:rsidRPr="001B44E8">
        <w:rPr>
          <w:rFonts w:ascii="Arial" w:hAnsi="Arial" w:cs="Arial"/>
          <w:color w:val="000000" w:themeColor="text1"/>
          <w:sz w:val="20"/>
          <w:szCs w:val="20"/>
        </w:rPr>
        <w:t xml:space="preserve"> 2% agar was added and</w:t>
      </w:r>
      <w:r w:rsidRPr="001B44E8">
        <w:rPr>
          <w:rFonts w:ascii="Arial" w:hAnsi="Arial" w:cs="Arial"/>
          <w:color w:val="000000" w:themeColor="text1"/>
          <w:sz w:val="20"/>
          <w:szCs w:val="20"/>
        </w:rPr>
        <w:t xml:space="preserve"> the total volume was adjusted to 1000 mL with distilled water, ensuring thorough mixing. The solution was sterilized via autoclaving after filtration.</w:t>
      </w:r>
    </w:p>
    <w:p w14:paraId="1CB2FE1F" w14:textId="536EB073" w:rsidR="00BF2266" w:rsidRPr="001B44E8" w:rsidRDefault="00660A0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To prepare the </w:t>
      </w:r>
      <w:r w:rsidR="00DC646B" w:rsidRPr="001B44E8">
        <w:rPr>
          <w:rFonts w:ascii="Arial" w:hAnsi="Arial" w:cs="Arial"/>
          <w:color w:val="000000" w:themeColor="text1"/>
          <w:sz w:val="20"/>
          <w:szCs w:val="20"/>
        </w:rPr>
        <w:t>trace element solution</w:t>
      </w:r>
      <w:r w:rsidR="001251F6" w:rsidRPr="001B44E8">
        <w:rPr>
          <w:rFonts w:ascii="Arial" w:hAnsi="Arial" w:cs="Arial"/>
          <w:color w:val="000000" w:themeColor="text1"/>
          <w:sz w:val="20"/>
          <w:szCs w:val="20"/>
        </w:rPr>
        <w:t xml:space="preserve"> used in the above media</w:t>
      </w:r>
      <w:r w:rsidRPr="001B44E8">
        <w:rPr>
          <w:rFonts w:ascii="Arial" w:hAnsi="Arial" w:cs="Arial"/>
          <w:color w:val="000000" w:themeColor="text1"/>
          <w:sz w:val="20"/>
          <w:szCs w:val="20"/>
        </w:rPr>
        <w:t xml:space="preserve">, 975 mL of distilled water was measured and poured into a clean container. Then, 25 mL of 1 M hydrochloric acid (HCl) was added to adjust the pH and enhance the solubility of the salts. The following components were sequentially introduced at their specified concentrations: 200 µM manganese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tetrahydrate (</w:t>
      </w:r>
      <w:proofErr w:type="spellStart"/>
      <w:r w:rsidRPr="001B44E8">
        <w:rPr>
          <w:rFonts w:ascii="Arial" w:hAnsi="Arial" w:cs="Arial"/>
          <w:color w:val="000000" w:themeColor="text1"/>
          <w:sz w:val="20"/>
          <w:szCs w:val="20"/>
        </w:rPr>
        <w:t>MnSO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800 µM boric acid (H</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BO</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 150 µ</w:t>
      </w:r>
      <w:proofErr w:type="gramStart"/>
      <w:r w:rsidRPr="001B44E8">
        <w:rPr>
          <w:rFonts w:ascii="Arial" w:hAnsi="Arial" w:cs="Arial"/>
          <w:color w:val="000000" w:themeColor="text1"/>
          <w:sz w:val="20"/>
          <w:szCs w:val="20"/>
        </w:rPr>
        <w:t>M  zinc</w:t>
      </w:r>
      <w:proofErr w:type="gramEnd"/>
      <w:r w:rsidRPr="001B44E8">
        <w:rPr>
          <w:rFonts w:ascii="Arial" w:hAnsi="Arial" w:cs="Arial"/>
          <w:color w:val="000000" w:themeColor="text1"/>
          <w:sz w:val="20"/>
          <w:szCs w:val="20"/>
        </w:rPr>
        <w:t xml:space="preserve">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ZnSO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30 µM ammonium molybdate tetrahydrate [(NH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w:t>
      </w:r>
      <w:r w:rsidRPr="001B44E8">
        <w:rPr>
          <w:rFonts w:ascii="Cambria Math" w:hAnsi="Cambria Math" w:cs="Cambria Math"/>
          <w:color w:val="000000" w:themeColor="text1"/>
          <w:sz w:val="20"/>
          <w:szCs w:val="20"/>
        </w:rPr>
        <w:t>₆</w:t>
      </w:r>
      <w:proofErr w:type="spellStart"/>
      <w:r w:rsidRPr="001B44E8">
        <w:rPr>
          <w:rFonts w:ascii="Arial" w:hAnsi="Arial" w:cs="Arial"/>
          <w:color w:val="000000" w:themeColor="text1"/>
          <w:sz w:val="20"/>
          <w:szCs w:val="20"/>
        </w:rPr>
        <w:t>Mo</w:t>
      </w:r>
      <w:r w:rsidRPr="001B44E8">
        <w:rPr>
          <w:rFonts w:ascii="Cambria Math" w:hAnsi="Cambria Math" w:cs="Cambria Math"/>
          <w:color w:val="000000" w:themeColor="text1"/>
          <w:sz w:val="20"/>
          <w:szCs w:val="20"/>
        </w:rPr>
        <w:t>₇</w:t>
      </w:r>
      <w:r w:rsidRPr="001B44E8">
        <w:rPr>
          <w:rFonts w:ascii="Arial" w:hAnsi="Arial" w:cs="Arial"/>
          <w:color w:val="000000" w:themeColor="text1"/>
          <w:sz w:val="20"/>
          <w:szCs w:val="20"/>
        </w:rPr>
        <w:t>O</w:t>
      </w:r>
      <w:proofErr w:type="spellEnd"/>
      <w:r w:rsidRPr="001B44E8">
        <w:rPr>
          <w:rFonts w:ascii="Cambria Math" w:hAnsi="Cambria Math" w:cs="Cambria Math"/>
          <w:color w:val="000000" w:themeColor="text1"/>
          <w:sz w:val="20"/>
          <w:szCs w:val="20"/>
        </w:rPr>
        <w:t>₂₄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3.5 µM ferrous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FeSO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and 100 µM copper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pentahydrate (</w:t>
      </w:r>
      <w:proofErr w:type="spellStart"/>
      <w:r w:rsidRPr="001B44E8">
        <w:rPr>
          <w:rFonts w:ascii="Arial" w:hAnsi="Arial" w:cs="Arial"/>
          <w:color w:val="000000" w:themeColor="text1"/>
          <w:sz w:val="20"/>
          <w:szCs w:val="20"/>
        </w:rPr>
        <w:t>CuSO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·5H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Each component was dissolved thoroughly before the addition of the next to ensure complete mixing</w:t>
      </w:r>
      <w:r w:rsidR="005F1074" w:rsidRPr="001B44E8">
        <w:rPr>
          <w:rFonts w:ascii="Arial" w:hAnsi="Arial" w:cs="Arial"/>
          <w:color w:val="000000" w:themeColor="text1"/>
          <w:sz w:val="20"/>
          <w:szCs w:val="20"/>
        </w:rPr>
        <w:t xml:space="preserve"> [Ajayan, 2023]</w:t>
      </w:r>
      <w:r w:rsidRPr="001B44E8">
        <w:rPr>
          <w:rFonts w:ascii="Arial" w:hAnsi="Arial" w:cs="Arial"/>
          <w:color w:val="000000" w:themeColor="text1"/>
          <w:sz w:val="20"/>
          <w:szCs w:val="20"/>
        </w:rPr>
        <w:t>.</w:t>
      </w:r>
    </w:p>
    <w:p w14:paraId="62BF4A54" w14:textId="77777777" w:rsidR="00E94FBD" w:rsidRPr="001B44E8" w:rsidRDefault="00E94FBD" w:rsidP="001B44E8">
      <w:pPr>
        <w:spacing w:after="0" w:line="240" w:lineRule="auto"/>
        <w:rPr>
          <w:rFonts w:ascii="Arial" w:hAnsi="Arial" w:cs="Arial"/>
          <w:color w:val="000000" w:themeColor="text1"/>
          <w:sz w:val="20"/>
          <w:szCs w:val="20"/>
        </w:rPr>
      </w:pPr>
    </w:p>
    <w:p w14:paraId="14B4044A" w14:textId="55EB4C77" w:rsidR="00450148" w:rsidRPr="001B44E8" w:rsidRDefault="007E0B13"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Culturing </w:t>
      </w:r>
      <w:r w:rsidR="00450148" w:rsidRPr="001B44E8">
        <w:rPr>
          <w:rFonts w:ascii="Arial" w:hAnsi="Arial" w:cs="Arial"/>
          <w:b/>
          <w:bCs/>
          <w:color w:val="000000" w:themeColor="text1"/>
        </w:rPr>
        <w:t>Bacteria</w:t>
      </w:r>
    </w:p>
    <w:p w14:paraId="31BA9757" w14:textId="3E974A92" w:rsidR="007E0B13" w:rsidRPr="001B44E8" w:rsidRDefault="007E0B1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spread plate method was used for isolating and counting bacterial colonies. </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terile agar plate</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 xml:space="preserve"> w</w:t>
      </w:r>
      <w:r w:rsidR="001251F6"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prepared and allowed to solidify. 0.2 ml volume of </w:t>
      </w:r>
      <w:r w:rsidR="001251F6" w:rsidRPr="001B44E8">
        <w:rPr>
          <w:rFonts w:ascii="Arial" w:hAnsi="Arial" w:cs="Arial"/>
          <w:color w:val="000000" w:themeColor="text1"/>
          <w:sz w:val="20"/>
          <w:szCs w:val="20"/>
        </w:rPr>
        <w:t>10</w:t>
      </w:r>
      <w:r w:rsidR="001251F6" w:rsidRPr="001B44E8">
        <w:rPr>
          <w:rFonts w:ascii="Arial" w:hAnsi="Arial" w:cs="Arial"/>
          <w:color w:val="000000" w:themeColor="text1"/>
          <w:sz w:val="20"/>
          <w:szCs w:val="20"/>
          <w:vertAlign w:val="superscript"/>
        </w:rPr>
        <w:t>-9</w:t>
      </w:r>
      <w:r w:rsidR="00EB5FB5"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diluted soil sample was pipetted onto the centre of </w:t>
      </w:r>
      <w:r w:rsidR="001251F6" w:rsidRPr="001B44E8">
        <w:rPr>
          <w:rFonts w:ascii="Arial" w:hAnsi="Arial" w:cs="Arial"/>
          <w:color w:val="000000" w:themeColor="text1"/>
          <w:sz w:val="20"/>
          <w:szCs w:val="20"/>
        </w:rPr>
        <w:t>each</w:t>
      </w:r>
      <w:r w:rsidRPr="001B44E8">
        <w:rPr>
          <w:rFonts w:ascii="Arial" w:hAnsi="Arial" w:cs="Arial"/>
          <w:color w:val="000000" w:themeColor="text1"/>
          <w:sz w:val="20"/>
          <w:szCs w:val="20"/>
        </w:rPr>
        <w:t xml:space="preserve"> agar surface. The sample was then evenly distributed across the plate using a sterile L-shaped spreader. The spreader was sterilized before use by dipping it in alcohol and briefly flaming it. The plate was rotated gently while spreading to ensure uniform distribution of the sample across the surface. Once the sample was evenly spread, the plate was incubated at 37 </w:t>
      </w:r>
      <w:r w:rsidRPr="001B44E8">
        <w:rPr>
          <w:rFonts w:ascii="Cambria Math" w:hAnsi="Cambria Math" w:cs="Cambria Math"/>
          <w:color w:val="000000" w:themeColor="text1"/>
          <w:sz w:val="20"/>
          <w:szCs w:val="20"/>
        </w:rPr>
        <w:t>℃</w:t>
      </w:r>
      <w:r w:rsidRPr="001B44E8">
        <w:rPr>
          <w:rFonts w:ascii="Arial" w:hAnsi="Arial" w:cs="Arial"/>
          <w:color w:val="000000" w:themeColor="text1"/>
          <w:sz w:val="20"/>
          <w:szCs w:val="20"/>
        </w:rPr>
        <w:t xml:space="preserve"> for 24 hours</w:t>
      </w:r>
      <w:r w:rsidR="00A37012" w:rsidRPr="001B44E8">
        <w:rPr>
          <w:rFonts w:ascii="Arial" w:hAnsi="Arial" w:cs="Arial"/>
          <w:color w:val="000000" w:themeColor="text1"/>
          <w:sz w:val="20"/>
          <w:szCs w:val="20"/>
        </w:rPr>
        <w:t xml:space="preserve"> [Sanders, 2012]</w:t>
      </w:r>
      <w:r w:rsidRPr="001B44E8">
        <w:rPr>
          <w:rFonts w:ascii="Arial" w:hAnsi="Arial" w:cs="Arial"/>
          <w:color w:val="000000" w:themeColor="text1"/>
          <w:sz w:val="20"/>
          <w:szCs w:val="20"/>
        </w:rPr>
        <w:t>. Care was take</w:t>
      </w:r>
      <w:r w:rsidR="0059388B" w:rsidRPr="001B44E8">
        <w:rPr>
          <w:rFonts w:ascii="Arial" w:hAnsi="Arial" w:cs="Arial"/>
          <w:color w:val="000000" w:themeColor="text1"/>
          <w:sz w:val="20"/>
          <w:szCs w:val="20"/>
        </w:rPr>
        <w:t>n</w:t>
      </w:r>
      <w:r w:rsidRPr="001B44E8">
        <w:rPr>
          <w:rFonts w:ascii="Arial" w:hAnsi="Arial" w:cs="Arial"/>
          <w:color w:val="000000" w:themeColor="text1"/>
          <w:sz w:val="20"/>
          <w:szCs w:val="20"/>
        </w:rPr>
        <w:t xml:space="preserve"> to maintain aseptic conditions to prevent contamination and ensure reliable results.</w:t>
      </w:r>
    </w:p>
    <w:p w14:paraId="071A1F46" w14:textId="77777777" w:rsidR="00E94FBD" w:rsidRPr="001B44E8" w:rsidRDefault="00E94FBD" w:rsidP="001B44E8">
      <w:pPr>
        <w:spacing w:after="0" w:line="240" w:lineRule="auto"/>
        <w:rPr>
          <w:rFonts w:ascii="Arial" w:hAnsi="Arial" w:cs="Arial"/>
          <w:color w:val="000000" w:themeColor="text1"/>
          <w:sz w:val="20"/>
          <w:szCs w:val="20"/>
        </w:rPr>
      </w:pPr>
    </w:p>
    <w:p w14:paraId="5208DC22" w14:textId="0E3DA521" w:rsidR="00450148" w:rsidRPr="001B44E8" w:rsidRDefault="0045014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lastRenderedPageBreak/>
        <w:t>Isolation</w:t>
      </w:r>
      <w:r w:rsidR="0059388B" w:rsidRPr="001B44E8">
        <w:rPr>
          <w:rFonts w:ascii="Arial" w:hAnsi="Arial" w:cs="Arial"/>
          <w:b/>
          <w:bCs/>
          <w:color w:val="000000" w:themeColor="text1"/>
        </w:rPr>
        <w:t xml:space="preserve"> and preservation </w:t>
      </w:r>
      <w:r w:rsidRPr="001B44E8">
        <w:rPr>
          <w:rFonts w:ascii="Arial" w:hAnsi="Arial" w:cs="Arial"/>
          <w:b/>
          <w:bCs/>
          <w:color w:val="000000" w:themeColor="text1"/>
        </w:rPr>
        <w:t>of pure cultures</w:t>
      </w:r>
    </w:p>
    <w:p w14:paraId="0443393B" w14:textId="33E050C5" w:rsidR="007E0B13" w:rsidRPr="001B44E8" w:rsidRDefault="0059388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A pure culture of bacteria was established by isolating a single </w:t>
      </w:r>
      <w:r w:rsidR="00917606" w:rsidRPr="001B44E8">
        <w:rPr>
          <w:rFonts w:ascii="Arial" w:hAnsi="Arial" w:cs="Arial"/>
          <w:color w:val="000000" w:themeColor="text1"/>
          <w:sz w:val="20"/>
          <w:szCs w:val="20"/>
        </w:rPr>
        <w:t>colony</w:t>
      </w:r>
      <w:r w:rsidRPr="001B44E8">
        <w:rPr>
          <w:rFonts w:ascii="Arial" w:hAnsi="Arial" w:cs="Arial"/>
          <w:color w:val="000000" w:themeColor="text1"/>
          <w:sz w:val="20"/>
          <w:szCs w:val="20"/>
        </w:rPr>
        <w:t>, ensuring the absence of contaminants or other microorganisms. The</w:t>
      </w:r>
      <w:r w:rsidR="00917606" w:rsidRPr="001B44E8">
        <w:rPr>
          <w:rFonts w:ascii="Arial" w:hAnsi="Arial" w:cs="Arial"/>
          <w:color w:val="000000" w:themeColor="text1"/>
          <w:sz w:val="20"/>
          <w:szCs w:val="20"/>
        </w:rPr>
        <w:t xml:space="preserve"> bacterial</w:t>
      </w:r>
      <w:r w:rsidRPr="001B44E8">
        <w:rPr>
          <w:rFonts w:ascii="Arial" w:hAnsi="Arial" w:cs="Arial"/>
          <w:color w:val="000000" w:themeColor="text1"/>
          <w:sz w:val="20"/>
          <w:szCs w:val="20"/>
        </w:rPr>
        <w:t xml:space="preserve"> cells gr</w:t>
      </w:r>
      <w:r w:rsidR="00917606" w:rsidRPr="001B44E8">
        <w:rPr>
          <w:rFonts w:ascii="Arial" w:hAnsi="Arial" w:cs="Arial"/>
          <w:color w:val="000000" w:themeColor="text1"/>
          <w:sz w:val="20"/>
          <w:szCs w:val="20"/>
        </w:rPr>
        <w:t>ew</w:t>
      </w:r>
      <w:r w:rsidRPr="001B44E8">
        <w:rPr>
          <w:rFonts w:ascii="Arial" w:hAnsi="Arial" w:cs="Arial"/>
          <w:color w:val="000000" w:themeColor="text1"/>
          <w:sz w:val="20"/>
          <w:szCs w:val="20"/>
        </w:rPr>
        <w:t xml:space="preserve"> into distinct colonies, each representing a clonal population of a single species. </w:t>
      </w:r>
      <w:r w:rsidR="00917606" w:rsidRPr="001B44E8">
        <w:rPr>
          <w:rFonts w:ascii="Arial" w:hAnsi="Arial" w:cs="Arial"/>
          <w:color w:val="000000" w:themeColor="text1"/>
          <w:sz w:val="20"/>
          <w:szCs w:val="20"/>
        </w:rPr>
        <w:t>P</w:t>
      </w:r>
      <w:r w:rsidRPr="001B44E8">
        <w:rPr>
          <w:rFonts w:ascii="Arial" w:hAnsi="Arial" w:cs="Arial"/>
          <w:color w:val="000000" w:themeColor="text1"/>
          <w:sz w:val="20"/>
          <w:szCs w:val="20"/>
        </w:rPr>
        <w:t>ure colon</w:t>
      </w:r>
      <w:r w:rsidR="00917606" w:rsidRPr="001B44E8">
        <w:rPr>
          <w:rFonts w:ascii="Arial" w:hAnsi="Arial" w:cs="Arial"/>
          <w:color w:val="000000" w:themeColor="text1"/>
          <w:sz w:val="20"/>
          <w:szCs w:val="20"/>
        </w:rPr>
        <w:t>ies were</w:t>
      </w:r>
      <w:r w:rsidRPr="001B44E8">
        <w:rPr>
          <w:rFonts w:ascii="Arial" w:hAnsi="Arial" w:cs="Arial"/>
          <w:color w:val="000000" w:themeColor="text1"/>
          <w:sz w:val="20"/>
          <w:szCs w:val="20"/>
        </w:rPr>
        <w:t xml:space="preserve"> identified based on morphology and</w:t>
      </w:r>
      <w:r w:rsidR="00917606" w:rsidRPr="001B44E8">
        <w:rPr>
          <w:rFonts w:ascii="Arial" w:hAnsi="Arial" w:cs="Arial"/>
          <w:color w:val="000000" w:themeColor="text1"/>
          <w:sz w:val="20"/>
          <w:szCs w:val="20"/>
        </w:rPr>
        <w:t xml:space="preserve"> were</w:t>
      </w:r>
      <w:r w:rsidRPr="001B44E8">
        <w:rPr>
          <w:rFonts w:ascii="Arial" w:hAnsi="Arial" w:cs="Arial"/>
          <w:color w:val="000000" w:themeColor="text1"/>
          <w:sz w:val="20"/>
          <w:szCs w:val="20"/>
        </w:rPr>
        <w:t xml:space="preserve"> transferred aseptically to sterile</w:t>
      </w:r>
      <w:r w:rsidR="00917606" w:rsidRPr="001B44E8">
        <w:rPr>
          <w:rFonts w:ascii="Arial" w:hAnsi="Arial" w:cs="Arial"/>
          <w:color w:val="000000" w:themeColor="text1"/>
          <w:sz w:val="20"/>
          <w:szCs w:val="20"/>
        </w:rPr>
        <w:t xml:space="preserve"> </w:t>
      </w:r>
      <w:r w:rsidR="001251F6" w:rsidRPr="001B44E8">
        <w:rPr>
          <w:rFonts w:ascii="Arial" w:hAnsi="Arial" w:cs="Arial"/>
          <w:color w:val="000000" w:themeColor="text1"/>
          <w:sz w:val="20"/>
          <w:szCs w:val="20"/>
        </w:rPr>
        <w:t>agar</w:t>
      </w:r>
      <w:r w:rsidR="00754ABB" w:rsidRPr="001B44E8">
        <w:rPr>
          <w:rFonts w:ascii="Arial" w:hAnsi="Arial" w:cs="Arial"/>
          <w:color w:val="000000" w:themeColor="text1"/>
          <w:sz w:val="20"/>
          <w:szCs w:val="20"/>
        </w:rPr>
        <w:t xml:space="preserve"> slants</w:t>
      </w:r>
      <w:r w:rsidRPr="001B44E8">
        <w:rPr>
          <w:rFonts w:ascii="Arial" w:hAnsi="Arial" w:cs="Arial"/>
          <w:color w:val="000000" w:themeColor="text1"/>
          <w:sz w:val="20"/>
          <w:szCs w:val="20"/>
        </w:rPr>
        <w:t xml:space="preserve">. Preservation of the pure culture </w:t>
      </w:r>
      <w:r w:rsidR="00917606" w:rsidRPr="001B44E8">
        <w:rPr>
          <w:rFonts w:ascii="Arial" w:hAnsi="Arial" w:cs="Arial"/>
          <w:color w:val="000000" w:themeColor="text1"/>
          <w:sz w:val="20"/>
          <w:szCs w:val="20"/>
        </w:rPr>
        <w:t xml:space="preserve">was </w:t>
      </w:r>
      <w:r w:rsidRPr="001B44E8">
        <w:rPr>
          <w:rFonts w:ascii="Arial" w:hAnsi="Arial" w:cs="Arial"/>
          <w:color w:val="000000" w:themeColor="text1"/>
          <w:sz w:val="20"/>
          <w:szCs w:val="20"/>
        </w:rPr>
        <w:t>achieved through</w:t>
      </w:r>
      <w:r w:rsidR="00917606" w:rsidRPr="001B44E8">
        <w:rPr>
          <w:rFonts w:ascii="Arial" w:hAnsi="Arial" w:cs="Arial"/>
          <w:color w:val="000000" w:themeColor="text1"/>
          <w:sz w:val="20"/>
          <w:szCs w:val="20"/>
        </w:rPr>
        <w:t xml:space="preserve"> </w:t>
      </w:r>
      <w:r w:rsidR="001B6261" w:rsidRPr="001B44E8">
        <w:rPr>
          <w:rFonts w:ascii="Arial" w:hAnsi="Arial" w:cs="Arial"/>
          <w:color w:val="000000" w:themeColor="text1"/>
          <w:sz w:val="20"/>
          <w:szCs w:val="20"/>
        </w:rPr>
        <w:t>glycerol stocks</w:t>
      </w:r>
      <w:r w:rsidR="00917606" w:rsidRPr="001B44E8">
        <w:rPr>
          <w:rFonts w:ascii="Arial" w:hAnsi="Arial" w:cs="Arial"/>
          <w:color w:val="000000" w:themeColor="text1"/>
          <w:sz w:val="20"/>
          <w:szCs w:val="20"/>
        </w:rPr>
        <w:t xml:space="preserve"> to</w:t>
      </w:r>
      <w:r w:rsidRPr="001B44E8">
        <w:rPr>
          <w:rFonts w:ascii="Arial" w:hAnsi="Arial" w:cs="Arial"/>
          <w:color w:val="000000" w:themeColor="text1"/>
          <w:sz w:val="20"/>
          <w:szCs w:val="20"/>
        </w:rPr>
        <w:t xml:space="preserve"> ensure that the bacteria remain viable and genetically stable while preventing contamination or unwanted mutations</w:t>
      </w:r>
      <w:r w:rsidR="00A37012" w:rsidRPr="001B44E8">
        <w:rPr>
          <w:rFonts w:ascii="Arial" w:hAnsi="Arial" w:cs="Arial"/>
          <w:color w:val="000000" w:themeColor="text1"/>
          <w:sz w:val="20"/>
          <w:szCs w:val="20"/>
        </w:rPr>
        <w:t xml:space="preserve"> [Tedeschi and Paoli, 2011]</w:t>
      </w:r>
      <w:r w:rsidR="007E0B13" w:rsidRPr="001B44E8">
        <w:rPr>
          <w:rFonts w:ascii="Arial" w:hAnsi="Arial" w:cs="Arial"/>
          <w:color w:val="000000" w:themeColor="text1"/>
          <w:sz w:val="20"/>
          <w:szCs w:val="20"/>
        </w:rPr>
        <w:t>.</w:t>
      </w:r>
    </w:p>
    <w:p w14:paraId="656ED545" w14:textId="77777777" w:rsidR="004A402F" w:rsidRPr="001B44E8" w:rsidRDefault="004A402F" w:rsidP="001B44E8">
      <w:pPr>
        <w:spacing w:after="0" w:line="240" w:lineRule="auto"/>
        <w:rPr>
          <w:rFonts w:ascii="Arial" w:hAnsi="Arial" w:cs="Arial"/>
          <w:color w:val="000000" w:themeColor="text1"/>
          <w:sz w:val="20"/>
          <w:szCs w:val="20"/>
        </w:rPr>
      </w:pPr>
    </w:p>
    <w:p w14:paraId="5950BFDC" w14:textId="31BF1ED2" w:rsidR="00791F5D"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791F5D" w:rsidRPr="001B44E8">
        <w:rPr>
          <w:rFonts w:ascii="Arial" w:hAnsi="Arial" w:cs="Arial"/>
          <w:b/>
          <w:bCs/>
          <w:color w:val="000000" w:themeColor="text1"/>
        </w:rPr>
        <w:t>Morphological Iden</w:t>
      </w:r>
      <w:r w:rsidR="005516CA" w:rsidRPr="001B44E8">
        <w:rPr>
          <w:rFonts w:ascii="Arial" w:hAnsi="Arial" w:cs="Arial"/>
          <w:b/>
          <w:bCs/>
          <w:color w:val="000000" w:themeColor="text1"/>
        </w:rPr>
        <w:t>t</w:t>
      </w:r>
      <w:r w:rsidR="00791F5D" w:rsidRPr="001B44E8">
        <w:rPr>
          <w:rFonts w:ascii="Arial" w:hAnsi="Arial" w:cs="Arial"/>
          <w:b/>
          <w:bCs/>
          <w:color w:val="000000" w:themeColor="text1"/>
        </w:rPr>
        <w:t>ification</w:t>
      </w:r>
    </w:p>
    <w:p w14:paraId="684A0B2E" w14:textId="4FBFF727"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Gram staining </w:t>
      </w:r>
    </w:p>
    <w:p w14:paraId="71EED7DF" w14:textId="3AF8B7E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Gram staining was performed by preparing a heat-fixed bacterial smear on a clean glass slide. Crystal violet was applied for one minute, followed by Gram’s iodine for another minute. The slide was then decolorized with ethanol for 10–15 seconds and counterstained with safranin for 30–60 seconds. After rinsing and drying, the slide was examined under oil immersion to identify Gram-positive (purple) or Gram-negative (pink) bacteria</w:t>
      </w:r>
      <w:r w:rsidR="005F1074" w:rsidRPr="001B44E8">
        <w:rPr>
          <w:rFonts w:ascii="Arial" w:hAnsi="Arial" w:cs="Arial"/>
          <w:color w:val="000000" w:themeColor="text1"/>
          <w:sz w:val="20"/>
          <w:szCs w:val="20"/>
        </w:rPr>
        <w:t xml:space="preserve"> [Moyes et al, 2009]</w:t>
      </w:r>
      <w:r w:rsidRPr="001B44E8">
        <w:rPr>
          <w:rFonts w:ascii="Arial" w:hAnsi="Arial" w:cs="Arial"/>
          <w:color w:val="000000" w:themeColor="text1"/>
          <w:sz w:val="20"/>
          <w:szCs w:val="20"/>
        </w:rPr>
        <w:t>.</w:t>
      </w:r>
    </w:p>
    <w:p w14:paraId="4A5F86D5" w14:textId="77777777" w:rsidR="00E94FBD" w:rsidRPr="001B44E8" w:rsidRDefault="00E94FBD" w:rsidP="001B44E8">
      <w:pPr>
        <w:spacing w:after="0" w:line="240" w:lineRule="auto"/>
        <w:rPr>
          <w:rFonts w:ascii="Arial" w:hAnsi="Arial" w:cs="Arial"/>
          <w:color w:val="000000" w:themeColor="text1"/>
          <w:sz w:val="20"/>
          <w:szCs w:val="20"/>
        </w:rPr>
      </w:pPr>
    </w:p>
    <w:p w14:paraId="58F4B82A" w14:textId="3AE08EE0"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Cell Shape</w:t>
      </w:r>
    </w:p>
    <w:p w14:paraId="72DC8CA8" w14:textId="4CF81CD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To observe cell shape, a simple stain such as methylene blue was applied to a heat-fixed smear for one minute. After rinsing and drying, the slide was examined under a microscope to determine the morphology, such as cocci (spherical), bacilli (rod-shaped), or spirilla (spiral), and their arrangements like chains or clusters</w:t>
      </w:r>
      <w:r w:rsidR="005F1074" w:rsidRPr="001B44E8">
        <w:rPr>
          <w:rFonts w:ascii="Arial" w:hAnsi="Arial" w:cs="Arial"/>
          <w:color w:val="000000" w:themeColor="text1"/>
          <w:sz w:val="20"/>
          <w:szCs w:val="20"/>
        </w:rPr>
        <w:t xml:space="preserve"> [Young, 2003]</w:t>
      </w:r>
      <w:r w:rsidRPr="001B44E8">
        <w:rPr>
          <w:rFonts w:ascii="Arial" w:hAnsi="Arial" w:cs="Arial"/>
          <w:color w:val="000000" w:themeColor="text1"/>
          <w:sz w:val="20"/>
          <w:szCs w:val="20"/>
        </w:rPr>
        <w:t>.</w:t>
      </w:r>
    </w:p>
    <w:p w14:paraId="7C2A4138" w14:textId="77777777" w:rsidR="00E94FBD" w:rsidRPr="001B44E8" w:rsidRDefault="00E94FBD" w:rsidP="001B44E8">
      <w:pPr>
        <w:spacing w:after="0" w:line="240" w:lineRule="auto"/>
        <w:rPr>
          <w:rFonts w:ascii="Arial" w:hAnsi="Arial" w:cs="Arial"/>
          <w:color w:val="000000" w:themeColor="text1"/>
          <w:sz w:val="20"/>
          <w:szCs w:val="20"/>
        </w:rPr>
      </w:pPr>
    </w:p>
    <w:p w14:paraId="77F19B57" w14:textId="0EE3951A"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Motility</w:t>
      </w:r>
    </w:p>
    <w:p w14:paraId="120CF29C" w14:textId="0EE139D1"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For motility testing using the hanging drop method, a drop of bacterial suspension was placed on a cover slip, which was then inverted over a concave slide sealed with petroleum jelly. The slide was observed under a microscope to detect directional movement, indicating motility, as opposed to non-motile Brownian motion</w:t>
      </w:r>
      <w:r w:rsidR="005F1074" w:rsidRPr="001B44E8">
        <w:rPr>
          <w:rFonts w:ascii="Arial" w:hAnsi="Arial" w:cs="Arial"/>
          <w:color w:val="000000" w:themeColor="text1"/>
          <w:sz w:val="20"/>
          <w:szCs w:val="20"/>
        </w:rPr>
        <w:t xml:space="preserve"> [Jain et al, 2020]</w:t>
      </w:r>
    </w:p>
    <w:p w14:paraId="0C59E6E3" w14:textId="77777777" w:rsidR="00BF5C8D" w:rsidRPr="001B44E8" w:rsidRDefault="00BF5C8D" w:rsidP="001B44E8">
      <w:pPr>
        <w:spacing w:after="0" w:line="240" w:lineRule="auto"/>
        <w:rPr>
          <w:rFonts w:ascii="Arial" w:hAnsi="Arial" w:cs="Arial"/>
          <w:b/>
          <w:bCs/>
          <w:color w:val="000000" w:themeColor="text1"/>
          <w:sz w:val="20"/>
          <w:szCs w:val="20"/>
        </w:rPr>
      </w:pPr>
    </w:p>
    <w:p w14:paraId="6A522F5E" w14:textId="6458ADA8" w:rsidR="00D24DAF"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24DAF" w:rsidRPr="001B44E8">
        <w:rPr>
          <w:rFonts w:ascii="Arial" w:hAnsi="Arial" w:cs="Arial"/>
          <w:b/>
          <w:bCs/>
          <w:color w:val="000000" w:themeColor="text1"/>
        </w:rPr>
        <w:t>Biochemical analysis</w:t>
      </w:r>
    </w:p>
    <w:p w14:paraId="0DD429C7" w14:textId="7715FF86" w:rsidR="006F3C79"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isolated pure cultures of bacteria were subjected to biochemical characterization using the KB001 rapid biochemical identification test kit (</w:t>
      </w:r>
      <w:proofErr w:type="spellStart"/>
      <w:r w:rsidRPr="001B44E8">
        <w:rPr>
          <w:rFonts w:ascii="Arial" w:hAnsi="Arial" w:cs="Arial"/>
          <w:color w:val="000000" w:themeColor="text1"/>
          <w:sz w:val="20"/>
          <w:szCs w:val="20"/>
        </w:rPr>
        <w:t>HiIMViC</w:t>
      </w:r>
      <w:proofErr w:type="spellEnd"/>
      <w:r w:rsidRPr="001B44E8">
        <w:rPr>
          <w:rFonts w:ascii="Arial" w:hAnsi="Arial" w:cs="Arial"/>
          <w:color w:val="000000" w:themeColor="text1"/>
          <w:sz w:val="20"/>
          <w:szCs w:val="20"/>
        </w:rPr>
        <w:t>™ Biochemical Test Kit), which includes a variety of biochemical assays. A total of 12 biochemical tests were conducted, comprising the Indole, Methyl Red, Voges-Proskauer, and Citrate utilization tests</w:t>
      </w:r>
      <w:r w:rsidR="00D27790" w:rsidRPr="001B44E8">
        <w:rPr>
          <w:rFonts w:ascii="Arial" w:hAnsi="Arial" w:cs="Arial"/>
          <w:color w:val="000000" w:themeColor="text1"/>
          <w:sz w:val="20"/>
          <w:szCs w:val="20"/>
        </w:rPr>
        <w:t xml:space="preserve"> [MacWilliams, 2012; Adedayo et al, 2004; McDevitt, 2009],</w:t>
      </w:r>
      <w:r w:rsidRPr="001B44E8">
        <w:rPr>
          <w:rFonts w:ascii="Arial" w:hAnsi="Arial" w:cs="Arial"/>
          <w:color w:val="000000" w:themeColor="text1"/>
          <w:sz w:val="20"/>
          <w:szCs w:val="20"/>
        </w:rPr>
        <w:t xml:space="preserve"> as well as tests for the utilization of eight carbohydrates: glucose, adonitol, arabinose, lactose, sorbitol, mannitol, rhamnose, and sucrose. </w:t>
      </w:r>
    </w:p>
    <w:p w14:paraId="069C7853" w14:textId="2FA02446" w:rsidR="00D24DAF"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test kits were aseptically opened by removing the sealing tape, and each well was inoculated with a loopful of 24-hour-old bacterial cultures using the stab inoculation technique. The wells were subsequently resealed with the removed sealing tape and incubated at 37°C for 20 hours. The biochemical tests operate on principles of pH change and substrate utilization. Upon inoculation, metabolic activity of the bacteria altered the substrates in the test media, resulting in detectable colo</w:t>
      </w:r>
      <w:r w:rsidR="008761A7" w:rsidRPr="001B44E8">
        <w:rPr>
          <w:rFonts w:ascii="Arial" w:hAnsi="Arial" w:cs="Arial"/>
          <w:color w:val="000000" w:themeColor="text1"/>
          <w:sz w:val="20"/>
          <w:szCs w:val="20"/>
        </w:rPr>
        <w:t>u</w:t>
      </w:r>
      <w:r w:rsidRPr="001B44E8">
        <w:rPr>
          <w:rFonts w:ascii="Arial" w:hAnsi="Arial" w:cs="Arial"/>
          <w:color w:val="000000" w:themeColor="text1"/>
          <w:sz w:val="20"/>
          <w:szCs w:val="20"/>
        </w:rPr>
        <w:t>r changes. These changes were interpreted visually or following the addition of specific test reagents, introduced aseptically after the incubation period.</w:t>
      </w:r>
      <w:r w:rsidR="00247C9C" w:rsidRPr="001B44E8">
        <w:rPr>
          <w:rFonts w:ascii="Arial" w:hAnsi="Arial" w:cs="Arial"/>
          <w:color w:val="000000" w:themeColor="text1"/>
          <w:sz w:val="20"/>
          <w:szCs w:val="20"/>
        </w:rPr>
        <w:t xml:space="preserve"> For the Indole, Methyl Red, and Voges-Proskauer tests, reagents were added aseptically post-incubation to facilitate result visualization. </w:t>
      </w:r>
      <w:r w:rsidRPr="001B44E8">
        <w:rPr>
          <w:rFonts w:ascii="Arial" w:hAnsi="Arial" w:cs="Arial"/>
          <w:color w:val="000000" w:themeColor="text1"/>
          <w:sz w:val="20"/>
          <w:szCs w:val="20"/>
        </w:rPr>
        <w:t xml:space="preserve">The results were </w:t>
      </w:r>
      <w:r w:rsidR="00247C9C" w:rsidRPr="001B44E8">
        <w:rPr>
          <w:rFonts w:ascii="Arial" w:hAnsi="Arial" w:cs="Arial"/>
          <w:color w:val="000000" w:themeColor="text1"/>
          <w:sz w:val="20"/>
          <w:szCs w:val="20"/>
        </w:rPr>
        <w:t>analysed</w:t>
      </w:r>
      <w:r w:rsidRPr="001B44E8">
        <w:rPr>
          <w:rFonts w:ascii="Arial" w:hAnsi="Arial" w:cs="Arial"/>
          <w:color w:val="000000" w:themeColor="text1"/>
          <w:sz w:val="20"/>
          <w:szCs w:val="20"/>
        </w:rPr>
        <w:t xml:space="preserve"> according to the standard guidelines provided in the result interpretation chart</w:t>
      </w:r>
      <w:r w:rsidR="005F1074" w:rsidRPr="001B44E8">
        <w:rPr>
          <w:rFonts w:ascii="Arial" w:hAnsi="Arial" w:cs="Arial"/>
          <w:color w:val="000000" w:themeColor="text1"/>
          <w:sz w:val="20"/>
          <w:szCs w:val="20"/>
        </w:rPr>
        <w:t xml:space="preserve"> [</w:t>
      </w:r>
      <w:proofErr w:type="spellStart"/>
      <w:r w:rsidR="005F1074" w:rsidRPr="001B44E8">
        <w:rPr>
          <w:rFonts w:ascii="Arial" w:hAnsi="Arial" w:cs="Arial"/>
          <w:color w:val="000000" w:themeColor="text1"/>
          <w:sz w:val="20"/>
          <w:szCs w:val="20"/>
        </w:rPr>
        <w:t>Panhale</w:t>
      </w:r>
      <w:proofErr w:type="spellEnd"/>
      <w:r w:rsidR="005F1074" w:rsidRPr="001B44E8">
        <w:rPr>
          <w:rFonts w:ascii="Arial" w:hAnsi="Arial" w:cs="Arial"/>
          <w:color w:val="000000" w:themeColor="text1"/>
          <w:sz w:val="20"/>
          <w:szCs w:val="20"/>
        </w:rPr>
        <w:t xml:space="preserve"> et al, 2021]</w:t>
      </w:r>
      <w:r w:rsidRPr="001B44E8">
        <w:rPr>
          <w:rFonts w:ascii="Arial" w:hAnsi="Arial" w:cs="Arial"/>
          <w:color w:val="000000" w:themeColor="text1"/>
          <w:sz w:val="20"/>
          <w:szCs w:val="20"/>
        </w:rPr>
        <w:t xml:space="preserve">. </w:t>
      </w:r>
    </w:p>
    <w:p w14:paraId="140A1484" w14:textId="77777777" w:rsidR="005516CA" w:rsidRPr="001B44E8" w:rsidRDefault="005516CA" w:rsidP="001B44E8">
      <w:pPr>
        <w:spacing w:after="0" w:line="240" w:lineRule="auto"/>
        <w:rPr>
          <w:rFonts w:ascii="Arial" w:hAnsi="Arial" w:cs="Arial"/>
          <w:b/>
          <w:bCs/>
          <w:color w:val="000000" w:themeColor="text1"/>
          <w:sz w:val="20"/>
          <w:szCs w:val="20"/>
        </w:rPr>
      </w:pPr>
    </w:p>
    <w:p w14:paraId="3F48137A" w14:textId="2F301A44" w:rsidR="002D0DD2"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2D0DD2" w:rsidRPr="001B44E8">
        <w:rPr>
          <w:rFonts w:ascii="Arial" w:hAnsi="Arial" w:cs="Arial"/>
          <w:b/>
          <w:bCs/>
          <w:color w:val="000000" w:themeColor="text1"/>
        </w:rPr>
        <w:t>Bacterial Characterization</w:t>
      </w:r>
    </w:p>
    <w:p w14:paraId="5F6C6D55" w14:textId="46F624EC" w:rsidR="00D75EEA" w:rsidRPr="001B44E8" w:rsidRDefault="00175840"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Bacterial DNA extraction</w:t>
      </w:r>
    </w:p>
    <w:p w14:paraId="527D02A0" w14:textId="625F1A8C"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Bacterial DNA was extracted from a 10 mL culture in the mid- to late-log phase by centrifugation to pellet the cells. The pellet was resuspended in RNase A buffer, followed by treatment with lysozyme and </w:t>
      </w:r>
      <w:proofErr w:type="spellStart"/>
      <w:r w:rsidRPr="001B44E8">
        <w:rPr>
          <w:rFonts w:ascii="Arial" w:hAnsi="Arial" w:cs="Arial"/>
          <w:color w:val="000000" w:themeColor="text1"/>
          <w:sz w:val="20"/>
          <w:szCs w:val="20"/>
        </w:rPr>
        <w:t>achromopeptidase</w:t>
      </w:r>
      <w:proofErr w:type="spellEnd"/>
      <w:r w:rsidRPr="001B44E8">
        <w:rPr>
          <w:rFonts w:ascii="Arial" w:hAnsi="Arial" w:cs="Arial"/>
          <w:color w:val="000000" w:themeColor="text1"/>
          <w:sz w:val="20"/>
          <w:szCs w:val="20"/>
        </w:rPr>
        <w:t xml:space="preserve">, and incubated at 37°C to lyse the cells. SDS and proteinase K were then added, and the mixture was further incubated at 50°C for protein digestion. DNA was purified using </w:t>
      </w: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r w:rsidRPr="001B44E8">
        <w:rPr>
          <w:rFonts w:ascii="Arial" w:hAnsi="Arial" w:cs="Arial"/>
          <w:color w:val="000000" w:themeColor="text1"/>
          <w:sz w:val="20"/>
          <w:szCs w:val="20"/>
        </w:rPr>
        <w:t xml:space="preserve"> (PCI) extraction and precipitated with cold ethanol. After centrifugation, the DNA pellet was dried, resuspended in TE buffer, and incubated overnight at 4°C. The extracted DNA was confirmed by agarose gel electrophoresis and appeared as a clear band under UV light. The purity of the DNA was 1.8 as determined by a UV-VIS spectrophotometer</w:t>
      </w:r>
      <w:r w:rsidR="00D27790" w:rsidRPr="001B44E8">
        <w:rPr>
          <w:rFonts w:ascii="Arial" w:hAnsi="Arial" w:cs="Arial"/>
          <w:color w:val="000000" w:themeColor="text1"/>
          <w:sz w:val="20"/>
          <w:szCs w:val="20"/>
        </w:rPr>
        <w:t xml:space="preserve"> [Lazarevic et al, 2013]</w:t>
      </w:r>
      <w:r w:rsidRPr="001B44E8">
        <w:rPr>
          <w:rFonts w:ascii="Arial" w:hAnsi="Arial" w:cs="Arial"/>
          <w:color w:val="000000" w:themeColor="text1"/>
          <w:sz w:val="20"/>
          <w:szCs w:val="20"/>
        </w:rPr>
        <w:t>.</w:t>
      </w:r>
    </w:p>
    <w:p w14:paraId="5D320E46" w14:textId="77777777" w:rsidR="00E94FBD" w:rsidRPr="001B44E8" w:rsidRDefault="00E94FBD" w:rsidP="001B44E8">
      <w:pPr>
        <w:spacing w:after="0" w:line="240" w:lineRule="auto"/>
        <w:rPr>
          <w:rFonts w:ascii="Arial" w:hAnsi="Arial" w:cs="Arial"/>
          <w:color w:val="000000" w:themeColor="text1"/>
          <w:sz w:val="20"/>
          <w:szCs w:val="20"/>
        </w:rPr>
      </w:pPr>
    </w:p>
    <w:p w14:paraId="4B56A5CB" w14:textId="3BBB45E3" w:rsidR="00D3070B" w:rsidRPr="001B44E8" w:rsidRDefault="005545F6"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Amplification </w:t>
      </w:r>
      <w:r w:rsidR="00D3070B" w:rsidRPr="001B44E8">
        <w:rPr>
          <w:rFonts w:ascii="Arial" w:hAnsi="Arial" w:cs="Arial"/>
          <w:b/>
          <w:bCs/>
          <w:color w:val="000000" w:themeColor="text1"/>
        </w:rPr>
        <w:t>of 16S rRNA</w:t>
      </w:r>
    </w:p>
    <w:p w14:paraId="157EBB83" w14:textId="54BE6619"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A </w:t>
      </w:r>
      <w:r w:rsidR="005545F6" w:rsidRPr="001B44E8">
        <w:rPr>
          <w:rFonts w:ascii="Arial" w:hAnsi="Arial" w:cs="Arial"/>
          <w:color w:val="000000" w:themeColor="text1"/>
          <w:sz w:val="20"/>
          <w:szCs w:val="20"/>
        </w:rPr>
        <w:t>Polymerase Chain Reaction</w:t>
      </w:r>
      <w:r w:rsidR="005545F6" w:rsidRPr="001B44E8">
        <w:rPr>
          <w:rFonts w:ascii="Arial" w:hAnsi="Arial" w:cs="Arial"/>
          <w:b/>
          <w:bCs/>
          <w:color w:val="000000" w:themeColor="text1"/>
          <w:sz w:val="20"/>
          <w:szCs w:val="20"/>
        </w:rPr>
        <w:t xml:space="preserve"> </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PCR</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reaction was set up by adding 5 ng of DNA template to 24 µL of Taq PCR master mix, which contained Taq DNA polymerase, dNTPs, </w:t>
      </w:r>
      <w:proofErr w:type="spellStart"/>
      <w:r w:rsidRPr="001B44E8">
        <w:rPr>
          <w:rFonts w:ascii="Arial" w:hAnsi="Arial" w:cs="Arial"/>
          <w:color w:val="000000" w:themeColor="text1"/>
          <w:sz w:val="20"/>
          <w:szCs w:val="20"/>
        </w:rPr>
        <w:t>MgCl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and reaction buffer. Additionally, 1 µL of specific primers (</w:t>
      </w:r>
      <w:r w:rsidR="006562B3" w:rsidRPr="001B44E8">
        <w:rPr>
          <w:rFonts w:ascii="Arial" w:hAnsi="Arial" w:cs="Arial"/>
          <w:color w:val="000000" w:themeColor="text1"/>
          <w:sz w:val="20"/>
          <w:szCs w:val="20"/>
        </w:rPr>
        <w:t>T</w:t>
      </w:r>
      <w:r w:rsidRPr="001B44E8">
        <w:rPr>
          <w:rFonts w:ascii="Arial" w:hAnsi="Arial" w:cs="Arial"/>
          <w:color w:val="000000" w:themeColor="text1"/>
          <w:sz w:val="20"/>
          <w:szCs w:val="20"/>
        </w:rPr>
        <w:t>able</w:t>
      </w:r>
      <w:r w:rsidR="00D956A2"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was added to target the desired DNA region. The amplification process was carried out in a thermocycler with an initial denaturation at 94°C for 3 minutes, followed by 30 cycles of denaturation at 94°C for 1 minute, annealing at 50°C for 1 minute, and extension at 72°C for 2 minutes. A final extension at 72°C for 7 minutes completed the reaction, which was then held at 4°C for storage. This process enabled exponential amplification of the target DNA fragment</w:t>
      </w:r>
      <w:r w:rsidR="0077674C" w:rsidRPr="001B44E8">
        <w:rPr>
          <w:rFonts w:ascii="Arial" w:hAnsi="Arial" w:cs="Arial"/>
          <w:color w:val="000000" w:themeColor="text1"/>
          <w:sz w:val="20"/>
          <w:szCs w:val="20"/>
        </w:rPr>
        <w:t xml:space="preserve"> [Vasudha </w:t>
      </w:r>
      <w:r w:rsidR="0077674C" w:rsidRPr="001B44E8">
        <w:rPr>
          <w:rFonts w:ascii="Arial" w:hAnsi="Arial" w:cs="Arial"/>
          <w:i/>
          <w:color w:val="000000" w:themeColor="text1"/>
          <w:sz w:val="20"/>
          <w:szCs w:val="20"/>
        </w:rPr>
        <w:t>et al</w:t>
      </w:r>
      <w:r w:rsidR="0077674C" w:rsidRPr="001B44E8">
        <w:rPr>
          <w:rFonts w:ascii="Arial" w:hAnsi="Arial" w:cs="Arial"/>
          <w:color w:val="000000" w:themeColor="text1"/>
          <w:sz w:val="20"/>
          <w:szCs w:val="20"/>
        </w:rPr>
        <w:t>, 2023]</w:t>
      </w:r>
      <w:r w:rsidRPr="001B44E8">
        <w:rPr>
          <w:rFonts w:ascii="Arial" w:hAnsi="Arial" w:cs="Arial"/>
          <w:color w:val="000000" w:themeColor="text1"/>
          <w:sz w:val="20"/>
          <w:szCs w:val="20"/>
        </w:rPr>
        <w:t>.</w:t>
      </w:r>
    </w:p>
    <w:p w14:paraId="034A68DC" w14:textId="77777777" w:rsidR="00E94FBD" w:rsidRPr="001B44E8" w:rsidRDefault="00E94FBD" w:rsidP="001B44E8">
      <w:pPr>
        <w:spacing w:after="0" w:line="240" w:lineRule="auto"/>
        <w:rPr>
          <w:rFonts w:ascii="Arial" w:hAnsi="Arial" w:cs="Arial"/>
          <w:color w:val="000000" w:themeColor="text1"/>
          <w:sz w:val="20"/>
          <w:szCs w:val="20"/>
        </w:rPr>
      </w:pPr>
    </w:p>
    <w:p w14:paraId="7F6AFB32" w14:textId="6AC54FD8" w:rsidR="00D3070B" w:rsidRPr="001B44E8" w:rsidRDefault="005545F6"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Sanger </w:t>
      </w:r>
      <w:r w:rsidR="00D3070B" w:rsidRPr="001B44E8">
        <w:rPr>
          <w:rFonts w:ascii="Arial" w:hAnsi="Arial" w:cs="Arial"/>
          <w:b/>
          <w:bCs/>
          <w:color w:val="000000" w:themeColor="text1"/>
        </w:rPr>
        <w:t>Sequencing</w:t>
      </w:r>
    </w:p>
    <w:p w14:paraId="45A35E9B" w14:textId="0F2D67E9"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w:t>
      </w:r>
      <w:r w:rsidR="007853A5" w:rsidRPr="001B44E8">
        <w:rPr>
          <w:rFonts w:ascii="Arial" w:hAnsi="Arial" w:cs="Arial"/>
          <w:color w:val="000000" w:themeColor="text1"/>
          <w:sz w:val="20"/>
          <w:szCs w:val="20"/>
        </w:rPr>
        <w:t xml:space="preserve">PCR amplicon </w:t>
      </w:r>
      <w:r w:rsidRPr="001B44E8">
        <w:rPr>
          <w:rFonts w:ascii="Arial" w:hAnsi="Arial" w:cs="Arial"/>
          <w:color w:val="000000" w:themeColor="text1"/>
          <w:sz w:val="20"/>
          <w:szCs w:val="20"/>
        </w:rPr>
        <w:t>library was subjected to high-throughput sequencing using advanced platforms such as Sanger sequencing</w:t>
      </w:r>
      <w:r w:rsidR="005D702B" w:rsidRPr="001B44E8">
        <w:rPr>
          <w:rFonts w:ascii="Arial" w:hAnsi="Arial" w:cs="Arial"/>
          <w:color w:val="000000" w:themeColor="text1"/>
          <w:sz w:val="20"/>
          <w:szCs w:val="20"/>
        </w:rPr>
        <w:t xml:space="preserve"> (Sanger Sequencer Model ABI 3130 Genetic Analyzer)</w:t>
      </w:r>
      <w:r w:rsidRPr="001B44E8">
        <w:rPr>
          <w:rFonts w:ascii="Arial" w:hAnsi="Arial" w:cs="Arial"/>
          <w:color w:val="000000" w:themeColor="text1"/>
          <w:sz w:val="20"/>
          <w:szCs w:val="20"/>
        </w:rPr>
        <w:t>. DNA libraries were amplified and sequenced, producing millions of short DNA sequences concurrently. The raw sequencing data underwent stringent quality control and bioinformatics analysis to identify and classify the microbial communities present in the sample</w:t>
      </w:r>
      <w:r w:rsidR="0077674C" w:rsidRPr="001B44E8">
        <w:rPr>
          <w:rFonts w:ascii="Arial" w:hAnsi="Arial" w:cs="Arial"/>
          <w:color w:val="000000" w:themeColor="text1"/>
          <w:sz w:val="20"/>
          <w:szCs w:val="20"/>
        </w:rPr>
        <w:t xml:space="preserve"> [Patel, 2001]</w:t>
      </w:r>
      <w:r w:rsidRPr="001B44E8">
        <w:rPr>
          <w:rFonts w:ascii="Arial" w:hAnsi="Arial" w:cs="Arial"/>
          <w:color w:val="000000" w:themeColor="text1"/>
          <w:sz w:val="20"/>
          <w:szCs w:val="20"/>
        </w:rPr>
        <w:t>.</w:t>
      </w:r>
    </w:p>
    <w:p w14:paraId="1E8C6A6D" w14:textId="77777777" w:rsidR="00E94FBD" w:rsidRPr="001B44E8" w:rsidRDefault="00E94FBD" w:rsidP="001B44E8">
      <w:pPr>
        <w:spacing w:after="0" w:line="240" w:lineRule="auto"/>
        <w:rPr>
          <w:rFonts w:ascii="Arial" w:hAnsi="Arial" w:cs="Arial"/>
          <w:b/>
          <w:bCs/>
          <w:color w:val="000000" w:themeColor="text1"/>
          <w:sz w:val="20"/>
          <w:szCs w:val="20"/>
        </w:rPr>
      </w:pPr>
    </w:p>
    <w:p w14:paraId="6DFFE182" w14:textId="5B005BD6" w:rsidR="00241878" w:rsidRPr="001B44E8" w:rsidRDefault="0024187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Bioinformatic analysis</w:t>
      </w:r>
    </w:p>
    <w:p w14:paraId="2507BD13" w14:textId="5B1092CF"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Following sequencing, data analysis was conducted using specialized bioinformatics tools. This process included several critical steps: trimming reads to enhance quality, filtering out sequences unrelated to the target domain, clustering reads into Operational Taxonomic Units (OTUs) based on sequence similarity, aligning OTUs with reference databases, and assigning taxonomic identities to the OTUs.</w:t>
      </w:r>
      <w:r w:rsidR="00C634D8"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Once the sequencing results were annotated and aligned with reference databases, statistical analyses were applied to discern patterns and relationships among the samples</w:t>
      </w:r>
      <w:r w:rsidR="0077674C" w:rsidRPr="001B44E8">
        <w:rPr>
          <w:rFonts w:ascii="Arial" w:hAnsi="Arial" w:cs="Arial"/>
          <w:color w:val="000000" w:themeColor="text1"/>
          <w:sz w:val="20"/>
          <w:szCs w:val="20"/>
        </w:rPr>
        <w:t xml:space="preserve"> [</w:t>
      </w:r>
      <w:proofErr w:type="spellStart"/>
      <w:r w:rsidR="0077674C" w:rsidRPr="001B44E8">
        <w:rPr>
          <w:rFonts w:ascii="Arial" w:hAnsi="Arial" w:cs="Arial"/>
          <w:color w:val="000000" w:themeColor="text1"/>
          <w:sz w:val="20"/>
          <w:szCs w:val="20"/>
        </w:rPr>
        <w:t>Mignard</w:t>
      </w:r>
      <w:proofErr w:type="spellEnd"/>
      <w:r w:rsidR="0077674C" w:rsidRPr="001B44E8">
        <w:rPr>
          <w:rFonts w:ascii="Arial" w:hAnsi="Arial" w:cs="Arial"/>
          <w:color w:val="000000" w:themeColor="text1"/>
          <w:sz w:val="20"/>
          <w:szCs w:val="20"/>
        </w:rPr>
        <w:t xml:space="preserve"> and </w:t>
      </w:r>
      <w:proofErr w:type="spellStart"/>
      <w:r w:rsidR="0077674C" w:rsidRPr="001B44E8">
        <w:rPr>
          <w:rFonts w:ascii="Arial" w:hAnsi="Arial" w:cs="Arial"/>
          <w:color w:val="000000" w:themeColor="text1"/>
          <w:sz w:val="20"/>
          <w:szCs w:val="20"/>
        </w:rPr>
        <w:t>Flandrois</w:t>
      </w:r>
      <w:proofErr w:type="spellEnd"/>
      <w:r w:rsidR="0077674C" w:rsidRPr="001B44E8">
        <w:rPr>
          <w:rFonts w:ascii="Arial" w:hAnsi="Arial" w:cs="Arial"/>
          <w:color w:val="000000" w:themeColor="text1"/>
          <w:sz w:val="20"/>
          <w:szCs w:val="20"/>
        </w:rPr>
        <w:t>, 2006]</w:t>
      </w:r>
      <w:r w:rsidRPr="001B44E8">
        <w:rPr>
          <w:rFonts w:ascii="Arial" w:hAnsi="Arial" w:cs="Arial"/>
          <w:color w:val="000000" w:themeColor="text1"/>
          <w:sz w:val="20"/>
          <w:szCs w:val="20"/>
        </w:rPr>
        <w:t>.</w:t>
      </w:r>
    </w:p>
    <w:p w14:paraId="6EDC4AAD" w14:textId="77777777" w:rsidR="00E94FBD" w:rsidRPr="001B44E8" w:rsidRDefault="00E94FBD" w:rsidP="001B44E8">
      <w:pPr>
        <w:spacing w:after="0" w:line="240" w:lineRule="auto"/>
        <w:rPr>
          <w:rFonts w:ascii="Arial" w:hAnsi="Arial" w:cs="Arial"/>
          <w:color w:val="000000" w:themeColor="text1"/>
          <w:sz w:val="20"/>
          <w:szCs w:val="20"/>
        </w:rPr>
      </w:pPr>
    </w:p>
    <w:p w14:paraId="28281982" w14:textId="008785D7" w:rsidR="00D3070B" w:rsidRPr="001B44E8" w:rsidRDefault="00D3070B"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Phylogenetic Interpretation</w:t>
      </w:r>
    </w:p>
    <w:p w14:paraId="5F5B40FB" w14:textId="4098CBC5" w:rsidR="00F52826" w:rsidRPr="001B44E8" w:rsidRDefault="00C57BA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Phylogenetic Tree Builder utilized sequences aligned by the System Software aligner. A distance matrix was generated employing the Jukes-Cantor corrected distance model. During the construction of the distance matrix, only positions within the alignment model were considered, while alignment inserts were excluded. A minimum of 200 comparable positions was required for inclusion in the analysis. The phylogenetic tree was subsequently constructed using the </w:t>
      </w:r>
      <w:proofErr w:type="spellStart"/>
      <w:r w:rsidRPr="001B44E8">
        <w:rPr>
          <w:rFonts w:ascii="Arial" w:hAnsi="Arial" w:cs="Arial"/>
          <w:color w:val="000000" w:themeColor="text1"/>
          <w:sz w:val="20"/>
          <w:szCs w:val="20"/>
        </w:rPr>
        <w:t>Weighbor</w:t>
      </w:r>
      <w:proofErr w:type="spellEnd"/>
      <w:r w:rsidRPr="001B44E8">
        <w:rPr>
          <w:rFonts w:ascii="Arial" w:hAnsi="Arial" w:cs="Arial"/>
          <w:color w:val="000000" w:themeColor="text1"/>
          <w:sz w:val="20"/>
          <w:szCs w:val="20"/>
        </w:rPr>
        <w:t xml:space="preserve"> algorithm, with an alphabet size of 4 and a sequence length of 1000.</w:t>
      </w:r>
      <w:r w:rsidR="00F52826" w:rsidRPr="001B44E8">
        <w:rPr>
          <w:rFonts w:ascii="Arial" w:hAnsi="Arial" w:cs="Arial"/>
          <w:color w:val="000000" w:themeColor="text1"/>
          <w:sz w:val="20"/>
          <w:szCs w:val="20"/>
        </w:rPr>
        <w:t xml:space="preserve"> Bootstrapping was performed to estimate the sampling distribution by resampling with replacement from the original dataset</w:t>
      </w:r>
      <w:r w:rsidR="0077674C" w:rsidRPr="001B44E8">
        <w:rPr>
          <w:rFonts w:ascii="Arial" w:hAnsi="Arial" w:cs="Arial"/>
          <w:color w:val="000000" w:themeColor="text1"/>
          <w:sz w:val="20"/>
          <w:szCs w:val="20"/>
        </w:rPr>
        <w:t xml:space="preserve"> [Gabriel and Jeff, 2024; Bruno et al, 2000; Soltis and Soltis, 2003]</w:t>
      </w:r>
      <w:r w:rsidR="00F52826" w:rsidRPr="001B44E8">
        <w:rPr>
          <w:rFonts w:ascii="Arial" w:hAnsi="Arial" w:cs="Arial"/>
          <w:color w:val="000000" w:themeColor="text1"/>
          <w:sz w:val="20"/>
          <w:szCs w:val="20"/>
        </w:rPr>
        <w:t>.</w:t>
      </w:r>
    </w:p>
    <w:p w14:paraId="1B9D8CFC" w14:textId="77777777" w:rsidR="00E94FBD" w:rsidRPr="001B44E8" w:rsidRDefault="00E94FBD" w:rsidP="001B44E8">
      <w:pPr>
        <w:spacing w:after="0" w:line="240" w:lineRule="auto"/>
        <w:rPr>
          <w:rFonts w:ascii="Arial" w:hAnsi="Arial" w:cs="Arial"/>
          <w:color w:val="000000" w:themeColor="text1"/>
          <w:sz w:val="20"/>
          <w:szCs w:val="20"/>
        </w:rPr>
      </w:pPr>
    </w:p>
    <w:p w14:paraId="59914ABC" w14:textId="045E970A" w:rsidR="00C17346"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54FDC" w:rsidRPr="001B44E8">
        <w:rPr>
          <w:rFonts w:ascii="Arial" w:hAnsi="Arial" w:cs="Arial"/>
          <w:b/>
          <w:bCs/>
          <w:color w:val="000000" w:themeColor="text1"/>
        </w:rPr>
        <w:t>Ammonia oxidation</w:t>
      </w:r>
    </w:p>
    <w:p w14:paraId="63A038AF" w14:textId="3EEF421E" w:rsidR="00C17346" w:rsidRPr="001B44E8" w:rsidRDefault="00C1734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Ammonia oxidation by bacterial isolates was estimated through a controlled experimental setup using sterile Zobell media enriched with ammonia</w:t>
      </w:r>
      <w:r w:rsidR="00847939" w:rsidRPr="001B44E8">
        <w:rPr>
          <w:rFonts w:ascii="Arial" w:hAnsi="Arial" w:cs="Arial"/>
          <w:color w:val="000000" w:themeColor="text1"/>
          <w:sz w:val="20"/>
          <w:szCs w:val="20"/>
        </w:rPr>
        <w:t xml:space="preserve"> [Krishnaveni et al, 2017]</w:t>
      </w:r>
      <w:r w:rsidRPr="001B44E8">
        <w:rPr>
          <w:rFonts w:ascii="Arial" w:hAnsi="Arial" w:cs="Arial"/>
          <w:color w:val="000000" w:themeColor="text1"/>
          <w:sz w:val="20"/>
          <w:szCs w:val="20"/>
        </w:rPr>
        <w:t xml:space="preserve">. Starter cultures were prepared by incubating bacterial isolates in a liquid medium composed of </w:t>
      </w:r>
      <w:proofErr w:type="spellStart"/>
      <w:r w:rsidRPr="001B44E8">
        <w:rPr>
          <w:rFonts w:ascii="Arial" w:hAnsi="Arial" w:cs="Arial"/>
          <w:color w:val="000000" w:themeColor="text1"/>
          <w:sz w:val="20"/>
          <w:szCs w:val="20"/>
        </w:rPr>
        <w:t>bacto</w:t>
      </w:r>
      <w:proofErr w:type="spellEnd"/>
      <w:r w:rsidRPr="001B44E8">
        <w:rPr>
          <w:rFonts w:ascii="Arial" w:hAnsi="Arial" w:cs="Arial"/>
          <w:color w:val="000000" w:themeColor="text1"/>
          <w:sz w:val="20"/>
          <w:szCs w:val="20"/>
        </w:rPr>
        <w:t xml:space="preserve">-peptone and yeast extract dissolved in autoclaved water. Post sterilization, bacterial inoculum was transferred into treatment flasks, while uninoculated media served as controls. Both were supplemented with 10 ppm ammonia and incubated on a rotary shaker for </w:t>
      </w:r>
      <w:r w:rsidR="006312EE" w:rsidRPr="001B44E8">
        <w:rPr>
          <w:rFonts w:ascii="Arial" w:hAnsi="Arial" w:cs="Arial"/>
          <w:color w:val="000000" w:themeColor="text1"/>
          <w:sz w:val="20"/>
          <w:szCs w:val="20"/>
        </w:rPr>
        <w:t xml:space="preserve">24, 48 and </w:t>
      </w:r>
      <w:r w:rsidRPr="001B44E8">
        <w:rPr>
          <w:rFonts w:ascii="Arial" w:hAnsi="Arial" w:cs="Arial"/>
          <w:color w:val="000000" w:themeColor="text1"/>
          <w:sz w:val="20"/>
          <w:szCs w:val="20"/>
        </w:rPr>
        <w:t xml:space="preserve">72 hours. Ammonia concentrations were quantified using the Nessler-Spectrophotometry method, wherein aliquots were reacted with </w:t>
      </w:r>
      <w:proofErr w:type="spellStart"/>
      <w:r w:rsidRPr="001B44E8">
        <w:rPr>
          <w:rFonts w:ascii="Arial" w:hAnsi="Arial" w:cs="Arial"/>
          <w:color w:val="000000" w:themeColor="text1"/>
          <w:sz w:val="20"/>
          <w:szCs w:val="20"/>
        </w:rPr>
        <w:t>Seignette</w:t>
      </w:r>
      <w:proofErr w:type="spellEnd"/>
      <w:r w:rsidRPr="001B44E8">
        <w:rPr>
          <w:rFonts w:ascii="Arial" w:hAnsi="Arial" w:cs="Arial"/>
          <w:color w:val="000000" w:themeColor="text1"/>
          <w:sz w:val="20"/>
          <w:szCs w:val="20"/>
        </w:rPr>
        <w:t xml:space="preserve"> salt and Nessler reagent to yield a yellow chromophore, whose absorbance was measured at 420 nm</w:t>
      </w:r>
      <w:r w:rsidR="00847939" w:rsidRPr="001B44E8">
        <w:rPr>
          <w:rFonts w:ascii="Arial" w:hAnsi="Arial" w:cs="Arial"/>
          <w:color w:val="000000" w:themeColor="text1"/>
          <w:sz w:val="20"/>
          <w:szCs w:val="20"/>
        </w:rPr>
        <w:t xml:space="preserve"> [Tyas et al, 2020]</w:t>
      </w:r>
      <w:r w:rsidRPr="001B44E8">
        <w:rPr>
          <w:rFonts w:ascii="Arial" w:hAnsi="Arial" w:cs="Arial"/>
          <w:color w:val="000000" w:themeColor="text1"/>
          <w:sz w:val="20"/>
          <w:szCs w:val="20"/>
        </w:rPr>
        <w:t>. Standard curves derived from known ammonia concentrations facilitated quantification</w:t>
      </w:r>
      <w:r w:rsidR="00257622" w:rsidRPr="001B44E8">
        <w:rPr>
          <w:rFonts w:ascii="Arial" w:hAnsi="Arial" w:cs="Arial"/>
          <w:color w:val="000000" w:themeColor="text1"/>
          <w:sz w:val="20"/>
          <w:szCs w:val="20"/>
        </w:rPr>
        <w:t xml:space="preserve"> (Figure</w:t>
      </w:r>
      <w:r w:rsidR="00FD60BD" w:rsidRPr="001B44E8">
        <w:rPr>
          <w:rFonts w:ascii="Arial" w:hAnsi="Arial" w:cs="Arial"/>
          <w:color w:val="000000" w:themeColor="text1"/>
          <w:sz w:val="20"/>
          <w:szCs w:val="20"/>
        </w:rPr>
        <w:t xml:space="preserve"> 1</w:t>
      </w:r>
      <w:r w:rsidR="00257622" w:rsidRPr="001B44E8">
        <w:rPr>
          <w:rFonts w:ascii="Arial" w:hAnsi="Arial" w:cs="Arial"/>
          <w:color w:val="000000" w:themeColor="text1"/>
          <w:sz w:val="20"/>
          <w:szCs w:val="20"/>
        </w:rPr>
        <w:t>)</w:t>
      </w:r>
      <w:r w:rsidRPr="001B44E8">
        <w:rPr>
          <w:rFonts w:ascii="Arial" w:hAnsi="Arial" w:cs="Arial"/>
          <w:color w:val="000000" w:themeColor="text1"/>
          <w:sz w:val="20"/>
          <w:szCs w:val="20"/>
        </w:rPr>
        <w:t>. The extent of ammonia oxidation (AO) was calculated using the formula AO = (AC - AT)/AC × 100, where AC and AT represent ammonia levels in control and inoculated media respectively, thus providing a measure of bacterial ammonia degradation efficiency.</w:t>
      </w:r>
    </w:p>
    <w:p w14:paraId="0C6A61E2" w14:textId="77777777" w:rsidR="00C17346" w:rsidRPr="001B44E8" w:rsidRDefault="00C17346" w:rsidP="001B44E8">
      <w:pPr>
        <w:spacing w:after="0" w:line="240" w:lineRule="auto"/>
        <w:rPr>
          <w:rFonts w:ascii="Arial" w:hAnsi="Arial" w:cs="Arial"/>
          <w:b/>
          <w:bCs/>
          <w:color w:val="000000" w:themeColor="text1"/>
          <w:sz w:val="20"/>
          <w:szCs w:val="20"/>
        </w:rPr>
      </w:pPr>
    </w:p>
    <w:p w14:paraId="38657A7E" w14:textId="77777777" w:rsidR="005516CA" w:rsidRPr="001B44E8" w:rsidRDefault="005516CA" w:rsidP="001B44E8">
      <w:pPr>
        <w:spacing w:after="0" w:line="240" w:lineRule="auto"/>
        <w:rPr>
          <w:rFonts w:ascii="Arial" w:hAnsi="Arial" w:cs="Arial"/>
          <w:b/>
          <w:bCs/>
          <w:color w:val="000000" w:themeColor="text1"/>
          <w:sz w:val="20"/>
          <w:szCs w:val="20"/>
        </w:rPr>
      </w:pPr>
    </w:p>
    <w:p w14:paraId="459C7700" w14:textId="5E7203D5" w:rsidR="005A6BA9" w:rsidRPr="001B44E8" w:rsidRDefault="006F3C7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RESULTS AND DISCUSSION</w:t>
      </w:r>
    </w:p>
    <w:p w14:paraId="0A5DC325" w14:textId="76A28BD1" w:rsidR="00BF5C8D"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 </w:t>
      </w:r>
      <w:r w:rsidR="00BF5C8D" w:rsidRPr="001B44E8">
        <w:rPr>
          <w:rFonts w:ascii="Arial" w:hAnsi="Arial" w:cs="Arial"/>
          <w:b/>
          <w:bCs/>
          <w:color w:val="000000" w:themeColor="text1"/>
        </w:rPr>
        <w:t>Morphological Identification</w:t>
      </w:r>
    </w:p>
    <w:p w14:paraId="5C846167" w14:textId="43D5FA4A" w:rsidR="00BF5C8D" w:rsidRPr="001B44E8" w:rsidRDefault="007F543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Test results for morphological identification of the isolated bacteria are given in 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w:t>
      </w:r>
      <w:r w:rsidR="00BF5C8D" w:rsidRPr="001B44E8">
        <w:rPr>
          <w:rFonts w:ascii="Arial" w:hAnsi="Arial" w:cs="Arial"/>
          <w:color w:val="000000" w:themeColor="text1"/>
          <w:sz w:val="20"/>
          <w:szCs w:val="20"/>
        </w:rPr>
        <w:t xml:space="preserve">The bacterial isolate was subjected to Gram staining and was found to be Gram-negative, indicating that the cell wall lacked a thick peptidoglycan layer and possessed an outer membrane characteristic of Gram-negative bacteria. Microscopic examination of a stained smear revealed that the cells were rod-shaped (bacilli), suggesting the bacterium belonged to the bacillus group. In motility test, the bacterium was found to be non-motile as no directional movement was observed. The combination of these morphological characteristics—Gram-negative, rod-shaped, and non-motile—provides initial clues for bacterial </w:t>
      </w:r>
      <w:r w:rsidR="00BF5C8D" w:rsidRPr="001B44E8">
        <w:rPr>
          <w:rFonts w:ascii="Arial" w:hAnsi="Arial" w:cs="Arial"/>
          <w:color w:val="000000" w:themeColor="text1"/>
          <w:sz w:val="20"/>
          <w:szCs w:val="20"/>
        </w:rPr>
        <w:lastRenderedPageBreak/>
        <w:t>identification and can help narrow down the possible genera, such as Klebsiella, Shigella, or Acinetobacter, pending further biochemical or molecular testing.</w:t>
      </w:r>
    </w:p>
    <w:p w14:paraId="6F36DB5D" w14:textId="77777777" w:rsidR="00580036" w:rsidRPr="001B44E8" w:rsidRDefault="00580036" w:rsidP="001B44E8">
      <w:pPr>
        <w:spacing w:after="0" w:line="240" w:lineRule="auto"/>
        <w:rPr>
          <w:rFonts w:ascii="Arial" w:hAnsi="Arial" w:cs="Arial"/>
          <w:color w:val="000000" w:themeColor="text1"/>
          <w:sz w:val="20"/>
          <w:szCs w:val="20"/>
        </w:rPr>
      </w:pPr>
    </w:p>
    <w:p w14:paraId="5D11FCDC" w14:textId="6EFE62BD" w:rsidR="00CF6EAE" w:rsidRPr="001B44E8" w:rsidRDefault="00CF6EAE"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Biochemical analysis</w:t>
      </w:r>
    </w:p>
    <w:p w14:paraId="007C148F" w14:textId="12D102FC" w:rsidR="00CF6EAE" w:rsidRPr="001B44E8" w:rsidRDefault="0083228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isolated colonies appeared creamy white, circular, raised, and fluidal, with a growth diameter of 2–3 mm observed within 72 hours. </w:t>
      </w:r>
      <w:r w:rsidR="00CF6EAE" w:rsidRPr="001B44E8">
        <w:rPr>
          <w:rFonts w:ascii="Arial" w:hAnsi="Arial" w:cs="Arial"/>
          <w:color w:val="000000" w:themeColor="text1"/>
          <w:sz w:val="20"/>
          <w:szCs w:val="20"/>
        </w:rPr>
        <w:t xml:space="preserve">The </w:t>
      </w:r>
      <w:r w:rsidR="00CD363B" w:rsidRPr="001B44E8">
        <w:rPr>
          <w:rFonts w:ascii="Arial" w:hAnsi="Arial" w:cs="Arial"/>
          <w:color w:val="000000" w:themeColor="text1"/>
          <w:sz w:val="20"/>
          <w:szCs w:val="20"/>
        </w:rPr>
        <w:t xml:space="preserve">biochemical </w:t>
      </w:r>
      <w:r w:rsidR="00CF6EAE" w:rsidRPr="001B44E8">
        <w:rPr>
          <w:rFonts w:ascii="Arial" w:hAnsi="Arial" w:cs="Arial"/>
          <w:color w:val="000000" w:themeColor="text1"/>
          <w:sz w:val="20"/>
          <w:szCs w:val="20"/>
        </w:rPr>
        <w:t xml:space="preserve">tests performed include Indole, Methyl Red, Voges-Proskauer, Citrate, and various sugar utilization tests. </w:t>
      </w:r>
      <w:r w:rsidR="00BF1FD1" w:rsidRPr="001B44E8">
        <w:rPr>
          <w:rFonts w:ascii="Arial" w:hAnsi="Arial" w:cs="Arial"/>
          <w:color w:val="000000" w:themeColor="text1"/>
          <w:sz w:val="20"/>
          <w:szCs w:val="20"/>
        </w:rPr>
        <w:t xml:space="preserve">The results </w:t>
      </w:r>
      <w:r w:rsidR="00312FE2" w:rsidRPr="001B44E8">
        <w:rPr>
          <w:rFonts w:ascii="Arial" w:hAnsi="Arial" w:cs="Arial"/>
          <w:color w:val="000000" w:themeColor="text1"/>
          <w:sz w:val="20"/>
          <w:szCs w:val="20"/>
        </w:rPr>
        <w:t>have been</w:t>
      </w:r>
      <w:r w:rsidR="00BF1FD1" w:rsidRPr="001B44E8">
        <w:rPr>
          <w:rFonts w:ascii="Arial" w:hAnsi="Arial" w:cs="Arial"/>
          <w:color w:val="000000" w:themeColor="text1"/>
          <w:sz w:val="20"/>
          <w:szCs w:val="20"/>
        </w:rPr>
        <w:t xml:space="preserve"> summarised in </w:t>
      </w:r>
      <w:r w:rsidR="006562B3" w:rsidRPr="001B44E8">
        <w:rPr>
          <w:rFonts w:ascii="Arial" w:hAnsi="Arial" w:cs="Arial"/>
          <w:color w:val="000000" w:themeColor="text1"/>
          <w:sz w:val="20"/>
          <w:szCs w:val="20"/>
        </w:rPr>
        <w:t>t</w:t>
      </w:r>
      <w:r w:rsidR="00BF1FD1" w:rsidRPr="001B44E8">
        <w:rPr>
          <w:rFonts w:ascii="Arial" w:hAnsi="Arial" w:cs="Arial"/>
          <w:color w:val="000000" w:themeColor="text1"/>
          <w:sz w:val="20"/>
          <w:szCs w:val="20"/>
        </w:rPr>
        <w:t>able</w:t>
      </w:r>
      <w:r w:rsidR="006562B3" w:rsidRPr="001B44E8">
        <w:rPr>
          <w:rFonts w:ascii="Arial" w:hAnsi="Arial" w:cs="Arial"/>
          <w:color w:val="000000" w:themeColor="text1"/>
          <w:sz w:val="20"/>
          <w:szCs w:val="20"/>
        </w:rPr>
        <w:t xml:space="preserve"> 3</w:t>
      </w:r>
      <w:r w:rsidR="00BF1FD1" w:rsidRPr="001B44E8">
        <w:rPr>
          <w:rFonts w:ascii="Arial" w:hAnsi="Arial" w:cs="Arial"/>
          <w:color w:val="000000" w:themeColor="text1"/>
          <w:sz w:val="20"/>
          <w:szCs w:val="20"/>
        </w:rPr>
        <w:t xml:space="preserve">. </w:t>
      </w:r>
      <w:r w:rsidR="00CF6EAE" w:rsidRPr="001B44E8">
        <w:rPr>
          <w:rFonts w:ascii="Arial" w:hAnsi="Arial" w:cs="Arial"/>
          <w:color w:val="000000" w:themeColor="text1"/>
          <w:sz w:val="20"/>
          <w:szCs w:val="20"/>
        </w:rPr>
        <w:t>For the Indole test, 2 drops of Kovac's reagent were added after incubation to detect the deamination of tryptophan, with a negative result observed. The Methyl Red test involved adding 2 drops of the Methyl red indicator to detect acid production, which yielded a positive result. In the Voges-Proskauer test, 2 drops each of Baritt reagent-A and Baritt reagent-B were added to detect acetoin production, resulting in a positive outcome. The Citrate test, which requires no additional reagents, determines the organism's ability to use citrate as the sole carbon source, and this test was negative. For sugar utilization, glucose and various other carbohydrates were tested without the addition of reagents. Positive results were observed for glucose, arabinose, sorbitol, mannitol, rhamnose, and sucrose, indicating the organism's capability to utilize these sugars. However, adonitol, lactose, and citrate utilization tests resulted in negative outcomes.</w:t>
      </w:r>
    </w:p>
    <w:p w14:paraId="6D2261E1" w14:textId="77777777" w:rsidR="00540E3E" w:rsidRPr="001B44E8" w:rsidRDefault="00540E3E" w:rsidP="001B44E8">
      <w:pPr>
        <w:spacing w:after="0" w:line="240" w:lineRule="auto"/>
        <w:rPr>
          <w:rFonts w:ascii="Arial" w:hAnsi="Arial" w:cs="Arial"/>
          <w:color w:val="000000" w:themeColor="text1"/>
          <w:sz w:val="20"/>
          <w:szCs w:val="20"/>
        </w:rPr>
      </w:pPr>
    </w:p>
    <w:p w14:paraId="70A74239" w14:textId="625EA6CE" w:rsidR="00B56238" w:rsidRPr="001B44E8" w:rsidRDefault="003203D4"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B56238" w:rsidRPr="001B44E8">
        <w:rPr>
          <w:rFonts w:ascii="Arial" w:hAnsi="Arial" w:cs="Arial"/>
          <w:b/>
          <w:bCs/>
          <w:color w:val="000000" w:themeColor="text1"/>
        </w:rPr>
        <w:t>Nucleotide sequence accession and phylogenesis</w:t>
      </w:r>
      <w:r w:rsidR="00BA43C7" w:rsidRPr="001B44E8">
        <w:rPr>
          <w:rFonts w:ascii="Arial" w:hAnsi="Arial" w:cs="Arial"/>
          <w:b/>
          <w:bCs/>
          <w:color w:val="000000" w:themeColor="text1"/>
        </w:rPr>
        <w:t xml:space="preserve"> </w:t>
      </w:r>
    </w:p>
    <w:p w14:paraId="03C87098" w14:textId="6C3EC337" w:rsidR="00B56238" w:rsidRPr="001B44E8" w:rsidRDefault="00B5623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raw sequencing data underwent rigorous quality control and bioinformatics processing to identify and classify the microbial communities within the sample. After annotation and alignment with reference databases, statistical analyses were performed to uncover patterns and relationships among the samples. The Phylogenetic Tree Builder used sequences aligned by the System Software aligner, and an evolutionary tree was constructed. Figure</w:t>
      </w:r>
      <w:r w:rsidR="00725401"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The isolated </w:t>
      </w:r>
      <w:r w:rsidR="000B1378" w:rsidRPr="001B44E8">
        <w:rPr>
          <w:rFonts w:ascii="Arial" w:hAnsi="Arial" w:cs="Arial"/>
          <w:color w:val="000000" w:themeColor="text1"/>
          <w:sz w:val="20"/>
          <w:szCs w:val="20"/>
        </w:rPr>
        <w:t xml:space="preserve">colony of </w:t>
      </w:r>
      <w:r w:rsidRPr="001B44E8">
        <w:rPr>
          <w:rFonts w:ascii="Arial" w:hAnsi="Arial" w:cs="Arial"/>
          <w:color w:val="000000" w:themeColor="text1"/>
          <w:sz w:val="20"/>
          <w:szCs w:val="20"/>
        </w:rPr>
        <w:t xml:space="preserve">bacteria was identified as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w:t>
      </w:r>
    </w:p>
    <w:p w14:paraId="68C8CB66" w14:textId="77777777" w:rsidR="00E94FBD" w:rsidRPr="001B44E8" w:rsidRDefault="00E94FBD" w:rsidP="001B44E8">
      <w:pPr>
        <w:spacing w:after="0" w:line="240" w:lineRule="auto"/>
        <w:rPr>
          <w:rFonts w:ascii="Arial" w:hAnsi="Arial" w:cs="Arial"/>
          <w:color w:val="000000" w:themeColor="text1"/>
          <w:sz w:val="20"/>
          <w:szCs w:val="20"/>
        </w:rPr>
      </w:pPr>
    </w:p>
    <w:p w14:paraId="2C34D936" w14:textId="46243F46" w:rsidR="00BA43C7"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BA43C7" w:rsidRPr="001B44E8">
        <w:rPr>
          <w:rFonts w:ascii="Arial" w:hAnsi="Arial" w:cs="Arial"/>
          <w:b/>
          <w:bCs/>
          <w:color w:val="000000" w:themeColor="text1"/>
        </w:rPr>
        <w:t xml:space="preserve">Ammonia oxidation by </w:t>
      </w:r>
      <w:r w:rsidR="00BA43C7" w:rsidRPr="001B44E8">
        <w:rPr>
          <w:rFonts w:ascii="Arial" w:hAnsi="Arial" w:cs="Arial"/>
          <w:b/>
          <w:bCs/>
          <w:i/>
          <w:iCs/>
          <w:color w:val="000000" w:themeColor="text1"/>
        </w:rPr>
        <w:t xml:space="preserve">Klebsiella </w:t>
      </w:r>
      <w:proofErr w:type="spellStart"/>
      <w:r w:rsidR="00BA43C7" w:rsidRPr="001B44E8">
        <w:rPr>
          <w:rFonts w:ascii="Arial" w:hAnsi="Arial" w:cs="Arial"/>
          <w:b/>
          <w:bCs/>
          <w:i/>
          <w:iCs/>
          <w:color w:val="000000" w:themeColor="text1"/>
        </w:rPr>
        <w:t>variicola</w:t>
      </w:r>
      <w:proofErr w:type="spellEnd"/>
    </w:p>
    <w:p w14:paraId="65F09D1E" w14:textId="53C14601" w:rsidR="005516CA"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Nessler’s reagent method was employed to detect the presence of residual ammonia in the culture medium during the </w:t>
      </w:r>
      <w:r w:rsidR="006312EE" w:rsidRPr="001B44E8">
        <w:rPr>
          <w:rFonts w:ascii="Arial" w:hAnsi="Arial" w:cs="Arial"/>
          <w:color w:val="000000" w:themeColor="text1"/>
          <w:sz w:val="20"/>
          <w:szCs w:val="20"/>
        </w:rPr>
        <w:t xml:space="preserve">24, </w:t>
      </w:r>
      <w:proofErr w:type="gramStart"/>
      <w:r w:rsidR="006312EE" w:rsidRPr="001B44E8">
        <w:rPr>
          <w:rFonts w:ascii="Arial" w:hAnsi="Arial" w:cs="Arial"/>
          <w:color w:val="000000" w:themeColor="text1"/>
          <w:sz w:val="20"/>
          <w:szCs w:val="20"/>
        </w:rPr>
        <w:t xml:space="preserve">48 and </w:t>
      </w:r>
      <w:r w:rsidR="001F65E4" w:rsidRPr="001B44E8">
        <w:rPr>
          <w:rFonts w:ascii="Arial" w:hAnsi="Arial" w:cs="Arial"/>
          <w:color w:val="000000" w:themeColor="text1"/>
          <w:sz w:val="20"/>
          <w:szCs w:val="20"/>
        </w:rPr>
        <w:t>72 hours</w:t>
      </w:r>
      <w:proofErr w:type="gramEnd"/>
      <w:r w:rsidR="001F65E4"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incubation period. In this test, the addition of Nessler’s reagent to the sample led to the development of a yellow to brown coloration, with the intensity of the col</w:t>
      </w:r>
      <w:r w:rsidR="001F65E4" w:rsidRPr="001B44E8">
        <w:rPr>
          <w:rFonts w:ascii="Arial" w:hAnsi="Arial" w:cs="Arial"/>
          <w:color w:val="000000" w:themeColor="text1"/>
          <w:sz w:val="20"/>
          <w:szCs w:val="20"/>
        </w:rPr>
        <w:t>our</w:t>
      </w:r>
      <w:r w:rsidRPr="001B44E8">
        <w:rPr>
          <w:rFonts w:ascii="Arial" w:hAnsi="Arial" w:cs="Arial"/>
          <w:color w:val="000000" w:themeColor="text1"/>
          <w:sz w:val="20"/>
          <w:szCs w:val="20"/>
        </w:rPr>
        <w:t xml:space="preserve"> corresponding to the concentration of ammonia present. This allowed for a semi-quantitative estimation of ammonia levels, helping to determine the extent of its utilization by the bacterial isolate.</w:t>
      </w:r>
    </w:p>
    <w:p w14:paraId="5C2C5485" w14:textId="77777777" w:rsidR="00C74DAE"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 progressive decrease in the intensity of the yellow-brown colo</w:t>
      </w:r>
      <w:r w:rsidR="001F65E4" w:rsidRPr="001B44E8">
        <w:rPr>
          <w:rFonts w:ascii="Arial" w:hAnsi="Arial" w:cs="Arial"/>
          <w:color w:val="000000" w:themeColor="text1"/>
          <w:sz w:val="20"/>
          <w:szCs w:val="20"/>
        </w:rPr>
        <w:t>u</w:t>
      </w:r>
      <w:r w:rsidRPr="001B44E8">
        <w:rPr>
          <w:rFonts w:ascii="Arial" w:hAnsi="Arial" w:cs="Arial"/>
          <w:color w:val="000000" w:themeColor="text1"/>
          <w:sz w:val="20"/>
          <w:szCs w:val="20"/>
        </w:rPr>
        <w:t>r from the Nessler’s test</w:t>
      </w:r>
      <w:r w:rsidR="001F65E4" w:rsidRPr="001B44E8">
        <w:rPr>
          <w:rFonts w:ascii="Arial" w:hAnsi="Arial" w:cs="Arial"/>
          <w:color w:val="000000" w:themeColor="text1"/>
          <w:sz w:val="20"/>
          <w:szCs w:val="20"/>
        </w:rPr>
        <w:t xml:space="preserve"> s</w:t>
      </w:r>
      <w:r w:rsidRPr="001B44E8">
        <w:rPr>
          <w:rFonts w:ascii="Arial" w:hAnsi="Arial" w:cs="Arial"/>
          <w:color w:val="000000" w:themeColor="text1"/>
          <w:sz w:val="20"/>
          <w:szCs w:val="20"/>
        </w:rPr>
        <w:t xml:space="preserve">ignified that the bacterium was actively </w:t>
      </w:r>
      <w:r w:rsidR="001F65E4" w:rsidRPr="001B44E8">
        <w:rPr>
          <w:rFonts w:ascii="Arial" w:hAnsi="Arial" w:cs="Arial"/>
          <w:color w:val="000000" w:themeColor="text1"/>
          <w:sz w:val="20"/>
          <w:szCs w:val="20"/>
        </w:rPr>
        <w:t>oxidizing</w:t>
      </w:r>
      <w:r w:rsidRPr="001B44E8">
        <w:rPr>
          <w:rFonts w:ascii="Arial" w:hAnsi="Arial" w:cs="Arial"/>
          <w:color w:val="000000" w:themeColor="text1"/>
          <w:sz w:val="20"/>
          <w:szCs w:val="20"/>
        </w:rPr>
        <w:t xml:space="preserve"> ammonia. </w:t>
      </w:r>
      <w:r w:rsidR="001F65E4" w:rsidRPr="001B44E8">
        <w:rPr>
          <w:rFonts w:ascii="Arial" w:hAnsi="Arial" w:cs="Arial"/>
          <w:color w:val="000000" w:themeColor="text1"/>
          <w:sz w:val="20"/>
          <w:szCs w:val="20"/>
        </w:rPr>
        <w:t>T</w:t>
      </w:r>
      <w:r w:rsidRPr="001B44E8">
        <w:rPr>
          <w:rFonts w:ascii="Arial" w:hAnsi="Arial" w:cs="Arial"/>
          <w:color w:val="000000" w:themeColor="text1"/>
          <w:sz w:val="20"/>
          <w:szCs w:val="20"/>
        </w:rPr>
        <w:t>hese observations confirmed the bacterium’s ammonia-oxidizing capacity, indicating its potential role in the nitrification process.</w:t>
      </w:r>
    </w:p>
    <w:p w14:paraId="66D9D85F" w14:textId="154979E1" w:rsidR="00190278" w:rsidRPr="001B44E8" w:rsidRDefault="001902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initial ammonia concentration was 10 ppm and absorbance readings from inoculated treatments at each time point were recorded and matched to the standard curve for estimated ammonia concentration in treatment </w:t>
      </w:r>
      <w:r w:rsidR="006562B3" w:rsidRPr="001B44E8">
        <w:rPr>
          <w:rFonts w:ascii="Arial" w:hAnsi="Arial" w:cs="Arial"/>
          <w:color w:val="000000" w:themeColor="text1"/>
          <w:sz w:val="20"/>
          <w:szCs w:val="20"/>
        </w:rPr>
        <w:t>(</w:t>
      </w: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4)</w:t>
      </w:r>
      <w:r w:rsidRPr="001B44E8">
        <w:rPr>
          <w:rFonts w:ascii="Arial" w:hAnsi="Arial" w:cs="Arial"/>
          <w:color w:val="000000" w:themeColor="text1"/>
          <w:sz w:val="20"/>
          <w:szCs w:val="20"/>
        </w:rPr>
        <w:t xml:space="preserve">. These results suggest that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gradually oxidized ammonia over time, with 6</w:t>
      </w:r>
      <w:r w:rsidR="008A528D" w:rsidRPr="001B44E8">
        <w:rPr>
          <w:rFonts w:ascii="Arial" w:hAnsi="Arial" w:cs="Arial"/>
          <w:color w:val="000000" w:themeColor="text1"/>
          <w:sz w:val="20"/>
          <w:szCs w:val="20"/>
        </w:rPr>
        <w:t>2.6</w:t>
      </w:r>
      <w:r w:rsidRPr="001B44E8">
        <w:rPr>
          <w:rFonts w:ascii="Arial" w:hAnsi="Arial" w:cs="Arial"/>
          <w:color w:val="000000" w:themeColor="text1"/>
          <w:sz w:val="20"/>
          <w:szCs w:val="20"/>
        </w:rPr>
        <w:t>% oxidation at 24 hours, 70</w:t>
      </w:r>
      <w:r w:rsidR="008A528D" w:rsidRPr="001B44E8">
        <w:rPr>
          <w:rFonts w:ascii="Arial" w:hAnsi="Arial" w:cs="Arial"/>
          <w:color w:val="000000" w:themeColor="text1"/>
          <w:sz w:val="20"/>
          <w:szCs w:val="20"/>
        </w:rPr>
        <w:t>.2</w:t>
      </w:r>
      <w:r w:rsidRPr="001B44E8">
        <w:rPr>
          <w:rFonts w:ascii="Arial" w:hAnsi="Arial" w:cs="Arial"/>
          <w:color w:val="000000" w:themeColor="text1"/>
          <w:sz w:val="20"/>
          <w:szCs w:val="20"/>
        </w:rPr>
        <w:t>% at 48 hours, and reaching 80% by 72 hours. This trend reflected a consistent increase in nitrification activity with extended incubation.</w:t>
      </w:r>
    </w:p>
    <w:p w14:paraId="1809FD10" w14:textId="77777777" w:rsidR="00190278" w:rsidRPr="001B44E8" w:rsidRDefault="00190278" w:rsidP="001B44E8">
      <w:pPr>
        <w:spacing w:after="0" w:line="240" w:lineRule="auto"/>
        <w:rPr>
          <w:rFonts w:ascii="Arial" w:hAnsi="Arial" w:cs="Arial"/>
          <w:color w:val="000000" w:themeColor="text1"/>
          <w:sz w:val="20"/>
          <w:szCs w:val="20"/>
        </w:rPr>
      </w:pPr>
    </w:p>
    <w:p w14:paraId="5B532ED8" w14:textId="09465FD8" w:rsidR="00540E3E" w:rsidRPr="001B44E8" w:rsidRDefault="00672CF6" w:rsidP="001B44E8">
      <w:pPr>
        <w:spacing w:after="0" w:line="240" w:lineRule="auto"/>
        <w:rPr>
          <w:rFonts w:ascii="Arial" w:hAnsi="Arial" w:cs="Arial"/>
          <w:color w:val="000000" w:themeColor="text1"/>
          <w:sz w:val="20"/>
          <w:szCs w:val="20"/>
        </w:rPr>
      </w:pP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is an ecologically versatile bacterium with notable contributions to both plant growth and environmental sustainability. In agricultural systems, it enhances soil fertility through its nitrogen-fixing ability in the rhizosphere, promoting nutrient availability in nitrogen-deficient soils. Additionally, it produces growth-stimulating compounds such as indole acetic acid, acetoin, and ammonia, which collectively support root development and plant vitality</w:t>
      </w:r>
      <w:r w:rsidR="00D720C9" w:rsidRPr="001B44E8">
        <w:rPr>
          <w:rFonts w:ascii="Arial" w:hAnsi="Arial" w:cs="Arial"/>
          <w:color w:val="000000" w:themeColor="text1"/>
          <w:sz w:val="20"/>
          <w:szCs w:val="20"/>
        </w:rPr>
        <w:t xml:space="preserve"> [Marian et al, 2024]</w:t>
      </w:r>
      <w:r w:rsidRPr="001B44E8">
        <w:rPr>
          <w:rFonts w:ascii="Arial" w:hAnsi="Arial" w:cs="Arial"/>
          <w:color w:val="000000" w:themeColor="text1"/>
          <w:sz w:val="20"/>
          <w:szCs w:val="20"/>
        </w:rPr>
        <w:t xml:space="preserve">. Its capacity to solubilize essential macronutrients like phosphorus and potassium further amplifies its role in improving nutrient uptake and crop yield. Moreover, certain strains exhibit halotolerance and </w:t>
      </w:r>
      <w:proofErr w:type="spellStart"/>
      <w:r w:rsidRPr="001B44E8">
        <w:rPr>
          <w:rFonts w:ascii="Arial" w:hAnsi="Arial" w:cs="Arial"/>
          <w:color w:val="000000" w:themeColor="text1"/>
          <w:sz w:val="20"/>
          <w:szCs w:val="20"/>
        </w:rPr>
        <w:t>alkalo</w:t>
      </w:r>
      <w:proofErr w:type="spellEnd"/>
      <w:r w:rsidRPr="001B44E8">
        <w:rPr>
          <w:rFonts w:ascii="Arial" w:hAnsi="Arial" w:cs="Arial"/>
          <w:color w:val="000000" w:themeColor="text1"/>
          <w:sz w:val="20"/>
          <w:szCs w:val="20"/>
        </w:rPr>
        <w:t xml:space="preserve">-tolerance, allowing survival and function under saline or alkaline soil conditions, thus offering resilience in degraded or marginal lands. Beyond its agricultural benefits,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contributes significantly to environmental applications such as wastewater treatment, where it participates in the degradation of organic pollutants, and in bioremediation processes that detoxify contaminated soils</w:t>
      </w:r>
      <w:r w:rsidR="00D720C9" w:rsidRPr="001B44E8">
        <w:rPr>
          <w:rFonts w:ascii="Arial" w:hAnsi="Arial" w:cs="Arial"/>
          <w:color w:val="000000" w:themeColor="text1"/>
          <w:sz w:val="20"/>
          <w:szCs w:val="20"/>
        </w:rPr>
        <w:t xml:space="preserve"> [Duran-Bedolla et al, 2021]</w:t>
      </w:r>
      <w:r w:rsidRPr="001B44E8">
        <w:rPr>
          <w:rFonts w:ascii="Arial" w:hAnsi="Arial" w:cs="Arial"/>
          <w:color w:val="000000" w:themeColor="text1"/>
          <w:sz w:val="20"/>
          <w:szCs w:val="20"/>
        </w:rPr>
        <w:t xml:space="preserve">. Whether functioning independently or synergistically with other microbial communities, its metabolic flexibility enables it to adapt and thrive in diverse ecological niches. This broad range of capabilities highlights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as a valuable bioresource for sustainable agriculture, environmental restoration, and eco-friendly biotechnological innovations.</w:t>
      </w:r>
    </w:p>
    <w:p w14:paraId="6BD4390C" w14:textId="77777777" w:rsidR="008132B9" w:rsidRPr="001B44E8" w:rsidRDefault="008132B9" w:rsidP="001B44E8">
      <w:pPr>
        <w:spacing w:after="0" w:line="240" w:lineRule="auto"/>
        <w:rPr>
          <w:rFonts w:ascii="Arial" w:hAnsi="Arial" w:cs="Arial"/>
          <w:color w:val="000000" w:themeColor="text1"/>
          <w:sz w:val="20"/>
          <w:szCs w:val="20"/>
        </w:rPr>
      </w:pPr>
    </w:p>
    <w:p w14:paraId="7F1BD318" w14:textId="77777777" w:rsidR="008132B9" w:rsidRPr="001B44E8" w:rsidRDefault="008132B9" w:rsidP="001B44E8">
      <w:pPr>
        <w:spacing w:after="0" w:line="240" w:lineRule="auto"/>
        <w:rPr>
          <w:rFonts w:ascii="Arial" w:hAnsi="Arial" w:cs="Arial"/>
          <w:color w:val="000000" w:themeColor="text1"/>
          <w:sz w:val="20"/>
          <w:szCs w:val="20"/>
        </w:rPr>
      </w:pPr>
    </w:p>
    <w:p w14:paraId="6327A5F4" w14:textId="77777777" w:rsidR="005A778E" w:rsidRPr="001B44E8" w:rsidRDefault="005A778E" w:rsidP="001B44E8">
      <w:pPr>
        <w:spacing w:after="0" w:line="240" w:lineRule="auto"/>
        <w:rPr>
          <w:rFonts w:ascii="Arial" w:hAnsi="Arial" w:cs="Arial"/>
          <w:color w:val="000000" w:themeColor="text1"/>
        </w:rPr>
      </w:pPr>
      <w:r w:rsidRPr="001B44E8">
        <w:rPr>
          <w:rFonts w:ascii="Arial" w:hAnsi="Arial" w:cs="Arial"/>
          <w:b/>
          <w:bCs/>
          <w:color w:val="000000" w:themeColor="text1"/>
        </w:rPr>
        <w:t>CONCLUSION</w:t>
      </w:r>
    </w:p>
    <w:p w14:paraId="03166407" w14:textId="265C0DAC" w:rsidR="005A778E" w:rsidRPr="001B44E8" w:rsidRDefault="00DB00A0"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Based on the results, the isolated bacterium was morphologically identified as a Gram-negative, rod-shaped, non-motile organism, suggesting possible affiliation with genera such as </w:t>
      </w:r>
      <w:r w:rsidRPr="001B44E8">
        <w:rPr>
          <w:rFonts w:ascii="Arial" w:hAnsi="Arial" w:cs="Arial"/>
          <w:i/>
          <w:iCs/>
          <w:color w:val="000000" w:themeColor="text1"/>
          <w:sz w:val="20"/>
          <w:szCs w:val="20"/>
        </w:rPr>
        <w:t>Klebsiella</w:t>
      </w:r>
      <w:r w:rsidRPr="001B44E8">
        <w:rPr>
          <w:rFonts w:ascii="Arial" w:hAnsi="Arial" w:cs="Arial"/>
          <w:color w:val="000000" w:themeColor="text1"/>
          <w:sz w:val="20"/>
          <w:szCs w:val="20"/>
        </w:rPr>
        <w:t xml:space="preserve">. Biochemical characterization further refined this identification, showing positive results for Methyl Red and Voges-Proskauer tests and the ability to utilize several sugars such as glucose, arabinose, sorbitol, and sucrose, while tests like Indole, Citrate, and lactose utilization were negative. These traits are consistent with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a finding confirmed by nucleotide sequencing and phylogenetic analysis. The bacterium’s capacity for ammonia oxidation was evaluated using the Nessler’s reagent method over a 72-hour period. A steady decrease in ammonia concentration was observed, with 62.6% oxidation at 24 hours, 70.2% at 48 hours, and 80% by 72 hours. This progressive decline in ammonia levels, indicated by decreasing colo</w:t>
      </w:r>
      <w:r w:rsidR="00BF069F" w:rsidRPr="001B44E8">
        <w:rPr>
          <w:rFonts w:ascii="Arial" w:hAnsi="Arial" w:cs="Arial"/>
          <w:color w:val="000000" w:themeColor="text1"/>
          <w:sz w:val="20"/>
          <w:szCs w:val="20"/>
        </w:rPr>
        <w:t>u</w:t>
      </w:r>
      <w:r w:rsidRPr="001B44E8">
        <w:rPr>
          <w:rFonts w:ascii="Arial" w:hAnsi="Arial" w:cs="Arial"/>
          <w:color w:val="000000" w:themeColor="text1"/>
          <w:sz w:val="20"/>
          <w:szCs w:val="20"/>
        </w:rPr>
        <w:t xml:space="preserve">r intensity in the Nessler’s assay and confirmed by spectrophotometric analysis, demonstrates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r w:rsidRPr="001B44E8">
        <w:rPr>
          <w:rFonts w:ascii="Arial" w:hAnsi="Arial" w:cs="Arial"/>
          <w:color w:val="000000" w:themeColor="text1"/>
          <w:sz w:val="20"/>
          <w:szCs w:val="20"/>
        </w:rPr>
        <w:t>’s</w:t>
      </w:r>
      <w:proofErr w:type="spellEnd"/>
      <w:r w:rsidRPr="001B44E8">
        <w:rPr>
          <w:rFonts w:ascii="Arial" w:hAnsi="Arial" w:cs="Arial"/>
          <w:color w:val="000000" w:themeColor="text1"/>
          <w:sz w:val="20"/>
          <w:szCs w:val="20"/>
        </w:rPr>
        <w:t xml:space="preserve"> potential role in nitrification. These findings support its prospective application in bioremediation strategies targeting ammonia-rich environments.</w:t>
      </w:r>
    </w:p>
    <w:p w14:paraId="1223FCDA" w14:textId="77777777" w:rsidR="00611300" w:rsidRPr="001B44E8" w:rsidRDefault="00611300" w:rsidP="001B44E8">
      <w:pPr>
        <w:spacing w:after="0" w:line="240" w:lineRule="auto"/>
        <w:rPr>
          <w:rFonts w:ascii="Arial" w:hAnsi="Arial" w:cs="Arial"/>
          <w:color w:val="000000" w:themeColor="text1"/>
          <w:sz w:val="20"/>
          <w:szCs w:val="20"/>
        </w:rPr>
      </w:pPr>
    </w:p>
    <w:p w14:paraId="2878D450" w14:textId="77777777" w:rsidR="008132B9" w:rsidRPr="001B44E8" w:rsidRDefault="008132B9" w:rsidP="001B44E8">
      <w:pPr>
        <w:spacing w:after="0" w:line="240" w:lineRule="auto"/>
        <w:rPr>
          <w:rFonts w:ascii="Arial" w:hAnsi="Arial" w:cs="Arial"/>
          <w:b/>
          <w:bCs/>
          <w:color w:val="000000" w:themeColor="text1"/>
          <w:sz w:val="20"/>
          <w:szCs w:val="20"/>
        </w:rPr>
      </w:pPr>
    </w:p>
    <w:p w14:paraId="7F71EB1C" w14:textId="77777777" w:rsidR="005A778E" w:rsidRPr="001B44E8" w:rsidRDefault="005A778E" w:rsidP="001B44E8">
      <w:pPr>
        <w:spacing w:after="0" w:line="240" w:lineRule="auto"/>
        <w:rPr>
          <w:rFonts w:ascii="Arial" w:hAnsi="Arial" w:cs="Arial"/>
          <w:b/>
          <w:bCs/>
          <w:color w:val="000000" w:themeColor="text1"/>
          <w:sz w:val="20"/>
          <w:szCs w:val="20"/>
        </w:rPr>
      </w:pPr>
      <w:bookmarkStart w:id="2" w:name="_GoBack"/>
      <w:bookmarkEnd w:id="2"/>
    </w:p>
    <w:p w14:paraId="50557F7E" w14:textId="77777777" w:rsidR="005A778E" w:rsidRPr="001B44E8" w:rsidRDefault="005A778E" w:rsidP="001B44E8">
      <w:pPr>
        <w:spacing w:after="0" w:line="240" w:lineRule="auto"/>
        <w:rPr>
          <w:rFonts w:ascii="Arial" w:hAnsi="Arial" w:cs="Arial"/>
          <w:b/>
          <w:bCs/>
          <w:color w:val="000000" w:themeColor="text1"/>
        </w:rPr>
      </w:pPr>
      <w:r w:rsidRPr="001B44E8">
        <w:rPr>
          <w:rFonts w:ascii="Arial" w:hAnsi="Arial" w:cs="Arial"/>
          <w:b/>
          <w:bCs/>
          <w:color w:val="000000" w:themeColor="text1"/>
        </w:rPr>
        <w:t>Conflict of Interest</w:t>
      </w:r>
    </w:p>
    <w:p w14:paraId="7B08F47D" w14:textId="77777777" w:rsidR="005A778E" w:rsidRDefault="005A778E"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authors declare no conflict of interest.</w:t>
      </w:r>
    </w:p>
    <w:p w14:paraId="4E46C857" w14:textId="77777777" w:rsidR="00531212" w:rsidRDefault="00531212" w:rsidP="001B44E8">
      <w:pPr>
        <w:spacing w:after="0" w:line="240" w:lineRule="auto"/>
        <w:rPr>
          <w:rFonts w:ascii="Arial" w:hAnsi="Arial" w:cs="Arial"/>
          <w:color w:val="000000" w:themeColor="text1"/>
          <w:sz w:val="20"/>
          <w:szCs w:val="20"/>
        </w:rPr>
      </w:pPr>
    </w:p>
    <w:p w14:paraId="3CAB8C7B" w14:textId="77777777" w:rsidR="00531212" w:rsidRDefault="00531212" w:rsidP="001B44E8">
      <w:pPr>
        <w:spacing w:after="0" w:line="240" w:lineRule="auto"/>
        <w:rPr>
          <w:rFonts w:ascii="Arial" w:hAnsi="Arial" w:cs="Arial"/>
          <w:color w:val="000000" w:themeColor="text1"/>
          <w:sz w:val="20"/>
          <w:szCs w:val="20"/>
        </w:rPr>
      </w:pPr>
    </w:p>
    <w:p w14:paraId="559D0CF9" w14:textId="77777777" w:rsidR="00531212" w:rsidRDefault="00531212" w:rsidP="001B44E8">
      <w:pPr>
        <w:spacing w:after="0" w:line="240" w:lineRule="auto"/>
        <w:rPr>
          <w:rFonts w:ascii="Arial" w:hAnsi="Arial" w:cs="Arial"/>
          <w:color w:val="000000" w:themeColor="text1"/>
          <w:sz w:val="20"/>
          <w:szCs w:val="20"/>
        </w:rPr>
      </w:pPr>
    </w:p>
    <w:p w14:paraId="054DA8E4" w14:textId="77777777" w:rsidR="00531212" w:rsidRPr="00531212" w:rsidRDefault="00531212" w:rsidP="00531212">
      <w:pPr>
        <w:spacing w:after="0"/>
        <w:rPr>
          <w:rFonts w:ascii="Arial" w:hAnsi="Arial" w:cs="Arial"/>
          <w:color w:val="000000" w:themeColor="text1"/>
          <w:sz w:val="20"/>
          <w:szCs w:val="20"/>
        </w:rPr>
      </w:pPr>
      <w:r w:rsidRPr="00531212">
        <w:rPr>
          <w:rFonts w:ascii="Arial" w:hAnsi="Arial" w:cs="Arial"/>
          <w:color w:val="000000" w:themeColor="text1"/>
          <w:sz w:val="20"/>
          <w:szCs w:val="20"/>
        </w:rPr>
        <w:t>Figure 1. Standard Curve of Ammonia.</w:t>
      </w:r>
    </w:p>
    <w:p w14:paraId="4D144178" w14:textId="77777777" w:rsidR="00531212" w:rsidRPr="00E32A7A" w:rsidRDefault="00531212" w:rsidP="00531212">
      <w:pPr>
        <w:spacing w:after="0"/>
        <w:rPr>
          <w:rFonts w:cstheme="minorHAnsi"/>
          <w:color w:val="000000" w:themeColor="text1"/>
          <w:sz w:val="24"/>
          <w:szCs w:val="24"/>
        </w:rPr>
      </w:pPr>
      <w:r w:rsidRPr="00E32A7A">
        <w:rPr>
          <w:rFonts w:cstheme="minorHAnsi"/>
          <w:noProof/>
          <w:color w:val="000000" w:themeColor="text1"/>
          <w:sz w:val="24"/>
          <w:szCs w:val="24"/>
        </w:rPr>
        <w:drawing>
          <wp:inline distT="0" distB="0" distL="0" distR="0" wp14:anchorId="1A6C66EA" wp14:editId="4BB4EF08">
            <wp:extent cx="4986440" cy="3010604"/>
            <wp:effectExtent l="0" t="0" r="5080" b="0"/>
            <wp:docPr id="81730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0556" name=""/>
                    <pic:cNvPicPr/>
                  </pic:nvPicPr>
                  <pic:blipFill rotWithShape="1">
                    <a:blip r:embed="rId7"/>
                    <a:srcRect l="36051" t="27903" r="11081" b="15349"/>
                    <a:stretch/>
                  </pic:blipFill>
                  <pic:spPr bwMode="auto">
                    <a:xfrm>
                      <a:off x="0" y="0"/>
                      <a:ext cx="5009713" cy="3024655"/>
                    </a:xfrm>
                    <a:prstGeom prst="rect">
                      <a:avLst/>
                    </a:prstGeom>
                    <a:ln>
                      <a:noFill/>
                    </a:ln>
                    <a:extLst>
                      <a:ext uri="{53640926-AAD7-44D8-BBD7-CCE9431645EC}">
                        <a14:shadowObscured xmlns:a14="http://schemas.microsoft.com/office/drawing/2010/main"/>
                      </a:ext>
                    </a:extLst>
                  </pic:spPr>
                </pic:pic>
              </a:graphicData>
            </a:graphic>
          </wp:inline>
        </w:drawing>
      </w:r>
      <w:r w:rsidRPr="00E32A7A">
        <w:rPr>
          <w:rFonts w:cstheme="minorHAnsi"/>
          <w:color w:val="000000" w:themeColor="text1"/>
          <w:sz w:val="24"/>
          <w:szCs w:val="24"/>
        </w:rPr>
        <w:t xml:space="preserve"> </w:t>
      </w:r>
    </w:p>
    <w:p w14:paraId="0453B5A6" w14:textId="77777777" w:rsidR="00531212" w:rsidRPr="00E32A7A" w:rsidRDefault="00531212" w:rsidP="00531212">
      <w:pPr>
        <w:spacing w:after="0"/>
        <w:rPr>
          <w:rFonts w:cstheme="minorHAnsi"/>
          <w:color w:val="000000" w:themeColor="text1"/>
          <w:sz w:val="24"/>
          <w:szCs w:val="24"/>
        </w:rPr>
      </w:pPr>
    </w:p>
    <w:p w14:paraId="0F588506" w14:textId="77777777" w:rsidR="00531212" w:rsidRPr="001B44E8" w:rsidRDefault="00531212" w:rsidP="001B44E8">
      <w:pPr>
        <w:spacing w:after="0" w:line="240" w:lineRule="auto"/>
        <w:rPr>
          <w:rFonts w:ascii="Arial" w:hAnsi="Arial" w:cs="Arial"/>
          <w:color w:val="000000" w:themeColor="text1"/>
          <w:sz w:val="20"/>
          <w:szCs w:val="20"/>
        </w:rPr>
      </w:pPr>
    </w:p>
    <w:p w14:paraId="02F236B4" w14:textId="441B30A1" w:rsidR="00531212" w:rsidRDefault="00531212" w:rsidP="001B44E8">
      <w:pPr>
        <w:spacing w:after="0" w:line="240" w:lineRule="auto"/>
        <w:rPr>
          <w:rFonts w:ascii="Arial" w:hAnsi="Arial" w:cs="Arial"/>
          <w:color w:val="000000" w:themeColor="text1"/>
          <w:sz w:val="20"/>
          <w:szCs w:val="20"/>
        </w:rPr>
      </w:pPr>
    </w:p>
    <w:p w14:paraId="10C3273C" w14:textId="796C8AC8" w:rsidR="00E753B5" w:rsidRPr="00531212" w:rsidRDefault="00531212" w:rsidP="00846398">
      <w:pPr>
        <w:rPr>
          <w:rFonts w:ascii="Arial" w:hAnsi="Arial" w:cs="Arial"/>
          <w:color w:val="000000" w:themeColor="text1"/>
          <w:sz w:val="20"/>
          <w:szCs w:val="20"/>
        </w:rPr>
      </w:pPr>
      <w:r>
        <w:rPr>
          <w:rFonts w:ascii="Arial" w:hAnsi="Arial" w:cs="Arial"/>
          <w:color w:val="000000" w:themeColor="text1"/>
          <w:sz w:val="20"/>
          <w:szCs w:val="20"/>
        </w:rPr>
        <w:br w:type="page"/>
      </w:r>
      <w:r w:rsidR="00E753B5" w:rsidRPr="00531212">
        <w:rPr>
          <w:rFonts w:ascii="Arial" w:hAnsi="Arial" w:cs="Arial"/>
          <w:color w:val="000000" w:themeColor="text1"/>
          <w:sz w:val="20"/>
          <w:szCs w:val="20"/>
        </w:rPr>
        <w:lastRenderedPageBreak/>
        <w:t xml:space="preserve">Figure </w:t>
      </w:r>
      <w:r w:rsidR="00E753B5">
        <w:rPr>
          <w:rFonts w:ascii="Arial" w:hAnsi="Arial" w:cs="Arial"/>
          <w:color w:val="000000" w:themeColor="text1"/>
          <w:sz w:val="20"/>
          <w:szCs w:val="20"/>
        </w:rPr>
        <w:t>2</w:t>
      </w:r>
      <w:r w:rsidR="00E753B5" w:rsidRPr="00531212">
        <w:rPr>
          <w:rFonts w:ascii="Arial" w:hAnsi="Arial" w:cs="Arial"/>
          <w:color w:val="000000" w:themeColor="text1"/>
          <w:sz w:val="20"/>
          <w:szCs w:val="20"/>
        </w:rPr>
        <w:t xml:space="preserve">. </w:t>
      </w:r>
      <w:r w:rsidR="00E753B5">
        <w:rPr>
          <w:rFonts w:ascii="Arial" w:hAnsi="Arial" w:cs="Arial"/>
          <w:color w:val="000000" w:themeColor="text1"/>
          <w:sz w:val="20"/>
          <w:szCs w:val="20"/>
        </w:rPr>
        <w:t>Evolutionary tree</w:t>
      </w:r>
      <w:r w:rsidR="00E753B5" w:rsidRPr="00531212">
        <w:rPr>
          <w:rFonts w:ascii="Arial" w:hAnsi="Arial" w:cs="Arial"/>
          <w:color w:val="000000" w:themeColor="text1"/>
          <w:sz w:val="20"/>
          <w:szCs w:val="20"/>
        </w:rPr>
        <w:t>.</w:t>
      </w:r>
    </w:p>
    <w:p w14:paraId="566D8F31" w14:textId="6B3C9491" w:rsidR="00531212" w:rsidRDefault="00531212" w:rsidP="001B44E8">
      <w:pPr>
        <w:spacing w:after="0" w:line="240" w:lineRule="auto"/>
        <w:rPr>
          <w:rFonts w:ascii="Arial" w:hAnsi="Arial" w:cs="Arial"/>
          <w:color w:val="000000" w:themeColor="text1"/>
          <w:sz w:val="20"/>
          <w:szCs w:val="20"/>
        </w:rPr>
      </w:pPr>
      <w:r>
        <w:rPr>
          <w:noProof/>
        </w:rPr>
        <w:drawing>
          <wp:inline distT="0" distB="0" distL="0" distR="0" wp14:anchorId="7D1ACF37" wp14:editId="57EFC1EC">
            <wp:extent cx="5646420" cy="8051122"/>
            <wp:effectExtent l="0" t="0" r="0" b="7620"/>
            <wp:docPr id="103990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8068" cy="8053472"/>
                    </a:xfrm>
                    <a:prstGeom prst="rect">
                      <a:avLst/>
                    </a:prstGeom>
                    <a:noFill/>
                    <a:ln>
                      <a:noFill/>
                    </a:ln>
                  </pic:spPr>
                </pic:pic>
              </a:graphicData>
            </a:graphic>
          </wp:inline>
        </w:drawing>
      </w:r>
    </w:p>
    <w:p w14:paraId="0E1C6D59" w14:textId="77777777" w:rsidR="00531212" w:rsidRDefault="00531212">
      <w:pPr>
        <w:rPr>
          <w:rFonts w:ascii="Arial" w:hAnsi="Arial" w:cs="Arial"/>
          <w:color w:val="000000" w:themeColor="text1"/>
          <w:sz w:val="20"/>
          <w:szCs w:val="20"/>
        </w:rPr>
      </w:pPr>
      <w:r>
        <w:rPr>
          <w:rFonts w:ascii="Arial" w:hAnsi="Arial" w:cs="Arial"/>
          <w:color w:val="000000" w:themeColor="text1"/>
          <w:sz w:val="20"/>
          <w:szCs w:val="20"/>
        </w:rPr>
        <w:br w:type="page"/>
      </w:r>
    </w:p>
    <w:tbl>
      <w:tblPr>
        <w:tblStyle w:val="TableGrid"/>
        <w:tblW w:w="0" w:type="auto"/>
        <w:tblLook w:val="04A0" w:firstRow="1" w:lastRow="0" w:firstColumn="1" w:lastColumn="0" w:noHBand="0" w:noVBand="1"/>
      </w:tblPr>
      <w:tblGrid>
        <w:gridCol w:w="704"/>
        <w:gridCol w:w="1843"/>
        <w:gridCol w:w="3685"/>
        <w:gridCol w:w="1418"/>
        <w:gridCol w:w="1366"/>
      </w:tblGrid>
      <w:tr w:rsidR="0065435F" w:rsidRPr="001B44E8" w14:paraId="6025F260" w14:textId="77777777" w:rsidTr="004C7460">
        <w:tc>
          <w:tcPr>
            <w:tcW w:w="704" w:type="dxa"/>
          </w:tcPr>
          <w:p w14:paraId="54D9257C" w14:textId="5773814D"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S/no. </w:t>
            </w:r>
          </w:p>
        </w:tc>
        <w:tc>
          <w:tcPr>
            <w:tcW w:w="1843" w:type="dxa"/>
          </w:tcPr>
          <w:p w14:paraId="297FE4D5" w14:textId="11E0A80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Primer Name</w:t>
            </w:r>
          </w:p>
        </w:tc>
        <w:tc>
          <w:tcPr>
            <w:tcW w:w="3685" w:type="dxa"/>
          </w:tcPr>
          <w:p w14:paraId="2A7A909A" w14:textId="061FB94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Oligo-Sequence</w:t>
            </w:r>
          </w:p>
        </w:tc>
        <w:tc>
          <w:tcPr>
            <w:tcW w:w="1418" w:type="dxa"/>
          </w:tcPr>
          <w:p w14:paraId="3B0A39E4" w14:textId="2731459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Tm(°C)</w:t>
            </w:r>
          </w:p>
        </w:tc>
        <w:tc>
          <w:tcPr>
            <w:tcW w:w="1366" w:type="dxa"/>
          </w:tcPr>
          <w:p w14:paraId="125BA06B" w14:textId="778F55A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GC-Content</w:t>
            </w:r>
          </w:p>
        </w:tc>
      </w:tr>
      <w:tr w:rsidR="0065435F" w:rsidRPr="001B44E8" w14:paraId="129F8A5A" w14:textId="77777777" w:rsidTr="004C7460">
        <w:tc>
          <w:tcPr>
            <w:tcW w:w="704" w:type="dxa"/>
          </w:tcPr>
          <w:p w14:paraId="2AD02DFC" w14:textId="0F5821E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843" w:type="dxa"/>
          </w:tcPr>
          <w:p w14:paraId="0F80DF9C" w14:textId="6E8FF1F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Forward Primer</w:t>
            </w:r>
          </w:p>
        </w:tc>
        <w:tc>
          <w:tcPr>
            <w:tcW w:w="3685" w:type="dxa"/>
          </w:tcPr>
          <w:p w14:paraId="5E0F2CF3" w14:textId="0AC51AAB"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w:t>
            </w:r>
            <w:proofErr w:type="gramStart"/>
            <w:r w:rsidRPr="001B44E8">
              <w:rPr>
                <w:rFonts w:ascii="Arial" w:hAnsi="Arial" w:cs="Arial"/>
                <w:color w:val="000000" w:themeColor="text1"/>
                <w:sz w:val="20"/>
                <w:szCs w:val="20"/>
              </w:rPr>
              <w:t>′  GGATGAGCCCGCGGCCTA</w:t>
            </w:r>
            <w:proofErr w:type="gramEnd"/>
            <w:r w:rsidRPr="001B44E8">
              <w:rPr>
                <w:rFonts w:ascii="Arial" w:hAnsi="Arial" w:cs="Arial"/>
                <w:color w:val="000000" w:themeColor="text1"/>
                <w:sz w:val="20"/>
                <w:szCs w:val="20"/>
              </w:rPr>
              <w:t xml:space="preserve">  3′</w:t>
            </w:r>
          </w:p>
        </w:tc>
        <w:tc>
          <w:tcPr>
            <w:tcW w:w="1418" w:type="dxa"/>
          </w:tcPr>
          <w:p w14:paraId="073C58D9" w14:textId="399F91A7"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57</w:t>
            </w:r>
          </w:p>
        </w:tc>
        <w:tc>
          <w:tcPr>
            <w:tcW w:w="1366" w:type="dxa"/>
          </w:tcPr>
          <w:p w14:paraId="312925E5" w14:textId="70D2AD6E"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72.22%</w:t>
            </w:r>
          </w:p>
        </w:tc>
      </w:tr>
      <w:tr w:rsidR="0065435F" w:rsidRPr="001B44E8" w14:paraId="2536A094" w14:textId="77777777" w:rsidTr="004C7460">
        <w:tc>
          <w:tcPr>
            <w:tcW w:w="704" w:type="dxa"/>
          </w:tcPr>
          <w:p w14:paraId="0D8B4F1A" w14:textId="209B500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843" w:type="dxa"/>
          </w:tcPr>
          <w:p w14:paraId="346658F6" w14:textId="50BB5624"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Reverse Primer</w:t>
            </w:r>
          </w:p>
        </w:tc>
        <w:tc>
          <w:tcPr>
            <w:tcW w:w="3685" w:type="dxa"/>
          </w:tcPr>
          <w:p w14:paraId="556F97E7" w14:textId="322D03D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 CGGTGTGTACAAGGCCCGG 3′</w:t>
            </w:r>
          </w:p>
        </w:tc>
        <w:tc>
          <w:tcPr>
            <w:tcW w:w="1418" w:type="dxa"/>
          </w:tcPr>
          <w:p w14:paraId="35235E26" w14:textId="50E05843"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58</w:t>
            </w:r>
          </w:p>
        </w:tc>
        <w:tc>
          <w:tcPr>
            <w:tcW w:w="1366" w:type="dxa"/>
          </w:tcPr>
          <w:p w14:paraId="28DF9A7E" w14:textId="7D53FBF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68.42%</w:t>
            </w:r>
          </w:p>
        </w:tc>
      </w:tr>
    </w:tbl>
    <w:p w14:paraId="416EDF07" w14:textId="29EA06A8" w:rsidR="00535C21" w:rsidRPr="001B44E8" w:rsidRDefault="00BF1FD1"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Primers used during PCR amplification. Here, Tm is Melting temperature</w:t>
      </w:r>
    </w:p>
    <w:p w14:paraId="29C94693" w14:textId="77777777" w:rsidR="00580036" w:rsidRPr="001B44E8" w:rsidRDefault="00580036" w:rsidP="001B44E8">
      <w:pPr>
        <w:spacing w:after="0" w:line="240" w:lineRule="auto"/>
        <w:rPr>
          <w:rFonts w:ascii="Arial" w:hAnsi="Arial" w:cs="Arial"/>
          <w:color w:val="000000" w:themeColor="text1"/>
          <w:sz w:val="20"/>
          <w:szCs w:val="20"/>
        </w:rPr>
      </w:pPr>
    </w:p>
    <w:p w14:paraId="6E0A1E6D"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129"/>
        <w:gridCol w:w="5103"/>
        <w:gridCol w:w="2784"/>
      </w:tblGrid>
      <w:tr w:rsidR="0065435F" w:rsidRPr="001B44E8" w14:paraId="6ACB1408" w14:textId="77777777" w:rsidTr="00D96852">
        <w:tc>
          <w:tcPr>
            <w:tcW w:w="1129" w:type="dxa"/>
          </w:tcPr>
          <w:p w14:paraId="153E3A28"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S/No.</w:t>
            </w:r>
          </w:p>
        </w:tc>
        <w:tc>
          <w:tcPr>
            <w:tcW w:w="5103" w:type="dxa"/>
          </w:tcPr>
          <w:p w14:paraId="0F49BC11"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Morphological Test</w:t>
            </w:r>
          </w:p>
        </w:tc>
        <w:tc>
          <w:tcPr>
            <w:tcW w:w="2784" w:type="dxa"/>
          </w:tcPr>
          <w:p w14:paraId="1AC0A01C"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Result</w:t>
            </w:r>
          </w:p>
        </w:tc>
      </w:tr>
      <w:tr w:rsidR="0065435F" w:rsidRPr="001B44E8" w14:paraId="6C480FD9" w14:textId="77777777" w:rsidTr="00D96852">
        <w:tc>
          <w:tcPr>
            <w:tcW w:w="1129" w:type="dxa"/>
          </w:tcPr>
          <w:p w14:paraId="0BCC6A2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5103" w:type="dxa"/>
          </w:tcPr>
          <w:p w14:paraId="3C10F55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Gram’s staining</w:t>
            </w:r>
          </w:p>
        </w:tc>
        <w:tc>
          <w:tcPr>
            <w:tcW w:w="2784" w:type="dxa"/>
          </w:tcPr>
          <w:p w14:paraId="71A1EE8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Negative</w:t>
            </w:r>
          </w:p>
        </w:tc>
      </w:tr>
      <w:tr w:rsidR="0065435F" w:rsidRPr="001B44E8" w14:paraId="229BF569" w14:textId="77777777" w:rsidTr="00D96852">
        <w:tc>
          <w:tcPr>
            <w:tcW w:w="1129" w:type="dxa"/>
          </w:tcPr>
          <w:p w14:paraId="2394E63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5103" w:type="dxa"/>
          </w:tcPr>
          <w:p w14:paraId="225021C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Cell Shape</w:t>
            </w:r>
          </w:p>
        </w:tc>
        <w:tc>
          <w:tcPr>
            <w:tcW w:w="2784" w:type="dxa"/>
          </w:tcPr>
          <w:p w14:paraId="772D5ED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Rod shaped</w:t>
            </w:r>
          </w:p>
        </w:tc>
      </w:tr>
      <w:tr w:rsidR="0065435F" w:rsidRPr="001B44E8" w14:paraId="690199CD" w14:textId="77777777" w:rsidTr="00D96852">
        <w:tc>
          <w:tcPr>
            <w:tcW w:w="1129" w:type="dxa"/>
          </w:tcPr>
          <w:p w14:paraId="5422838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5103" w:type="dxa"/>
          </w:tcPr>
          <w:p w14:paraId="4B1BB4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Motility</w:t>
            </w:r>
          </w:p>
        </w:tc>
        <w:tc>
          <w:tcPr>
            <w:tcW w:w="2784" w:type="dxa"/>
          </w:tcPr>
          <w:p w14:paraId="00F5992A"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Non-motile</w:t>
            </w:r>
          </w:p>
        </w:tc>
      </w:tr>
    </w:tbl>
    <w:p w14:paraId="4190E0BA" w14:textId="392C8D96" w:rsidR="00580036" w:rsidRPr="001B44E8" w:rsidRDefault="0058003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Test results for morphological identification of the isolated bacteria.</w:t>
      </w:r>
    </w:p>
    <w:p w14:paraId="344A9A28" w14:textId="77777777" w:rsidR="00580036" w:rsidRPr="001B44E8" w:rsidRDefault="00580036" w:rsidP="001B44E8">
      <w:pPr>
        <w:spacing w:after="0" w:line="240" w:lineRule="auto"/>
        <w:rPr>
          <w:rFonts w:ascii="Arial" w:hAnsi="Arial" w:cs="Arial"/>
          <w:color w:val="000000" w:themeColor="text1"/>
          <w:sz w:val="20"/>
          <w:szCs w:val="20"/>
        </w:rPr>
      </w:pPr>
    </w:p>
    <w:p w14:paraId="32AEE279"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728"/>
        <w:gridCol w:w="1698"/>
        <w:gridCol w:w="3107"/>
        <w:gridCol w:w="2543"/>
        <w:gridCol w:w="940"/>
      </w:tblGrid>
      <w:tr w:rsidR="0065435F" w:rsidRPr="001B44E8" w14:paraId="1CF6ACE9" w14:textId="77777777" w:rsidTr="00D96852">
        <w:tc>
          <w:tcPr>
            <w:tcW w:w="704" w:type="dxa"/>
          </w:tcPr>
          <w:p w14:paraId="7A331259" w14:textId="77777777" w:rsidR="00580036" w:rsidRPr="001B44E8" w:rsidRDefault="00580036" w:rsidP="001B44E8">
            <w:pPr>
              <w:jc w:val="center"/>
              <w:rPr>
                <w:rFonts w:ascii="Arial" w:hAnsi="Arial" w:cs="Arial"/>
                <w:b/>
                <w:bCs/>
                <w:color w:val="000000" w:themeColor="text1"/>
                <w:sz w:val="20"/>
                <w:szCs w:val="20"/>
              </w:rPr>
            </w:pPr>
            <w:proofErr w:type="spellStart"/>
            <w:r w:rsidRPr="001B44E8">
              <w:rPr>
                <w:rFonts w:ascii="Arial" w:hAnsi="Arial" w:cs="Arial"/>
                <w:b/>
                <w:bCs/>
                <w:color w:val="000000" w:themeColor="text1"/>
                <w:sz w:val="20"/>
                <w:szCs w:val="20"/>
              </w:rPr>
              <w:t>S.No</w:t>
            </w:r>
            <w:proofErr w:type="spellEnd"/>
            <w:r w:rsidRPr="001B44E8">
              <w:rPr>
                <w:rFonts w:ascii="Arial" w:hAnsi="Arial" w:cs="Arial"/>
                <w:b/>
                <w:bCs/>
                <w:color w:val="000000" w:themeColor="text1"/>
                <w:sz w:val="20"/>
                <w:szCs w:val="20"/>
              </w:rPr>
              <w:t>.</w:t>
            </w:r>
          </w:p>
        </w:tc>
        <w:tc>
          <w:tcPr>
            <w:tcW w:w="1701" w:type="dxa"/>
          </w:tcPr>
          <w:p w14:paraId="1453CABC"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w:t>
            </w:r>
          </w:p>
        </w:tc>
        <w:tc>
          <w:tcPr>
            <w:tcW w:w="3119" w:type="dxa"/>
          </w:tcPr>
          <w:p w14:paraId="6D953F1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Reagents to be added after incubation</w:t>
            </w:r>
          </w:p>
        </w:tc>
        <w:tc>
          <w:tcPr>
            <w:tcW w:w="2551" w:type="dxa"/>
          </w:tcPr>
          <w:p w14:paraId="11A19F4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Principle</w:t>
            </w:r>
          </w:p>
        </w:tc>
        <w:tc>
          <w:tcPr>
            <w:tcW w:w="941" w:type="dxa"/>
          </w:tcPr>
          <w:p w14:paraId="00677B6D"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 Result</w:t>
            </w:r>
          </w:p>
        </w:tc>
      </w:tr>
      <w:tr w:rsidR="0065435F" w:rsidRPr="001B44E8" w14:paraId="10E721F0" w14:textId="77777777" w:rsidTr="00D96852">
        <w:tc>
          <w:tcPr>
            <w:tcW w:w="704" w:type="dxa"/>
          </w:tcPr>
          <w:p w14:paraId="3E5435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701" w:type="dxa"/>
          </w:tcPr>
          <w:p w14:paraId="3FA2877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Indole</w:t>
            </w:r>
          </w:p>
        </w:tc>
        <w:tc>
          <w:tcPr>
            <w:tcW w:w="3119" w:type="dxa"/>
          </w:tcPr>
          <w:p w14:paraId="5933E4E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Kovac's reagent</w:t>
            </w:r>
          </w:p>
        </w:tc>
        <w:tc>
          <w:tcPr>
            <w:tcW w:w="2551" w:type="dxa"/>
          </w:tcPr>
          <w:p w14:paraId="36E24C3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deamination of tryptophan</w:t>
            </w:r>
          </w:p>
        </w:tc>
        <w:tc>
          <w:tcPr>
            <w:tcW w:w="941" w:type="dxa"/>
          </w:tcPr>
          <w:p w14:paraId="2293887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03DBF67" w14:textId="77777777" w:rsidTr="00D96852">
        <w:tc>
          <w:tcPr>
            <w:tcW w:w="704" w:type="dxa"/>
          </w:tcPr>
          <w:p w14:paraId="0E0DAC7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701" w:type="dxa"/>
          </w:tcPr>
          <w:p w14:paraId="3D9DEE27"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Methyl Red</w:t>
            </w:r>
          </w:p>
        </w:tc>
        <w:tc>
          <w:tcPr>
            <w:tcW w:w="3119" w:type="dxa"/>
          </w:tcPr>
          <w:p w14:paraId="6EC62C5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Methyl red indicator</w:t>
            </w:r>
          </w:p>
        </w:tc>
        <w:tc>
          <w:tcPr>
            <w:tcW w:w="2551" w:type="dxa"/>
          </w:tcPr>
          <w:p w14:paraId="43A05EE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acid production</w:t>
            </w:r>
          </w:p>
        </w:tc>
        <w:tc>
          <w:tcPr>
            <w:tcW w:w="941" w:type="dxa"/>
          </w:tcPr>
          <w:p w14:paraId="7A656E1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4F688785" w14:textId="77777777" w:rsidTr="00D96852">
        <w:tc>
          <w:tcPr>
            <w:tcW w:w="704" w:type="dxa"/>
          </w:tcPr>
          <w:p w14:paraId="7BE491E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1701" w:type="dxa"/>
          </w:tcPr>
          <w:p w14:paraId="0ABD5F2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Voges-Proskauer</w:t>
            </w:r>
          </w:p>
        </w:tc>
        <w:tc>
          <w:tcPr>
            <w:tcW w:w="3119" w:type="dxa"/>
          </w:tcPr>
          <w:p w14:paraId="1DF8ED55"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Baritt reagent-A and 2 drops of Baritt reagent-B</w:t>
            </w:r>
          </w:p>
        </w:tc>
        <w:tc>
          <w:tcPr>
            <w:tcW w:w="2551" w:type="dxa"/>
          </w:tcPr>
          <w:p w14:paraId="71B5A141"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acetoin production</w:t>
            </w:r>
          </w:p>
        </w:tc>
        <w:tc>
          <w:tcPr>
            <w:tcW w:w="941" w:type="dxa"/>
          </w:tcPr>
          <w:p w14:paraId="5FF8307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3CE15885" w14:textId="77777777" w:rsidTr="00D96852">
        <w:tc>
          <w:tcPr>
            <w:tcW w:w="704" w:type="dxa"/>
          </w:tcPr>
          <w:p w14:paraId="7823D2E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4.</w:t>
            </w:r>
          </w:p>
        </w:tc>
        <w:tc>
          <w:tcPr>
            <w:tcW w:w="1701" w:type="dxa"/>
          </w:tcPr>
          <w:p w14:paraId="115FD79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Citrate</w:t>
            </w:r>
          </w:p>
        </w:tc>
        <w:tc>
          <w:tcPr>
            <w:tcW w:w="3119" w:type="dxa"/>
          </w:tcPr>
          <w:p w14:paraId="24DEA1AF"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ED8AA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capability of organism to utilize citrate as a sole carbon source</w:t>
            </w:r>
          </w:p>
        </w:tc>
        <w:tc>
          <w:tcPr>
            <w:tcW w:w="941" w:type="dxa"/>
          </w:tcPr>
          <w:p w14:paraId="32ECAE24"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1734E8A9" w14:textId="77777777" w:rsidTr="00D96852">
        <w:tc>
          <w:tcPr>
            <w:tcW w:w="704" w:type="dxa"/>
          </w:tcPr>
          <w:p w14:paraId="2C0DBE0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5.</w:t>
            </w:r>
          </w:p>
        </w:tc>
        <w:tc>
          <w:tcPr>
            <w:tcW w:w="1701" w:type="dxa"/>
          </w:tcPr>
          <w:p w14:paraId="264113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Glucose</w:t>
            </w:r>
          </w:p>
        </w:tc>
        <w:tc>
          <w:tcPr>
            <w:tcW w:w="3119" w:type="dxa"/>
          </w:tcPr>
          <w:p w14:paraId="29A25F5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53076B4"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Glucose utilization</w:t>
            </w:r>
          </w:p>
        </w:tc>
        <w:tc>
          <w:tcPr>
            <w:tcW w:w="941" w:type="dxa"/>
          </w:tcPr>
          <w:p w14:paraId="3F46B9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8929623" w14:textId="77777777" w:rsidTr="00D96852">
        <w:tc>
          <w:tcPr>
            <w:tcW w:w="704" w:type="dxa"/>
          </w:tcPr>
          <w:p w14:paraId="63CE47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6.</w:t>
            </w:r>
          </w:p>
        </w:tc>
        <w:tc>
          <w:tcPr>
            <w:tcW w:w="1701" w:type="dxa"/>
          </w:tcPr>
          <w:p w14:paraId="7BA65E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Adonitol</w:t>
            </w:r>
          </w:p>
        </w:tc>
        <w:tc>
          <w:tcPr>
            <w:tcW w:w="3119" w:type="dxa"/>
          </w:tcPr>
          <w:p w14:paraId="38913B3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69A8AF9"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Adonitol utilization</w:t>
            </w:r>
          </w:p>
        </w:tc>
        <w:tc>
          <w:tcPr>
            <w:tcW w:w="941" w:type="dxa"/>
          </w:tcPr>
          <w:p w14:paraId="61D236F1"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0748608F" w14:textId="77777777" w:rsidTr="00D96852">
        <w:tc>
          <w:tcPr>
            <w:tcW w:w="704" w:type="dxa"/>
          </w:tcPr>
          <w:p w14:paraId="0A96ADB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7.</w:t>
            </w:r>
          </w:p>
        </w:tc>
        <w:tc>
          <w:tcPr>
            <w:tcW w:w="1701" w:type="dxa"/>
          </w:tcPr>
          <w:p w14:paraId="5192CF4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Arabinose</w:t>
            </w:r>
          </w:p>
        </w:tc>
        <w:tc>
          <w:tcPr>
            <w:tcW w:w="3119" w:type="dxa"/>
          </w:tcPr>
          <w:p w14:paraId="0827689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AE3EB0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Arabinose utilization</w:t>
            </w:r>
          </w:p>
        </w:tc>
        <w:tc>
          <w:tcPr>
            <w:tcW w:w="941" w:type="dxa"/>
          </w:tcPr>
          <w:p w14:paraId="44BC4FA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7AF71D" w14:textId="77777777" w:rsidTr="00D96852">
        <w:tc>
          <w:tcPr>
            <w:tcW w:w="704" w:type="dxa"/>
          </w:tcPr>
          <w:p w14:paraId="7EAD0B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8.</w:t>
            </w:r>
          </w:p>
        </w:tc>
        <w:tc>
          <w:tcPr>
            <w:tcW w:w="1701" w:type="dxa"/>
          </w:tcPr>
          <w:p w14:paraId="4FAC124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Lactose</w:t>
            </w:r>
          </w:p>
        </w:tc>
        <w:tc>
          <w:tcPr>
            <w:tcW w:w="3119" w:type="dxa"/>
          </w:tcPr>
          <w:p w14:paraId="1746A35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F4D6C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Lactose utilization</w:t>
            </w:r>
          </w:p>
        </w:tc>
        <w:tc>
          <w:tcPr>
            <w:tcW w:w="941" w:type="dxa"/>
          </w:tcPr>
          <w:p w14:paraId="4AE0ADD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179C27F" w14:textId="77777777" w:rsidTr="00D96852">
        <w:tc>
          <w:tcPr>
            <w:tcW w:w="704" w:type="dxa"/>
          </w:tcPr>
          <w:p w14:paraId="1066E8B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9.</w:t>
            </w:r>
          </w:p>
        </w:tc>
        <w:tc>
          <w:tcPr>
            <w:tcW w:w="1701" w:type="dxa"/>
          </w:tcPr>
          <w:p w14:paraId="56FB159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Sorbitol</w:t>
            </w:r>
          </w:p>
        </w:tc>
        <w:tc>
          <w:tcPr>
            <w:tcW w:w="3119" w:type="dxa"/>
          </w:tcPr>
          <w:p w14:paraId="797728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B4771E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Sorbitol utilization</w:t>
            </w:r>
          </w:p>
        </w:tc>
        <w:tc>
          <w:tcPr>
            <w:tcW w:w="941" w:type="dxa"/>
          </w:tcPr>
          <w:p w14:paraId="2EE9915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36E2A8E" w14:textId="77777777" w:rsidTr="00D96852">
        <w:tc>
          <w:tcPr>
            <w:tcW w:w="704" w:type="dxa"/>
          </w:tcPr>
          <w:p w14:paraId="472760B2"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10.</w:t>
            </w:r>
          </w:p>
        </w:tc>
        <w:tc>
          <w:tcPr>
            <w:tcW w:w="1701" w:type="dxa"/>
          </w:tcPr>
          <w:p w14:paraId="4CB56F5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Mannitol</w:t>
            </w:r>
          </w:p>
        </w:tc>
        <w:tc>
          <w:tcPr>
            <w:tcW w:w="3119" w:type="dxa"/>
          </w:tcPr>
          <w:p w14:paraId="677D654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0A31442"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Mannitol utilization</w:t>
            </w:r>
          </w:p>
        </w:tc>
        <w:tc>
          <w:tcPr>
            <w:tcW w:w="941" w:type="dxa"/>
          </w:tcPr>
          <w:p w14:paraId="1B4CFC0C"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99CF79" w14:textId="77777777" w:rsidTr="00D96852">
        <w:tc>
          <w:tcPr>
            <w:tcW w:w="704" w:type="dxa"/>
          </w:tcPr>
          <w:p w14:paraId="64636D6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11.</w:t>
            </w:r>
          </w:p>
        </w:tc>
        <w:tc>
          <w:tcPr>
            <w:tcW w:w="1701" w:type="dxa"/>
          </w:tcPr>
          <w:p w14:paraId="55686D1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Rhamnose</w:t>
            </w:r>
          </w:p>
        </w:tc>
        <w:tc>
          <w:tcPr>
            <w:tcW w:w="3119" w:type="dxa"/>
          </w:tcPr>
          <w:p w14:paraId="222D19EB"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747FFB3"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Rhamnose utilization</w:t>
            </w:r>
          </w:p>
        </w:tc>
        <w:tc>
          <w:tcPr>
            <w:tcW w:w="941" w:type="dxa"/>
          </w:tcPr>
          <w:p w14:paraId="602939C3"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AE8F873" w14:textId="77777777" w:rsidTr="00D96852">
        <w:tc>
          <w:tcPr>
            <w:tcW w:w="704" w:type="dxa"/>
          </w:tcPr>
          <w:p w14:paraId="2FB9226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12.</w:t>
            </w:r>
          </w:p>
        </w:tc>
        <w:tc>
          <w:tcPr>
            <w:tcW w:w="1701" w:type="dxa"/>
          </w:tcPr>
          <w:p w14:paraId="6C6ACF1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Sucrose</w:t>
            </w:r>
          </w:p>
        </w:tc>
        <w:tc>
          <w:tcPr>
            <w:tcW w:w="3119" w:type="dxa"/>
          </w:tcPr>
          <w:p w14:paraId="5898A71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734ED420"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Sucrose utilization</w:t>
            </w:r>
          </w:p>
        </w:tc>
        <w:tc>
          <w:tcPr>
            <w:tcW w:w="941" w:type="dxa"/>
          </w:tcPr>
          <w:p w14:paraId="322CC75D"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bl>
    <w:p w14:paraId="67CF342F" w14:textId="381EA78D" w:rsidR="00580036" w:rsidRPr="001B44E8" w:rsidRDefault="0058003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3.</w:t>
      </w:r>
      <w:r w:rsidRPr="001B44E8">
        <w:rPr>
          <w:rFonts w:ascii="Arial" w:hAnsi="Arial" w:cs="Arial"/>
          <w:color w:val="000000" w:themeColor="text1"/>
          <w:sz w:val="20"/>
          <w:szCs w:val="20"/>
        </w:rPr>
        <w:t xml:space="preserve"> Test results for Biochemical analysis of the isolated bacteria.</w:t>
      </w:r>
    </w:p>
    <w:p w14:paraId="2DEDB851" w14:textId="77777777" w:rsidR="00580036" w:rsidRPr="001B44E8" w:rsidRDefault="00580036" w:rsidP="001B44E8">
      <w:pPr>
        <w:spacing w:after="0" w:line="240" w:lineRule="auto"/>
        <w:rPr>
          <w:rFonts w:ascii="Arial" w:hAnsi="Arial" w:cs="Arial"/>
          <w:color w:val="000000" w:themeColor="text1"/>
          <w:sz w:val="20"/>
          <w:szCs w:val="20"/>
        </w:rPr>
      </w:pPr>
    </w:p>
    <w:p w14:paraId="08A8532E" w14:textId="77777777" w:rsidR="006562B3" w:rsidRPr="001B44E8" w:rsidRDefault="006562B3"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413"/>
        <w:gridCol w:w="2288"/>
        <w:gridCol w:w="2683"/>
        <w:gridCol w:w="2632"/>
      </w:tblGrid>
      <w:tr w:rsidR="0065435F" w:rsidRPr="001B44E8" w14:paraId="62EB1659" w14:textId="77777777" w:rsidTr="0063670F">
        <w:tc>
          <w:tcPr>
            <w:tcW w:w="1413" w:type="dxa"/>
          </w:tcPr>
          <w:p w14:paraId="3C8BBE10"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Incubation Time (hours)</w:t>
            </w:r>
          </w:p>
        </w:tc>
        <w:tc>
          <w:tcPr>
            <w:tcW w:w="2288" w:type="dxa"/>
          </w:tcPr>
          <w:p w14:paraId="5807480C"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Absorbance at 420 nm</w:t>
            </w:r>
          </w:p>
        </w:tc>
        <w:tc>
          <w:tcPr>
            <w:tcW w:w="2683" w:type="dxa"/>
          </w:tcPr>
          <w:p w14:paraId="2A63E534"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Estimated ammonia (ppm)</w:t>
            </w:r>
          </w:p>
        </w:tc>
        <w:tc>
          <w:tcPr>
            <w:tcW w:w="2632" w:type="dxa"/>
          </w:tcPr>
          <w:p w14:paraId="555CC47F"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 Ammonia Oxidation (AO)</w:t>
            </w:r>
          </w:p>
        </w:tc>
      </w:tr>
      <w:tr w:rsidR="0065435F" w:rsidRPr="001B44E8" w14:paraId="459DE7A2" w14:textId="77777777" w:rsidTr="0063670F">
        <w:tc>
          <w:tcPr>
            <w:tcW w:w="1413" w:type="dxa"/>
          </w:tcPr>
          <w:p w14:paraId="6FC548D8"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24</w:t>
            </w:r>
          </w:p>
        </w:tc>
        <w:tc>
          <w:tcPr>
            <w:tcW w:w="2288" w:type="dxa"/>
          </w:tcPr>
          <w:p w14:paraId="7E88719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0.532</w:t>
            </w:r>
          </w:p>
        </w:tc>
        <w:tc>
          <w:tcPr>
            <w:tcW w:w="2683" w:type="dxa"/>
          </w:tcPr>
          <w:p w14:paraId="537B8AA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3.74</w:t>
            </w:r>
          </w:p>
        </w:tc>
        <w:tc>
          <w:tcPr>
            <w:tcW w:w="2632" w:type="dxa"/>
          </w:tcPr>
          <w:p w14:paraId="4582CA76"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62.6</w:t>
            </w:r>
          </w:p>
        </w:tc>
      </w:tr>
      <w:tr w:rsidR="0065435F" w:rsidRPr="001B44E8" w14:paraId="2C90738F" w14:textId="77777777" w:rsidTr="0063670F">
        <w:tc>
          <w:tcPr>
            <w:tcW w:w="1413" w:type="dxa"/>
          </w:tcPr>
          <w:p w14:paraId="55CC18BA"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48</w:t>
            </w:r>
          </w:p>
        </w:tc>
        <w:tc>
          <w:tcPr>
            <w:tcW w:w="2288" w:type="dxa"/>
          </w:tcPr>
          <w:p w14:paraId="11DD8079"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0.423</w:t>
            </w:r>
          </w:p>
        </w:tc>
        <w:tc>
          <w:tcPr>
            <w:tcW w:w="2683" w:type="dxa"/>
          </w:tcPr>
          <w:p w14:paraId="799660D2"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2.98</w:t>
            </w:r>
          </w:p>
        </w:tc>
        <w:tc>
          <w:tcPr>
            <w:tcW w:w="2632" w:type="dxa"/>
          </w:tcPr>
          <w:p w14:paraId="190D4157"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70.2</w:t>
            </w:r>
          </w:p>
        </w:tc>
      </w:tr>
      <w:tr w:rsidR="0065435F" w:rsidRPr="001B44E8" w14:paraId="583DA2A2" w14:textId="77777777" w:rsidTr="0063670F">
        <w:tc>
          <w:tcPr>
            <w:tcW w:w="1413" w:type="dxa"/>
          </w:tcPr>
          <w:p w14:paraId="3CADFD5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72</w:t>
            </w:r>
          </w:p>
        </w:tc>
        <w:tc>
          <w:tcPr>
            <w:tcW w:w="2288" w:type="dxa"/>
          </w:tcPr>
          <w:p w14:paraId="79DC6B2F"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0.281</w:t>
            </w:r>
          </w:p>
        </w:tc>
        <w:tc>
          <w:tcPr>
            <w:tcW w:w="2683" w:type="dxa"/>
          </w:tcPr>
          <w:p w14:paraId="1808EAF4"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2.00</w:t>
            </w:r>
          </w:p>
        </w:tc>
        <w:tc>
          <w:tcPr>
            <w:tcW w:w="2632" w:type="dxa"/>
          </w:tcPr>
          <w:p w14:paraId="292A564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80.0</w:t>
            </w:r>
          </w:p>
        </w:tc>
      </w:tr>
    </w:tbl>
    <w:p w14:paraId="4F9518D0" w14:textId="77777777" w:rsidR="006562B3" w:rsidRPr="001B44E8" w:rsidRDefault="006562B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Table 4. Estimated Ammonia Oxidation by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i/>
          <w:iCs/>
          <w:color w:val="000000" w:themeColor="text1"/>
          <w:sz w:val="20"/>
          <w:szCs w:val="20"/>
        </w:rPr>
        <w:t xml:space="preserve"> </w:t>
      </w:r>
      <w:r w:rsidRPr="001B44E8">
        <w:rPr>
          <w:rFonts w:ascii="Arial" w:hAnsi="Arial" w:cs="Arial"/>
          <w:color w:val="000000" w:themeColor="text1"/>
          <w:sz w:val="20"/>
          <w:szCs w:val="20"/>
        </w:rPr>
        <w:t xml:space="preserve">at 24, </w:t>
      </w:r>
      <w:proofErr w:type="gramStart"/>
      <w:r w:rsidRPr="001B44E8">
        <w:rPr>
          <w:rFonts w:ascii="Arial" w:hAnsi="Arial" w:cs="Arial"/>
          <w:color w:val="000000" w:themeColor="text1"/>
          <w:sz w:val="20"/>
          <w:szCs w:val="20"/>
        </w:rPr>
        <w:t>48 and 72 hours</w:t>
      </w:r>
      <w:proofErr w:type="gramEnd"/>
      <w:r w:rsidRPr="001B44E8">
        <w:rPr>
          <w:rFonts w:ascii="Arial" w:hAnsi="Arial" w:cs="Arial"/>
          <w:color w:val="000000" w:themeColor="text1"/>
          <w:sz w:val="20"/>
          <w:szCs w:val="20"/>
        </w:rPr>
        <w:t xml:space="preserve"> incubation period.</w:t>
      </w:r>
    </w:p>
    <w:p w14:paraId="3B59302D" w14:textId="77777777" w:rsidR="00867DEC" w:rsidRPr="001B44E8" w:rsidRDefault="00867DEC" w:rsidP="001B44E8">
      <w:pPr>
        <w:spacing w:after="0" w:line="240" w:lineRule="auto"/>
        <w:rPr>
          <w:rFonts w:ascii="Arial" w:hAnsi="Arial" w:cs="Arial"/>
          <w:color w:val="000000" w:themeColor="text1"/>
          <w:sz w:val="20"/>
          <w:szCs w:val="20"/>
        </w:rPr>
      </w:pPr>
    </w:p>
    <w:p w14:paraId="6934BAD0" w14:textId="77777777" w:rsidR="002925BD" w:rsidRPr="001B44E8" w:rsidRDefault="002925BD" w:rsidP="001B44E8">
      <w:pPr>
        <w:spacing w:after="0" w:line="240" w:lineRule="auto"/>
        <w:rPr>
          <w:rFonts w:ascii="Arial" w:hAnsi="Arial" w:cs="Arial"/>
          <w:color w:val="000000" w:themeColor="text1"/>
          <w:sz w:val="20"/>
          <w:szCs w:val="20"/>
        </w:rPr>
      </w:pPr>
    </w:p>
    <w:p w14:paraId="26EFA471" w14:textId="77777777" w:rsidR="002925BD" w:rsidRPr="001B44E8" w:rsidRDefault="002925BD" w:rsidP="001B44E8">
      <w:p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REFERENCES</w:t>
      </w:r>
    </w:p>
    <w:p w14:paraId="34ECD76F" w14:textId="25B98941" w:rsidR="002F5DF5" w:rsidRPr="00DF7048" w:rsidRDefault="002F5DF5" w:rsidP="00DF7048">
      <w:pPr>
        <w:spacing w:after="0" w:line="240" w:lineRule="auto"/>
        <w:ind w:left="360"/>
        <w:rPr>
          <w:rFonts w:ascii="Arial" w:hAnsi="Arial" w:cs="Arial"/>
          <w:color w:val="000000" w:themeColor="text1"/>
          <w:sz w:val="20"/>
          <w:szCs w:val="20"/>
        </w:rPr>
      </w:pPr>
      <w:bookmarkStart w:id="3" w:name="_Hlk195636552"/>
      <w:bookmarkStart w:id="4" w:name="_Hlk195636462"/>
      <w:r w:rsidRPr="00DF7048">
        <w:rPr>
          <w:rFonts w:ascii="Arial" w:hAnsi="Arial" w:cs="Arial"/>
          <w:color w:val="000000" w:themeColor="text1"/>
          <w:sz w:val="20"/>
          <w:szCs w:val="20"/>
        </w:rPr>
        <w:t xml:space="preserve">Samad, H. A., Kumar </w:t>
      </w:r>
      <w:proofErr w:type="spellStart"/>
      <w:r w:rsidRPr="00DF7048">
        <w:rPr>
          <w:rFonts w:ascii="Arial" w:hAnsi="Arial" w:cs="Arial"/>
          <w:color w:val="000000" w:themeColor="text1"/>
          <w:sz w:val="20"/>
          <w:szCs w:val="20"/>
        </w:rPr>
        <w:t>Eshwaran</w:t>
      </w:r>
      <w:proofErr w:type="spellEnd"/>
      <w:r w:rsidRPr="00DF7048">
        <w:rPr>
          <w:rFonts w:ascii="Arial" w:hAnsi="Arial" w:cs="Arial"/>
          <w:color w:val="000000" w:themeColor="text1"/>
          <w:sz w:val="20"/>
          <w:szCs w:val="20"/>
        </w:rPr>
        <w:t xml:space="preserve">, V., </w:t>
      </w:r>
      <w:proofErr w:type="spellStart"/>
      <w:r w:rsidRPr="00DF7048">
        <w:rPr>
          <w:rFonts w:ascii="Arial" w:hAnsi="Arial" w:cs="Arial"/>
          <w:color w:val="000000" w:themeColor="text1"/>
          <w:sz w:val="20"/>
          <w:szCs w:val="20"/>
        </w:rPr>
        <w:t>Muquit</w:t>
      </w:r>
      <w:proofErr w:type="spellEnd"/>
      <w:r w:rsidRPr="00DF7048">
        <w:rPr>
          <w:rFonts w:ascii="Arial" w:hAnsi="Arial" w:cs="Arial"/>
          <w:color w:val="000000" w:themeColor="text1"/>
          <w:sz w:val="20"/>
          <w:szCs w:val="20"/>
        </w:rPr>
        <w:t xml:space="preserve">, S. P., Sharma, L., Arumugam, H., Kant, L., Fatima, Z., </w:t>
      </w:r>
      <w:proofErr w:type="spellStart"/>
      <w:r w:rsidRPr="00DF7048">
        <w:rPr>
          <w:rFonts w:ascii="Arial" w:hAnsi="Arial" w:cs="Arial"/>
          <w:color w:val="000000" w:themeColor="text1"/>
          <w:sz w:val="20"/>
          <w:szCs w:val="20"/>
        </w:rPr>
        <w:t>Sharun</w:t>
      </w:r>
      <w:proofErr w:type="spellEnd"/>
      <w:r w:rsidRPr="00DF7048">
        <w:rPr>
          <w:rFonts w:ascii="Arial" w:hAnsi="Arial" w:cs="Arial"/>
          <w:color w:val="000000" w:themeColor="text1"/>
          <w:sz w:val="20"/>
          <w:szCs w:val="20"/>
        </w:rPr>
        <w:t xml:space="preserve">, K., </w:t>
      </w:r>
      <w:proofErr w:type="spellStart"/>
      <w:r w:rsidRPr="00DF7048">
        <w:rPr>
          <w:rFonts w:ascii="Arial" w:hAnsi="Arial" w:cs="Arial"/>
          <w:color w:val="000000" w:themeColor="text1"/>
          <w:sz w:val="20"/>
          <w:szCs w:val="20"/>
        </w:rPr>
        <w:t>Aradotlu</w:t>
      </w:r>
      <w:proofErr w:type="spellEnd"/>
      <w:r w:rsidRPr="00DF7048">
        <w:rPr>
          <w:rFonts w:ascii="Arial" w:hAnsi="Arial" w:cs="Arial"/>
          <w:color w:val="000000" w:themeColor="text1"/>
          <w:sz w:val="20"/>
          <w:szCs w:val="20"/>
        </w:rPr>
        <w:t xml:space="preserve"> </w:t>
      </w:r>
      <w:proofErr w:type="spellStart"/>
      <w:r w:rsidRPr="00DF7048">
        <w:rPr>
          <w:rFonts w:ascii="Arial" w:hAnsi="Arial" w:cs="Arial"/>
          <w:color w:val="000000" w:themeColor="text1"/>
          <w:sz w:val="20"/>
          <w:szCs w:val="20"/>
        </w:rPr>
        <w:t>Parameshwarappa</w:t>
      </w:r>
      <w:proofErr w:type="spellEnd"/>
      <w:r w:rsidRPr="00DF7048">
        <w:rPr>
          <w:rFonts w:ascii="Arial" w:hAnsi="Arial" w:cs="Arial"/>
          <w:color w:val="000000" w:themeColor="text1"/>
          <w:sz w:val="20"/>
          <w:szCs w:val="20"/>
        </w:rPr>
        <w:t xml:space="preserve">, M., </w:t>
      </w:r>
      <w:proofErr w:type="spellStart"/>
      <w:r w:rsidRPr="00DF7048">
        <w:rPr>
          <w:rFonts w:ascii="Arial" w:hAnsi="Arial" w:cs="Arial"/>
          <w:color w:val="000000" w:themeColor="text1"/>
          <w:sz w:val="20"/>
          <w:szCs w:val="20"/>
        </w:rPr>
        <w:t>Latheef</w:t>
      </w:r>
      <w:proofErr w:type="spellEnd"/>
      <w:r w:rsidRPr="00DF7048">
        <w:rPr>
          <w:rFonts w:ascii="Arial" w:hAnsi="Arial" w:cs="Arial"/>
          <w:color w:val="000000" w:themeColor="text1"/>
          <w:sz w:val="20"/>
          <w:szCs w:val="20"/>
        </w:rPr>
        <w:t xml:space="preserve">, S. K., Chouhan, V. S., Maurya, V. P., Singh, G., &amp; </w:t>
      </w:r>
      <w:proofErr w:type="spellStart"/>
      <w:r w:rsidRPr="00DF7048">
        <w:rPr>
          <w:rFonts w:ascii="Arial" w:hAnsi="Arial" w:cs="Arial"/>
          <w:color w:val="000000" w:themeColor="text1"/>
          <w:sz w:val="20"/>
          <w:szCs w:val="20"/>
        </w:rPr>
        <w:t>Kaniyamattam</w:t>
      </w:r>
      <w:proofErr w:type="spellEnd"/>
      <w:r w:rsidRPr="00DF7048">
        <w:rPr>
          <w:rFonts w:ascii="Arial" w:hAnsi="Arial" w:cs="Arial"/>
          <w:color w:val="000000" w:themeColor="text1"/>
          <w:sz w:val="20"/>
          <w:szCs w:val="20"/>
        </w:rPr>
        <w:t xml:space="preserve">, K. (2025). Sustainable Livestock Solutions: Addressing Carbon Footprint Challenges from Indian and Global Perspectives. Sustainability, 17(5), 2105. </w:t>
      </w:r>
      <w:hyperlink r:id="rId9" w:history="1">
        <w:r w:rsidRPr="00DF7048">
          <w:rPr>
            <w:rStyle w:val="Hyperlink"/>
            <w:rFonts w:ascii="Arial" w:hAnsi="Arial" w:cs="Arial"/>
            <w:sz w:val="20"/>
            <w:szCs w:val="20"/>
          </w:rPr>
          <w:t>https://doi.org/10.3390/su17052105</w:t>
        </w:r>
      </w:hyperlink>
    </w:p>
    <w:p w14:paraId="6279DA1D" w14:textId="30FF1EF5" w:rsidR="002F5DF5" w:rsidRPr="00DF7048" w:rsidRDefault="002F5DF5" w:rsidP="00DF7048">
      <w:pPr>
        <w:spacing w:after="0" w:line="240" w:lineRule="auto"/>
        <w:ind w:left="360"/>
        <w:rPr>
          <w:rFonts w:ascii="Arial" w:hAnsi="Arial" w:cs="Arial"/>
          <w:color w:val="000000" w:themeColor="text1"/>
          <w:sz w:val="20"/>
          <w:szCs w:val="20"/>
        </w:rPr>
      </w:pPr>
      <w:bookmarkStart w:id="5" w:name="_Hlk195636663"/>
      <w:bookmarkEnd w:id="3"/>
      <w:proofErr w:type="spellStart"/>
      <w:r w:rsidRPr="00DF7048">
        <w:rPr>
          <w:rFonts w:ascii="Arial" w:hAnsi="Arial" w:cs="Arial"/>
          <w:color w:val="000000" w:themeColor="text1"/>
          <w:sz w:val="20"/>
          <w:szCs w:val="20"/>
        </w:rPr>
        <w:t>Neemisha</w:t>
      </w:r>
      <w:proofErr w:type="spellEnd"/>
      <w:r w:rsidRPr="00DF7048">
        <w:rPr>
          <w:rFonts w:ascii="Arial" w:hAnsi="Arial" w:cs="Arial"/>
          <w:color w:val="000000" w:themeColor="text1"/>
          <w:sz w:val="20"/>
          <w:szCs w:val="20"/>
        </w:rPr>
        <w:t xml:space="preserve">, &amp; Sharma, S. (2022). Soil enzymes and their role in nutrient cycling. In B. </w:t>
      </w:r>
      <w:proofErr w:type="spellStart"/>
      <w:r w:rsidRPr="00DF7048">
        <w:rPr>
          <w:rFonts w:ascii="Arial" w:hAnsi="Arial" w:cs="Arial"/>
          <w:color w:val="000000" w:themeColor="text1"/>
          <w:sz w:val="20"/>
          <w:szCs w:val="20"/>
        </w:rPr>
        <w:t>Giri</w:t>
      </w:r>
      <w:proofErr w:type="spellEnd"/>
      <w:r w:rsidRPr="00DF7048">
        <w:rPr>
          <w:rFonts w:ascii="Arial" w:hAnsi="Arial" w:cs="Arial"/>
          <w:color w:val="000000" w:themeColor="text1"/>
          <w:sz w:val="20"/>
          <w:szCs w:val="20"/>
        </w:rPr>
        <w:t xml:space="preserve">, R. Kapoor, Q.-S. Wu, &amp; A. Varma (Eds.), Structure and functions of Pedosphere (pp. 173-188). Springer Nature Singapore. </w:t>
      </w:r>
      <w:hyperlink r:id="rId10" w:history="1">
        <w:r w:rsidRPr="00DF7048">
          <w:rPr>
            <w:rStyle w:val="Hyperlink"/>
            <w:rFonts w:ascii="Arial" w:hAnsi="Arial" w:cs="Arial"/>
            <w:sz w:val="20"/>
            <w:szCs w:val="20"/>
          </w:rPr>
          <w:t>https://doi.org/10.1007/978-981-16-8770-9_8</w:t>
        </w:r>
      </w:hyperlink>
    </w:p>
    <w:p w14:paraId="2B26E6CE" w14:textId="6D953D16" w:rsidR="002F5DF5" w:rsidRPr="00DF7048" w:rsidRDefault="002F5DF5" w:rsidP="00DF7048">
      <w:pPr>
        <w:spacing w:after="0" w:line="240" w:lineRule="auto"/>
        <w:ind w:left="360"/>
        <w:rPr>
          <w:rFonts w:ascii="Arial" w:hAnsi="Arial" w:cs="Arial"/>
          <w:color w:val="000000" w:themeColor="text1"/>
          <w:sz w:val="20"/>
          <w:szCs w:val="20"/>
        </w:rPr>
      </w:pPr>
      <w:bookmarkStart w:id="6" w:name="_Hlk195636736"/>
      <w:bookmarkEnd w:id="5"/>
      <w:proofErr w:type="spellStart"/>
      <w:r w:rsidRPr="00DF7048">
        <w:rPr>
          <w:rFonts w:ascii="Arial" w:hAnsi="Arial" w:cs="Arial"/>
          <w:color w:val="000000" w:themeColor="text1"/>
          <w:sz w:val="20"/>
          <w:szCs w:val="20"/>
        </w:rPr>
        <w:t>Jetten</w:t>
      </w:r>
      <w:proofErr w:type="spellEnd"/>
      <w:r w:rsidRPr="00DF7048">
        <w:rPr>
          <w:rFonts w:ascii="Arial" w:hAnsi="Arial" w:cs="Arial"/>
          <w:color w:val="000000" w:themeColor="text1"/>
          <w:sz w:val="20"/>
          <w:szCs w:val="20"/>
        </w:rPr>
        <w:t xml:space="preserve">, M. S. M. (2001). New pathways for ammonia conversion in soil and aquatic systems. Plant and Soil, 230(1), 9-19. </w:t>
      </w:r>
      <w:hyperlink r:id="rId11" w:history="1">
        <w:r w:rsidRPr="00DF7048">
          <w:rPr>
            <w:rStyle w:val="Hyperlink"/>
            <w:rFonts w:ascii="Arial" w:hAnsi="Arial" w:cs="Arial"/>
            <w:sz w:val="20"/>
            <w:szCs w:val="20"/>
          </w:rPr>
          <w:t>https://doi.org/10.1023/A:1004683807250</w:t>
        </w:r>
      </w:hyperlink>
    </w:p>
    <w:p w14:paraId="13E7102E" w14:textId="601BE52D" w:rsidR="002F5DF5" w:rsidRPr="00DF7048" w:rsidRDefault="002F5DF5" w:rsidP="00DF7048">
      <w:pPr>
        <w:spacing w:after="0" w:line="240" w:lineRule="auto"/>
        <w:ind w:left="360"/>
        <w:rPr>
          <w:rFonts w:ascii="Arial" w:hAnsi="Arial" w:cs="Arial"/>
          <w:color w:val="000000" w:themeColor="text1"/>
          <w:sz w:val="20"/>
          <w:szCs w:val="20"/>
        </w:rPr>
      </w:pPr>
      <w:bookmarkStart w:id="7" w:name="_Hlk195636950"/>
      <w:bookmarkEnd w:id="6"/>
      <w:proofErr w:type="spellStart"/>
      <w:r w:rsidRPr="00DF7048">
        <w:rPr>
          <w:rFonts w:ascii="Arial" w:hAnsi="Arial" w:cs="Arial"/>
          <w:color w:val="000000" w:themeColor="text1"/>
          <w:sz w:val="20"/>
          <w:szCs w:val="20"/>
        </w:rPr>
        <w:t>Fesseha</w:t>
      </w:r>
      <w:proofErr w:type="spellEnd"/>
      <w:r w:rsidRPr="00DF7048">
        <w:rPr>
          <w:rFonts w:ascii="Arial" w:hAnsi="Arial" w:cs="Arial"/>
          <w:color w:val="000000" w:themeColor="text1"/>
          <w:sz w:val="20"/>
          <w:szCs w:val="20"/>
        </w:rPr>
        <w:t xml:space="preserve">, H., &amp; Desta, W. (2020). Dromedary camel and its adaptation mechanisms to desert environment: A review. International Journal of Zoology Studies. </w:t>
      </w:r>
      <w:hyperlink r:id="rId12" w:history="1">
        <w:r w:rsidRPr="00DF7048">
          <w:rPr>
            <w:rStyle w:val="Hyperlink"/>
            <w:rFonts w:ascii="Arial" w:hAnsi="Arial" w:cs="Arial"/>
            <w:sz w:val="20"/>
            <w:szCs w:val="20"/>
          </w:rPr>
          <w:t>https://www.zoologyjournals.com/</w:t>
        </w:r>
      </w:hyperlink>
    </w:p>
    <w:bookmarkEnd w:id="7"/>
    <w:p w14:paraId="5C8F7DAA" w14:textId="4132D27D" w:rsidR="002F5DF5" w:rsidRPr="00DF7048" w:rsidRDefault="002F5DF5"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Ishaya</w:t>
      </w:r>
      <w:proofErr w:type="spellEnd"/>
      <w:r w:rsidRPr="00DF7048">
        <w:rPr>
          <w:rFonts w:ascii="Arial" w:hAnsi="Arial" w:cs="Arial"/>
          <w:color w:val="000000" w:themeColor="text1"/>
          <w:sz w:val="20"/>
          <w:szCs w:val="20"/>
        </w:rPr>
        <w:t xml:space="preserve">, L., </w:t>
      </w:r>
      <w:proofErr w:type="spellStart"/>
      <w:r w:rsidRPr="00DF7048">
        <w:rPr>
          <w:rFonts w:ascii="Arial" w:hAnsi="Arial" w:cs="Arial"/>
          <w:color w:val="000000" w:themeColor="text1"/>
          <w:sz w:val="20"/>
          <w:szCs w:val="20"/>
        </w:rPr>
        <w:t>Dibal</w:t>
      </w:r>
      <w:proofErr w:type="spellEnd"/>
      <w:r w:rsidRPr="00DF7048">
        <w:rPr>
          <w:rFonts w:ascii="Arial" w:hAnsi="Arial" w:cs="Arial"/>
          <w:color w:val="000000" w:themeColor="text1"/>
          <w:sz w:val="20"/>
          <w:szCs w:val="20"/>
        </w:rPr>
        <w:t xml:space="preserve">, N. I., </w:t>
      </w:r>
      <w:proofErr w:type="spellStart"/>
      <w:r w:rsidRPr="00DF7048">
        <w:rPr>
          <w:rFonts w:ascii="Arial" w:hAnsi="Arial" w:cs="Arial"/>
          <w:color w:val="000000" w:themeColor="text1"/>
          <w:sz w:val="20"/>
          <w:szCs w:val="20"/>
        </w:rPr>
        <w:t>Chiroma</w:t>
      </w:r>
      <w:proofErr w:type="spellEnd"/>
      <w:r w:rsidRPr="00DF7048">
        <w:rPr>
          <w:rFonts w:ascii="Arial" w:hAnsi="Arial" w:cs="Arial"/>
          <w:color w:val="000000" w:themeColor="text1"/>
          <w:sz w:val="20"/>
          <w:szCs w:val="20"/>
        </w:rPr>
        <w:t xml:space="preserve">, S. M., &amp; Attah, M. (2021). Comparative anatomical study of the kidneys in cattle (Bos </w:t>
      </w:r>
      <w:proofErr w:type="spellStart"/>
      <w:r w:rsidRPr="00DF7048">
        <w:rPr>
          <w:rFonts w:ascii="Arial" w:hAnsi="Arial" w:cs="Arial"/>
          <w:color w:val="000000" w:themeColor="text1"/>
          <w:sz w:val="20"/>
          <w:szCs w:val="20"/>
        </w:rPr>
        <w:t>taurus</w:t>
      </w:r>
      <w:proofErr w:type="spellEnd"/>
      <w:r w:rsidRPr="00DF7048">
        <w:rPr>
          <w:rFonts w:ascii="Arial" w:hAnsi="Arial" w:cs="Arial"/>
          <w:color w:val="000000" w:themeColor="text1"/>
          <w:sz w:val="20"/>
          <w:szCs w:val="20"/>
        </w:rPr>
        <w:t xml:space="preserve">) and camel (Camelus </w:t>
      </w:r>
      <w:proofErr w:type="spellStart"/>
      <w:r w:rsidRPr="00DF7048">
        <w:rPr>
          <w:rFonts w:ascii="Arial" w:hAnsi="Arial" w:cs="Arial"/>
          <w:color w:val="000000" w:themeColor="text1"/>
          <w:sz w:val="20"/>
          <w:szCs w:val="20"/>
        </w:rPr>
        <w:t>dromederus</w:t>
      </w:r>
      <w:proofErr w:type="spellEnd"/>
      <w:r w:rsidRPr="00DF7048">
        <w:rPr>
          <w:rFonts w:ascii="Arial" w:hAnsi="Arial" w:cs="Arial"/>
          <w:color w:val="000000" w:themeColor="text1"/>
          <w:sz w:val="20"/>
          <w:szCs w:val="20"/>
        </w:rPr>
        <w:t xml:space="preserve">). Journal of Morphological Sciences, 38, 386-391. </w:t>
      </w:r>
      <w:hyperlink r:id="rId13" w:history="1">
        <w:r w:rsidRPr="00DF7048">
          <w:rPr>
            <w:rStyle w:val="Hyperlink"/>
            <w:rFonts w:ascii="Arial" w:hAnsi="Arial" w:cs="Arial"/>
            <w:sz w:val="20"/>
            <w:szCs w:val="20"/>
          </w:rPr>
          <w:t>https://doi.org/10.51929/jms.38.67.2021</w:t>
        </w:r>
      </w:hyperlink>
    </w:p>
    <w:p w14:paraId="48EC007E" w14:textId="4C92C80E" w:rsidR="002F5DF5" w:rsidRPr="00DF7048" w:rsidRDefault="002F5DF5" w:rsidP="00DF7048">
      <w:pPr>
        <w:spacing w:after="0" w:line="240" w:lineRule="auto"/>
        <w:ind w:left="360"/>
        <w:rPr>
          <w:rFonts w:ascii="Arial" w:hAnsi="Arial" w:cs="Arial"/>
          <w:color w:val="000000" w:themeColor="text1"/>
          <w:sz w:val="20"/>
          <w:szCs w:val="20"/>
        </w:rPr>
      </w:pPr>
      <w:bookmarkStart w:id="8" w:name="_Hlk195637403"/>
      <w:r w:rsidRPr="00DF7048">
        <w:rPr>
          <w:rFonts w:ascii="Arial" w:hAnsi="Arial" w:cs="Arial"/>
          <w:color w:val="000000" w:themeColor="text1"/>
          <w:sz w:val="20"/>
          <w:szCs w:val="20"/>
        </w:rPr>
        <w:lastRenderedPageBreak/>
        <w:t xml:space="preserve">Lin, Y., Hu, H. W., Ye, G., Fan, J., Ding, W., He, Z. Y., Zheng, Y., &amp; He, J. Z. (2021). Ammonia-oxidizing bacteria play an important role in nitrification of acidic soils: A meta-analysis. </w:t>
      </w:r>
      <w:proofErr w:type="spellStart"/>
      <w:r w:rsidRPr="00DF7048">
        <w:rPr>
          <w:rFonts w:ascii="Arial" w:hAnsi="Arial" w:cs="Arial"/>
          <w:color w:val="000000" w:themeColor="text1"/>
          <w:sz w:val="20"/>
          <w:szCs w:val="20"/>
        </w:rPr>
        <w:t>Geoderma</w:t>
      </w:r>
      <w:proofErr w:type="spellEnd"/>
      <w:r w:rsidRPr="00DF7048">
        <w:rPr>
          <w:rFonts w:ascii="Arial" w:hAnsi="Arial" w:cs="Arial"/>
          <w:color w:val="000000" w:themeColor="text1"/>
          <w:sz w:val="20"/>
          <w:szCs w:val="20"/>
        </w:rPr>
        <w:t xml:space="preserve">, 404, 115395. </w:t>
      </w:r>
      <w:hyperlink r:id="rId14" w:history="1">
        <w:r w:rsidRPr="00DF7048">
          <w:rPr>
            <w:rStyle w:val="Hyperlink"/>
            <w:rFonts w:ascii="Arial" w:hAnsi="Arial" w:cs="Arial"/>
            <w:sz w:val="20"/>
            <w:szCs w:val="20"/>
          </w:rPr>
          <w:t>https://doi.org/10.1016/j.geoderma.2021.115395</w:t>
        </w:r>
      </w:hyperlink>
    </w:p>
    <w:bookmarkEnd w:id="8"/>
    <w:p w14:paraId="7E9C7EAB" w14:textId="2679430D"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Burrell, P. C., Phalen, C. M., &amp; </w:t>
      </w:r>
      <w:proofErr w:type="spellStart"/>
      <w:r w:rsidRPr="00DF7048">
        <w:rPr>
          <w:rFonts w:ascii="Arial" w:hAnsi="Arial" w:cs="Arial"/>
          <w:color w:val="000000" w:themeColor="text1"/>
          <w:sz w:val="20"/>
          <w:szCs w:val="20"/>
        </w:rPr>
        <w:t>Hovanec</w:t>
      </w:r>
      <w:proofErr w:type="spellEnd"/>
      <w:r w:rsidRPr="00DF7048">
        <w:rPr>
          <w:rFonts w:ascii="Arial" w:hAnsi="Arial" w:cs="Arial"/>
          <w:color w:val="000000" w:themeColor="text1"/>
          <w:sz w:val="20"/>
          <w:szCs w:val="20"/>
        </w:rPr>
        <w:t xml:space="preserve">, T. A. (2001). Identification of bacteria responsible for ammonia oxidation in freshwater aquaria. Applied and Environmental Microbiology, 67(12), 5791-5800. </w:t>
      </w:r>
      <w:hyperlink r:id="rId15" w:history="1">
        <w:r w:rsidRPr="00DF7048">
          <w:rPr>
            <w:rStyle w:val="Hyperlink"/>
            <w:rFonts w:ascii="Arial" w:hAnsi="Arial" w:cs="Arial"/>
            <w:sz w:val="20"/>
            <w:szCs w:val="20"/>
          </w:rPr>
          <w:t>https://doi.org/10.1128/AEM.67.12.5791-5800.2001</w:t>
        </w:r>
      </w:hyperlink>
    </w:p>
    <w:p w14:paraId="01E38F64" w14:textId="30F54D74" w:rsidR="002F5DF5" w:rsidRPr="00DF7048" w:rsidRDefault="002F5DF5" w:rsidP="00DF7048">
      <w:pPr>
        <w:spacing w:after="0" w:line="240" w:lineRule="auto"/>
        <w:ind w:left="360"/>
        <w:rPr>
          <w:rFonts w:ascii="Arial" w:hAnsi="Arial" w:cs="Arial"/>
          <w:color w:val="000000" w:themeColor="text1"/>
          <w:sz w:val="20"/>
          <w:szCs w:val="20"/>
        </w:rPr>
      </w:pPr>
      <w:bookmarkStart w:id="9" w:name="_Hlk195637500"/>
      <w:bookmarkEnd w:id="4"/>
      <w:r w:rsidRPr="00DF7048">
        <w:rPr>
          <w:rFonts w:ascii="Arial" w:hAnsi="Arial" w:cs="Arial"/>
          <w:color w:val="000000" w:themeColor="text1"/>
          <w:sz w:val="20"/>
          <w:szCs w:val="20"/>
        </w:rPr>
        <w:t xml:space="preserve">Kim, S. I., </w:t>
      </w:r>
      <w:proofErr w:type="spellStart"/>
      <w:r w:rsidRPr="00DF7048">
        <w:rPr>
          <w:rFonts w:ascii="Arial" w:hAnsi="Arial" w:cs="Arial"/>
          <w:color w:val="000000" w:themeColor="text1"/>
          <w:sz w:val="20"/>
          <w:szCs w:val="20"/>
        </w:rPr>
        <w:t>Heo</w:t>
      </w:r>
      <w:proofErr w:type="spellEnd"/>
      <w:r w:rsidRPr="00DF7048">
        <w:rPr>
          <w:rFonts w:ascii="Arial" w:hAnsi="Arial" w:cs="Arial"/>
          <w:color w:val="000000" w:themeColor="text1"/>
          <w:sz w:val="20"/>
          <w:szCs w:val="20"/>
        </w:rPr>
        <w:t xml:space="preserve">, W., Lee, S. J., &amp; Kim, Y. J. (2021). Isolation and characterization of effective bacteria that reduce ammonia emission from livestock manure. Microorganisms, 10(1), 77. </w:t>
      </w:r>
      <w:hyperlink r:id="rId16" w:history="1">
        <w:r w:rsidRPr="00DF7048">
          <w:rPr>
            <w:rStyle w:val="Hyperlink"/>
            <w:rFonts w:ascii="Arial" w:hAnsi="Arial" w:cs="Arial"/>
            <w:sz w:val="20"/>
            <w:szCs w:val="20"/>
          </w:rPr>
          <w:t>https://doi.org/10.3390/microorganisms10010077</w:t>
        </w:r>
      </w:hyperlink>
    </w:p>
    <w:bookmarkEnd w:id="9"/>
    <w:p w14:paraId="596C9C6E" w14:textId="2505E1C8"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Mason, B. J. (1992). Preparation of soil sampling protocols: Sampling techniques and strategies. U.S. Environmental Protection Agency. </w:t>
      </w:r>
      <w:hyperlink r:id="rId17" w:history="1">
        <w:r w:rsidRPr="00DF7048">
          <w:rPr>
            <w:rStyle w:val="Hyperlink"/>
            <w:rFonts w:ascii="Arial" w:hAnsi="Arial" w:cs="Arial"/>
            <w:sz w:val="20"/>
            <w:szCs w:val="20"/>
          </w:rPr>
          <w:t>https://nepis.epa.gov/Exe/ZyPDF.cgi?Dockey=200012293.PDF</w:t>
        </w:r>
      </w:hyperlink>
    </w:p>
    <w:p w14:paraId="7233EB45" w14:textId="40CC1926" w:rsidR="002F5DF5" w:rsidRPr="00DF7048" w:rsidRDefault="002F5DF5" w:rsidP="00DF7048">
      <w:pPr>
        <w:spacing w:after="0" w:line="240" w:lineRule="auto"/>
        <w:ind w:left="360"/>
        <w:rPr>
          <w:rFonts w:ascii="Arial" w:hAnsi="Arial" w:cs="Arial"/>
          <w:color w:val="000000" w:themeColor="text1"/>
          <w:sz w:val="20"/>
          <w:szCs w:val="20"/>
        </w:rPr>
      </w:pPr>
      <w:bookmarkStart w:id="10" w:name="_Hlk195637646"/>
      <w:proofErr w:type="spellStart"/>
      <w:r w:rsidRPr="00DF7048">
        <w:rPr>
          <w:rFonts w:ascii="Arial" w:hAnsi="Arial" w:cs="Arial"/>
          <w:color w:val="000000" w:themeColor="text1"/>
          <w:sz w:val="20"/>
          <w:szCs w:val="20"/>
        </w:rPr>
        <w:t>Aneja</w:t>
      </w:r>
      <w:proofErr w:type="spellEnd"/>
      <w:r w:rsidRPr="00DF7048">
        <w:rPr>
          <w:rFonts w:ascii="Arial" w:hAnsi="Arial" w:cs="Arial"/>
          <w:color w:val="000000" w:themeColor="text1"/>
          <w:sz w:val="20"/>
          <w:szCs w:val="20"/>
        </w:rPr>
        <w:t xml:space="preserve">, K. R., Dhiman, R., Aggarwal, N. K., Kumar, V., &amp; Kaur, M. (2014). Microbes associated with freshly prepared juices of citrus and carrots. International Journal of Food Science. </w:t>
      </w:r>
      <w:hyperlink r:id="rId18" w:history="1">
        <w:r w:rsidRPr="00DF7048">
          <w:rPr>
            <w:rStyle w:val="Hyperlink"/>
            <w:rFonts w:ascii="Arial" w:hAnsi="Arial" w:cs="Arial"/>
            <w:sz w:val="20"/>
            <w:szCs w:val="20"/>
          </w:rPr>
          <w:t>https://doi.org/10.1155/2014/408085</w:t>
        </w:r>
      </w:hyperlink>
    </w:p>
    <w:bookmarkEnd w:id="10"/>
    <w:p w14:paraId="54FC76A8" w14:textId="6F2A6576" w:rsidR="002F5DF5" w:rsidRPr="00DF7048" w:rsidRDefault="002F5DF5"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Ajayan</w:t>
      </w:r>
      <w:proofErr w:type="spellEnd"/>
      <w:r w:rsidRPr="00DF7048">
        <w:rPr>
          <w:rFonts w:ascii="Arial" w:hAnsi="Arial" w:cs="Arial"/>
          <w:color w:val="000000" w:themeColor="text1"/>
          <w:sz w:val="20"/>
          <w:szCs w:val="20"/>
        </w:rPr>
        <w:t xml:space="preserve">, K. V. (2023). Microalgal Cultivation: Cultivation Media and its Supplementary Compounds. Journal of Food and Agriculture Research, 3(2), 145-167. </w:t>
      </w:r>
      <w:hyperlink r:id="rId19" w:history="1">
        <w:r w:rsidRPr="00DF7048">
          <w:rPr>
            <w:rStyle w:val="Hyperlink"/>
            <w:rFonts w:ascii="Arial" w:hAnsi="Arial" w:cs="Arial"/>
            <w:sz w:val="20"/>
            <w:szCs w:val="20"/>
          </w:rPr>
          <w:t>https://doi.org/10.47509/JFAR.2023.v03i02.04</w:t>
        </w:r>
      </w:hyperlink>
    </w:p>
    <w:p w14:paraId="6D588031" w14:textId="295F6023" w:rsidR="002F5DF5" w:rsidRPr="00DF7048" w:rsidRDefault="002F5DF5" w:rsidP="00DF7048">
      <w:pPr>
        <w:spacing w:after="0" w:line="240" w:lineRule="auto"/>
        <w:ind w:left="360"/>
        <w:rPr>
          <w:rFonts w:ascii="Arial" w:hAnsi="Arial" w:cs="Arial"/>
          <w:color w:val="000000" w:themeColor="text1"/>
          <w:sz w:val="20"/>
          <w:szCs w:val="20"/>
        </w:rPr>
      </w:pPr>
      <w:bookmarkStart w:id="11" w:name="_Hlk188781397"/>
      <w:r w:rsidRPr="00DF7048">
        <w:rPr>
          <w:rFonts w:ascii="Arial" w:hAnsi="Arial" w:cs="Arial"/>
          <w:color w:val="000000" w:themeColor="text1"/>
          <w:sz w:val="20"/>
          <w:szCs w:val="20"/>
        </w:rPr>
        <w:t xml:space="preserve">Sanders, E. R. (2012). Aseptic laboratory techniques: plating methods. Journal of Visualized Experiments. </w:t>
      </w:r>
      <w:hyperlink r:id="rId20" w:history="1">
        <w:r w:rsidRPr="00DF7048">
          <w:rPr>
            <w:rStyle w:val="Hyperlink"/>
            <w:rFonts w:ascii="Arial" w:hAnsi="Arial" w:cs="Arial"/>
            <w:sz w:val="20"/>
            <w:szCs w:val="20"/>
          </w:rPr>
          <w:t>https://doi.org/10.3791/3064</w:t>
        </w:r>
      </w:hyperlink>
    </w:p>
    <w:p w14:paraId="7A5BBD59" w14:textId="273A840B" w:rsidR="002F5DF5" w:rsidRPr="00DF7048" w:rsidRDefault="002F5DF5" w:rsidP="00DF7048">
      <w:pPr>
        <w:spacing w:after="0" w:line="240" w:lineRule="auto"/>
        <w:ind w:left="360"/>
        <w:rPr>
          <w:rFonts w:ascii="Arial" w:hAnsi="Arial" w:cs="Arial"/>
          <w:color w:val="000000" w:themeColor="text1"/>
          <w:sz w:val="20"/>
          <w:szCs w:val="20"/>
        </w:rPr>
      </w:pPr>
      <w:bookmarkStart w:id="12" w:name="_Hlk195637840"/>
      <w:bookmarkStart w:id="13" w:name="_Hlk190531142"/>
      <w:bookmarkEnd w:id="11"/>
      <w:r w:rsidRPr="00DF7048">
        <w:rPr>
          <w:rFonts w:ascii="Arial" w:hAnsi="Arial" w:cs="Arial"/>
          <w:color w:val="000000" w:themeColor="text1"/>
          <w:sz w:val="20"/>
          <w:szCs w:val="20"/>
        </w:rPr>
        <w:t xml:space="preserve">Tedeschi, R., &amp; De Paoli, P. (2011). Collection and preservation of frozen microorganisms. Methods in Molecular Biology, 675, 313-326. </w:t>
      </w:r>
      <w:hyperlink r:id="rId21" w:history="1">
        <w:r w:rsidRPr="00DF7048">
          <w:rPr>
            <w:rStyle w:val="Hyperlink"/>
            <w:rFonts w:ascii="Arial" w:hAnsi="Arial" w:cs="Arial"/>
            <w:sz w:val="20"/>
            <w:szCs w:val="20"/>
          </w:rPr>
          <w:t>https://doi.org/10.1007/978-1-59745-423-0_18</w:t>
        </w:r>
      </w:hyperlink>
    </w:p>
    <w:p w14:paraId="456C01E5" w14:textId="7FD1F459" w:rsidR="002F5DF5" w:rsidRPr="00DF7048" w:rsidRDefault="002F5DF5" w:rsidP="00DF7048">
      <w:pPr>
        <w:spacing w:after="0" w:line="240" w:lineRule="auto"/>
        <w:ind w:left="360"/>
        <w:rPr>
          <w:rFonts w:ascii="Arial" w:hAnsi="Arial" w:cs="Arial"/>
          <w:color w:val="000000" w:themeColor="text1"/>
          <w:sz w:val="20"/>
          <w:szCs w:val="20"/>
        </w:rPr>
      </w:pPr>
      <w:bookmarkStart w:id="14" w:name="_Hlk195637904"/>
      <w:bookmarkEnd w:id="12"/>
      <w:r w:rsidRPr="00DF7048">
        <w:rPr>
          <w:rFonts w:ascii="Arial" w:hAnsi="Arial" w:cs="Arial"/>
          <w:color w:val="000000" w:themeColor="text1"/>
          <w:sz w:val="20"/>
          <w:szCs w:val="20"/>
        </w:rPr>
        <w:t xml:space="preserve">Moyes, R. B., Reynolds, J., &amp; Breakwell, D. P. (2009). Differential staining of bacteria: gram stain. Current Protocols in Microbiology, 15(1), A-3C. </w:t>
      </w:r>
      <w:hyperlink r:id="rId22" w:history="1">
        <w:r w:rsidRPr="00DF7048">
          <w:rPr>
            <w:rStyle w:val="Hyperlink"/>
            <w:rFonts w:ascii="Arial" w:hAnsi="Arial" w:cs="Arial"/>
            <w:sz w:val="20"/>
            <w:szCs w:val="20"/>
          </w:rPr>
          <w:t>https://doi.org/10.1002/9780471729259.mca03cs15</w:t>
        </w:r>
      </w:hyperlink>
    </w:p>
    <w:p w14:paraId="2C93B1EF" w14:textId="3246CA24" w:rsidR="002F5DF5" w:rsidRPr="00DF7048" w:rsidRDefault="002F5DF5" w:rsidP="00DF7048">
      <w:pPr>
        <w:spacing w:after="0" w:line="240" w:lineRule="auto"/>
        <w:ind w:left="360"/>
        <w:rPr>
          <w:rFonts w:ascii="Arial" w:hAnsi="Arial" w:cs="Arial"/>
          <w:color w:val="000000" w:themeColor="text1"/>
          <w:sz w:val="20"/>
          <w:szCs w:val="20"/>
        </w:rPr>
      </w:pPr>
      <w:bookmarkStart w:id="15" w:name="_Hlk195637990"/>
      <w:bookmarkEnd w:id="14"/>
      <w:r w:rsidRPr="00DF7048">
        <w:rPr>
          <w:rFonts w:ascii="Arial" w:hAnsi="Arial" w:cs="Arial"/>
          <w:color w:val="000000" w:themeColor="text1"/>
          <w:sz w:val="20"/>
          <w:szCs w:val="20"/>
        </w:rPr>
        <w:t xml:space="preserve">Young, K. D. (2003). Bacterial shape. Molecular Microbiology, 49(3), 571-580. </w:t>
      </w:r>
      <w:hyperlink r:id="rId23" w:history="1">
        <w:r w:rsidRPr="00DF7048">
          <w:rPr>
            <w:rStyle w:val="Hyperlink"/>
            <w:rFonts w:ascii="Arial" w:hAnsi="Arial" w:cs="Arial"/>
            <w:sz w:val="20"/>
            <w:szCs w:val="20"/>
          </w:rPr>
          <w:t>https://doi.org/10.1046/j.1365-2958.2003.03607.x</w:t>
        </w:r>
      </w:hyperlink>
    </w:p>
    <w:p w14:paraId="20A24A5A" w14:textId="411A3CB8" w:rsidR="002F5DF5" w:rsidRPr="00DF7048" w:rsidRDefault="002F5DF5" w:rsidP="00DF7048">
      <w:pPr>
        <w:spacing w:after="0" w:line="240" w:lineRule="auto"/>
        <w:ind w:left="360"/>
        <w:rPr>
          <w:rFonts w:ascii="Arial" w:hAnsi="Arial" w:cs="Arial"/>
          <w:color w:val="000000" w:themeColor="text1"/>
          <w:sz w:val="20"/>
          <w:szCs w:val="20"/>
        </w:rPr>
      </w:pPr>
      <w:bookmarkStart w:id="16" w:name="_Hlk195638175"/>
      <w:bookmarkEnd w:id="15"/>
      <w:r w:rsidRPr="00DF7048">
        <w:rPr>
          <w:rFonts w:ascii="Arial" w:hAnsi="Arial" w:cs="Arial"/>
          <w:color w:val="000000" w:themeColor="text1"/>
          <w:sz w:val="20"/>
          <w:szCs w:val="20"/>
        </w:rPr>
        <w:t xml:space="preserve">Jain, A., Jain, R., &amp; Jain, S. (2020). Motility Testing – Hanging Drop Method and Stab. In Basic Techniques in Biochemistry, Microbiology and Molecular Biology: Principles and Techniques (pp. 121-122). Springer. </w:t>
      </w:r>
      <w:hyperlink r:id="rId24" w:history="1">
        <w:r w:rsidRPr="00DF7048">
          <w:rPr>
            <w:rStyle w:val="Hyperlink"/>
            <w:rFonts w:ascii="Arial" w:hAnsi="Arial" w:cs="Arial"/>
            <w:sz w:val="20"/>
            <w:szCs w:val="20"/>
          </w:rPr>
          <w:t>https://doi.org/10.1007/978-1-4939-9861-6_34</w:t>
        </w:r>
      </w:hyperlink>
    </w:p>
    <w:p w14:paraId="0104A1EA" w14:textId="4BAAEBBA" w:rsidR="002F5DF5" w:rsidRPr="00DF7048" w:rsidRDefault="002F5DF5" w:rsidP="00DF7048">
      <w:pPr>
        <w:spacing w:after="0" w:line="240" w:lineRule="auto"/>
        <w:ind w:left="360"/>
        <w:rPr>
          <w:rFonts w:ascii="Arial" w:hAnsi="Arial" w:cs="Arial"/>
          <w:color w:val="000000" w:themeColor="text1"/>
          <w:sz w:val="20"/>
          <w:szCs w:val="20"/>
        </w:rPr>
      </w:pPr>
      <w:bookmarkStart w:id="17" w:name="_Hlk190531308"/>
      <w:proofErr w:type="spellStart"/>
      <w:r w:rsidRPr="00DF7048">
        <w:rPr>
          <w:rFonts w:ascii="Arial" w:hAnsi="Arial" w:cs="Arial"/>
          <w:color w:val="000000" w:themeColor="text1"/>
          <w:sz w:val="20"/>
          <w:szCs w:val="20"/>
        </w:rPr>
        <w:t>MacWilliams</w:t>
      </w:r>
      <w:proofErr w:type="spellEnd"/>
      <w:r w:rsidRPr="00DF7048">
        <w:rPr>
          <w:rFonts w:ascii="Arial" w:hAnsi="Arial" w:cs="Arial"/>
          <w:color w:val="000000" w:themeColor="text1"/>
          <w:sz w:val="20"/>
          <w:szCs w:val="20"/>
        </w:rPr>
        <w:t xml:space="preserve">, M. P. (2009). Indole test protocol. American Society for Microbiology. </w:t>
      </w:r>
      <w:hyperlink r:id="rId25" w:history="1">
        <w:r w:rsidRPr="00DF7048">
          <w:rPr>
            <w:rStyle w:val="Hyperlink"/>
            <w:rFonts w:ascii="Arial" w:hAnsi="Arial" w:cs="Arial"/>
            <w:sz w:val="20"/>
            <w:szCs w:val="20"/>
          </w:rPr>
          <w:t>https://www.asmscience.org/content/education/protocol/protocol.3202</w:t>
        </w:r>
      </w:hyperlink>
    </w:p>
    <w:p w14:paraId="4EB1F35D" w14:textId="42678055" w:rsidR="002F5DF5" w:rsidRPr="00DF7048" w:rsidRDefault="002F5DF5" w:rsidP="00DF7048">
      <w:pPr>
        <w:spacing w:after="0" w:line="240" w:lineRule="auto"/>
        <w:ind w:left="360"/>
        <w:rPr>
          <w:rFonts w:ascii="Arial" w:hAnsi="Arial" w:cs="Arial"/>
          <w:color w:val="000000" w:themeColor="text1"/>
          <w:sz w:val="20"/>
          <w:szCs w:val="20"/>
        </w:rPr>
      </w:pPr>
      <w:bookmarkStart w:id="18" w:name="_Hlk190531455"/>
      <w:bookmarkEnd w:id="17"/>
      <w:proofErr w:type="spellStart"/>
      <w:r w:rsidRPr="00DF7048">
        <w:rPr>
          <w:rFonts w:ascii="Arial" w:hAnsi="Arial" w:cs="Arial"/>
          <w:color w:val="000000" w:themeColor="text1"/>
          <w:sz w:val="20"/>
          <w:szCs w:val="20"/>
        </w:rPr>
        <w:t>Adedayo</w:t>
      </w:r>
      <w:proofErr w:type="spellEnd"/>
      <w:r w:rsidRPr="00DF7048">
        <w:rPr>
          <w:rFonts w:ascii="Arial" w:hAnsi="Arial" w:cs="Arial"/>
          <w:color w:val="000000" w:themeColor="text1"/>
          <w:sz w:val="20"/>
          <w:szCs w:val="20"/>
        </w:rPr>
        <w:t xml:space="preserve">, O., </w:t>
      </w:r>
      <w:proofErr w:type="spellStart"/>
      <w:r w:rsidRPr="00DF7048">
        <w:rPr>
          <w:rFonts w:ascii="Arial" w:hAnsi="Arial" w:cs="Arial"/>
          <w:color w:val="000000" w:themeColor="text1"/>
          <w:sz w:val="20"/>
          <w:szCs w:val="20"/>
        </w:rPr>
        <w:t>Javadpour</w:t>
      </w:r>
      <w:proofErr w:type="spellEnd"/>
      <w:r w:rsidRPr="00DF7048">
        <w:rPr>
          <w:rFonts w:ascii="Arial" w:hAnsi="Arial" w:cs="Arial"/>
          <w:color w:val="000000" w:themeColor="text1"/>
          <w:sz w:val="20"/>
          <w:szCs w:val="20"/>
        </w:rPr>
        <w:t xml:space="preserve">, S., Taylor, C., Anderson, W. A., &amp; Moo-Young, M. (2004). Decolourization and detoxification of methyl red by aerobic bacteria from a wastewater treatment plant. World Journal of Microbiology and Biotechnology, 20, 545-550. </w:t>
      </w:r>
      <w:hyperlink r:id="rId26" w:history="1">
        <w:r w:rsidRPr="00DF7048">
          <w:rPr>
            <w:rStyle w:val="Hyperlink"/>
            <w:rFonts w:ascii="Arial" w:hAnsi="Arial" w:cs="Arial"/>
            <w:sz w:val="20"/>
            <w:szCs w:val="20"/>
          </w:rPr>
          <w:t>https://doi.org/10.1023/B:WIBI.0000043150.37318.5f</w:t>
        </w:r>
      </w:hyperlink>
    </w:p>
    <w:p w14:paraId="41D3F65F" w14:textId="1996AA1C" w:rsidR="002F5DF5" w:rsidRPr="00DF7048" w:rsidRDefault="002F5DF5" w:rsidP="00DF7048">
      <w:pPr>
        <w:spacing w:after="0" w:line="240" w:lineRule="auto"/>
        <w:ind w:left="360"/>
        <w:rPr>
          <w:rFonts w:ascii="Arial" w:hAnsi="Arial" w:cs="Arial"/>
          <w:color w:val="000000" w:themeColor="text1"/>
          <w:sz w:val="20"/>
          <w:szCs w:val="20"/>
        </w:rPr>
      </w:pPr>
      <w:bookmarkStart w:id="19" w:name="_Hlk195637726"/>
      <w:bookmarkEnd w:id="18"/>
      <w:r w:rsidRPr="00DF7048">
        <w:rPr>
          <w:rFonts w:ascii="Arial" w:hAnsi="Arial" w:cs="Arial"/>
          <w:color w:val="000000" w:themeColor="text1"/>
          <w:sz w:val="20"/>
          <w:szCs w:val="20"/>
        </w:rPr>
        <w:t xml:space="preserve">McDevitt, S. (2009). Methyl Red and Voges-Proskauer Test Protocols. American Society for Microbiology. </w:t>
      </w:r>
      <w:hyperlink r:id="rId27" w:history="1">
        <w:r w:rsidRPr="00DF7048">
          <w:rPr>
            <w:rStyle w:val="Hyperlink"/>
            <w:rFonts w:ascii="Arial" w:hAnsi="Arial" w:cs="Arial"/>
            <w:sz w:val="20"/>
            <w:szCs w:val="20"/>
          </w:rPr>
          <w:t>https://www.asm.org/Protocols/Methyl-Red-and-Voges-Proskauer-Test-Protocols</w:t>
        </w:r>
      </w:hyperlink>
    </w:p>
    <w:p w14:paraId="4DB2443F" w14:textId="24E8CE0C" w:rsidR="002F5DF5" w:rsidRPr="00DF7048" w:rsidRDefault="002F5DF5" w:rsidP="00DF7048">
      <w:pPr>
        <w:spacing w:after="0" w:line="240" w:lineRule="auto"/>
        <w:ind w:left="360"/>
        <w:rPr>
          <w:rFonts w:ascii="Arial" w:hAnsi="Arial" w:cs="Arial"/>
          <w:color w:val="000000" w:themeColor="text1"/>
          <w:sz w:val="20"/>
          <w:szCs w:val="20"/>
        </w:rPr>
      </w:pPr>
      <w:bookmarkStart w:id="20" w:name="_Hlk190532098"/>
      <w:bookmarkEnd w:id="19"/>
      <w:proofErr w:type="spellStart"/>
      <w:r w:rsidRPr="00DF7048">
        <w:rPr>
          <w:rFonts w:ascii="Arial" w:hAnsi="Arial" w:cs="Arial"/>
          <w:color w:val="000000" w:themeColor="text1"/>
          <w:sz w:val="20"/>
          <w:szCs w:val="20"/>
        </w:rPr>
        <w:t>Panhale</w:t>
      </w:r>
      <w:proofErr w:type="spellEnd"/>
      <w:r w:rsidRPr="00DF7048">
        <w:rPr>
          <w:rFonts w:ascii="Arial" w:hAnsi="Arial" w:cs="Arial"/>
          <w:color w:val="000000" w:themeColor="text1"/>
          <w:sz w:val="20"/>
          <w:szCs w:val="20"/>
        </w:rPr>
        <w:t xml:space="preserve">, D., Grewal, S., &amp; Goel, S. (2021). Isolation, identification and characterization of bioluminescent Bacteria from different beaches of India. Annals of Biology, 37(1), 27-30. </w:t>
      </w:r>
      <w:hyperlink r:id="rId28" w:history="1">
        <w:r w:rsidRPr="00DF7048">
          <w:rPr>
            <w:rStyle w:val="Hyperlink"/>
            <w:rFonts w:ascii="Arial" w:hAnsi="Arial" w:cs="Arial"/>
            <w:sz w:val="20"/>
            <w:szCs w:val="20"/>
          </w:rPr>
          <w:t>http://agribiop.com/category/annals-of-biology/</w:t>
        </w:r>
      </w:hyperlink>
    </w:p>
    <w:p w14:paraId="2A2F0D25" w14:textId="4BCDC2CB" w:rsidR="000D5CAC" w:rsidRPr="00DF7048" w:rsidRDefault="000D5CAC" w:rsidP="00DF7048">
      <w:pPr>
        <w:spacing w:after="0" w:line="240" w:lineRule="auto"/>
        <w:ind w:left="360"/>
        <w:rPr>
          <w:rFonts w:ascii="Arial" w:hAnsi="Arial" w:cs="Arial"/>
          <w:color w:val="000000" w:themeColor="text1"/>
          <w:sz w:val="20"/>
          <w:szCs w:val="20"/>
        </w:rPr>
      </w:pPr>
      <w:bookmarkStart w:id="21" w:name="_Hlk188790679"/>
      <w:bookmarkEnd w:id="20"/>
      <w:r w:rsidRPr="00DF7048">
        <w:rPr>
          <w:rFonts w:ascii="Arial" w:hAnsi="Arial" w:cs="Arial"/>
          <w:color w:val="000000" w:themeColor="text1"/>
          <w:sz w:val="20"/>
          <w:szCs w:val="20"/>
        </w:rPr>
        <w:t xml:space="preserve">Lazarevic, V., </w:t>
      </w:r>
      <w:proofErr w:type="spellStart"/>
      <w:r w:rsidRPr="00DF7048">
        <w:rPr>
          <w:rFonts w:ascii="Arial" w:hAnsi="Arial" w:cs="Arial"/>
          <w:color w:val="000000" w:themeColor="text1"/>
          <w:sz w:val="20"/>
          <w:szCs w:val="20"/>
        </w:rPr>
        <w:t>Gaïa</w:t>
      </w:r>
      <w:proofErr w:type="spellEnd"/>
      <w:r w:rsidRPr="00DF7048">
        <w:rPr>
          <w:rFonts w:ascii="Arial" w:hAnsi="Arial" w:cs="Arial"/>
          <w:color w:val="000000" w:themeColor="text1"/>
          <w:sz w:val="20"/>
          <w:szCs w:val="20"/>
        </w:rPr>
        <w:t xml:space="preserve">, N., Girard, M., François, P., &amp; </w:t>
      </w:r>
      <w:proofErr w:type="spellStart"/>
      <w:r w:rsidRPr="00DF7048">
        <w:rPr>
          <w:rFonts w:ascii="Arial" w:hAnsi="Arial" w:cs="Arial"/>
          <w:color w:val="000000" w:themeColor="text1"/>
          <w:sz w:val="20"/>
          <w:szCs w:val="20"/>
        </w:rPr>
        <w:t>Schrenzel</w:t>
      </w:r>
      <w:proofErr w:type="spellEnd"/>
      <w:r w:rsidRPr="00DF7048">
        <w:rPr>
          <w:rFonts w:ascii="Arial" w:hAnsi="Arial" w:cs="Arial"/>
          <w:color w:val="000000" w:themeColor="text1"/>
          <w:sz w:val="20"/>
          <w:szCs w:val="20"/>
        </w:rPr>
        <w:t xml:space="preserve">, J. (2013). Comparison of DNA Extraction Methods in Analysis of Salivary Bacterial Communities. </w:t>
      </w:r>
      <w:proofErr w:type="spellStart"/>
      <w:r w:rsidRPr="00DF7048">
        <w:rPr>
          <w:rFonts w:ascii="Arial" w:hAnsi="Arial" w:cs="Arial"/>
          <w:color w:val="000000" w:themeColor="text1"/>
          <w:sz w:val="20"/>
          <w:szCs w:val="20"/>
        </w:rPr>
        <w:t>PloS</w:t>
      </w:r>
      <w:proofErr w:type="spellEnd"/>
      <w:r w:rsidRPr="00DF7048">
        <w:rPr>
          <w:rFonts w:ascii="Arial" w:hAnsi="Arial" w:cs="Arial"/>
          <w:color w:val="000000" w:themeColor="text1"/>
          <w:sz w:val="20"/>
          <w:szCs w:val="20"/>
        </w:rPr>
        <w:t xml:space="preserve"> one, 8(7), e67699. </w:t>
      </w:r>
      <w:hyperlink r:id="rId29" w:history="1">
        <w:r w:rsidRPr="00DF7048">
          <w:rPr>
            <w:rStyle w:val="Hyperlink"/>
            <w:rFonts w:ascii="Arial" w:hAnsi="Arial" w:cs="Arial"/>
            <w:sz w:val="20"/>
            <w:szCs w:val="20"/>
          </w:rPr>
          <w:t>https://doi.org/10.1371/journal.pone.0067699</w:t>
        </w:r>
      </w:hyperlink>
    </w:p>
    <w:bookmarkEnd w:id="21"/>
    <w:p w14:paraId="509674D7" w14:textId="605AEB78" w:rsidR="000D5CAC" w:rsidRPr="00DF7048" w:rsidRDefault="000D5CAC"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Vasudha</w:t>
      </w:r>
      <w:proofErr w:type="spellEnd"/>
      <w:r w:rsidRPr="00DF7048">
        <w:rPr>
          <w:rFonts w:ascii="Arial" w:hAnsi="Arial" w:cs="Arial"/>
          <w:color w:val="000000" w:themeColor="text1"/>
          <w:sz w:val="20"/>
          <w:szCs w:val="20"/>
        </w:rPr>
        <w:t xml:space="preserve">, M., </w:t>
      </w:r>
      <w:proofErr w:type="spellStart"/>
      <w:r w:rsidRPr="00DF7048">
        <w:rPr>
          <w:rFonts w:ascii="Arial" w:hAnsi="Arial" w:cs="Arial"/>
          <w:color w:val="000000" w:themeColor="text1"/>
          <w:sz w:val="20"/>
          <w:szCs w:val="20"/>
        </w:rPr>
        <w:t>Prashantkumar</w:t>
      </w:r>
      <w:proofErr w:type="spellEnd"/>
      <w:r w:rsidRPr="00DF7048">
        <w:rPr>
          <w:rFonts w:ascii="Arial" w:hAnsi="Arial" w:cs="Arial"/>
          <w:color w:val="000000" w:themeColor="text1"/>
          <w:sz w:val="20"/>
          <w:szCs w:val="20"/>
        </w:rPr>
        <w:t xml:space="preserve">, C. S., </w:t>
      </w:r>
      <w:proofErr w:type="spellStart"/>
      <w:r w:rsidRPr="00DF7048">
        <w:rPr>
          <w:rFonts w:ascii="Arial" w:hAnsi="Arial" w:cs="Arial"/>
          <w:color w:val="000000" w:themeColor="text1"/>
          <w:sz w:val="20"/>
          <w:szCs w:val="20"/>
        </w:rPr>
        <w:t>Bellurkar</w:t>
      </w:r>
      <w:proofErr w:type="spellEnd"/>
      <w:r w:rsidRPr="00DF7048">
        <w:rPr>
          <w:rFonts w:ascii="Arial" w:hAnsi="Arial" w:cs="Arial"/>
          <w:color w:val="000000" w:themeColor="text1"/>
          <w:sz w:val="20"/>
          <w:szCs w:val="20"/>
        </w:rPr>
        <w:t xml:space="preserve">, M., </w:t>
      </w:r>
      <w:proofErr w:type="spellStart"/>
      <w:r w:rsidRPr="00DF7048">
        <w:rPr>
          <w:rFonts w:ascii="Arial" w:hAnsi="Arial" w:cs="Arial"/>
          <w:color w:val="000000" w:themeColor="text1"/>
          <w:sz w:val="20"/>
          <w:szCs w:val="20"/>
        </w:rPr>
        <w:t>Kaveeshwar</w:t>
      </w:r>
      <w:proofErr w:type="spellEnd"/>
      <w:r w:rsidRPr="00DF7048">
        <w:rPr>
          <w:rFonts w:ascii="Arial" w:hAnsi="Arial" w:cs="Arial"/>
          <w:color w:val="000000" w:themeColor="text1"/>
          <w:sz w:val="20"/>
          <w:szCs w:val="20"/>
        </w:rPr>
        <w:t>, V., &amp; Gayathri, D. (2023). Probiotic potential of β</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galactosidase</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 xml:space="preserve">producing lactic acid bacteria from fermented milk and their molecular characterization. Biomedical Reports, 18(3), 1-12. </w:t>
      </w:r>
      <w:hyperlink r:id="rId30" w:history="1">
        <w:r w:rsidRPr="00DF7048">
          <w:rPr>
            <w:rStyle w:val="Hyperlink"/>
            <w:rFonts w:ascii="Arial" w:hAnsi="Arial" w:cs="Arial"/>
            <w:sz w:val="20"/>
            <w:szCs w:val="20"/>
          </w:rPr>
          <w:t>https://doi.org/10.3892/br.2023.1605</w:t>
        </w:r>
      </w:hyperlink>
    </w:p>
    <w:p w14:paraId="3A56357B" w14:textId="0480AB42" w:rsidR="000D5CAC" w:rsidRPr="00DF7048" w:rsidRDefault="000D5CAC" w:rsidP="00DF7048">
      <w:pPr>
        <w:spacing w:after="0" w:line="240" w:lineRule="auto"/>
        <w:ind w:left="360"/>
        <w:rPr>
          <w:rFonts w:ascii="Arial" w:hAnsi="Arial" w:cs="Arial"/>
          <w:color w:val="000000" w:themeColor="text1"/>
          <w:sz w:val="20"/>
          <w:szCs w:val="20"/>
        </w:rPr>
      </w:pPr>
      <w:bookmarkStart w:id="22" w:name="_Hlk188782997"/>
      <w:bookmarkStart w:id="23" w:name="_Hlk190532296"/>
      <w:bookmarkEnd w:id="13"/>
      <w:bookmarkEnd w:id="16"/>
      <w:r w:rsidRPr="00DF7048">
        <w:rPr>
          <w:rFonts w:ascii="Arial" w:hAnsi="Arial" w:cs="Arial"/>
          <w:color w:val="000000" w:themeColor="text1"/>
          <w:sz w:val="20"/>
          <w:szCs w:val="20"/>
        </w:rPr>
        <w:t xml:space="preserve">Patel, J. B. (2001). 16S rRNA gene sequencing for bacterial pathogen identification in the clinical laboratory. Molecular Diagnosis, 6, 313-321. </w:t>
      </w:r>
      <w:hyperlink r:id="rId31" w:history="1">
        <w:r w:rsidRPr="00DF7048">
          <w:rPr>
            <w:rStyle w:val="Hyperlink"/>
            <w:rFonts w:ascii="Arial" w:hAnsi="Arial" w:cs="Arial"/>
            <w:sz w:val="20"/>
            <w:szCs w:val="20"/>
          </w:rPr>
          <w:t>https://doi.org/10.1054/modi.2001.29158</w:t>
        </w:r>
      </w:hyperlink>
    </w:p>
    <w:bookmarkEnd w:id="22"/>
    <w:p w14:paraId="7BDC581A" w14:textId="40030B41" w:rsidR="000D5CAC" w:rsidRPr="00DF7048" w:rsidRDefault="000D5CAC"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Mignard</w:t>
      </w:r>
      <w:proofErr w:type="spellEnd"/>
      <w:r w:rsidRPr="00DF7048">
        <w:rPr>
          <w:rFonts w:ascii="Arial" w:hAnsi="Arial" w:cs="Arial"/>
          <w:color w:val="000000" w:themeColor="text1"/>
          <w:sz w:val="20"/>
          <w:szCs w:val="20"/>
        </w:rPr>
        <w:t xml:space="preserve">, S., &amp; </w:t>
      </w:r>
      <w:proofErr w:type="spellStart"/>
      <w:r w:rsidRPr="00DF7048">
        <w:rPr>
          <w:rFonts w:ascii="Arial" w:hAnsi="Arial" w:cs="Arial"/>
          <w:color w:val="000000" w:themeColor="text1"/>
          <w:sz w:val="20"/>
          <w:szCs w:val="20"/>
        </w:rPr>
        <w:t>Flandrois</w:t>
      </w:r>
      <w:proofErr w:type="spellEnd"/>
      <w:r w:rsidRPr="00DF7048">
        <w:rPr>
          <w:rFonts w:ascii="Arial" w:hAnsi="Arial" w:cs="Arial"/>
          <w:color w:val="000000" w:themeColor="text1"/>
          <w:sz w:val="20"/>
          <w:szCs w:val="20"/>
        </w:rPr>
        <w:t xml:space="preserve">, J. P. (2006). 16S rRNA sequencing in routine bacterial identification: a 30-month experiment. Journal of Microbiological Methods, 67(3), 574-581. </w:t>
      </w:r>
      <w:hyperlink r:id="rId32" w:history="1">
        <w:r w:rsidRPr="00DF7048">
          <w:rPr>
            <w:rStyle w:val="Hyperlink"/>
            <w:rFonts w:ascii="Arial" w:hAnsi="Arial" w:cs="Arial"/>
            <w:sz w:val="20"/>
            <w:szCs w:val="20"/>
          </w:rPr>
          <w:t>https://doi.org/10.1016/j.mimet.2006.05.009</w:t>
        </w:r>
      </w:hyperlink>
    </w:p>
    <w:p w14:paraId="771C198C" w14:textId="5CD991B1" w:rsidR="000D5CAC" w:rsidRPr="00DF7048" w:rsidRDefault="000D5CAC" w:rsidP="00DF7048">
      <w:pPr>
        <w:spacing w:after="0" w:line="240" w:lineRule="auto"/>
        <w:ind w:left="360"/>
        <w:rPr>
          <w:rFonts w:ascii="Arial" w:hAnsi="Arial" w:cs="Arial"/>
          <w:color w:val="000000" w:themeColor="text1"/>
          <w:sz w:val="20"/>
          <w:szCs w:val="20"/>
        </w:rPr>
      </w:pPr>
      <w:bookmarkStart w:id="24" w:name="_Hlk190532405"/>
      <w:bookmarkEnd w:id="23"/>
      <w:r w:rsidRPr="00DF7048">
        <w:rPr>
          <w:rFonts w:ascii="Arial" w:hAnsi="Arial" w:cs="Arial"/>
          <w:color w:val="000000" w:themeColor="text1"/>
          <w:sz w:val="20"/>
          <w:szCs w:val="20"/>
        </w:rPr>
        <w:t xml:space="preserve">Gabriel, E. F., &amp; Jeff, U. I. (2024). Jukes-Cantor Correction for Phylogenetic Tree Reconstruction. </w:t>
      </w:r>
      <w:proofErr w:type="spellStart"/>
      <w:r w:rsidRPr="00DF7048">
        <w:rPr>
          <w:rFonts w:ascii="Arial" w:hAnsi="Arial" w:cs="Arial"/>
          <w:color w:val="000000" w:themeColor="text1"/>
          <w:sz w:val="20"/>
          <w:szCs w:val="20"/>
        </w:rPr>
        <w:t>bioRxiv</w:t>
      </w:r>
      <w:proofErr w:type="spellEnd"/>
      <w:r w:rsidRPr="00DF7048">
        <w:rPr>
          <w:rFonts w:ascii="Arial" w:hAnsi="Arial" w:cs="Arial"/>
          <w:color w:val="000000" w:themeColor="text1"/>
          <w:sz w:val="20"/>
          <w:szCs w:val="20"/>
        </w:rPr>
        <w:t xml:space="preserve">. </w:t>
      </w:r>
      <w:hyperlink r:id="rId33" w:history="1">
        <w:r w:rsidRPr="00DF7048">
          <w:rPr>
            <w:rStyle w:val="Hyperlink"/>
            <w:rFonts w:ascii="Arial" w:hAnsi="Arial" w:cs="Arial"/>
            <w:sz w:val="20"/>
            <w:szCs w:val="20"/>
          </w:rPr>
          <w:t>https://doi.org/10.1101/2024.07.30.605767</w:t>
        </w:r>
      </w:hyperlink>
    </w:p>
    <w:p w14:paraId="5B4F7521" w14:textId="6B2C5B36" w:rsidR="000D5CAC" w:rsidRPr="00DF7048" w:rsidRDefault="000D5CAC" w:rsidP="00DF7048">
      <w:pPr>
        <w:spacing w:after="0" w:line="240" w:lineRule="auto"/>
        <w:ind w:left="360"/>
        <w:rPr>
          <w:rFonts w:ascii="Arial" w:hAnsi="Arial" w:cs="Arial"/>
          <w:color w:val="000000" w:themeColor="text1"/>
          <w:sz w:val="20"/>
          <w:szCs w:val="20"/>
        </w:rPr>
      </w:pPr>
      <w:bookmarkStart w:id="25" w:name="_Hlk190532675"/>
      <w:bookmarkEnd w:id="24"/>
      <w:r w:rsidRPr="00DF7048">
        <w:rPr>
          <w:rFonts w:ascii="Arial" w:hAnsi="Arial" w:cs="Arial"/>
          <w:color w:val="000000" w:themeColor="text1"/>
          <w:sz w:val="20"/>
          <w:szCs w:val="20"/>
        </w:rPr>
        <w:t xml:space="preserve">Bruno, W. J., </w:t>
      </w:r>
      <w:proofErr w:type="spellStart"/>
      <w:r w:rsidRPr="00DF7048">
        <w:rPr>
          <w:rFonts w:ascii="Arial" w:hAnsi="Arial" w:cs="Arial"/>
          <w:color w:val="000000" w:themeColor="text1"/>
          <w:sz w:val="20"/>
          <w:szCs w:val="20"/>
        </w:rPr>
        <w:t>Socci</w:t>
      </w:r>
      <w:proofErr w:type="spellEnd"/>
      <w:r w:rsidRPr="00DF7048">
        <w:rPr>
          <w:rFonts w:ascii="Arial" w:hAnsi="Arial" w:cs="Arial"/>
          <w:color w:val="000000" w:themeColor="text1"/>
          <w:sz w:val="20"/>
          <w:szCs w:val="20"/>
        </w:rPr>
        <w:t xml:space="preserve">, N. D., &amp; Halpern, A. L. (2000). Weighted </w:t>
      </w:r>
      <w:proofErr w:type="spellStart"/>
      <w:r w:rsidRPr="00DF7048">
        <w:rPr>
          <w:rFonts w:ascii="Arial" w:hAnsi="Arial" w:cs="Arial"/>
          <w:color w:val="000000" w:themeColor="text1"/>
          <w:sz w:val="20"/>
          <w:szCs w:val="20"/>
        </w:rPr>
        <w:t>Neighbor</w:t>
      </w:r>
      <w:proofErr w:type="spellEnd"/>
      <w:r w:rsidRPr="00DF7048">
        <w:rPr>
          <w:rFonts w:ascii="Arial" w:hAnsi="Arial" w:cs="Arial"/>
          <w:color w:val="000000" w:themeColor="text1"/>
          <w:sz w:val="20"/>
          <w:szCs w:val="20"/>
        </w:rPr>
        <w:t xml:space="preserve"> Joining: A Likelihood-Based Approach to Distance-Based Phylogeny Reconstruction. Molecular Biology and Evolution, 17(1), 189-197. </w:t>
      </w:r>
      <w:hyperlink r:id="rId34" w:history="1">
        <w:r w:rsidRPr="00DF7048">
          <w:rPr>
            <w:rStyle w:val="Hyperlink"/>
            <w:rFonts w:ascii="Arial" w:hAnsi="Arial" w:cs="Arial"/>
            <w:sz w:val="20"/>
            <w:szCs w:val="20"/>
          </w:rPr>
          <w:t>https://doi.org/10.1093/oxfordjournals.molbev.a026231</w:t>
        </w:r>
      </w:hyperlink>
    </w:p>
    <w:p w14:paraId="17563BC8" w14:textId="0CF836B4" w:rsidR="000D5CAC" w:rsidRPr="00DF7048" w:rsidRDefault="000D5CAC" w:rsidP="00DF7048">
      <w:pPr>
        <w:spacing w:after="0" w:line="240" w:lineRule="auto"/>
        <w:ind w:left="360"/>
        <w:rPr>
          <w:rFonts w:ascii="Arial" w:hAnsi="Arial" w:cs="Arial"/>
          <w:color w:val="000000" w:themeColor="text1"/>
          <w:sz w:val="20"/>
          <w:szCs w:val="20"/>
        </w:rPr>
      </w:pPr>
      <w:bookmarkStart w:id="26" w:name="_Hlk195638440"/>
      <w:bookmarkEnd w:id="25"/>
      <w:r w:rsidRPr="00DF7048">
        <w:rPr>
          <w:rFonts w:ascii="Arial" w:hAnsi="Arial" w:cs="Arial"/>
          <w:color w:val="000000" w:themeColor="text1"/>
          <w:sz w:val="20"/>
          <w:szCs w:val="20"/>
        </w:rPr>
        <w:t xml:space="preserve">Soltis, P. S., &amp; Soltis, D. E. (2003). Applying the bootstrap in phylogeny reconstruction. Statistical Science. </w:t>
      </w:r>
      <w:hyperlink r:id="rId35" w:history="1">
        <w:r w:rsidRPr="00DF7048">
          <w:rPr>
            <w:rStyle w:val="Hyperlink"/>
            <w:rFonts w:ascii="Arial" w:hAnsi="Arial" w:cs="Arial"/>
            <w:sz w:val="20"/>
            <w:szCs w:val="20"/>
          </w:rPr>
          <w:t>https://doi.org/10.1214/ss/1063994980</w:t>
        </w:r>
      </w:hyperlink>
    </w:p>
    <w:p w14:paraId="7F52B85F" w14:textId="0AEBE8FF" w:rsidR="002925BD" w:rsidRPr="00DF7048" w:rsidRDefault="002925BD"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lastRenderedPageBreak/>
        <w:t>Krishnaveni</w:t>
      </w:r>
      <w:proofErr w:type="spellEnd"/>
      <w:r w:rsidRPr="00DF7048">
        <w:rPr>
          <w:rFonts w:ascii="Arial" w:hAnsi="Arial" w:cs="Arial"/>
          <w:color w:val="000000" w:themeColor="text1"/>
          <w:sz w:val="20"/>
          <w:szCs w:val="20"/>
        </w:rPr>
        <w:t xml:space="preserve">, N., Sukumar, D., </w:t>
      </w:r>
      <w:proofErr w:type="spellStart"/>
      <w:r w:rsidRPr="00DF7048">
        <w:rPr>
          <w:rFonts w:ascii="Arial" w:hAnsi="Arial" w:cs="Arial"/>
          <w:color w:val="000000" w:themeColor="text1"/>
          <w:sz w:val="20"/>
          <w:szCs w:val="20"/>
        </w:rPr>
        <w:t>Surendraraj</w:t>
      </w:r>
      <w:proofErr w:type="spellEnd"/>
      <w:r w:rsidRPr="00DF7048">
        <w:rPr>
          <w:rFonts w:ascii="Arial" w:hAnsi="Arial" w:cs="Arial"/>
          <w:color w:val="000000" w:themeColor="text1"/>
          <w:sz w:val="20"/>
          <w:szCs w:val="20"/>
        </w:rPr>
        <w:t xml:space="preserve">, A., </w:t>
      </w:r>
      <w:proofErr w:type="spellStart"/>
      <w:r w:rsidRPr="00DF7048">
        <w:rPr>
          <w:rFonts w:ascii="Arial" w:hAnsi="Arial" w:cs="Arial"/>
          <w:color w:val="000000" w:themeColor="text1"/>
          <w:sz w:val="20"/>
          <w:szCs w:val="20"/>
        </w:rPr>
        <w:t>Velayutham</w:t>
      </w:r>
      <w:proofErr w:type="spellEnd"/>
      <w:r w:rsidRPr="00DF7048">
        <w:rPr>
          <w:rFonts w:ascii="Arial" w:hAnsi="Arial" w:cs="Arial"/>
          <w:color w:val="000000" w:themeColor="text1"/>
          <w:sz w:val="20"/>
          <w:szCs w:val="20"/>
        </w:rPr>
        <w:t>, P., Jeya Shakila, R., &amp; Meenachi, B. (2017). RAPID METHOD FOR SCREENING AND ISOLATION OF OMEGA-3 FATTY ACIDS PRODUCING MARINE BACTERIA. </w:t>
      </w:r>
      <w:r w:rsidRPr="00DF7048">
        <w:rPr>
          <w:rFonts w:ascii="Arial" w:hAnsi="Arial" w:cs="Arial"/>
          <w:i/>
          <w:iCs/>
          <w:color w:val="000000" w:themeColor="text1"/>
          <w:sz w:val="20"/>
          <w:szCs w:val="20"/>
        </w:rPr>
        <w:t>Biochemical &amp; Cellular Archives</w:t>
      </w:r>
      <w:r w:rsidRPr="00DF7048">
        <w:rPr>
          <w:rFonts w:ascii="Arial" w:hAnsi="Arial" w:cs="Arial"/>
          <w:color w:val="000000" w:themeColor="text1"/>
          <w:sz w:val="20"/>
          <w:szCs w:val="20"/>
        </w:rPr>
        <w:t>, </w:t>
      </w:r>
      <w:r w:rsidRPr="00DF7048">
        <w:rPr>
          <w:rFonts w:ascii="Arial" w:hAnsi="Arial" w:cs="Arial"/>
          <w:i/>
          <w:iCs/>
          <w:color w:val="000000" w:themeColor="text1"/>
          <w:sz w:val="20"/>
          <w:szCs w:val="20"/>
        </w:rPr>
        <w:t>17</w:t>
      </w:r>
      <w:r w:rsidRPr="00DF7048">
        <w:rPr>
          <w:rFonts w:ascii="Arial" w:hAnsi="Arial" w:cs="Arial"/>
          <w:color w:val="000000" w:themeColor="text1"/>
          <w:sz w:val="20"/>
          <w:szCs w:val="20"/>
        </w:rPr>
        <w:t xml:space="preserve">(1). </w:t>
      </w:r>
    </w:p>
    <w:p w14:paraId="1C3AED8D" w14:textId="3E4B415B" w:rsidR="000D5CAC" w:rsidRPr="00DF7048" w:rsidRDefault="000D5CAC"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Tyas</w:t>
      </w:r>
      <w:proofErr w:type="spellEnd"/>
      <w:r w:rsidRPr="00DF7048">
        <w:rPr>
          <w:rFonts w:ascii="Arial" w:hAnsi="Arial" w:cs="Arial"/>
          <w:color w:val="000000" w:themeColor="text1"/>
          <w:sz w:val="20"/>
          <w:szCs w:val="20"/>
        </w:rPr>
        <w:t xml:space="preserve">, D. E., </w:t>
      </w:r>
      <w:proofErr w:type="spellStart"/>
      <w:r w:rsidRPr="00DF7048">
        <w:rPr>
          <w:rFonts w:ascii="Arial" w:hAnsi="Arial" w:cs="Arial"/>
          <w:color w:val="000000" w:themeColor="text1"/>
          <w:sz w:val="20"/>
          <w:szCs w:val="20"/>
        </w:rPr>
        <w:t>Haeruddin</w:t>
      </w:r>
      <w:proofErr w:type="spellEnd"/>
      <w:r w:rsidRPr="00DF7048">
        <w:rPr>
          <w:rFonts w:ascii="Arial" w:hAnsi="Arial" w:cs="Arial"/>
          <w:color w:val="000000" w:themeColor="text1"/>
          <w:sz w:val="20"/>
          <w:szCs w:val="20"/>
        </w:rPr>
        <w:t xml:space="preserve">, &amp; Purnomo, P. W. (2020). Isolation and identification of biofilm bacteria from bamboo in traditional </w:t>
      </w:r>
      <w:proofErr w:type="spellStart"/>
      <w:r w:rsidRPr="00DF7048">
        <w:rPr>
          <w:rFonts w:ascii="Arial" w:hAnsi="Arial" w:cs="Arial"/>
          <w:color w:val="000000" w:themeColor="text1"/>
          <w:sz w:val="20"/>
          <w:szCs w:val="20"/>
        </w:rPr>
        <w:t>vannamei</w:t>
      </w:r>
      <w:proofErr w:type="spellEnd"/>
      <w:r w:rsidRPr="00DF7048">
        <w:rPr>
          <w:rFonts w:ascii="Arial" w:hAnsi="Arial" w:cs="Arial"/>
          <w:color w:val="000000" w:themeColor="text1"/>
          <w:sz w:val="20"/>
          <w:szCs w:val="20"/>
        </w:rPr>
        <w:t xml:space="preserve"> shrimp ponds as an ammonia degradation factor. AACL </w:t>
      </w:r>
      <w:proofErr w:type="spellStart"/>
      <w:r w:rsidRPr="00DF7048">
        <w:rPr>
          <w:rFonts w:ascii="Arial" w:hAnsi="Arial" w:cs="Arial"/>
          <w:color w:val="000000" w:themeColor="text1"/>
          <w:sz w:val="20"/>
          <w:szCs w:val="20"/>
        </w:rPr>
        <w:t>Bioflux</w:t>
      </w:r>
      <w:proofErr w:type="spellEnd"/>
      <w:r w:rsidRPr="00DF7048">
        <w:rPr>
          <w:rFonts w:ascii="Arial" w:hAnsi="Arial" w:cs="Arial"/>
          <w:color w:val="000000" w:themeColor="text1"/>
          <w:sz w:val="20"/>
          <w:szCs w:val="20"/>
        </w:rPr>
        <w:t xml:space="preserve">, 13(5), 2619-2629. </w:t>
      </w:r>
      <w:hyperlink r:id="rId36" w:history="1">
        <w:r w:rsidRPr="00DF7048">
          <w:rPr>
            <w:rStyle w:val="Hyperlink"/>
            <w:rFonts w:ascii="Arial" w:hAnsi="Arial" w:cs="Arial"/>
            <w:sz w:val="20"/>
            <w:szCs w:val="20"/>
          </w:rPr>
          <w:t>http://www.bioflux.com.ro/aacl</w:t>
        </w:r>
      </w:hyperlink>
    </w:p>
    <w:p w14:paraId="28F0719E" w14:textId="77777777" w:rsidR="008802E9" w:rsidRPr="00DF7048" w:rsidRDefault="000D5CAC" w:rsidP="00DF7048">
      <w:pPr>
        <w:spacing w:after="0" w:line="240" w:lineRule="auto"/>
        <w:ind w:left="360"/>
        <w:rPr>
          <w:rFonts w:ascii="Arial" w:hAnsi="Arial" w:cs="Arial"/>
          <w:color w:val="000000" w:themeColor="text1"/>
          <w:sz w:val="20"/>
          <w:szCs w:val="20"/>
        </w:rPr>
      </w:pPr>
      <w:bookmarkStart w:id="27" w:name="_Hlk195638499"/>
      <w:bookmarkEnd w:id="26"/>
      <w:r w:rsidRPr="00DF7048">
        <w:rPr>
          <w:rFonts w:ascii="Arial" w:hAnsi="Arial" w:cs="Arial"/>
          <w:color w:val="000000" w:themeColor="text1"/>
          <w:sz w:val="20"/>
          <w:szCs w:val="20"/>
        </w:rPr>
        <w:t xml:space="preserve">Marian, C., </w:t>
      </w:r>
      <w:proofErr w:type="spellStart"/>
      <w:r w:rsidRPr="00DF7048">
        <w:rPr>
          <w:rFonts w:ascii="Arial" w:hAnsi="Arial" w:cs="Arial"/>
          <w:color w:val="000000" w:themeColor="text1"/>
          <w:sz w:val="20"/>
          <w:szCs w:val="20"/>
        </w:rPr>
        <w:t>Sanjar</w:t>
      </w:r>
      <w:proofErr w:type="spellEnd"/>
      <w:r w:rsidRPr="00DF7048">
        <w:rPr>
          <w:rFonts w:ascii="Arial" w:hAnsi="Arial" w:cs="Arial"/>
          <w:color w:val="000000" w:themeColor="text1"/>
          <w:sz w:val="20"/>
          <w:szCs w:val="20"/>
        </w:rPr>
        <w:t xml:space="preserve">, F., Maxwell, C., </w:t>
      </w:r>
      <w:proofErr w:type="spellStart"/>
      <w:r w:rsidRPr="00DF7048">
        <w:rPr>
          <w:rFonts w:ascii="Arial" w:hAnsi="Arial" w:cs="Arial"/>
          <w:color w:val="000000" w:themeColor="text1"/>
          <w:sz w:val="20"/>
          <w:szCs w:val="20"/>
        </w:rPr>
        <w:t>Sabitu</w:t>
      </w:r>
      <w:proofErr w:type="spellEnd"/>
      <w:r w:rsidRPr="00DF7048">
        <w:rPr>
          <w:rFonts w:ascii="Arial" w:hAnsi="Arial" w:cs="Arial"/>
          <w:color w:val="000000" w:themeColor="text1"/>
          <w:sz w:val="20"/>
          <w:szCs w:val="20"/>
        </w:rPr>
        <w:t xml:space="preserve">, F., Hubbard, N., </w:t>
      </w:r>
      <w:proofErr w:type="spellStart"/>
      <w:r w:rsidRPr="00DF7048">
        <w:rPr>
          <w:rFonts w:ascii="Arial" w:hAnsi="Arial" w:cs="Arial"/>
          <w:color w:val="000000" w:themeColor="text1"/>
          <w:sz w:val="20"/>
          <w:szCs w:val="20"/>
        </w:rPr>
        <w:t>Ratib</w:t>
      </w:r>
      <w:proofErr w:type="spellEnd"/>
      <w:r w:rsidRPr="00DF7048">
        <w:rPr>
          <w:rFonts w:ascii="Arial" w:hAnsi="Arial" w:cs="Arial"/>
          <w:color w:val="000000" w:themeColor="text1"/>
          <w:sz w:val="20"/>
          <w:szCs w:val="20"/>
        </w:rPr>
        <w:t xml:space="preserve">, N., </w:t>
      </w:r>
      <w:proofErr w:type="spellStart"/>
      <w:r w:rsidRPr="00DF7048">
        <w:rPr>
          <w:rFonts w:ascii="Arial" w:hAnsi="Arial" w:cs="Arial"/>
          <w:color w:val="000000" w:themeColor="text1"/>
          <w:sz w:val="20"/>
          <w:szCs w:val="20"/>
        </w:rPr>
        <w:t>Vassilev</w:t>
      </w:r>
      <w:proofErr w:type="spellEnd"/>
      <w:r w:rsidRPr="00DF7048">
        <w:rPr>
          <w:rFonts w:ascii="Arial" w:hAnsi="Arial" w:cs="Arial"/>
          <w:color w:val="000000" w:themeColor="text1"/>
          <w:sz w:val="20"/>
          <w:szCs w:val="20"/>
        </w:rPr>
        <w:t xml:space="preserve">, N., &amp; </w:t>
      </w:r>
      <w:proofErr w:type="spellStart"/>
      <w:r w:rsidRPr="00DF7048">
        <w:rPr>
          <w:rFonts w:ascii="Arial" w:hAnsi="Arial" w:cs="Arial"/>
          <w:color w:val="000000" w:themeColor="text1"/>
          <w:sz w:val="20"/>
          <w:szCs w:val="20"/>
        </w:rPr>
        <w:t>Sansinenea</w:t>
      </w:r>
      <w:proofErr w:type="spellEnd"/>
      <w:r w:rsidRPr="00DF7048">
        <w:rPr>
          <w:rFonts w:ascii="Arial" w:hAnsi="Arial" w:cs="Arial"/>
          <w:color w:val="000000" w:themeColor="text1"/>
          <w:sz w:val="20"/>
          <w:szCs w:val="20"/>
        </w:rPr>
        <w:t xml:space="preserve">, E. (2024). A paradigm for the contextual safety assessment of agricultural microbes: a closer look at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Frontiers in Industrial Microbiology, 2, 1412302. </w:t>
      </w:r>
      <w:hyperlink r:id="rId37" w:history="1">
        <w:r w:rsidRPr="00DF7048">
          <w:rPr>
            <w:rStyle w:val="Hyperlink"/>
            <w:rFonts w:ascii="Arial" w:hAnsi="Arial" w:cs="Arial"/>
            <w:sz w:val="20"/>
            <w:szCs w:val="20"/>
          </w:rPr>
          <w:t>https://doi.org/10.3389/finmi.2024.1412302</w:t>
        </w:r>
      </w:hyperlink>
      <w:bookmarkEnd w:id="27"/>
    </w:p>
    <w:p w14:paraId="21EFE45C" w14:textId="5F975A85" w:rsidR="002925BD" w:rsidRPr="00DF7048" w:rsidRDefault="008802E9"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Duran-</w:t>
      </w:r>
      <w:proofErr w:type="spellStart"/>
      <w:r w:rsidRPr="00DF7048">
        <w:rPr>
          <w:rFonts w:ascii="Arial" w:hAnsi="Arial" w:cs="Arial"/>
          <w:color w:val="000000" w:themeColor="text1"/>
          <w:sz w:val="20"/>
          <w:szCs w:val="20"/>
        </w:rPr>
        <w:t>Bedolla</w:t>
      </w:r>
      <w:proofErr w:type="spellEnd"/>
      <w:r w:rsidRPr="00DF7048">
        <w:rPr>
          <w:rFonts w:ascii="Arial" w:hAnsi="Arial" w:cs="Arial"/>
          <w:color w:val="000000" w:themeColor="text1"/>
          <w:sz w:val="20"/>
          <w:szCs w:val="20"/>
        </w:rPr>
        <w:t xml:space="preserve">, J., Garza-Ramos, U., Rodríguez-Medina, N., Aguilar Vera, A., &amp; Barrios-Camacho, H. (2021). Exploring the environmental traits and applications of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Brazilian Journal of Microbiology. </w:t>
      </w:r>
      <w:hyperlink r:id="rId38" w:history="1">
        <w:r w:rsidRPr="00DF7048">
          <w:rPr>
            <w:rStyle w:val="Hyperlink"/>
            <w:rFonts w:ascii="Arial" w:hAnsi="Arial" w:cs="Arial"/>
            <w:sz w:val="20"/>
            <w:szCs w:val="20"/>
          </w:rPr>
          <w:t>https://doi.org/10.1007/s42770-021-00630-z</w:t>
        </w:r>
      </w:hyperlink>
      <w:r w:rsidRPr="00DF7048">
        <w:rPr>
          <w:rFonts w:ascii="Arial" w:hAnsi="Arial" w:cs="Arial"/>
          <w:color w:val="000000" w:themeColor="text1"/>
          <w:sz w:val="20"/>
          <w:szCs w:val="20"/>
        </w:rPr>
        <w:t xml:space="preserve"> </w:t>
      </w:r>
    </w:p>
    <w:p w14:paraId="7C16FDE8" w14:textId="2B437AD7" w:rsidR="002B0EB4" w:rsidRPr="001B44E8" w:rsidRDefault="008802E9" w:rsidP="001B44E8">
      <w:pPr>
        <w:spacing w:after="0" w:line="240" w:lineRule="auto"/>
        <w:rPr>
          <w:rFonts w:ascii="Arial" w:hAnsi="Arial" w:cs="Arial"/>
          <w:b/>
          <w:bCs/>
          <w:color w:val="000000" w:themeColor="text1"/>
          <w:sz w:val="20"/>
          <w:szCs w:val="20"/>
        </w:rPr>
      </w:pPr>
      <w:r>
        <w:rPr>
          <w:rFonts w:ascii="Arial" w:hAnsi="Arial" w:cs="Arial"/>
          <w:b/>
          <w:bCs/>
          <w:color w:val="000000" w:themeColor="text1"/>
          <w:sz w:val="20"/>
          <w:szCs w:val="20"/>
        </w:rPr>
        <w:t xml:space="preserve"> </w:t>
      </w:r>
    </w:p>
    <w:p w14:paraId="75FE8668" w14:textId="14C8F2CA" w:rsidR="00A11C01" w:rsidRPr="001B44E8" w:rsidRDefault="00A11C01" w:rsidP="001B44E8">
      <w:pPr>
        <w:spacing w:after="0" w:line="240" w:lineRule="auto"/>
        <w:rPr>
          <w:rFonts w:ascii="Arial" w:hAnsi="Arial" w:cs="Arial"/>
          <w:b/>
          <w:bCs/>
          <w:color w:val="000000" w:themeColor="text1"/>
        </w:rPr>
      </w:pPr>
      <w:r w:rsidRPr="001B44E8">
        <w:rPr>
          <w:rFonts w:ascii="Arial" w:hAnsi="Arial" w:cs="Arial"/>
          <w:b/>
          <w:bCs/>
          <w:color w:val="000000" w:themeColor="text1"/>
        </w:rPr>
        <w:t>ABBREVIATIONS</w:t>
      </w:r>
    </w:p>
    <w:p w14:paraId="52CEA89D" w14:textId="77777777" w:rsidR="00A11C01" w:rsidRPr="001B44E8" w:rsidRDefault="00A11C01" w:rsidP="001B44E8">
      <w:pPr>
        <w:spacing w:after="0" w:line="240" w:lineRule="auto"/>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65435F" w:rsidRPr="001B44E8" w14:paraId="7B4A2846" w14:textId="77777777" w:rsidTr="00A11C01">
        <w:tc>
          <w:tcPr>
            <w:tcW w:w="2972" w:type="dxa"/>
          </w:tcPr>
          <w:p w14:paraId="6EDF79E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DNA</w:t>
            </w:r>
          </w:p>
        </w:tc>
        <w:tc>
          <w:tcPr>
            <w:tcW w:w="6044" w:type="dxa"/>
          </w:tcPr>
          <w:p w14:paraId="0E55592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Deoxyribonucleic acid</w:t>
            </w:r>
          </w:p>
        </w:tc>
      </w:tr>
      <w:tr w:rsidR="0065435F" w:rsidRPr="001B44E8" w14:paraId="2B1FC869" w14:textId="77777777" w:rsidTr="00A11C01">
        <w:tc>
          <w:tcPr>
            <w:tcW w:w="2972" w:type="dxa"/>
          </w:tcPr>
          <w:p w14:paraId="66F7EF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PCI</w:t>
            </w:r>
          </w:p>
        </w:tc>
        <w:tc>
          <w:tcPr>
            <w:tcW w:w="6044" w:type="dxa"/>
          </w:tcPr>
          <w:p w14:paraId="50BE2F0C" w14:textId="77777777" w:rsidR="00A11C01" w:rsidRPr="001B44E8" w:rsidRDefault="00A11C01" w:rsidP="001B44E8">
            <w:pPr>
              <w:rPr>
                <w:rFonts w:ascii="Arial" w:hAnsi="Arial" w:cs="Arial"/>
                <w:color w:val="000000" w:themeColor="text1"/>
                <w:sz w:val="20"/>
                <w:szCs w:val="20"/>
              </w:rPr>
            </w:pP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p>
        </w:tc>
      </w:tr>
      <w:tr w:rsidR="0065435F" w:rsidRPr="001B44E8" w14:paraId="1D084AC3" w14:textId="77777777" w:rsidTr="00A11C01">
        <w:tc>
          <w:tcPr>
            <w:tcW w:w="2972" w:type="dxa"/>
          </w:tcPr>
          <w:p w14:paraId="7D5830F1"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UV-VIS</w:t>
            </w:r>
          </w:p>
        </w:tc>
        <w:tc>
          <w:tcPr>
            <w:tcW w:w="6044" w:type="dxa"/>
          </w:tcPr>
          <w:p w14:paraId="3B5A94B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Ultraviolet-Visible</w:t>
            </w:r>
          </w:p>
        </w:tc>
      </w:tr>
      <w:tr w:rsidR="0065435F" w:rsidRPr="001B44E8" w14:paraId="1D58ED95" w14:textId="77777777" w:rsidTr="00A11C01">
        <w:tc>
          <w:tcPr>
            <w:tcW w:w="2972" w:type="dxa"/>
          </w:tcPr>
          <w:p w14:paraId="6228CE3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SDS</w:t>
            </w:r>
          </w:p>
        </w:tc>
        <w:tc>
          <w:tcPr>
            <w:tcW w:w="6044" w:type="dxa"/>
          </w:tcPr>
          <w:p w14:paraId="527CEB3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 xml:space="preserve">Sodium Dodecyl </w:t>
            </w:r>
            <w:proofErr w:type="spellStart"/>
            <w:r w:rsidRPr="001B44E8">
              <w:rPr>
                <w:rFonts w:ascii="Arial" w:hAnsi="Arial" w:cs="Arial"/>
                <w:color w:val="000000" w:themeColor="text1"/>
                <w:sz w:val="20"/>
                <w:szCs w:val="20"/>
              </w:rPr>
              <w:t>Sulfate</w:t>
            </w:r>
            <w:proofErr w:type="spellEnd"/>
          </w:p>
        </w:tc>
      </w:tr>
      <w:tr w:rsidR="0065435F" w:rsidRPr="001B44E8" w14:paraId="384E2F3D" w14:textId="77777777" w:rsidTr="00A11C01">
        <w:tc>
          <w:tcPr>
            <w:tcW w:w="2972" w:type="dxa"/>
          </w:tcPr>
          <w:p w14:paraId="779F3A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PCR</w:t>
            </w:r>
          </w:p>
        </w:tc>
        <w:tc>
          <w:tcPr>
            <w:tcW w:w="6044" w:type="dxa"/>
          </w:tcPr>
          <w:p w14:paraId="32A67E75"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Polymerase Chain Reaction</w:t>
            </w:r>
          </w:p>
        </w:tc>
      </w:tr>
      <w:tr w:rsidR="00A11C01" w:rsidRPr="001B44E8" w14:paraId="0F2D97FA" w14:textId="77777777" w:rsidTr="00A11C01">
        <w:tc>
          <w:tcPr>
            <w:tcW w:w="2972" w:type="dxa"/>
          </w:tcPr>
          <w:p w14:paraId="2A76FDBF"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OTUs</w:t>
            </w:r>
          </w:p>
        </w:tc>
        <w:tc>
          <w:tcPr>
            <w:tcW w:w="6044" w:type="dxa"/>
          </w:tcPr>
          <w:p w14:paraId="31F13FE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Operational Taxonomic Units</w:t>
            </w:r>
          </w:p>
        </w:tc>
      </w:tr>
    </w:tbl>
    <w:p w14:paraId="48D70DEA" w14:textId="77777777" w:rsidR="00A11C01" w:rsidRPr="001B44E8" w:rsidRDefault="00A11C01" w:rsidP="001B44E8">
      <w:pPr>
        <w:spacing w:after="0" w:line="240" w:lineRule="auto"/>
        <w:rPr>
          <w:rFonts w:ascii="Arial" w:hAnsi="Arial" w:cs="Arial"/>
          <w:b/>
          <w:bCs/>
          <w:color w:val="000000" w:themeColor="text1"/>
          <w:sz w:val="20"/>
          <w:szCs w:val="20"/>
        </w:rPr>
      </w:pPr>
    </w:p>
    <w:p w14:paraId="4190E64A" w14:textId="77777777" w:rsidR="00A11C01" w:rsidRPr="001B44E8" w:rsidRDefault="00A11C01" w:rsidP="001B44E8">
      <w:pPr>
        <w:spacing w:after="0" w:line="240" w:lineRule="auto"/>
        <w:rPr>
          <w:rFonts w:ascii="Arial" w:hAnsi="Arial" w:cs="Arial"/>
          <w:b/>
          <w:bCs/>
          <w:color w:val="000000" w:themeColor="text1"/>
          <w:sz w:val="20"/>
          <w:szCs w:val="20"/>
        </w:rPr>
      </w:pPr>
    </w:p>
    <w:p w14:paraId="38B86A37" w14:textId="77777777" w:rsidR="002B0EB4" w:rsidRPr="001B44E8" w:rsidRDefault="002B0EB4" w:rsidP="001B44E8">
      <w:pPr>
        <w:spacing w:after="0" w:line="240" w:lineRule="auto"/>
        <w:rPr>
          <w:rFonts w:ascii="Arial" w:hAnsi="Arial" w:cs="Arial"/>
          <w:b/>
          <w:bCs/>
          <w:color w:val="000000" w:themeColor="text1"/>
          <w:sz w:val="20"/>
          <w:szCs w:val="20"/>
        </w:rPr>
      </w:pPr>
    </w:p>
    <w:p w14:paraId="7CE4136A" w14:textId="191794E9" w:rsidR="00F52826" w:rsidRPr="001B44E8" w:rsidRDefault="00F52826" w:rsidP="001B44E8">
      <w:pPr>
        <w:spacing w:after="0" w:line="240" w:lineRule="auto"/>
        <w:rPr>
          <w:rFonts w:ascii="Arial" w:hAnsi="Arial" w:cs="Arial"/>
          <w:b/>
          <w:bCs/>
          <w:color w:val="000000" w:themeColor="text1"/>
        </w:rPr>
      </w:pPr>
      <w:r w:rsidRPr="001B44E8">
        <w:rPr>
          <w:rFonts w:ascii="Arial" w:hAnsi="Arial" w:cs="Arial"/>
          <w:b/>
          <w:bCs/>
          <w:color w:val="000000" w:themeColor="text1"/>
        </w:rPr>
        <w:t>APPENDIX</w:t>
      </w:r>
    </w:p>
    <w:p w14:paraId="488D2FFD" w14:textId="2A7B918B" w:rsidR="00F52826" w:rsidRPr="001B44E8" w:rsidRDefault="00F52826" w:rsidP="001B44E8">
      <w:pPr>
        <w:spacing w:after="0" w:line="240" w:lineRule="auto"/>
        <w:rPr>
          <w:rFonts w:ascii="Arial" w:hAnsi="Arial" w:cs="Arial"/>
          <w:color w:val="000000" w:themeColor="text1"/>
          <w:sz w:val="20"/>
          <w:szCs w:val="20"/>
        </w:rPr>
      </w:pPr>
      <w:proofErr w:type="spellStart"/>
      <w:r w:rsidRPr="001B44E8">
        <w:rPr>
          <w:rFonts w:ascii="Arial" w:hAnsi="Arial" w:cs="Arial"/>
          <w:b/>
          <w:bCs/>
          <w:color w:val="000000" w:themeColor="text1"/>
          <w:sz w:val="20"/>
          <w:szCs w:val="20"/>
        </w:rPr>
        <w:t>Weighbor</w:t>
      </w:r>
      <w:proofErr w:type="spellEnd"/>
      <w:r w:rsidRPr="001B44E8">
        <w:rPr>
          <w:rFonts w:ascii="Arial" w:hAnsi="Arial" w:cs="Arial"/>
          <w:b/>
          <w:bCs/>
          <w:color w:val="000000" w:themeColor="text1"/>
          <w:sz w:val="20"/>
          <w:szCs w:val="20"/>
        </w:rPr>
        <w:t xml:space="preserve"> Tree</w:t>
      </w:r>
      <w:r w:rsidRPr="001B44E8">
        <w:rPr>
          <w:rFonts w:ascii="Arial" w:hAnsi="Arial" w:cs="Arial"/>
          <w:color w:val="000000" w:themeColor="text1"/>
          <w:sz w:val="20"/>
          <w:szCs w:val="20"/>
        </w:rPr>
        <w:t xml:space="preserve">: </w:t>
      </w:r>
      <w:proofErr w:type="spellStart"/>
      <w:r w:rsidRPr="001B44E8">
        <w:rPr>
          <w:rFonts w:ascii="Arial" w:hAnsi="Arial" w:cs="Arial"/>
          <w:color w:val="000000" w:themeColor="text1"/>
          <w:sz w:val="20"/>
          <w:szCs w:val="20"/>
        </w:rPr>
        <w:t>Weighbor</w:t>
      </w:r>
      <w:proofErr w:type="spellEnd"/>
      <w:r w:rsidRPr="001B44E8">
        <w:rPr>
          <w:rFonts w:ascii="Arial" w:hAnsi="Arial" w:cs="Arial"/>
          <w:color w:val="000000" w:themeColor="text1"/>
          <w:sz w:val="20"/>
          <w:szCs w:val="20"/>
        </w:rPr>
        <w:t xml:space="preserve"> is a weighted version of </w:t>
      </w:r>
      <w:proofErr w:type="spellStart"/>
      <w:r w:rsidRPr="001B44E8">
        <w:rPr>
          <w:rFonts w:ascii="Arial" w:hAnsi="Arial" w:cs="Arial"/>
          <w:color w:val="000000" w:themeColor="text1"/>
          <w:sz w:val="20"/>
          <w:szCs w:val="20"/>
        </w:rPr>
        <w:t>Neighbor</w:t>
      </w:r>
      <w:proofErr w:type="spellEnd"/>
      <w:r w:rsidRPr="001B44E8">
        <w:rPr>
          <w:rFonts w:ascii="Arial" w:hAnsi="Arial" w:cs="Arial"/>
          <w:color w:val="000000" w:themeColor="text1"/>
          <w:sz w:val="20"/>
          <w:szCs w:val="20"/>
        </w:rPr>
        <w:t xml:space="preserve"> Joining that gives significantly less weight to the longer distances in the distance matrix. The weights are based on variances and co-variances expected in a simple Jukes-Cantor model.</w:t>
      </w:r>
    </w:p>
    <w:p w14:paraId="09412247" w14:textId="77777777" w:rsidR="00CB1E80" w:rsidRPr="001B44E8" w:rsidRDefault="00CB1E80" w:rsidP="001B44E8">
      <w:pPr>
        <w:spacing w:after="0" w:line="240" w:lineRule="auto"/>
        <w:rPr>
          <w:rFonts w:ascii="Arial" w:hAnsi="Arial" w:cs="Arial"/>
          <w:color w:val="000000" w:themeColor="text1"/>
          <w:sz w:val="20"/>
          <w:szCs w:val="20"/>
        </w:rPr>
      </w:pPr>
    </w:p>
    <w:p w14:paraId="64FB136E" w14:textId="686BBD8E"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Jukes-Cantor Correction</w:t>
      </w:r>
      <w:r w:rsidRPr="001B44E8">
        <w:rPr>
          <w:rFonts w:ascii="Arial" w:hAnsi="Arial" w:cs="Arial"/>
          <w:color w:val="000000" w:themeColor="text1"/>
          <w:sz w:val="20"/>
          <w:szCs w:val="20"/>
        </w:rPr>
        <w:t>: The Jukes-Cantor distance correction is a model which considers that as two</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sequences diverge, the probability of a second substitution at any nucleotide site increases. For distance-based trees such as </w:t>
      </w:r>
      <w:proofErr w:type="spellStart"/>
      <w:r w:rsidRPr="001B44E8">
        <w:rPr>
          <w:rFonts w:ascii="Arial" w:hAnsi="Arial" w:cs="Arial"/>
          <w:color w:val="000000" w:themeColor="text1"/>
          <w:sz w:val="20"/>
          <w:szCs w:val="20"/>
        </w:rPr>
        <w:t>Weighbor</w:t>
      </w:r>
      <w:proofErr w:type="spellEnd"/>
      <w:r w:rsidRPr="001B44E8">
        <w:rPr>
          <w:rFonts w:ascii="Arial" w:hAnsi="Arial" w:cs="Arial"/>
          <w:color w:val="000000" w:themeColor="text1"/>
          <w:sz w:val="20"/>
          <w:szCs w:val="20"/>
        </w:rPr>
        <w:t>, the difference in nucleotides is considered for the distance, therefore,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second substitutions will not be counted and the distance will be underestimated. Jukes and Cantor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created a formula that calculates the distance </w:t>
      </w:r>
      <w:proofErr w:type="gramStart"/>
      <w:r w:rsidRPr="001B44E8">
        <w:rPr>
          <w:rFonts w:ascii="Arial" w:hAnsi="Arial" w:cs="Arial"/>
          <w:color w:val="000000" w:themeColor="text1"/>
          <w:sz w:val="20"/>
          <w:szCs w:val="20"/>
        </w:rPr>
        <w:t>taking into account</w:t>
      </w:r>
      <w:proofErr w:type="gramEnd"/>
      <w:r w:rsidRPr="001B44E8">
        <w:rPr>
          <w:rFonts w:ascii="Arial" w:hAnsi="Arial" w:cs="Arial"/>
          <w:color w:val="000000" w:themeColor="text1"/>
          <w:sz w:val="20"/>
          <w:szCs w:val="20"/>
        </w:rPr>
        <w:t xml:space="preserve"> more than just the individual differences</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(1969; </w:t>
      </w:r>
      <w:proofErr w:type="spellStart"/>
      <w:r w:rsidRPr="001B44E8">
        <w:rPr>
          <w:rFonts w:ascii="Arial" w:hAnsi="Arial" w:cs="Arial"/>
          <w:color w:val="000000" w:themeColor="text1"/>
          <w:sz w:val="20"/>
          <w:szCs w:val="20"/>
        </w:rPr>
        <w:t>Evol.of</w:t>
      </w:r>
      <w:proofErr w:type="spellEnd"/>
      <w:r w:rsidRPr="001B44E8">
        <w:rPr>
          <w:rFonts w:ascii="Arial" w:hAnsi="Arial" w:cs="Arial"/>
          <w:color w:val="000000" w:themeColor="text1"/>
          <w:sz w:val="20"/>
          <w:szCs w:val="20"/>
        </w:rPr>
        <w:t xml:space="preserve"> Protein Molecules, Academic Press)</w:t>
      </w:r>
    </w:p>
    <w:p w14:paraId="242C198C" w14:textId="77777777" w:rsidR="00CB1E80" w:rsidRPr="001B44E8" w:rsidRDefault="00CB1E80" w:rsidP="001B44E8">
      <w:pPr>
        <w:spacing w:after="0" w:line="240" w:lineRule="auto"/>
        <w:rPr>
          <w:rFonts w:ascii="Arial" w:hAnsi="Arial" w:cs="Arial"/>
          <w:color w:val="000000" w:themeColor="text1"/>
          <w:sz w:val="20"/>
          <w:szCs w:val="20"/>
        </w:rPr>
      </w:pPr>
    </w:p>
    <w:p w14:paraId="7B5F9333" w14:textId="5A1AE735"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Bootstrap</w:t>
      </w:r>
      <w:r w:rsidRPr="001B44E8">
        <w:rPr>
          <w:rFonts w:ascii="Arial" w:hAnsi="Arial" w:cs="Arial"/>
          <w:color w:val="000000" w:themeColor="text1"/>
          <w:sz w:val="20"/>
          <w:szCs w:val="20"/>
        </w:rPr>
        <w:t>: Bootstrapping is a statistical method for estimating the sampling distribution by re sampling</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with replacement from the original sample. In making phylogenetic trees, the approach is to create a</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pseudo alignment by taking random positions of the original alignment. Some columns of the alignment</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could be selected more than once or not selected at all. The pseudo alignment will be as long as the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original alignment and will be used to create a distance matrix and a tree. The process is repeated 100</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times and a majority consensus tree is displayed showing the number (or percentage) of times a particular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group was on each side of a branch without concerning the sub grouping.</w:t>
      </w:r>
    </w:p>
    <w:p w14:paraId="3FD81F31" w14:textId="77777777" w:rsidR="00D14184" w:rsidRPr="001B44E8" w:rsidRDefault="00D14184" w:rsidP="001B44E8">
      <w:pPr>
        <w:spacing w:after="0" w:line="240" w:lineRule="auto"/>
        <w:rPr>
          <w:rFonts w:ascii="Arial" w:hAnsi="Arial" w:cs="Arial"/>
          <w:color w:val="000000" w:themeColor="text1"/>
          <w:sz w:val="20"/>
          <w:szCs w:val="20"/>
        </w:rPr>
      </w:pPr>
    </w:p>
    <w:p w14:paraId="41E442C9" w14:textId="7FF32CFA" w:rsidR="00D14184" w:rsidRPr="001B44E8" w:rsidRDefault="00D14184" w:rsidP="001B44E8">
      <w:pPr>
        <w:spacing w:after="0" w:line="240" w:lineRule="auto"/>
        <w:rPr>
          <w:rFonts w:ascii="Arial" w:hAnsi="Arial" w:cs="Arial"/>
          <w:color w:val="000000" w:themeColor="text1"/>
          <w:sz w:val="20"/>
          <w:szCs w:val="20"/>
        </w:rPr>
      </w:pPr>
    </w:p>
    <w:sectPr w:rsidR="00D14184" w:rsidRPr="001B44E8" w:rsidSect="001B44E8">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E4C45" w14:textId="77777777" w:rsidR="00BF2D07" w:rsidRDefault="00BF2D07" w:rsidP="00CB63A5">
      <w:pPr>
        <w:spacing w:after="0" w:line="240" w:lineRule="auto"/>
      </w:pPr>
      <w:r>
        <w:separator/>
      </w:r>
    </w:p>
  </w:endnote>
  <w:endnote w:type="continuationSeparator" w:id="0">
    <w:p w14:paraId="099AB924" w14:textId="77777777" w:rsidR="00BF2D07" w:rsidRDefault="00BF2D07" w:rsidP="00CB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F0967" w14:textId="77777777" w:rsidR="005273CC" w:rsidRDefault="00527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847991"/>
      <w:docPartObj>
        <w:docPartGallery w:val="Page Numbers (Bottom of Page)"/>
        <w:docPartUnique/>
      </w:docPartObj>
    </w:sdtPr>
    <w:sdtEndPr>
      <w:rPr>
        <w:noProof/>
      </w:rPr>
    </w:sdtEndPr>
    <w:sdtContent>
      <w:p w14:paraId="57B6F32B" w14:textId="26CF4292" w:rsidR="00CB63A5" w:rsidRDefault="00CB63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03AC71" w14:textId="77777777" w:rsidR="00CB63A5" w:rsidRDefault="00CB63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5B51" w14:textId="77777777" w:rsidR="005273CC" w:rsidRDefault="0052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EF73C" w14:textId="77777777" w:rsidR="00BF2D07" w:rsidRDefault="00BF2D07" w:rsidP="00CB63A5">
      <w:pPr>
        <w:spacing w:after="0" w:line="240" w:lineRule="auto"/>
      </w:pPr>
      <w:r>
        <w:separator/>
      </w:r>
    </w:p>
  </w:footnote>
  <w:footnote w:type="continuationSeparator" w:id="0">
    <w:p w14:paraId="1460CA63" w14:textId="77777777" w:rsidR="00BF2D07" w:rsidRDefault="00BF2D07" w:rsidP="00CB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EA3F" w14:textId="3BD3FB1A" w:rsidR="005273CC" w:rsidRDefault="005273CC">
    <w:pPr>
      <w:pStyle w:val="Header"/>
    </w:pPr>
    <w:r>
      <w:rPr>
        <w:noProof/>
      </w:rPr>
      <w:pict w14:anchorId="344E5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2"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E5EA" w14:textId="463BB842" w:rsidR="005273CC" w:rsidRDefault="005273CC">
    <w:pPr>
      <w:pStyle w:val="Header"/>
    </w:pPr>
    <w:r>
      <w:rPr>
        <w:noProof/>
      </w:rPr>
      <w:pict w14:anchorId="0A85B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3"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D464" w14:textId="77D715B6" w:rsidR="005273CC" w:rsidRDefault="005273CC">
    <w:pPr>
      <w:pStyle w:val="Header"/>
    </w:pPr>
    <w:r>
      <w:rPr>
        <w:noProof/>
      </w:rPr>
      <w:pict w14:anchorId="25E90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1"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B8D"/>
    <w:multiLevelType w:val="multilevel"/>
    <w:tmpl w:val="91BA0B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855A0"/>
    <w:multiLevelType w:val="hybridMultilevel"/>
    <w:tmpl w:val="173CDA7E"/>
    <w:lvl w:ilvl="0" w:tplc="2AA672A2">
      <w:start w:val="1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9A70642"/>
    <w:multiLevelType w:val="hybridMultilevel"/>
    <w:tmpl w:val="942C00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E63BB7"/>
    <w:multiLevelType w:val="hybridMultilevel"/>
    <w:tmpl w:val="F2F2D836"/>
    <w:lvl w:ilvl="0" w:tplc="56380CF8">
      <w:start w:val="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79"/>
    <w:rsid w:val="000104BC"/>
    <w:rsid w:val="0001066B"/>
    <w:rsid w:val="00012811"/>
    <w:rsid w:val="000147D8"/>
    <w:rsid w:val="00042C6F"/>
    <w:rsid w:val="00096A8A"/>
    <w:rsid w:val="000A355E"/>
    <w:rsid w:val="000B1378"/>
    <w:rsid w:val="000D5CAC"/>
    <w:rsid w:val="000D6E1D"/>
    <w:rsid w:val="000E7C98"/>
    <w:rsid w:val="000F443B"/>
    <w:rsid w:val="00114CA5"/>
    <w:rsid w:val="001251F6"/>
    <w:rsid w:val="00146E43"/>
    <w:rsid w:val="0016011F"/>
    <w:rsid w:val="0016116B"/>
    <w:rsid w:val="00167418"/>
    <w:rsid w:val="00172324"/>
    <w:rsid w:val="00175840"/>
    <w:rsid w:val="00175C05"/>
    <w:rsid w:val="00190278"/>
    <w:rsid w:val="001B44E8"/>
    <w:rsid w:val="001B6261"/>
    <w:rsid w:val="001C1229"/>
    <w:rsid w:val="001C74E8"/>
    <w:rsid w:val="001D11C7"/>
    <w:rsid w:val="001F12AA"/>
    <w:rsid w:val="001F3B7F"/>
    <w:rsid w:val="001F65E4"/>
    <w:rsid w:val="0020485D"/>
    <w:rsid w:val="0021061D"/>
    <w:rsid w:val="00241878"/>
    <w:rsid w:val="00243EB0"/>
    <w:rsid w:val="00247C9C"/>
    <w:rsid w:val="00257622"/>
    <w:rsid w:val="00280C39"/>
    <w:rsid w:val="002925BD"/>
    <w:rsid w:val="0029542E"/>
    <w:rsid w:val="002A02F9"/>
    <w:rsid w:val="002A325D"/>
    <w:rsid w:val="002B0EB4"/>
    <w:rsid w:val="002B15CA"/>
    <w:rsid w:val="002B2C40"/>
    <w:rsid w:val="002B6994"/>
    <w:rsid w:val="002D0DD2"/>
    <w:rsid w:val="002D5774"/>
    <w:rsid w:val="002E2D0E"/>
    <w:rsid w:val="002F5AED"/>
    <w:rsid w:val="002F5DF5"/>
    <w:rsid w:val="00307182"/>
    <w:rsid w:val="003123C9"/>
    <w:rsid w:val="00312FE2"/>
    <w:rsid w:val="003203D4"/>
    <w:rsid w:val="0035060B"/>
    <w:rsid w:val="00362F47"/>
    <w:rsid w:val="0039257E"/>
    <w:rsid w:val="003966E4"/>
    <w:rsid w:val="003B74F6"/>
    <w:rsid w:val="003F3186"/>
    <w:rsid w:val="003F43D3"/>
    <w:rsid w:val="003F500E"/>
    <w:rsid w:val="0041325E"/>
    <w:rsid w:val="00426CDF"/>
    <w:rsid w:val="00450148"/>
    <w:rsid w:val="0048124E"/>
    <w:rsid w:val="00493354"/>
    <w:rsid w:val="004A3DA0"/>
    <w:rsid w:val="004A402F"/>
    <w:rsid w:val="004C7460"/>
    <w:rsid w:val="004E36F4"/>
    <w:rsid w:val="004E563E"/>
    <w:rsid w:val="00502C0B"/>
    <w:rsid w:val="005273CC"/>
    <w:rsid w:val="00531212"/>
    <w:rsid w:val="00535C21"/>
    <w:rsid w:val="00540E3E"/>
    <w:rsid w:val="005516CA"/>
    <w:rsid w:val="005545F6"/>
    <w:rsid w:val="00576C26"/>
    <w:rsid w:val="00580036"/>
    <w:rsid w:val="0059388B"/>
    <w:rsid w:val="005A6BA9"/>
    <w:rsid w:val="005A778E"/>
    <w:rsid w:val="005B113F"/>
    <w:rsid w:val="005B5D1F"/>
    <w:rsid w:val="005D702B"/>
    <w:rsid w:val="005F1074"/>
    <w:rsid w:val="00611300"/>
    <w:rsid w:val="006312EE"/>
    <w:rsid w:val="0065435F"/>
    <w:rsid w:val="006562B3"/>
    <w:rsid w:val="00660A0A"/>
    <w:rsid w:val="00672CF6"/>
    <w:rsid w:val="00673E79"/>
    <w:rsid w:val="006777FA"/>
    <w:rsid w:val="0068633C"/>
    <w:rsid w:val="00697B7A"/>
    <w:rsid w:val="006A35C0"/>
    <w:rsid w:val="006A49CF"/>
    <w:rsid w:val="006B031D"/>
    <w:rsid w:val="006D1D4C"/>
    <w:rsid w:val="006D34CF"/>
    <w:rsid w:val="006F3C79"/>
    <w:rsid w:val="00700EE1"/>
    <w:rsid w:val="00706512"/>
    <w:rsid w:val="00725401"/>
    <w:rsid w:val="007404C5"/>
    <w:rsid w:val="00754ABB"/>
    <w:rsid w:val="00774397"/>
    <w:rsid w:val="0077674C"/>
    <w:rsid w:val="007853A5"/>
    <w:rsid w:val="00791F5D"/>
    <w:rsid w:val="00794155"/>
    <w:rsid w:val="007A51E1"/>
    <w:rsid w:val="007B7875"/>
    <w:rsid w:val="007E0B13"/>
    <w:rsid w:val="007E358A"/>
    <w:rsid w:val="007F47D8"/>
    <w:rsid w:val="007F5433"/>
    <w:rsid w:val="008132B9"/>
    <w:rsid w:val="00814B51"/>
    <w:rsid w:val="0081576F"/>
    <w:rsid w:val="00816EC8"/>
    <w:rsid w:val="0082004F"/>
    <w:rsid w:val="008237B5"/>
    <w:rsid w:val="00825D96"/>
    <w:rsid w:val="00832287"/>
    <w:rsid w:val="00834C72"/>
    <w:rsid w:val="00846398"/>
    <w:rsid w:val="00847939"/>
    <w:rsid w:val="008658DA"/>
    <w:rsid w:val="00867715"/>
    <w:rsid w:val="00867DEC"/>
    <w:rsid w:val="00870A92"/>
    <w:rsid w:val="008761A7"/>
    <w:rsid w:val="008802E9"/>
    <w:rsid w:val="0088090D"/>
    <w:rsid w:val="008A2450"/>
    <w:rsid w:val="008A528D"/>
    <w:rsid w:val="008C5FA7"/>
    <w:rsid w:val="008D0091"/>
    <w:rsid w:val="008E363B"/>
    <w:rsid w:val="008F4CF1"/>
    <w:rsid w:val="0091236A"/>
    <w:rsid w:val="00917606"/>
    <w:rsid w:val="00932971"/>
    <w:rsid w:val="00952BF2"/>
    <w:rsid w:val="0095488F"/>
    <w:rsid w:val="009548AA"/>
    <w:rsid w:val="00965B52"/>
    <w:rsid w:val="0097798B"/>
    <w:rsid w:val="009833E7"/>
    <w:rsid w:val="00984E50"/>
    <w:rsid w:val="00986EAF"/>
    <w:rsid w:val="00987486"/>
    <w:rsid w:val="009E4C61"/>
    <w:rsid w:val="00A11C01"/>
    <w:rsid w:val="00A13654"/>
    <w:rsid w:val="00A17E0F"/>
    <w:rsid w:val="00A26617"/>
    <w:rsid w:val="00A27B15"/>
    <w:rsid w:val="00A37012"/>
    <w:rsid w:val="00A65E86"/>
    <w:rsid w:val="00A71F5D"/>
    <w:rsid w:val="00A74332"/>
    <w:rsid w:val="00A83AEE"/>
    <w:rsid w:val="00AA0CC1"/>
    <w:rsid w:val="00AD00ED"/>
    <w:rsid w:val="00AD3887"/>
    <w:rsid w:val="00B1059D"/>
    <w:rsid w:val="00B1310C"/>
    <w:rsid w:val="00B37E21"/>
    <w:rsid w:val="00B41799"/>
    <w:rsid w:val="00B4434A"/>
    <w:rsid w:val="00B44F28"/>
    <w:rsid w:val="00B456E6"/>
    <w:rsid w:val="00B53D34"/>
    <w:rsid w:val="00B56238"/>
    <w:rsid w:val="00B572C9"/>
    <w:rsid w:val="00B90914"/>
    <w:rsid w:val="00BA43C7"/>
    <w:rsid w:val="00BC202E"/>
    <w:rsid w:val="00BD50E5"/>
    <w:rsid w:val="00BF069F"/>
    <w:rsid w:val="00BF1FD1"/>
    <w:rsid w:val="00BF2266"/>
    <w:rsid w:val="00BF2D07"/>
    <w:rsid w:val="00BF5C8D"/>
    <w:rsid w:val="00C01D8E"/>
    <w:rsid w:val="00C07680"/>
    <w:rsid w:val="00C1085E"/>
    <w:rsid w:val="00C148A6"/>
    <w:rsid w:val="00C17346"/>
    <w:rsid w:val="00C57BA7"/>
    <w:rsid w:val="00C634D8"/>
    <w:rsid w:val="00C63E45"/>
    <w:rsid w:val="00C74BAE"/>
    <w:rsid w:val="00C74DAE"/>
    <w:rsid w:val="00C91E10"/>
    <w:rsid w:val="00CA20FD"/>
    <w:rsid w:val="00CB1E80"/>
    <w:rsid w:val="00CB63A5"/>
    <w:rsid w:val="00CD363B"/>
    <w:rsid w:val="00CD39B9"/>
    <w:rsid w:val="00CF5913"/>
    <w:rsid w:val="00CF6EAE"/>
    <w:rsid w:val="00D051EA"/>
    <w:rsid w:val="00D0677D"/>
    <w:rsid w:val="00D071FE"/>
    <w:rsid w:val="00D14184"/>
    <w:rsid w:val="00D24DAF"/>
    <w:rsid w:val="00D27790"/>
    <w:rsid w:val="00D3070B"/>
    <w:rsid w:val="00D468AB"/>
    <w:rsid w:val="00D52ABE"/>
    <w:rsid w:val="00D54FDC"/>
    <w:rsid w:val="00D60ED1"/>
    <w:rsid w:val="00D704A9"/>
    <w:rsid w:val="00D720C9"/>
    <w:rsid w:val="00D75EEA"/>
    <w:rsid w:val="00D827E5"/>
    <w:rsid w:val="00D956A2"/>
    <w:rsid w:val="00DB00A0"/>
    <w:rsid w:val="00DC646B"/>
    <w:rsid w:val="00DF10F9"/>
    <w:rsid w:val="00DF7048"/>
    <w:rsid w:val="00E01420"/>
    <w:rsid w:val="00E04A8A"/>
    <w:rsid w:val="00E06AAB"/>
    <w:rsid w:val="00E14EFD"/>
    <w:rsid w:val="00E32A7A"/>
    <w:rsid w:val="00E71A9C"/>
    <w:rsid w:val="00E753B5"/>
    <w:rsid w:val="00E84CA9"/>
    <w:rsid w:val="00E94FBD"/>
    <w:rsid w:val="00EA698B"/>
    <w:rsid w:val="00EB3E11"/>
    <w:rsid w:val="00EB5C19"/>
    <w:rsid w:val="00EB5FB5"/>
    <w:rsid w:val="00EC5A10"/>
    <w:rsid w:val="00EE40F8"/>
    <w:rsid w:val="00F01D6D"/>
    <w:rsid w:val="00F02B45"/>
    <w:rsid w:val="00F05D19"/>
    <w:rsid w:val="00F11124"/>
    <w:rsid w:val="00F1374F"/>
    <w:rsid w:val="00F25CD1"/>
    <w:rsid w:val="00F31A82"/>
    <w:rsid w:val="00F52715"/>
    <w:rsid w:val="00F52826"/>
    <w:rsid w:val="00F817FE"/>
    <w:rsid w:val="00F849A5"/>
    <w:rsid w:val="00F87FCC"/>
    <w:rsid w:val="00FA7071"/>
    <w:rsid w:val="00FB135C"/>
    <w:rsid w:val="00FC0D58"/>
    <w:rsid w:val="00FD2054"/>
    <w:rsid w:val="00FD60BD"/>
    <w:rsid w:val="00FF157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A68EA2"/>
  <w15:chartTrackingRefBased/>
  <w15:docId w15:val="{FC253536-EC43-4FA0-8F05-5083BA55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styleId="Hyperlink">
    <w:name w:val="Hyperlink"/>
    <w:basedOn w:val="DefaultParagraphFont"/>
    <w:uiPriority w:val="99"/>
    <w:unhideWhenUsed/>
    <w:rsid w:val="0081576F"/>
    <w:rPr>
      <w:color w:val="0563C1" w:themeColor="hyperlink"/>
      <w:u w:val="single"/>
    </w:rPr>
  </w:style>
  <w:style w:type="character" w:styleId="UnresolvedMention">
    <w:name w:val="Unresolved Mention"/>
    <w:basedOn w:val="DefaultParagraphFont"/>
    <w:uiPriority w:val="99"/>
    <w:semiHidden/>
    <w:unhideWhenUsed/>
    <w:rsid w:val="0081576F"/>
    <w:rPr>
      <w:color w:val="605E5C"/>
      <w:shd w:val="clear" w:color="auto" w:fill="E1DFDD"/>
    </w:rPr>
  </w:style>
  <w:style w:type="table" w:styleId="TableGrid">
    <w:name w:val="Table Grid"/>
    <w:basedOn w:val="TableNormal"/>
    <w:uiPriority w:val="39"/>
    <w:rsid w:val="0053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7C9C"/>
    <w:pPr>
      <w:ind w:left="720"/>
      <w:contextualSpacing/>
    </w:pPr>
  </w:style>
  <w:style w:type="paragraph" w:styleId="Header">
    <w:name w:val="header"/>
    <w:basedOn w:val="Normal"/>
    <w:link w:val="HeaderChar"/>
    <w:uiPriority w:val="99"/>
    <w:unhideWhenUsed/>
    <w:rsid w:val="00CB6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A5"/>
  </w:style>
  <w:style w:type="paragraph" w:styleId="Footer">
    <w:name w:val="footer"/>
    <w:basedOn w:val="Normal"/>
    <w:link w:val="FooterChar"/>
    <w:uiPriority w:val="99"/>
    <w:unhideWhenUsed/>
    <w:rsid w:val="00CB6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A5"/>
  </w:style>
  <w:style w:type="character" w:styleId="LineNumber">
    <w:name w:val="line number"/>
    <w:basedOn w:val="DefaultParagraphFont"/>
    <w:uiPriority w:val="99"/>
    <w:semiHidden/>
    <w:unhideWhenUsed/>
    <w:rsid w:val="00CB6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3792">
      <w:bodyDiv w:val="1"/>
      <w:marLeft w:val="0"/>
      <w:marRight w:val="0"/>
      <w:marTop w:val="0"/>
      <w:marBottom w:val="0"/>
      <w:divBdr>
        <w:top w:val="none" w:sz="0" w:space="0" w:color="auto"/>
        <w:left w:val="none" w:sz="0" w:space="0" w:color="auto"/>
        <w:bottom w:val="none" w:sz="0" w:space="0" w:color="auto"/>
        <w:right w:val="none" w:sz="0" w:space="0" w:color="auto"/>
      </w:divBdr>
    </w:div>
    <w:div w:id="50930220">
      <w:bodyDiv w:val="1"/>
      <w:marLeft w:val="0"/>
      <w:marRight w:val="0"/>
      <w:marTop w:val="0"/>
      <w:marBottom w:val="0"/>
      <w:divBdr>
        <w:top w:val="none" w:sz="0" w:space="0" w:color="auto"/>
        <w:left w:val="none" w:sz="0" w:space="0" w:color="auto"/>
        <w:bottom w:val="none" w:sz="0" w:space="0" w:color="auto"/>
        <w:right w:val="none" w:sz="0" w:space="0" w:color="auto"/>
      </w:divBdr>
    </w:div>
    <w:div w:id="158346455">
      <w:bodyDiv w:val="1"/>
      <w:marLeft w:val="0"/>
      <w:marRight w:val="0"/>
      <w:marTop w:val="0"/>
      <w:marBottom w:val="0"/>
      <w:divBdr>
        <w:top w:val="none" w:sz="0" w:space="0" w:color="auto"/>
        <w:left w:val="none" w:sz="0" w:space="0" w:color="auto"/>
        <w:bottom w:val="none" w:sz="0" w:space="0" w:color="auto"/>
        <w:right w:val="none" w:sz="0" w:space="0" w:color="auto"/>
      </w:divBdr>
    </w:div>
    <w:div w:id="246038476">
      <w:bodyDiv w:val="1"/>
      <w:marLeft w:val="0"/>
      <w:marRight w:val="0"/>
      <w:marTop w:val="0"/>
      <w:marBottom w:val="0"/>
      <w:divBdr>
        <w:top w:val="none" w:sz="0" w:space="0" w:color="auto"/>
        <w:left w:val="none" w:sz="0" w:space="0" w:color="auto"/>
        <w:bottom w:val="none" w:sz="0" w:space="0" w:color="auto"/>
        <w:right w:val="none" w:sz="0" w:space="0" w:color="auto"/>
      </w:divBdr>
    </w:div>
    <w:div w:id="262222707">
      <w:bodyDiv w:val="1"/>
      <w:marLeft w:val="0"/>
      <w:marRight w:val="0"/>
      <w:marTop w:val="0"/>
      <w:marBottom w:val="0"/>
      <w:divBdr>
        <w:top w:val="none" w:sz="0" w:space="0" w:color="auto"/>
        <w:left w:val="none" w:sz="0" w:space="0" w:color="auto"/>
        <w:bottom w:val="none" w:sz="0" w:space="0" w:color="auto"/>
        <w:right w:val="none" w:sz="0" w:space="0" w:color="auto"/>
      </w:divBdr>
    </w:div>
    <w:div w:id="314601648">
      <w:bodyDiv w:val="1"/>
      <w:marLeft w:val="0"/>
      <w:marRight w:val="0"/>
      <w:marTop w:val="0"/>
      <w:marBottom w:val="0"/>
      <w:divBdr>
        <w:top w:val="none" w:sz="0" w:space="0" w:color="auto"/>
        <w:left w:val="none" w:sz="0" w:space="0" w:color="auto"/>
        <w:bottom w:val="none" w:sz="0" w:space="0" w:color="auto"/>
        <w:right w:val="none" w:sz="0" w:space="0" w:color="auto"/>
      </w:divBdr>
    </w:div>
    <w:div w:id="506558486">
      <w:bodyDiv w:val="1"/>
      <w:marLeft w:val="0"/>
      <w:marRight w:val="0"/>
      <w:marTop w:val="0"/>
      <w:marBottom w:val="0"/>
      <w:divBdr>
        <w:top w:val="none" w:sz="0" w:space="0" w:color="auto"/>
        <w:left w:val="none" w:sz="0" w:space="0" w:color="auto"/>
        <w:bottom w:val="none" w:sz="0" w:space="0" w:color="auto"/>
        <w:right w:val="none" w:sz="0" w:space="0" w:color="auto"/>
      </w:divBdr>
    </w:div>
    <w:div w:id="647049581">
      <w:bodyDiv w:val="1"/>
      <w:marLeft w:val="0"/>
      <w:marRight w:val="0"/>
      <w:marTop w:val="0"/>
      <w:marBottom w:val="0"/>
      <w:divBdr>
        <w:top w:val="none" w:sz="0" w:space="0" w:color="auto"/>
        <w:left w:val="none" w:sz="0" w:space="0" w:color="auto"/>
        <w:bottom w:val="none" w:sz="0" w:space="0" w:color="auto"/>
        <w:right w:val="none" w:sz="0" w:space="0" w:color="auto"/>
      </w:divBdr>
    </w:div>
    <w:div w:id="677852782">
      <w:bodyDiv w:val="1"/>
      <w:marLeft w:val="0"/>
      <w:marRight w:val="0"/>
      <w:marTop w:val="0"/>
      <w:marBottom w:val="0"/>
      <w:divBdr>
        <w:top w:val="none" w:sz="0" w:space="0" w:color="auto"/>
        <w:left w:val="none" w:sz="0" w:space="0" w:color="auto"/>
        <w:bottom w:val="none" w:sz="0" w:space="0" w:color="auto"/>
        <w:right w:val="none" w:sz="0" w:space="0" w:color="auto"/>
      </w:divBdr>
    </w:div>
    <w:div w:id="696740197">
      <w:bodyDiv w:val="1"/>
      <w:marLeft w:val="0"/>
      <w:marRight w:val="0"/>
      <w:marTop w:val="0"/>
      <w:marBottom w:val="0"/>
      <w:divBdr>
        <w:top w:val="none" w:sz="0" w:space="0" w:color="auto"/>
        <w:left w:val="none" w:sz="0" w:space="0" w:color="auto"/>
        <w:bottom w:val="none" w:sz="0" w:space="0" w:color="auto"/>
        <w:right w:val="none" w:sz="0" w:space="0" w:color="auto"/>
      </w:divBdr>
    </w:div>
    <w:div w:id="758260177">
      <w:bodyDiv w:val="1"/>
      <w:marLeft w:val="0"/>
      <w:marRight w:val="0"/>
      <w:marTop w:val="0"/>
      <w:marBottom w:val="0"/>
      <w:divBdr>
        <w:top w:val="none" w:sz="0" w:space="0" w:color="auto"/>
        <w:left w:val="none" w:sz="0" w:space="0" w:color="auto"/>
        <w:bottom w:val="none" w:sz="0" w:space="0" w:color="auto"/>
        <w:right w:val="none" w:sz="0" w:space="0" w:color="auto"/>
      </w:divBdr>
    </w:div>
    <w:div w:id="1026911420">
      <w:bodyDiv w:val="1"/>
      <w:marLeft w:val="0"/>
      <w:marRight w:val="0"/>
      <w:marTop w:val="0"/>
      <w:marBottom w:val="0"/>
      <w:divBdr>
        <w:top w:val="none" w:sz="0" w:space="0" w:color="auto"/>
        <w:left w:val="none" w:sz="0" w:space="0" w:color="auto"/>
        <w:bottom w:val="none" w:sz="0" w:space="0" w:color="auto"/>
        <w:right w:val="none" w:sz="0" w:space="0" w:color="auto"/>
      </w:divBdr>
    </w:div>
    <w:div w:id="1075588300">
      <w:bodyDiv w:val="1"/>
      <w:marLeft w:val="0"/>
      <w:marRight w:val="0"/>
      <w:marTop w:val="0"/>
      <w:marBottom w:val="0"/>
      <w:divBdr>
        <w:top w:val="none" w:sz="0" w:space="0" w:color="auto"/>
        <w:left w:val="none" w:sz="0" w:space="0" w:color="auto"/>
        <w:bottom w:val="none" w:sz="0" w:space="0" w:color="auto"/>
        <w:right w:val="none" w:sz="0" w:space="0" w:color="auto"/>
      </w:divBdr>
    </w:div>
    <w:div w:id="1100444864">
      <w:bodyDiv w:val="1"/>
      <w:marLeft w:val="0"/>
      <w:marRight w:val="0"/>
      <w:marTop w:val="0"/>
      <w:marBottom w:val="0"/>
      <w:divBdr>
        <w:top w:val="none" w:sz="0" w:space="0" w:color="auto"/>
        <w:left w:val="none" w:sz="0" w:space="0" w:color="auto"/>
        <w:bottom w:val="none" w:sz="0" w:space="0" w:color="auto"/>
        <w:right w:val="none" w:sz="0" w:space="0" w:color="auto"/>
      </w:divBdr>
    </w:div>
    <w:div w:id="1146893888">
      <w:bodyDiv w:val="1"/>
      <w:marLeft w:val="0"/>
      <w:marRight w:val="0"/>
      <w:marTop w:val="0"/>
      <w:marBottom w:val="0"/>
      <w:divBdr>
        <w:top w:val="none" w:sz="0" w:space="0" w:color="auto"/>
        <w:left w:val="none" w:sz="0" w:space="0" w:color="auto"/>
        <w:bottom w:val="none" w:sz="0" w:space="0" w:color="auto"/>
        <w:right w:val="none" w:sz="0" w:space="0" w:color="auto"/>
      </w:divBdr>
    </w:div>
    <w:div w:id="1230920708">
      <w:bodyDiv w:val="1"/>
      <w:marLeft w:val="0"/>
      <w:marRight w:val="0"/>
      <w:marTop w:val="0"/>
      <w:marBottom w:val="0"/>
      <w:divBdr>
        <w:top w:val="none" w:sz="0" w:space="0" w:color="auto"/>
        <w:left w:val="none" w:sz="0" w:space="0" w:color="auto"/>
        <w:bottom w:val="none" w:sz="0" w:space="0" w:color="auto"/>
        <w:right w:val="none" w:sz="0" w:space="0" w:color="auto"/>
      </w:divBdr>
    </w:div>
    <w:div w:id="1239704350">
      <w:bodyDiv w:val="1"/>
      <w:marLeft w:val="0"/>
      <w:marRight w:val="0"/>
      <w:marTop w:val="0"/>
      <w:marBottom w:val="0"/>
      <w:divBdr>
        <w:top w:val="none" w:sz="0" w:space="0" w:color="auto"/>
        <w:left w:val="none" w:sz="0" w:space="0" w:color="auto"/>
        <w:bottom w:val="none" w:sz="0" w:space="0" w:color="auto"/>
        <w:right w:val="none" w:sz="0" w:space="0" w:color="auto"/>
      </w:divBdr>
    </w:div>
    <w:div w:id="1533808418">
      <w:bodyDiv w:val="1"/>
      <w:marLeft w:val="0"/>
      <w:marRight w:val="0"/>
      <w:marTop w:val="0"/>
      <w:marBottom w:val="0"/>
      <w:divBdr>
        <w:top w:val="none" w:sz="0" w:space="0" w:color="auto"/>
        <w:left w:val="none" w:sz="0" w:space="0" w:color="auto"/>
        <w:bottom w:val="none" w:sz="0" w:space="0" w:color="auto"/>
        <w:right w:val="none" w:sz="0" w:space="0" w:color="auto"/>
      </w:divBdr>
    </w:div>
    <w:div w:id="1568803699">
      <w:bodyDiv w:val="1"/>
      <w:marLeft w:val="0"/>
      <w:marRight w:val="0"/>
      <w:marTop w:val="0"/>
      <w:marBottom w:val="0"/>
      <w:divBdr>
        <w:top w:val="none" w:sz="0" w:space="0" w:color="auto"/>
        <w:left w:val="none" w:sz="0" w:space="0" w:color="auto"/>
        <w:bottom w:val="none" w:sz="0" w:space="0" w:color="auto"/>
        <w:right w:val="none" w:sz="0" w:space="0" w:color="auto"/>
      </w:divBdr>
    </w:div>
    <w:div w:id="1783718760">
      <w:bodyDiv w:val="1"/>
      <w:marLeft w:val="0"/>
      <w:marRight w:val="0"/>
      <w:marTop w:val="0"/>
      <w:marBottom w:val="0"/>
      <w:divBdr>
        <w:top w:val="none" w:sz="0" w:space="0" w:color="auto"/>
        <w:left w:val="none" w:sz="0" w:space="0" w:color="auto"/>
        <w:bottom w:val="none" w:sz="0" w:space="0" w:color="auto"/>
        <w:right w:val="none" w:sz="0" w:space="0" w:color="auto"/>
      </w:divBdr>
    </w:div>
    <w:div w:id="1802992916">
      <w:bodyDiv w:val="1"/>
      <w:marLeft w:val="0"/>
      <w:marRight w:val="0"/>
      <w:marTop w:val="0"/>
      <w:marBottom w:val="0"/>
      <w:divBdr>
        <w:top w:val="none" w:sz="0" w:space="0" w:color="auto"/>
        <w:left w:val="none" w:sz="0" w:space="0" w:color="auto"/>
        <w:bottom w:val="none" w:sz="0" w:space="0" w:color="auto"/>
        <w:right w:val="none" w:sz="0" w:space="0" w:color="auto"/>
      </w:divBdr>
    </w:div>
    <w:div w:id="1831748840">
      <w:bodyDiv w:val="1"/>
      <w:marLeft w:val="0"/>
      <w:marRight w:val="0"/>
      <w:marTop w:val="0"/>
      <w:marBottom w:val="0"/>
      <w:divBdr>
        <w:top w:val="none" w:sz="0" w:space="0" w:color="auto"/>
        <w:left w:val="none" w:sz="0" w:space="0" w:color="auto"/>
        <w:bottom w:val="none" w:sz="0" w:space="0" w:color="auto"/>
        <w:right w:val="none" w:sz="0" w:space="0" w:color="auto"/>
      </w:divBdr>
    </w:div>
    <w:div w:id="2033219678">
      <w:bodyDiv w:val="1"/>
      <w:marLeft w:val="0"/>
      <w:marRight w:val="0"/>
      <w:marTop w:val="0"/>
      <w:marBottom w:val="0"/>
      <w:divBdr>
        <w:top w:val="none" w:sz="0" w:space="0" w:color="auto"/>
        <w:left w:val="none" w:sz="0" w:space="0" w:color="auto"/>
        <w:bottom w:val="none" w:sz="0" w:space="0" w:color="auto"/>
        <w:right w:val="none" w:sz="0" w:space="0" w:color="auto"/>
      </w:divBdr>
    </w:div>
    <w:div w:id="204088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1929/jms.38.67.2021" TargetMode="External"/><Relationship Id="rId18" Type="http://schemas.openxmlformats.org/officeDocument/2006/relationships/hyperlink" Target="https://doi.org/10.1155/2014/408085" TargetMode="External"/><Relationship Id="rId26" Type="http://schemas.openxmlformats.org/officeDocument/2006/relationships/hyperlink" Target="https://doi.org/10.1023/B:WIBI.0000043150.37318.5f" TargetMode="External"/><Relationship Id="rId39" Type="http://schemas.openxmlformats.org/officeDocument/2006/relationships/header" Target="header1.xml"/><Relationship Id="rId21" Type="http://schemas.openxmlformats.org/officeDocument/2006/relationships/hyperlink" Target="https://doi.org/10.1007/978-1-59745-423-0_18" TargetMode="External"/><Relationship Id="rId34" Type="http://schemas.openxmlformats.org/officeDocument/2006/relationships/hyperlink" Target="https://doi.org/10.1093/oxfordjournals.molbev.a026231"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microorganisms10010077" TargetMode="External"/><Relationship Id="rId29" Type="http://schemas.openxmlformats.org/officeDocument/2006/relationships/hyperlink" Target="https://doi.org/10.1371/journal.pone.00676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23/A:1004683807250" TargetMode="External"/><Relationship Id="rId24" Type="http://schemas.openxmlformats.org/officeDocument/2006/relationships/hyperlink" Target="https://doi.org/10.1007/978-1-4939-9861-6_34" TargetMode="External"/><Relationship Id="rId32" Type="http://schemas.openxmlformats.org/officeDocument/2006/relationships/hyperlink" Target="https://doi.org/10.1016/j.mimet.2006.05.009" TargetMode="External"/><Relationship Id="rId37" Type="http://schemas.openxmlformats.org/officeDocument/2006/relationships/hyperlink" Target="https://doi.org/10.3389/finmi.2024.1412302"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28/AEM.67.12.5791-5800.2001" TargetMode="External"/><Relationship Id="rId23" Type="http://schemas.openxmlformats.org/officeDocument/2006/relationships/hyperlink" Target="https://doi.org/10.1046/j.1365-2958.2003.03607.x" TargetMode="External"/><Relationship Id="rId28" Type="http://schemas.openxmlformats.org/officeDocument/2006/relationships/hyperlink" Target="http://agribiop.com/category/annals-of-biology/" TargetMode="External"/><Relationship Id="rId36" Type="http://schemas.openxmlformats.org/officeDocument/2006/relationships/hyperlink" Target="http://www.bioflux.com.ro/aacl" TargetMode="External"/><Relationship Id="rId10" Type="http://schemas.openxmlformats.org/officeDocument/2006/relationships/hyperlink" Target="https://doi.org/10.1007/978-981-16-8770-9_8" TargetMode="External"/><Relationship Id="rId19" Type="http://schemas.openxmlformats.org/officeDocument/2006/relationships/hyperlink" Target="https://doi.org/10.47509/JFAR.2023.v03i02.04" TargetMode="External"/><Relationship Id="rId31" Type="http://schemas.openxmlformats.org/officeDocument/2006/relationships/hyperlink" Target="https://doi.org/10.1054/modi.2001.29158"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90/su17052105" TargetMode="External"/><Relationship Id="rId14" Type="http://schemas.openxmlformats.org/officeDocument/2006/relationships/hyperlink" Target="https://doi.org/10.1016/j.geoderma.2021.115395" TargetMode="External"/><Relationship Id="rId22" Type="http://schemas.openxmlformats.org/officeDocument/2006/relationships/hyperlink" Target="https://doi.org/10.1002/9780471729259.mca03cs15" TargetMode="External"/><Relationship Id="rId27" Type="http://schemas.openxmlformats.org/officeDocument/2006/relationships/hyperlink" Target="https://www.asm.org/Protocols/Methyl-Red-and-Voges-Proskauer-Test-Protocols" TargetMode="External"/><Relationship Id="rId30" Type="http://schemas.openxmlformats.org/officeDocument/2006/relationships/hyperlink" Target="https://doi.org/10.3892/br.2023.1605" TargetMode="External"/><Relationship Id="rId35" Type="http://schemas.openxmlformats.org/officeDocument/2006/relationships/hyperlink" Target="https://doi.org/10.1214/ss/1063994980" TargetMode="External"/><Relationship Id="rId43" Type="http://schemas.openxmlformats.org/officeDocument/2006/relationships/header" Target="header3.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hyperlink" Target="https://www.zoologyjournals.com/" TargetMode="External"/><Relationship Id="rId17" Type="http://schemas.openxmlformats.org/officeDocument/2006/relationships/hyperlink" Target="https://nepis.epa.gov/Exe/ZyPDF.cgi?Dockey=200012293.PDF" TargetMode="External"/><Relationship Id="rId25" Type="http://schemas.openxmlformats.org/officeDocument/2006/relationships/hyperlink" Target="https://www.asmscience.org/content/education/protocol/protocol.3202" TargetMode="External"/><Relationship Id="rId33" Type="http://schemas.openxmlformats.org/officeDocument/2006/relationships/hyperlink" Target="https://doi.org/10.1101/2024.07.30.605767" TargetMode="External"/><Relationship Id="rId38" Type="http://schemas.openxmlformats.org/officeDocument/2006/relationships/hyperlink" Target="https://doi.org/10.1007/s42770-021-00630-z" TargetMode="External"/><Relationship Id="rId46" Type="http://schemas.openxmlformats.org/officeDocument/2006/relationships/theme" Target="theme/theme1.xml"/><Relationship Id="rId20" Type="http://schemas.openxmlformats.org/officeDocument/2006/relationships/hyperlink" Target="https://doi.org/10.3791/3064"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3458</TotalTime>
  <Pages>10</Pages>
  <Words>5247</Words>
  <Characters>29913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SDI 1084</cp:lastModifiedBy>
  <cp:revision>192</cp:revision>
  <dcterms:created xsi:type="dcterms:W3CDTF">2024-11-26T05:18:00Z</dcterms:created>
  <dcterms:modified xsi:type="dcterms:W3CDTF">2025-12-03T08:25:00Z</dcterms:modified>
</cp:coreProperties>
</file>